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074EC" w14:textId="1AD4AD89"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Resolución del Pleno del Instituto de Transparencia, Acceso a la Información Pública y Protección de Datos Personales del Estado de México y Municipios, con domicilio en Metepec, Estado de </w:t>
      </w:r>
      <w:r w:rsidR="00C57E04">
        <w:rPr>
          <w:rFonts w:ascii="Palatino Linotype" w:eastAsia="Palatino Linotype" w:hAnsi="Palatino Linotype" w:cs="Palatino Linotype"/>
          <w:color w:val="000000"/>
          <w:sz w:val="24"/>
          <w:szCs w:val="24"/>
        </w:rPr>
        <w:t>México, a veinti</w:t>
      </w:r>
      <w:r w:rsidR="005762A7">
        <w:rPr>
          <w:rFonts w:ascii="Palatino Linotype" w:eastAsia="Palatino Linotype" w:hAnsi="Palatino Linotype" w:cs="Palatino Linotype"/>
          <w:color w:val="000000"/>
          <w:sz w:val="24"/>
          <w:szCs w:val="24"/>
        </w:rPr>
        <w:t>s</w:t>
      </w:r>
      <w:r w:rsidR="00F63021">
        <w:rPr>
          <w:rFonts w:ascii="Palatino Linotype" w:eastAsia="Palatino Linotype" w:hAnsi="Palatino Linotype" w:cs="Palatino Linotype"/>
          <w:color w:val="000000"/>
          <w:sz w:val="24"/>
          <w:szCs w:val="24"/>
        </w:rPr>
        <w:t>iete</w:t>
      </w:r>
      <w:r w:rsidR="005762A7">
        <w:rPr>
          <w:rFonts w:ascii="Palatino Linotype" w:eastAsia="Palatino Linotype" w:hAnsi="Palatino Linotype" w:cs="Palatino Linotype"/>
          <w:color w:val="000000"/>
          <w:sz w:val="24"/>
          <w:szCs w:val="24"/>
        </w:rPr>
        <w:t xml:space="preserve"> de enero de dos mil veintidós</w:t>
      </w:r>
      <w:r>
        <w:rPr>
          <w:rFonts w:ascii="Palatino Linotype" w:eastAsia="Palatino Linotype" w:hAnsi="Palatino Linotype" w:cs="Palatino Linotype"/>
          <w:color w:val="000000"/>
          <w:sz w:val="24"/>
          <w:szCs w:val="24"/>
        </w:rPr>
        <w:t>.</w:t>
      </w:r>
    </w:p>
    <w:p w14:paraId="16723FED"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380B37CC" w14:textId="029467D1"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b/>
          <w:color w:val="000000"/>
          <w:sz w:val="24"/>
          <w:szCs w:val="24"/>
        </w:rPr>
        <w:t>VISTO</w:t>
      </w:r>
      <w:r>
        <w:rPr>
          <w:rFonts w:ascii="Palatino Linotype" w:eastAsia="Palatino Linotype" w:hAnsi="Palatino Linotype" w:cs="Palatino Linotype"/>
          <w:color w:val="000000"/>
          <w:sz w:val="24"/>
          <w:szCs w:val="24"/>
        </w:rPr>
        <w:t xml:space="preserve"> el expediente electrónico formado con motivo del recurso de revisión número </w:t>
      </w:r>
      <w:r w:rsidR="00C57E04">
        <w:rPr>
          <w:rFonts w:ascii="Palatino Linotype" w:eastAsia="Palatino Linotype" w:hAnsi="Palatino Linotype" w:cs="Palatino Linotype"/>
          <w:b/>
          <w:color w:val="000000"/>
          <w:sz w:val="24"/>
          <w:szCs w:val="24"/>
        </w:rPr>
        <w:t>0</w:t>
      </w:r>
      <w:r w:rsidR="00E85B9A">
        <w:rPr>
          <w:rFonts w:ascii="Palatino Linotype" w:eastAsia="Palatino Linotype" w:hAnsi="Palatino Linotype" w:cs="Palatino Linotype"/>
          <w:b/>
          <w:color w:val="000000"/>
          <w:sz w:val="24"/>
          <w:szCs w:val="24"/>
        </w:rPr>
        <w:t>597</w:t>
      </w:r>
      <w:r w:rsidR="0093790F">
        <w:rPr>
          <w:rFonts w:ascii="Palatino Linotype" w:eastAsia="Palatino Linotype" w:hAnsi="Palatino Linotype" w:cs="Palatino Linotype"/>
          <w:b/>
          <w:color w:val="000000"/>
          <w:sz w:val="24"/>
          <w:szCs w:val="24"/>
        </w:rPr>
        <w:t>5</w:t>
      </w:r>
      <w:r>
        <w:rPr>
          <w:rFonts w:ascii="Palatino Linotype" w:eastAsia="Palatino Linotype" w:hAnsi="Palatino Linotype" w:cs="Palatino Linotype"/>
          <w:b/>
          <w:color w:val="000000"/>
          <w:sz w:val="24"/>
          <w:szCs w:val="24"/>
        </w:rPr>
        <w:t>/INFOEM/IP/RR/2021</w:t>
      </w:r>
      <w:r>
        <w:rPr>
          <w:rFonts w:ascii="Palatino Linotype" w:eastAsia="Palatino Linotype" w:hAnsi="Palatino Linotype" w:cs="Palatino Linotype"/>
          <w:color w:val="000000"/>
          <w:sz w:val="24"/>
          <w:szCs w:val="24"/>
        </w:rPr>
        <w:t>, interpuesto por</w:t>
      </w:r>
      <w:r w:rsidR="00C57E04">
        <w:rPr>
          <w:rFonts w:ascii="Palatino Linotype" w:eastAsia="Palatino Linotype" w:hAnsi="Palatino Linotype" w:cs="Palatino Linotype"/>
          <w:color w:val="000000"/>
          <w:sz w:val="24"/>
          <w:szCs w:val="24"/>
        </w:rPr>
        <w:t xml:space="preserve"> </w:t>
      </w:r>
      <w:r w:rsidR="00DE1577">
        <w:rPr>
          <w:rFonts w:ascii="Palatino Linotype" w:eastAsia="Palatino Linotype" w:hAnsi="Palatino Linotype" w:cs="Palatino Linotype"/>
          <w:b/>
          <w:color w:val="000000"/>
          <w:sz w:val="24"/>
          <w:szCs w:val="24"/>
        </w:rPr>
        <w:t>xxxxxxxxxx</w:t>
      </w:r>
      <w:bookmarkStart w:id="0" w:name="_GoBack"/>
      <w:bookmarkEnd w:id="0"/>
      <w:r>
        <w:rPr>
          <w:rFonts w:ascii="Palatino Linotype" w:eastAsia="Palatino Linotype" w:hAnsi="Palatino Linotype" w:cs="Palatino Linotype"/>
          <w:color w:val="000000"/>
          <w:sz w:val="24"/>
          <w:szCs w:val="24"/>
        </w:rPr>
        <w:t xml:space="preserve">, en lo sucesivo el </w:t>
      </w:r>
      <w:r>
        <w:rPr>
          <w:rFonts w:ascii="Palatino Linotype" w:eastAsia="Palatino Linotype" w:hAnsi="Palatino Linotype" w:cs="Palatino Linotype"/>
          <w:b/>
          <w:color w:val="000000"/>
          <w:sz w:val="24"/>
          <w:szCs w:val="24"/>
        </w:rPr>
        <w:t>Recurrente</w:t>
      </w:r>
      <w:r>
        <w:rPr>
          <w:rFonts w:ascii="Palatino Linotype" w:eastAsia="Palatino Linotype" w:hAnsi="Palatino Linotype" w:cs="Palatino Linotype"/>
          <w:color w:val="000000"/>
          <w:sz w:val="24"/>
          <w:szCs w:val="24"/>
        </w:rPr>
        <w:t>, en contra de la respuesta de</w:t>
      </w:r>
      <w:r w:rsidR="0093790F">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color w:val="000000"/>
          <w:sz w:val="24"/>
          <w:szCs w:val="24"/>
        </w:rPr>
        <w:t>l</w:t>
      </w:r>
      <w:r w:rsidR="0093790F">
        <w:rPr>
          <w:rFonts w:ascii="Palatino Linotype" w:eastAsia="Palatino Linotype" w:hAnsi="Palatino Linotype" w:cs="Palatino Linotype"/>
          <w:color w:val="000000"/>
          <w:sz w:val="24"/>
          <w:szCs w:val="24"/>
        </w:rPr>
        <w:t>a</w:t>
      </w:r>
      <w:r>
        <w:rPr>
          <w:rFonts w:ascii="Palatino Linotype" w:eastAsia="Palatino Linotype" w:hAnsi="Palatino Linotype" w:cs="Palatino Linotype"/>
          <w:color w:val="000000"/>
          <w:sz w:val="24"/>
          <w:szCs w:val="24"/>
        </w:rPr>
        <w:t xml:space="preserve"> </w:t>
      </w:r>
      <w:r w:rsidR="0093790F">
        <w:rPr>
          <w:rFonts w:ascii="Palatino Linotype" w:eastAsia="Palatino Linotype" w:hAnsi="Palatino Linotype" w:cs="Palatino Linotype"/>
          <w:b/>
          <w:color w:val="000000"/>
          <w:sz w:val="24"/>
          <w:szCs w:val="24"/>
        </w:rPr>
        <w:t>Procuraduría de Protección al Ambiente del Estado de México</w:t>
      </w:r>
      <w:r>
        <w:rPr>
          <w:rFonts w:ascii="Palatino Linotype" w:eastAsia="Palatino Linotype" w:hAnsi="Palatino Linotype" w:cs="Palatino Linotype"/>
          <w:color w:val="000000"/>
          <w:sz w:val="24"/>
          <w:szCs w:val="24"/>
        </w:rPr>
        <w:t xml:space="preserve">, en lo </w:t>
      </w:r>
      <w:r w:rsidRPr="00C57E04">
        <w:rPr>
          <w:rFonts w:ascii="Palatino Linotype" w:eastAsia="Palatino Linotype" w:hAnsi="Palatino Linotype" w:cs="Palatino Linotype"/>
          <w:color w:val="000000"/>
          <w:sz w:val="24"/>
          <w:szCs w:val="24"/>
        </w:rPr>
        <w:t>subsecuente el</w:t>
      </w:r>
      <w:r>
        <w:rPr>
          <w:rFonts w:ascii="Palatino Linotype" w:eastAsia="Palatino Linotype" w:hAnsi="Palatino Linotype" w:cs="Palatino Linotype"/>
          <w:b/>
          <w:color w:val="000000"/>
          <w:sz w:val="24"/>
          <w:szCs w:val="24"/>
        </w:rPr>
        <w:t xml:space="preserve"> Sujeto Obligado, </w:t>
      </w:r>
      <w:r>
        <w:rPr>
          <w:rFonts w:ascii="Palatino Linotype" w:eastAsia="Palatino Linotype" w:hAnsi="Palatino Linotype" w:cs="Palatino Linotype"/>
          <w:color w:val="000000"/>
          <w:sz w:val="24"/>
          <w:szCs w:val="24"/>
        </w:rPr>
        <w:t>se procede a dictar la presente resolución.</w:t>
      </w:r>
    </w:p>
    <w:p w14:paraId="216858A4"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3B1D42A7" w14:textId="77777777" w:rsidR="00663A37" w:rsidRDefault="00663A37" w:rsidP="00663A37">
      <w:pPr>
        <w:pBdr>
          <w:top w:val="nil"/>
          <w:left w:val="nil"/>
          <w:bottom w:val="nil"/>
          <w:right w:val="nil"/>
          <w:between w:val="nil"/>
        </w:pBdr>
        <w:spacing w:after="0" w:line="360" w:lineRule="auto"/>
        <w:contextualSpacing/>
        <w:jc w:val="center"/>
        <w:rPr>
          <w:rFonts w:ascii="Palatino Linotype" w:eastAsia="Palatino Linotype" w:hAnsi="Palatino Linotype" w:cs="Palatino Linotype"/>
          <w:b/>
          <w:color w:val="000000"/>
          <w:sz w:val="28"/>
          <w:szCs w:val="28"/>
        </w:rPr>
      </w:pPr>
      <w:r>
        <w:rPr>
          <w:rFonts w:ascii="Palatino Linotype" w:eastAsia="Palatino Linotype" w:hAnsi="Palatino Linotype" w:cs="Palatino Linotype"/>
          <w:b/>
          <w:color w:val="000000"/>
          <w:sz w:val="28"/>
          <w:szCs w:val="28"/>
        </w:rPr>
        <w:t>A N T E C E D E N T E S</w:t>
      </w:r>
    </w:p>
    <w:p w14:paraId="6C92C78C"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4"/>
          <w:szCs w:val="24"/>
        </w:rPr>
      </w:pPr>
    </w:p>
    <w:p w14:paraId="55FE3F9E"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6"/>
          <w:szCs w:val="26"/>
        </w:rPr>
      </w:pPr>
      <w:r>
        <w:rPr>
          <w:rFonts w:ascii="Palatino Linotype" w:eastAsia="Palatino Linotype" w:hAnsi="Palatino Linotype" w:cs="Palatino Linotype"/>
          <w:b/>
          <w:color w:val="000000"/>
          <w:sz w:val="26"/>
          <w:szCs w:val="26"/>
        </w:rPr>
        <w:t>PRIMERO.</w:t>
      </w:r>
      <w:r>
        <w:rPr>
          <w:rFonts w:ascii="Palatino Linotype" w:eastAsia="Palatino Linotype" w:hAnsi="Palatino Linotype" w:cs="Palatino Linotype"/>
          <w:color w:val="000000"/>
          <w:sz w:val="26"/>
          <w:szCs w:val="26"/>
        </w:rPr>
        <w:t xml:space="preserve"> </w:t>
      </w:r>
      <w:r>
        <w:rPr>
          <w:rFonts w:ascii="Palatino Linotype" w:eastAsia="Palatino Linotype" w:hAnsi="Palatino Linotype" w:cs="Palatino Linotype"/>
          <w:b/>
          <w:color w:val="000000"/>
          <w:sz w:val="26"/>
          <w:szCs w:val="26"/>
        </w:rPr>
        <w:t>De la Solicitud de Información.</w:t>
      </w:r>
    </w:p>
    <w:p w14:paraId="15DB70AF" w14:textId="1B5740FC" w:rsidR="00663A37" w:rsidRDefault="00C57E04"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Con fecha </w:t>
      </w:r>
      <w:r w:rsidR="00E85B9A">
        <w:rPr>
          <w:rFonts w:ascii="Palatino Linotype" w:eastAsia="Palatino Linotype" w:hAnsi="Palatino Linotype" w:cs="Palatino Linotype"/>
          <w:color w:val="000000"/>
          <w:sz w:val="24"/>
          <w:szCs w:val="24"/>
        </w:rPr>
        <w:t>cinco de noviembre</w:t>
      </w:r>
      <w:r w:rsidR="00663A37">
        <w:rPr>
          <w:rFonts w:ascii="Palatino Linotype" w:eastAsia="Palatino Linotype" w:hAnsi="Palatino Linotype" w:cs="Palatino Linotype"/>
          <w:color w:val="000000"/>
          <w:sz w:val="24"/>
          <w:szCs w:val="24"/>
        </w:rPr>
        <w:t xml:space="preserve"> de dos mil veintiuno, el Recurrente presentó solicitud de información pública </w:t>
      </w:r>
      <w:r>
        <w:rPr>
          <w:rFonts w:ascii="Palatino Linotype" w:eastAsia="Palatino Linotype" w:hAnsi="Palatino Linotype" w:cs="Palatino Linotype"/>
          <w:color w:val="000000"/>
          <w:sz w:val="24"/>
          <w:szCs w:val="24"/>
        </w:rPr>
        <w:t>por medio del</w:t>
      </w:r>
      <w:r w:rsidR="00663A37">
        <w:rPr>
          <w:rFonts w:ascii="Palatino Linotype" w:eastAsia="Palatino Linotype" w:hAnsi="Palatino Linotype" w:cs="Palatino Linotype"/>
          <w:color w:val="000000"/>
          <w:sz w:val="24"/>
          <w:szCs w:val="24"/>
        </w:rPr>
        <w:t xml:space="preserve"> Sistema de Acceso a la Información Mexiquense </w:t>
      </w:r>
      <w:r w:rsidR="00663A37" w:rsidRPr="00E85B9A">
        <w:rPr>
          <w:rFonts w:ascii="Palatino Linotype" w:eastAsia="Palatino Linotype" w:hAnsi="Palatino Linotype" w:cs="Palatino Linotype"/>
          <w:color w:val="000000"/>
          <w:sz w:val="24"/>
          <w:szCs w:val="24"/>
        </w:rPr>
        <w:t>(SAIMEX),</w:t>
      </w:r>
      <w:r w:rsidR="00663A37">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color w:val="000000"/>
          <w:sz w:val="24"/>
          <w:szCs w:val="24"/>
        </w:rPr>
        <w:t xml:space="preserve">que fue registrada </w:t>
      </w:r>
      <w:r w:rsidR="00663A37">
        <w:rPr>
          <w:rFonts w:ascii="Palatino Linotype" w:eastAsia="Palatino Linotype" w:hAnsi="Palatino Linotype" w:cs="Palatino Linotype"/>
          <w:color w:val="000000"/>
          <w:sz w:val="24"/>
          <w:szCs w:val="24"/>
        </w:rPr>
        <w:t>con el número de expediente</w:t>
      </w:r>
      <w:r w:rsidR="00663A37">
        <w:rPr>
          <w:rFonts w:ascii="Palatino Linotype" w:eastAsia="Palatino Linotype" w:hAnsi="Palatino Linotype" w:cs="Palatino Linotype"/>
          <w:b/>
          <w:color w:val="000000"/>
          <w:sz w:val="24"/>
          <w:szCs w:val="24"/>
        </w:rPr>
        <w:t xml:space="preserve"> </w:t>
      </w:r>
      <w:r w:rsidR="00E85B9A" w:rsidRPr="00E85B9A">
        <w:rPr>
          <w:rFonts w:ascii="Palatino Linotype" w:eastAsia="Palatino Linotype" w:hAnsi="Palatino Linotype" w:cs="Palatino Linotype"/>
          <w:b/>
          <w:bCs/>
          <w:color w:val="000000"/>
          <w:sz w:val="24"/>
          <w:szCs w:val="24"/>
        </w:rPr>
        <w:t>00</w:t>
      </w:r>
      <w:r w:rsidR="0093790F">
        <w:rPr>
          <w:rFonts w:ascii="Palatino Linotype" w:eastAsia="Palatino Linotype" w:hAnsi="Palatino Linotype" w:cs="Palatino Linotype"/>
          <w:b/>
          <w:bCs/>
          <w:color w:val="000000"/>
          <w:sz w:val="24"/>
          <w:szCs w:val="24"/>
        </w:rPr>
        <w:t>122/PROPAEM</w:t>
      </w:r>
      <w:r w:rsidR="00E85B9A" w:rsidRPr="00E85B9A">
        <w:rPr>
          <w:rFonts w:ascii="Palatino Linotype" w:eastAsia="Palatino Linotype" w:hAnsi="Palatino Linotype" w:cs="Palatino Linotype"/>
          <w:b/>
          <w:bCs/>
          <w:color w:val="000000"/>
          <w:sz w:val="24"/>
          <w:szCs w:val="24"/>
        </w:rPr>
        <w:t>/IP/2021</w:t>
      </w:r>
      <w:r w:rsidR="00663A37" w:rsidRPr="00C57E04">
        <w:rPr>
          <w:rFonts w:ascii="Palatino Linotype" w:eastAsia="Palatino Linotype" w:hAnsi="Palatino Linotype" w:cs="Palatino Linotype"/>
          <w:color w:val="000000"/>
          <w:sz w:val="24"/>
          <w:szCs w:val="24"/>
        </w:rPr>
        <w:t>,</w:t>
      </w:r>
      <w:r w:rsidR="00663A37">
        <w:rPr>
          <w:rFonts w:ascii="Palatino Linotype" w:eastAsia="Palatino Linotype" w:hAnsi="Palatino Linotype" w:cs="Palatino Linotype"/>
          <w:b/>
          <w:color w:val="000000"/>
          <w:sz w:val="24"/>
          <w:szCs w:val="24"/>
        </w:rPr>
        <w:t xml:space="preserve"> </w:t>
      </w:r>
      <w:r w:rsidR="00663A37">
        <w:rPr>
          <w:rFonts w:ascii="Palatino Linotype" w:eastAsia="Palatino Linotype" w:hAnsi="Palatino Linotype" w:cs="Palatino Linotype"/>
          <w:color w:val="000000"/>
          <w:sz w:val="24"/>
          <w:szCs w:val="24"/>
        </w:rPr>
        <w:t>mediante la cual solicitó información en el tenor siguiente:</w:t>
      </w:r>
    </w:p>
    <w:p w14:paraId="1E7EACB6"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7CB4925D" w14:textId="01398915" w:rsidR="00663A3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Pr>
          <w:rFonts w:ascii="Palatino Linotype" w:eastAsia="Palatino Linotype" w:hAnsi="Palatino Linotype" w:cs="Palatino Linotype"/>
          <w:i/>
          <w:color w:val="000000"/>
        </w:rPr>
        <w:t>“</w:t>
      </w:r>
      <w:r w:rsidR="00783A5A" w:rsidRPr="00783A5A">
        <w:rPr>
          <w:rFonts w:ascii="Palatino Linotype" w:eastAsia="Palatino Linotype" w:hAnsi="Palatino Linotype" w:cs="Palatino Linotype"/>
          <w:i/>
          <w:color w:val="000000"/>
        </w:rPr>
        <w:t xml:space="preserve">Con fundamento en el artículo sexto y octavo de la Constitución Política de los Estados Unidos Mexicanos le solicito, de manera pacífica y respetuosa por ser justa y legal mi petición, se considere mi derecho a la información generada o en posesión de las autoridades públicas y sujetos Obligados, en la cual me encuentro interesado en conocer: Se me informe Jurídicamente, legal y normativamente la causa por la cual el centro de Verificación Vehicular Autorizado del Estado de México con nomenclatura NE955 denominado </w:t>
      </w:r>
      <w:r w:rsidR="00783A5A" w:rsidRPr="00783A5A">
        <w:rPr>
          <w:rFonts w:ascii="Palatino Linotype" w:eastAsia="Palatino Linotype" w:hAnsi="Palatino Linotype" w:cs="Palatino Linotype"/>
          <w:i/>
          <w:color w:val="000000"/>
        </w:rPr>
        <w:lastRenderedPageBreak/>
        <w:t>"Verificaciones Valle de Santiago, S.A. de C.V.." permanece con sellos de SUSPENDIDO de la PROPAEM desde el pasado 10 de Agosto de 2021; se me informe el número de expediente u orden de visita de inspección, la causa de suspensión asentada en la respectiva acta; se me informe la causa por la cual no ha sido notificado dicho centro de verificación de la sanción o resolución a la cual se hace acreedor; se me informe la causa que dio origen a una suspensión tan prolongada aun cuando los términos legales fueron agotados; se me informe el método científico y legal por la cual la PROPAEM determina un deterioro o daño ambiental a los que se refiere el Código de Biodiversidad del Estado de México.</w:t>
      </w:r>
      <w:r w:rsidR="00C57E04">
        <w:rPr>
          <w:rFonts w:ascii="Palatino Linotype" w:eastAsia="Palatino Linotype" w:hAnsi="Palatino Linotype" w:cs="Palatino Linotype"/>
          <w:i/>
          <w:color w:val="000000"/>
        </w:rPr>
        <w:t>” (Sic)</w:t>
      </w:r>
    </w:p>
    <w:p w14:paraId="365FE83B"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i/>
          <w:color w:val="000000"/>
          <w:sz w:val="24"/>
          <w:szCs w:val="24"/>
        </w:rPr>
      </w:pPr>
    </w:p>
    <w:p w14:paraId="185CEF63" w14:textId="4CB5AFC9"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Modalidad de entrega: </w:t>
      </w:r>
      <w:r w:rsidR="00C57E04">
        <w:rPr>
          <w:rFonts w:ascii="Palatino Linotype" w:eastAsia="Palatino Linotype" w:hAnsi="Palatino Linotype" w:cs="Palatino Linotype"/>
          <w:b/>
          <w:color w:val="000000"/>
          <w:sz w:val="24"/>
          <w:szCs w:val="24"/>
        </w:rPr>
        <w:t>A través del SAIMEX</w:t>
      </w:r>
    </w:p>
    <w:p w14:paraId="4058552C"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17C85945"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Pr>
          <w:rFonts w:ascii="Palatino Linotype" w:eastAsia="Palatino Linotype" w:hAnsi="Palatino Linotype" w:cs="Palatino Linotype"/>
          <w:b/>
          <w:color w:val="000000"/>
          <w:sz w:val="26"/>
          <w:szCs w:val="26"/>
        </w:rPr>
        <w:t>SEGUNDO. De la respuesta del Sujeto Obligado.</w:t>
      </w:r>
    </w:p>
    <w:p w14:paraId="7C156F33" w14:textId="2851AAC4"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De las constancias que obran en el expediente electrónico, se observa que el día </w:t>
      </w:r>
      <w:r w:rsidR="00E85B9A">
        <w:rPr>
          <w:rFonts w:ascii="Palatino Linotype" w:eastAsia="Palatino Linotype" w:hAnsi="Palatino Linotype" w:cs="Palatino Linotype"/>
          <w:color w:val="000000"/>
          <w:sz w:val="24"/>
          <w:szCs w:val="24"/>
        </w:rPr>
        <w:t>veintinueve de noviembre</w:t>
      </w:r>
      <w:r>
        <w:rPr>
          <w:rFonts w:ascii="Palatino Linotype" w:eastAsia="Palatino Linotype" w:hAnsi="Palatino Linotype" w:cs="Palatino Linotype"/>
          <w:color w:val="000000"/>
          <w:sz w:val="24"/>
          <w:szCs w:val="24"/>
        </w:rPr>
        <w:t xml:space="preserve"> de dos mil veintiuno, el Sujeto Obligado dio respuesta a la solicitud de información, manifestando lo siguiente:</w:t>
      </w:r>
    </w:p>
    <w:p w14:paraId="5D57EE23"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29C9C78C" w14:textId="43241CEF" w:rsidR="00783A5A" w:rsidRDefault="00663A37" w:rsidP="00783A5A">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Pr>
          <w:rFonts w:ascii="Palatino Linotype" w:eastAsia="Palatino Linotype" w:hAnsi="Palatino Linotype" w:cs="Palatino Linotype"/>
          <w:i/>
          <w:color w:val="000000"/>
        </w:rPr>
        <w:t>“</w:t>
      </w:r>
      <w:r w:rsidR="00783A5A" w:rsidRPr="00783A5A">
        <w:rPr>
          <w:rFonts w:ascii="Palatino Linotype" w:eastAsia="Palatino Linotype" w:hAnsi="Palatino Linotype" w:cs="Palatino Linotype"/>
          <w:i/>
          <w:color w:val="000000"/>
        </w:rPr>
        <w:t>En respuesta a la solicitud recibida, nos permitimos hacer de su conocimiento que con fundamento en el artículo 53, Fracciones: II, V y VI de la Ley de Transparencia y Acceso a la Información Pública del Estado de México y Municipios, le contestamos que:</w:t>
      </w:r>
    </w:p>
    <w:p w14:paraId="5B76DDDB" w14:textId="77777777" w:rsidR="00783A5A" w:rsidRPr="00783A5A" w:rsidRDefault="00783A5A" w:rsidP="00783A5A">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3CF9003B" w14:textId="7A29FD03" w:rsidR="00783A5A" w:rsidRDefault="00783A5A" w:rsidP="00783A5A">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783A5A">
        <w:rPr>
          <w:rFonts w:ascii="Palatino Linotype" w:eastAsia="Palatino Linotype" w:hAnsi="Palatino Linotype" w:cs="Palatino Linotype"/>
          <w:i/>
          <w:color w:val="000000"/>
        </w:rPr>
        <w:t>Se remite archivo con el oficio de respuesta emitido por la servidora pública habilitada correspondiente. De igual manera, se remite archivo con el acta de clasificación de la información a la que hace referencia la servidora pública habilitada en su oficio de respuesta.</w:t>
      </w:r>
    </w:p>
    <w:p w14:paraId="37DC4FDB" w14:textId="77777777" w:rsidR="00783A5A" w:rsidRPr="00783A5A" w:rsidRDefault="00783A5A" w:rsidP="00783A5A">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378A9E04" w14:textId="77777777" w:rsidR="00783A5A" w:rsidRPr="00783A5A" w:rsidRDefault="00783A5A" w:rsidP="00783A5A">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783A5A">
        <w:rPr>
          <w:rFonts w:ascii="Palatino Linotype" w:eastAsia="Palatino Linotype" w:hAnsi="Palatino Linotype" w:cs="Palatino Linotype"/>
          <w:i/>
          <w:color w:val="000000"/>
        </w:rPr>
        <w:t>ATENTAMENTE</w:t>
      </w:r>
    </w:p>
    <w:p w14:paraId="38DF58A5" w14:textId="5BDCDD56" w:rsidR="00663A37" w:rsidRDefault="00783A5A" w:rsidP="00783A5A">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783A5A">
        <w:rPr>
          <w:rFonts w:ascii="Palatino Linotype" w:eastAsia="Palatino Linotype" w:hAnsi="Palatino Linotype" w:cs="Palatino Linotype"/>
          <w:i/>
          <w:color w:val="000000"/>
        </w:rPr>
        <w:t>LICENCIADA ELENA SALAZAR GÓMEZ</w:t>
      </w:r>
      <w:r w:rsidR="00663A37">
        <w:rPr>
          <w:rFonts w:ascii="Palatino Linotype" w:eastAsia="Palatino Linotype" w:hAnsi="Palatino Linotype" w:cs="Palatino Linotype"/>
          <w:i/>
          <w:color w:val="000000"/>
        </w:rPr>
        <w:t>” (Sic)</w:t>
      </w:r>
    </w:p>
    <w:p w14:paraId="6B587EBE" w14:textId="77777777" w:rsidR="00663A37" w:rsidRDefault="00663A37" w:rsidP="0074208A">
      <w:pPr>
        <w:pBdr>
          <w:top w:val="nil"/>
          <w:left w:val="nil"/>
          <w:bottom w:val="nil"/>
          <w:right w:val="nil"/>
          <w:between w:val="nil"/>
        </w:pBdr>
        <w:spacing w:after="0" w:line="360" w:lineRule="auto"/>
        <w:ind w:left="567" w:right="567"/>
        <w:contextualSpacing/>
        <w:jc w:val="both"/>
        <w:rPr>
          <w:rFonts w:ascii="Palatino Linotype" w:eastAsia="Palatino Linotype" w:hAnsi="Palatino Linotype" w:cs="Palatino Linotype"/>
          <w:i/>
          <w:color w:val="000000"/>
        </w:rPr>
      </w:pPr>
    </w:p>
    <w:p w14:paraId="3D031FD5" w14:textId="64F689BB" w:rsidR="00663A37" w:rsidRDefault="00C57E04" w:rsidP="00C57E04">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A la respuesta se anex</w:t>
      </w:r>
      <w:r w:rsidR="00783A5A">
        <w:rPr>
          <w:rFonts w:ascii="Palatino Linotype" w:eastAsia="Palatino Linotype" w:hAnsi="Palatino Linotype" w:cs="Palatino Linotype"/>
          <w:color w:val="000000"/>
          <w:sz w:val="24"/>
          <w:szCs w:val="24"/>
        </w:rPr>
        <w:t>aron</w:t>
      </w:r>
      <w:r>
        <w:rPr>
          <w:rFonts w:ascii="Palatino Linotype" w:eastAsia="Palatino Linotype" w:hAnsi="Palatino Linotype" w:cs="Palatino Linotype"/>
          <w:color w:val="000000"/>
          <w:sz w:val="24"/>
          <w:szCs w:val="24"/>
        </w:rPr>
        <w:t xml:space="preserve"> </w:t>
      </w:r>
      <w:r w:rsidR="00783A5A">
        <w:rPr>
          <w:rFonts w:ascii="Palatino Linotype" w:eastAsia="Palatino Linotype" w:hAnsi="Palatino Linotype" w:cs="Palatino Linotype"/>
          <w:color w:val="000000"/>
          <w:sz w:val="24"/>
          <w:szCs w:val="24"/>
        </w:rPr>
        <w:t>los</w:t>
      </w:r>
      <w:r w:rsidR="00663A37">
        <w:rPr>
          <w:rFonts w:ascii="Palatino Linotype" w:eastAsia="Palatino Linotype" w:hAnsi="Palatino Linotype" w:cs="Palatino Linotype"/>
          <w:color w:val="000000"/>
          <w:sz w:val="24"/>
          <w:szCs w:val="24"/>
        </w:rPr>
        <w:t xml:space="preserve"> documento</w:t>
      </w:r>
      <w:r w:rsidR="00783A5A">
        <w:rPr>
          <w:rFonts w:ascii="Palatino Linotype" w:eastAsia="Palatino Linotype" w:hAnsi="Palatino Linotype" w:cs="Palatino Linotype"/>
          <w:color w:val="000000"/>
          <w:sz w:val="24"/>
          <w:szCs w:val="24"/>
        </w:rPr>
        <w:t>s</w:t>
      </w:r>
      <w:r w:rsidR="00663A37">
        <w:rPr>
          <w:rFonts w:ascii="Palatino Linotype" w:eastAsia="Palatino Linotype" w:hAnsi="Palatino Linotype" w:cs="Palatino Linotype"/>
          <w:color w:val="000000"/>
          <w:sz w:val="24"/>
          <w:szCs w:val="24"/>
        </w:rPr>
        <w:t xml:space="preserve"> electrónico</w:t>
      </w:r>
      <w:r w:rsidR="00783A5A">
        <w:rPr>
          <w:rFonts w:ascii="Palatino Linotype" w:eastAsia="Palatino Linotype" w:hAnsi="Palatino Linotype" w:cs="Palatino Linotype"/>
          <w:color w:val="000000"/>
          <w:sz w:val="24"/>
          <w:szCs w:val="24"/>
        </w:rPr>
        <w:t>s</w:t>
      </w:r>
      <w:r w:rsidR="00663A37">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b/>
          <w:color w:val="000000"/>
          <w:sz w:val="24"/>
          <w:szCs w:val="24"/>
        </w:rPr>
        <w:t>“</w:t>
      </w:r>
      <w:r w:rsidR="00783A5A">
        <w:rPr>
          <w:rFonts w:ascii="Palatino Linotype" w:eastAsia="Palatino Linotype" w:hAnsi="Palatino Linotype" w:cs="Palatino Linotype"/>
          <w:b/>
          <w:color w:val="000000"/>
          <w:sz w:val="24"/>
          <w:szCs w:val="24"/>
        </w:rPr>
        <w:t>SAIMEX 122 – 3. Respuesta para el solicitante.pdf”</w:t>
      </w:r>
      <w:r w:rsidR="00783A5A" w:rsidRPr="00783A5A">
        <w:rPr>
          <w:rFonts w:ascii="Palatino Linotype" w:eastAsia="Palatino Linotype" w:hAnsi="Palatino Linotype" w:cs="Palatino Linotype"/>
          <w:bCs/>
          <w:color w:val="000000"/>
          <w:sz w:val="24"/>
          <w:szCs w:val="24"/>
        </w:rPr>
        <w:t xml:space="preserve"> y </w:t>
      </w:r>
      <w:r w:rsidR="00783A5A">
        <w:rPr>
          <w:rFonts w:ascii="Palatino Linotype" w:eastAsia="Palatino Linotype" w:hAnsi="Palatino Linotype" w:cs="Palatino Linotype"/>
          <w:b/>
          <w:color w:val="000000"/>
          <w:sz w:val="24"/>
          <w:szCs w:val="24"/>
        </w:rPr>
        <w:t>“</w:t>
      </w:r>
      <w:r w:rsidR="00E85B9A">
        <w:rPr>
          <w:rFonts w:ascii="Palatino Linotype" w:eastAsia="Palatino Linotype" w:hAnsi="Palatino Linotype" w:cs="Palatino Linotype"/>
          <w:b/>
          <w:color w:val="000000"/>
          <w:sz w:val="24"/>
          <w:szCs w:val="24"/>
        </w:rPr>
        <w:t>SAIMEX</w:t>
      </w:r>
      <w:r w:rsidR="00783A5A">
        <w:rPr>
          <w:rFonts w:ascii="Palatino Linotype" w:eastAsia="Palatino Linotype" w:hAnsi="Palatino Linotype" w:cs="Palatino Linotype"/>
          <w:b/>
          <w:color w:val="000000"/>
          <w:sz w:val="24"/>
          <w:szCs w:val="24"/>
        </w:rPr>
        <w:t xml:space="preserve"> 122 – 3. Respuesta para el solicitante -2ª parte – </w:t>
      </w:r>
      <w:r w:rsidR="00783A5A">
        <w:rPr>
          <w:rFonts w:ascii="Palatino Linotype" w:eastAsia="Palatino Linotype" w:hAnsi="Palatino Linotype" w:cs="Palatino Linotype"/>
          <w:b/>
          <w:color w:val="000000"/>
          <w:sz w:val="24"/>
          <w:szCs w:val="24"/>
        </w:rPr>
        <w:lastRenderedPageBreak/>
        <w:t>Acta de clasificación.</w:t>
      </w:r>
      <w:r w:rsidR="00E85B9A">
        <w:rPr>
          <w:rFonts w:ascii="Palatino Linotype" w:eastAsia="Palatino Linotype" w:hAnsi="Palatino Linotype" w:cs="Palatino Linotype"/>
          <w:b/>
          <w:color w:val="000000"/>
          <w:sz w:val="24"/>
          <w:szCs w:val="24"/>
        </w:rPr>
        <w:t>pdf</w:t>
      </w:r>
      <w:r w:rsidR="00663A37">
        <w:rPr>
          <w:rFonts w:ascii="Palatino Linotype" w:eastAsia="Palatino Linotype" w:hAnsi="Palatino Linotype" w:cs="Palatino Linotype"/>
          <w:b/>
          <w:color w:val="000000"/>
          <w:sz w:val="24"/>
          <w:szCs w:val="24"/>
        </w:rPr>
        <w:t>”</w:t>
      </w:r>
      <w:r w:rsidR="00CE26E6">
        <w:rPr>
          <w:rFonts w:ascii="Palatino Linotype" w:eastAsia="Palatino Linotype" w:hAnsi="Palatino Linotype" w:cs="Palatino Linotype"/>
          <w:color w:val="000000"/>
          <w:sz w:val="24"/>
          <w:szCs w:val="24"/>
        </w:rPr>
        <w:t xml:space="preserve">, </w:t>
      </w:r>
      <w:r w:rsidR="00247C4A">
        <w:rPr>
          <w:rFonts w:ascii="Palatino Linotype" w:eastAsia="Palatino Linotype" w:hAnsi="Palatino Linotype" w:cs="Palatino Linotype"/>
          <w:color w:val="000000"/>
          <w:sz w:val="24"/>
          <w:szCs w:val="24"/>
        </w:rPr>
        <w:t>los</w:t>
      </w:r>
      <w:r w:rsidR="00663A37">
        <w:rPr>
          <w:rFonts w:ascii="Palatino Linotype" w:eastAsia="Palatino Linotype" w:hAnsi="Palatino Linotype" w:cs="Palatino Linotype"/>
          <w:color w:val="000000"/>
          <w:sz w:val="24"/>
          <w:szCs w:val="24"/>
        </w:rPr>
        <w:t xml:space="preserve"> cual</w:t>
      </w:r>
      <w:r w:rsidR="00247C4A">
        <w:rPr>
          <w:rFonts w:ascii="Palatino Linotype" w:eastAsia="Palatino Linotype" w:hAnsi="Palatino Linotype" w:cs="Palatino Linotype"/>
          <w:color w:val="000000"/>
          <w:sz w:val="24"/>
          <w:szCs w:val="24"/>
        </w:rPr>
        <w:t>es</w:t>
      </w:r>
      <w:r w:rsidR="00663A37">
        <w:rPr>
          <w:rFonts w:ascii="Palatino Linotype" w:eastAsia="Palatino Linotype" w:hAnsi="Palatino Linotype" w:cs="Palatino Linotype"/>
          <w:color w:val="000000"/>
          <w:sz w:val="24"/>
          <w:szCs w:val="24"/>
        </w:rPr>
        <w:t xml:space="preserve"> no se reproduce</w:t>
      </w:r>
      <w:r w:rsidR="00247C4A">
        <w:rPr>
          <w:rFonts w:ascii="Palatino Linotype" w:eastAsia="Palatino Linotype" w:hAnsi="Palatino Linotype" w:cs="Palatino Linotype"/>
          <w:color w:val="000000"/>
          <w:sz w:val="24"/>
          <w:szCs w:val="24"/>
        </w:rPr>
        <w:t>n</w:t>
      </w:r>
      <w:r w:rsidR="00663A37">
        <w:rPr>
          <w:rFonts w:ascii="Palatino Linotype" w:eastAsia="Palatino Linotype" w:hAnsi="Palatino Linotype" w:cs="Palatino Linotype"/>
          <w:color w:val="000000"/>
          <w:sz w:val="24"/>
          <w:szCs w:val="24"/>
        </w:rPr>
        <w:t xml:space="preserve"> por ser del conocimiento de las partes; no obstante, se hará referencia de su contenido en el estudio correspondiente.</w:t>
      </w:r>
    </w:p>
    <w:p w14:paraId="3BE8FBEE"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7415B339"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Pr>
          <w:rFonts w:ascii="Palatino Linotype" w:eastAsia="Palatino Linotype" w:hAnsi="Palatino Linotype" w:cs="Palatino Linotype"/>
          <w:b/>
          <w:color w:val="000000"/>
          <w:sz w:val="26"/>
          <w:szCs w:val="26"/>
        </w:rPr>
        <w:t>TERCERO. Del recurso de revisión.</w:t>
      </w:r>
    </w:p>
    <w:p w14:paraId="7F8982C5" w14:textId="13DA5A35"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Inconforme con la respuesta emitida por el Sujeto Obligado, el Recurrente interpuso el presente recurso de re</w:t>
      </w:r>
      <w:r w:rsidR="006377A9">
        <w:rPr>
          <w:rFonts w:ascii="Palatino Linotype" w:eastAsia="Palatino Linotype" w:hAnsi="Palatino Linotype" w:cs="Palatino Linotype"/>
          <w:color w:val="000000"/>
          <w:sz w:val="24"/>
          <w:szCs w:val="24"/>
        </w:rPr>
        <w:t xml:space="preserve">visión el día </w:t>
      </w:r>
      <w:r w:rsidR="00247C4A">
        <w:rPr>
          <w:rFonts w:ascii="Palatino Linotype" w:eastAsia="Palatino Linotype" w:hAnsi="Palatino Linotype" w:cs="Palatino Linotype"/>
          <w:color w:val="000000"/>
          <w:sz w:val="24"/>
          <w:szCs w:val="24"/>
        </w:rPr>
        <w:t>treinta</w:t>
      </w:r>
      <w:r w:rsidR="000A7CE8">
        <w:rPr>
          <w:rFonts w:ascii="Palatino Linotype" w:eastAsia="Palatino Linotype" w:hAnsi="Palatino Linotype" w:cs="Palatino Linotype"/>
          <w:color w:val="000000"/>
          <w:sz w:val="24"/>
          <w:szCs w:val="24"/>
        </w:rPr>
        <w:t xml:space="preserve"> de noviembre</w:t>
      </w:r>
      <w:r>
        <w:rPr>
          <w:rFonts w:ascii="Palatino Linotype" w:eastAsia="Palatino Linotype" w:hAnsi="Palatino Linotype" w:cs="Palatino Linotype"/>
          <w:color w:val="000000"/>
          <w:sz w:val="24"/>
          <w:szCs w:val="24"/>
        </w:rPr>
        <w:t xml:space="preserve"> de dos mil veintiuno, el cual se registró con el expediente número </w:t>
      </w:r>
      <w:r w:rsidR="006377A9">
        <w:rPr>
          <w:rFonts w:ascii="Palatino Linotype" w:eastAsia="Palatino Linotype" w:hAnsi="Palatino Linotype" w:cs="Palatino Linotype"/>
          <w:b/>
          <w:color w:val="000000"/>
          <w:sz w:val="24"/>
          <w:szCs w:val="24"/>
        </w:rPr>
        <w:t>0</w:t>
      </w:r>
      <w:r w:rsidR="000A7CE8">
        <w:rPr>
          <w:rFonts w:ascii="Palatino Linotype" w:eastAsia="Palatino Linotype" w:hAnsi="Palatino Linotype" w:cs="Palatino Linotype"/>
          <w:b/>
          <w:color w:val="000000"/>
          <w:sz w:val="24"/>
          <w:szCs w:val="24"/>
        </w:rPr>
        <w:t>597</w:t>
      </w:r>
      <w:r w:rsidR="00247C4A">
        <w:rPr>
          <w:rFonts w:ascii="Palatino Linotype" w:eastAsia="Palatino Linotype" w:hAnsi="Palatino Linotype" w:cs="Palatino Linotype"/>
          <w:b/>
          <w:color w:val="000000"/>
          <w:sz w:val="24"/>
          <w:szCs w:val="24"/>
        </w:rPr>
        <w:t>5</w:t>
      </w:r>
      <w:r>
        <w:rPr>
          <w:rFonts w:ascii="Palatino Linotype" w:eastAsia="Palatino Linotype" w:hAnsi="Palatino Linotype" w:cs="Palatino Linotype"/>
          <w:b/>
          <w:color w:val="000000"/>
          <w:sz w:val="24"/>
          <w:szCs w:val="24"/>
        </w:rPr>
        <w:t>/INFOEM/IP/RR/2021</w:t>
      </w:r>
      <w:r>
        <w:rPr>
          <w:rFonts w:ascii="Palatino Linotype" w:eastAsia="Palatino Linotype" w:hAnsi="Palatino Linotype" w:cs="Palatino Linotype"/>
          <w:color w:val="000000"/>
          <w:sz w:val="24"/>
          <w:szCs w:val="24"/>
        </w:rPr>
        <w:t>, en el cual el particular manifestó lo siguiente:</w:t>
      </w:r>
    </w:p>
    <w:p w14:paraId="596AC384"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6FDB73D8" w14:textId="05230269" w:rsidR="00663A37" w:rsidRPr="00247C4A" w:rsidRDefault="00663A37" w:rsidP="00247C4A">
      <w:pPr>
        <w:spacing w:before="240" w:line="240" w:lineRule="auto"/>
        <w:contextualSpacing/>
        <w:jc w:val="both"/>
        <w:rPr>
          <w:rFonts w:ascii="Palatino Linotype" w:eastAsia="Palatino Linotype" w:hAnsi="Palatino Linotype" w:cs="Palatino Linotype"/>
          <w:b/>
          <w:sz w:val="24"/>
          <w:szCs w:val="24"/>
        </w:rPr>
      </w:pPr>
      <w:r w:rsidRPr="006377A9">
        <w:rPr>
          <w:rFonts w:ascii="Palatino Linotype" w:eastAsia="Palatino Linotype" w:hAnsi="Palatino Linotype" w:cs="Palatino Linotype"/>
          <w:b/>
          <w:sz w:val="24"/>
          <w:szCs w:val="24"/>
        </w:rPr>
        <w:t>Acto Impugnado:</w:t>
      </w:r>
      <w:r w:rsidR="00247C4A" w:rsidRPr="00247C4A">
        <w:rPr>
          <w:rFonts w:ascii="Palatino Linotype" w:eastAsia="Palatino Linotype" w:hAnsi="Palatino Linotype" w:cs="Palatino Linotype"/>
          <w:i/>
        </w:rPr>
        <w:t xml:space="preserve"> </w:t>
      </w:r>
      <w:r w:rsidR="00FF1039">
        <w:rPr>
          <w:rFonts w:ascii="Palatino Linotype" w:eastAsia="Palatino Linotype" w:hAnsi="Palatino Linotype" w:cs="Palatino Linotype"/>
          <w:i/>
        </w:rPr>
        <w:t>“</w:t>
      </w:r>
      <w:r w:rsidR="00247C4A" w:rsidRPr="00247C4A">
        <w:rPr>
          <w:rFonts w:ascii="Palatino Linotype" w:eastAsia="Palatino Linotype" w:hAnsi="Palatino Linotype" w:cs="Palatino Linotype"/>
          <w:i/>
        </w:rPr>
        <w:t>En su respuesta dada a mi solicitud de información relacionada con “...se me informe el método científico y legal por la cual la PROPAEM determina un deterioro o daño ambiental a los que se refiere el Código de Biodiversidad del Estado de México"; donde usted cita lo siguiente: " Por último, en atención a la parte de su requerimiento consistente en: “...se me informe el método científico y legal por la cual la PROPAEM determina un deterioro o daño ambiental a los que se refiere el Código de Biodiversidad del Estado de México"; al respecto, hago de su conocimiento que esta autoridad ambiental para medir, evaluar o comprobar la aplicación de una norma que es de carácter técnico esencialmente, requiere el uso de aparatos, criterios o valores fundados mismos que podemos encontrar en la Norma Oficial Mexicana NOM-047-SEMARNAT-2014, que establece las características del equipo y el procedimiento de medición para la verificación de los límites de emisión de contaminantes, provenientes de los vehículos automotores en circulación que usan gasolina, gas licuado de petróleo, gas natural u otros combustibles alternos, los cuales evalúan los límites máximos permisibles de opacidad, procedimiento de prueba y características técnicas del equipo de medición; así como lo establecido en la NORMA Oficial Mexicana NOM-045-SEMARNAT-2017, mismo que refiere la protección ambiental de vehículos en circulación que usan diésel como combustible; lo anterior, con la finalidad de verificar las especificaciones, condiciones, parámetros y límites permisibles en el desarrollo de cualquier actividad humana que pudiera afectar la biodiversidad, así como determinar posibles riesgos inminentes de desequilibrio ecológico, de daño o deterioro al medio ambiente." (sic)</w:t>
      </w:r>
      <w:r w:rsidRPr="00ED4023">
        <w:rPr>
          <w:rFonts w:ascii="Palatino Linotype" w:eastAsia="Palatino Linotype" w:hAnsi="Palatino Linotype" w:cs="Palatino Linotype"/>
          <w:i/>
        </w:rPr>
        <w:t>"(Sic)</w:t>
      </w:r>
    </w:p>
    <w:p w14:paraId="50F81DF4" w14:textId="77777777" w:rsidR="00663A37" w:rsidRPr="006377A9" w:rsidRDefault="00663A37" w:rsidP="00663A37">
      <w:pPr>
        <w:spacing w:after="0" w:line="360" w:lineRule="auto"/>
        <w:contextualSpacing/>
        <w:jc w:val="both"/>
        <w:rPr>
          <w:rFonts w:ascii="Palatino Linotype" w:eastAsia="Palatino Linotype" w:hAnsi="Palatino Linotype" w:cs="Palatino Linotype"/>
          <w:i/>
          <w:sz w:val="24"/>
          <w:szCs w:val="24"/>
        </w:rPr>
      </w:pPr>
    </w:p>
    <w:p w14:paraId="59A1F67A" w14:textId="0BA5F268" w:rsidR="00663A37" w:rsidRPr="00247C4A" w:rsidRDefault="00663A37" w:rsidP="00247C4A">
      <w:pPr>
        <w:spacing w:before="240" w:line="240" w:lineRule="auto"/>
        <w:contextualSpacing/>
        <w:jc w:val="both"/>
        <w:rPr>
          <w:rFonts w:ascii="Palatino Linotype" w:eastAsia="Palatino Linotype" w:hAnsi="Palatino Linotype" w:cs="Palatino Linotype"/>
          <w:sz w:val="24"/>
          <w:szCs w:val="24"/>
        </w:rPr>
      </w:pPr>
      <w:r w:rsidRPr="006377A9">
        <w:rPr>
          <w:rFonts w:ascii="Palatino Linotype" w:eastAsia="Palatino Linotype" w:hAnsi="Palatino Linotype" w:cs="Palatino Linotype"/>
          <w:b/>
          <w:sz w:val="24"/>
          <w:szCs w:val="24"/>
        </w:rPr>
        <w:t>Razones o Motivos de Inconformidad</w:t>
      </w:r>
      <w:r w:rsidRPr="006377A9">
        <w:rPr>
          <w:rFonts w:ascii="Palatino Linotype" w:eastAsia="Palatino Linotype" w:hAnsi="Palatino Linotype" w:cs="Palatino Linotype"/>
          <w:sz w:val="24"/>
          <w:szCs w:val="24"/>
        </w:rPr>
        <w:t xml:space="preserve">: </w:t>
      </w:r>
      <w:r w:rsidRPr="00ED4023">
        <w:rPr>
          <w:rFonts w:ascii="Palatino Linotype" w:eastAsia="Palatino Linotype" w:hAnsi="Palatino Linotype" w:cs="Palatino Linotype"/>
          <w:i/>
        </w:rPr>
        <w:t>“</w:t>
      </w:r>
      <w:r w:rsidR="00247C4A" w:rsidRPr="00247C4A">
        <w:rPr>
          <w:rFonts w:ascii="Palatino Linotype" w:eastAsia="Palatino Linotype" w:hAnsi="Palatino Linotype" w:cs="Palatino Linotype"/>
          <w:i/>
        </w:rPr>
        <w:t xml:space="preserve">Solicito se me informe el método establecido en documentos de la PROPAEM donde se haga constar la metodología utilizada por la PROPAEM para </w:t>
      </w:r>
      <w:r w:rsidR="00247C4A" w:rsidRPr="00247C4A">
        <w:rPr>
          <w:rFonts w:ascii="Palatino Linotype" w:eastAsia="Palatino Linotype" w:hAnsi="Palatino Linotype" w:cs="Palatino Linotype"/>
          <w:i/>
        </w:rPr>
        <w:lastRenderedPageBreak/>
        <w:t>determinar un deterioro o daño ambiental, dado que, la información proporcionada no es lo que solicité, ya que como se hace constar en su respuesta, las normas citadas no son métodos científicos ni legales utilizados para determinar un deterioro o daño ambiental, sino que son NORMAS de características técnicas de equipos de medición y procedimientos de pruebas para vehículos a gasolina y diesel.. Por lo anterior pido se me informe el documento oficial donde la PROPAEM basa su conocimiento científico, técnico y legal para determinar un deterioro o daño ambiental a los que se refiere el código de Biodiversidad del Estado de México, con el objeto de poder realizar auditorías, formular y validar dictámenes técnicos y periciales respeto de los daños ocasionados por violaciones o incumplimiento a las disposiciones jurídicas en materia ambiental en el Estado de México</w:t>
      </w:r>
      <w:r w:rsidRPr="00ED4023">
        <w:rPr>
          <w:rFonts w:ascii="Palatino Linotype" w:eastAsia="Palatino Linotype" w:hAnsi="Palatino Linotype" w:cs="Palatino Linotype"/>
          <w:i/>
        </w:rPr>
        <w:t>” (Sic)</w:t>
      </w:r>
    </w:p>
    <w:p w14:paraId="1A3AF587" w14:textId="77777777" w:rsidR="000A7CE8" w:rsidRPr="000A7CE8" w:rsidRDefault="000A7CE8"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Cs/>
          <w:color w:val="000000"/>
          <w:sz w:val="24"/>
          <w:szCs w:val="24"/>
        </w:rPr>
      </w:pPr>
    </w:p>
    <w:p w14:paraId="12DC9D1E" w14:textId="77777777" w:rsidR="00663A37" w:rsidRPr="005C694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sidRPr="005C6947">
        <w:rPr>
          <w:rFonts w:ascii="Palatino Linotype" w:eastAsia="Palatino Linotype" w:hAnsi="Palatino Linotype" w:cs="Palatino Linotype"/>
          <w:b/>
          <w:color w:val="000000"/>
          <w:sz w:val="26"/>
          <w:szCs w:val="26"/>
        </w:rPr>
        <w:t>CUARTO. Del turno y admisión del recurso de revisión.</w:t>
      </w:r>
    </w:p>
    <w:p w14:paraId="348439E0" w14:textId="1B0E6F2C"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Medio de impugnación que le fue turnado al </w:t>
      </w:r>
      <w:r>
        <w:rPr>
          <w:rFonts w:ascii="Palatino Linotype" w:eastAsia="Palatino Linotype" w:hAnsi="Palatino Linotype" w:cs="Palatino Linotype"/>
          <w:b/>
          <w:color w:val="000000"/>
          <w:sz w:val="24"/>
          <w:szCs w:val="24"/>
        </w:rPr>
        <w:t>Comisionado José Martínez Vilchis</w:t>
      </w:r>
      <w:r>
        <w:rPr>
          <w:rFonts w:ascii="Palatino Linotype" w:eastAsia="Palatino Linotype" w:hAnsi="Palatino Linotype" w:cs="Palatino Linotype"/>
          <w:color w:val="000000"/>
          <w:sz w:val="24"/>
          <w:szCs w:val="24"/>
        </w:rPr>
        <w:t>, por medio del sistema electrónico en términos del numeral 185 fracción I de la Ley de Transparencia y Acceso a la información Pública del Estado de México y Municipios, del cual recayó acuerdo de admisió</w:t>
      </w:r>
      <w:r w:rsidR="006377A9">
        <w:rPr>
          <w:rFonts w:ascii="Palatino Linotype" w:eastAsia="Palatino Linotype" w:hAnsi="Palatino Linotype" w:cs="Palatino Linotype"/>
          <w:color w:val="000000"/>
          <w:sz w:val="24"/>
          <w:szCs w:val="24"/>
        </w:rPr>
        <w:t xml:space="preserve">n en fecha </w:t>
      </w:r>
      <w:r w:rsidR="00ED4023">
        <w:rPr>
          <w:rFonts w:ascii="Palatino Linotype" w:eastAsia="Palatino Linotype" w:hAnsi="Palatino Linotype" w:cs="Palatino Linotype"/>
          <w:color w:val="000000"/>
          <w:sz w:val="24"/>
          <w:szCs w:val="24"/>
        </w:rPr>
        <w:t>dos de diciembre</w:t>
      </w:r>
      <w:r>
        <w:rPr>
          <w:rFonts w:ascii="Palatino Linotype" w:eastAsia="Palatino Linotype" w:hAnsi="Palatino Linotype" w:cs="Palatino Linotype"/>
          <w:color w:val="000000"/>
          <w:sz w:val="24"/>
          <w:szCs w:val="24"/>
        </w:rPr>
        <w:t xml:space="preserve"> de dos mil veintiuno, </w:t>
      </w:r>
      <w:r>
        <w:rPr>
          <w:rFonts w:ascii="Palatino Linotype" w:eastAsia="Palatino Linotype" w:hAnsi="Palatino Linotype" w:cs="Palatino Linotype"/>
          <w:sz w:val="24"/>
          <w:szCs w:val="24"/>
        </w:rPr>
        <w:t>otorgándose</w:t>
      </w:r>
      <w:r>
        <w:rPr>
          <w:rFonts w:ascii="Palatino Linotype" w:eastAsia="Palatino Linotype" w:hAnsi="Palatino Linotype" w:cs="Palatino Linotype"/>
          <w:color w:val="000000"/>
          <w:sz w:val="24"/>
          <w:szCs w:val="24"/>
        </w:rPr>
        <w:t xml:space="preserve"> en él un plazo de siete días para que las partes manifestaran lo que a su derecho corresponda en términos del numeral ya citado.</w:t>
      </w:r>
    </w:p>
    <w:p w14:paraId="4FAD2622"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409CC570" w14:textId="77777777" w:rsidR="00663A37" w:rsidRPr="005C694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sidRPr="005C6947">
        <w:rPr>
          <w:rFonts w:ascii="Palatino Linotype" w:eastAsia="Palatino Linotype" w:hAnsi="Palatino Linotype" w:cs="Palatino Linotype"/>
          <w:b/>
          <w:color w:val="000000"/>
          <w:sz w:val="26"/>
          <w:szCs w:val="26"/>
        </w:rPr>
        <w:t>QUINTO. De la etapa de instrucción.</w:t>
      </w:r>
    </w:p>
    <w:p w14:paraId="4B9B94B1" w14:textId="51A1FD19" w:rsidR="00663A37" w:rsidRDefault="00247C4A"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Así, una vez abierta la etapa de instrucción, en el sumario se observa que el Sujeto Obligado, en fecha </w:t>
      </w:r>
      <w:r w:rsidR="000D28AE">
        <w:rPr>
          <w:rFonts w:ascii="Palatino Linotype" w:eastAsia="Palatino Linotype" w:hAnsi="Palatino Linotype" w:cs="Palatino Linotype"/>
          <w:color w:val="000000"/>
          <w:sz w:val="24"/>
          <w:szCs w:val="24"/>
        </w:rPr>
        <w:t>trece de diciembre</w:t>
      </w:r>
      <w:r>
        <w:rPr>
          <w:rFonts w:ascii="Palatino Linotype" w:eastAsia="Palatino Linotype" w:hAnsi="Palatino Linotype" w:cs="Palatino Linotype"/>
          <w:color w:val="000000"/>
          <w:sz w:val="24"/>
          <w:szCs w:val="24"/>
        </w:rPr>
        <w:t xml:space="preserve"> de dos mil veintiuno </w:t>
      </w:r>
      <w:r w:rsidR="000D28AE">
        <w:rPr>
          <w:rFonts w:ascii="Palatino Linotype" w:eastAsia="Palatino Linotype" w:hAnsi="Palatino Linotype" w:cs="Palatino Linotype"/>
          <w:color w:val="000000"/>
          <w:sz w:val="24"/>
          <w:szCs w:val="24"/>
        </w:rPr>
        <w:t>rindió</w:t>
      </w:r>
      <w:r>
        <w:rPr>
          <w:rFonts w:ascii="Palatino Linotype" w:eastAsia="Palatino Linotype" w:hAnsi="Palatino Linotype" w:cs="Palatino Linotype"/>
          <w:color w:val="000000"/>
          <w:sz w:val="24"/>
          <w:szCs w:val="24"/>
        </w:rPr>
        <w:t xml:space="preserve"> su Informe Justificado, consistente de</w:t>
      </w:r>
      <w:r w:rsidR="000D28AE">
        <w:rPr>
          <w:rFonts w:ascii="Palatino Linotype" w:eastAsia="Palatino Linotype" w:hAnsi="Palatino Linotype" w:cs="Palatino Linotype"/>
          <w:color w:val="000000"/>
          <w:sz w:val="24"/>
          <w:szCs w:val="24"/>
        </w:rPr>
        <w:t>l</w:t>
      </w:r>
      <w:r>
        <w:rPr>
          <w:rFonts w:ascii="Palatino Linotype" w:eastAsia="Palatino Linotype" w:hAnsi="Palatino Linotype" w:cs="Palatino Linotype"/>
          <w:color w:val="000000"/>
          <w:sz w:val="24"/>
          <w:szCs w:val="24"/>
        </w:rPr>
        <w:t xml:space="preserve"> documento electrónico denominado </w:t>
      </w:r>
      <w:r>
        <w:rPr>
          <w:rFonts w:ascii="Palatino Linotype" w:eastAsia="Palatino Linotype" w:hAnsi="Palatino Linotype" w:cs="Palatino Linotype"/>
          <w:b/>
          <w:color w:val="000000"/>
          <w:sz w:val="24"/>
          <w:szCs w:val="24"/>
        </w:rPr>
        <w:t>“</w:t>
      </w:r>
      <w:r w:rsidR="000D28AE">
        <w:rPr>
          <w:rFonts w:ascii="Palatino Linotype" w:eastAsia="Palatino Linotype" w:hAnsi="Palatino Linotype" w:cs="Palatino Linotype"/>
          <w:b/>
          <w:color w:val="000000"/>
          <w:sz w:val="24"/>
          <w:szCs w:val="24"/>
        </w:rPr>
        <w:t>SAIMEX 122 – 5 Informe Justificado – RR 05975</w:t>
      </w:r>
      <w:r>
        <w:rPr>
          <w:rFonts w:ascii="Palatino Linotype" w:eastAsia="Palatino Linotype" w:hAnsi="Palatino Linotype" w:cs="Palatino Linotype"/>
          <w:b/>
          <w:color w:val="000000"/>
          <w:sz w:val="24"/>
          <w:szCs w:val="24"/>
        </w:rPr>
        <w:t>.pdf”</w:t>
      </w:r>
      <w:r>
        <w:rPr>
          <w:rFonts w:ascii="Palatino Linotype" w:eastAsia="Palatino Linotype" w:hAnsi="Palatino Linotype" w:cs="Palatino Linotype"/>
          <w:color w:val="000000"/>
          <w:sz w:val="24"/>
          <w:szCs w:val="24"/>
        </w:rPr>
        <w:t>. Dicho documento fue puesto a la vista de</w:t>
      </w:r>
      <w:r w:rsidR="000D28AE">
        <w:rPr>
          <w:rFonts w:ascii="Palatino Linotype" w:eastAsia="Palatino Linotype" w:hAnsi="Palatino Linotype" w:cs="Palatino Linotype"/>
          <w:color w:val="000000"/>
          <w:sz w:val="24"/>
          <w:szCs w:val="24"/>
        </w:rPr>
        <w:t>l</w:t>
      </w:r>
      <w:r>
        <w:rPr>
          <w:rFonts w:ascii="Palatino Linotype" w:eastAsia="Palatino Linotype" w:hAnsi="Palatino Linotype" w:cs="Palatino Linotype"/>
          <w:color w:val="000000"/>
          <w:sz w:val="24"/>
          <w:szCs w:val="24"/>
        </w:rPr>
        <w:t xml:space="preserve"> Recurrente mediante acuerdo de fecha </w:t>
      </w:r>
      <w:r w:rsidR="000D28AE">
        <w:rPr>
          <w:rFonts w:ascii="Palatino Linotype" w:eastAsia="Palatino Linotype" w:hAnsi="Palatino Linotype" w:cs="Palatino Linotype"/>
          <w:color w:val="000000"/>
          <w:sz w:val="24"/>
          <w:szCs w:val="24"/>
        </w:rPr>
        <w:t>catorce de diciembre de dos mil veintiuno,</w:t>
      </w:r>
      <w:r>
        <w:rPr>
          <w:rFonts w:ascii="Palatino Linotype" w:eastAsia="Palatino Linotype" w:hAnsi="Palatino Linotype" w:cs="Palatino Linotype"/>
          <w:color w:val="000000"/>
          <w:sz w:val="24"/>
          <w:szCs w:val="24"/>
        </w:rPr>
        <w:t xml:space="preserve"> en términos de la fracción III del artículo 185 de la Ley de Transparencia y Acceso a la Información Pública del Estado de México y Municipios, otorgando a</w:t>
      </w:r>
      <w:r w:rsidR="000D28AE">
        <w:rPr>
          <w:rFonts w:ascii="Palatino Linotype" w:eastAsia="Palatino Linotype" w:hAnsi="Palatino Linotype" w:cs="Palatino Linotype"/>
          <w:color w:val="000000"/>
          <w:sz w:val="24"/>
          <w:szCs w:val="24"/>
        </w:rPr>
        <w:t>l</w:t>
      </w:r>
      <w:r>
        <w:rPr>
          <w:rFonts w:ascii="Palatino Linotype" w:eastAsia="Palatino Linotype" w:hAnsi="Palatino Linotype" w:cs="Palatino Linotype"/>
          <w:color w:val="000000"/>
          <w:sz w:val="24"/>
          <w:szCs w:val="24"/>
        </w:rPr>
        <w:t xml:space="preserve"> particular un </w:t>
      </w:r>
      <w:r>
        <w:rPr>
          <w:rFonts w:ascii="Palatino Linotype" w:eastAsia="Palatino Linotype" w:hAnsi="Palatino Linotype" w:cs="Palatino Linotype"/>
          <w:color w:val="000000"/>
          <w:sz w:val="24"/>
          <w:szCs w:val="24"/>
        </w:rPr>
        <w:lastRenderedPageBreak/>
        <w:t xml:space="preserve">término de tres días para manifestar lo que a su derecho conviniera. El contenido de dicho documento será motivo de análisis durante el estudio respectivo. Por otra parte, se observa que </w:t>
      </w:r>
      <w:r w:rsidR="000D28AE">
        <w:rPr>
          <w:rFonts w:ascii="Palatino Linotype" w:eastAsia="Palatino Linotype" w:hAnsi="Palatino Linotype" w:cs="Palatino Linotype"/>
          <w:color w:val="000000"/>
          <w:sz w:val="24"/>
          <w:szCs w:val="24"/>
        </w:rPr>
        <w:t>el</w:t>
      </w:r>
      <w:r>
        <w:rPr>
          <w:rFonts w:ascii="Palatino Linotype" w:eastAsia="Palatino Linotype" w:hAnsi="Palatino Linotype" w:cs="Palatino Linotype"/>
          <w:color w:val="000000"/>
          <w:sz w:val="24"/>
          <w:szCs w:val="24"/>
        </w:rPr>
        <w:t xml:space="preserve"> Recurrente no emitió manifestaciones, presentó prueba</w:t>
      </w:r>
      <w:r w:rsidR="000D28AE">
        <w:rPr>
          <w:rFonts w:ascii="Palatino Linotype" w:eastAsia="Palatino Linotype" w:hAnsi="Palatino Linotype" w:cs="Palatino Linotype"/>
          <w:color w:val="000000"/>
          <w:sz w:val="24"/>
          <w:szCs w:val="24"/>
        </w:rPr>
        <w:t>s</w:t>
      </w:r>
      <w:r>
        <w:rPr>
          <w:rFonts w:ascii="Palatino Linotype" w:eastAsia="Palatino Linotype" w:hAnsi="Palatino Linotype" w:cs="Palatino Linotype"/>
          <w:color w:val="000000"/>
          <w:sz w:val="24"/>
          <w:szCs w:val="24"/>
        </w:rPr>
        <w:t xml:space="preserve"> ni vertió alegatos que a su derecho convinieran durante la etapa de instrucción; así como tampoco se manifestó respecto del Informe Justificado del Sujeto Obligado.</w:t>
      </w:r>
    </w:p>
    <w:p w14:paraId="63CC605B" w14:textId="77777777" w:rsidR="00247C4A" w:rsidRDefault="00247C4A"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2AA432C1" w14:textId="77777777" w:rsidR="00663A37" w:rsidRPr="005C694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sidRPr="005C6947">
        <w:rPr>
          <w:rFonts w:ascii="Palatino Linotype" w:eastAsia="Palatino Linotype" w:hAnsi="Palatino Linotype" w:cs="Palatino Linotype"/>
          <w:b/>
          <w:color w:val="000000"/>
          <w:sz w:val="26"/>
          <w:szCs w:val="26"/>
        </w:rPr>
        <w:t>SEXTO. Del cierre de instrucción.</w:t>
      </w:r>
    </w:p>
    <w:p w14:paraId="783BD187" w14:textId="5A922976"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Así, una vez transcurrido el término legal, se decretó el cierre</w:t>
      </w:r>
      <w:r w:rsidR="006377A9">
        <w:rPr>
          <w:rFonts w:ascii="Palatino Linotype" w:eastAsia="Palatino Linotype" w:hAnsi="Palatino Linotype" w:cs="Palatino Linotype"/>
          <w:color w:val="000000"/>
          <w:sz w:val="24"/>
          <w:szCs w:val="24"/>
        </w:rPr>
        <w:t xml:space="preserve"> de instrucción en fecha </w:t>
      </w:r>
      <w:r w:rsidR="000D28AE">
        <w:rPr>
          <w:rFonts w:ascii="Palatino Linotype" w:eastAsia="Palatino Linotype" w:hAnsi="Palatino Linotype" w:cs="Palatino Linotype"/>
          <w:color w:val="000000"/>
          <w:sz w:val="24"/>
          <w:szCs w:val="24"/>
        </w:rPr>
        <w:t>veinte</w:t>
      </w:r>
      <w:r w:rsidR="00ED4023">
        <w:rPr>
          <w:rFonts w:ascii="Palatino Linotype" w:eastAsia="Palatino Linotype" w:hAnsi="Palatino Linotype" w:cs="Palatino Linotype"/>
          <w:color w:val="000000"/>
          <w:sz w:val="24"/>
          <w:szCs w:val="24"/>
        </w:rPr>
        <w:t xml:space="preserve"> de </w:t>
      </w:r>
      <w:r w:rsidR="001A0CCD">
        <w:rPr>
          <w:rFonts w:ascii="Palatino Linotype" w:eastAsia="Palatino Linotype" w:hAnsi="Palatino Linotype" w:cs="Palatino Linotype"/>
          <w:color w:val="000000"/>
          <w:sz w:val="24"/>
          <w:szCs w:val="24"/>
        </w:rPr>
        <w:t>diciembre</w:t>
      </w:r>
      <w:r>
        <w:rPr>
          <w:rFonts w:ascii="Palatino Linotype" w:eastAsia="Palatino Linotype" w:hAnsi="Palatino Linotype" w:cs="Palatino Linotype"/>
          <w:color w:val="000000"/>
          <w:sz w:val="24"/>
          <w:szCs w:val="24"/>
        </w:rPr>
        <w:t xml:space="preserve"> de dos mil veintiuno, en términos del artículo 185 Fracción VI de la Ley de Transparencia y Acceso a la Información Pública del Estado de México y Municipios, iniciando el término legal para dictar resolución definitiva del asunto.</w:t>
      </w:r>
    </w:p>
    <w:p w14:paraId="6E2F1FC8" w14:textId="32998044" w:rsidR="001A0CCD" w:rsidRDefault="001A0CCD" w:rsidP="001A0CCD">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646B27D7" w14:textId="77777777" w:rsidR="00663A37" w:rsidRPr="005C6947" w:rsidRDefault="00663A37" w:rsidP="001A0CCD">
      <w:pPr>
        <w:pBdr>
          <w:top w:val="nil"/>
          <w:left w:val="nil"/>
          <w:bottom w:val="nil"/>
          <w:right w:val="nil"/>
          <w:between w:val="nil"/>
        </w:pBdr>
        <w:spacing w:after="0" w:line="360" w:lineRule="auto"/>
        <w:contextualSpacing/>
        <w:jc w:val="center"/>
        <w:rPr>
          <w:rFonts w:ascii="Palatino Linotype" w:eastAsia="Palatino Linotype" w:hAnsi="Palatino Linotype" w:cs="Palatino Linotype"/>
          <w:b/>
          <w:color w:val="000000"/>
          <w:sz w:val="28"/>
          <w:szCs w:val="28"/>
        </w:rPr>
      </w:pPr>
      <w:r w:rsidRPr="005C6947">
        <w:rPr>
          <w:rFonts w:ascii="Palatino Linotype" w:eastAsia="Palatino Linotype" w:hAnsi="Palatino Linotype" w:cs="Palatino Linotype"/>
          <w:b/>
          <w:color w:val="000000"/>
          <w:sz w:val="28"/>
          <w:szCs w:val="28"/>
        </w:rPr>
        <w:t>C O N S I D E R A N D O</w:t>
      </w:r>
    </w:p>
    <w:p w14:paraId="7DE4590A"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3C38D117" w14:textId="77777777" w:rsidR="00663A37" w:rsidRPr="005C694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sidRPr="005C6947">
        <w:rPr>
          <w:rFonts w:ascii="Palatino Linotype" w:eastAsia="Palatino Linotype" w:hAnsi="Palatino Linotype" w:cs="Palatino Linotype"/>
          <w:b/>
          <w:color w:val="000000"/>
          <w:sz w:val="26"/>
          <w:szCs w:val="26"/>
        </w:rPr>
        <w:t>PRIMERO. De la competencia.</w:t>
      </w:r>
    </w:p>
    <w:p w14:paraId="6ABA2DF4"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Este Instituto de Transparencia, Acceso a la Información Pública y Protección de Datos Personales del Estado de México, es competente para conocer y resolver el presente recurso de revisión interpuesto por el Recurrente conforme a lo dispuesto en los artículos 6, apartado A, fracción IV de la Constitución Política de los Estados Unidos Mexicanos; 5, párrafos trigésimo, trigésimo primero y trigésimo segundo, fracciones IV y V, de la Constitución Política del Estado Libre y Soberano de México; artículos 1, 2 fracción II, 13, 29, 36 fracciones I y II, 176, 178, 179, 181 párrafo tercero y 185 de la Ley </w:t>
      </w:r>
      <w:r>
        <w:rPr>
          <w:rFonts w:ascii="Palatino Linotype" w:eastAsia="Palatino Linotype" w:hAnsi="Palatino Linotype" w:cs="Palatino Linotype"/>
          <w:color w:val="000000"/>
          <w:sz w:val="24"/>
          <w:szCs w:val="24"/>
        </w:rPr>
        <w:lastRenderedPageBreak/>
        <w:t>de Transparencia y Acceso a la Información Pública del Estado de México y Municipios; y 10, 7, 9 fracciones I y XXIV, y 11 del Reglamento Interior del Instituto de Transparencia, Acceso a la Información Pública y Protección de Datos Personales del Estado de México y Municipios.</w:t>
      </w:r>
    </w:p>
    <w:p w14:paraId="0381D83D"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27515389" w14:textId="77777777" w:rsidR="00663A37" w:rsidRPr="005C694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b/>
          <w:color w:val="000000"/>
          <w:sz w:val="26"/>
          <w:szCs w:val="26"/>
        </w:rPr>
      </w:pPr>
      <w:r w:rsidRPr="005C6947">
        <w:rPr>
          <w:rFonts w:ascii="Palatino Linotype" w:eastAsia="Palatino Linotype" w:hAnsi="Palatino Linotype" w:cs="Palatino Linotype"/>
          <w:b/>
          <w:color w:val="000000"/>
          <w:sz w:val="26"/>
          <w:szCs w:val="26"/>
        </w:rPr>
        <w:t xml:space="preserve">SEGUNDO. Sobre los alcances del recurso de revisión. </w:t>
      </w:r>
    </w:p>
    <w:p w14:paraId="75FE6B29"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Derivado de la impugnación realizada, es menester señalar que el recurso de revisión inmerso en la Ley de Transparencia vigente en la entidad, tiene el fin y alcance que señalan los numerales 176, 179, 181 párrafo cuarto, 194 y 195 y demás aplicables de la Ley de Transparencia y Acceso a la Información Pública del Estado de México y Municipios vigente, el cual será analizado conforme a las actuaciones que obren en el expediente electrónico, con la finalidad de reparar cualquier posible afectación al derecho de acceso a la información pública y garantizando el principio rector de máxima publicidad.</w:t>
      </w:r>
    </w:p>
    <w:p w14:paraId="3C61ED2B"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0DD41F36" w14:textId="77777777" w:rsidR="00EF7470" w:rsidRPr="006B11C6" w:rsidRDefault="00EF7470" w:rsidP="00EF7470">
      <w:pPr>
        <w:spacing w:after="0" w:line="360" w:lineRule="auto"/>
        <w:jc w:val="both"/>
        <w:rPr>
          <w:rFonts w:ascii="Palatino Linotype" w:eastAsiaTheme="minorHAnsi" w:hAnsi="Palatino Linotype" w:cstheme="minorBidi"/>
          <w:b/>
          <w:sz w:val="26"/>
          <w:szCs w:val="26"/>
          <w:lang w:eastAsia="en-US"/>
        </w:rPr>
      </w:pPr>
      <w:r w:rsidRPr="006B11C6">
        <w:rPr>
          <w:rFonts w:ascii="Palatino Linotype" w:eastAsiaTheme="minorHAnsi" w:hAnsi="Palatino Linotype" w:cstheme="minorBidi"/>
          <w:b/>
          <w:sz w:val="26"/>
          <w:szCs w:val="26"/>
          <w:lang w:eastAsia="en-US"/>
        </w:rPr>
        <w:t xml:space="preserve">TERCERO. De las causas de improcedencia. </w:t>
      </w:r>
    </w:p>
    <w:p w14:paraId="1DBE0E8B"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En el procedimiento de acceso a la información y de los medios de impugnación de la materia, se advierten diversos supuestos de procedibilidad que deben estudiarse con la finalidad de dar cumplimiento a los principios de legalidad y objetividad inmersos en el artículo 9 de Ley de Transparencia y Acceso a la Información Pública del Estado de México y Municipios, en correlación con la seguridad jurídica que debe generar lo actuado ante este Órgano Garante.</w:t>
      </w:r>
    </w:p>
    <w:p w14:paraId="1F40BF9E"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16EE8482" w14:textId="21B9058A"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lastRenderedPageBreak/>
        <w:t>Siendo una facultad legal entrar al estudio de las causas de improcedencia que hagan valer las partes o que se adviertan de oficio por este Órgano Resolutor y por ende que son objeto de análisis previo al estudio de fondo del asunto; presupuestos procesales de inicio o trámite de un proceso, dotando de seguridad jurídica las resoluciones, máxime que se trata de una figura procesal adoptada en la ley de la materia, la cual permite dilucidar alguna causal que impida el estudio y resolución, cuando una vez admitido el recurso de revisión se advierta una causa de improcedencia que permita sobreseerlo, sin estudiar el fondo del asunto</w:t>
      </w:r>
      <w:r w:rsidR="00C119DB">
        <w:rPr>
          <w:rFonts w:ascii="Palatino Linotype" w:eastAsiaTheme="minorHAnsi" w:hAnsi="Palatino Linotype" w:cstheme="minorBidi"/>
          <w:sz w:val="24"/>
          <w:szCs w:val="24"/>
          <w:lang w:eastAsia="en-US"/>
        </w:rPr>
        <w:t>; e</w:t>
      </w:r>
      <w:r w:rsidRPr="006B11C6">
        <w:rPr>
          <w:rFonts w:ascii="Palatino Linotype" w:eastAsiaTheme="minorHAnsi" w:hAnsi="Palatino Linotype" w:cstheme="minorBidi"/>
          <w:sz w:val="24"/>
          <w:szCs w:val="24"/>
          <w:lang w:eastAsia="en-US"/>
        </w:rPr>
        <w:t>studio oficioso o a petición de parte que no son incompatibles con el derecho de acceso a la justicia, ya que éste no se coarta por regular causas de improcedencia y sobreseimiento con tales fines.</w:t>
      </w:r>
    </w:p>
    <w:p w14:paraId="575E32A9"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53CA6984"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Así las cosas, del análisis del expediente electrónico no se actualiza ninguna causa de improcedencia de las referidas en el artículo 191 de la Ley de Transparencia y Acceso a la Información Pública del Estado de México y Municipios, ni mucho menos se hizo valer causa de improcedencia alguna por las partes, que resulte dable abordar, encontrándose actualizados todos los presupuestos procesales para atender el fondo del asunto, en los términos del considerando posterior.</w:t>
      </w:r>
    </w:p>
    <w:p w14:paraId="173ECAEB"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5EFB444E" w14:textId="77777777" w:rsidR="00EF7470" w:rsidRPr="006B11C6" w:rsidRDefault="00EF7470" w:rsidP="00EF7470">
      <w:pPr>
        <w:spacing w:after="0" w:line="360" w:lineRule="auto"/>
        <w:jc w:val="both"/>
        <w:rPr>
          <w:rFonts w:ascii="Palatino Linotype" w:eastAsiaTheme="minorHAnsi" w:hAnsi="Palatino Linotype" w:cstheme="minorBidi"/>
          <w:b/>
          <w:sz w:val="26"/>
          <w:szCs w:val="26"/>
          <w:lang w:eastAsia="en-US"/>
        </w:rPr>
      </w:pPr>
      <w:r w:rsidRPr="006B11C6">
        <w:rPr>
          <w:rFonts w:ascii="Palatino Linotype" w:eastAsiaTheme="minorHAnsi" w:hAnsi="Palatino Linotype" w:cstheme="minorBidi"/>
          <w:b/>
          <w:sz w:val="26"/>
          <w:szCs w:val="26"/>
          <w:lang w:eastAsia="en-US"/>
        </w:rPr>
        <w:t>CUARTO. Análisis de la causal de sobreseimiento.</w:t>
      </w:r>
    </w:p>
    <w:p w14:paraId="6878413F"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 xml:space="preserve">El análisis del presente recurso, se basará en el contenido íntegro de las actuaciones que obran en el expediente electrónico, para así estar en posibilidad este Órgano Colegiado de dictar el fallo correspondiente conforme a derecho, tomando en consideración los elementos aportados por las partes y respetando en todo momento al principio de </w:t>
      </w:r>
      <w:r w:rsidRPr="006B11C6">
        <w:rPr>
          <w:rFonts w:ascii="Palatino Linotype" w:eastAsiaTheme="minorHAnsi" w:hAnsi="Palatino Linotype" w:cstheme="minorBidi"/>
          <w:sz w:val="24"/>
          <w:szCs w:val="24"/>
          <w:lang w:eastAsia="en-US"/>
        </w:rPr>
        <w:lastRenderedPageBreak/>
        <w:t>máxima publicidad consagrado en nuestra Constitución Federal, Local y demás leyes aplicables en la materia, así como en los tratados internacionales en los que el Estado Mexicano sea parte, en concordancia con el párrafo tercero del artículo 1 de la Constitución Federal y el diverso 8 de la Ley de Transparencia local.</w:t>
      </w:r>
    </w:p>
    <w:p w14:paraId="686BF0B7"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0FFE8CBA"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La Ley de Transparencia de la entidad, en su artículo 192, contempla la figura jurídica del sobreseimiento, y específicamente en su hipótesis inmersa en la fracción III, refiere que se sobreseerá el asunto cuando el sujeto obligado responsable del acto lo modifique o revoque de tal manera que el recurso de revisión quede sin materia.</w:t>
      </w:r>
    </w:p>
    <w:p w14:paraId="336972CB"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6F65AA90"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En ese contexto, para el efecto de verificar que el presente recurso de revisión haya quedado sin materia, es necesario realizar un estudio a las actuaciones que obran en el expediente electrónico a fin de establecer si la información rendida por el Sujeto Obligado colma las pretensiones del Recurrente y así estar en condiciones de calificar las razones o motivos de inconformidad planteadas por el particular, así como lo manifestado por el Sujeto Obligado durante la etapa de instrucción, a fin de determinar si en el caso en concreto se actualiza el supuesto procesal que establece la fracción III del artículo 192, de la Ley de Transparencia y Acceso a la Información Pública del Estado de México y Municipios, a efecto de generar certeza jurídica sobre la satisfacción del derecho de acceso a la información accionado por el particular, sirviendo para tales efectos las siguientes líneas argumentativas.</w:t>
      </w:r>
    </w:p>
    <w:p w14:paraId="2A4D47D5"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71C9710C" w14:textId="31FE0F19" w:rsidR="00EF7470"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lastRenderedPageBreak/>
        <w:t xml:space="preserve">En virtud de lo anterior, es conveniente recordar que el hoy Recurrente </w:t>
      </w:r>
      <w:r w:rsidR="000B6502">
        <w:rPr>
          <w:rFonts w:ascii="Palatino Linotype" w:eastAsiaTheme="minorHAnsi" w:hAnsi="Palatino Linotype" w:cstheme="minorBidi"/>
          <w:sz w:val="24"/>
          <w:szCs w:val="24"/>
          <w:lang w:eastAsia="en-US"/>
        </w:rPr>
        <w:t>requirió del Sujeto Obligado conocer lo siguiente:</w:t>
      </w:r>
    </w:p>
    <w:p w14:paraId="7A95F98F" w14:textId="6693EE17" w:rsidR="000B6502" w:rsidRDefault="000B6502" w:rsidP="00EF7470">
      <w:pPr>
        <w:spacing w:after="0" w:line="360" w:lineRule="auto"/>
        <w:jc w:val="both"/>
        <w:rPr>
          <w:rFonts w:ascii="Palatino Linotype" w:eastAsiaTheme="minorHAnsi" w:hAnsi="Palatino Linotype" w:cstheme="minorBidi"/>
          <w:sz w:val="24"/>
          <w:szCs w:val="24"/>
          <w:lang w:eastAsia="en-US"/>
        </w:rPr>
      </w:pPr>
    </w:p>
    <w:p w14:paraId="5421CE08" w14:textId="1BC92F34" w:rsidR="000B6502" w:rsidRDefault="000B6502" w:rsidP="008702EA">
      <w:pPr>
        <w:pStyle w:val="Prrafodelista"/>
        <w:numPr>
          <w:ilvl w:val="0"/>
          <w:numId w:val="2"/>
        </w:numPr>
        <w:spacing w:line="360" w:lineRule="auto"/>
        <w:jc w:val="both"/>
        <w:rPr>
          <w:rFonts w:ascii="Palatino Linotype" w:hAnsi="Palatino Linotype"/>
        </w:rPr>
      </w:pPr>
      <w:r>
        <w:rPr>
          <w:rFonts w:ascii="Palatino Linotype" w:hAnsi="Palatino Linotype"/>
        </w:rPr>
        <w:t>La causa por la cual el Centro de Verificación Vehicular autorizado</w:t>
      </w:r>
      <w:r w:rsidR="00C0080E">
        <w:rPr>
          <w:rFonts w:ascii="Palatino Linotype" w:hAnsi="Palatino Linotype"/>
        </w:rPr>
        <w:t xml:space="preserve"> del Estado de México con nomenclatura NE955 permanece con sellos de SUSPENDIDO desde el diez de agosto de dos mil veintiuno.</w:t>
      </w:r>
    </w:p>
    <w:p w14:paraId="1024A6F3" w14:textId="18B1E715" w:rsidR="00C0080E" w:rsidRDefault="00C0080E" w:rsidP="008702EA">
      <w:pPr>
        <w:pStyle w:val="Prrafodelista"/>
        <w:numPr>
          <w:ilvl w:val="0"/>
          <w:numId w:val="2"/>
        </w:numPr>
        <w:spacing w:line="360" w:lineRule="auto"/>
        <w:jc w:val="both"/>
        <w:rPr>
          <w:rFonts w:ascii="Palatino Linotype" w:hAnsi="Palatino Linotype"/>
        </w:rPr>
      </w:pPr>
      <w:r>
        <w:rPr>
          <w:rFonts w:ascii="Palatino Linotype" w:hAnsi="Palatino Linotype"/>
        </w:rPr>
        <w:t>El número de expediente u orden de visita de inspección; la causa de suspensión asentada en el acta respectiva; la causa por la que no ha sido notificada la sanción o resolución a la cual se hace acreedor dicho centro de verificación y la causa que dio origen a la suspensión tan prolongada incluso cuando los términos legales ya fueron agotados.</w:t>
      </w:r>
    </w:p>
    <w:p w14:paraId="7BFACBBE" w14:textId="15D24BAE" w:rsidR="00C0080E" w:rsidRPr="000B6502" w:rsidRDefault="00C0080E" w:rsidP="008702EA">
      <w:pPr>
        <w:pStyle w:val="Prrafodelista"/>
        <w:numPr>
          <w:ilvl w:val="0"/>
          <w:numId w:val="2"/>
        </w:numPr>
        <w:spacing w:line="360" w:lineRule="auto"/>
        <w:jc w:val="both"/>
        <w:rPr>
          <w:rFonts w:ascii="Palatino Linotype" w:hAnsi="Palatino Linotype"/>
        </w:rPr>
      </w:pPr>
      <w:r>
        <w:rPr>
          <w:rFonts w:ascii="Palatino Linotype" w:hAnsi="Palatino Linotype"/>
        </w:rPr>
        <w:t>El método científico y legal por la cual el Sujeto Obligado determina un deterioro o daño ambiental a los que se refiere el Código para la Biodiversidad del Estado de México.</w:t>
      </w:r>
    </w:p>
    <w:p w14:paraId="43AED265"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599D5F1B" w14:textId="443A114E" w:rsidR="00837584"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Al respecto, el Sujeto Obligado respondió al solicitante mediante </w:t>
      </w:r>
      <w:r w:rsidR="00837584">
        <w:rPr>
          <w:rFonts w:ascii="Palatino Linotype" w:eastAsia="Palatino Linotype" w:hAnsi="Palatino Linotype" w:cs="Palatino Linotype"/>
          <w:color w:val="000000"/>
          <w:sz w:val="24"/>
          <w:szCs w:val="24"/>
        </w:rPr>
        <w:t>la presentación de</w:t>
      </w:r>
      <w:r w:rsidR="00C0080E">
        <w:rPr>
          <w:rFonts w:ascii="Palatino Linotype" w:eastAsia="Palatino Linotype" w:hAnsi="Palatino Linotype" w:cs="Palatino Linotype"/>
          <w:color w:val="000000"/>
          <w:sz w:val="24"/>
          <w:szCs w:val="24"/>
        </w:rPr>
        <w:t xml:space="preserve"> dos documentos, los cuales consisten de lo siguiente: </w:t>
      </w:r>
    </w:p>
    <w:p w14:paraId="02B6B8E7" w14:textId="36E0280C" w:rsidR="00C0080E" w:rsidRDefault="00C0080E"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1516FB56" w14:textId="78F5BBE0" w:rsidR="00AE665A" w:rsidRPr="00AE665A" w:rsidRDefault="00AE665A" w:rsidP="008702EA">
      <w:pPr>
        <w:pStyle w:val="Prrafodelista"/>
        <w:numPr>
          <w:ilvl w:val="0"/>
          <w:numId w:val="4"/>
        </w:numPr>
        <w:pBdr>
          <w:top w:val="nil"/>
          <w:left w:val="nil"/>
          <w:bottom w:val="nil"/>
          <w:right w:val="nil"/>
          <w:between w:val="nil"/>
        </w:pBdr>
        <w:spacing w:line="360" w:lineRule="auto"/>
        <w:contextualSpacing/>
        <w:jc w:val="both"/>
        <w:rPr>
          <w:rFonts w:ascii="Palatino Linotype" w:eastAsia="Palatino Linotype" w:hAnsi="Palatino Linotype" w:cs="Palatino Linotype"/>
          <w:color w:val="000000"/>
        </w:rPr>
      </w:pPr>
      <w:r>
        <w:rPr>
          <w:rFonts w:ascii="Palatino Linotype" w:eastAsia="Palatino Linotype" w:hAnsi="Palatino Linotype" w:cs="Palatino Linotype"/>
          <w:b/>
          <w:color w:val="000000"/>
        </w:rPr>
        <w:t>SAIMEX 122 – 3. Respuesta para el solicitante.pdf.</w:t>
      </w:r>
      <w:r>
        <w:rPr>
          <w:rFonts w:ascii="Palatino Linotype" w:eastAsia="Palatino Linotype" w:hAnsi="Palatino Linotype" w:cs="Palatino Linotype"/>
          <w:bCs/>
          <w:color w:val="000000"/>
        </w:rPr>
        <w:t xml:space="preserve"> Oficio número 221C0201000400T/SE/0185/2021, suscrito por la Subprocuradora de Ecatepec y servidora pública habilitada, con el que informó al particular que se determinó que </w:t>
      </w:r>
      <w:r w:rsidR="00771BD6">
        <w:rPr>
          <w:rFonts w:ascii="Palatino Linotype" w:eastAsia="Palatino Linotype" w:hAnsi="Palatino Linotype" w:cs="Palatino Linotype"/>
          <w:bCs/>
          <w:color w:val="000000"/>
        </w:rPr>
        <w:t xml:space="preserve">el contenido del expediente PROPAEM-2021-08/VM/0486 está vinculado con la instauración de un procedimiento administrativo en materia ambiental </w:t>
      </w:r>
      <w:r w:rsidR="00771BD6">
        <w:rPr>
          <w:rFonts w:ascii="Palatino Linotype" w:eastAsia="Palatino Linotype" w:hAnsi="Palatino Linotype" w:cs="Palatino Linotype"/>
          <w:bCs/>
          <w:color w:val="000000"/>
        </w:rPr>
        <w:lastRenderedPageBreak/>
        <w:t xml:space="preserve">que a la fecha no ha quedado firme, ya que se encuentra en proceso de sustanciación, por lo que se clasificó como información reservada hasta por un periodo de un año, lo cual fue aprobado </w:t>
      </w:r>
      <w:r w:rsidR="00D510A2">
        <w:rPr>
          <w:rFonts w:ascii="Palatino Linotype" w:eastAsia="Palatino Linotype" w:hAnsi="Palatino Linotype" w:cs="Palatino Linotype"/>
          <w:bCs/>
          <w:color w:val="000000"/>
        </w:rPr>
        <w:t xml:space="preserve">mediante el acuerdo número PPA/CT/EXT/07/2021/03 </w:t>
      </w:r>
      <w:r w:rsidR="00771BD6">
        <w:rPr>
          <w:rFonts w:ascii="Palatino Linotype" w:eastAsia="Palatino Linotype" w:hAnsi="Palatino Linotype" w:cs="Palatino Linotype"/>
          <w:bCs/>
          <w:color w:val="000000"/>
        </w:rPr>
        <w:t xml:space="preserve">en la Séptima Sesión Extraordinaria 2021 del Comité de Transparencia </w:t>
      </w:r>
      <w:r w:rsidR="00D510A2">
        <w:rPr>
          <w:rFonts w:ascii="Palatino Linotype" w:eastAsia="Palatino Linotype" w:hAnsi="Palatino Linotype" w:cs="Palatino Linotype"/>
          <w:bCs/>
          <w:color w:val="000000"/>
        </w:rPr>
        <w:t xml:space="preserve">de fecha dieciocho de noviembre de dos mil veintiuno. Asimismo, respecto </w:t>
      </w:r>
      <w:r w:rsidR="00862272">
        <w:rPr>
          <w:rFonts w:ascii="Palatino Linotype" w:eastAsia="Palatino Linotype" w:hAnsi="Palatino Linotype" w:cs="Palatino Linotype"/>
          <w:bCs/>
          <w:color w:val="000000"/>
        </w:rPr>
        <w:t>del tercer punto de la solicitud, manifestó que, para realizar la medición, evaluación o comprobación de la aplicación de una norma que es de carácter técnico esencialmente, se requiere del uso de aparatos, criterios o valores fundados que se encuentran en la NOM-047-SEMARNAT-2014</w:t>
      </w:r>
      <w:r w:rsidR="00107D7C">
        <w:rPr>
          <w:rFonts w:ascii="Palatino Linotype" w:eastAsia="Palatino Linotype" w:hAnsi="Palatino Linotype" w:cs="Palatino Linotype"/>
          <w:bCs/>
          <w:color w:val="000000"/>
        </w:rPr>
        <w:t>, así como la NOM-045-SEMARNAT-2017; esto para verificar las especificaciones, condiciones, parámetros y límites permisibles en el desarrollo de cualquier actividad humana que pudiera afectar la biodiversidad, así como determinar posibles riesgos inminentes de desequilibrio ecológico, de daño o deterioro al medio ambiente.</w:t>
      </w:r>
    </w:p>
    <w:p w14:paraId="506D1BB1" w14:textId="00293D41" w:rsidR="00C0080E" w:rsidRPr="00107D7C" w:rsidRDefault="00AE665A" w:rsidP="008702EA">
      <w:pPr>
        <w:pStyle w:val="Prrafodelista"/>
        <w:numPr>
          <w:ilvl w:val="0"/>
          <w:numId w:val="4"/>
        </w:numPr>
        <w:pBdr>
          <w:top w:val="nil"/>
          <w:left w:val="nil"/>
          <w:bottom w:val="nil"/>
          <w:right w:val="nil"/>
          <w:between w:val="nil"/>
        </w:pBdr>
        <w:spacing w:line="360" w:lineRule="auto"/>
        <w:contextualSpacing/>
        <w:jc w:val="both"/>
        <w:rPr>
          <w:rFonts w:ascii="Palatino Linotype" w:eastAsia="Palatino Linotype" w:hAnsi="Palatino Linotype" w:cs="Palatino Linotype"/>
          <w:bCs/>
          <w:color w:val="000000"/>
        </w:rPr>
      </w:pPr>
      <w:r>
        <w:rPr>
          <w:rFonts w:ascii="Palatino Linotype" w:eastAsia="Palatino Linotype" w:hAnsi="Palatino Linotype" w:cs="Palatino Linotype"/>
          <w:b/>
          <w:color w:val="000000"/>
        </w:rPr>
        <w:t>SAIMEX 122 – 3. Respuesta para el solicitante -2ª parte – Acta de clasificación.pdf.</w:t>
      </w:r>
      <w:r w:rsidR="00107D7C">
        <w:rPr>
          <w:rFonts w:ascii="Palatino Linotype" w:eastAsia="Palatino Linotype" w:hAnsi="Palatino Linotype" w:cs="Palatino Linotype"/>
          <w:b/>
          <w:color w:val="000000"/>
        </w:rPr>
        <w:t xml:space="preserve"> </w:t>
      </w:r>
      <w:r w:rsidR="00107D7C" w:rsidRPr="00107D7C">
        <w:rPr>
          <w:rFonts w:ascii="Palatino Linotype" w:eastAsia="Palatino Linotype" w:hAnsi="Palatino Linotype" w:cs="Palatino Linotype"/>
          <w:bCs/>
          <w:color w:val="000000"/>
        </w:rPr>
        <w:t xml:space="preserve">Acta </w:t>
      </w:r>
      <w:r w:rsidR="00107D7C">
        <w:rPr>
          <w:rFonts w:ascii="Palatino Linotype" w:eastAsia="Palatino Linotype" w:hAnsi="Palatino Linotype" w:cs="Palatino Linotype"/>
          <w:bCs/>
          <w:color w:val="000000"/>
        </w:rPr>
        <w:t xml:space="preserve">de la Séptima Sesión Extraordinaria 2021 del Comité de Transparencia de la Procuraduría de Protección al Ambiente del </w:t>
      </w:r>
      <w:r w:rsidR="008F408C">
        <w:rPr>
          <w:rFonts w:ascii="Palatino Linotype" w:eastAsia="Palatino Linotype" w:hAnsi="Palatino Linotype" w:cs="Palatino Linotype"/>
          <w:bCs/>
          <w:color w:val="000000"/>
        </w:rPr>
        <w:t>E</w:t>
      </w:r>
      <w:r w:rsidR="00107D7C">
        <w:rPr>
          <w:rFonts w:ascii="Palatino Linotype" w:eastAsia="Palatino Linotype" w:hAnsi="Palatino Linotype" w:cs="Palatino Linotype"/>
          <w:bCs/>
          <w:color w:val="000000"/>
        </w:rPr>
        <w:t>stado de México</w:t>
      </w:r>
      <w:r w:rsidR="000158B3">
        <w:rPr>
          <w:rFonts w:ascii="Palatino Linotype" w:eastAsia="Palatino Linotype" w:hAnsi="Palatino Linotype" w:cs="Palatino Linotype"/>
          <w:bCs/>
          <w:color w:val="000000"/>
        </w:rPr>
        <w:t xml:space="preserve"> celebrada el dieciocho de noviembre de dos mil veintiuno en la que se aprobó el acuerdo PPA/CT/EXT/07/2021/03 mediante el cual se confirmó la clasificación del expediente administrativo PROPAEM-2021-08/VM/0486 como información reservada.</w:t>
      </w:r>
    </w:p>
    <w:p w14:paraId="3FE81A88" w14:textId="77777777" w:rsidR="00837584" w:rsidRDefault="00837584"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6419ECD9" w14:textId="6ACE1876"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lastRenderedPageBreak/>
        <w:t xml:space="preserve">Ante la respuesta del Sujeto Obligado, el Recurrente consideró que su derecho de acceso a la información había sido conculcado por lo que interpuso el presente recurso de revisión señalando como acto impugnado </w:t>
      </w:r>
      <w:r w:rsidR="006A158E">
        <w:rPr>
          <w:rFonts w:ascii="Palatino Linotype" w:eastAsia="Palatino Linotype" w:hAnsi="Palatino Linotype" w:cs="Palatino Linotype"/>
          <w:color w:val="000000"/>
          <w:sz w:val="24"/>
          <w:szCs w:val="24"/>
        </w:rPr>
        <w:t>lo manifestado por el Sujeto Obligado respecto del punto tres de su solicitud y dando como razones o motivos de inconformidad que se solicitó el método establecido en documentos del Sujeto Obligado en donde conste la metodología utilizada para determinar un deterioro o daño ambiental, dado que la información entregada no es la que solicitó</w:t>
      </w:r>
      <w:r w:rsidR="004619A2">
        <w:rPr>
          <w:rFonts w:ascii="Palatino Linotype" w:eastAsia="Palatino Linotype" w:hAnsi="Palatino Linotype" w:cs="Palatino Linotype"/>
          <w:color w:val="000000"/>
          <w:sz w:val="24"/>
          <w:szCs w:val="24"/>
        </w:rPr>
        <w:t>, pues consideró que las normas citadas no son métodos científicos ni legales para determinar un deterioro o daño ambiental, por lo que pide que se le entregue el documento oficial con el que el Sujeto Obligado basa su conocimiento científico, técnico y legal para determinar un deterioro o daño ambiental referidos en el Código para la Biodiversidad del Estado de México, con el objeto de realizar auditorías, formular y validar dictámenes técnicos y periciales respecto de los daños ocasionados por violaciones o incumplimiento a las disposiciones jurídicas en materia ambiental.</w:t>
      </w:r>
    </w:p>
    <w:p w14:paraId="61D0A5DB" w14:textId="1C77A158" w:rsidR="0006625B" w:rsidRDefault="0006625B"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4ADB3DE0" w14:textId="3F43DABE" w:rsidR="00EB0AFA" w:rsidRPr="00F42E60" w:rsidRDefault="004619A2" w:rsidP="00EB0AFA">
      <w:pPr>
        <w:pStyle w:val="Sinespaciado"/>
        <w:spacing w:line="360" w:lineRule="auto"/>
        <w:jc w:val="both"/>
        <w:rPr>
          <w:rFonts w:ascii="Palatino Linotype" w:hAnsi="Palatino Linotype"/>
          <w:b/>
          <w:bCs/>
        </w:rPr>
      </w:pPr>
      <w:r>
        <w:rPr>
          <w:rFonts w:ascii="Palatino Linotype" w:hAnsi="Palatino Linotype"/>
        </w:rPr>
        <w:t xml:space="preserve">Así, durante la etapa de instrucción, el Recurrente no realizó manifestaciones, presentó pruebas ni vertió alegatos que a su derecho convinieran. Por su parte, el Sujeto Obligado </w:t>
      </w:r>
      <w:r w:rsidR="00B30C10">
        <w:rPr>
          <w:rFonts w:ascii="Palatino Linotype" w:hAnsi="Palatino Linotype"/>
        </w:rPr>
        <w:t xml:space="preserve">rindió su Informe Justificado mediante la presentación del documento denominado </w:t>
      </w:r>
      <w:r w:rsidR="00B30C10" w:rsidRPr="00B30C10">
        <w:rPr>
          <w:rFonts w:ascii="Palatino Linotype" w:hAnsi="Palatino Linotype"/>
          <w:b/>
          <w:bCs/>
        </w:rPr>
        <w:t>“SAIMEX 122 – 5 Informe Justificado – RR 05975.pdf”</w:t>
      </w:r>
      <w:r w:rsidR="00B30C10">
        <w:rPr>
          <w:rFonts w:ascii="Palatino Linotype" w:hAnsi="Palatino Linotype"/>
        </w:rPr>
        <w:t xml:space="preserve">, que contiene el oficio 221C02010000400T/SE/0191/2021, suscrito por la Subprocuradora Ecatepec y servidora pública habilitada, con el que informó, bajo protesta de decir verdad, </w:t>
      </w:r>
      <w:r w:rsidR="00F42E60">
        <w:rPr>
          <w:rFonts w:ascii="Palatino Linotype" w:hAnsi="Palatino Linotype"/>
          <w:b/>
          <w:bCs/>
        </w:rPr>
        <w:t>que no existe un método científico para determinar el deterioro o daño ambiental que sea aplicado por el Sujeto Obligado</w:t>
      </w:r>
      <w:r w:rsidR="008F408C">
        <w:rPr>
          <w:rFonts w:ascii="Palatino Linotype" w:hAnsi="Palatino Linotype"/>
          <w:b/>
          <w:bCs/>
        </w:rPr>
        <w:t xml:space="preserve"> </w:t>
      </w:r>
      <w:r w:rsidR="00F42E60">
        <w:rPr>
          <w:rFonts w:ascii="Palatino Linotype" w:hAnsi="Palatino Linotype"/>
          <w:b/>
          <w:bCs/>
        </w:rPr>
        <w:t xml:space="preserve">en el ejercicio de sus atribuciones y tampoco existe </w:t>
      </w:r>
      <w:r w:rsidR="00F42E60">
        <w:rPr>
          <w:rFonts w:ascii="Palatino Linotype" w:hAnsi="Palatino Linotype"/>
          <w:b/>
          <w:bCs/>
        </w:rPr>
        <w:lastRenderedPageBreak/>
        <w:t>normatividad aplicable que lo prevea</w:t>
      </w:r>
      <w:r w:rsidR="00F42E60" w:rsidRPr="00F42E60">
        <w:rPr>
          <w:rFonts w:ascii="Palatino Linotype" w:hAnsi="Palatino Linotype"/>
        </w:rPr>
        <w:t xml:space="preserve">; </w:t>
      </w:r>
      <w:r w:rsidR="00F42E60">
        <w:rPr>
          <w:rFonts w:ascii="Palatino Linotype" w:hAnsi="Palatino Linotype"/>
        </w:rPr>
        <w:t xml:space="preserve">por lo que su actuación se ciñe a los parámetros previstos por las Normas Oficiales </w:t>
      </w:r>
      <w:r w:rsidR="0010759A">
        <w:rPr>
          <w:rFonts w:ascii="Palatino Linotype" w:hAnsi="Palatino Linotype"/>
        </w:rPr>
        <w:t>Mexicanas y demás ordenamientos jurídicos en materia ambiental, que señalan de manera precisa el procedimiento para llevar a cabo las acciones tendientes a la protección del medio ambiente en la entidad. Asimismo, manifestó que no existe documento oficial alguno relativo con lo manifestado por el Recurrente como razón o motivo de inconformidad, puesto que el procedimiento para detectar la operación indebida de programas de c</w:t>
      </w:r>
      <w:r w:rsidR="008F408C">
        <w:rPr>
          <w:rFonts w:ascii="Palatino Linotype" w:hAnsi="Palatino Linotype"/>
        </w:rPr>
        <w:t>ó</w:t>
      </w:r>
      <w:r w:rsidR="0010759A">
        <w:rPr>
          <w:rFonts w:ascii="Palatino Linotype" w:hAnsi="Palatino Linotype"/>
        </w:rPr>
        <w:t>mputo y equipos que alteren la verificación vehicular se encuentra previsto en el artículo 2.241 del Código para la Biodiversidad del Estado de México, basándose en las mediciones, pruebas, evaluaciones, criterios o valores fundados que establecen las Normas Oficiales Mexicanas</w:t>
      </w:r>
      <w:r w:rsidR="00034CF5">
        <w:rPr>
          <w:rFonts w:ascii="Palatino Linotype" w:hAnsi="Palatino Linotype"/>
        </w:rPr>
        <w:t xml:space="preserve">. Además, se aclaró que </w:t>
      </w:r>
      <w:r w:rsidR="00034CF5" w:rsidRPr="00034CF5">
        <w:rPr>
          <w:rFonts w:ascii="Palatino Linotype" w:hAnsi="Palatino Linotype"/>
          <w:b/>
          <w:bCs/>
        </w:rPr>
        <w:t>las visitas de verificación practicada por el Sujeto Obligado a las fuentes fijas instaladas en la entidad, tiene como finalidad principal constatar el cumplimiento de las Normas Oficiales Mexicanas referidas, las cuales no determinan de forma directa si existe un deterioro o daño ambiental, pero si delimitan los parámetros permitidos y establecidos para el cuidado y protección medio ambiental</w:t>
      </w:r>
      <w:r w:rsidR="00034CF5">
        <w:rPr>
          <w:rFonts w:ascii="Palatino Linotype" w:hAnsi="Palatino Linotype"/>
        </w:rPr>
        <w:t xml:space="preserve">. Por último, anexo a su Informe, el Sujeto Obligado remitió </w:t>
      </w:r>
      <w:r w:rsidR="005741EE">
        <w:rPr>
          <w:rFonts w:ascii="Palatino Linotype" w:hAnsi="Palatino Linotype"/>
        </w:rPr>
        <w:t>la NOM-047-SEMARNAT-2014 y NOM-045-SEMARNAT-2017.</w:t>
      </w:r>
    </w:p>
    <w:p w14:paraId="38CB0FFA" w14:textId="77777777" w:rsidR="00663A37" w:rsidRDefault="00663A37" w:rsidP="00663A37">
      <w:pPr>
        <w:spacing w:after="0" w:line="360" w:lineRule="auto"/>
        <w:contextualSpacing/>
        <w:jc w:val="both"/>
        <w:rPr>
          <w:rFonts w:ascii="Palatino Linotype" w:eastAsia="Palatino Linotype" w:hAnsi="Palatino Linotype" w:cs="Palatino Linotype"/>
          <w:sz w:val="24"/>
          <w:szCs w:val="24"/>
        </w:rPr>
      </w:pPr>
    </w:p>
    <w:p w14:paraId="3E8E32C0" w14:textId="0CC622D5" w:rsidR="00663A37" w:rsidRDefault="005741EE"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Una vez descritas las actuaciones en el expediente del recurso de revisión, </w:t>
      </w:r>
      <w:r w:rsidR="00663A37">
        <w:rPr>
          <w:rFonts w:ascii="Palatino Linotype" w:eastAsia="Palatino Linotype" w:hAnsi="Palatino Linotype" w:cs="Palatino Linotype"/>
          <w:color w:val="000000"/>
          <w:sz w:val="24"/>
          <w:szCs w:val="24"/>
        </w:rPr>
        <w:t>es pertinente enfatizar lo que, respecto al derecho de acceso a la información pública, refiere el artículo 6° de la Constitución Política de los Estados Unidos Mexicanos, que en su parte conducente señala:</w:t>
      </w:r>
    </w:p>
    <w:p w14:paraId="703DC4DE"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0CB65FAE"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b/>
          <w:i/>
          <w:color w:val="000000"/>
        </w:rPr>
        <w:lastRenderedPageBreak/>
        <w:t>Artículo 6o.</w:t>
      </w:r>
      <w:r w:rsidRPr="005C6947">
        <w:rPr>
          <w:rFonts w:ascii="Palatino Linotype" w:eastAsia="Palatino Linotype" w:hAnsi="Palatino Linotype" w:cs="Palatino Linotype"/>
          <w:i/>
          <w:color w:val="000000"/>
        </w:rPr>
        <w:t xml:space="preserve"> La manifestación de las ideas no será objeto de ninguna inquisición judicial o administrativa, sino en el caso de que ataque a la moral, la vida privada o los derechos de terceros, provoque algún delito, o perturbe el orden público; el derecho de réplica será ejercido en los términos dispuestos por la ley. </w:t>
      </w:r>
      <w:r w:rsidRPr="005C6947">
        <w:rPr>
          <w:rFonts w:ascii="Palatino Linotype" w:eastAsia="Palatino Linotype" w:hAnsi="Palatino Linotype" w:cs="Palatino Linotype"/>
          <w:b/>
          <w:i/>
          <w:color w:val="000000"/>
        </w:rPr>
        <w:t>El derecho a la información será garantizado por el Estado.</w:t>
      </w:r>
      <w:r w:rsidRPr="005C6947">
        <w:rPr>
          <w:rFonts w:ascii="Palatino Linotype" w:eastAsia="Palatino Linotype" w:hAnsi="Palatino Linotype" w:cs="Palatino Linotype"/>
          <w:i/>
          <w:color w:val="000000"/>
        </w:rPr>
        <w:t xml:space="preserve"> </w:t>
      </w:r>
    </w:p>
    <w:p w14:paraId="4B814065"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389046A6"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Toda persona tiene derecho al libre acceso a información plural y oportuna, así como a buscar, recibir y difundir información e ideas de toda índole por cualquier medio de expresión.</w:t>
      </w:r>
    </w:p>
    <w:p w14:paraId="11F30D9F"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345E52E5"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Para efectos de lo dispuesto en el presente artículo se observará lo siguiente:</w:t>
      </w:r>
    </w:p>
    <w:p w14:paraId="219EF5A2"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6A42048B"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A. Para el ejercicio del derecho de acceso a la información, la Federación, los Estados y el Distrito Federal, en el ámbito de sus respectivas competencias, se regirán por los siguientes principios y bases:</w:t>
      </w:r>
    </w:p>
    <w:p w14:paraId="01B52749"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1DB0C662"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b/>
          <w:i/>
          <w:color w:val="000000"/>
        </w:rPr>
        <w:t>I. Toda la información en posesión de</w:t>
      </w:r>
      <w:r w:rsidRPr="005C6947">
        <w:rPr>
          <w:rFonts w:ascii="Palatino Linotype" w:eastAsia="Palatino Linotype" w:hAnsi="Palatino Linotype" w:cs="Palatino Linotype"/>
          <w:i/>
          <w:color w:val="000000"/>
        </w:rPr>
        <w:t xml:space="preserve"> </w:t>
      </w:r>
      <w:r w:rsidRPr="005C6947">
        <w:rPr>
          <w:rFonts w:ascii="Palatino Linotype" w:eastAsia="Palatino Linotype" w:hAnsi="Palatino Linotype" w:cs="Palatino Linotype"/>
          <w:b/>
          <w:i/>
          <w:color w:val="000000"/>
        </w:rPr>
        <w:t>cualquier autoridad</w:t>
      </w:r>
      <w:r w:rsidRPr="005C6947">
        <w:rPr>
          <w:rFonts w:ascii="Palatino Linotype" w:eastAsia="Palatino Linotype" w:hAnsi="Palatino Linotype" w:cs="Palatino Linotype"/>
          <w:i/>
          <w:color w:val="000000"/>
        </w:rPr>
        <w:t xml:space="preserve">, entidad, órgano y organismo de los Poderes Ejecutivo, Legislativo y Judicial, órganos autónomos, partidos políticos, fideicomisos y fondos públicos, así como de cualquier persona física, moral o sindicato que reciba y ejerza recursos públicos o realice actos de autoridad </w:t>
      </w:r>
      <w:r w:rsidRPr="005C6947">
        <w:rPr>
          <w:rFonts w:ascii="Palatino Linotype" w:eastAsia="Palatino Linotype" w:hAnsi="Palatino Linotype" w:cs="Palatino Linotype"/>
          <w:b/>
          <w:i/>
          <w:color w:val="000000"/>
        </w:rPr>
        <w:t>en el ámbito federal, estatal y municipal, es pública</w:t>
      </w:r>
      <w:r w:rsidRPr="005C6947">
        <w:rPr>
          <w:rFonts w:ascii="Palatino Linotype" w:eastAsia="Palatino Linotype" w:hAnsi="Palatino Linotype" w:cs="Palatino Linotype"/>
          <w:i/>
          <w:color w:val="000000"/>
        </w:rPr>
        <w:t xml:space="preserve"> y sólo podrá ser reservada temporalmente por razones de interés público y seguridad nacional, en los términos que fijen las leyes. En la interpretación de este derecho deberá prevalecer el principio de máxima publicidad. </w:t>
      </w:r>
      <w:r w:rsidRPr="005C6947">
        <w:rPr>
          <w:rFonts w:ascii="Palatino Linotype" w:eastAsia="Palatino Linotype" w:hAnsi="Palatino Linotype" w:cs="Palatino Linotype"/>
          <w:b/>
          <w:i/>
          <w:color w:val="000000"/>
        </w:rPr>
        <w:t>Los sujetos obligados deberán documentar todo acto que derive del ejercicio de sus facultades, competencias o funciones</w:t>
      </w:r>
      <w:r w:rsidRPr="005C6947">
        <w:rPr>
          <w:rFonts w:ascii="Palatino Linotype" w:eastAsia="Palatino Linotype" w:hAnsi="Palatino Linotype" w:cs="Palatino Linotype"/>
          <w:i/>
          <w:color w:val="000000"/>
        </w:rPr>
        <w:t>, la ley determinará los supuestos específicos bajo los cuales procederá la declaración de inexistencia de la información.</w:t>
      </w:r>
    </w:p>
    <w:p w14:paraId="21B74D30"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II. La información que se refiere a la vida privada y los datos personales será protegida en los términos y con las excepciones que fijen las leyes.</w:t>
      </w:r>
    </w:p>
    <w:p w14:paraId="1018DBAB"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III. Toda persona, sin necesidad de acreditar interés alguno o justificar su utilización, tendrá acceso gratuito a la información pública, a sus datos personales o a la rectificación de éstos.</w:t>
      </w:r>
    </w:p>
    <w:p w14:paraId="24AFEF90"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IV.   Se establecerán mecanismos de acceso a la información y procedimientos de revisión expeditos que se sustanciarán ante los organismos autónomos especializados e imparciales que establece esta Constitución.</w:t>
      </w:r>
    </w:p>
    <w:p w14:paraId="0C8622E2"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b/>
          <w:i/>
          <w:color w:val="000000"/>
        </w:rPr>
        <w:t>V. Los sujetos obligados deberán preservar sus documentos en archivos administrativos actualizados y publicarán, a través de los medios electrónicos disponibles</w:t>
      </w:r>
      <w:r w:rsidRPr="005C6947">
        <w:rPr>
          <w:rFonts w:ascii="Palatino Linotype" w:eastAsia="Palatino Linotype" w:hAnsi="Palatino Linotype" w:cs="Palatino Linotype"/>
          <w:i/>
          <w:color w:val="000000"/>
        </w:rPr>
        <w:t xml:space="preserve">, </w:t>
      </w:r>
      <w:r w:rsidRPr="005C6947">
        <w:rPr>
          <w:rFonts w:ascii="Palatino Linotype" w:eastAsia="Palatino Linotype" w:hAnsi="Palatino Linotype" w:cs="Palatino Linotype"/>
          <w:b/>
          <w:i/>
          <w:color w:val="000000"/>
        </w:rPr>
        <w:t xml:space="preserve">la información completa y actualizada sobre el ejercicio de los </w:t>
      </w:r>
      <w:r w:rsidRPr="005C6947">
        <w:rPr>
          <w:rFonts w:ascii="Palatino Linotype" w:eastAsia="Palatino Linotype" w:hAnsi="Palatino Linotype" w:cs="Palatino Linotype"/>
          <w:b/>
          <w:i/>
          <w:color w:val="000000"/>
        </w:rPr>
        <w:lastRenderedPageBreak/>
        <w:t xml:space="preserve">recursos públicos </w:t>
      </w:r>
      <w:r w:rsidRPr="005C6947">
        <w:rPr>
          <w:rFonts w:ascii="Palatino Linotype" w:eastAsia="Palatino Linotype" w:hAnsi="Palatino Linotype" w:cs="Palatino Linotype"/>
          <w:i/>
          <w:color w:val="000000"/>
        </w:rPr>
        <w:t>y los indicadores que permitan rendir cuenta del cumplimiento de sus objetivos y de los resultados obtenidos.</w:t>
      </w:r>
    </w:p>
    <w:p w14:paraId="10F4FB17"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VI. Las leyes determinarán la manera en que los sujetos obligados deberán hacer pública la información relativa a los recursos públicos que entreguen a personas físicas o morales.</w:t>
      </w:r>
    </w:p>
    <w:p w14:paraId="215163AB"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VII. La inobservancia a las disposiciones en materia de acceso a la información pública será sancionada en los términos que dispongan las leyes.</w:t>
      </w:r>
    </w:p>
    <w:p w14:paraId="4A696772"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VIII. La Federación contará con un organismo autónomo, especializado, imparcial, colegiado, con personalidad jurídica y patrimonio propio, con plena autonomía técnica, de gestión, capacidad para decidir sobre el ejercicio de su presupuesto y determinar su organización interna, responsable de garantizar el cumplimiento del derecho de acceso a la información pública y a la protección de datos personales en posesión de los sujetos obligados en los términos que establezca la ley.</w:t>
      </w:r>
    </w:p>
    <w:p w14:paraId="48B24F77"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w:t>
      </w:r>
    </w:p>
    <w:p w14:paraId="7B9F53E8"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La ley establecerá aquella información que se considere reservada o confidencial.</w:t>
      </w:r>
    </w:p>
    <w:p w14:paraId="2A62D6A8"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2CD1A9BF"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Por su parte, la Constitución Política del Estado Libre y Soberano de México, en su artículo 5°, dispone en su parte conducente, lo siguiente:</w:t>
      </w:r>
    </w:p>
    <w:p w14:paraId="0269DF81"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32B0068B"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b/>
          <w:i/>
          <w:color w:val="000000"/>
        </w:rPr>
        <w:t>Artículo 5</w:t>
      </w:r>
      <w:r w:rsidRPr="005C6947">
        <w:rPr>
          <w:rFonts w:ascii="Palatino Linotype" w:eastAsia="Palatino Linotype" w:hAnsi="Palatino Linotype" w:cs="Palatino Linotype"/>
          <w:i/>
          <w:color w:val="000000"/>
        </w:rPr>
        <w:t xml:space="preserve">. … </w:t>
      </w:r>
    </w:p>
    <w:p w14:paraId="25F7E28F"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 xml:space="preserve">El derecho a la información será garantizado por el Estado. La ley establecerá las previsiones que permitan asegurar la protección, el respeto y la difusión de este derecho. </w:t>
      </w:r>
    </w:p>
    <w:p w14:paraId="31BB4D2F"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798CD79E"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 xml:space="preserve">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 </w:t>
      </w:r>
    </w:p>
    <w:p w14:paraId="2B38B68B"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39BFCCEF"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Este derecho se regirá por los principios y bases siguientes:</w:t>
      </w:r>
    </w:p>
    <w:p w14:paraId="0E25CFE2"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p>
    <w:p w14:paraId="5BA4C985"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 xml:space="preserve">I. Toda la información en posesión de cualquier autoridad, entidad, órgano y organismos de los Poderes Ejecutivo, Legislativo y Judicial, órganos autónomos, partidos políticos, fideicomisos y fondos públicos estatales y municipales, así como del gobierno y de la administración pública municipal y sus organismos descentralizados, asimismo de cualquier persona física, jurídica colectiva o sindicato que reciba y ejerza recursos públicos o realice actos de autoridad en el ámbito estatal y municipal, es pública y sólo podrá ser </w:t>
      </w:r>
      <w:r w:rsidRPr="005C6947">
        <w:rPr>
          <w:rFonts w:ascii="Palatino Linotype" w:eastAsia="Palatino Linotype" w:hAnsi="Palatino Linotype" w:cs="Palatino Linotype"/>
          <w:i/>
          <w:color w:val="000000"/>
        </w:rPr>
        <w:lastRenderedPageBreak/>
        <w:t>reservada temporalmente por razones previstas en la Constitución Política de los Estados Unidos Mexicanos de interés público y seguridad,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14:paraId="5BD3EAE7"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II. La información referente a la intimidad de la vida privada y la imagen de las personas será protegida a través de un marco jurídico rígido de tratamiento y manejo de datos personales, con las excepciones que establezca la ley reglamentaria.</w:t>
      </w:r>
    </w:p>
    <w:p w14:paraId="6BE775DC"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III. Toda persona, sin necesidad de acreditar interés alguno o justificar su utilización, tendrá acceso gratuito a la información pública, a sus datos personales o a la rectificación de éstos.</w:t>
      </w:r>
    </w:p>
    <w:p w14:paraId="29A15FE0"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IV. Se establecerán mecanismos de acceso a la información y procedimientos de revisión expeditos que se sustanciarán ante el organismo autónomo especializado e imparcial que establece esta Constitución.</w:t>
      </w:r>
    </w:p>
    <w:p w14:paraId="2EE7DE08"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V. Los procedimientos de acceso a la información pública, de acceso, corrección y supresión de datos personales, así como los recursos de revisión derivados de los mismos, podrán tramitarse por medios electrónicos, a través de un sistema automatizado que para tal efecto establezca la ley reglamentaria y el organismo autónomo garante en el ámbito de su competencia. Las resoluciones que correspondan a estos procedimientos se sistematizarán para favorecer su consulta.</w:t>
      </w:r>
    </w:p>
    <w:p w14:paraId="103DA197"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VI. 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los resultados obtenidos.</w:t>
      </w:r>
    </w:p>
    <w:p w14:paraId="276CD8AD" w14:textId="77777777" w:rsidR="00663A37" w:rsidRPr="005C6947" w:rsidRDefault="00663A37" w:rsidP="00663A37">
      <w:pPr>
        <w:pBdr>
          <w:top w:val="nil"/>
          <w:left w:val="nil"/>
          <w:bottom w:val="nil"/>
          <w:right w:val="nil"/>
          <w:between w:val="nil"/>
        </w:pBdr>
        <w:spacing w:after="0" w:line="240" w:lineRule="auto"/>
        <w:ind w:left="567" w:right="567"/>
        <w:contextualSpacing/>
        <w:jc w:val="both"/>
        <w:rPr>
          <w:rFonts w:ascii="Palatino Linotype" w:eastAsia="Palatino Linotype" w:hAnsi="Palatino Linotype" w:cs="Palatino Linotype"/>
          <w:i/>
          <w:color w:val="000000"/>
        </w:rPr>
      </w:pPr>
      <w:r w:rsidRPr="005C6947">
        <w:rPr>
          <w:rFonts w:ascii="Palatino Linotype" w:eastAsia="Palatino Linotype" w:hAnsi="Palatino Linotype" w:cs="Palatino Linotype"/>
          <w:i/>
          <w:color w:val="000000"/>
        </w:rPr>
        <w:t>VII. La ley reglamentaria, determinará la manera en que los sujetos obligados deberán hacer pública la información relativa a los recursos públicos que entreguen a personas físicas o jurídicas colectivas.</w:t>
      </w:r>
    </w:p>
    <w:p w14:paraId="15C12EE1"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23FBE077" w14:textId="362D440E" w:rsidR="006C2214" w:rsidRDefault="006C2214" w:rsidP="006C2214">
      <w:pPr>
        <w:spacing w:after="0" w:line="360" w:lineRule="auto"/>
        <w:jc w:val="both"/>
        <w:rPr>
          <w:rFonts w:ascii="Palatino Linotype" w:eastAsia="Palatino Linotype" w:hAnsi="Palatino Linotype" w:cs="Palatino Linotype"/>
        </w:rPr>
      </w:pPr>
      <w:r>
        <w:rPr>
          <w:rFonts w:ascii="Palatino Linotype" w:eastAsia="Palatino Linotype" w:hAnsi="Palatino Linotype" w:cs="Palatino Linotype"/>
        </w:rPr>
        <w:t>En ese orden de ideas, la Ley de Transparencia y Acceso a la Información Pública del Estado de México y Municipios, prevé en su artículo 23, fracción I, lo siguiente:</w:t>
      </w:r>
    </w:p>
    <w:p w14:paraId="10DEF380" w14:textId="77777777" w:rsidR="006C2214" w:rsidRDefault="006C2214" w:rsidP="006C2214">
      <w:pPr>
        <w:spacing w:after="0" w:line="360" w:lineRule="auto"/>
        <w:jc w:val="both"/>
        <w:rPr>
          <w:rFonts w:ascii="Palatino Linotype" w:eastAsia="Palatino Linotype" w:hAnsi="Palatino Linotype" w:cs="Palatino Linotype"/>
        </w:rPr>
      </w:pPr>
    </w:p>
    <w:p w14:paraId="543026CD" w14:textId="77777777" w:rsidR="006C2214" w:rsidRDefault="006C2214" w:rsidP="006C2214">
      <w:pPr>
        <w:spacing w:after="0" w:line="240" w:lineRule="auto"/>
        <w:ind w:left="567" w:right="567"/>
        <w:jc w:val="both"/>
        <w:rPr>
          <w:rFonts w:ascii="Palatino Linotype" w:eastAsia="Palatino Linotype" w:hAnsi="Palatino Linotype" w:cs="Palatino Linotype"/>
          <w:i/>
        </w:rPr>
      </w:pPr>
      <w:r>
        <w:rPr>
          <w:rFonts w:ascii="Palatino Linotype" w:eastAsia="Palatino Linotype" w:hAnsi="Palatino Linotype" w:cs="Palatino Linotype"/>
          <w:b/>
          <w:i/>
        </w:rPr>
        <w:t>Artículo 23.</w:t>
      </w:r>
      <w:r>
        <w:rPr>
          <w:rFonts w:ascii="Palatino Linotype" w:eastAsia="Palatino Linotype" w:hAnsi="Palatino Linotype" w:cs="Palatino Linotype"/>
          <w:i/>
        </w:rPr>
        <w:t xml:space="preserve"> Son sujetos obligados a transparentar y permitir el acceso a su información y proteger los datos personales que obren en su poder:</w:t>
      </w:r>
    </w:p>
    <w:p w14:paraId="564D743E" w14:textId="29DF5D35" w:rsidR="006C2214" w:rsidRDefault="006C2214" w:rsidP="00B166C0">
      <w:pPr>
        <w:spacing w:after="0" w:line="240" w:lineRule="auto"/>
        <w:ind w:right="567"/>
        <w:jc w:val="both"/>
        <w:rPr>
          <w:rFonts w:ascii="Palatino Linotype" w:eastAsia="Palatino Linotype" w:hAnsi="Palatino Linotype" w:cs="Palatino Linotype"/>
          <w:i/>
        </w:rPr>
      </w:pPr>
    </w:p>
    <w:p w14:paraId="74714C55" w14:textId="5A4CF891" w:rsidR="006C2214" w:rsidRPr="00B166C0" w:rsidRDefault="006C2214" w:rsidP="006C2214">
      <w:pPr>
        <w:spacing w:after="0" w:line="240" w:lineRule="auto"/>
        <w:ind w:left="567" w:right="567"/>
        <w:jc w:val="both"/>
        <w:rPr>
          <w:rFonts w:ascii="Palatino Linotype" w:eastAsia="Palatino Linotype" w:hAnsi="Palatino Linotype" w:cs="Palatino Linotype"/>
          <w:bCs/>
          <w:i/>
        </w:rPr>
      </w:pPr>
      <w:r>
        <w:rPr>
          <w:rFonts w:ascii="Palatino Linotype" w:eastAsia="Palatino Linotype" w:hAnsi="Palatino Linotype" w:cs="Palatino Linotype"/>
          <w:i/>
        </w:rPr>
        <w:lastRenderedPageBreak/>
        <w:t xml:space="preserve">I. </w:t>
      </w:r>
      <w:r w:rsidR="00B166C0" w:rsidRPr="00B166C0">
        <w:rPr>
          <w:rFonts w:ascii="Palatino Linotype" w:eastAsia="Palatino Linotype" w:hAnsi="Palatino Linotype" w:cs="Palatino Linotype"/>
          <w:bCs/>
          <w:i/>
        </w:rPr>
        <w:t xml:space="preserve">El Poder Ejecutivo del Estado de México, las dependencias, </w:t>
      </w:r>
      <w:r w:rsidR="00B166C0" w:rsidRPr="00B166C0">
        <w:rPr>
          <w:rFonts w:ascii="Palatino Linotype" w:eastAsia="Palatino Linotype" w:hAnsi="Palatino Linotype" w:cs="Palatino Linotype"/>
          <w:b/>
          <w:i/>
          <w:u w:val="single"/>
        </w:rPr>
        <w:t>organismos auxiliares</w:t>
      </w:r>
      <w:r w:rsidR="00B166C0" w:rsidRPr="00B166C0">
        <w:rPr>
          <w:rFonts w:ascii="Palatino Linotype" w:eastAsia="Palatino Linotype" w:hAnsi="Palatino Linotype" w:cs="Palatino Linotype"/>
          <w:bCs/>
          <w:i/>
        </w:rPr>
        <w:t>, órganos, entidades, fideicomisos y fondos públicos, así como la Procuraduría General de Justicia;</w:t>
      </w:r>
    </w:p>
    <w:p w14:paraId="398A429A" w14:textId="77777777" w:rsidR="006C2214" w:rsidRDefault="006C2214" w:rsidP="006C2214">
      <w:pPr>
        <w:spacing w:after="0" w:line="240" w:lineRule="auto"/>
        <w:ind w:left="567" w:right="567"/>
        <w:jc w:val="both"/>
        <w:rPr>
          <w:rFonts w:ascii="Palatino Linotype" w:eastAsia="Palatino Linotype" w:hAnsi="Palatino Linotype" w:cs="Palatino Linotype"/>
          <w:i/>
        </w:rPr>
      </w:pPr>
      <w:r>
        <w:rPr>
          <w:rFonts w:ascii="Palatino Linotype" w:eastAsia="Palatino Linotype" w:hAnsi="Palatino Linotype" w:cs="Palatino Linotype"/>
          <w:i/>
        </w:rPr>
        <w:t>(…)</w:t>
      </w:r>
    </w:p>
    <w:p w14:paraId="6F371B11"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301649C5" w14:textId="280E6959"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Es así que, conforme a los preceptos legales citados, se desprende que el derecho de acceso a la información pública es un derecho individual que puede ser ejercido ante cualquier autoridad, entidad, órgano u organismo, tanto federales, como es</w:t>
      </w:r>
      <w:r w:rsidR="006C2214">
        <w:rPr>
          <w:rFonts w:ascii="Palatino Linotype" w:eastAsia="Palatino Linotype" w:hAnsi="Palatino Linotype" w:cs="Palatino Linotype"/>
          <w:color w:val="000000"/>
          <w:sz w:val="24"/>
          <w:szCs w:val="24"/>
        </w:rPr>
        <w:t>tatales, de la Ciudad de México</w:t>
      </w:r>
      <w:r>
        <w:rPr>
          <w:rFonts w:ascii="Palatino Linotype" w:eastAsia="Palatino Linotype" w:hAnsi="Palatino Linotype" w:cs="Palatino Linotype"/>
          <w:color w:val="000000"/>
          <w:sz w:val="24"/>
          <w:szCs w:val="24"/>
        </w:rPr>
        <w:t xml:space="preserve"> o Municipales, con el fin de que los particulares conozcan toda aquella información que es considerada como pública.</w:t>
      </w:r>
    </w:p>
    <w:p w14:paraId="6218E84D"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4"/>
          <w:szCs w:val="24"/>
        </w:rPr>
      </w:pPr>
    </w:p>
    <w:p w14:paraId="0DC84E42" w14:textId="5D0A946A" w:rsidR="006A158E" w:rsidRDefault="00663A37" w:rsidP="00663A37">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En segundo término, </w:t>
      </w:r>
      <w:r w:rsidR="005741EE">
        <w:rPr>
          <w:rFonts w:ascii="Palatino Linotype" w:eastAsia="Palatino Linotype" w:hAnsi="Palatino Linotype" w:cs="Palatino Linotype"/>
          <w:sz w:val="24"/>
          <w:szCs w:val="24"/>
        </w:rPr>
        <w:t>es pertinente subrayar que el Recurrente únicamente se inconformó respecto de lo manifestado por el Sujeto Obligado respecto del punto 3 de su solicitud, p</w:t>
      </w:r>
      <w:r w:rsidR="005336A5">
        <w:rPr>
          <w:rFonts w:ascii="Palatino Linotype" w:eastAsia="Palatino Linotype" w:hAnsi="Palatino Linotype" w:cs="Palatino Linotype"/>
          <w:sz w:val="24"/>
          <w:szCs w:val="24"/>
        </w:rPr>
        <w:t>uesto que su motivo de inconformidad hace referencia a que no se le entregó el método científico o legal solicitado; por tanto, se puede colegir que el particular está conforme con la clasificación de la información solicitada en los puntos 1 y 2 de su solicitud, debido a que no se inconformó ante lo señalado por el Sujeto Obligado.</w:t>
      </w:r>
    </w:p>
    <w:p w14:paraId="31D7B57A" w14:textId="77777777" w:rsidR="006A158E" w:rsidRDefault="006A158E" w:rsidP="00663A37">
      <w:pPr>
        <w:spacing w:after="0" w:line="360" w:lineRule="auto"/>
        <w:contextualSpacing/>
        <w:jc w:val="both"/>
        <w:rPr>
          <w:rFonts w:ascii="Palatino Linotype" w:eastAsia="Palatino Linotype" w:hAnsi="Palatino Linotype" w:cs="Palatino Linotype"/>
          <w:sz w:val="24"/>
          <w:szCs w:val="24"/>
        </w:rPr>
      </w:pPr>
    </w:p>
    <w:p w14:paraId="41C8F3AD" w14:textId="77777777" w:rsidR="005336A5" w:rsidRDefault="005336A5" w:rsidP="005336A5">
      <w:pPr>
        <w:spacing w:after="0" w:line="36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En ese sentido, se debe entender que el particular consintió parcialmente la respuesta, pues no se inconformó ante la respuesta dada por el Sujeto Obligado a los puntos mencionados. Lo anterior es así debido a que cuando un solicitante no expresa razón o motivo de inconformidad en contra de todos los rubros de la respuesta que pudieran ser un agravio a su derecho, los mismos deben estimarse atendidos. Sirve de apoyo a </w:t>
      </w:r>
      <w:r>
        <w:rPr>
          <w:rFonts w:ascii="Palatino Linotype" w:eastAsia="Palatino Linotype" w:hAnsi="Palatino Linotype" w:cs="Palatino Linotype"/>
          <w:sz w:val="24"/>
          <w:szCs w:val="24"/>
        </w:rPr>
        <w:lastRenderedPageBreak/>
        <w:t>lo anterior, por analogía, la tesis jurisprudencial número 3ª./J.7/91, publicada en el Semanario Judicial de la Federación y su Gaceta bajo el número de registro digital 174177, en la que se establece lo siguiente:</w:t>
      </w:r>
    </w:p>
    <w:p w14:paraId="5538FE7A" w14:textId="77777777" w:rsidR="005336A5" w:rsidRDefault="005336A5" w:rsidP="005336A5">
      <w:pPr>
        <w:spacing w:after="0" w:line="360" w:lineRule="auto"/>
        <w:jc w:val="both"/>
        <w:rPr>
          <w:rFonts w:ascii="Palatino Linotype" w:eastAsia="Palatino Linotype" w:hAnsi="Palatino Linotype" w:cs="Palatino Linotype"/>
          <w:sz w:val="24"/>
          <w:szCs w:val="24"/>
        </w:rPr>
      </w:pPr>
    </w:p>
    <w:p w14:paraId="068764DE" w14:textId="77777777" w:rsidR="005336A5" w:rsidRPr="005336A5" w:rsidRDefault="005336A5" w:rsidP="005336A5">
      <w:pPr>
        <w:spacing w:after="0" w:line="240" w:lineRule="auto"/>
        <w:ind w:left="567" w:right="567"/>
        <w:jc w:val="both"/>
        <w:rPr>
          <w:rFonts w:ascii="Palatino Linotype" w:eastAsia="Palatino Linotype" w:hAnsi="Palatino Linotype" w:cs="Palatino Linotype"/>
          <w:i/>
        </w:rPr>
      </w:pPr>
      <w:r w:rsidRPr="005336A5">
        <w:rPr>
          <w:rFonts w:ascii="Palatino Linotype" w:eastAsia="Palatino Linotype" w:hAnsi="Palatino Linotype" w:cs="Palatino Linotype"/>
          <w:b/>
          <w:i/>
        </w:rPr>
        <w:t>REVISIÓN EN AMPARO. LOS RESOLUTIVOS NO COMBATIDOS DEBEN DECLARARSE FIRMES</w:t>
      </w:r>
      <w:r w:rsidRPr="005336A5">
        <w:rPr>
          <w:rFonts w:ascii="Palatino Linotype" w:eastAsia="Palatino Linotype" w:hAnsi="Palatino Linotype" w:cs="Palatino Linotype"/>
          <w:i/>
        </w:rPr>
        <w:t xml:space="preserve">. </w:t>
      </w:r>
    </w:p>
    <w:p w14:paraId="13354443" w14:textId="77777777" w:rsidR="005336A5" w:rsidRPr="005336A5" w:rsidRDefault="005336A5" w:rsidP="005336A5">
      <w:pPr>
        <w:spacing w:after="0" w:line="240" w:lineRule="auto"/>
        <w:ind w:left="567" w:right="567"/>
        <w:jc w:val="both"/>
        <w:rPr>
          <w:rFonts w:ascii="Palatino Linotype" w:eastAsia="Palatino Linotype" w:hAnsi="Palatino Linotype" w:cs="Palatino Linotype"/>
          <w:i/>
        </w:rPr>
      </w:pPr>
      <w:r w:rsidRPr="005336A5">
        <w:rPr>
          <w:rFonts w:ascii="Palatino Linotype" w:eastAsia="Palatino Linotype" w:hAnsi="Palatino Linotype" w:cs="Palatino Linotype"/>
          <w:i/>
        </w:rPr>
        <w:t>Cuando algún resolutivo de la sentencia impugnada afecta a la recurrente, y ésta no expresa agravio en contra de las consideraciones que le sirven de base, dicho resolutivo debe declararse firme. Esto es, en el caso referido, no obstante que la materia de la revisión comprende a todos los resolutivos que afectan a la recurrente, deben declararse firmes aquéllos en contra de los cuales no se formuló agravio y dicha declaración de firmeza debe reflejarse en la parte considerativa y en los resolutivos debe confirmarse la sentencia recurrida en la parte correspondiente.</w:t>
      </w:r>
    </w:p>
    <w:p w14:paraId="7D8866DF" w14:textId="77777777" w:rsidR="005336A5" w:rsidRDefault="005336A5" w:rsidP="005336A5">
      <w:pPr>
        <w:spacing w:after="0" w:line="360" w:lineRule="auto"/>
        <w:jc w:val="both"/>
        <w:rPr>
          <w:rFonts w:ascii="Palatino Linotype" w:eastAsia="Palatino Linotype" w:hAnsi="Palatino Linotype" w:cs="Palatino Linotype"/>
          <w:sz w:val="24"/>
          <w:szCs w:val="24"/>
        </w:rPr>
      </w:pPr>
    </w:p>
    <w:p w14:paraId="74DF837A" w14:textId="77777777" w:rsidR="005336A5" w:rsidRDefault="005336A5" w:rsidP="005336A5">
      <w:pPr>
        <w:spacing w:after="0" w:line="36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Así, la parte de la solicitud sobre la que no se expresó inconformidad, debe declararse consentida por el hoy Recurrente, ya que no pueden producirse efectos jurídicos tendentes a revocar, confirmar o modificar la parte de la respuesta con relación a la parte de la solicitud que no fue motivo de disenso, ya que se infiere un consentimiento del Recurrente ante la falta de impugnación eficaz. Sirve de sustento a lo anterior, por analogía, la tesis jurisprudencial número VI.3o.C. J/60, publicada en el Semanario Judicial de la Federación y su Gaceta bajo el número de registro digital 176,608, cuyo contenido señala lo siguiente:</w:t>
      </w:r>
    </w:p>
    <w:p w14:paraId="3DC3D2EF" w14:textId="77777777" w:rsidR="005336A5" w:rsidRDefault="005336A5" w:rsidP="005336A5">
      <w:pPr>
        <w:spacing w:after="0" w:line="360" w:lineRule="auto"/>
        <w:jc w:val="both"/>
        <w:rPr>
          <w:rFonts w:ascii="Palatino Linotype" w:eastAsia="Palatino Linotype" w:hAnsi="Palatino Linotype" w:cs="Palatino Linotype"/>
          <w:sz w:val="24"/>
          <w:szCs w:val="24"/>
        </w:rPr>
      </w:pPr>
    </w:p>
    <w:p w14:paraId="1C7FFF28" w14:textId="77777777" w:rsidR="005336A5" w:rsidRPr="005336A5" w:rsidRDefault="005336A5" w:rsidP="005336A5">
      <w:pPr>
        <w:spacing w:after="0" w:line="240" w:lineRule="auto"/>
        <w:ind w:left="567" w:right="567"/>
        <w:jc w:val="both"/>
        <w:rPr>
          <w:rFonts w:ascii="Palatino Linotype" w:eastAsia="Palatino Linotype" w:hAnsi="Palatino Linotype" w:cs="Palatino Linotype"/>
          <w:i/>
        </w:rPr>
      </w:pPr>
      <w:r w:rsidRPr="005336A5">
        <w:rPr>
          <w:rFonts w:ascii="Palatino Linotype" w:eastAsia="Palatino Linotype" w:hAnsi="Palatino Linotype" w:cs="Palatino Linotype"/>
          <w:b/>
          <w:i/>
        </w:rPr>
        <w:t>ACTOS CONSENTIDOS. SON LOS QUE NO SE IMPUGNAN MEDIANTE EL RECURSO IDÓNEO.</w:t>
      </w:r>
      <w:r w:rsidRPr="005336A5">
        <w:rPr>
          <w:rFonts w:ascii="Palatino Linotype" w:eastAsia="Palatino Linotype" w:hAnsi="Palatino Linotype" w:cs="Palatino Linotype"/>
          <w:i/>
        </w:rPr>
        <w:t xml:space="preserve"> </w:t>
      </w:r>
    </w:p>
    <w:p w14:paraId="756C5D52" w14:textId="77777777" w:rsidR="005336A5" w:rsidRPr="005336A5" w:rsidRDefault="005336A5" w:rsidP="005336A5">
      <w:pPr>
        <w:spacing w:after="0" w:line="240" w:lineRule="auto"/>
        <w:ind w:left="567" w:right="567"/>
        <w:jc w:val="both"/>
        <w:rPr>
          <w:rFonts w:ascii="Palatino Linotype" w:eastAsia="Palatino Linotype" w:hAnsi="Palatino Linotype" w:cs="Palatino Linotype"/>
        </w:rPr>
      </w:pPr>
      <w:r w:rsidRPr="005336A5">
        <w:rPr>
          <w:rFonts w:ascii="Palatino Linotype" w:eastAsia="Palatino Linotype" w:hAnsi="Palatino Linotype" w:cs="Palatino Linotype"/>
          <w:i/>
        </w:rPr>
        <w:t xml:space="preserve">Debe reputarse como consentido el acto que no se impugnó por el medio establecido por la ley, ya que si se hizo uso de otro no previsto por ella o si se hace una simple manifestación de inconformidad, tales actuaciones no producen efectos jurídicos tendientes a revocar, </w:t>
      </w:r>
      <w:r w:rsidRPr="005336A5">
        <w:rPr>
          <w:rFonts w:ascii="Palatino Linotype" w:eastAsia="Palatino Linotype" w:hAnsi="Palatino Linotype" w:cs="Palatino Linotype"/>
          <w:i/>
        </w:rPr>
        <w:lastRenderedPageBreak/>
        <w:t>confirmar o modificar el acto reclamado en amparo, lo que significa consentimiento del mismo por falta de impugnación eficaz.</w:t>
      </w:r>
    </w:p>
    <w:p w14:paraId="5945110B" w14:textId="77777777" w:rsidR="005336A5" w:rsidRDefault="005336A5" w:rsidP="005336A5">
      <w:pPr>
        <w:spacing w:after="0" w:line="360" w:lineRule="auto"/>
        <w:jc w:val="both"/>
        <w:rPr>
          <w:rFonts w:ascii="Palatino Linotype" w:eastAsia="Palatino Linotype" w:hAnsi="Palatino Linotype" w:cs="Palatino Linotype"/>
          <w:sz w:val="24"/>
          <w:szCs w:val="24"/>
        </w:rPr>
      </w:pPr>
    </w:p>
    <w:p w14:paraId="49ABAF62" w14:textId="77777777" w:rsidR="005336A5" w:rsidRDefault="005336A5" w:rsidP="005336A5">
      <w:pPr>
        <w:spacing w:after="0" w:line="36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Para mayor abundamiento, también resulta aplicable el criterio 01/20 emitido por el Instituto Nacional de Transparencia, Acceso a la Información Pública y Protección de Datos Personales, que a la letra estipula lo siguiente: </w:t>
      </w:r>
    </w:p>
    <w:p w14:paraId="5A741B04" w14:textId="77777777" w:rsidR="005336A5" w:rsidRDefault="005336A5" w:rsidP="005336A5">
      <w:pPr>
        <w:spacing w:after="0" w:line="360" w:lineRule="auto"/>
        <w:jc w:val="both"/>
        <w:rPr>
          <w:rFonts w:ascii="Palatino Linotype" w:eastAsia="Palatino Linotype" w:hAnsi="Palatino Linotype" w:cs="Palatino Linotype"/>
          <w:sz w:val="24"/>
          <w:szCs w:val="24"/>
        </w:rPr>
      </w:pPr>
    </w:p>
    <w:p w14:paraId="333D4F2E" w14:textId="77777777" w:rsidR="005336A5" w:rsidRPr="005336A5" w:rsidRDefault="005336A5" w:rsidP="005336A5">
      <w:pPr>
        <w:spacing w:after="0" w:line="240" w:lineRule="auto"/>
        <w:ind w:left="567" w:right="567"/>
        <w:jc w:val="both"/>
        <w:rPr>
          <w:rFonts w:ascii="Palatino Linotype" w:eastAsia="Palatino Linotype" w:hAnsi="Palatino Linotype" w:cs="Palatino Linotype"/>
          <w:i/>
        </w:rPr>
      </w:pPr>
      <w:r w:rsidRPr="005336A5">
        <w:rPr>
          <w:rFonts w:ascii="Palatino Linotype" w:eastAsia="Palatino Linotype" w:hAnsi="Palatino Linotype" w:cs="Palatino Linotype"/>
          <w:b/>
          <w:i/>
        </w:rPr>
        <w:t xml:space="preserve">Actos consentidos tácitamente. Improcedencia de su análisis. </w:t>
      </w:r>
      <w:r w:rsidRPr="005336A5">
        <w:rPr>
          <w:rFonts w:ascii="Palatino Linotype" w:eastAsia="Palatino Linotype" w:hAnsi="Palatino Linotype" w:cs="Palatino Linotype"/>
          <w:i/>
        </w:rPr>
        <w:t>Si en su recurso de revisión, la persona recurrente no expresó inconformidad alguna con ciertas partes de la respuesta otorgada, se entienden tácitamente consentidas, por ende, no deben formar parte del estudio de fondo de la resolución que emite el Instituto.</w:t>
      </w:r>
    </w:p>
    <w:p w14:paraId="521372AC" w14:textId="77777777" w:rsidR="005336A5" w:rsidRDefault="005336A5" w:rsidP="005336A5">
      <w:pPr>
        <w:spacing w:after="0" w:line="360" w:lineRule="auto"/>
        <w:jc w:val="both"/>
        <w:rPr>
          <w:rFonts w:ascii="Palatino Linotype" w:eastAsia="Palatino Linotype" w:hAnsi="Palatino Linotype" w:cs="Palatino Linotype"/>
          <w:sz w:val="24"/>
          <w:szCs w:val="24"/>
        </w:rPr>
      </w:pPr>
    </w:p>
    <w:p w14:paraId="4F231DF4" w14:textId="6AAD98B2" w:rsidR="005336A5" w:rsidRDefault="005336A5" w:rsidP="005336A5">
      <w:pPr>
        <w:spacing w:after="0" w:line="36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Por lo señalado anteriormente, </w:t>
      </w:r>
      <w:r>
        <w:rPr>
          <w:rFonts w:ascii="Palatino Linotype" w:eastAsia="Palatino Linotype" w:hAnsi="Palatino Linotype" w:cs="Palatino Linotype"/>
          <w:b/>
          <w:sz w:val="24"/>
          <w:szCs w:val="24"/>
        </w:rPr>
        <w:t>queda establecido</w:t>
      </w:r>
      <w:r w:rsidRPr="00C833A5">
        <w:rPr>
          <w:rFonts w:ascii="Palatino Linotype" w:eastAsia="Palatino Linotype" w:hAnsi="Palatino Linotype" w:cs="Palatino Linotype"/>
          <w:b/>
          <w:sz w:val="24"/>
          <w:szCs w:val="24"/>
        </w:rPr>
        <w:t xml:space="preserve"> que el Recurrente está conforme con la respuesta dada por el Sujeto Obligado a los puntos </w:t>
      </w:r>
      <w:r>
        <w:rPr>
          <w:rFonts w:ascii="Palatino Linotype" w:eastAsia="Palatino Linotype" w:hAnsi="Palatino Linotype" w:cs="Palatino Linotype"/>
          <w:b/>
          <w:sz w:val="24"/>
          <w:szCs w:val="24"/>
        </w:rPr>
        <w:t>1</w:t>
      </w:r>
      <w:r w:rsidRPr="00C833A5">
        <w:rPr>
          <w:rFonts w:ascii="Palatino Linotype" w:eastAsia="Palatino Linotype" w:hAnsi="Palatino Linotype" w:cs="Palatino Linotype"/>
          <w:b/>
          <w:sz w:val="24"/>
          <w:szCs w:val="24"/>
        </w:rPr>
        <w:t xml:space="preserve"> y </w:t>
      </w:r>
      <w:r>
        <w:rPr>
          <w:rFonts w:ascii="Palatino Linotype" w:eastAsia="Palatino Linotype" w:hAnsi="Palatino Linotype" w:cs="Palatino Linotype"/>
          <w:b/>
          <w:sz w:val="24"/>
          <w:szCs w:val="24"/>
        </w:rPr>
        <w:t>2</w:t>
      </w:r>
      <w:r w:rsidRPr="00C833A5">
        <w:rPr>
          <w:rFonts w:ascii="Palatino Linotype" w:eastAsia="Palatino Linotype" w:hAnsi="Palatino Linotype" w:cs="Palatino Linotype"/>
          <w:b/>
          <w:sz w:val="24"/>
          <w:szCs w:val="24"/>
        </w:rPr>
        <w:t xml:space="preserve"> de su </w:t>
      </w:r>
      <w:r w:rsidRPr="005336A5">
        <w:rPr>
          <w:rFonts w:ascii="Palatino Linotype" w:eastAsia="Palatino Linotype" w:hAnsi="Palatino Linotype" w:cs="Palatino Linotype"/>
          <w:b/>
          <w:sz w:val="24"/>
          <w:szCs w:val="24"/>
        </w:rPr>
        <w:t>solicitud de información</w:t>
      </w:r>
      <w:r>
        <w:rPr>
          <w:rFonts w:ascii="Palatino Linotype" w:eastAsia="Palatino Linotype" w:hAnsi="Palatino Linotype" w:cs="Palatino Linotype"/>
          <w:sz w:val="24"/>
          <w:szCs w:val="24"/>
        </w:rPr>
        <w:t>.</w:t>
      </w:r>
    </w:p>
    <w:p w14:paraId="20C7DE20" w14:textId="2EA135F6" w:rsidR="005336A5" w:rsidRPr="00500557" w:rsidRDefault="005336A5" w:rsidP="005336A5">
      <w:pPr>
        <w:spacing w:after="0" w:line="360" w:lineRule="auto"/>
        <w:jc w:val="both"/>
        <w:rPr>
          <w:rFonts w:ascii="Palatino Linotype" w:eastAsia="Palatino Linotype" w:hAnsi="Palatino Linotype" w:cs="Palatino Linotype"/>
          <w:sz w:val="24"/>
          <w:szCs w:val="24"/>
        </w:rPr>
      </w:pPr>
    </w:p>
    <w:p w14:paraId="799FEB04" w14:textId="118FAB42" w:rsidR="005336A5" w:rsidRDefault="005336A5" w:rsidP="005336A5">
      <w:pPr>
        <w:spacing w:after="0" w:line="360" w:lineRule="auto"/>
        <w:jc w:val="both"/>
        <w:rPr>
          <w:rFonts w:ascii="Palatino Linotype" w:hAnsi="Palatino Linotype"/>
          <w:sz w:val="24"/>
          <w:szCs w:val="24"/>
        </w:rPr>
      </w:pPr>
      <w:r w:rsidRPr="00500557">
        <w:rPr>
          <w:rFonts w:ascii="Palatino Linotype" w:eastAsia="Palatino Linotype" w:hAnsi="Palatino Linotype" w:cs="Palatino Linotype"/>
          <w:sz w:val="24"/>
          <w:szCs w:val="24"/>
        </w:rPr>
        <w:t>Ahora bien</w:t>
      </w:r>
      <w:r w:rsidR="008F2212" w:rsidRPr="00500557">
        <w:rPr>
          <w:rFonts w:ascii="Palatino Linotype" w:eastAsia="Palatino Linotype" w:hAnsi="Palatino Linotype" w:cs="Palatino Linotype"/>
          <w:sz w:val="24"/>
          <w:szCs w:val="24"/>
        </w:rPr>
        <w:t xml:space="preserve">, por lo que toca a lo solicitado por el Recurrente en su punto 3, es decir, el método científico o legal que sigue el Sujeto Obligado para determinar un deterioro o daño ambiental, </w:t>
      </w:r>
      <w:r w:rsidR="00500557" w:rsidRPr="00500557">
        <w:rPr>
          <w:rFonts w:ascii="Palatino Linotype" w:eastAsia="Palatino Linotype" w:hAnsi="Palatino Linotype" w:cs="Palatino Linotype"/>
          <w:sz w:val="24"/>
          <w:szCs w:val="24"/>
        </w:rPr>
        <w:t xml:space="preserve">se tiene que en un primer momento la autoridad le informó que se ciñe a lo establecido en la </w:t>
      </w:r>
      <w:r w:rsidR="00500557" w:rsidRPr="00500557">
        <w:rPr>
          <w:rFonts w:ascii="Palatino Linotype" w:hAnsi="Palatino Linotype"/>
          <w:sz w:val="24"/>
          <w:szCs w:val="24"/>
        </w:rPr>
        <w:t>NOM-047-SEMARNAT-2014 y NOM-045-SEMARNAT-2017</w:t>
      </w:r>
      <w:r w:rsidR="00500557">
        <w:rPr>
          <w:rFonts w:ascii="Palatino Linotype" w:hAnsi="Palatino Linotype"/>
          <w:sz w:val="24"/>
          <w:szCs w:val="24"/>
        </w:rPr>
        <w:t xml:space="preserve">; sin embargo, el particular no se tuvo por conforme por lo que interpuso el Recurso de revisión. </w:t>
      </w:r>
    </w:p>
    <w:p w14:paraId="4FA9D0AD" w14:textId="40B7648C" w:rsidR="00500557" w:rsidRDefault="00500557" w:rsidP="005336A5">
      <w:pPr>
        <w:spacing w:after="0" w:line="360" w:lineRule="auto"/>
        <w:jc w:val="both"/>
        <w:rPr>
          <w:rFonts w:ascii="Palatino Linotype" w:hAnsi="Palatino Linotype"/>
          <w:sz w:val="24"/>
          <w:szCs w:val="24"/>
        </w:rPr>
      </w:pPr>
    </w:p>
    <w:p w14:paraId="569937AF" w14:textId="43B91BD0" w:rsidR="00500557" w:rsidRDefault="00500557" w:rsidP="005336A5">
      <w:pPr>
        <w:spacing w:after="0" w:line="360" w:lineRule="auto"/>
        <w:jc w:val="both"/>
        <w:rPr>
          <w:rFonts w:ascii="Palatino Linotype" w:hAnsi="Palatino Linotype"/>
          <w:sz w:val="24"/>
          <w:szCs w:val="24"/>
        </w:rPr>
      </w:pPr>
      <w:r>
        <w:rPr>
          <w:rFonts w:ascii="Palatino Linotype" w:hAnsi="Palatino Linotype"/>
          <w:sz w:val="24"/>
          <w:szCs w:val="24"/>
        </w:rPr>
        <w:t>A esto, en su Informe Justificado, el Sujeto Obligado</w:t>
      </w:r>
      <w:r w:rsidR="00020C15">
        <w:rPr>
          <w:rFonts w:ascii="Palatino Linotype" w:hAnsi="Palatino Linotype"/>
          <w:sz w:val="24"/>
          <w:szCs w:val="24"/>
        </w:rPr>
        <w:t xml:space="preserve"> manifestó que </w:t>
      </w:r>
      <w:r w:rsidR="009D480A">
        <w:rPr>
          <w:rFonts w:ascii="Palatino Linotype" w:hAnsi="Palatino Linotype"/>
          <w:sz w:val="24"/>
          <w:szCs w:val="24"/>
        </w:rPr>
        <w:t xml:space="preserve">dicho método no existe, sino que el procedimiento que sigue para detectar operaciones indebidas está </w:t>
      </w:r>
      <w:r w:rsidR="009D480A">
        <w:rPr>
          <w:rFonts w:ascii="Palatino Linotype" w:hAnsi="Palatino Linotype"/>
          <w:sz w:val="24"/>
          <w:szCs w:val="24"/>
        </w:rPr>
        <w:lastRenderedPageBreak/>
        <w:t>previsto en el artículo 2.241 del Código para la Biodiversidad del Estado de México y que se basa en los parámetros estipulados por las Normas referidas anterio</w:t>
      </w:r>
      <w:r w:rsidR="008F408C">
        <w:rPr>
          <w:rFonts w:ascii="Palatino Linotype" w:hAnsi="Palatino Linotype"/>
          <w:sz w:val="24"/>
          <w:szCs w:val="24"/>
        </w:rPr>
        <w:t>r</w:t>
      </w:r>
      <w:r w:rsidR="009D480A">
        <w:rPr>
          <w:rFonts w:ascii="Palatino Linotype" w:hAnsi="Palatino Linotype"/>
          <w:sz w:val="24"/>
          <w:szCs w:val="24"/>
        </w:rPr>
        <w:t xml:space="preserve">mente, por lo que no puede entregarse el documento solicitado en virtud de que éste no existe y no está previsto en </w:t>
      </w:r>
      <w:r w:rsidR="00BB4B5A">
        <w:rPr>
          <w:rFonts w:ascii="Palatino Linotype" w:hAnsi="Palatino Linotype"/>
          <w:sz w:val="24"/>
          <w:szCs w:val="24"/>
        </w:rPr>
        <w:t>ningún cuerpo normativo</w:t>
      </w:r>
      <w:r w:rsidR="008F66C1">
        <w:rPr>
          <w:rFonts w:ascii="Palatino Linotype" w:hAnsi="Palatino Linotype"/>
          <w:sz w:val="24"/>
          <w:szCs w:val="24"/>
        </w:rPr>
        <w:t xml:space="preserve">; </w:t>
      </w:r>
      <w:r w:rsidR="003E46E5">
        <w:rPr>
          <w:rFonts w:ascii="Palatino Linotype" w:hAnsi="Palatino Linotype"/>
          <w:sz w:val="24"/>
          <w:szCs w:val="24"/>
        </w:rPr>
        <w:t>asimismo, señaló que las visitas de verificación practicadas</w:t>
      </w:r>
      <w:r w:rsidR="00A45955">
        <w:rPr>
          <w:rFonts w:ascii="Palatino Linotype" w:hAnsi="Palatino Linotype"/>
          <w:sz w:val="24"/>
          <w:szCs w:val="24"/>
        </w:rPr>
        <w:t xml:space="preserve"> a fu</w:t>
      </w:r>
      <w:r w:rsidR="008F408C">
        <w:rPr>
          <w:rFonts w:ascii="Palatino Linotype" w:hAnsi="Palatino Linotype"/>
          <w:sz w:val="24"/>
          <w:szCs w:val="24"/>
        </w:rPr>
        <w:t>en</w:t>
      </w:r>
      <w:r w:rsidR="00A45955">
        <w:rPr>
          <w:rFonts w:ascii="Palatino Linotype" w:hAnsi="Palatino Linotype"/>
          <w:sz w:val="24"/>
          <w:szCs w:val="24"/>
        </w:rPr>
        <w:t>tes fijas tienen como finalidad principal constatar el cumplimiento de las multicitadas Normas Oficiales, las cuales no determinan de forma directa si existe un deterioro o daño al ambiente, sino que delimitan los parámetros permitidos y establecidos para el cuidado y protección medio ambiental.</w:t>
      </w:r>
    </w:p>
    <w:p w14:paraId="07588F1C" w14:textId="6B76E169" w:rsidR="00A45955" w:rsidRDefault="00A45955" w:rsidP="005336A5">
      <w:pPr>
        <w:spacing w:after="0" w:line="360" w:lineRule="auto"/>
        <w:jc w:val="both"/>
        <w:rPr>
          <w:rFonts w:ascii="Palatino Linotype" w:hAnsi="Palatino Linotype"/>
          <w:sz w:val="24"/>
          <w:szCs w:val="24"/>
        </w:rPr>
      </w:pPr>
    </w:p>
    <w:p w14:paraId="4AB27AD8" w14:textId="5FAB5F89" w:rsidR="00A45955" w:rsidRDefault="00A45955" w:rsidP="005336A5">
      <w:pPr>
        <w:spacing w:after="0" w:line="360" w:lineRule="auto"/>
        <w:jc w:val="both"/>
        <w:rPr>
          <w:rFonts w:ascii="Palatino Linotype" w:hAnsi="Palatino Linotype"/>
          <w:sz w:val="24"/>
          <w:szCs w:val="24"/>
        </w:rPr>
      </w:pPr>
      <w:r>
        <w:rPr>
          <w:rFonts w:ascii="Palatino Linotype" w:hAnsi="Palatino Linotype"/>
          <w:sz w:val="24"/>
          <w:szCs w:val="24"/>
        </w:rPr>
        <w:t>En ese sentido, se debe hacer referencia a lo establecido en los artículos 2.241 y 2.277 del Código para la Biodiversidad del Estado de México, que señalan lo siguiente:</w:t>
      </w:r>
    </w:p>
    <w:p w14:paraId="4C7CFDA2" w14:textId="721B1B25" w:rsidR="00A45955" w:rsidRDefault="00A45955" w:rsidP="005336A5">
      <w:pPr>
        <w:spacing w:after="0" w:line="360" w:lineRule="auto"/>
        <w:jc w:val="both"/>
        <w:rPr>
          <w:rFonts w:ascii="Palatino Linotype" w:hAnsi="Palatino Linotype"/>
          <w:sz w:val="24"/>
          <w:szCs w:val="24"/>
        </w:rPr>
      </w:pPr>
    </w:p>
    <w:p w14:paraId="3A37F1A8" w14:textId="0321B2E8"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b/>
          <w:bCs/>
          <w:i/>
          <w:iCs/>
        </w:rPr>
        <w:t xml:space="preserve">Artículo 2.241. </w:t>
      </w:r>
      <w:r w:rsidRPr="006421E5">
        <w:rPr>
          <w:rFonts w:ascii="Palatino Linotype" w:eastAsia="Palatino Linotype" w:hAnsi="Palatino Linotype" w:cs="Palatino Linotype"/>
          <w:b/>
          <w:bCs/>
          <w:i/>
          <w:iCs/>
          <w:u w:val="single"/>
        </w:rPr>
        <w:t>Cuando la Secretaría o la autoridad municipal competente observen que existe riesgo inminente de desequilibrio ecológico, de daño o deterioro graves a los elementos y recursos naturales</w:t>
      </w:r>
      <w:r w:rsidRPr="006421E5">
        <w:rPr>
          <w:rFonts w:ascii="Palatino Linotype" w:eastAsia="Palatino Linotype" w:hAnsi="Palatino Linotype" w:cs="Palatino Linotype"/>
          <w:i/>
          <w:iCs/>
        </w:rPr>
        <w:t xml:space="preserve">, casos de contaminación con repercusiones peligrosas para los ecosistemas, sus componentes o para la salud pública, </w:t>
      </w:r>
      <w:r w:rsidRPr="006421E5">
        <w:rPr>
          <w:rFonts w:ascii="Palatino Linotype" w:eastAsia="Palatino Linotype" w:hAnsi="Palatino Linotype" w:cs="Palatino Linotype"/>
          <w:b/>
          <w:bCs/>
          <w:i/>
          <w:iCs/>
          <w:u w:val="single"/>
        </w:rPr>
        <w:t>por la operación indebida de programas de cómputo y equipos que alteren la verificación vehicular, permitiendo la circulación de vehículos que emitan contaminantes excediendo la norma, o se comprometa la adaptación al cambio climático</w:t>
      </w:r>
      <w:r w:rsidRPr="006421E5">
        <w:rPr>
          <w:rFonts w:ascii="Palatino Linotype" w:eastAsia="Palatino Linotype" w:hAnsi="Palatino Linotype" w:cs="Palatino Linotype"/>
          <w:i/>
          <w:iCs/>
        </w:rPr>
        <w:t xml:space="preserve">, así como la mitigación de las emisiones de gases de efecto invernadero que lo provocan podrán ordenar alguna o algunas de las medidas de seguridad siguientes: </w:t>
      </w:r>
    </w:p>
    <w:p w14:paraId="3ED913F8"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p>
    <w:p w14:paraId="0F3E7BF9"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 xml:space="preserve">I. La clausura temporal, parcial o total de las fuentes contaminantes, de las instalaciones en que se manejen o almacenen productos o subproductos de sustancias contaminantes de residuos peligrosos, o se desarrollen las actividades que den lugar a los supuestos a que se refiere el presente artículo; </w:t>
      </w:r>
    </w:p>
    <w:p w14:paraId="6B26ACF0"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 xml:space="preserve">II. El aseguramiento precautorio de materiales que se manejen en la realización de actividades riesgosas, así como de especimenes, bienes, vehículos, utensilios e instrumentos </w:t>
      </w:r>
      <w:r w:rsidRPr="006421E5">
        <w:rPr>
          <w:rFonts w:ascii="Palatino Linotype" w:eastAsia="Palatino Linotype" w:hAnsi="Palatino Linotype" w:cs="Palatino Linotype"/>
          <w:i/>
          <w:iCs/>
        </w:rPr>
        <w:lastRenderedPageBreak/>
        <w:t xml:space="preserve">directamente relacionados con la conducta que dé lugar a la imposición de la medida de seguridad; </w:t>
      </w:r>
    </w:p>
    <w:p w14:paraId="45C556D8"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 xml:space="preserve">III. La neutralización o cualquier acción análoga para impedir que materiales que se manejen en la realización de actividades riesgosas, generen los efectos previstos en este artículo; y </w:t>
      </w:r>
    </w:p>
    <w:p w14:paraId="3EA1666C"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 xml:space="preserve">IV. La suspensión de obras o actividades. </w:t>
      </w:r>
    </w:p>
    <w:p w14:paraId="335E4351"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p>
    <w:p w14:paraId="14ED5ED8" w14:textId="28DFF8F3" w:rsidR="00A4595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La Secretaría o la autoridad municipal, podrán promover ante la autoridad competente la ejecución de alguna o algunas de las medidas de seguridad que se establezcan en otros ordenamientos.</w:t>
      </w:r>
    </w:p>
    <w:p w14:paraId="79A1932B" w14:textId="4697DE38" w:rsidR="00A45955" w:rsidRPr="006421E5" w:rsidRDefault="00A45955" w:rsidP="006421E5">
      <w:pPr>
        <w:spacing w:after="0" w:line="240" w:lineRule="auto"/>
        <w:ind w:left="567" w:right="616"/>
        <w:jc w:val="both"/>
        <w:rPr>
          <w:rFonts w:ascii="Palatino Linotype" w:eastAsia="Palatino Linotype" w:hAnsi="Palatino Linotype" w:cs="Palatino Linotype"/>
          <w:i/>
          <w:iCs/>
        </w:rPr>
      </w:pPr>
    </w:p>
    <w:p w14:paraId="21347E8C" w14:textId="09E25938"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b/>
          <w:bCs/>
          <w:i/>
          <w:iCs/>
        </w:rPr>
        <w:t>Artículo 2.277.</w:t>
      </w:r>
      <w:r w:rsidRPr="006421E5">
        <w:rPr>
          <w:rFonts w:ascii="Palatino Linotype" w:eastAsia="Palatino Linotype" w:hAnsi="Palatino Linotype" w:cs="Palatino Linotype"/>
          <w:i/>
          <w:iCs/>
        </w:rPr>
        <w:t xml:space="preserve"> Cuando del resultado de las visitas de inspección que contempla este Código, se presuma que existe riesgo inminente de daños o deterioro grave a la biodiversidad y al medio ambiente, o cuando se detecte por la autoridad competente la flagrancia en la comisión de un delito o infracción administrativa grave, esta autoridad podrá ordenar cualquiera de las siguientes medidas de seguridad:</w:t>
      </w:r>
    </w:p>
    <w:p w14:paraId="4B856567"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p>
    <w:p w14:paraId="75E77408"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I. La detención de los presuntos responsables, quienes sin demora deberán ser puestos a disposición de la autoridad competente;</w:t>
      </w:r>
    </w:p>
    <w:p w14:paraId="4B5B596E"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II. El aseguramiento precautorio de los recursos naturales, y materias primas forestales, así como de los bienes, vehículos, utensilios, herramientas, equipo y cualquier instrumento directamente relacionado con la acción u omisión que origine la imposición de esta medida;</w:t>
      </w:r>
    </w:p>
    <w:p w14:paraId="0A82BAFD" w14:textId="77777777" w:rsidR="006421E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III. La clausura temporal de las operaciones del establecimiento, la suspensión parcial o total del funcionamiento de la maquinaria o equipos dedicados al aprovechamiento, almacenamiento o transformación de los recursos naturales, en bienes ambientales, o materias primas; de los sitios e instalaciones en donde se desarrollen los actos que puedan dañar la biodiversidad a los elementos y recursos naturales; y</w:t>
      </w:r>
    </w:p>
    <w:p w14:paraId="4B34DF16" w14:textId="544C3036" w:rsidR="00A45955" w:rsidRPr="006421E5" w:rsidRDefault="006421E5" w:rsidP="006421E5">
      <w:pPr>
        <w:spacing w:after="0" w:line="240" w:lineRule="auto"/>
        <w:ind w:left="567" w:right="616"/>
        <w:jc w:val="both"/>
        <w:rPr>
          <w:rFonts w:ascii="Palatino Linotype" w:eastAsia="Palatino Linotype" w:hAnsi="Palatino Linotype" w:cs="Palatino Linotype"/>
          <w:i/>
          <w:iCs/>
        </w:rPr>
      </w:pPr>
      <w:r w:rsidRPr="006421E5">
        <w:rPr>
          <w:rFonts w:ascii="Palatino Linotype" w:eastAsia="Palatino Linotype" w:hAnsi="Palatino Linotype" w:cs="Palatino Linotype"/>
          <w:i/>
          <w:iCs/>
        </w:rPr>
        <w:t>IV. La suspensión temporal, parcial o total del aprovechamiento de la actividad que se trate.</w:t>
      </w:r>
    </w:p>
    <w:p w14:paraId="4E2F4836" w14:textId="77777777" w:rsidR="00A45955" w:rsidRPr="00500557" w:rsidRDefault="00A45955" w:rsidP="005336A5">
      <w:pPr>
        <w:spacing w:after="0" w:line="360" w:lineRule="auto"/>
        <w:jc w:val="both"/>
        <w:rPr>
          <w:rFonts w:ascii="Palatino Linotype" w:eastAsia="Palatino Linotype" w:hAnsi="Palatino Linotype" w:cs="Palatino Linotype"/>
          <w:sz w:val="24"/>
          <w:szCs w:val="24"/>
        </w:rPr>
      </w:pPr>
    </w:p>
    <w:p w14:paraId="037D8149" w14:textId="2F6CDEAB" w:rsidR="006A158E" w:rsidRDefault="005D226A" w:rsidP="00663A37">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Del artícul</w:t>
      </w:r>
      <w:r w:rsidR="00617F39">
        <w:rPr>
          <w:rFonts w:ascii="Palatino Linotype" w:eastAsia="Palatino Linotype" w:hAnsi="Palatino Linotype" w:cs="Palatino Linotype"/>
          <w:sz w:val="24"/>
          <w:szCs w:val="24"/>
        </w:rPr>
        <w:t>o</w:t>
      </w:r>
      <w:r>
        <w:rPr>
          <w:rFonts w:ascii="Palatino Linotype" w:eastAsia="Palatino Linotype" w:hAnsi="Palatino Linotype" w:cs="Palatino Linotype"/>
          <w:sz w:val="24"/>
          <w:szCs w:val="24"/>
        </w:rPr>
        <w:t xml:space="preserve"> anterior se desprende la facultad del Sujeto Obligado para tomar acciones cuando advierta un riesgo, deterioro o daño ambiental, y las </w:t>
      </w:r>
      <w:r w:rsidR="00E6737E">
        <w:rPr>
          <w:rFonts w:ascii="Palatino Linotype" w:eastAsia="Palatino Linotype" w:hAnsi="Palatino Linotype" w:cs="Palatino Linotype"/>
          <w:sz w:val="24"/>
          <w:szCs w:val="24"/>
        </w:rPr>
        <w:t>medidas de seguridad que se deben aplicar.</w:t>
      </w:r>
    </w:p>
    <w:p w14:paraId="11FCD18F" w14:textId="2B000E0D" w:rsidR="00E6737E" w:rsidRDefault="00E6737E" w:rsidP="00663A37">
      <w:pPr>
        <w:spacing w:after="0" w:line="360" w:lineRule="auto"/>
        <w:contextualSpacing/>
        <w:jc w:val="both"/>
        <w:rPr>
          <w:rFonts w:ascii="Palatino Linotype" w:eastAsia="Palatino Linotype" w:hAnsi="Palatino Linotype" w:cs="Palatino Linotype"/>
          <w:sz w:val="24"/>
          <w:szCs w:val="24"/>
        </w:rPr>
      </w:pPr>
    </w:p>
    <w:p w14:paraId="3C27DDEB" w14:textId="069E61BA" w:rsidR="00E6737E" w:rsidRDefault="00E6737E" w:rsidP="00663A37">
      <w:pPr>
        <w:spacing w:after="0" w:line="360" w:lineRule="auto"/>
        <w:contextualSpacing/>
        <w:jc w:val="both"/>
        <w:rPr>
          <w:rFonts w:ascii="Palatino Linotype" w:eastAsia="Palatino Linotype" w:hAnsi="Palatino Linotype" w:cs="Palatino Linotype"/>
          <w:b/>
          <w:bCs/>
          <w:sz w:val="24"/>
          <w:szCs w:val="24"/>
        </w:rPr>
      </w:pPr>
      <w:r>
        <w:rPr>
          <w:rFonts w:ascii="Palatino Linotype" w:eastAsia="Palatino Linotype" w:hAnsi="Palatino Linotype" w:cs="Palatino Linotype"/>
          <w:sz w:val="24"/>
          <w:szCs w:val="24"/>
        </w:rPr>
        <w:lastRenderedPageBreak/>
        <w:t xml:space="preserve">Ahora bien, de acuerdo </w:t>
      </w:r>
      <w:r w:rsidR="008F408C">
        <w:rPr>
          <w:rFonts w:ascii="Palatino Linotype" w:eastAsia="Palatino Linotype" w:hAnsi="Palatino Linotype" w:cs="Palatino Linotype"/>
          <w:sz w:val="24"/>
          <w:szCs w:val="24"/>
        </w:rPr>
        <w:t>con el</w:t>
      </w:r>
      <w:r>
        <w:rPr>
          <w:rFonts w:ascii="Palatino Linotype" w:eastAsia="Palatino Linotype" w:hAnsi="Palatino Linotype" w:cs="Palatino Linotype"/>
          <w:sz w:val="24"/>
          <w:szCs w:val="24"/>
        </w:rPr>
        <w:t xml:space="preserve"> Manual </w:t>
      </w:r>
      <w:r w:rsidR="000E5A5A">
        <w:rPr>
          <w:rFonts w:ascii="Palatino Linotype" w:eastAsia="Palatino Linotype" w:hAnsi="Palatino Linotype" w:cs="Palatino Linotype"/>
          <w:sz w:val="24"/>
          <w:szCs w:val="24"/>
        </w:rPr>
        <w:t xml:space="preserve">General de Organización de la Procuraduría de Protección al Ambiente del Estado de México, el Sujeto Obligado cuenta con la Subdirección de Verificación y Vigilancia. Esta Subdirección tiene como objetivo </w:t>
      </w:r>
      <w:r w:rsidR="000E5A5A" w:rsidRPr="00512B53">
        <w:rPr>
          <w:rFonts w:ascii="Palatino Linotype" w:eastAsia="Palatino Linotype" w:hAnsi="Palatino Linotype" w:cs="Palatino Linotype"/>
          <w:b/>
          <w:bCs/>
          <w:sz w:val="24"/>
          <w:szCs w:val="24"/>
        </w:rPr>
        <w:t>programar acciones de verificación orientadas a constatar el cumplimiento de la normatividad en materia ambiental</w:t>
      </w:r>
      <w:r w:rsidR="000E5A5A">
        <w:rPr>
          <w:rFonts w:ascii="Palatino Linotype" w:eastAsia="Palatino Linotype" w:hAnsi="Palatino Linotype" w:cs="Palatino Linotype"/>
          <w:sz w:val="24"/>
          <w:szCs w:val="24"/>
        </w:rPr>
        <w:t xml:space="preserve">, así como analizar las actas de verificación a efecto de determinar las conductas violatorias a la legislación ambiental, teniendo entre sus funciones la de autorizar, emitir </w:t>
      </w:r>
      <w:r w:rsidR="00B91B46">
        <w:rPr>
          <w:rFonts w:ascii="Palatino Linotype" w:eastAsia="Palatino Linotype" w:hAnsi="Palatino Linotype" w:cs="Palatino Linotype"/>
          <w:sz w:val="24"/>
          <w:szCs w:val="24"/>
        </w:rPr>
        <w:t xml:space="preserve">y coordinar la ejecución de visitas de inspección a los verificentros de la entidad, </w:t>
      </w:r>
      <w:r w:rsidR="00B91B46">
        <w:rPr>
          <w:rFonts w:ascii="Palatino Linotype" w:eastAsia="Palatino Linotype" w:hAnsi="Palatino Linotype" w:cs="Palatino Linotype"/>
          <w:b/>
          <w:bCs/>
          <w:sz w:val="24"/>
          <w:szCs w:val="24"/>
        </w:rPr>
        <w:t>para constatar que operan conforme a la legislación y normatividad vigente en materia ambiental y que cuentan con las autorizaciones de operación correspondiente</w:t>
      </w:r>
      <w:r w:rsidR="00512B53" w:rsidRPr="00512B53">
        <w:rPr>
          <w:rFonts w:ascii="Palatino Linotype" w:eastAsia="Palatino Linotype" w:hAnsi="Palatino Linotype" w:cs="Palatino Linotype"/>
          <w:sz w:val="24"/>
          <w:szCs w:val="24"/>
        </w:rPr>
        <w:t>.</w:t>
      </w:r>
    </w:p>
    <w:p w14:paraId="7A941E20" w14:textId="1F54AB03" w:rsidR="00512B53" w:rsidRPr="00512B53" w:rsidRDefault="00512B53" w:rsidP="00663A37">
      <w:pPr>
        <w:spacing w:after="0" w:line="360" w:lineRule="auto"/>
        <w:contextualSpacing/>
        <w:jc w:val="both"/>
        <w:rPr>
          <w:rFonts w:ascii="Palatino Linotype" w:eastAsia="Palatino Linotype" w:hAnsi="Palatino Linotype" w:cs="Palatino Linotype"/>
          <w:sz w:val="24"/>
          <w:szCs w:val="24"/>
        </w:rPr>
      </w:pPr>
    </w:p>
    <w:p w14:paraId="0E314F76" w14:textId="2775EA27" w:rsidR="00512B53" w:rsidRDefault="00A327E3" w:rsidP="00512B53">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Para realizar lo anterior</w:t>
      </w:r>
      <w:r w:rsidR="00512B53">
        <w:rPr>
          <w:rFonts w:ascii="Palatino Linotype" w:eastAsia="Palatino Linotype" w:hAnsi="Palatino Linotype" w:cs="Palatino Linotype"/>
          <w:sz w:val="24"/>
          <w:szCs w:val="24"/>
        </w:rPr>
        <w:t>, se auxilia del Departamento de Vigilancia de Fuentes Fijas y Móviles, cuyo objetivo es e</w:t>
      </w:r>
      <w:r w:rsidR="00512B53" w:rsidRPr="00512B53">
        <w:rPr>
          <w:rFonts w:ascii="Palatino Linotype" w:eastAsia="Palatino Linotype" w:hAnsi="Palatino Linotype" w:cs="Palatino Linotype"/>
          <w:sz w:val="24"/>
          <w:szCs w:val="24"/>
        </w:rPr>
        <w:t>stablecer y operar un esquema de vigilancia, prioritariamente a empresas que realizan actividades altamente riesgosas, para controlar la</w:t>
      </w:r>
      <w:r w:rsidR="00512B53">
        <w:rPr>
          <w:rFonts w:ascii="Palatino Linotype" w:eastAsia="Palatino Linotype" w:hAnsi="Palatino Linotype" w:cs="Palatino Linotype"/>
          <w:sz w:val="24"/>
          <w:szCs w:val="24"/>
        </w:rPr>
        <w:t xml:space="preserve"> </w:t>
      </w:r>
      <w:r w:rsidR="00512B53" w:rsidRPr="00512B53">
        <w:rPr>
          <w:rFonts w:ascii="Palatino Linotype" w:eastAsia="Palatino Linotype" w:hAnsi="Palatino Linotype" w:cs="Palatino Linotype"/>
          <w:sz w:val="24"/>
          <w:szCs w:val="24"/>
        </w:rPr>
        <w:t>mayor cantidad de contaminantes y evitar riesgos, así como inducir el cumplimiento de la normatividad ambiental e impulsar acciones de</w:t>
      </w:r>
      <w:r w:rsidR="00512B53">
        <w:rPr>
          <w:rFonts w:ascii="Palatino Linotype" w:eastAsia="Palatino Linotype" w:hAnsi="Palatino Linotype" w:cs="Palatino Linotype"/>
          <w:sz w:val="24"/>
          <w:szCs w:val="24"/>
        </w:rPr>
        <w:t xml:space="preserve"> </w:t>
      </w:r>
      <w:r w:rsidR="00512B53" w:rsidRPr="00512B53">
        <w:rPr>
          <w:rFonts w:ascii="Palatino Linotype" w:eastAsia="Palatino Linotype" w:hAnsi="Palatino Linotype" w:cs="Palatino Linotype"/>
          <w:sz w:val="24"/>
          <w:szCs w:val="24"/>
        </w:rPr>
        <w:t>prevención y control de la contaminación ambiental</w:t>
      </w:r>
      <w:r w:rsidR="00512B53">
        <w:rPr>
          <w:rFonts w:ascii="Palatino Linotype" w:eastAsia="Palatino Linotype" w:hAnsi="Palatino Linotype" w:cs="Palatino Linotype"/>
          <w:sz w:val="24"/>
          <w:szCs w:val="24"/>
        </w:rPr>
        <w:t xml:space="preserve">, teniendo entre sus funciones </w:t>
      </w:r>
      <w:r>
        <w:rPr>
          <w:rFonts w:ascii="Palatino Linotype" w:eastAsia="Palatino Linotype" w:hAnsi="Palatino Linotype" w:cs="Palatino Linotype"/>
          <w:sz w:val="24"/>
          <w:szCs w:val="24"/>
        </w:rPr>
        <w:t>coordinar y participar en las visitas de inspección a los centros de verificación vehicular, a efecto de detectar posibles irregularidades o violaciones a la normatividad ambiental vigente.</w:t>
      </w:r>
    </w:p>
    <w:p w14:paraId="1E1B1B4F" w14:textId="10F36158" w:rsidR="00512B53" w:rsidRDefault="00512B53" w:rsidP="00663A37">
      <w:pPr>
        <w:spacing w:after="0" w:line="360" w:lineRule="auto"/>
        <w:contextualSpacing/>
        <w:jc w:val="both"/>
        <w:rPr>
          <w:rFonts w:ascii="Palatino Linotype" w:eastAsia="Palatino Linotype" w:hAnsi="Palatino Linotype" w:cs="Palatino Linotype"/>
          <w:sz w:val="24"/>
          <w:szCs w:val="24"/>
        </w:rPr>
      </w:pPr>
    </w:p>
    <w:p w14:paraId="63EA36EC" w14:textId="6C7DE979" w:rsidR="00512B53" w:rsidRDefault="00CC6FFC" w:rsidP="00663A37">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Del mismo modo, el proceso que se sigue para realizar las verificaciones está normado en el Manual de Procedimientos de la Subdirección de Verificación y Vigilancia y consiste </w:t>
      </w:r>
      <w:r w:rsidR="008F408C">
        <w:rPr>
          <w:rFonts w:ascii="Palatino Linotype" w:eastAsia="Palatino Linotype" w:hAnsi="Palatino Linotype" w:cs="Palatino Linotype"/>
          <w:sz w:val="24"/>
          <w:szCs w:val="24"/>
        </w:rPr>
        <w:t xml:space="preserve">en </w:t>
      </w:r>
      <w:r>
        <w:rPr>
          <w:rFonts w:ascii="Palatino Linotype" w:eastAsia="Palatino Linotype" w:hAnsi="Palatino Linotype" w:cs="Palatino Linotype"/>
          <w:sz w:val="24"/>
          <w:szCs w:val="24"/>
        </w:rPr>
        <w:t>el siguiente diagrama:</w:t>
      </w:r>
    </w:p>
    <w:p w14:paraId="3E1C088C" w14:textId="5480B6DA" w:rsidR="00CC6FFC" w:rsidRDefault="00CC6FFC" w:rsidP="00663A37">
      <w:pPr>
        <w:spacing w:after="0" w:line="360" w:lineRule="auto"/>
        <w:contextualSpacing/>
        <w:jc w:val="both"/>
        <w:rPr>
          <w:rFonts w:ascii="Palatino Linotype" w:eastAsia="Palatino Linotype" w:hAnsi="Palatino Linotype" w:cs="Palatino Linotype"/>
          <w:sz w:val="24"/>
          <w:szCs w:val="24"/>
        </w:rPr>
      </w:pPr>
    </w:p>
    <w:p w14:paraId="68F3BAC9" w14:textId="16BA9EFB" w:rsidR="00CC6FFC" w:rsidRDefault="00CC6FFC" w:rsidP="00663A37">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noProof/>
          <w:sz w:val="24"/>
          <w:szCs w:val="24"/>
        </w:rPr>
        <w:drawing>
          <wp:inline distT="0" distB="0" distL="0" distR="0" wp14:anchorId="1071C4F9" wp14:editId="5BD25607">
            <wp:extent cx="5722152" cy="6458673"/>
            <wp:effectExtent l="0" t="0" r="5715" b="571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8">
                      <a:extLst>
                        <a:ext uri="{28A0092B-C50C-407E-A947-70E740481C1C}">
                          <a14:useLocalDpi xmlns:a14="http://schemas.microsoft.com/office/drawing/2010/main" val="0"/>
                        </a:ext>
                      </a:extLst>
                    </a:blip>
                    <a:stretch>
                      <a:fillRect/>
                    </a:stretch>
                  </pic:blipFill>
                  <pic:spPr>
                    <a:xfrm>
                      <a:off x="0" y="0"/>
                      <a:ext cx="5741723" cy="6480763"/>
                    </a:xfrm>
                    <a:prstGeom prst="rect">
                      <a:avLst/>
                    </a:prstGeom>
                  </pic:spPr>
                </pic:pic>
              </a:graphicData>
            </a:graphic>
          </wp:inline>
        </w:drawing>
      </w:r>
    </w:p>
    <w:p w14:paraId="7A655347" w14:textId="77777777" w:rsidR="00CC6FFC" w:rsidRPr="00512B53" w:rsidRDefault="00CC6FFC" w:rsidP="00663A37">
      <w:pPr>
        <w:spacing w:after="0" w:line="360" w:lineRule="auto"/>
        <w:contextualSpacing/>
        <w:jc w:val="both"/>
        <w:rPr>
          <w:rFonts w:ascii="Palatino Linotype" w:eastAsia="Palatino Linotype" w:hAnsi="Palatino Linotype" w:cs="Palatino Linotype"/>
          <w:sz w:val="24"/>
          <w:szCs w:val="24"/>
        </w:rPr>
      </w:pPr>
    </w:p>
    <w:p w14:paraId="188376AB" w14:textId="5B3C27E5" w:rsidR="006A158E" w:rsidRDefault="00963687" w:rsidP="00663A37">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lastRenderedPageBreak/>
        <w:t xml:space="preserve">De lo anterior se desprende que el Sujeto Obligado </w:t>
      </w:r>
      <w:r w:rsidR="004403F7">
        <w:rPr>
          <w:rFonts w:ascii="Palatino Linotype" w:eastAsia="Palatino Linotype" w:hAnsi="Palatino Linotype" w:cs="Palatino Linotype"/>
          <w:sz w:val="24"/>
          <w:szCs w:val="24"/>
        </w:rPr>
        <w:t xml:space="preserve">sí realiza visitas de verificación y vigilancia a </w:t>
      </w:r>
      <w:r w:rsidR="009C40E3">
        <w:rPr>
          <w:rFonts w:ascii="Palatino Linotype" w:eastAsia="Palatino Linotype" w:hAnsi="Palatino Linotype" w:cs="Palatino Linotype"/>
          <w:sz w:val="24"/>
          <w:szCs w:val="24"/>
        </w:rPr>
        <w:t xml:space="preserve">fuentes fijas, como verificentros, en los cuales </w:t>
      </w:r>
      <w:r w:rsidR="000E6426">
        <w:rPr>
          <w:rFonts w:ascii="Palatino Linotype" w:eastAsia="Palatino Linotype" w:hAnsi="Palatino Linotype" w:cs="Palatino Linotype"/>
          <w:sz w:val="24"/>
          <w:szCs w:val="24"/>
        </w:rPr>
        <w:t xml:space="preserve">el personal operativo se traslada con la orden al domicilio de la fuente contaminante y ejecuta la visita, redacta el acta circunstanciada o nota informativa y lo presenta al titular del Departamento de Verificación y de Vigilancia, quien recibe e integra el expediente, elabora el oficio de remisión para que sean enviados a la Subdirección de Seguimiento de Procedimiento, la cual tiene por objetivo atender las denuncias que en materia ambiental presente la ciudadanía y los sectores público, social y privado, así como determinar las infracciones a las disposiciones legales en materia ambiental y </w:t>
      </w:r>
      <w:r w:rsidR="00981FF0">
        <w:rPr>
          <w:rFonts w:ascii="Palatino Linotype" w:eastAsia="Palatino Linotype" w:hAnsi="Palatino Linotype" w:cs="Palatino Linotype"/>
          <w:sz w:val="24"/>
          <w:szCs w:val="24"/>
        </w:rPr>
        <w:t>tramitar los procedimientos administrativos de sanción correspondiente.</w:t>
      </w:r>
    </w:p>
    <w:p w14:paraId="62F1B1E3" w14:textId="6D4232F2" w:rsidR="000E6426" w:rsidRDefault="000E6426" w:rsidP="00663A37">
      <w:pPr>
        <w:spacing w:after="0" w:line="360" w:lineRule="auto"/>
        <w:contextualSpacing/>
        <w:jc w:val="both"/>
        <w:rPr>
          <w:rFonts w:ascii="Palatino Linotype" w:eastAsia="Palatino Linotype" w:hAnsi="Palatino Linotype" w:cs="Palatino Linotype"/>
          <w:sz w:val="24"/>
          <w:szCs w:val="24"/>
        </w:rPr>
      </w:pPr>
    </w:p>
    <w:p w14:paraId="1FA953D2" w14:textId="1AAFF110" w:rsidR="000E6426" w:rsidRDefault="000E6426" w:rsidP="00663A37">
      <w:pPr>
        <w:spacing w:after="0" w:line="360" w:lineRule="auto"/>
        <w:contextualSpacing/>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De tal forma que</w:t>
      </w:r>
      <w:r w:rsidR="00981FF0">
        <w:rPr>
          <w:rFonts w:ascii="Palatino Linotype" w:eastAsia="Palatino Linotype" w:hAnsi="Palatino Linotype" w:cs="Palatino Linotype"/>
          <w:sz w:val="24"/>
          <w:szCs w:val="24"/>
        </w:rPr>
        <w:t xml:space="preserve"> los cuerpos normativos que rigen los procedimientos de vigilancia y verificación que realiza el Sujeto Obligado no contemplan la existencia de un método científico y legal para determinar un deterioro o daño ambiental, y conforme a lo manifestado por el Sujeto Obligado en su Informe Justificado, </w:t>
      </w:r>
      <w:r w:rsidR="003E2202">
        <w:rPr>
          <w:rFonts w:ascii="Palatino Linotype" w:eastAsia="Palatino Linotype" w:hAnsi="Palatino Linotype" w:cs="Palatino Linotype"/>
          <w:sz w:val="24"/>
          <w:szCs w:val="24"/>
        </w:rPr>
        <w:t>las visitas de vigilancia y verificación se realizan para constatar el cumplimiento a las Normas Oficiales Mexicanas aplicables.</w:t>
      </w:r>
    </w:p>
    <w:p w14:paraId="6ABFA397" w14:textId="54F3BB36" w:rsidR="003E2202" w:rsidRDefault="003E2202" w:rsidP="00663A37">
      <w:pPr>
        <w:spacing w:after="0" w:line="360" w:lineRule="auto"/>
        <w:contextualSpacing/>
        <w:jc w:val="both"/>
        <w:rPr>
          <w:rFonts w:ascii="Palatino Linotype" w:eastAsia="Palatino Linotype" w:hAnsi="Palatino Linotype" w:cs="Palatino Linotype"/>
          <w:sz w:val="24"/>
          <w:szCs w:val="24"/>
        </w:rPr>
      </w:pPr>
    </w:p>
    <w:p w14:paraId="1EBB92C4" w14:textId="180788F1" w:rsidR="00FC71C7" w:rsidRPr="003E2202" w:rsidRDefault="003E2202" w:rsidP="003E2202">
      <w:pPr>
        <w:spacing w:after="0" w:line="360" w:lineRule="auto"/>
        <w:contextualSpacing/>
        <w:jc w:val="both"/>
        <w:rPr>
          <w:rFonts w:ascii="Palatino Linotype" w:eastAsia="Palatino Linotype" w:hAnsi="Palatino Linotype" w:cs="Palatino Linotype"/>
          <w:sz w:val="24"/>
          <w:szCs w:val="24"/>
        </w:rPr>
      </w:pPr>
      <w:r w:rsidRPr="003E2202">
        <w:rPr>
          <w:rFonts w:ascii="Palatino Linotype" w:eastAsia="Palatino Linotype" w:hAnsi="Palatino Linotype" w:cs="Palatino Linotype"/>
          <w:sz w:val="24"/>
          <w:szCs w:val="24"/>
        </w:rPr>
        <w:t xml:space="preserve">En consecuencia, toda vez que el Sujeto Obligado manifestó que no existe el documento que contemple lo solicitado por el Recurrente, se considera que </w:t>
      </w:r>
      <w:r w:rsidR="006E136F" w:rsidRPr="003E2202">
        <w:rPr>
          <w:rFonts w:ascii="Palatino Linotype" w:eastAsia="Palatino Linotype" w:hAnsi="Palatino Linotype" w:cs="Palatino Linotype"/>
          <w:sz w:val="24"/>
          <w:szCs w:val="24"/>
        </w:rPr>
        <w:t xml:space="preserve">emitió un pronunciamiento en </w:t>
      </w:r>
      <w:r w:rsidR="00FC71C7" w:rsidRPr="003E2202">
        <w:rPr>
          <w:rFonts w:ascii="Palatino Linotype" w:eastAsia="Palatino Linotype" w:hAnsi="Palatino Linotype" w:cs="Palatino Linotype"/>
          <w:sz w:val="24"/>
          <w:szCs w:val="24"/>
        </w:rPr>
        <w:t xml:space="preserve">sentido negativo; </w:t>
      </w:r>
      <w:r w:rsidR="00FC71C7" w:rsidRPr="003E2202">
        <w:rPr>
          <w:rFonts w:ascii="Palatino Linotype" w:eastAsiaTheme="minorHAnsi" w:hAnsi="Palatino Linotype" w:cstheme="minorHAnsi"/>
          <w:sz w:val="24"/>
          <w:szCs w:val="24"/>
          <w:lang w:eastAsia="en-US"/>
        </w:rPr>
        <w:t xml:space="preserve">es decir, </w:t>
      </w:r>
      <w:r w:rsidR="00FC71C7" w:rsidRPr="003E2202">
        <w:rPr>
          <w:rFonts w:ascii="Palatino Linotype" w:eastAsiaTheme="minorHAnsi" w:hAnsi="Palatino Linotype" w:cstheme="minorBidi"/>
          <w:sz w:val="24"/>
          <w:szCs w:val="24"/>
          <w:lang w:eastAsia="en-US"/>
        </w:rPr>
        <w:t xml:space="preserve">se concluye que la respuesta constituye hechos negativos, pues no se han generado, poseído o administrado </w:t>
      </w:r>
      <w:r>
        <w:rPr>
          <w:rFonts w:ascii="Palatino Linotype" w:eastAsiaTheme="minorHAnsi" w:hAnsi="Palatino Linotype" w:cstheme="minorBidi"/>
          <w:sz w:val="24"/>
          <w:szCs w:val="24"/>
          <w:lang w:eastAsia="en-US"/>
        </w:rPr>
        <w:t xml:space="preserve">el documento en donde conste el método científico y legal </w:t>
      </w:r>
      <w:r w:rsidR="00FC71C7" w:rsidRPr="003E2202">
        <w:rPr>
          <w:rFonts w:ascii="Palatino Linotype" w:eastAsiaTheme="minorHAnsi" w:hAnsi="Palatino Linotype" w:cstheme="minorBidi"/>
          <w:sz w:val="24"/>
          <w:szCs w:val="24"/>
          <w:lang w:eastAsia="en-US"/>
        </w:rPr>
        <w:t xml:space="preserve">solicitado por el Recurrente., en razón de que </w:t>
      </w:r>
      <w:r>
        <w:rPr>
          <w:rFonts w:ascii="Palatino Linotype" w:eastAsiaTheme="minorHAnsi" w:hAnsi="Palatino Linotype" w:cstheme="minorBidi"/>
          <w:sz w:val="24"/>
          <w:szCs w:val="24"/>
          <w:lang w:eastAsia="en-US"/>
        </w:rPr>
        <w:lastRenderedPageBreak/>
        <w:t>la normatividad aplicable no lo prevé</w:t>
      </w:r>
      <w:r w:rsidR="00FC71C7" w:rsidRPr="003E2202">
        <w:rPr>
          <w:rFonts w:ascii="Palatino Linotype" w:eastAsiaTheme="minorHAnsi" w:hAnsi="Palatino Linotype" w:cstheme="minorBidi"/>
          <w:sz w:val="24"/>
          <w:szCs w:val="24"/>
          <w:lang w:eastAsia="en-US"/>
        </w:rPr>
        <w:t xml:space="preserve">. </w:t>
      </w:r>
      <w:r w:rsidR="00FC71C7" w:rsidRPr="003E2202">
        <w:rPr>
          <w:rFonts w:ascii="Palatino Linotype" w:eastAsiaTheme="minorHAnsi" w:hAnsi="Palatino Linotype" w:cs="Arial"/>
          <w:sz w:val="24"/>
          <w:szCs w:val="24"/>
        </w:rPr>
        <w:t>Así, el Pleno de este Órgano Garante ha sostenido que ante un hecho negativo resulta innecesaria una declaratoria de inexistencia en términos de los artículos 19, 169 y 170 de la Ley de Transparencia y Acceso a la Información Pública del Estado de México y Municipios, resultando aplicable la siguiente tesis:</w:t>
      </w:r>
    </w:p>
    <w:p w14:paraId="1CFA3C3A" w14:textId="77777777" w:rsidR="00FC71C7" w:rsidRPr="003E2202" w:rsidRDefault="00FC71C7" w:rsidP="00FC71C7">
      <w:pPr>
        <w:spacing w:after="0" w:line="360" w:lineRule="auto"/>
        <w:rPr>
          <w:rFonts w:ascii="Palatino Linotype" w:eastAsiaTheme="minorHAnsi" w:hAnsi="Palatino Linotype" w:cstheme="minorBidi"/>
          <w:sz w:val="24"/>
          <w:szCs w:val="24"/>
        </w:rPr>
      </w:pPr>
    </w:p>
    <w:p w14:paraId="46E53A70" w14:textId="77777777" w:rsidR="00FC71C7" w:rsidRPr="00D63146" w:rsidRDefault="00FC71C7" w:rsidP="00FC71C7">
      <w:pPr>
        <w:spacing w:after="0" w:line="240" w:lineRule="auto"/>
        <w:ind w:left="567" w:right="567"/>
        <w:jc w:val="both"/>
        <w:rPr>
          <w:rFonts w:ascii="Palatino Linotype" w:eastAsiaTheme="minorHAnsi" w:hAnsi="Palatino Linotype" w:cstheme="minorBidi"/>
          <w:b/>
          <w:i/>
        </w:rPr>
      </w:pPr>
      <w:r w:rsidRPr="00D63146">
        <w:rPr>
          <w:rFonts w:ascii="Palatino Linotype" w:eastAsiaTheme="minorHAnsi" w:hAnsi="Palatino Linotype" w:cstheme="minorBidi"/>
          <w:b/>
          <w:i/>
        </w:rPr>
        <w:t xml:space="preserve">HECHOS NEGATIVOS, NO SON SUSCEPTIBLES DE DEMOSTRACIÓN. </w:t>
      </w:r>
    </w:p>
    <w:p w14:paraId="62FFAB75" w14:textId="77777777" w:rsidR="00FC71C7" w:rsidRPr="00D63146" w:rsidRDefault="00FC71C7" w:rsidP="00FC71C7">
      <w:pPr>
        <w:spacing w:after="0" w:line="240" w:lineRule="auto"/>
        <w:ind w:left="567" w:right="567"/>
        <w:jc w:val="both"/>
        <w:rPr>
          <w:rFonts w:ascii="Palatino Linotype" w:eastAsiaTheme="minorHAnsi" w:hAnsi="Palatino Linotype" w:cstheme="minorBidi"/>
          <w:i/>
        </w:rPr>
      </w:pPr>
      <w:r w:rsidRPr="00D63146">
        <w:rPr>
          <w:rFonts w:ascii="Palatino Linotype" w:eastAsiaTheme="minorHAnsi" w:hAnsi="Palatino Linotype" w:cstheme="minorBidi"/>
          <w:i/>
        </w:rPr>
        <w:t>Tratándose de un hecho negativo, el Juez no tiene por qué invocar prueba alguna de la que se desprenda, ya que es bien sabido que esta clase de hechos no son susceptibles de demostración.</w:t>
      </w:r>
    </w:p>
    <w:p w14:paraId="0561A05E" w14:textId="77777777" w:rsidR="00FC71C7" w:rsidRPr="00D63146" w:rsidRDefault="00FC71C7" w:rsidP="00FC71C7">
      <w:pPr>
        <w:spacing w:after="0" w:line="360" w:lineRule="auto"/>
        <w:ind w:left="567" w:right="567"/>
        <w:jc w:val="both"/>
        <w:rPr>
          <w:rFonts w:ascii="Palatino Linotype" w:eastAsiaTheme="minorHAnsi" w:hAnsi="Palatino Linotype" w:cstheme="minorBidi"/>
          <w:i/>
        </w:rPr>
      </w:pPr>
    </w:p>
    <w:p w14:paraId="0D51E91A" w14:textId="77777777" w:rsidR="00FC71C7" w:rsidRPr="00D63146" w:rsidRDefault="00FC71C7" w:rsidP="00FC71C7">
      <w:pPr>
        <w:spacing w:after="0" w:line="360" w:lineRule="auto"/>
        <w:jc w:val="both"/>
        <w:rPr>
          <w:rFonts w:ascii="Palatino Linotype" w:eastAsiaTheme="minorHAnsi" w:hAnsi="Palatino Linotype" w:cstheme="minorBidi"/>
          <w:sz w:val="24"/>
          <w:szCs w:val="24"/>
          <w:lang w:eastAsia="en-US"/>
        </w:rPr>
      </w:pPr>
      <w:r>
        <w:rPr>
          <w:rFonts w:ascii="Palatino Linotype" w:eastAsiaTheme="minorHAnsi" w:hAnsi="Palatino Linotype" w:cstheme="minorBidi"/>
          <w:sz w:val="24"/>
          <w:szCs w:val="24"/>
        </w:rPr>
        <w:t xml:space="preserve">Además, </w:t>
      </w:r>
      <w:r w:rsidRPr="00D63146">
        <w:rPr>
          <w:rFonts w:ascii="Palatino Linotype" w:eastAsiaTheme="minorHAnsi" w:hAnsi="Palatino Linotype" w:cstheme="minorBidi"/>
          <w:sz w:val="24"/>
          <w:szCs w:val="24"/>
        </w:rPr>
        <w:t>de conformidad con lo establecido en el artículo 12 de la Ley de</w:t>
      </w:r>
      <w:r>
        <w:rPr>
          <w:rFonts w:ascii="Palatino Linotype" w:eastAsiaTheme="minorHAnsi" w:hAnsi="Palatino Linotype" w:cstheme="minorBidi"/>
          <w:sz w:val="24"/>
          <w:szCs w:val="24"/>
        </w:rPr>
        <w:t xml:space="preserve"> la materia</w:t>
      </w:r>
      <w:r w:rsidRPr="00D63146">
        <w:rPr>
          <w:rFonts w:ascii="Palatino Linotype" w:eastAsiaTheme="minorHAnsi" w:hAnsi="Palatino Linotype" w:cstheme="minorBidi"/>
          <w:sz w:val="24"/>
          <w:szCs w:val="24"/>
        </w:rPr>
        <w:t>, el Sujeto Obligado sólo proporcionará la información que obra en sus archivos, lo que</w:t>
      </w:r>
      <w:r>
        <w:rPr>
          <w:rFonts w:ascii="Palatino Linotype" w:eastAsiaTheme="minorHAnsi" w:hAnsi="Palatino Linotype" w:cstheme="minorBidi"/>
          <w:sz w:val="24"/>
          <w:szCs w:val="24"/>
        </w:rPr>
        <w:t xml:space="preserve"> </w:t>
      </w:r>
      <w:r w:rsidRPr="00D63146">
        <w:rPr>
          <w:rFonts w:ascii="Palatino Linotype" w:eastAsiaTheme="minorHAnsi" w:hAnsi="Palatino Linotype" w:cstheme="minorBidi"/>
          <w:i/>
          <w:sz w:val="24"/>
          <w:szCs w:val="24"/>
        </w:rPr>
        <w:t>a contrario sensu</w:t>
      </w:r>
      <w:r>
        <w:rPr>
          <w:rFonts w:ascii="Palatino Linotype" w:eastAsiaTheme="minorHAnsi" w:hAnsi="Palatino Linotype" w:cstheme="minorBidi"/>
          <w:sz w:val="24"/>
          <w:szCs w:val="24"/>
        </w:rPr>
        <w:t xml:space="preserve"> significa que no</w:t>
      </w:r>
      <w:r w:rsidRPr="00D63146">
        <w:rPr>
          <w:rFonts w:ascii="Palatino Linotype" w:eastAsiaTheme="minorHAnsi" w:hAnsi="Palatino Linotype" w:cstheme="minorBidi"/>
          <w:sz w:val="24"/>
          <w:szCs w:val="24"/>
        </w:rPr>
        <w:t xml:space="preserve"> está obligado a proporcionar lo que no obre en sus archivos.</w:t>
      </w:r>
    </w:p>
    <w:p w14:paraId="1A6851B4" w14:textId="77777777" w:rsidR="00FC71C7" w:rsidRPr="00D63146" w:rsidRDefault="00FC71C7" w:rsidP="00FC71C7">
      <w:pPr>
        <w:spacing w:after="0" w:line="360" w:lineRule="auto"/>
        <w:jc w:val="both"/>
        <w:rPr>
          <w:rFonts w:ascii="Palatino Linotype" w:eastAsiaTheme="minorHAnsi" w:hAnsi="Palatino Linotype" w:cstheme="minorBidi"/>
          <w:sz w:val="24"/>
          <w:szCs w:val="24"/>
          <w:lang w:eastAsia="en-US"/>
        </w:rPr>
      </w:pPr>
    </w:p>
    <w:p w14:paraId="2F133644" w14:textId="77777777" w:rsidR="00FC71C7" w:rsidRPr="00D63146" w:rsidRDefault="00FC71C7" w:rsidP="00FC71C7">
      <w:pPr>
        <w:spacing w:after="0" w:line="360" w:lineRule="auto"/>
        <w:jc w:val="both"/>
        <w:rPr>
          <w:rFonts w:ascii="Palatino Linotype" w:eastAsiaTheme="minorHAnsi" w:hAnsi="Palatino Linotype" w:cstheme="minorBidi"/>
          <w:sz w:val="24"/>
          <w:szCs w:val="24"/>
          <w:lang w:eastAsia="en-US"/>
        </w:rPr>
      </w:pPr>
      <w:r w:rsidRPr="00D63146">
        <w:rPr>
          <w:rFonts w:ascii="Palatino Linotype" w:eastAsiaTheme="minorHAnsi" w:hAnsi="Palatino Linotype" w:cstheme="minorBidi"/>
          <w:sz w:val="24"/>
          <w:szCs w:val="24"/>
          <w:lang w:eastAsia="en-US"/>
        </w:rPr>
        <w:t>Asimismo, se destaca que el Sujeto Obligad</w:t>
      </w:r>
      <w:r>
        <w:rPr>
          <w:rFonts w:ascii="Palatino Linotype" w:eastAsiaTheme="minorHAnsi" w:hAnsi="Palatino Linotype" w:cstheme="minorBidi"/>
          <w:sz w:val="24"/>
          <w:szCs w:val="24"/>
          <w:lang w:eastAsia="en-US"/>
        </w:rPr>
        <w:t>o emitió un pronunciamiento. Por ende</w:t>
      </w:r>
      <w:r w:rsidRPr="00D63146">
        <w:rPr>
          <w:rFonts w:ascii="Palatino Linotype" w:eastAsiaTheme="minorHAnsi" w:hAnsi="Palatino Linotype" w:cstheme="minorBidi"/>
          <w:sz w:val="24"/>
          <w:szCs w:val="24"/>
          <w:lang w:eastAsia="en-US"/>
        </w:rPr>
        <w:t>, a</w:t>
      </w:r>
      <w:r>
        <w:rPr>
          <w:rFonts w:ascii="Palatino Linotype" w:eastAsiaTheme="minorHAnsi" w:hAnsi="Palatino Linotype" w:cstheme="minorBidi"/>
          <w:sz w:val="24"/>
          <w:szCs w:val="24"/>
          <w:lang w:eastAsia="en-US"/>
        </w:rPr>
        <w:t>l existir un pronunciamiento, aú</w:t>
      </w:r>
      <w:r w:rsidRPr="00D63146">
        <w:rPr>
          <w:rFonts w:ascii="Palatino Linotype" w:eastAsiaTheme="minorHAnsi" w:hAnsi="Palatino Linotype" w:cstheme="minorBidi"/>
          <w:sz w:val="24"/>
          <w:szCs w:val="24"/>
          <w:lang w:eastAsia="en-US"/>
        </w:rPr>
        <w:t xml:space="preserve">n en sentido negativo por parte del Sujeto Obligado, </w:t>
      </w:r>
      <w:r w:rsidRPr="00D63146">
        <w:rPr>
          <w:rFonts w:ascii="Palatino Linotype" w:eastAsiaTheme="minorHAnsi" w:hAnsi="Palatino Linotype" w:cstheme="minorBidi"/>
          <w:sz w:val="24"/>
          <w:szCs w:val="24"/>
        </w:rPr>
        <w:t>este Órgano Garante estima conveniente señalar que no está facultado para manifestarse sobre la veracidad de la información proporcionada, ya que no existe precepto legal alguna en la Ley de la Materia que permita, vía recur</w:t>
      </w:r>
      <w:r>
        <w:rPr>
          <w:rFonts w:ascii="Palatino Linotype" w:eastAsiaTheme="minorHAnsi" w:hAnsi="Palatino Linotype" w:cstheme="minorBidi"/>
          <w:sz w:val="24"/>
          <w:szCs w:val="24"/>
        </w:rPr>
        <w:t>so de revisión, que se pronuncie</w:t>
      </w:r>
      <w:r w:rsidRPr="00D63146">
        <w:rPr>
          <w:rFonts w:ascii="Palatino Linotype" w:eastAsiaTheme="minorHAnsi" w:hAnsi="Palatino Linotype" w:cstheme="minorBidi"/>
          <w:sz w:val="24"/>
          <w:szCs w:val="24"/>
        </w:rPr>
        <w:t xml:space="preserve"> al respecto. Por analogía, sirve de apo</w:t>
      </w:r>
      <w:r>
        <w:rPr>
          <w:rFonts w:ascii="Palatino Linotype" w:eastAsiaTheme="minorHAnsi" w:hAnsi="Palatino Linotype" w:cstheme="minorBidi"/>
          <w:sz w:val="24"/>
          <w:szCs w:val="24"/>
        </w:rPr>
        <w:t>yo a lo anterior el Criterio 31/</w:t>
      </w:r>
      <w:r w:rsidRPr="00D63146">
        <w:rPr>
          <w:rFonts w:ascii="Palatino Linotype" w:eastAsiaTheme="minorHAnsi" w:hAnsi="Palatino Linotype" w:cstheme="minorBidi"/>
          <w:sz w:val="24"/>
          <w:szCs w:val="24"/>
        </w:rPr>
        <w:t>10 emitido por el entonces Instituto Federal de Accesos a la Información y Protección de Datos, que a la letra establece lo siguiente:</w:t>
      </w:r>
    </w:p>
    <w:p w14:paraId="0F159A4F" w14:textId="77777777" w:rsidR="00FC71C7" w:rsidRPr="00D63146" w:rsidRDefault="00FC71C7" w:rsidP="00FC71C7">
      <w:pPr>
        <w:spacing w:after="0" w:line="360" w:lineRule="auto"/>
        <w:jc w:val="both"/>
        <w:rPr>
          <w:rFonts w:ascii="Palatino Linotype" w:eastAsiaTheme="minorHAnsi" w:hAnsi="Palatino Linotype" w:cstheme="minorBidi"/>
          <w:sz w:val="24"/>
          <w:szCs w:val="24"/>
        </w:rPr>
      </w:pPr>
    </w:p>
    <w:p w14:paraId="4ACD86BD" w14:textId="77777777" w:rsidR="00FC71C7" w:rsidRPr="00D63146" w:rsidRDefault="00FC71C7" w:rsidP="00FC71C7">
      <w:pPr>
        <w:spacing w:after="0" w:line="240" w:lineRule="auto"/>
        <w:ind w:left="567" w:right="567"/>
        <w:jc w:val="both"/>
        <w:rPr>
          <w:rFonts w:ascii="Palatino Linotype" w:eastAsiaTheme="minorHAnsi" w:hAnsi="Palatino Linotype" w:cstheme="minorBidi"/>
          <w:lang w:eastAsia="en-US"/>
        </w:rPr>
      </w:pPr>
      <w:r w:rsidRPr="00D63146">
        <w:rPr>
          <w:rFonts w:ascii="Palatino Linotype" w:eastAsiaTheme="minorHAnsi" w:hAnsi="Palatino Linotype" w:cs="Arial"/>
          <w:b/>
          <w:i/>
        </w:rPr>
        <w:t>EL INSTITUTO FEDERAL DE ACCESO A LA INFORMACIÓN Y PROTECCIÓN DE DATOS NO CUENTA CON FACULTADES PARA PRONUNCIARSE RESPECTO DE LA VERACIDAD DE LOS DOCUMENTOS PROPORCIONADOS POR LOS SUJETOS OBLIGADOS.</w:t>
      </w:r>
      <w:r w:rsidRPr="00D63146">
        <w:rPr>
          <w:rFonts w:ascii="Palatino Linotype" w:eastAsiaTheme="minorHAnsi" w:hAnsi="Palatino Linotype" w:cs="Arial"/>
          <w:i/>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Accesos a la Información Pública Gubernamental no se prevé una causal que permita al Instituto Federal de Acceso a la Información y Protección de Datos conocer, vía recurso de revisión, al respecto.</w:t>
      </w:r>
    </w:p>
    <w:p w14:paraId="49B6E9C9" w14:textId="77777777" w:rsidR="00FC71C7" w:rsidRPr="00D63146" w:rsidRDefault="00FC71C7" w:rsidP="00FC71C7">
      <w:pPr>
        <w:spacing w:after="0" w:line="360" w:lineRule="auto"/>
        <w:jc w:val="both"/>
        <w:rPr>
          <w:rFonts w:ascii="Palatino Linotype" w:eastAsiaTheme="minorHAnsi" w:hAnsi="Palatino Linotype" w:cs="Arial"/>
          <w:sz w:val="24"/>
          <w:szCs w:val="24"/>
          <w:lang w:eastAsia="en-US"/>
        </w:rPr>
      </w:pPr>
    </w:p>
    <w:p w14:paraId="093397CB" w14:textId="3173FA15" w:rsidR="00FC71C7" w:rsidRDefault="00FC71C7" w:rsidP="00FC71C7">
      <w:pPr>
        <w:spacing w:after="0" w:line="360" w:lineRule="auto"/>
        <w:jc w:val="both"/>
        <w:rPr>
          <w:rFonts w:ascii="Palatino Linotype" w:eastAsiaTheme="minorHAnsi" w:hAnsi="Palatino Linotype" w:cs="Arial"/>
          <w:sz w:val="24"/>
          <w:szCs w:val="24"/>
          <w:lang w:eastAsia="en-US"/>
        </w:rPr>
      </w:pPr>
      <w:r w:rsidRPr="00D63146">
        <w:rPr>
          <w:rFonts w:ascii="Palatino Linotype" w:eastAsiaTheme="minorHAnsi" w:hAnsi="Palatino Linotype" w:cs="Arial"/>
          <w:sz w:val="24"/>
          <w:szCs w:val="24"/>
          <w:lang w:eastAsia="en-US"/>
        </w:rPr>
        <w:t>De tal forma que el Sujeto Obligado realizó un pronunciamiento con el cual respondió a la solicitud realizada por el hoy Recurrente, cuyo sentido no transgrede el derecho de acceso a la información del particular debido a que el Sujeto Obligado no está constreñido a generar, poseer o administrar la información solicitada</w:t>
      </w:r>
      <w:r w:rsidR="00CB1389">
        <w:rPr>
          <w:rFonts w:ascii="Palatino Linotype" w:eastAsiaTheme="minorHAnsi" w:hAnsi="Palatino Linotype" w:cs="Arial"/>
          <w:sz w:val="24"/>
          <w:szCs w:val="24"/>
          <w:lang w:eastAsia="en-US"/>
        </w:rPr>
        <w:t>.</w:t>
      </w:r>
    </w:p>
    <w:p w14:paraId="494DB7C4" w14:textId="458FC6A0" w:rsidR="00CB1389" w:rsidRDefault="00CB1389" w:rsidP="00FC71C7">
      <w:pPr>
        <w:spacing w:after="0" w:line="360" w:lineRule="auto"/>
        <w:jc w:val="both"/>
        <w:rPr>
          <w:rFonts w:ascii="Palatino Linotype" w:eastAsiaTheme="minorHAnsi" w:hAnsi="Palatino Linotype" w:cs="Arial"/>
          <w:sz w:val="24"/>
          <w:szCs w:val="24"/>
          <w:lang w:eastAsia="en-US"/>
        </w:rPr>
      </w:pPr>
    </w:p>
    <w:p w14:paraId="37C3BB99" w14:textId="7632C293" w:rsidR="00CB1389" w:rsidRDefault="00CB1389" w:rsidP="00FC71C7">
      <w:pPr>
        <w:spacing w:after="0" w:line="360" w:lineRule="auto"/>
        <w:jc w:val="both"/>
        <w:rPr>
          <w:rFonts w:ascii="Palatino Linotype" w:eastAsiaTheme="minorHAnsi" w:hAnsi="Palatino Linotype" w:cs="Arial"/>
          <w:sz w:val="24"/>
          <w:szCs w:val="24"/>
          <w:lang w:eastAsia="en-US"/>
        </w:rPr>
      </w:pPr>
      <w:r>
        <w:rPr>
          <w:rFonts w:ascii="Palatino Linotype" w:eastAsiaTheme="minorHAnsi" w:hAnsi="Palatino Linotype" w:cs="Arial"/>
          <w:sz w:val="24"/>
          <w:szCs w:val="24"/>
          <w:lang w:eastAsia="en-US"/>
        </w:rPr>
        <w:t>Ahora bien, toda vez que dicho pronunciamiento fue realizado al momento de rendir su Informe Justificado, se concluye que el Sujeto Obligado modificó su respuesta al ampliar su explicación y remitir las Normas Oficiales Mexicanas que observa al momento de realizar sus visitas de vigilancia y verificación, dejando sin materia el presente recurso de revisión.</w:t>
      </w:r>
    </w:p>
    <w:p w14:paraId="2FFE9D6B" w14:textId="77777777" w:rsidR="00CB1389" w:rsidRDefault="00CB1389" w:rsidP="00EF7470">
      <w:pPr>
        <w:spacing w:after="0" w:line="360" w:lineRule="auto"/>
        <w:jc w:val="both"/>
        <w:rPr>
          <w:rFonts w:ascii="Palatino Linotype" w:eastAsiaTheme="minorHAnsi" w:hAnsi="Palatino Linotype" w:cs="Arial"/>
          <w:sz w:val="24"/>
          <w:szCs w:val="24"/>
          <w:lang w:eastAsia="en-US"/>
        </w:rPr>
      </w:pPr>
    </w:p>
    <w:p w14:paraId="521ECC88" w14:textId="0B05D165" w:rsidR="00EF7470" w:rsidRPr="006B11C6" w:rsidRDefault="00CB1389" w:rsidP="00EF7470">
      <w:pPr>
        <w:spacing w:after="0" w:line="360" w:lineRule="auto"/>
        <w:jc w:val="both"/>
        <w:rPr>
          <w:rFonts w:ascii="Palatino Linotype" w:eastAsiaTheme="minorHAnsi" w:hAnsi="Palatino Linotype" w:cstheme="minorBidi"/>
          <w:sz w:val="24"/>
          <w:szCs w:val="24"/>
          <w:lang w:eastAsia="en-US"/>
        </w:rPr>
      </w:pPr>
      <w:r>
        <w:rPr>
          <w:rFonts w:ascii="Palatino Linotype" w:eastAsiaTheme="minorHAnsi" w:hAnsi="Palatino Linotype" w:cstheme="minorBidi"/>
          <w:sz w:val="24"/>
          <w:szCs w:val="24"/>
          <w:lang w:eastAsia="en-US"/>
        </w:rPr>
        <w:lastRenderedPageBreak/>
        <w:t>En conclusión</w:t>
      </w:r>
      <w:r w:rsidR="00EF7470" w:rsidRPr="006B11C6">
        <w:rPr>
          <w:rFonts w:ascii="Palatino Linotype" w:eastAsiaTheme="minorHAnsi" w:hAnsi="Palatino Linotype" w:cstheme="minorBidi"/>
          <w:sz w:val="24"/>
          <w:szCs w:val="24"/>
          <w:lang w:eastAsia="en-US"/>
        </w:rPr>
        <w:t xml:space="preserve">, toda vez que el Sujeto Obligado amplió y modificó la respuesta otorgada a la solicitud de información </w:t>
      </w:r>
      <w:r w:rsidR="00EF7470" w:rsidRPr="006B11C6">
        <w:rPr>
          <w:rFonts w:ascii="Palatino Linotype" w:eastAsia="Palatino Linotype" w:hAnsi="Palatino Linotype" w:cs="Palatino Linotype"/>
          <w:b/>
          <w:color w:val="000000"/>
          <w:sz w:val="24"/>
          <w:szCs w:val="24"/>
        </w:rPr>
        <w:t>00</w:t>
      </w:r>
      <w:r>
        <w:rPr>
          <w:rFonts w:ascii="Palatino Linotype" w:eastAsia="Palatino Linotype" w:hAnsi="Palatino Linotype" w:cs="Palatino Linotype"/>
          <w:b/>
          <w:color w:val="000000"/>
          <w:sz w:val="24"/>
          <w:szCs w:val="24"/>
        </w:rPr>
        <w:t>122/PROPAEM</w:t>
      </w:r>
      <w:r w:rsidR="00EF7470" w:rsidRPr="006B11C6">
        <w:rPr>
          <w:rFonts w:ascii="Palatino Linotype" w:eastAsia="Palatino Linotype" w:hAnsi="Palatino Linotype" w:cs="Palatino Linotype"/>
          <w:b/>
          <w:color w:val="000000"/>
          <w:sz w:val="24"/>
          <w:szCs w:val="24"/>
        </w:rPr>
        <w:t>/IP/2021</w:t>
      </w:r>
      <w:r w:rsidR="00EF7470" w:rsidRPr="006B11C6">
        <w:rPr>
          <w:rFonts w:ascii="Palatino Linotype" w:eastAsia="Palatino Linotype" w:hAnsi="Palatino Linotype" w:cs="Palatino Linotype"/>
          <w:color w:val="000000"/>
          <w:sz w:val="24"/>
          <w:szCs w:val="24"/>
        </w:rPr>
        <w:t xml:space="preserve"> </w:t>
      </w:r>
      <w:r w:rsidR="00E97F10">
        <w:rPr>
          <w:rFonts w:ascii="Palatino Linotype" w:eastAsia="Palatino Linotype" w:hAnsi="Palatino Linotype" w:cs="Palatino Linotype"/>
          <w:color w:val="000000"/>
          <w:sz w:val="24"/>
          <w:szCs w:val="24"/>
        </w:rPr>
        <w:t xml:space="preserve">al informar al Recurrente la inexistencia del documento que requiere y los motivos de la misma, </w:t>
      </w:r>
      <w:r w:rsidR="00EF7470" w:rsidRPr="006B11C6">
        <w:rPr>
          <w:rFonts w:ascii="Palatino Linotype" w:eastAsiaTheme="minorHAnsi" w:hAnsi="Palatino Linotype" w:cstheme="minorBidi"/>
          <w:sz w:val="24"/>
          <w:szCs w:val="24"/>
          <w:lang w:eastAsia="en-US"/>
        </w:rPr>
        <w:t>de tal modo que no existen ya extremos legales para la procedencia del recurso, lo que conlleva a decretar el sobreseimiento. Es así que se advierte que en el caso en concreto se actualiza la causal de sobreseimiento prevista en la fracción III del artículo 192 de la Ley de Transparencia y Acceso a la Información Pública del Estado de México y Municipio, que a la letra establece:</w:t>
      </w:r>
    </w:p>
    <w:p w14:paraId="029960C4"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5121ED22" w14:textId="77777777" w:rsidR="00EF7470" w:rsidRPr="00EF7470" w:rsidRDefault="00EF7470" w:rsidP="00EF7470">
      <w:pPr>
        <w:spacing w:after="0" w:line="240" w:lineRule="auto"/>
        <w:ind w:left="567" w:right="567"/>
        <w:jc w:val="both"/>
        <w:rPr>
          <w:rFonts w:ascii="Palatino Linotype" w:eastAsiaTheme="minorHAnsi" w:hAnsi="Palatino Linotype" w:cstheme="minorBidi"/>
          <w:i/>
          <w:lang w:eastAsia="en-US"/>
        </w:rPr>
      </w:pPr>
      <w:r w:rsidRPr="00EF7470">
        <w:rPr>
          <w:rFonts w:ascii="Palatino Linotype" w:eastAsiaTheme="minorHAnsi" w:hAnsi="Palatino Linotype" w:cstheme="minorBidi"/>
          <w:b/>
          <w:i/>
          <w:lang w:eastAsia="en-US"/>
        </w:rPr>
        <w:t xml:space="preserve">Artículo 192. </w:t>
      </w:r>
      <w:r w:rsidRPr="00EF7470">
        <w:rPr>
          <w:rFonts w:ascii="Palatino Linotype" w:eastAsiaTheme="minorHAnsi" w:hAnsi="Palatino Linotype" w:cstheme="minorBidi"/>
          <w:i/>
          <w:lang w:eastAsia="en-US"/>
        </w:rPr>
        <w:t>El recurso será sobreseído, en todo o en parte, cuando una vez admitido, se actualicen alguno de los siguientes supuestos:</w:t>
      </w:r>
    </w:p>
    <w:p w14:paraId="1D931875" w14:textId="77777777" w:rsidR="00EF7470" w:rsidRPr="00EF7470" w:rsidRDefault="00EF7470" w:rsidP="00EF7470">
      <w:pPr>
        <w:spacing w:after="0" w:line="240" w:lineRule="auto"/>
        <w:ind w:left="567" w:right="567"/>
        <w:jc w:val="both"/>
        <w:rPr>
          <w:rFonts w:ascii="Palatino Linotype" w:eastAsiaTheme="minorHAnsi" w:hAnsi="Palatino Linotype" w:cstheme="minorBidi"/>
          <w:i/>
          <w:lang w:eastAsia="en-US"/>
        </w:rPr>
      </w:pPr>
      <w:r w:rsidRPr="00EF7470">
        <w:rPr>
          <w:rFonts w:ascii="Palatino Linotype" w:eastAsiaTheme="minorHAnsi" w:hAnsi="Palatino Linotype" w:cstheme="minorBidi"/>
          <w:i/>
          <w:lang w:eastAsia="en-US"/>
        </w:rPr>
        <w:t>(…)</w:t>
      </w:r>
    </w:p>
    <w:p w14:paraId="2F1E0896" w14:textId="77777777" w:rsidR="00EF7470" w:rsidRPr="00EF7470" w:rsidRDefault="00EF7470" w:rsidP="00EF7470">
      <w:pPr>
        <w:spacing w:after="0" w:line="240" w:lineRule="auto"/>
        <w:ind w:left="567" w:right="567"/>
        <w:jc w:val="both"/>
        <w:rPr>
          <w:rFonts w:ascii="Palatino Linotype" w:eastAsiaTheme="minorHAnsi" w:hAnsi="Palatino Linotype" w:cstheme="minorBidi"/>
          <w:b/>
          <w:i/>
          <w:lang w:eastAsia="en-US"/>
        </w:rPr>
      </w:pPr>
      <w:r w:rsidRPr="00EF7470">
        <w:rPr>
          <w:rFonts w:ascii="Palatino Linotype" w:eastAsiaTheme="minorHAnsi" w:hAnsi="Palatino Linotype" w:cstheme="minorBidi"/>
          <w:b/>
          <w:i/>
          <w:lang w:eastAsia="en-US"/>
        </w:rPr>
        <w:t xml:space="preserve">III. El sujeto obligado responsable del acto lo modifique </w:t>
      </w:r>
      <w:r w:rsidRPr="00EF7470">
        <w:rPr>
          <w:rFonts w:ascii="Palatino Linotype" w:eastAsiaTheme="minorHAnsi" w:hAnsi="Palatino Linotype" w:cstheme="minorBidi"/>
          <w:i/>
          <w:lang w:eastAsia="en-US"/>
        </w:rPr>
        <w:t>o revoque</w:t>
      </w:r>
      <w:r w:rsidRPr="00EF7470">
        <w:rPr>
          <w:rFonts w:ascii="Palatino Linotype" w:eastAsiaTheme="minorHAnsi" w:hAnsi="Palatino Linotype" w:cstheme="minorBidi"/>
          <w:b/>
          <w:i/>
          <w:lang w:eastAsia="en-US"/>
        </w:rPr>
        <w:t xml:space="preserve"> de tal manera que el recurso de revisión quede sin materia;</w:t>
      </w:r>
    </w:p>
    <w:p w14:paraId="2E3C324B" w14:textId="77777777" w:rsidR="00EF7470" w:rsidRPr="00EF7470" w:rsidRDefault="00EF7470" w:rsidP="00EF7470">
      <w:pPr>
        <w:spacing w:after="0" w:line="240" w:lineRule="auto"/>
        <w:ind w:left="567" w:right="567"/>
        <w:jc w:val="both"/>
        <w:rPr>
          <w:rFonts w:ascii="Palatino Linotype" w:eastAsiaTheme="minorHAnsi" w:hAnsi="Palatino Linotype" w:cstheme="minorBidi"/>
          <w:i/>
          <w:lang w:eastAsia="en-US"/>
        </w:rPr>
      </w:pPr>
      <w:r w:rsidRPr="00EF7470">
        <w:rPr>
          <w:rFonts w:ascii="Palatino Linotype" w:eastAsiaTheme="minorHAnsi" w:hAnsi="Palatino Linotype" w:cstheme="minorBidi"/>
          <w:i/>
          <w:lang w:eastAsia="en-US"/>
        </w:rPr>
        <w:t>(…)</w:t>
      </w:r>
    </w:p>
    <w:p w14:paraId="56622BE1"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0F3A3F44"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Lo anterior es así, ya que el Pleno ha determinado que cuando el Sujeto Obligado mediante entrega, complemento o precisión proporciona la respuesta a la solicitud de información planteada, y la misma es coincidente con lo requerido por el entonces solicitante, debe entenderse que este rubro queda sin materia al haber colmado el requerimiento inicial planteado.</w:t>
      </w:r>
    </w:p>
    <w:p w14:paraId="18AD363C"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480667D9"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r w:rsidRPr="006B11C6">
        <w:rPr>
          <w:rFonts w:ascii="Palatino Linotype" w:eastAsiaTheme="minorHAnsi" w:hAnsi="Palatino Linotype" w:cstheme="minorBidi"/>
          <w:sz w:val="24"/>
          <w:szCs w:val="24"/>
          <w:lang w:eastAsia="en-US"/>
        </w:rPr>
        <w:t>Así, con fundamento en lo prescrito en los artículos 36 fracciones II y III, 186 fracción I y 192 fracción III de la Ley de Transparencia y Acceso a la Información Pública del Estado de México y Municipios el Pleno de este Órgano Garante:</w:t>
      </w:r>
    </w:p>
    <w:p w14:paraId="04B43A7B" w14:textId="77777777" w:rsidR="00EF7470" w:rsidRPr="006B11C6" w:rsidRDefault="00EF7470" w:rsidP="00EF7470">
      <w:pPr>
        <w:spacing w:after="0" w:line="360" w:lineRule="auto"/>
        <w:jc w:val="both"/>
        <w:rPr>
          <w:rFonts w:ascii="Palatino Linotype" w:eastAsiaTheme="minorHAnsi" w:hAnsi="Palatino Linotype" w:cstheme="minorBidi"/>
          <w:sz w:val="24"/>
          <w:szCs w:val="24"/>
          <w:lang w:eastAsia="en-US"/>
        </w:rPr>
      </w:pPr>
    </w:p>
    <w:p w14:paraId="113421E1" w14:textId="77777777" w:rsidR="00EF7470" w:rsidRPr="006B11C6" w:rsidRDefault="00EF7470" w:rsidP="00EF7470">
      <w:pPr>
        <w:spacing w:after="0" w:line="360" w:lineRule="auto"/>
        <w:jc w:val="center"/>
        <w:rPr>
          <w:rFonts w:ascii="Palatino Linotype" w:eastAsiaTheme="minorHAnsi" w:hAnsi="Palatino Linotype" w:cstheme="minorBidi"/>
          <w:b/>
          <w:bCs/>
          <w:spacing w:val="60"/>
          <w:sz w:val="28"/>
          <w:szCs w:val="28"/>
          <w:lang w:eastAsia="en-US"/>
        </w:rPr>
      </w:pPr>
      <w:r w:rsidRPr="006B11C6">
        <w:rPr>
          <w:rFonts w:ascii="Palatino Linotype" w:eastAsiaTheme="minorHAnsi" w:hAnsi="Palatino Linotype" w:cstheme="minorBidi"/>
          <w:b/>
          <w:bCs/>
          <w:spacing w:val="60"/>
          <w:sz w:val="28"/>
          <w:szCs w:val="28"/>
          <w:lang w:eastAsia="en-US"/>
        </w:rPr>
        <w:t>RESUELVE</w:t>
      </w:r>
    </w:p>
    <w:p w14:paraId="18047A20" w14:textId="77777777" w:rsidR="00EF7470" w:rsidRPr="006B11C6" w:rsidRDefault="00EF7470" w:rsidP="00EF7470">
      <w:pPr>
        <w:spacing w:after="0" w:line="360" w:lineRule="auto"/>
        <w:jc w:val="both"/>
        <w:rPr>
          <w:rFonts w:ascii="Palatino Linotype" w:eastAsiaTheme="minorHAnsi" w:hAnsi="Palatino Linotype" w:cstheme="minorBidi"/>
          <w:b/>
          <w:bCs/>
          <w:spacing w:val="60"/>
          <w:sz w:val="24"/>
          <w:szCs w:val="24"/>
          <w:lang w:eastAsia="en-US"/>
        </w:rPr>
      </w:pPr>
    </w:p>
    <w:p w14:paraId="7ECDD8BD" w14:textId="026284A0" w:rsidR="00EF7470" w:rsidRPr="006B11C6" w:rsidRDefault="00EF7470" w:rsidP="00EF7470">
      <w:pPr>
        <w:spacing w:after="0" w:line="360" w:lineRule="auto"/>
        <w:jc w:val="both"/>
        <w:rPr>
          <w:rFonts w:ascii="Palatino Linotype" w:eastAsiaTheme="minorHAnsi" w:hAnsi="Palatino Linotype" w:cs="Arial"/>
          <w:sz w:val="24"/>
          <w:szCs w:val="24"/>
          <w:lang w:eastAsia="en-US"/>
        </w:rPr>
      </w:pPr>
      <w:r w:rsidRPr="006B11C6">
        <w:rPr>
          <w:rFonts w:ascii="Palatino Linotype" w:eastAsiaTheme="minorHAnsi" w:hAnsi="Palatino Linotype" w:cs="Arial"/>
          <w:b/>
          <w:sz w:val="24"/>
          <w:szCs w:val="24"/>
          <w:lang w:eastAsia="en-US"/>
        </w:rPr>
        <w:t>PRIMERO.</w:t>
      </w:r>
      <w:r w:rsidRPr="006B11C6">
        <w:rPr>
          <w:rFonts w:ascii="Palatino Linotype" w:eastAsiaTheme="minorHAnsi" w:hAnsi="Palatino Linotype" w:cs="Arial"/>
          <w:sz w:val="24"/>
          <w:szCs w:val="24"/>
          <w:lang w:eastAsia="en-US"/>
        </w:rPr>
        <w:t xml:space="preserve"> Se</w:t>
      </w:r>
      <w:r w:rsidRPr="006B11C6">
        <w:rPr>
          <w:rFonts w:ascii="Palatino Linotype" w:eastAsiaTheme="minorHAnsi" w:hAnsi="Palatino Linotype" w:cs="Arial"/>
          <w:b/>
          <w:sz w:val="24"/>
          <w:szCs w:val="24"/>
          <w:lang w:eastAsia="en-US"/>
        </w:rPr>
        <w:t xml:space="preserve"> SOBRESEE </w:t>
      </w:r>
      <w:r w:rsidRPr="006B11C6">
        <w:rPr>
          <w:rFonts w:ascii="Palatino Linotype" w:eastAsiaTheme="minorHAnsi" w:hAnsi="Palatino Linotype" w:cs="Arial"/>
          <w:sz w:val="24"/>
          <w:szCs w:val="24"/>
          <w:lang w:eastAsia="en-US"/>
        </w:rPr>
        <w:t xml:space="preserve">el recurso de revisión número </w:t>
      </w:r>
      <w:r w:rsidRPr="006B11C6">
        <w:rPr>
          <w:rFonts w:ascii="Palatino Linotype" w:eastAsiaTheme="minorHAnsi" w:hAnsi="Palatino Linotype" w:cs="Arial"/>
          <w:b/>
          <w:sz w:val="24"/>
          <w:szCs w:val="24"/>
          <w:lang w:eastAsia="en-US"/>
        </w:rPr>
        <w:t>0</w:t>
      </w:r>
      <w:r w:rsidR="00E97F10">
        <w:rPr>
          <w:rFonts w:ascii="Palatino Linotype" w:eastAsiaTheme="minorHAnsi" w:hAnsi="Palatino Linotype" w:cs="Arial"/>
          <w:b/>
          <w:sz w:val="24"/>
          <w:szCs w:val="24"/>
          <w:lang w:eastAsia="en-US"/>
        </w:rPr>
        <w:t>5975</w:t>
      </w:r>
      <w:r w:rsidRPr="006B11C6">
        <w:rPr>
          <w:rFonts w:ascii="Palatino Linotype" w:eastAsiaTheme="minorHAnsi" w:hAnsi="Palatino Linotype" w:cs="Arial"/>
          <w:b/>
          <w:sz w:val="24"/>
          <w:szCs w:val="24"/>
          <w:lang w:eastAsia="en-US"/>
        </w:rPr>
        <w:t>/INFOEM/IP/RR/2021</w:t>
      </w:r>
      <w:r w:rsidRPr="006B11C6">
        <w:rPr>
          <w:rFonts w:ascii="Palatino Linotype" w:eastAsiaTheme="minorHAnsi" w:hAnsi="Palatino Linotype" w:cs="Arial"/>
          <w:sz w:val="24"/>
          <w:szCs w:val="24"/>
          <w:lang w:eastAsia="en-US"/>
        </w:rPr>
        <w:t xml:space="preserve">, porque al haberse modificado la respuesta, el recurso de revisión quedó sin materia en términos del </w:t>
      </w:r>
      <w:r w:rsidRPr="006B11C6">
        <w:rPr>
          <w:rFonts w:ascii="Palatino Linotype" w:eastAsiaTheme="minorHAnsi" w:hAnsi="Palatino Linotype" w:cs="Arial"/>
          <w:b/>
          <w:sz w:val="24"/>
          <w:szCs w:val="24"/>
          <w:lang w:eastAsia="en-US"/>
        </w:rPr>
        <w:t>Considerando CUARTO</w:t>
      </w:r>
      <w:r w:rsidRPr="006B11C6">
        <w:rPr>
          <w:rFonts w:ascii="Palatino Linotype" w:eastAsiaTheme="minorHAnsi" w:hAnsi="Palatino Linotype" w:cs="Arial"/>
          <w:sz w:val="24"/>
          <w:szCs w:val="24"/>
          <w:lang w:eastAsia="en-US"/>
        </w:rPr>
        <w:t xml:space="preserve"> de la presente resolución.</w:t>
      </w:r>
    </w:p>
    <w:p w14:paraId="3A00D6ED" w14:textId="77777777" w:rsidR="00EF7470" w:rsidRPr="006B11C6" w:rsidRDefault="00EF7470" w:rsidP="00EF7470">
      <w:pPr>
        <w:spacing w:after="0" w:line="360" w:lineRule="auto"/>
        <w:jc w:val="both"/>
        <w:rPr>
          <w:rFonts w:ascii="Palatino Linotype" w:eastAsiaTheme="minorHAnsi" w:hAnsi="Palatino Linotype" w:cs="Arial"/>
          <w:szCs w:val="24"/>
          <w:lang w:eastAsia="en-US"/>
        </w:rPr>
      </w:pPr>
    </w:p>
    <w:p w14:paraId="4D421D23" w14:textId="77777777" w:rsidR="00EF7470" w:rsidRPr="006B11C6" w:rsidRDefault="00EF7470" w:rsidP="00EF7470">
      <w:pPr>
        <w:spacing w:after="0" w:line="360" w:lineRule="auto"/>
        <w:jc w:val="both"/>
        <w:rPr>
          <w:rFonts w:ascii="Palatino Linotype" w:eastAsiaTheme="minorHAnsi" w:hAnsi="Palatino Linotype" w:cs="Arial"/>
          <w:sz w:val="24"/>
          <w:szCs w:val="24"/>
          <w:lang w:eastAsia="en-US"/>
        </w:rPr>
      </w:pPr>
      <w:r w:rsidRPr="006B11C6">
        <w:rPr>
          <w:rFonts w:ascii="Palatino Linotype" w:eastAsiaTheme="minorHAnsi" w:hAnsi="Palatino Linotype" w:cs="Arial"/>
          <w:b/>
          <w:sz w:val="24"/>
          <w:szCs w:val="24"/>
          <w:lang w:eastAsia="en-US"/>
        </w:rPr>
        <w:t>SEGUNDO.</w:t>
      </w:r>
      <w:r w:rsidRPr="006B11C6">
        <w:rPr>
          <w:rFonts w:ascii="Palatino Linotype" w:eastAsiaTheme="minorHAnsi" w:hAnsi="Palatino Linotype" w:cs="Arial"/>
          <w:sz w:val="24"/>
          <w:szCs w:val="24"/>
          <w:lang w:eastAsia="en-US"/>
        </w:rPr>
        <w:t xml:space="preserve"> </w:t>
      </w:r>
      <w:r w:rsidRPr="006B11C6">
        <w:rPr>
          <w:rFonts w:ascii="Palatino Linotype" w:eastAsiaTheme="minorHAnsi" w:hAnsi="Palatino Linotype" w:cs="Arial"/>
          <w:b/>
          <w:sz w:val="24"/>
          <w:szCs w:val="24"/>
          <w:lang w:eastAsia="en-US"/>
        </w:rPr>
        <w:t>Notifíquese</w:t>
      </w:r>
      <w:r w:rsidRPr="006B11C6">
        <w:rPr>
          <w:rFonts w:ascii="Palatino Linotype" w:eastAsiaTheme="minorHAnsi" w:hAnsi="Palatino Linotype" w:cs="Arial"/>
          <w:sz w:val="24"/>
          <w:szCs w:val="24"/>
          <w:lang w:eastAsia="en-US"/>
        </w:rPr>
        <w:t xml:space="preserve"> la presente resolución al Titular de la Unidad de Transparencia del Sujeto Obligado mediante el Sistema de Acceso a la Información Mexiquense (SAIMEX).</w:t>
      </w:r>
    </w:p>
    <w:p w14:paraId="7C6495C9" w14:textId="77777777" w:rsidR="00EF7470" w:rsidRPr="006B11C6" w:rsidRDefault="00EF7470" w:rsidP="00EF7470">
      <w:pPr>
        <w:spacing w:after="0" w:line="360" w:lineRule="auto"/>
        <w:jc w:val="both"/>
        <w:rPr>
          <w:rFonts w:ascii="Palatino Linotype" w:eastAsiaTheme="minorHAnsi" w:hAnsi="Palatino Linotype" w:cs="Arial"/>
          <w:sz w:val="24"/>
          <w:szCs w:val="24"/>
          <w:lang w:eastAsia="en-US"/>
        </w:rPr>
      </w:pPr>
    </w:p>
    <w:p w14:paraId="39D34A90" w14:textId="77777777" w:rsidR="00EF7470" w:rsidRPr="006B11C6" w:rsidRDefault="00EF7470" w:rsidP="00EF7470">
      <w:pPr>
        <w:spacing w:after="0" w:line="360" w:lineRule="auto"/>
        <w:contextualSpacing/>
        <w:jc w:val="both"/>
        <w:rPr>
          <w:rFonts w:ascii="Palatino Linotype" w:eastAsiaTheme="minorHAnsi" w:hAnsi="Palatino Linotype" w:cs="Arial"/>
          <w:sz w:val="24"/>
          <w:szCs w:val="24"/>
          <w:lang w:eastAsia="en-US"/>
        </w:rPr>
      </w:pPr>
      <w:r w:rsidRPr="006B11C6">
        <w:rPr>
          <w:rFonts w:ascii="Palatino Linotype" w:eastAsiaTheme="minorHAnsi" w:hAnsi="Palatino Linotype" w:cs="Arial"/>
          <w:b/>
          <w:sz w:val="24"/>
          <w:szCs w:val="24"/>
          <w:lang w:eastAsia="en-US"/>
        </w:rPr>
        <w:t>TERCERO. Notifíquese</w:t>
      </w:r>
      <w:r w:rsidRPr="006B11C6">
        <w:rPr>
          <w:rFonts w:ascii="Palatino Linotype" w:eastAsiaTheme="minorHAnsi" w:hAnsi="Palatino Linotype" w:cs="Arial"/>
          <w:sz w:val="24"/>
          <w:szCs w:val="24"/>
          <w:lang w:eastAsia="en-US"/>
        </w:rPr>
        <w:t xml:space="preserve"> la presente resolución al Recurrente</w:t>
      </w:r>
      <w:r w:rsidRPr="001C2099">
        <w:t xml:space="preserve"> </w:t>
      </w:r>
      <w:r w:rsidRPr="001C2099">
        <w:rPr>
          <w:rFonts w:ascii="Palatino Linotype" w:eastAsiaTheme="minorHAnsi" w:hAnsi="Palatino Linotype" w:cs="Arial"/>
          <w:sz w:val="24"/>
          <w:szCs w:val="24"/>
          <w:lang w:eastAsia="en-US"/>
        </w:rPr>
        <w:t>a través del Sistema de Acceso a la Información Mexiquense (SAIMEX),</w:t>
      </w:r>
      <w:r w:rsidRPr="006B11C6">
        <w:rPr>
          <w:rFonts w:ascii="Palatino Linotype" w:eastAsiaTheme="minorHAnsi" w:hAnsi="Palatino Linotype" w:cs="Arial"/>
          <w:sz w:val="24"/>
          <w:szCs w:val="24"/>
          <w:lang w:eastAsia="en-US"/>
        </w:rPr>
        <w:t xml:space="preserve"> y hágase de su conocimiento que, en caso de considerar que la misma le causa algún perjuicio, podrá promover el Juicio de Amparo en los términos de las leyes aplicables, de acuerdo a lo estipulado por el artículo 196 de la Ley de Transparencia y Acceso a la Información Pública del Estado de México y Municipios.</w:t>
      </w:r>
    </w:p>
    <w:p w14:paraId="6C163DB6" w14:textId="77777777" w:rsidR="00780F18" w:rsidRPr="0020763C" w:rsidRDefault="00780F18" w:rsidP="00780F18">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
    <w:p w14:paraId="3AB65A77" w14:textId="17C98AC8" w:rsidR="00E97F10" w:rsidRPr="005C6947" w:rsidRDefault="00663A37" w:rsidP="00E97F10">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Cs w:val="24"/>
        </w:rPr>
      </w:pPr>
      <w:r>
        <w:rPr>
          <w:rFonts w:ascii="Palatino Linotype" w:eastAsia="Palatino Linotype" w:hAnsi="Palatino Linotype" w:cs="Palatino Linotype"/>
          <w:color w:val="000000"/>
          <w:sz w:val="24"/>
          <w:szCs w:val="24"/>
        </w:rPr>
        <w:t>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w:t>
      </w:r>
      <w:r w:rsidR="005762A7">
        <w:rPr>
          <w:rFonts w:ascii="Palatino Linotype" w:eastAsia="Palatino Linotype" w:hAnsi="Palatino Linotype" w:cs="Palatino Linotype"/>
          <w:color w:val="000000"/>
          <w:sz w:val="24"/>
          <w:szCs w:val="24"/>
        </w:rPr>
        <w:t xml:space="preserve"> </w:t>
      </w:r>
      <w:r w:rsidR="005762A7">
        <w:rPr>
          <w:rFonts w:ascii="Palatino Linotype" w:eastAsia="Palatino Linotype" w:hAnsi="Palatino Linotype" w:cs="Palatino Linotype"/>
          <w:color w:val="000000"/>
          <w:sz w:val="24"/>
          <w:szCs w:val="24"/>
        </w:rPr>
        <w:lastRenderedPageBreak/>
        <w:t>(AUSENCIA JUSTIFICADA)</w:t>
      </w:r>
      <w:r>
        <w:rPr>
          <w:rFonts w:ascii="Palatino Linotype" w:eastAsia="Palatino Linotype" w:hAnsi="Palatino Linotype" w:cs="Palatino Linotype"/>
          <w:color w:val="000000"/>
          <w:sz w:val="24"/>
          <w:szCs w:val="24"/>
        </w:rPr>
        <w:t>, LUIS GUSTAVO PARRA NORIEGA Y GUADALU</w:t>
      </w:r>
      <w:r w:rsidR="00C57E04">
        <w:rPr>
          <w:rFonts w:ascii="Palatino Linotype" w:eastAsia="Palatino Linotype" w:hAnsi="Palatino Linotype" w:cs="Palatino Linotype"/>
          <w:color w:val="000000"/>
          <w:sz w:val="24"/>
          <w:szCs w:val="24"/>
        </w:rPr>
        <w:t xml:space="preserve">PE RAMÍREZ PEÑA, EN LA </w:t>
      </w:r>
      <w:r w:rsidR="005762A7">
        <w:rPr>
          <w:rFonts w:ascii="Palatino Linotype" w:eastAsia="Palatino Linotype" w:hAnsi="Palatino Linotype" w:cs="Palatino Linotype"/>
          <w:color w:val="000000"/>
          <w:sz w:val="24"/>
          <w:szCs w:val="24"/>
        </w:rPr>
        <w:t xml:space="preserve">TERCERA </w:t>
      </w:r>
      <w:r>
        <w:rPr>
          <w:rFonts w:ascii="Palatino Linotype" w:eastAsia="Palatino Linotype" w:hAnsi="Palatino Linotype" w:cs="Palatino Linotype"/>
          <w:color w:val="000000"/>
          <w:sz w:val="24"/>
          <w:szCs w:val="24"/>
        </w:rPr>
        <w:t>SESIÓN ORDINARIA CELEBRADA EL</w:t>
      </w:r>
      <w:r w:rsidR="005762A7">
        <w:rPr>
          <w:rFonts w:ascii="Palatino Linotype" w:eastAsia="Palatino Linotype" w:hAnsi="Palatino Linotype" w:cs="Palatino Linotype"/>
          <w:color w:val="000000"/>
          <w:sz w:val="24"/>
          <w:szCs w:val="24"/>
        </w:rPr>
        <w:t xml:space="preserve"> VEINTIS</w:t>
      </w:r>
      <w:r w:rsidR="00F63021">
        <w:rPr>
          <w:rFonts w:ascii="Palatino Linotype" w:eastAsia="Palatino Linotype" w:hAnsi="Palatino Linotype" w:cs="Palatino Linotype"/>
          <w:color w:val="000000"/>
          <w:sz w:val="24"/>
          <w:szCs w:val="24"/>
        </w:rPr>
        <w:t>IETE</w:t>
      </w:r>
      <w:r w:rsidR="005762A7">
        <w:rPr>
          <w:rFonts w:ascii="Palatino Linotype" w:eastAsia="Palatino Linotype" w:hAnsi="Palatino Linotype" w:cs="Palatino Linotype"/>
          <w:color w:val="000000"/>
          <w:sz w:val="24"/>
          <w:szCs w:val="24"/>
        </w:rPr>
        <w:t xml:space="preserve"> DE ENERO DE DOS MIL VEINTIDÓS</w:t>
      </w:r>
      <w:r>
        <w:rPr>
          <w:rFonts w:ascii="Palatino Linotype" w:eastAsia="Palatino Linotype" w:hAnsi="Palatino Linotype" w:cs="Palatino Linotype"/>
          <w:color w:val="000000"/>
          <w:sz w:val="24"/>
          <w:szCs w:val="24"/>
        </w:rPr>
        <w:t>, ANTE EL SECRETARIO TÉCNICO DEL PLENO, ALEXIS TAPIA RAMÍREZ.---------------</w:t>
      </w:r>
      <w:r w:rsidR="001C7C31">
        <w:rPr>
          <w:rFonts w:ascii="Palatino Linotype" w:eastAsia="Palatino Linotype" w:hAnsi="Palatino Linotype" w:cs="Palatino Linotype"/>
          <w:color w:val="000000"/>
          <w:sz w:val="24"/>
          <w:szCs w:val="24"/>
        </w:rPr>
        <w:t>------------------------------</w:t>
      </w:r>
      <w:r w:rsidR="00E97F10">
        <w:rPr>
          <w:rFonts w:ascii="Palatino Linotype" w:eastAsia="Palatino Linotype" w:hAnsi="Palatino Linotype" w:cs="Palatino Linotype"/>
          <w:color w:val="000000"/>
          <w:sz w:val="24"/>
          <w:szCs w:val="24"/>
        </w:rPr>
        <w:t>------------------------------------------------------------------------------------------------------------------</w:t>
      </w:r>
      <w:r w:rsidR="00E97F10" w:rsidRPr="00E97F10">
        <w:rPr>
          <w:rFonts w:ascii="Palatino Linotype" w:eastAsia="Palatino Linotype" w:hAnsi="Palatino Linotype" w:cs="Palatino Linotype"/>
          <w:color w:val="000000"/>
          <w:sz w:val="24"/>
          <w:szCs w:val="24"/>
        </w:rPr>
        <w:t xml:space="preserve"> </w:t>
      </w:r>
      <w:r w:rsidR="00E97F10">
        <w:rPr>
          <w:rFonts w:ascii="Palatino Linotype" w:eastAsia="Palatino Linotype" w:hAnsi="Palatino Linotype" w:cs="Palatino Linotype"/>
          <w:color w:val="000000"/>
          <w:sz w:val="24"/>
          <w:szCs w:val="24"/>
        </w:rPr>
        <w:t>------------------------------------------------------------------------------------------------------------------------------------------------------------------------------------------------------------------------------------------------------------------------------------------------------------------------------------------------------------------------------------------------------------------------------------------------------------------------------------------------------------------------------------------------------------------------------------------------------------------------------------------------------------------------------------------------------------------------------------------------------------------------------------------------------------------------------------------------------------------------------------------------------------------------------------------------------------------------------------------------------------------------------------------------------------------------------------------------------------------------------------------------------------------------------------------------------------------------------------------------------------------------------------------------------------------------------------------------------------------------------------------------------------------------------------------------------------------------------------------------------------------------------------------------------------------------------------------------------------------------------------------------------------------------------------------------------------------------------------------------------------------------------------------------------------------------------------------------------------------------------------------------------------------------------------------------------------------------------------------------------------------</w:t>
      </w:r>
    </w:p>
    <w:p w14:paraId="71CF1C22" w14:textId="77777777" w:rsidR="00663A37"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r w:rsidRPr="005C6947">
        <w:rPr>
          <w:rFonts w:ascii="Palatino Linotype" w:eastAsia="Palatino Linotype" w:hAnsi="Palatino Linotype" w:cs="Palatino Linotype"/>
          <w:color w:val="000000"/>
          <w:sz w:val="20"/>
          <w:szCs w:val="20"/>
        </w:rPr>
        <w:t>JMV/CCR/fzh</w:t>
      </w:r>
    </w:p>
    <w:p w14:paraId="31773D36"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46741A02"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6F168CF3"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4F2A3864"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21C246BF"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3520CEE0"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46AD37C6"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7E417CF2"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31633DD6" w14:textId="77777777" w:rsidR="00663A37" w:rsidRPr="003B7403" w:rsidRDefault="00663A37" w:rsidP="00663A37">
      <w:pPr>
        <w:pBdr>
          <w:top w:val="nil"/>
          <w:left w:val="nil"/>
          <w:bottom w:val="nil"/>
          <w:right w:val="nil"/>
          <w:between w:val="nil"/>
        </w:pBdr>
        <w:spacing w:after="0" w:line="360" w:lineRule="auto"/>
        <w:contextualSpacing/>
        <w:jc w:val="both"/>
        <w:rPr>
          <w:rFonts w:ascii="Palatino Linotype" w:eastAsia="Palatino Linotype" w:hAnsi="Palatino Linotype" w:cs="Palatino Linotype"/>
          <w:color w:val="000000"/>
          <w:sz w:val="20"/>
          <w:szCs w:val="20"/>
        </w:rPr>
      </w:pPr>
    </w:p>
    <w:p w14:paraId="67672A95" w14:textId="77777777" w:rsidR="00D718B8" w:rsidRPr="003B7403" w:rsidRDefault="00D718B8" w:rsidP="00663A37">
      <w:pPr>
        <w:rPr>
          <w:rFonts w:ascii="Palatino Linotype" w:hAnsi="Palatino Linotype"/>
          <w:sz w:val="20"/>
          <w:szCs w:val="20"/>
        </w:rPr>
      </w:pPr>
    </w:p>
    <w:sectPr w:rsidR="00D718B8" w:rsidRPr="003B7403" w:rsidSect="00713DD5">
      <w:headerReference w:type="even" r:id="rId9"/>
      <w:headerReference w:type="default" r:id="rId10"/>
      <w:footerReference w:type="default" r:id="rId11"/>
      <w:headerReference w:type="first" r:id="rId12"/>
      <w:footerReference w:type="first" r:id="rId13"/>
      <w:pgSz w:w="12240" w:h="15840"/>
      <w:pgMar w:top="2977" w:right="1418"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FD5C1A" w14:textId="77777777" w:rsidR="00FC1A6C" w:rsidRDefault="00FC1A6C" w:rsidP="00F2498E">
      <w:pPr>
        <w:spacing w:after="0" w:line="240" w:lineRule="auto"/>
      </w:pPr>
      <w:r>
        <w:separator/>
      </w:r>
    </w:p>
  </w:endnote>
  <w:endnote w:type="continuationSeparator" w:id="0">
    <w:p w14:paraId="35F456AD" w14:textId="77777777" w:rsidR="00FC1A6C" w:rsidRDefault="00FC1A6C" w:rsidP="00F24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2B344" w14:textId="06BC7B15" w:rsidR="00075586" w:rsidRDefault="00075586" w:rsidP="00F56426">
    <w:pPr>
      <w:pStyle w:val="Piedepgina"/>
      <w:jc w:val="right"/>
      <w:rPr>
        <w:rFonts w:ascii="Palatino Linotype" w:hAnsi="Palatino Linotype"/>
        <w:bCs/>
        <w:sz w:val="20"/>
      </w:rPr>
    </w:pPr>
    <w:r w:rsidRPr="000B69FA">
      <w:rPr>
        <w:rFonts w:ascii="Palatino Linotype" w:hAnsi="Palatino Linotype"/>
        <w:sz w:val="20"/>
      </w:rPr>
      <w:t xml:space="preserve">Página </w:t>
    </w:r>
    <w:r w:rsidRPr="00713DD5">
      <w:rPr>
        <w:rFonts w:ascii="Palatino Linotype" w:hAnsi="Palatino Linotype"/>
        <w:b/>
        <w:bCs/>
        <w:sz w:val="20"/>
      </w:rPr>
      <w:fldChar w:fldCharType="begin"/>
    </w:r>
    <w:r w:rsidRPr="00713DD5">
      <w:rPr>
        <w:rFonts w:ascii="Palatino Linotype" w:hAnsi="Palatino Linotype"/>
        <w:b/>
        <w:bCs/>
        <w:sz w:val="20"/>
      </w:rPr>
      <w:instrText>PAGE  \* Arabic  \* MERGEFORMAT</w:instrText>
    </w:r>
    <w:r w:rsidRPr="00713DD5">
      <w:rPr>
        <w:rFonts w:ascii="Palatino Linotype" w:hAnsi="Palatino Linotype"/>
        <w:b/>
        <w:bCs/>
        <w:sz w:val="20"/>
      </w:rPr>
      <w:fldChar w:fldCharType="separate"/>
    </w:r>
    <w:r w:rsidR="00DE1577">
      <w:rPr>
        <w:rFonts w:ascii="Palatino Linotype" w:hAnsi="Palatino Linotype"/>
        <w:b/>
        <w:bCs/>
        <w:noProof/>
        <w:sz w:val="20"/>
      </w:rPr>
      <w:t>28</w:t>
    </w:r>
    <w:r w:rsidRPr="00713DD5">
      <w:rPr>
        <w:rFonts w:ascii="Palatino Linotype" w:hAnsi="Palatino Linotype"/>
        <w:b/>
        <w:bCs/>
        <w:sz w:val="20"/>
      </w:rPr>
      <w:fldChar w:fldCharType="end"/>
    </w:r>
    <w:r w:rsidRPr="000B69FA">
      <w:rPr>
        <w:rFonts w:ascii="Palatino Linotype" w:hAnsi="Palatino Linotype"/>
        <w:sz w:val="20"/>
      </w:rPr>
      <w:t xml:space="preserve"> de </w:t>
    </w:r>
    <w:r w:rsidRPr="00713DD5">
      <w:rPr>
        <w:rFonts w:ascii="Palatino Linotype" w:hAnsi="Palatino Linotype"/>
        <w:b/>
        <w:bCs/>
        <w:sz w:val="20"/>
      </w:rPr>
      <w:fldChar w:fldCharType="begin"/>
    </w:r>
    <w:r w:rsidRPr="00713DD5">
      <w:rPr>
        <w:rFonts w:ascii="Palatino Linotype" w:hAnsi="Palatino Linotype"/>
        <w:b/>
        <w:bCs/>
        <w:sz w:val="20"/>
      </w:rPr>
      <w:instrText>NUMPAGES  \* Arabic  \* MERGEFORMAT</w:instrText>
    </w:r>
    <w:r w:rsidRPr="00713DD5">
      <w:rPr>
        <w:rFonts w:ascii="Palatino Linotype" w:hAnsi="Palatino Linotype"/>
        <w:b/>
        <w:bCs/>
        <w:sz w:val="20"/>
      </w:rPr>
      <w:fldChar w:fldCharType="separate"/>
    </w:r>
    <w:r w:rsidR="00DE1577">
      <w:rPr>
        <w:rFonts w:ascii="Palatino Linotype" w:hAnsi="Palatino Linotype"/>
        <w:b/>
        <w:bCs/>
        <w:noProof/>
        <w:sz w:val="20"/>
      </w:rPr>
      <w:t>29</w:t>
    </w:r>
    <w:r w:rsidRPr="00713DD5">
      <w:rPr>
        <w:rFonts w:ascii="Palatino Linotype" w:hAnsi="Palatino Linotype"/>
        <w:b/>
        <w:bCs/>
        <w:sz w:val="20"/>
      </w:rPr>
      <w:fldChar w:fldCharType="end"/>
    </w:r>
  </w:p>
  <w:p w14:paraId="0DA4C4E6" w14:textId="77777777" w:rsidR="00075586" w:rsidRPr="000B69FA" w:rsidRDefault="00075586" w:rsidP="00F56426">
    <w:pPr>
      <w:pStyle w:val="Piedepgina"/>
      <w:jc w:val="right"/>
      <w:rPr>
        <w:rFonts w:ascii="Palatino Linotype" w:hAnsi="Palatino Linotype"/>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88008" w14:textId="2C4EF717" w:rsidR="00075586" w:rsidRDefault="00075586" w:rsidP="00F56426">
    <w:pPr>
      <w:pStyle w:val="Piedepgina"/>
      <w:jc w:val="right"/>
      <w:rPr>
        <w:rFonts w:ascii="Palatino Linotype" w:hAnsi="Palatino Linotype"/>
        <w:bCs/>
        <w:sz w:val="20"/>
      </w:rPr>
    </w:pPr>
    <w:r w:rsidRPr="000B69FA">
      <w:rPr>
        <w:rFonts w:ascii="Palatino Linotype" w:hAnsi="Palatino Linotype"/>
        <w:sz w:val="20"/>
      </w:rPr>
      <w:t xml:space="preserve">Página </w:t>
    </w:r>
    <w:r w:rsidRPr="00713DD5">
      <w:rPr>
        <w:rFonts w:ascii="Palatino Linotype" w:hAnsi="Palatino Linotype"/>
        <w:b/>
        <w:bCs/>
        <w:sz w:val="20"/>
      </w:rPr>
      <w:fldChar w:fldCharType="begin"/>
    </w:r>
    <w:r w:rsidRPr="00713DD5">
      <w:rPr>
        <w:rFonts w:ascii="Palatino Linotype" w:hAnsi="Palatino Linotype"/>
        <w:b/>
        <w:bCs/>
        <w:sz w:val="20"/>
      </w:rPr>
      <w:instrText>PAGE  \* Arabic  \* MERGEFORMAT</w:instrText>
    </w:r>
    <w:r w:rsidRPr="00713DD5">
      <w:rPr>
        <w:rFonts w:ascii="Palatino Linotype" w:hAnsi="Palatino Linotype"/>
        <w:b/>
        <w:bCs/>
        <w:sz w:val="20"/>
      </w:rPr>
      <w:fldChar w:fldCharType="separate"/>
    </w:r>
    <w:r w:rsidR="00DE1577">
      <w:rPr>
        <w:rFonts w:ascii="Palatino Linotype" w:hAnsi="Palatino Linotype"/>
        <w:b/>
        <w:bCs/>
        <w:noProof/>
        <w:sz w:val="20"/>
      </w:rPr>
      <w:t>1</w:t>
    </w:r>
    <w:r w:rsidRPr="00713DD5">
      <w:rPr>
        <w:rFonts w:ascii="Palatino Linotype" w:hAnsi="Palatino Linotype"/>
        <w:b/>
        <w:bCs/>
        <w:sz w:val="20"/>
      </w:rPr>
      <w:fldChar w:fldCharType="end"/>
    </w:r>
    <w:r w:rsidRPr="000B69FA">
      <w:rPr>
        <w:rFonts w:ascii="Palatino Linotype" w:hAnsi="Palatino Linotype"/>
        <w:sz w:val="20"/>
      </w:rPr>
      <w:t xml:space="preserve"> de </w:t>
    </w:r>
    <w:r w:rsidRPr="00713DD5">
      <w:rPr>
        <w:rFonts w:ascii="Palatino Linotype" w:hAnsi="Palatino Linotype"/>
        <w:b/>
        <w:bCs/>
        <w:sz w:val="20"/>
      </w:rPr>
      <w:fldChar w:fldCharType="begin"/>
    </w:r>
    <w:r w:rsidRPr="00713DD5">
      <w:rPr>
        <w:rFonts w:ascii="Palatino Linotype" w:hAnsi="Palatino Linotype"/>
        <w:b/>
        <w:bCs/>
        <w:sz w:val="20"/>
      </w:rPr>
      <w:instrText>NUMPAGES  \* Arabic  \* MERGEFORMAT</w:instrText>
    </w:r>
    <w:r w:rsidRPr="00713DD5">
      <w:rPr>
        <w:rFonts w:ascii="Palatino Linotype" w:hAnsi="Palatino Linotype"/>
        <w:b/>
        <w:bCs/>
        <w:sz w:val="20"/>
      </w:rPr>
      <w:fldChar w:fldCharType="separate"/>
    </w:r>
    <w:r w:rsidR="00DE1577">
      <w:rPr>
        <w:rFonts w:ascii="Palatino Linotype" w:hAnsi="Palatino Linotype"/>
        <w:b/>
        <w:bCs/>
        <w:noProof/>
        <w:sz w:val="20"/>
      </w:rPr>
      <w:t>29</w:t>
    </w:r>
    <w:r w:rsidRPr="00713DD5">
      <w:rPr>
        <w:rFonts w:ascii="Palatino Linotype" w:hAnsi="Palatino Linotype"/>
        <w:b/>
        <w:bCs/>
        <w:sz w:val="20"/>
      </w:rPr>
      <w:fldChar w:fldCharType="end"/>
    </w:r>
  </w:p>
  <w:p w14:paraId="58082FE6" w14:textId="77777777" w:rsidR="00075586" w:rsidRPr="000B69FA" w:rsidRDefault="00075586" w:rsidP="00F56426">
    <w:pPr>
      <w:pStyle w:val="Piedepgina"/>
      <w:jc w:val="right"/>
      <w:rPr>
        <w:rFonts w:ascii="Palatino Linotype" w:hAnsi="Palatino Linotype"/>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A52CA" w14:textId="77777777" w:rsidR="00FC1A6C" w:rsidRDefault="00FC1A6C" w:rsidP="00F2498E">
      <w:pPr>
        <w:spacing w:after="0" w:line="240" w:lineRule="auto"/>
      </w:pPr>
      <w:r>
        <w:separator/>
      </w:r>
    </w:p>
  </w:footnote>
  <w:footnote w:type="continuationSeparator" w:id="0">
    <w:p w14:paraId="7B71CEB5" w14:textId="77777777" w:rsidR="00FC1A6C" w:rsidRDefault="00FC1A6C" w:rsidP="00F249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27F37" w14:textId="093ED20F" w:rsidR="00075586" w:rsidRDefault="00DE1577">
    <w:pPr>
      <w:pStyle w:val="Encabezado"/>
    </w:pPr>
    <w:r>
      <w:rPr>
        <w:noProof/>
        <w:lang w:val="es-MX" w:eastAsia="es-MX"/>
      </w:rPr>
      <w:pict w14:anchorId="06C28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94297" o:spid="_x0000_s1027" type="#_x0000_t75" alt="" style="position:absolute;margin-left:0;margin-top:0;width:609.4pt;height:793.75pt;z-index:-251657216;mso-wrap-edited:f;mso-width-percent:0;mso-height-percent:0;mso-position-horizontal:center;mso-position-horizontal-relative:margin;mso-position-vertical:center;mso-position-vertical-relative:margin;mso-width-percent:0;mso-height-percent:0" o:allowincell="f">
          <v:imagedata r:id="rId1" o:title="infoem"/>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tblLayout w:type="fixed"/>
      <w:tblCellMar>
        <w:left w:w="70" w:type="dxa"/>
        <w:right w:w="70" w:type="dxa"/>
      </w:tblCellMar>
      <w:tblLook w:val="04A0" w:firstRow="1" w:lastRow="0" w:firstColumn="1" w:lastColumn="0" w:noHBand="0" w:noVBand="1"/>
    </w:tblPr>
    <w:tblGrid>
      <w:gridCol w:w="5103"/>
      <w:gridCol w:w="4111"/>
    </w:tblGrid>
    <w:tr w:rsidR="00075586" w:rsidRPr="00B17577" w14:paraId="37B9EBDE" w14:textId="77777777" w:rsidTr="00713DD5">
      <w:trPr>
        <w:trHeight w:val="227"/>
      </w:trPr>
      <w:tc>
        <w:tcPr>
          <w:tcW w:w="5103" w:type="dxa"/>
          <w:hideMark/>
        </w:tcPr>
        <w:p w14:paraId="4964FBC5" w14:textId="54CDA645" w:rsidR="00075586" w:rsidRPr="00096248" w:rsidRDefault="00075586" w:rsidP="00C57E04">
          <w:pPr>
            <w:spacing w:after="0" w:line="360" w:lineRule="auto"/>
            <w:ind w:right="69"/>
            <w:jc w:val="right"/>
            <w:rPr>
              <w:rFonts w:ascii="Palatino Linotype" w:hAnsi="Palatino Linotype" w:cs="Arial"/>
              <w:b/>
              <w:sz w:val="24"/>
              <w:szCs w:val="24"/>
            </w:rPr>
          </w:pPr>
          <w:r w:rsidRPr="00096248">
            <w:rPr>
              <w:rFonts w:ascii="Palatino Linotype" w:hAnsi="Palatino Linotype" w:cs="Arial"/>
              <w:b/>
              <w:sz w:val="24"/>
              <w:szCs w:val="24"/>
            </w:rPr>
            <w:t>Recurso de Revisión:</w:t>
          </w:r>
        </w:p>
      </w:tc>
      <w:tc>
        <w:tcPr>
          <w:tcW w:w="4111" w:type="dxa"/>
          <w:hideMark/>
        </w:tcPr>
        <w:p w14:paraId="421B9899" w14:textId="7160845B" w:rsidR="00075586" w:rsidRPr="00096248" w:rsidRDefault="00075586" w:rsidP="00C57E04">
          <w:pPr>
            <w:spacing w:after="0" w:line="360" w:lineRule="auto"/>
            <w:ind w:right="71"/>
            <w:jc w:val="right"/>
            <w:rPr>
              <w:rFonts w:ascii="Palatino Linotype" w:hAnsi="Palatino Linotype" w:cs="Arial"/>
              <w:b/>
              <w:sz w:val="24"/>
              <w:szCs w:val="24"/>
            </w:rPr>
          </w:pPr>
          <w:r w:rsidRPr="00096248">
            <w:rPr>
              <w:rFonts w:ascii="Palatino Linotype" w:hAnsi="Palatino Linotype" w:cs="Arial"/>
              <w:b/>
              <w:bCs/>
              <w:sz w:val="24"/>
              <w:szCs w:val="24"/>
            </w:rPr>
            <w:t>0</w:t>
          </w:r>
          <w:r w:rsidR="005762A7">
            <w:rPr>
              <w:rFonts w:ascii="Palatino Linotype" w:hAnsi="Palatino Linotype" w:cs="Arial"/>
              <w:b/>
              <w:bCs/>
              <w:sz w:val="24"/>
              <w:szCs w:val="24"/>
            </w:rPr>
            <w:t>597</w:t>
          </w:r>
          <w:r w:rsidR="00AA246B">
            <w:rPr>
              <w:rFonts w:ascii="Palatino Linotype" w:hAnsi="Palatino Linotype" w:cs="Arial"/>
              <w:b/>
              <w:bCs/>
              <w:sz w:val="24"/>
              <w:szCs w:val="24"/>
            </w:rPr>
            <w:t>5</w:t>
          </w:r>
          <w:r w:rsidRPr="00096248">
            <w:rPr>
              <w:rFonts w:ascii="Palatino Linotype" w:hAnsi="Palatino Linotype" w:cs="Arial"/>
              <w:b/>
              <w:bCs/>
              <w:sz w:val="24"/>
              <w:szCs w:val="24"/>
            </w:rPr>
            <w:t>/INFOEM/IP/RR/2021</w:t>
          </w:r>
        </w:p>
      </w:tc>
    </w:tr>
    <w:tr w:rsidR="00075586" w14:paraId="7591D3C9" w14:textId="77777777" w:rsidTr="00713DD5">
      <w:trPr>
        <w:trHeight w:val="242"/>
      </w:trPr>
      <w:tc>
        <w:tcPr>
          <w:tcW w:w="5103" w:type="dxa"/>
          <w:hideMark/>
        </w:tcPr>
        <w:p w14:paraId="729A65A8" w14:textId="77777777" w:rsidR="00075586" w:rsidRPr="00096248" w:rsidRDefault="00075586" w:rsidP="00C57E04">
          <w:pPr>
            <w:spacing w:after="0" w:line="360" w:lineRule="auto"/>
            <w:ind w:right="69"/>
            <w:jc w:val="right"/>
            <w:rPr>
              <w:rFonts w:ascii="Palatino Linotype" w:hAnsi="Palatino Linotype" w:cs="Arial"/>
              <w:b/>
              <w:sz w:val="24"/>
              <w:szCs w:val="24"/>
            </w:rPr>
          </w:pPr>
          <w:r w:rsidRPr="00096248">
            <w:rPr>
              <w:rFonts w:ascii="Palatino Linotype" w:hAnsi="Palatino Linotype" w:cs="Arial"/>
              <w:b/>
              <w:sz w:val="24"/>
              <w:szCs w:val="24"/>
            </w:rPr>
            <w:t>Sujeto Obligado:</w:t>
          </w:r>
        </w:p>
      </w:tc>
      <w:tc>
        <w:tcPr>
          <w:tcW w:w="4111" w:type="dxa"/>
          <w:hideMark/>
        </w:tcPr>
        <w:p w14:paraId="283ADF36" w14:textId="15E763E4" w:rsidR="00075586" w:rsidRPr="00096248" w:rsidRDefault="00AA246B" w:rsidP="005762A7">
          <w:pPr>
            <w:spacing w:after="120" w:line="240" w:lineRule="auto"/>
            <w:ind w:right="74"/>
            <w:jc w:val="right"/>
            <w:rPr>
              <w:rFonts w:ascii="Palatino Linotype" w:hAnsi="Palatino Linotype" w:cs="Arial"/>
              <w:sz w:val="24"/>
              <w:szCs w:val="24"/>
            </w:rPr>
          </w:pPr>
          <w:r>
            <w:rPr>
              <w:rFonts w:ascii="Palatino Linotype" w:hAnsi="Palatino Linotype" w:cs="Arial"/>
              <w:sz w:val="24"/>
              <w:szCs w:val="24"/>
            </w:rPr>
            <w:t>Procuraduría de Protección al Ambiente del Estado de México</w:t>
          </w:r>
        </w:p>
      </w:tc>
    </w:tr>
    <w:tr w:rsidR="00075586" w:rsidRPr="00F63239" w14:paraId="037E914D" w14:textId="77777777" w:rsidTr="00713DD5">
      <w:trPr>
        <w:trHeight w:val="342"/>
      </w:trPr>
      <w:tc>
        <w:tcPr>
          <w:tcW w:w="5103" w:type="dxa"/>
          <w:hideMark/>
        </w:tcPr>
        <w:p w14:paraId="7676B68F" w14:textId="64D69EAF" w:rsidR="00075586" w:rsidRPr="00096248" w:rsidRDefault="00075586" w:rsidP="00C57E04">
          <w:pPr>
            <w:tabs>
              <w:tab w:val="left" w:pos="4892"/>
            </w:tabs>
            <w:spacing w:after="0" w:line="360" w:lineRule="auto"/>
            <w:ind w:right="69"/>
            <w:jc w:val="right"/>
            <w:rPr>
              <w:rFonts w:ascii="Palatino Linotype" w:hAnsi="Palatino Linotype" w:cs="Arial"/>
              <w:b/>
              <w:sz w:val="24"/>
              <w:szCs w:val="24"/>
            </w:rPr>
          </w:pPr>
          <w:r w:rsidRPr="00096248">
            <w:rPr>
              <w:rFonts w:ascii="Palatino Linotype" w:hAnsi="Palatino Linotype" w:cs="Arial"/>
              <w:b/>
              <w:sz w:val="24"/>
              <w:szCs w:val="24"/>
            </w:rPr>
            <w:t>Comisionado Ponente:</w:t>
          </w:r>
        </w:p>
      </w:tc>
      <w:tc>
        <w:tcPr>
          <w:tcW w:w="4111" w:type="dxa"/>
          <w:hideMark/>
        </w:tcPr>
        <w:p w14:paraId="4346858F" w14:textId="20D6873D" w:rsidR="00075586" w:rsidRPr="00096248" w:rsidRDefault="00075586" w:rsidP="00C57E04">
          <w:pPr>
            <w:spacing w:after="0" w:line="360" w:lineRule="auto"/>
            <w:ind w:left="-486" w:right="71" w:firstLine="567"/>
            <w:jc w:val="right"/>
            <w:rPr>
              <w:rFonts w:ascii="Palatino Linotype" w:hAnsi="Palatino Linotype" w:cs="Arial"/>
              <w:sz w:val="24"/>
              <w:szCs w:val="24"/>
            </w:rPr>
          </w:pPr>
          <w:r w:rsidRPr="00096248">
            <w:rPr>
              <w:rFonts w:ascii="Palatino Linotype" w:hAnsi="Palatino Linotype" w:cs="Arial"/>
              <w:sz w:val="24"/>
              <w:szCs w:val="24"/>
            </w:rPr>
            <w:t>José Martínez Vilchis</w:t>
          </w:r>
        </w:p>
      </w:tc>
    </w:tr>
  </w:tbl>
  <w:p w14:paraId="2998DBFD" w14:textId="707082B9" w:rsidR="00075586" w:rsidRDefault="00DE1577">
    <w:pPr>
      <w:pStyle w:val="Encabezado"/>
    </w:pPr>
    <w:r>
      <w:rPr>
        <w:noProof/>
        <w:lang w:val="es-MX" w:eastAsia="es-MX"/>
      </w:rPr>
      <w:pict w14:anchorId="41F7D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94298" o:spid="_x0000_s1026" type="#_x0000_t75" alt="" style="position:absolute;margin-left:-79.95pt;margin-top:-141.8pt;width:609.4pt;height:793.75pt;z-index:-251656192;mso-wrap-edited:f;mso-width-percent:0;mso-height-percent:0;mso-position-horizontal-relative:margin;mso-position-vertical-relative:margin;mso-width-percent:0;mso-height-percent:0" o:allowincell="f">
          <v:imagedata r:id="rId1" o:title="infoem"/>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56" w:type="dxa"/>
      <w:tblInd w:w="-142" w:type="dxa"/>
      <w:tblLayout w:type="fixed"/>
      <w:tblCellMar>
        <w:left w:w="70" w:type="dxa"/>
        <w:right w:w="70" w:type="dxa"/>
      </w:tblCellMar>
      <w:tblLook w:val="04A0" w:firstRow="1" w:lastRow="0" w:firstColumn="1" w:lastColumn="0" w:noHBand="0" w:noVBand="1"/>
    </w:tblPr>
    <w:tblGrid>
      <w:gridCol w:w="5245"/>
      <w:gridCol w:w="4111"/>
    </w:tblGrid>
    <w:tr w:rsidR="00075586" w14:paraId="0F9FE9B6" w14:textId="77777777" w:rsidTr="00096248">
      <w:trPr>
        <w:trHeight w:val="227"/>
      </w:trPr>
      <w:tc>
        <w:tcPr>
          <w:tcW w:w="5245" w:type="dxa"/>
          <w:hideMark/>
        </w:tcPr>
        <w:p w14:paraId="6D1D9D71" w14:textId="11150E5A" w:rsidR="00075586" w:rsidRPr="00663A37" w:rsidRDefault="00075586" w:rsidP="00C57E04">
          <w:pPr>
            <w:spacing w:after="0" w:line="360" w:lineRule="auto"/>
            <w:ind w:right="68"/>
            <w:jc w:val="right"/>
            <w:rPr>
              <w:rFonts w:ascii="Palatino Linotype" w:hAnsi="Palatino Linotype" w:cs="Arial"/>
              <w:b/>
              <w:sz w:val="24"/>
              <w:szCs w:val="24"/>
            </w:rPr>
          </w:pPr>
          <w:r>
            <w:rPr>
              <w:rFonts w:ascii="Palatino Linotype" w:hAnsi="Palatino Linotype" w:cs="Arial"/>
              <w:b/>
              <w:sz w:val="24"/>
              <w:szCs w:val="24"/>
            </w:rPr>
            <w:t>Recurso de Revisión</w:t>
          </w:r>
          <w:r w:rsidRPr="00663A37">
            <w:rPr>
              <w:rFonts w:ascii="Palatino Linotype" w:hAnsi="Palatino Linotype" w:cs="Arial"/>
              <w:b/>
              <w:sz w:val="24"/>
              <w:szCs w:val="24"/>
            </w:rPr>
            <w:t>:</w:t>
          </w:r>
        </w:p>
      </w:tc>
      <w:tc>
        <w:tcPr>
          <w:tcW w:w="4111" w:type="dxa"/>
          <w:hideMark/>
        </w:tcPr>
        <w:p w14:paraId="242DE466" w14:textId="59492458" w:rsidR="00075586" w:rsidRPr="00096248" w:rsidRDefault="00075586" w:rsidP="00C57E04">
          <w:pPr>
            <w:spacing w:after="0" w:line="360" w:lineRule="auto"/>
            <w:ind w:left="-486" w:right="68" w:firstLine="558"/>
            <w:jc w:val="right"/>
            <w:rPr>
              <w:rFonts w:ascii="Palatino Linotype" w:hAnsi="Palatino Linotype" w:cs="Arial"/>
              <w:b/>
              <w:sz w:val="24"/>
              <w:szCs w:val="24"/>
            </w:rPr>
          </w:pPr>
          <w:r w:rsidRPr="00096248">
            <w:rPr>
              <w:rFonts w:ascii="Palatino Linotype" w:hAnsi="Palatino Linotype" w:cs="Arial"/>
              <w:b/>
              <w:bCs/>
              <w:sz w:val="24"/>
              <w:szCs w:val="24"/>
            </w:rPr>
            <w:t>0</w:t>
          </w:r>
          <w:r w:rsidR="005762A7">
            <w:rPr>
              <w:rFonts w:ascii="Palatino Linotype" w:hAnsi="Palatino Linotype" w:cs="Arial"/>
              <w:b/>
              <w:bCs/>
              <w:sz w:val="24"/>
              <w:szCs w:val="24"/>
            </w:rPr>
            <w:t>597</w:t>
          </w:r>
          <w:r w:rsidR="00AA246B">
            <w:rPr>
              <w:rFonts w:ascii="Palatino Linotype" w:hAnsi="Palatino Linotype" w:cs="Arial"/>
              <w:b/>
              <w:bCs/>
              <w:sz w:val="24"/>
              <w:szCs w:val="24"/>
            </w:rPr>
            <w:t>5</w:t>
          </w:r>
          <w:r w:rsidRPr="00096248">
            <w:rPr>
              <w:rFonts w:ascii="Palatino Linotype" w:hAnsi="Palatino Linotype" w:cs="Arial"/>
              <w:b/>
              <w:bCs/>
              <w:sz w:val="24"/>
              <w:szCs w:val="24"/>
            </w:rPr>
            <w:t>/INFOEM/IP/RR/2021</w:t>
          </w:r>
        </w:p>
      </w:tc>
    </w:tr>
    <w:tr w:rsidR="00075586" w:rsidRPr="001F57CD" w14:paraId="1377D264" w14:textId="77777777" w:rsidTr="00096248">
      <w:trPr>
        <w:trHeight w:val="196"/>
      </w:trPr>
      <w:tc>
        <w:tcPr>
          <w:tcW w:w="5245" w:type="dxa"/>
          <w:hideMark/>
        </w:tcPr>
        <w:p w14:paraId="04D597A1" w14:textId="77777777" w:rsidR="00075586" w:rsidRPr="00663A37" w:rsidRDefault="00075586" w:rsidP="00C57E04">
          <w:pPr>
            <w:spacing w:after="0" w:line="360" w:lineRule="auto"/>
            <w:ind w:right="68"/>
            <w:jc w:val="right"/>
            <w:rPr>
              <w:rFonts w:ascii="Palatino Linotype" w:hAnsi="Palatino Linotype" w:cs="Arial"/>
              <w:b/>
              <w:sz w:val="24"/>
              <w:szCs w:val="24"/>
            </w:rPr>
          </w:pPr>
          <w:r w:rsidRPr="00663A37">
            <w:rPr>
              <w:rFonts w:ascii="Palatino Linotype" w:hAnsi="Palatino Linotype" w:cs="Arial"/>
              <w:b/>
              <w:sz w:val="24"/>
              <w:szCs w:val="24"/>
            </w:rPr>
            <w:t>Recurrente:</w:t>
          </w:r>
        </w:p>
      </w:tc>
      <w:tc>
        <w:tcPr>
          <w:tcW w:w="4111" w:type="dxa"/>
          <w:hideMark/>
        </w:tcPr>
        <w:p w14:paraId="1126AAEC" w14:textId="2961EEAD" w:rsidR="00075586" w:rsidRPr="00663A37" w:rsidRDefault="00DE1577" w:rsidP="005762A7">
          <w:pPr>
            <w:spacing w:after="120" w:line="240" w:lineRule="auto"/>
            <w:ind w:right="68"/>
            <w:jc w:val="right"/>
            <w:rPr>
              <w:rFonts w:ascii="Palatino Linotype" w:hAnsi="Palatino Linotype" w:cs="Arial"/>
              <w:sz w:val="24"/>
              <w:szCs w:val="24"/>
            </w:rPr>
          </w:pPr>
          <w:proofErr w:type="spellStart"/>
          <w:r>
            <w:rPr>
              <w:rFonts w:ascii="Palatino Linotype" w:hAnsi="Palatino Linotype" w:cs="Arial"/>
              <w:sz w:val="24"/>
              <w:szCs w:val="24"/>
            </w:rPr>
            <w:t>xxxxxxxx</w:t>
          </w:r>
          <w:proofErr w:type="spellEnd"/>
        </w:p>
      </w:tc>
    </w:tr>
    <w:tr w:rsidR="00075586" w14:paraId="4DC11993" w14:textId="77777777" w:rsidTr="00096248">
      <w:trPr>
        <w:trHeight w:val="242"/>
      </w:trPr>
      <w:tc>
        <w:tcPr>
          <w:tcW w:w="5245" w:type="dxa"/>
          <w:hideMark/>
        </w:tcPr>
        <w:p w14:paraId="76CEF1B5" w14:textId="77777777" w:rsidR="00075586" w:rsidRPr="00663A37" w:rsidRDefault="00075586" w:rsidP="00C57E04">
          <w:pPr>
            <w:spacing w:after="0" w:line="360" w:lineRule="auto"/>
            <w:ind w:right="68"/>
            <w:jc w:val="right"/>
            <w:rPr>
              <w:rFonts w:ascii="Palatino Linotype" w:hAnsi="Palatino Linotype" w:cs="Arial"/>
              <w:b/>
              <w:sz w:val="24"/>
              <w:szCs w:val="24"/>
            </w:rPr>
          </w:pPr>
          <w:r w:rsidRPr="00663A37">
            <w:rPr>
              <w:rFonts w:ascii="Palatino Linotype" w:hAnsi="Palatino Linotype" w:cs="Arial"/>
              <w:b/>
              <w:sz w:val="24"/>
              <w:szCs w:val="24"/>
            </w:rPr>
            <w:t>Sujeto Obligado:</w:t>
          </w:r>
        </w:p>
      </w:tc>
      <w:tc>
        <w:tcPr>
          <w:tcW w:w="4111" w:type="dxa"/>
          <w:hideMark/>
        </w:tcPr>
        <w:p w14:paraId="7C1BB379" w14:textId="5558AA50" w:rsidR="00075586" w:rsidRPr="00663A37" w:rsidRDefault="00AA246B" w:rsidP="005762A7">
          <w:pPr>
            <w:spacing w:after="120" w:line="240" w:lineRule="auto"/>
            <w:ind w:left="-68" w:right="68"/>
            <w:jc w:val="right"/>
            <w:rPr>
              <w:rFonts w:ascii="Palatino Linotype" w:hAnsi="Palatino Linotype" w:cs="Arial"/>
              <w:sz w:val="24"/>
              <w:szCs w:val="24"/>
            </w:rPr>
          </w:pPr>
          <w:r>
            <w:rPr>
              <w:rFonts w:ascii="Palatino Linotype" w:hAnsi="Palatino Linotype" w:cs="Arial"/>
              <w:sz w:val="24"/>
              <w:szCs w:val="24"/>
            </w:rPr>
            <w:t>Procuraduría de Protección al Ambiente del Estado de México</w:t>
          </w:r>
        </w:p>
      </w:tc>
    </w:tr>
    <w:tr w:rsidR="00075586" w14:paraId="5C2B511D" w14:textId="77777777" w:rsidTr="00096248">
      <w:trPr>
        <w:trHeight w:val="342"/>
      </w:trPr>
      <w:tc>
        <w:tcPr>
          <w:tcW w:w="5245" w:type="dxa"/>
          <w:hideMark/>
        </w:tcPr>
        <w:p w14:paraId="03FEF68C" w14:textId="45E91CF4" w:rsidR="00075586" w:rsidRPr="00663A37" w:rsidRDefault="00075586" w:rsidP="00C57E04">
          <w:pPr>
            <w:tabs>
              <w:tab w:val="left" w:pos="4892"/>
            </w:tabs>
            <w:spacing w:after="0" w:line="360" w:lineRule="auto"/>
            <w:ind w:right="68"/>
            <w:jc w:val="right"/>
            <w:rPr>
              <w:rFonts w:ascii="Palatino Linotype" w:hAnsi="Palatino Linotype" w:cs="Arial"/>
              <w:b/>
              <w:sz w:val="24"/>
              <w:szCs w:val="24"/>
            </w:rPr>
          </w:pPr>
          <w:r w:rsidRPr="00663A37">
            <w:rPr>
              <w:rFonts w:ascii="Palatino Linotype" w:hAnsi="Palatino Linotype" w:cs="Arial"/>
              <w:b/>
              <w:sz w:val="24"/>
              <w:szCs w:val="24"/>
            </w:rPr>
            <w:t>Comisionado Ponente:</w:t>
          </w:r>
        </w:p>
      </w:tc>
      <w:tc>
        <w:tcPr>
          <w:tcW w:w="4111" w:type="dxa"/>
          <w:hideMark/>
        </w:tcPr>
        <w:p w14:paraId="6744F9AD" w14:textId="1AF88FD3" w:rsidR="00075586" w:rsidRPr="00663A37" w:rsidRDefault="00075586" w:rsidP="00C57E04">
          <w:pPr>
            <w:spacing w:after="0" w:line="360" w:lineRule="auto"/>
            <w:ind w:left="-486" w:right="68" w:firstLine="567"/>
            <w:jc w:val="right"/>
            <w:rPr>
              <w:rFonts w:ascii="Palatino Linotype" w:hAnsi="Palatino Linotype" w:cs="Arial"/>
              <w:sz w:val="24"/>
              <w:szCs w:val="24"/>
            </w:rPr>
          </w:pPr>
          <w:r w:rsidRPr="00663A37">
            <w:rPr>
              <w:rFonts w:ascii="Palatino Linotype" w:hAnsi="Palatino Linotype" w:cs="Arial"/>
              <w:sz w:val="24"/>
              <w:szCs w:val="24"/>
            </w:rPr>
            <w:t>José Martínez Vilchis</w:t>
          </w:r>
        </w:p>
      </w:tc>
    </w:tr>
  </w:tbl>
  <w:p w14:paraId="04D3BBA0" w14:textId="07F41374" w:rsidR="00075586" w:rsidRDefault="00DE1577">
    <w:pPr>
      <w:pStyle w:val="Encabezado"/>
    </w:pPr>
    <w:r>
      <w:rPr>
        <w:noProof/>
        <w:lang w:val="es-MX" w:eastAsia="es-MX"/>
      </w:rPr>
      <w:pict w14:anchorId="5625BA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94296" o:spid="_x0000_s1025" type="#_x0000_t75" alt="" style="position:absolute;margin-left:-79.35pt;margin-top:-157.15pt;width:609.4pt;height:793.75pt;z-index:-251658240;mso-wrap-edited:f;mso-width-percent:0;mso-height-percent:0;mso-position-horizontal-relative:margin;mso-position-vertical-relative:margin;mso-width-percent:0;mso-height-percent:0" o:allowincell="f">
          <v:imagedata r:id="rId1" o:title="infoem"/>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C2B38"/>
    <w:multiLevelType w:val="hybridMultilevel"/>
    <w:tmpl w:val="74902EA0"/>
    <w:lvl w:ilvl="0" w:tplc="E800C6C2">
      <w:start w:val="1"/>
      <w:numFmt w:val="decimal"/>
      <w:lvlText w:val="%1."/>
      <w:lvlJc w:val="left"/>
      <w:pPr>
        <w:ind w:left="709" w:hanging="42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2FE93D77"/>
    <w:multiLevelType w:val="hybridMultilevel"/>
    <w:tmpl w:val="7F66F816"/>
    <w:lvl w:ilvl="0" w:tplc="C8C6F8CE">
      <w:start w:val="1"/>
      <w:numFmt w:val="decimal"/>
      <w:lvlText w:val="%1."/>
      <w:lvlJc w:val="left"/>
      <w:pPr>
        <w:ind w:left="709" w:hanging="42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4D2E21F2"/>
    <w:multiLevelType w:val="multilevel"/>
    <w:tmpl w:val="787EDC82"/>
    <w:styleLink w:val="Listaactual3"/>
    <w:lvl w:ilvl="0">
      <w:start w:val="1"/>
      <w:numFmt w:val="decimal"/>
      <w:lvlText w:val="%1."/>
      <w:lvlJc w:val="left"/>
      <w:pPr>
        <w:ind w:left="709" w:hanging="42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FD34645"/>
    <w:multiLevelType w:val="multilevel"/>
    <w:tmpl w:val="CDD4F81A"/>
    <w:styleLink w:val="Listaactual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A637408"/>
    <w:multiLevelType w:val="multilevel"/>
    <w:tmpl w:val="95B81714"/>
    <w:styleLink w:val="Listaactual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98E"/>
    <w:rsid w:val="00002C6A"/>
    <w:rsid w:val="000034AA"/>
    <w:rsid w:val="000046B2"/>
    <w:rsid w:val="00007857"/>
    <w:rsid w:val="000107F4"/>
    <w:rsid w:val="0001151F"/>
    <w:rsid w:val="00011CCA"/>
    <w:rsid w:val="00012BEE"/>
    <w:rsid w:val="00012D78"/>
    <w:rsid w:val="00015487"/>
    <w:rsid w:val="000158B3"/>
    <w:rsid w:val="000171BE"/>
    <w:rsid w:val="00020C15"/>
    <w:rsid w:val="00021122"/>
    <w:rsid w:val="00021165"/>
    <w:rsid w:val="00024A6D"/>
    <w:rsid w:val="00026582"/>
    <w:rsid w:val="00031BA3"/>
    <w:rsid w:val="00033479"/>
    <w:rsid w:val="00033562"/>
    <w:rsid w:val="00034CF5"/>
    <w:rsid w:val="00035A30"/>
    <w:rsid w:val="00036D5F"/>
    <w:rsid w:val="00036EFC"/>
    <w:rsid w:val="00040A10"/>
    <w:rsid w:val="00041670"/>
    <w:rsid w:val="000417BE"/>
    <w:rsid w:val="00041AE7"/>
    <w:rsid w:val="00041DEA"/>
    <w:rsid w:val="00042C95"/>
    <w:rsid w:val="00042F25"/>
    <w:rsid w:val="00045F86"/>
    <w:rsid w:val="00051732"/>
    <w:rsid w:val="0005480B"/>
    <w:rsid w:val="00054F6A"/>
    <w:rsid w:val="00055891"/>
    <w:rsid w:val="00055C90"/>
    <w:rsid w:val="000564B5"/>
    <w:rsid w:val="000575E4"/>
    <w:rsid w:val="0005787D"/>
    <w:rsid w:val="00057B42"/>
    <w:rsid w:val="00060716"/>
    <w:rsid w:val="00061B46"/>
    <w:rsid w:val="00061B8D"/>
    <w:rsid w:val="00064854"/>
    <w:rsid w:val="00065463"/>
    <w:rsid w:val="0006625B"/>
    <w:rsid w:val="000666B3"/>
    <w:rsid w:val="0007107B"/>
    <w:rsid w:val="000739AF"/>
    <w:rsid w:val="00075586"/>
    <w:rsid w:val="00075D5E"/>
    <w:rsid w:val="00076332"/>
    <w:rsid w:val="00077A55"/>
    <w:rsid w:val="000802BA"/>
    <w:rsid w:val="00082E5D"/>
    <w:rsid w:val="00083498"/>
    <w:rsid w:val="0008496A"/>
    <w:rsid w:val="00085EA2"/>
    <w:rsid w:val="0008737D"/>
    <w:rsid w:val="00087F54"/>
    <w:rsid w:val="00092681"/>
    <w:rsid w:val="00092D82"/>
    <w:rsid w:val="0009328A"/>
    <w:rsid w:val="0009397B"/>
    <w:rsid w:val="00094FD7"/>
    <w:rsid w:val="0009609D"/>
    <w:rsid w:val="00096248"/>
    <w:rsid w:val="000A110B"/>
    <w:rsid w:val="000A2F65"/>
    <w:rsid w:val="000A3F41"/>
    <w:rsid w:val="000A7CE8"/>
    <w:rsid w:val="000B1F27"/>
    <w:rsid w:val="000B28CF"/>
    <w:rsid w:val="000B51CE"/>
    <w:rsid w:val="000B5608"/>
    <w:rsid w:val="000B6502"/>
    <w:rsid w:val="000B65C3"/>
    <w:rsid w:val="000C0203"/>
    <w:rsid w:val="000C04A1"/>
    <w:rsid w:val="000C066A"/>
    <w:rsid w:val="000C0E5D"/>
    <w:rsid w:val="000C2D59"/>
    <w:rsid w:val="000C416A"/>
    <w:rsid w:val="000C51AF"/>
    <w:rsid w:val="000C661C"/>
    <w:rsid w:val="000C7F8F"/>
    <w:rsid w:val="000D14DA"/>
    <w:rsid w:val="000D28AE"/>
    <w:rsid w:val="000D55D2"/>
    <w:rsid w:val="000D5634"/>
    <w:rsid w:val="000D5C00"/>
    <w:rsid w:val="000D772A"/>
    <w:rsid w:val="000E06A3"/>
    <w:rsid w:val="000E0D32"/>
    <w:rsid w:val="000E1FD4"/>
    <w:rsid w:val="000E37D0"/>
    <w:rsid w:val="000E4AFE"/>
    <w:rsid w:val="000E4EBC"/>
    <w:rsid w:val="000E5A5A"/>
    <w:rsid w:val="000E6426"/>
    <w:rsid w:val="000E74D7"/>
    <w:rsid w:val="000F114E"/>
    <w:rsid w:val="000F146C"/>
    <w:rsid w:val="000F196A"/>
    <w:rsid w:val="0010147E"/>
    <w:rsid w:val="00103C89"/>
    <w:rsid w:val="001050A9"/>
    <w:rsid w:val="00107256"/>
    <w:rsid w:val="0010759A"/>
    <w:rsid w:val="00107D7C"/>
    <w:rsid w:val="001116B7"/>
    <w:rsid w:val="00115495"/>
    <w:rsid w:val="00116E4B"/>
    <w:rsid w:val="00116F6B"/>
    <w:rsid w:val="001235A0"/>
    <w:rsid w:val="00123D0B"/>
    <w:rsid w:val="00130C18"/>
    <w:rsid w:val="00131C6C"/>
    <w:rsid w:val="00131F2D"/>
    <w:rsid w:val="0013657B"/>
    <w:rsid w:val="00136A94"/>
    <w:rsid w:val="00142D35"/>
    <w:rsid w:val="00144A6E"/>
    <w:rsid w:val="00144BA8"/>
    <w:rsid w:val="001464CD"/>
    <w:rsid w:val="00150293"/>
    <w:rsid w:val="001502AD"/>
    <w:rsid w:val="001509C0"/>
    <w:rsid w:val="00151431"/>
    <w:rsid w:val="00151CD1"/>
    <w:rsid w:val="00151FF5"/>
    <w:rsid w:val="00154F75"/>
    <w:rsid w:val="00155CC6"/>
    <w:rsid w:val="00155F53"/>
    <w:rsid w:val="001564E3"/>
    <w:rsid w:val="001568D5"/>
    <w:rsid w:val="001624E8"/>
    <w:rsid w:val="0016322B"/>
    <w:rsid w:val="0016339A"/>
    <w:rsid w:val="00164BC0"/>
    <w:rsid w:val="00165898"/>
    <w:rsid w:val="00166171"/>
    <w:rsid w:val="00171192"/>
    <w:rsid w:val="00171BBC"/>
    <w:rsid w:val="0017523B"/>
    <w:rsid w:val="00175B42"/>
    <w:rsid w:val="00176522"/>
    <w:rsid w:val="001809A8"/>
    <w:rsid w:val="00181A9D"/>
    <w:rsid w:val="00182FC0"/>
    <w:rsid w:val="00184AEA"/>
    <w:rsid w:val="00185C61"/>
    <w:rsid w:val="00192D02"/>
    <w:rsid w:val="001957E6"/>
    <w:rsid w:val="00195845"/>
    <w:rsid w:val="0019584A"/>
    <w:rsid w:val="001960AD"/>
    <w:rsid w:val="001A057E"/>
    <w:rsid w:val="001A0AFD"/>
    <w:rsid w:val="001A0CCD"/>
    <w:rsid w:val="001A0E96"/>
    <w:rsid w:val="001A1BDB"/>
    <w:rsid w:val="001A316F"/>
    <w:rsid w:val="001A3C5F"/>
    <w:rsid w:val="001A4BDF"/>
    <w:rsid w:val="001A6849"/>
    <w:rsid w:val="001A773B"/>
    <w:rsid w:val="001B28D1"/>
    <w:rsid w:val="001B3FD2"/>
    <w:rsid w:val="001B6C2D"/>
    <w:rsid w:val="001C087E"/>
    <w:rsid w:val="001C0F32"/>
    <w:rsid w:val="001C2A6D"/>
    <w:rsid w:val="001C2C72"/>
    <w:rsid w:val="001C3387"/>
    <w:rsid w:val="001C54A1"/>
    <w:rsid w:val="001C5CD0"/>
    <w:rsid w:val="001C72C0"/>
    <w:rsid w:val="001C7697"/>
    <w:rsid w:val="001C7C31"/>
    <w:rsid w:val="001D1B77"/>
    <w:rsid w:val="001D225B"/>
    <w:rsid w:val="001D3563"/>
    <w:rsid w:val="001D3EE2"/>
    <w:rsid w:val="001D41E0"/>
    <w:rsid w:val="001D6CA8"/>
    <w:rsid w:val="001E04CC"/>
    <w:rsid w:val="001E2186"/>
    <w:rsid w:val="001E35AE"/>
    <w:rsid w:val="001E5453"/>
    <w:rsid w:val="001E5C3D"/>
    <w:rsid w:val="001E678B"/>
    <w:rsid w:val="001F2BC9"/>
    <w:rsid w:val="001F408E"/>
    <w:rsid w:val="001F4860"/>
    <w:rsid w:val="001F4EDD"/>
    <w:rsid w:val="001F57CD"/>
    <w:rsid w:val="001F5E58"/>
    <w:rsid w:val="001F7890"/>
    <w:rsid w:val="00200FAD"/>
    <w:rsid w:val="00201765"/>
    <w:rsid w:val="00205FAC"/>
    <w:rsid w:val="0020763C"/>
    <w:rsid w:val="00207E11"/>
    <w:rsid w:val="0021063D"/>
    <w:rsid w:val="00210714"/>
    <w:rsid w:val="0021327B"/>
    <w:rsid w:val="00214B09"/>
    <w:rsid w:val="002155ED"/>
    <w:rsid w:val="0021627B"/>
    <w:rsid w:val="0021698E"/>
    <w:rsid w:val="00216D13"/>
    <w:rsid w:val="0022245F"/>
    <w:rsid w:val="00224FEA"/>
    <w:rsid w:val="002264AE"/>
    <w:rsid w:val="00227DBC"/>
    <w:rsid w:val="0023118D"/>
    <w:rsid w:val="00232621"/>
    <w:rsid w:val="0023293E"/>
    <w:rsid w:val="00232A7A"/>
    <w:rsid w:val="00232DA5"/>
    <w:rsid w:val="002338B9"/>
    <w:rsid w:val="00234061"/>
    <w:rsid w:val="0023573F"/>
    <w:rsid w:val="00236B9A"/>
    <w:rsid w:val="00240046"/>
    <w:rsid w:val="002432E1"/>
    <w:rsid w:val="00245AC1"/>
    <w:rsid w:val="00247C4A"/>
    <w:rsid w:val="00252443"/>
    <w:rsid w:val="002547B2"/>
    <w:rsid w:val="0025565C"/>
    <w:rsid w:val="00255FD1"/>
    <w:rsid w:val="00256CE0"/>
    <w:rsid w:val="00261A13"/>
    <w:rsid w:val="00264CA1"/>
    <w:rsid w:val="0026506A"/>
    <w:rsid w:val="002704DF"/>
    <w:rsid w:val="00270F03"/>
    <w:rsid w:val="002710B5"/>
    <w:rsid w:val="0027116F"/>
    <w:rsid w:val="002729A0"/>
    <w:rsid w:val="00273F5F"/>
    <w:rsid w:val="00273F7C"/>
    <w:rsid w:val="0027555F"/>
    <w:rsid w:val="00275719"/>
    <w:rsid w:val="00280398"/>
    <w:rsid w:val="002811E3"/>
    <w:rsid w:val="00281991"/>
    <w:rsid w:val="00282431"/>
    <w:rsid w:val="00282E9E"/>
    <w:rsid w:val="00283D5E"/>
    <w:rsid w:val="00284245"/>
    <w:rsid w:val="00285034"/>
    <w:rsid w:val="002913C5"/>
    <w:rsid w:val="00291DE2"/>
    <w:rsid w:val="0029208D"/>
    <w:rsid w:val="0029225E"/>
    <w:rsid w:val="00293F85"/>
    <w:rsid w:val="0029482F"/>
    <w:rsid w:val="00294892"/>
    <w:rsid w:val="00296073"/>
    <w:rsid w:val="00296626"/>
    <w:rsid w:val="00296E92"/>
    <w:rsid w:val="00297212"/>
    <w:rsid w:val="002A02E8"/>
    <w:rsid w:val="002A1797"/>
    <w:rsid w:val="002A51B8"/>
    <w:rsid w:val="002A5ADD"/>
    <w:rsid w:val="002A5FDF"/>
    <w:rsid w:val="002A6FCE"/>
    <w:rsid w:val="002A7501"/>
    <w:rsid w:val="002B0EA1"/>
    <w:rsid w:val="002B317E"/>
    <w:rsid w:val="002B3CE2"/>
    <w:rsid w:val="002B40FF"/>
    <w:rsid w:val="002B5F48"/>
    <w:rsid w:val="002B7549"/>
    <w:rsid w:val="002C0E65"/>
    <w:rsid w:val="002C15CA"/>
    <w:rsid w:val="002C1DAF"/>
    <w:rsid w:val="002C26CD"/>
    <w:rsid w:val="002C2C08"/>
    <w:rsid w:val="002C42A2"/>
    <w:rsid w:val="002C4718"/>
    <w:rsid w:val="002C6010"/>
    <w:rsid w:val="002C7329"/>
    <w:rsid w:val="002C7EC4"/>
    <w:rsid w:val="002D15F2"/>
    <w:rsid w:val="002D2F05"/>
    <w:rsid w:val="002D4953"/>
    <w:rsid w:val="002D5CCE"/>
    <w:rsid w:val="002E1484"/>
    <w:rsid w:val="002E37DA"/>
    <w:rsid w:val="002E40AD"/>
    <w:rsid w:val="002E72F0"/>
    <w:rsid w:val="002F368E"/>
    <w:rsid w:val="002F3AAF"/>
    <w:rsid w:val="002F40FF"/>
    <w:rsid w:val="002F5101"/>
    <w:rsid w:val="002F713F"/>
    <w:rsid w:val="00300919"/>
    <w:rsid w:val="00302BF3"/>
    <w:rsid w:val="00302D8C"/>
    <w:rsid w:val="00303F92"/>
    <w:rsid w:val="00304386"/>
    <w:rsid w:val="00310825"/>
    <w:rsid w:val="00312106"/>
    <w:rsid w:val="003126FB"/>
    <w:rsid w:val="00315AE3"/>
    <w:rsid w:val="00315CA2"/>
    <w:rsid w:val="00316A7B"/>
    <w:rsid w:val="00324F09"/>
    <w:rsid w:val="003254AC"/>
    <w:rsid w:val="0033070B"/>
    <w:rsid w:val="00331513"/>
    <w:rsid w:val="0033491A"/>
    <w:rsid w:val="00337088"/>
    <w:rsid w:val="00337638"/>
    <w:rsid w:val="00340ADD"/>
    <w:rsid w:val="00341178"/>
    <w:rsid w:val="00341B42"/>
    <w:rsid w:val="003423FC"/>
    <w:rsid w:val="00344766"/>
    <w:rsid w:val="00344AD3"/>
    <w:rsid w:val="00345687"/>
    <w:rsid w:val="00345708"/>
    <w:rsid w:val="00346373"/>
    <w:rsid w:val="003467CD"/>
    <w:rsid w:val="003505B2"/>
    <w:rsid w:val="0035063B"/>
    <w:rsid w:val="00352677"/>
    <w:rsid w:val="0036188D"/>
    <w:rsid w:val="00362013"/>
    <w:rsid w:val="00364C0A"/>
    <w:rsid w:val="003713C2"/>
    <w:rsid w:val="0037172A"/>
    <w:rsid w:val="0037269A"/>
    <w:rsid w:val="0037526D"/>
    <w:rsid w:val="00382044"/>
    <w:rsid w:val="003839F9"/>
    <w:rsid w:val="00385421"/>
    <w:rsid w:val="00386A48"/>
    <w:rsid w:val="00387CF3"/>
    <w:rsid w:val="00392022"/>
    <w:rsid w:val="0039214E"/>
    <w:rsid w:val="0039256B"/>
    <w:rsid w:val="0039393F"/>
    <w:rsid w:val="00397677"/>
    <w:rsid w:val="003A0B24"/>
    <w:rsid w:val="003A0BF2"/>
    <w:rsid w:val="003A3A32"/>
    <w:rsid w:val="003A59A6"/>
    <w:rsid w:val="003A6D5C"/>
    <w:rsid w:val="003A7ED9"/>
    <w:rsid w:val="003B10FB"/>
    <w:rsid w:val="003B1154"/>
    <w:rsid w:val="003B1752"/>
    <w:rsid w:val="003B3474"/>
    <w:rsid w:val="003B5841"/>
    <w:rsid w:val="003B595A"/>
    <w:rsid w:val="003B7208"/>
    <w:rsid w:val="003B7403"/>
    <w:rsid w:val="003C1100"/>
    <w:rsid w:val="003C1CFB"/>
    <w:rsid w:val="003C1DE6"/>
    <w:rsid w:val="003C4FF5"/>
    <w:rsid w:val="003D0AE2"/>
    <w:rsid w:val="003D3477"/>
    <w:rsid w:val="003D5450"/>
    <w:rsid w:val="003D7760"/>
    <w:rsid w:val="003E13A1"/>
    <w:rsid w:val="003E2202"/>
    <w:rsid w:val="003E2955"/>
    <w:rsid w:val="003E3870"/>
    <w:rsid w:val="003E44DA"/>
    <w:rsid w:val="003E468A"/>
    <w:rsid w:val="003E46E5"/>
    <w:rsid w:val="003E6E17"/>
    <w:rsid w:val="003F2491"/>
    <w:rsid w:val="003F308A"/>
    <w:rsid w:val="003F5D5C"/>
    <w:rsid w:val="003F6192"/>
    <w:rsid w:val="00400915"/>
    <w:rsid w:val="00403319"/>
    <w:rsid w:val="00406793"/>
    <w:rsid w:val="00411F8F"/>
    <w:rsid w:val="004135D8"/>
    <w:rsid w:val="00414020"/>
    <w:rsid w:val="0041428D"/>
    <w:rsid w:val="004154DB"/>
    <w:rsid w:val="00417379"/>
    <w:rsid w:val="004176BF"/>
    <w:rsid w:val="004203BE"/>
    <w:rsid w:val="004204D0"/>
    <w:rsid w:val="00420AC4"/>
    <w:rsid w:val="004232C6"/>
    <w:rsid w:val="00426124"/>
    <w:rsid w:val="00426F24"/>
    <w:rsid w:val="004310BB"/>
    <w:rsid w:val="004338C7"/>
    <w:rsid w:val="00433E65"/>
    <w:rsid w:val="00434C3F"/>
    <w:rsid w:val="004403F7"/>
    <w:rsid w:val="004406B5"/>
    <w:rsid w:val="00444E7F"/>
    <w:rsid w:val="00445514"/>
    <w:rsid w:val="00445853"/>
    <w:rsid w:val="00447748"/>
    <w:rsid w:val="00447A90"/>
    <w:rsid w:val="0045354B"/>
    <w:rsid w:val="00453687"/>
    <w:rsid w:val="004536F3"/>
    <w:rsid w:val="004558BD"/>
    <w:rsid w:val="00460C5B"/>
    <w:rsid w:val="004615D3"/>
    <w:rsid w:val="004619A2"/>
    <w:rsid w:val="0046281E"/>
    <w:rsid w:val="00463909"/>
    <w:rsid w:val="00464D6B"/>
    <w:rsid w:val="00467C83"/>
    <w:rsid w:val="00471E09"/>
    <w:rsid w:val="004728C4"/>
    <w:rsid w:val="00473C7A"/>
    <w:rsid w:val="00474C35"/>
    <w:rsid w:val="004750A1"/>
    <w:rsid w:val="004769A4"/>
    <w:rsid w:val="00480212"/>
    <w:rsid w:val="00480D99"/>
    <w:rsid w:val="00483EC9"/>
    <w:rsid w:val="004841AE"/>
    <w:rsid w:val="00484C7F"/>
    <w:rsid w:val="00485194"/>
    <w:rsid w:val="0049095E"/>
    <w:rsid w:val="004933FC"/>
    <w:rsid w:val="00494029"/>
    <w:rsid w:val="004A212C"/>
    <w:rsid w:val="004A6D54"/>
    <w:rsid w:val="004B0090"/>
    <w:rsid w:val="004B05C6"/>
    <w:rsid w:val="004B1A74"/>
    <w:rsid w:val="004B3514"/>
    <w:rsid w:val="004B3867"/>
    <w:rsid w:val="004C0799"/>
    <w:rsid w:val="004C09C8"/>
    <w:rsid w:val="004C11B9"/>
    <w:rsid w:val="004C2BB4"/>
    <w:rsid w:val="004C3C1C"/>
    <w:rsid w:val="004C43C9"/>
    <w:rsid w:val="004C45FA"/>
    <w:rsid w:val="004C4707"/>
    <w:rsid w:val="004C4BB7"/>
    <w:rsid w:val="004C6779"/>
    <w:rsid w:val="004C7D54"/>
    <w:rsid w:val="004D0CC4"/>
    <w:rsid w:val="004D571F"/>
    <w:rsid w:val="004D6095"/>
    <w:rsid w:val="004D66AD"/>
    <w:rsid w:val="004E07A1"/>
    <w:rsid w:val="004E1729"/>
    <w:rsid w:val="004E1B3C"/>
    <w:rsid w:val="004E358F"/>
    <w:rsid w:val="004E3959"/>
    <w:rsid w:val="004E3F86"/>
    <w:rsid w:val="004E4AD1"/>
    <w:rsid w:val="004E5659"/>
    <w:rsid w:val="004E77E1"/>
    <w:rsid w:val="004F0AB7"/>
    <w:rsid w:val="004F3291"/>
    <w:rsid w:val="004F32D0"/>
    <w:rsid w:val="004F483D"/>
    <w:rsid w:val="004F6671"/>
    <w:rsid w:val="004F78C4"/>
    <w:rsid w:val="00500557"/>
    <w:rsid w:val="00500E29"/>
    <w:rsid w:val="005025C7"/>
    <w:rsid w:val="00504B42"/>
    <w:rsid w:val="00506DB2"/>
    <w:rsid w:val="00510870"/>
    <w:rsid w:val="00511AE4"/>
    <w:rsid w:val="00512A53"/>
    <w:rsid w:val="00512B53"/>
    <w:rsid w:val="00513D8C"/>
    <w:rsid w:val="0051421A"/>
    <w:rsid w:val="005159EC"/>
    <w:rsid w:val="00515E8C"/>
    <w:rsid w:val="00516A4D"/>
    <w:rsid w:val="00520E8F"/>
    <w:rsid w:val="00521628"/>
    <w:rsid w:val="0052214D"/>
    <w:rsid w:val="00525F6D"/>
    <w:rsid w:val="0052661E"/>
    <w:rsid w:val="00526627"/>
    <w:rsid w:val="00527EF6"/>
    <w:rsid w:val="00531016"/>
    <w:rsid w:val="00532218"/>
    <w:rsid w:val="005336A5"/>
    <w:rsid w:val="00533D56"/>
    <w:rsid w:val="00535912"/>
    <w:rsid w:val="005367E7"/>
    <w:rsid w:val="00542B22"/>
    <w:rsid w:val="00542CDB"/>
    <w:rsid w:val="00543B75"/>
    <w:rsid w:val="00544041"/>
    <w:rsid w:val="005449D0"/>
    <w:rsid w:val="00550ECE"/>
    <w:rsid w:val="005515F8"/>
    <w:rsid w:val="00553B9B"/>
    <w:rsid w:val="005543AF"/>
    <w:rsid w:val="00554BD4"/>
    <w:rsid w:val="00555CE3"/>
    <w:rsid w:val="0055603D"/>
    <w:rsid w:val="00560E60"/>
    <w:rsid w:val="00562117"/>
    <w:rsid w:val="0056402C"/>
    <w:rsid w:val="00564672"/>
    <w:rsid w:val="00564DDB"/>
    <w:rsid w:val="00565921"/>
    <w:rsid w:val="005660D0"/>
    <w:rsid w:val="00566380"/>
    <w:rsid w:val="005701EF"/>
    <w:rsid w:val="00571527"/>
    <w:rsid w:val="005727FC"/>
    <w:rsid w:val="00572C2A"/>
    <w:rsid w:val="00572F6A"/>
    <w:rsid w:val="00573B2C"/>
    <w:rsid w:val="00573B96"/>
    <w:rsid w:val="005741EE"/>
    <w:rsid w:val="00574D31"/>
    <w:rsid w:val="005762A7"/>
    <w:rsid w:val="005807A8"/>
    <w:rsid w:val="00580D15"/>
    <w:rsid w:val="00584C51"/>
    <w:rsid w:val="00587B1E"/>
    <w:rsid w:val="00587E84"/>
    <w:rsid w:val="005913E6"/>
    <w:rsid w:val="005944ED"/>
    <w:rsid w:val="005964D7"/>
    <w:rsid w:val="00596D61"/>
    <w:rsid w:val="00597018"/>
    <w:rsid w:val="005A0521"/>
    <w:rsid w:val="005A192F"/>
    <w:rsid w:val="005A2F92"/>
    <w:rsid w:val="005A43E7"/>
    <w:rsid w:val="005A4480"/>
    <w:rsid w:val="005A60E9"/>
    <w:rsid w:val="005A7E33"/>
    <w:rsid w:val="005B10CC"/>
    <w:rsid w:val="005B52A0"/>
    <w:rsid w:val="005B6FFD"/>
    <w:rsid w:val="005B72D5"/>
    <w:rsid w:val="005C196C"/>
    <w:rsid w:val="005C3DF3"/>
    <w:rsid w:val="005C5501"/>
    <w:rsid w:val="005C7AFE"/>
    <w:rsid w:val="005D01B4"/>
    <w:rsid w:val="005D10B3"/>
    <w:rsid w:val="005D158D"/>
    <w:rsid w:val="005D226A"/>
    <w:rsid w:val="005D22BC"/>
    <w:rsid w:val="005D3A5F"/>
    <w:rsid w:val="005D6CE0"/>
    <w:rsid w:val="005E10A5"/>
    <w:rsid w:val="005E1AEC"/>
    <w:rsid w:val="005E21DE"/>
    <w:rsid w:val="005E24C2"/>
    <w:rsid w:val="005E34E9"/>
    <w:rsid w:val="005E35AB"/>
    <w:rsid w:val="005F1439"/>
    <w:rsid w:val="005F21B0"/>
    <w:rsid w:val="005F4D3D"/>
    <w:rsid w:val="005F5B10"/>
    <w:rsid w:val="005F6CAB"/>
    <w:rsid w:val="0060244C"/>
    <w:rsid w:val="00610A95"/>
    <w:rsid w:val="00613401"/>
    <w:rsid w:val="0061516D"/>
    <w:rsid w:val="00615B10"/>
    <w:rsid w:val="006168EB"/>
    <w:rsid w:val="00616DEB"/>
    <w:rsid w:val="00617F39"/>
    <w:rsid w:val="00620DE2"/>
    <w:rsid w:val="00624E9E"/>
    <w:rsid w:val="006263D3"/>
    <w:rsid w:val="0062694E"/>
    <w:rsid w:val="00630030"/>
    <w:rsid w:val="006303DB"/>
    <w:rsid w:val="00630426"/>
    <w:rsid w:val="00631753"/>
    <w:rsid w:val="00635C2F"/>
    <w:rsid w:val="00636EB3"/>
    <w:rsid w:val="006377A9"/>
    <w:rsid w:val="0063788D"/>
    <w:rsid w:val="00637F6F"/>
    <w:rsid w:val="00640E61"/>
    <w:rsid w:val="006421E5"/>
    <w:rsid w:val="00642A8B"/>
    <w:rsid w:val="006468ED"/>
    <w:rsid w:val="006512F6"/>
    <w:rsid w:val="00653B0F"/>
    <w:rsid w:val="0065599C"/>
    <w:rsid w:val="006609B3"/>
    <w:rsid w:val="00660E52"/>
    <w:rsid w:val="0066148E"/>
    <w:rsid w:val="00661B3F"/>
    <w:rsid w:val="006625F9"/>
    <w:rsid w:val="00663A37"/>
    <w:rsid w:val="00664BB4"/>
    <w:rsid w:val="00665A8F"/>
    <w:rsid w:val="00667860"/>
    <w:rsid w:val="0067157E"/>
    <w:rsid w:val="00675D66"/>
    <w:rsid w:val="00676D1D"/>
    <w:rsid w:val="00680D15"/>
    <w:rsid w:val="006818D9"/>
    <w:rsid w:val="006834AD"/>
    <w:rsid w:val="006838C7"/>
    <w:rsid w:val="0068643A"/>
    <w:rsid w:val="00687F16"/>
    <w:rsid w:val="00690405"/>
    <w:rsid w:val="00690944"/>
    <w:rsid w:val="006914D2"/>
    <w:rsid w:val="00691C06"/>
    <w:rsid w:val="0069448A"/>
    <w:rsid w:val="00696FD6"/>
    <w:rsid w:val="006A158E"/>
    <w:rsid w:val="006A4224"/>
    <w:rsid w:val="006A56F0"/>
    <w:rsid w:val="006A585F"/>
    <w:rsid w:val="006A7CE2"/>
    <w:rsid w:val="006A7E3C"/>
    <w:rsid w:val="006B4CA4"/>
    <w:rsid w:val="006B6498"/>
    <w:rsid w:val="006B64AA"/>
    <w:rsid w:val="006B6868"/>
    <w:rsid w:val="006B7074"/>
    <w:rsid w:val="006C2214"/>
    <w:rsid w:val="006C372D"/>
    <w:rsid w:val="006C410C"/>
    <w:rsid w:val="006C52D3"/>
    <w:rsid w:val="006C55C2"/>
    <w:rsid w:val="006C6C41"/>
    <w:rsid w:val="006D1EC8"/>
    <w:rsid w:val="006D3F59"/>
    <w:rsid w:val="006D6830"/>
    <w:rsid w:val="006D719C"/>
    <w:rsid w:val="006D7DF3"/>
    <w:rsid w:val="006E136F"/>
    <w:rsid w:val="006E15A2"/>
    <w:rsid w:val="006E20F9"/>
    <w:rsid w:val="006E3F38"/>
    <w:rsid w:val="006E4C8D"/>
    <w:rsid w:val="006E6076"/>
    <w:rsid w:val="006E6DD7"/>
    <w:rsid w:val="006F0222"/>
    <w:rsid w:val="006F04A3"/>
    <w:rsid w:val="006F114C"/>
    <w:rsid w:val="006F1A99"/>
    <w:rsid w:val="006F676C"/>
    <w:rsid w:val="00700C90"/>
    <w:rsid w:val="00701F34"/>
    <w:rsid w:val="007031A2"/>
    <w:rsid w:val="00704693"/>
    <w:rsid w:val="00704AB9"/>
    <w:rsid w:val="007054D8"/>
    <w:rsid w:val="00706D47"/>
    <w:rsid w:val="00711EE2"/>
    <w:rsid w:val="007130DA"/>
    <w:rsid w:val="00713DD5"/>
    <w:rsid w:val="0071601C"/>
    <w:rsid w:val="00720D8F"/>
    <w:rsid w:val="0072149D"/>
    <w:rsid w:val="007214D9"/>
    <w:rsid w:val="00723C6D"/>
    <w:rsid w:val="0072514D"/>
    <w:rsid w:val="00725C5A"/>
    <w:rsid w:val="007263E6"/>
    <w:rsid w:val="007264EA"/>
    <w:rsid w:val="00726F49"/>
    <w:rsid w:val="00732AB3"/>
    <w:rsid w:val="007332CF"/>
    <w:rsid w:val="00736F47"/>
    <w:rsid w:val="00740DFE"/>
    <w:rsid w:val="007410C2"/>
    <w:rsid w:val="007411F0"/>
    <w:rsid w:val="0074208A"/>
    <w:rsid w:val="00746DD6"/>
    <w:rsid w:val="00746E60"/>
    <w:rsid w:val="00746FA8"/>
    <w:rsid w:val="007479B5"/>
    <w:rsid w:val="00752886"/>
    <w:rsid w:val="00753070"/>
    <w:rsid w:val="00753ACF"/>
    <w:rsid w:val="007550BD"/>
    <w:rsid w:val="007551E4"/>
    <w:rsid w:val="0075799A"/>
    <w:rsid w:val="0076064B"/>
    <w:rsid w:val="00761C38"/>
    <w:rsid w:val="00761EE8"/>
    <w:rsid w:val="00762151"/>
    <w:rsid w:val="0076215F"/>
    <w:rsid w:val="00762D4B"/>
    <w:rsid w:val="00764010"/>
    <w:rsid w:val="00764368"/>
    <w:rsid w:val="00764B5B"/>
    <w:rsid w:val="00765287"/>
    <w:rsid w:val="00766A73"/>
    <w:rsid w:val="00766F19"/>
    <w:rsid w:val="007712C7"/>
    <w:rsid w:val="00771BD6"/>
    <w:rsid w:val="00773EDE"/>
    <w:rsid w:val="0077455A"/>
    <w:rsid w:val="00777372"/>
    <w:rsid w:val="00777527"/>
    <w:rsid w:val="00780F18"/>
    <w:rsid w:val="00781849"/>
    <w:rsid w:val="00781B6F"/>
    <w:rsid w:val="00782890"/>
    <w:rsid w:val="007833CB"/>
    <w:rsid w:val="00783A5A"/>
    <w:rsid w:val="00783B56"/>
    <w:rsid w:val="00786CFF"/>
    <w:rsid w:val="007874B4"/>
    <w:rsid w:val="00791490"/>
    <w:rsid w:val="00791C7A"/>
    <w:rsid w:val="00791D59"/>
    <w:rsid w:val="00792D4C"/>
    <w:rsid w:val="007938AE"/>
    <w:rsid w:val="00793B7C"/>
    <w:rsid w:val="007A0DC1"/>
    <w:rsid w:val="007A19E0"/>
    <w:rsid w:val="007A1AB6"/>
    <w:rsid w:val="007A23F8"/>
    <w:rsid w:val="007A2D52"/>
    <w:rsid w:val="007A550A"/>
    <w:rsid w:val="007A5B2E"/>
    <w:rsid w:val="007A5C18"/>
    <w:rsid w:val="007B28CF"/>
    <w:rsid w:val="007B4416"/>
    <w:rsid w:val="007B46BF"/>
    <w:rsid w:val="007B6DD8"/>
    <w:rsid w:val="007C05DC"/>
    <w:rsid w:val="007C0FF7"/>
    <w:rsid w:val="007C14EE"/>
    <w:rsid w:val="007C3040"/>
    <w:rsid w:val="007C3BA4"/>
    <w:rsid w:val="007D07B3"/>
    <w:rsid w:val="007D1B1E"/>
    <w:rsid w:val="007D4712"/>
    <w:rsid w:val="007D5D30"/>
    <w:rsid w:val="007E18F8"/>
    <w:rsid w:val="007E38F1"/>
    <w:rsid w:val="007E3C2E"/>
    <w:rsid w:val="007E3F8B"/>
    <w:rsid w:val="007E781F"/>
    <w:rsid w:val="007F1538"/>
    <w:rsid w:val="007F3D8B"/>
    <w:rsid w:val="007F5BB9"/>
    <w:rsid w:val="007F5C41"/>
    <w:rsid w:val="007F5E4F"/>
    <w:rsid w:val="007F7965"/>
    <w:rsid w:val="0080069B"/>
    <w:rsid w:val="00800EF1"/>
    <w:rsid w:val="008017D6"/>
    <w:rsid w:val="0080185B"/>
    <w:rsid w:val="00802AC9"/>
    <w:rsid w:val="00803304"/>
    <w:rsid w:val="00807B2A"/>
    <w:rsid w:val="00810E97"/>
    <w:rsid w:val="0081123B"/>
    <w:rsid w:val="00811393"/>
    <w:rsid w:val="00816C5A"/>
    <w:rsid w:val="00817678"/>
    <w:rsid w:val="0082049D"/>
    <w:rsid w:val="008217BC"/>
    <w:rsid w:val="00822BA1"/>
    <w:rsid w:val="00824E58"/>
    <w:rsid w:val="00827D60"/>
    <w:rsid w:val="00831D6C"/>
    <w:rsid w:val="00832F6C"/>
    <w:rsid w:val="008341ED"/>
    <w:rsid w:val="00837584"/>
    <w:rsid w:val="00841673"/>
    <w:rsid w:val="00841963"/>
    <w:rsid w:val="00845B52"/>
    <w:rsid w:val="00846D3E"/>
    <w:rsid w:val="00846DE7"/>
    <w:rsid w:val="008477B9"/>
    <w:rsid w:val="008523FA"/>
    <w:rsid w:val="008529E6"/>
    <w:rsid w:val="00852CDD"/>
    <w:rsid w:val="00855E11"/>
    <w:rsid w:val="008575E1"/>
    <w:rsid w:val="0085760A"/>
    <w:rsid w:val="0086170A"/>
    <w:rsid w:val="00862272"/>
    <w:rsid w:val="00863328"/>
    <w:rsid w:val="0086448F"/>
    <w:rsid w:val="00864D6E"/>
    <w:rsid w:val="008659A2"/>
    <w:rsid w:val="0086690B"/>
    <w:rsid w:val="00866973"/>
    <w:rsid w:val="008702EA"/>
    <w:rsid w:val="008710F8"/>
    <w:rsid w:val="00871B94"/>
    <w:rsid w:val="008755C2"/>
    <w:rsid w:val="00875A6F"/>
    <w:rsid w:val="00881947"/>
    <w:rsid w:val="00881D64"/>
    <w:rsid w:val="00882C01"/>
    <w:rsid w:val="00882E02"/>
    <w:rsid w:val="00883C16"/>
    <w:rsid w:val="008853EC"/>
    <w:rsid w:val="00891CFC"/>
    <w:rsid w:val="008921AE"/>
    <w:rsid w:val="00895187"/>
    <w:rsid w:val="00895BD3"/>
    <w:rsid w:val="00896EDC"/>
    <w:rsid w:val="008A0C9F"/>
    <w:rsid w:val="008A14F6"/>
    <w:rsid w:val="008A1645"/>
    <w:rsid w:val="008A3E6F"/>
    <w:rsid w:val="008A7EF2"/>
    <w:rsid w:val="008B0DFB"/>
    <w:rsid w:val="008B646D"/>
    <w:rsid w:val="008B6842"/>
    <w:rsid w:val="008B70C4"/>
    <w:rsid w:val="008B7F11"/>
    <w:rsid w:val="008C18C1"/>
    <w:rsid w:val="008C3DC2"/>
    <w:rsid w:val="008C442E"/>
    <w:rsid w:val="008C4943"/>
    <w:rsid w:val="008C5658"/>
    <w:rsid w:val="008C5DCA"/>
    <w:rsid w:val="008D0ADE"/>
    <w:rsid w:val="008D344B"/>
    <w:rsid w:val="008D346A"/>
    <w:rsid w:val="008D370B"/>
    <w:rsid w:val="008D41FC"/>
    <w:rsid w:val="008D4ED9"/>
    <w:rsid w:val="008D6B04"/>
    <w:rsid w:val="008E2654"/>
    <w:rsid w:val="008F1C22"/>
    <w:rsid w:val="008F2212"/>
    <w:rsid w:val="008F2554"/>
    <w:rsid w:val="008F408C"/>
    <w:rsid w:val="008F47DC"/>
    <w:rsid w:val="008F66C1"/>
    <w:rsid w:val="009025FB"/>
    <w:rsid w:val="009029DB"/>
    <w:rsid w:val="009038A8"/>
    <w:rsid w:val="0090753F"/>
    <w:rsid w:val="00913E51"/>
    <w:rsid w:val="00914986"/>
    <w:rsid w:val="00914DFE"/>
    <w:rsid w:val="0091614B"/>
    <w:rsid w:val="0092131F"/>
    <w:rsid w:val="00925D59"/>
    <w:rsid w:val="00926716"/>
    <w:rsid w:val="00932A82"/>
    <w:rsid w:val="0093319A"/>
    <w:rsid w:val="00933540"/>
    <w:rsid w:val="00933E6E"/>
    <w:rsid w:val="00934877"/>
    <w:rsid w:val="00935439"/>
    <w:rsid w:val="009357D5"/>
    <w:rsid w:val="00935CD9"/>
    <w:rsid w:val="0093768D"/>
    <w:rsid w:val="0093790F"/>
    <w:rsid w:val="00941D0E"/>
    <w:rsid w:val="009453A6"/>
    <w:rsid w:val="009464A3"/>
    <w:rsid w:val="00946522"/>
    <w:rsid w:val="00946796"/>
    <w:rsid w:val="0095183B"/>
    <w:rsid w:val="0095204C"/>
    <w:rsid w:val="009520FE"/>
    <w:rsid w:val="00953424"/>
    <w:rsid w:val="00953B51"/>
    <w:rsid w:val="00953B7B"/>
    <w:rsid w:val="00954528"/>
    <w:rsid w:val="009558AA"/>
    <w:rsid w:val="009603E5"/>
    <w:rsid w:val="0096071A"/>
    <w:rsid w:val="00960C91"/>
    <w:rsid w:val="00961AEB"/>
    <w:rsid w:val="00961B6D"/>
    <w:rsid w:val="00963687"/>
    <w:rsid w:val="00963717"/>
    <w:rsid w:val="00965CC4"/>
    <w:rsid w:val="0096624D"/>
    <w:rsid w:val="00970143"/>
    <w:rsid w:val="00970B7F"/>
    <w:rsid w:val="00970C38"/>
    <w:rsid w:val="00971614"/>
    <w:rsid w:val="00972340"/>
    <w:rsid w:val="009752FA"/>
    <w:rsid w:val="00977693"/>
    <w:rsid w:val="00981FF0"/>
    <w:rsid w:val="00982494"/>
    <w:rsid w:val="009845F3"/>
    <w:rsid w:val="009845FD"/>
    <w:rsid w:val="00990935"/>
    <w:rsid w:val="00990AFD"/>
    <w:rsid w:val="00991069"/>
    <w:rsid w:val="0099397C"/>
    <w:rsid w:val="00996257"/>
    <w:rsid w:val="00996BCA"/>
    <w:rsid w:val="009A0E79"/>
    <w:rsid w:val="009A216A"/>
    <w:rsid w:val="009A23B0"/>
    <w:rsid w:val="009A35C9"/>
    <w:rsid w:val="009A3604"/>
    <w:rsid w:val="009A473C"/>
    <w:rsid w:val="009A640D"/>
    <w:rsid w:val="009A7F00"/>
    <w:rsid w:val="009B1548"/>
    <w:rsid w:val="009B3A1D"/>
    <w:rsid w:val="009B41F0"/>
    <w:rsid w:val="009B7FFD"/>
    <w:rsid w:val="009C3225"/>
    <w:rsid w:val="009C40E3"/>
    <w:rsid w:val="009C4284"/>
    <w:rsid w:val="009C5DC4"/>
    <w:rsid w:val="009C61A3"/>
    <w:rsid w:val="009C6B84"/>
    <w:rsid w:val="009D0BC2"/>
    <w:rsid w:val="009D480A"/>
    <w:rsid w:val="009D5A24"/>
    <w:rsid w:val="009D5B2E"/>
    <w:rsid w:val="009D5E66"/>
    <w:rsid w:val="009D636F"/>
    <w:rsid w:val="009D7457"/>
    <w:rsid w:val="009D758F"/>
    <w:rsid w:val="009D7BF2"/>
    <w:rsid w:val="009D7D83"/>
    <w:rsid w:val="009E19CB"/>
    <w:rsid w:val="009E426E"/>
    <w:rsid w:val="009E439C"/>
    <w:rsid w:val="009E620D"/>
    <w:rsid w:val="009E7F49"/>
    <w:rsid w:val="009F0B98"/>
    <w:rsid w:val="009F1C46"/>
    <w:rsid w:val="009F2079"/>
    <w:rsid w:val="009F4BE1"/>
    <w:rsid w:val="009F69B5"/>
    <w:rsid w:val="00A004D3"/>
    <w:rsid w:val="00A07CA6"/>
    <w:rsid w:val="00A12981"/>
    <w:rsid w:val="00A14320"/>
    <w:rsid w:val="00A151A5"/>
    <w:rsid w:val="00A15263"/>
    <w:rsid w:val="00A15E74"/>
    <w:rsid w:val="00A164FB"/>
    <w:rsid w:val="00A16BEA"/>
    <w:rsid w:val="00A175E5"/>
    <w:rsid w:val="00A17EA1"/>
    <w:rsid w:val="00A17EDF"/>
    <w:rsid w:val="00A24F60"/>
    <w:rsid w:val="00A254EA"/>
    <w:rsid w:val="00A30DB1"/>
    <w:rsid w:val="00A31101"/>
    <w:rsid w:val="00A327E3"/>
    <w:rsid w:val="00A34451"/>
    <w:rsid w:val="00A35811"/>
    <w:rsid w:val="00A35D0A"/>
    <w:rsid w:val="00A42629"/>
    <w:rsid w:val="00A43944"/>
    <w:rsid w:val="00A43A45"/>
    <w:rsid w:val="00A43D2B"/>
    <w:rsid w:val="00A4524B"/>
    <w:rsid w:val="00A45454"/>
    <w:rsid w:val="00A45955"/>
    <w:rsid w:val="00A4637B"/>
    <w:rsid w:val="00A476D0"/>
    <w:rsid w:val="00A50D2F"/>
    <w:rsid w:val="00A50EE4"/>
    <w:rsid w:val="00A521D4"/>
    <w:rsid w:val="00A53511"/>
    <w:rsid w:val="00A541FE"/>
    <w:rsid w:val="00A60841"/>
    <w:rsid w:val="00A61A4E"/>
    <w:rsid w:val="00A63700"/>
    <w:rsid w:val="00A64575"/>
    <w:rsid w:val="00A65A26"/>
    <w:rsid w:val="00A67625"/>
    <w:rsid w:val="00A67EF4"/>
    <w:rsid w:val="00A73EF9"/>
    <w:rsid w:val="00A756C6"/>
    <w:rsid w:val="00A77200"/>
    <w:rsid w:val="00A80BB6"/>
    <w:rsid w:val="00A80C68"/>
    <w:rsid w:val="00A821AF"/>
    <w:rsid w:val="00A844B8"/>
    <w:rsid w:val="00A855BE"/>
    <w:rsid w:val="00A86406"/>
    <w:rsid w:val="00A87937"/>
    <w:rsid w:val="00A9014B"/>
    <w:rsid w:val="00A915AB"/>
    <w:rsid w:val="00A9222E"/>
    <w:rsid w:val="00A92C7A"/>
    <w:rsid w:val="00A92DD2"/>
    <w:rsid w:val="00A93911"/>
    <w:rsid w:val="00A9454C"/>
    <w:rsid w:val="00A94751"/>
    <w:rsid w:val="00A95B2A"/>
    <w:rsid w:val="00A96228"/>
    <w:rsid w:val="00AA0B4E"/>
    <w:rsid w:val="00AA1BBB"/>
    <w:rsid w:val="00AA1E74"/>
    <w:rsid w:val="00AA246B"/>
    <w:rsid w:val="00AA24D2"/>
    <w:rsid w:val="00AA423E"/>
    <w:rsid w:val="00AA7316"/>
    <w:rsid w:val="00AA78CE"/>
    <w:rsid w:val="00AA7F42"/>
    <w:rsid w:val="00AB0C12"/>
    <w:rsid w:val="00AB0FA7"/>
    <w:rsid w:val="00AB26D5"/>
    <w:rsid w:val="00AB3885"/>
    <w:rsid w:val="00AB5F3B"/>
    <w:rsid w:val="00AC004D"/>
    <w:rsid w:val="00AC38A9"/>
    <w:rsid w:val="00AC4BF6"/>
    <w:rsid w:val="00AC6797"/>
    <w:rsid w:val="00AC6A7A"/>
    <w:rsid w:val="00AC6F68"/>
    <w:rsid w:val="00AD124D"/>
    <w:rsid w:val="00AD1EAE"/>
    <w:rsid w:val="00AD2280"/>
    <w:rsid w:val="00AD4839"/>
    <w:rsid w:val="00AD7373"/>
    <w:rsid w:val="00AD76EF"/>
    <w:rsid w:val="00AE19D1"/>
    <w:rsid w:val="00AE2666"/>
    <w:rsid w:val="00AE5D09"/>
    <w:rsid w:val="00AE665A"/>
    <w:rsid w:val="00AF4EE4"/>
    <w:rsid w:val="00B0036F"/>
    <w:rsid w:val="00B00C8E"/>
    <w:rsid w:val="00B02AA5"/>
    <w:rsid w:val="00B04F50"/>
    <w:rsid w:val="00B1073D"/>
    <w:rsid w:val="00B11CD7"/>
    <w:rsid w:val="00B1205D"/>
    <w:rsid w:val="00B13307"/>
    <w:rsid w:val="00B15202"/>
    <w:rsid w:val="00B1553A"/>
    <w:rsid w:val="00B166C0"/>
    <w:rsid w:val="00B17577"/>
    <w:rsid w:val="00B21CD1"/>
    <w:rsid w:val="00B23256"/>
    <w:rsid w:val="00B24CF5"/>
    <w:rsid w:val="00B26507"/>
    <w:rsid w:val="00B269CE"/>
    <w:rsid w:val="00B30C10"/>
    <w:rsid w:val="00B31CD8"/>
    <w:rsid w:val="00B32B21"/>
    <w:rsid w:val="00B37176"/>
    <w:rsid w:val="00B373AA"/>
    <w:rsid w:val="00B40823"/>
    <w:rsid w:val="00B40DF9"/>
    <w:rsid w:val="00B42083"/>
    <w:rsid w:val="00B43455"/>
    <w:rsid w:val="00B435F8"/>
    <w:rsid w:val="00B4620E"/>
    <w:rsid w:val="00B46CB0"/>
    <w:rsid w:val="00B5462A"/>
    <w:rsid w:val="00B57348"/>
    <w:rsid w:val="00B61E5E"/>
    <w:rsid w:val="00B62D2B"/>
    <w:rsid w:val="00B63807"/>
    <w:rsid w:val="00B65D4D"/>
    <w:rsid w:val="00B66649"/>
    <w:rsid w:val="00B67741"/>
    <w:rsid w:val="00B75683"/>
    <w:rsid w:val="00B7667D"/>
    <w:rsid w:val="00B8179C"/>
    <w:rsid w:val="00B822DB"/>
    <w:rsid w:val="00B84A8A"/>
    <w:rsid w:val="00B91B46"/>
    <w:rsid w:val="00B9279C"/>
    <w:rsid w:val="00B934BE"/>
    <w:rsid w:val="00B9576A"/>
    <w:rsid w:val="00B962BB"/>
    <w:rsid w:val="00BA2861"/>
    <w:rsid w:val="00BA6707"/>
    <w:rsid w:val="00BA7C0B"/>
    <w:rsid w:val="00BB0F85"/>
    <w:rsid w:val="00BB1940"/>
    <w:rsid w:val="00BB4B5A"/>
    <w:rsid w:val="00BB5301"/>
    <w:rsid w:val="00BB57E8"/>
    <w:rsid w:val="00BB7349"/>
    <w:rsid w:val="00BC0196"/>
    <w:rsid w:val="00BC0367"/>
    <w:rsid w:val="00BC219A"/>
    <w:rsid w:val="00BC42A8"/>
    <w:rsid w:val="00BC66EE"/>
    <w:rsid w:val="00BC69F2"/>
    <w:rsid w:val="00BC7FFB"/>
    <w:rsid w:val="00BD034D"/>
    <w:rsid w:val="00BD3ECE"/>
    <w:rsid w:val="00BD5782"/>
    <w:rsid w:val="00BD780A"/>
    <w:rsid w:val="00BE0CEB"/>
    <w:rsid w:val="00BE1E12"/>
    <w:rsid w:val="00BE346A"/>
    <w:rsid w:val="00BE46DF"/>
    <w:rsid w:val="00BE635E"/>
    <w:rsid w:val="00BE6364"/>
    <w:rsid w:val="00BE6D71"/>
    <w:rsid w:val="00BE718D"/>
    <w:rsid w:val="00BE7A12"/>
    <w:rsid w:val="00BE7CAE"/>
    <w:rsid w:val="00BF5945"/>
    <w:rsid w:val="00BF6362"/>
    <w:rsid w:val="00C0080E"/>
    <w:rsid w:val="00C009C1"/>
    <w:rsid w:val="00C01B8A"/>
    <w:rsid w:val="00C01FED"/>
    <w:rsid w:val="00C05398"/>
    <w:rsid w:val="00C056BE"/>
    <w:rsid w:val="00C06182"/>
    <w:rsid w:val="00C06249"/>
    <w:rsid w:val="00C07B7F"/>
    <w:rsid w:val="00C07EC8"/>
    <w:rsid w:val="00C10243"/>
    <w:rsid w:val="00C119DB"/>
    <w:rsid w:val="00C13C38"/>
    <w:rsid w:val="00C1424F"/>
    <w:rsid w:val="00C14933"/>
    <w:rsid w:val="00C157FC"/>
    <w:rsid w:val="00C2027F"/>
    <w:rsid w:val="00C20B16"/>
    <w:rsid w:val="00C233B3"/>
    <w:rsid w:val="00C235D5"/>
    <w:rsid w:val="00C238FB"/>
    <w:rsid w:val="00C25B3F"/>
    <w:rsid w:val="00C2627B"/>
    <w:rsid w:val="00C3227B"/>
    <w:rsid w:val="00C32ACE"/>
    <w:rsid w:val="00C32F37"/>
    <w:rsid w:val="00C33352"/>
    <w:rsid w:val="00C34DB4"/>
    <w:rsid w:val="00C35A64"/>
    <w:rsid w:val="00C35E7C"/>
    <w:rsid w:val="00C36B0D"/>
    <w:rsid w:val="00C37839"/>
    <w:rsid w:val="00C37EA0"/>
    <w:rsid w:val="00C409F6"/>
    <w:rsid w:val="00C410D2"/>
    <w:rsid w:val="00C41479"/>
    <w:rsid w:val="00C43810"/>
    <w:rsid w:val="00C439F1"/>
    <w:rsid w:val="00C536D2"/>
    <w:rsid w:val="00C54090"/>
    <w:rsid w:val="00C54558"/>
    <w:rsid w:val="00C558A4"/>
    <w:rsid w:val="00C559CD"/>
    <w:rsid w:val="00C57E04"/>
    <w:rsid w:val="00C61FEC"/>
    <w:rsid w:val="00C62B4F"/>
    <w:rsid w:val="00C65918"/>
    <w:rsid w:val="00C65FA7"/>
    <w:rsid w:val="00C670DD"/>
    <w:rsid w:val="00C72F35"/>
    <w:rsid w:val="00C73ED0"/>
    <w:rsid w:val="00C74F2A"/>
    <w:rsid w:val="00C76946"/>
    <w:rsid w:val="00C76CD4"/>
    <w:rsid w:val="00C77686"/>
    <w:rsid w:val="00C80B05"/>
    <w:rsid w:val="00C81AD2"/>
    <w:rsid w:val="00C81CD7"/>
    <w:rsid w:val="00C83AEC"/>
    <w:rsid w:val="00C84348"/>
    <w:rsid w:val="00C8742E"/>
    <w:rsid w:val="00C90FC8"/>
    <w:rsid w:val="00C91329"/>
    <w:rsid w:val="00C9443B"/>
    <w:rsid w:val="00C96E34"/>
    <w:rsid w:val="00C9717B"/>
    <w:rsid w:val="00C97586"/>
    <w:rsid w:val="00CA1AD6"/>
    <w:rsid w:val="00CA39B7"/>
    <w:rsid w:val="00CA5AF6"/>
    <w:rsid w:val="00CB1389"/>
    <w:rsid w:val="00CB2149"/>
    <w:rsid w:val="00CB2159"/>
    <w:rsid w:val="00CB4BBD"/>
    <w:rsid w:val="00CB4C86"/>
    <w:rsid w:val="00CB5B7B"/>
    <w:rsid w:val="00CB6418"/>
    <w:rsid w:val="00CC0C48"/>
    <w:rsid w:val="00CC3DCA"/>
    <w:rsid w:val="00CC4F1E"/>
    <w:rsid w:val="00CC5FBE"/>
    <w:rsid w:val="00CC6BC0"/>
    <w:rsid w:val="00CC6FFC"/>
    <w:rsid w:val="00CC7706"/>
    <w:rsid w:val="00CD19A8"/>
    <w:rsid w:val="00CD19DB"/>
    <w:rsid w:val="00CD30FC"/>
    <w:rsid w:val="00CD39A2"/>
    <w:rsid w:val="00CD4B87"/>
    <w:rsid w:val="00CD55DB"/>
    <w:rsid w:val="00CD63AD"/>
    <w:rsid w:val="00CE1E88"/>
    <w:rsid w:val="00CE26E6"/>
    <w:rsid w:val="00CE4450"/>
    <w:rsid w:val="00CE4772"/>
    <w:rsid w:val="00CE49B6"/>
    <w:rsid w:val="00CE4A28"/>
    <w:rsid w:val="00CE56C5"/>
    <w:rsid w:val="00CE5C3A"/>
    <w:rsid w:val="00CF0972"/>
    <w:rsid w:val="00CF0AE0"/>
    <w:rsid w:val="00CF31B4"/>
    <w:rsid w:val="00CF4CEF"/>
    <w:rsid w:val="00CF6431"/>
    <w:rsid w:val="00CF6E52"/>
    <w:rsid w:val="00D01DCF"/>
    <w:rsid w:val="00D04514"/>
    <w:rsid w:val="00D076D9"/>
    <w:rsid w:val="00D11A35"/>
    <w:rsid w:val="00D11E06"/>
    <w:rsid w:val="00D1224D"/>
    <w:rsid w:val="00D1259C"/>
    <w:rsid w:val="00D13846"/>
    <w:rsid w:val="00D20835"/>
    <w:rsid w:val="00D20D52"/>
    <w:rsid w:val="00D20EF6"/>
    <w:rsid w:val="00D219AA"/>
    <w:rsid w:val="00D21D01"/>
    <w:rsid w:val="00D2237A"/>
    <w:rsid w:val="00D24BD1"/>
    <w:rsid w:val="00D2588A"/>
    <w:rsid w:val="00D25B60"/>
    <w:rsid w:val="00D26217"/>
    <w:rsid w:val="00D26522"/>
    <w:rsid w:val="00D278F0"/>
    <w:rsid w:val="00D338DB"/>
    <w:rsid w:val="00D3511F"/>
    <w:rsid w:val="00D36BE0"/>
    <w:rsid w:val="00D36DB6"/>
    <w:rsid w:val="00D3752B"/>
    <w:rsid w:val="00D40470"/>
    <w:rsid w:val="00D41147"/>
    <w:rsid w:val="00D4515E"/>
    <w:rsid w:val="00D4521D"/>
    <w:rsid w:val="00D45819"/>
    <w:rsid w:val="00D46397"/>
    <w:rsid w:val="00D510A2"/>
    <w:rsid w:val="00D52933"/>
    <w:rsid w:val="00D52FF0"/>
    <w:rsid w:val="00D56683"/>
    <w:rsid w:val="00D6001A"/>
    <w:rsid w:val="00D6189E"/>
    <w:rsid w:val="00D61E4F"/>
    <w:rsid w:val="00D62E71"/>
    <w:rsid w:val="00D65159"/>
    <w:rsid w:val="00D65C56"/>
    <w:rsid w:val="00D66CBB"/>
    <w:rsid w:val="00D70514"/>
    <w:rsid w:val="00D71305"/>
    <w:rsid w:val="00D718B8"/>
    <w:rsid w:val="00D71BF7"/>
    <w:rsid w:val="00D731D0"/>
    <w:rsid w:val="00D738D2"/>
    <w:rsid w:val="00D73CDD"/>
    <w:rsid w:val="00D74E94"/>
    <w:rsid w:val="00D766B4"/>
    <w:rsid w:val="00D809E4"/>
    <w:rsid w:val="00D81B85"/>
    <w:rsid w:val="00D8486E"/>
    <w:rsid w:val="00D8663B"/>
    <w:rsid w:val="00D878B6"/>
    <w:rsid w:val="00D87FC0"/>
    <w:rsid w:val="00D90C1B"/>
    <w:rsid w:val="00D90FB3"/>
    <w:rsid w:val="00D925D1"/>
    <w:rsid w:val="00D92668"/>
    <w:rsid w:val="00D94F27"/>
    <w:rsid w:val="00D95B37"/>
    <w:rsid w:val="00D979CF"/>
    <w:rsid w:val="00DA0B8F"/>
    <w:rsid w:val="00DA1F2A"/>
    <w:rsid w:val="00DA432C"/>
    <w:rsid w:val="00DB08A2"/>
    <w:rsid w:val="00DB0D6D"/>
    <w:rsid w:val="00DB1035"/>
    <w:rsid w:val="00DB1F84"/>
    <w:rsid w:val="00DB44A1"/>
    <w:rsid w:val="00DB5CD7"/>
    <w:rsid w:val="00DB6647"/>
    <w:rsid w:val="00DC0C9F"/>
    <w:rsid w:val="00DC33BA"/>
    <w:rsid w:val="00DC4957"/>
    <w:rsid w:val="00DC4AE2"/>
    <w:rsid w:val="00DC63B3"/>
    <w:rsid w:val="00DC6B6C"/>
    <w:rsid w:val="00DD2877"/>
    <w:rsid w:val="00DD2EDE"/>
    <w:rsid w:val="00DD3144"/>
    <w:rsid w:val="00DD7FD2"/>
    <w:rsid w:val="00DE0E0F"/>
    <w:rsid w:val="00DE0F3E"/>
    <w:rsid w:val="00DE1577"/>
    <w:rsid w:val="00DE1DEE"/>
    <w:rsid w:val="00DE3218"/>
    <w:rsid w:val="00DE33F9"/>
    <w:rsid w:val="00DF06C4"/>
    <w:rsid w:val="00DF0BD1"/>
    <w:rsid w:val="00DF1156"/>
    <w:rsid w:val="00DF1173"/>
    <w:rsid w:val="00DF2CB0"/>
    <w:rsid w:val="00DF383C"/>
    <w:rsid w:val="00DF4465"/>
    <w:rsid w:val="00DF451B"/>
    <w:rsid w:val="00DF5D03"/>
    <w:rsid w:val="00DF6006"/>
    <w:rsid w:val="00DF6955"/>
    <w:rsid w:val="00DF7B01"/>
    <w:rsid w:val="00E0443E"/>
    <w:rsid w:val="00E05FCE"/>
    <w:rsid w:val="00E076EA"/>
    <w:rsid w:val="00E120FC"/>
    <w:rsid w:val="00E12D07"/>
    <w:rsid w:val="00E14BA9"/>
    <w:rsid w:val="00E1701F"/>
    <w:rsid w:val="00E2168A"/>
    <w:rsid w:val="00E22FD4"/>
    <w:rsid w:val="00E23EE3"/>
    <w:rsid w:val="00E245A1"/>
    <w:rsid w:val="00E24831"/>
    <w:rsid w:val="00E31001"/>
    <w:rsid w:val="00E34A4E"/>
    <w:rsid w:val="00E41D0D"/>
    <w:rsid w:val="00E46685"/>
    <w:rsid w:val="00E507BE"/>
    <w:rsid w:val="00E50A06"/>
    <w:rsid w:val="00E51D63"/>
    <w:rsid w:val="00E5265D"/>
    <w:rsid w:val="00E546D8"/>
    <w:rsid w:val="00E55C26"/>
    <w:rsid w:val="00E55EA0"/>
    <w:rsid w:val="00E600CD"/>
    <w:rsid w:val="00E62EF4"/>
    <w:rsid w:val="00E65521"/>
    <w:rsid w:val="00E6737E"/>
    <w:rsid w:val="00E67455"/>
    <w:rsid w:val="00E701AC"/>
    <w:rsid w:val="00E719E2"/>
    <w:rsid w:val="00E730F3"/>
    <w:rsid w:val="00E75386"/>
    <w:rsid w:val="00E758A1"/>
    <w:rsid w:val="00E76832"/>
    <w:rsid w:val="00E77015"/>
    <w:rsid w:val="00E77017"/>
    <w:rsid w:val="00E807E8"/>
    <w:rsid w:val="00E80AD6"/>
    <w:rsid w:val="00E8267D"/>
    <w:rsid w:val="00E83C17"/>
    <w:rsid w:val="00E844ED"/>
    <w:rsid w:val="00E85B9A"/>
    <w:rsid w:val="00E8653F"/>
    <w:rsid w:val="00E86C05"/>
    <w:rsid w:val="00E90C8F"/>
    <w:rsid w:val="00E91006"/>
    <w:rsid w:val="00E92106"/>
    <w:rsid w:val="00E92204"/>
    <w:rsid w:val="00E93F35"/>
    <w:rsid w:val="00E97F10"/>
    <w:rsid w:val="00EA4C1F"/>
    <w:rsid w:val="00EA5B2B"/>
    <w:rsid w:val="00EA7EA7"/>
    <w:rsid w:val="00EB0AFA"/>
    <w:rsid w:val="00EB2BE8"/>
    <w:rsid w:val="00EB3FD5"/>
    <w:rsid w:val="00EB4897"/>
    <w:rsid w:val="00EB5F05"/>
    <w:rsid w:val="00EB65D1"/>
    <w:rsid w:val="00EC1362"/>
    <w:rsid w:val="00EC238F"/>
    <w:rsid w:val="00EC291E"/>
    <w:rsid w:val="00EC2EEA"/>
    <w:rsid w:val="00EC6ABB"/>
    <w:rsid w:val="00EC7B44"/>
    <w:rsid w:val="00ED10D9"/>
    <w:rsid w:val="00ED28F4"/>
    <w:rsid w:val="00ED30A9"/>
    <w:rsid w:val="00ED4023"/>
    <w:rsid w:val="00ED43C6"/>
    <w:rsid w:val="00ED5476"/>
    <w:rsid w:val="00ED7864"/>
    <w:rsid w:val="00EE0200"/>
    <w:rsid w:val="00EE0F6C"/>
    <w:rsid w:val="00EE1465"/>
    <w:rsid w:val="00EE2C69"/>
    <w:rsid w:val="00EE34DD"/>
    <w:rsid w:val="00EE3C92"/>
    <w:rsid w:val="00EE447F"/>
    <w:rsid w:val="00EE47C6"/>
    <w:rsid w:val="00EE4D84"/>
    <w:rsid w:val="00EE76B1"/>
    <w:rsid w:val="00EF0382"/>
    <w:rsid w:val="00EF0F59"/>
    <w:rsid w:val="00EF1196"/>
    <w:rsid w:val="00EF2B23"/>
    <w:rsid w:val="00EF3A01"/>
    <w:rsid w:val="00EF52F1"/>
    <w:rsid w:val="00EF6F58"/>
    <w:rsid w:val="00EF7470"/>
    <w:rsid w:val="00EF7935"/>
    <w:rsid w:val="00F01526"/>
    <w:rsid w:val="00F023A7"/>
    <w:rsid w:val="00F039E2"/>
    <w:rsid w:val="00F04A95"/>
    <w:rsid w:val="00F058D3"/>
    <w:rsid w:val="00F069F8"/>
    <w:rsid w:val="00F11FF3"/>
    <w:rsid w:val="00F12F4D"/>
    <w:rsid w:val="00F12FB0"/>
    <w:rsid w:val="00F16039"/>
    <w:rsid w:val="00F20DCF"/>
    <w:rsid w:val="00F2498E"/>
    <w:rsid w:val="00F3332A"/>
    <w:rsid w:val="00F34068"/>
    <w:rsid w:val="00F3421F"/>
    <w:rsid w:val="00F35ED7"/>
    <w:rsid w:val="00F42E60"/>
    <w:rsid w:val="00F43916"/>
    <w:rsid w:val="00F44F84"/>
    <w:rsid w:val="00F466E6"/>
    <w:rsid w:val="00F508F3"/>
    <w:rsid w:val="00F51165"/>
    <w:rsid w:val="00F51C42"/>
    <w:rsid w:val="00F51CC4"/>
    <w:rsid w:val="00F51EAB"/>
    <w:rsid w:val="00F53747"/>
    <w:rsid w:val="00F54AF1"/>
    <w:rsid w:val="00F55B3B"/>
    <w:rsid w:val="00F56426"/>
    <w:rsid w:val="00F5643F"/>
    <w:rsid w:val="00F62371"/>
    <w:rsid w:val="00F63021"/>
    <w:rsid w:val="00F63239"/>
    <w:rsid w:val="00F656E5"/>
    <w:rsid w:val="00F70B12"/>
    <w:rsid w:val="00F74A3D"/>
    <w:rsid w:val="00F74FB9"/>
    <w:rsid w:val="00F77D38"/>
    <w:rsid w:val="00F86C5F"/>
    <w:rsid w:val="00F86D62"/>
    <w:rsid w:val="00F874BB"/>
    <w:rsid w:val="00F90DA5"/>
    <w:rsid w:val="00F9118F"/>
    <w:rsid w:val="00F914C6"/>
    <w:rsid w:val="00F92B59"/>
    <w:rsid w:val="00F97115"/>
    <w:rsid w:val="00F97289"/>
    <w:rsid w:val="00F97B3C"/>
    <w:rsid w:val="00F97DE7"/>
    <w:rsid w:val="00FA00A8"/>
    <w:rsid w:val="00FA1F4B"/>
    <w:rsid w:val="00FA3644"/>
    <w:rsid w:val="00FA44C8"/>
    <w:rsid w:val="00FA4A6C"/>
    <w:rsid w:val="00FA4CAD"/>
    <w:rsid w:val="00FA4DC7"/>
    <w:rsid w:val="00FA5D15"/>
    <w:rsid w:val="00FB35CF"/>
    <w:rsid w:val="00FB4E64"/>
    <w:rsid w:val="00FB6398"/>
    <w:rsid w:val="00FC16AB"/>
    <w:rsid w:val="00FC1A6C"/>
    <w:rsid w:val="00FC3FBD"/>
    <w:rsid w:val="00FC54A4"/>
    <w:rsid w:val="00FC5CDF"/>
    <w:rsid w:val="00FC71C7"/>
    <w:rsid w:val="00FD0A58"/>
    <w:rsid w:val="00FD160B"/>
    <w:rsid w:val="00FD19B7"/>
    <w:rsid w:val="00FD39C9"/>
    <w:rsid w:val="00FD3CDC"/>
    <w:rsid w:val="00FD4378"/>
    <w:rsid w:val="00FD72C2"/>
    <w:rsid w:val="00FE10DF"/>
    <w:rsid w:val="00FE1867"/>
    <w:rsid w:val="00FE26EC"/>
    <w:rsid w:val="00FE2DFF"/>
    <w:rsid w:val="00FE35A8"/>
    <w:rsid w:val="00FE599A"/>
    <w:rsid w:val="00FE663C"/>
    <w:rsid w:val="00FE76FD"/>
    <w:rsid w:val="00FF1039"/>
    <w:rsid w:val="00FF1B91"/>
    <w:rsid w:val="00FF299D"/>
    <w:rsid w:val="00FF32F4"/>
    <w:rsid w:val="00FF47CD"/>
    <w:rsid w:val="00FF67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9F6C0"/>
  <w15:chartTrackingRefBased/>
  <w15:docId w15:val="{20332C06-7943-4CC3-96C6-8E87C1B9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1E5"/>
    <w:rPr>
      <w:rFonts w:ascii="Calibri" w:eastAsia="Calibri" w:hAnsi="Calibri" w:cs="Calibri"/>
      <w:lang w:eastAsia="es-MX"/>
    </w:rPr>
  </w:style>
  <w:style w:type="paragraph" w:styleId="Ttulo1">
    <w:name w:val="heading 1"/>
    <w:basedOn w:val="Normal"/>
    <w:next w:val="Normal"/>
    <w:link w:val="Ttulo1Car"/>
    <w:uiPriority w:val="9"/>
    <w:qFormat/>
    <w:rsid w:val="00ED28F4"/>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paragraph" w:styleId="Ttulo2">
    <w:name w:val="heading 2"/>
    <w:basedOn w:val="Normal"/>
    <w:next w:val="Normal"/>
    <w:link w:val="Ttulo2Car"/>
    <w:uiPriority w:val="9"/>
    <w:unhideWhenUsed/>
    <w:qFormat/>
    <w:rsid w:val="00ED28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498E"/>
    <w:pPr>
      <w:tabs>
        <w:tab w:val="center" w:pos="4419"/>
        <w:tab w:val="right" w:pos="8838"/>
      </w:tabs>
      <w:spacing w:after="0" w:line="240" w:lineRule="auto"/>
    </w:pPr>
    <w:rPr>
      <w:rFonts w:ascii="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F2498E"/>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F2498E"/>
    <w:pPr>
      <w:tabs>
        <w:tab w:val="center" w:pos="4419"/>
        <w:tab w:val="right" w:pos="8838"/>
      </w:tabs>
      <w:spacing w:after="0" w:line="240" w:lineRule="auto"/>
    </w:pPr>
    <w:rPr>
      <w:rFonts w:ascii="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F2498E"/>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F2498E"/>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F2498E"/>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F2498E"/>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iPriority w:val="99"/>
    <w:unhideWhenUsed/>
    <w:rsid w:val="00F2498E"/>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F2498E"/>
    <w:rPr>
      <w:sz w:val="20"/>
      <w:szCs w:val="20"/>
    </w:rPr>
  </w:style>
  <w:style w:type="character" w:styleId="Refdenotaalpie">
    <w:name w:val="footnote reference"/>
    <w:aliases w:val="Footnotes refss,Texto de nota al pie,Ref. de nota al pie 2,Appel note de bas de page,referencia nota al pie,BVI fnr,Footnote number,4_G,16 Point,Superscript 6 Point,Texto nota al pie,Footnote Reference Char3,Ref,de nota al pie,註腳內容,f"/>
    <w:basedOn w:val="Fuentedeprrafopredeter"/>
    <w:unhideWhenUsed/>
    <w:qFormat/>
    <w:rsid w:val="00F2498E"/>
    <w:rPr>
      <w:vertAlign w:val="superscript"/>
    </w:rPr>
  </w:style>
  <w:style w:type="table" w:styleId="Tablaconcuadrcula">
    <w:name w:val="Table Grid"/>
    <w:basedOn w:val="Tablanormal"/>
    <w:uiPriority w:val="39"/>
    <w:rsid w:val="00F249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2498E"/>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F2498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98E"/>
    <w:rPr>
      <w:rFonts w:ascii="Segoe UI" w:hAnsi="Segoe UI" w:cs="Segoe UI"/>
      <w:sz w:val="18"/>
      <w:szCs w:val="18"/>
    </w:rPr>
  </w:style>
  <w:style w:type="character" w:styleId="Hipervnculo">
    <w:name w:val="Hyperlink"/>
    <w:aliases w:val="Hipervínculo1,Hipervínculo11,Hipervínculo12,Hipervínculo13,Hipervínculo14,Hipervínculo15"/>
    <w:basedOn w:val="Fuentedeprrafopredeter"/>
    <w:uiPriority w:val="99"/>
    <w:unhideWhenUsed/>
    <w:rsid w:val="00F2498E"/>
    <w:rPr>
      <w:color w:val="0563C1" w:themeColor="hyperlink"/>
      <w:u w:val="single"/>
    </w:rPr>
  </w:style>
  <w:style w:type="character" w:styleId="Hipervnculovisitado">
    <w:name w:val="FollowedHyperlink"/>
    <w:basedOn w:val="Fuentedeprrafopredeter"/>
    <w:uiPriority w:val="99"/>
    <w:semiHidden/>
    <w:unhideWhenUsed/>
    <w:rsid w:val="00F2498E"/>
    <w:rPr>
      <w:color w:val="954F72" w:themeColor="followedHyperlink"/>
      <w:u w:val="single"/>
    </w:rPr>
  </w:style>
  <w:style w:type="paragraph" w:styleId="Sinespaciado">
    <w:name w:val="No Spacing"/>
    <w:aliases w:val="Francesa,INAI"/>
    <w:link w:val="SinespaciadoCar"/>
    <w:uiPriority w:val="1"/>
    <w:qFormat/>
    <w:rsid w:val="008D41FC"/>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Francesa Car,INAI Car"/>
    <w:link w:val="Sinespaciado"/>
    <w:uiPriority w:val="1"/>
    <w:locked/>
    <w:rsid w:val="008D41FC"/>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864D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ED28F4"/>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rsid w:val="00ED28F4"/>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99"/>
    <w:semiHidden/>
    <w:unhideWhenUsed/>
    <w:rsid w:val="00661B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99"/>
    <w:semiHidden/>
    <w:rsid w:val="00661B3F"/>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5599C"/>
    <w:rPr>
      <w:sz w:val="16"/>
      <w:szCs w:val="16"/>
    </w:rPr>
  </w:style>
  <w:style w:type="paragraph" w:styleId="Textocomentario">
    <w:name w:val="annotation text"/>
    <w:basedOn w:val="Normal"/>
    <w:link w:val="TextocomentarioCar"/>
    <w:uiPriority w:val="99"/>
    <w:semiHidden/>
    <w:unhideWhenUsed/>
    <w:rsid w:val="0065599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5599C"/>
    <w:rPr>
      <w:sz w:val="20"/>
      <w:szCs w:val="20"/>
    </w:rPr>
  </w:style>
  <w:style w:type="paragraph" w:styleId="Asuntodelcomentario">
    <w:name w:val="annotation subject"/>
    <w:basedOn w:val="Textocomentario"/>
    <w:next w:val="Textocomentario"/>
    <w:link w:val="AsuntodelcomentarioCar"/>
    <w:uiPriority w:val="99"/>
    <w:semiHidden/>
    <w:unhideWhenUsed/>
    <w:rsid w:val="0065599C"/>
    <w:rPr>
      <w:b/>
      <w:bCs/>
    </w:rPr>
  </w:style>
  <w:style w:type="character" w:customStyle="1" w:styleId="AsuntodelcomentarioCar">
    <w:name w:val="Asunto del comentario Car"/>
    <w:basedOn w:val="TextocomentarioCar"/>
    <w:link w:val="Asuntodelcomentario"/>
    <w:uiPriority w:val="99"/>
    <w:semiHidden/>
    <w:rsid w:val="0065599C"/>
    <w:rPr>
      <w:b/>
      <w:bCs/>
      <w:sz w:val="20"/>
      <w:szCs w:val="20"/>
    </w:rPr>
  </w:style>
  <w:style w:type="paragraph" w:customStyle="1" w:styleId="j">
    <w:name w:val="j"/>
    <w:basedOn w:val="Normal"/>
    <w:rsid w:val="002A5FDF"/>
    <w:pPr>
      <w:spacing w:before="100" w:beforeAutospacing="1" w:after="100" w:afterAutospacing="1" w:line="240" w:lineRule="auto"/>
    </w:pPr>
    <w:rPr>
      <w:rFonts w:ascii="Times New Roman" w:hAnsi="Times New Roman" w:cs="Times New Roman"/>
      <w:sz w:val="24"/>
      <w:szCs w:val="24"/>
      <w:lang w:val="es-ES_tradnl" w:eastAsia="es-ES_tradnl"/>
    </w:rPr>
  </w:style>
  <w:style w:type="character" w:styleId="Textoennegrita">
    <w:name w:val="Strong"/>
    <w:uiPriority w:val="22"/>
    <w:qFormat/>
    <w:rsid w:val="007F3D8B"/>
    <w:rPr>
      <w:b/>
      <w:bCs/>
    </w:rPr>
  </w:style>
  <w:style w:type="numbering" w:customStyle="1" w:styleId="Listaactual1">
    <w:name w:val="Lista actual1"/>
    <w:uiPriority w:val="99"/>
    <w:rsid w:val="0006625B"/>
    <w:pPr>
      <w:numPr>
        <w:numId w:val="1"/>
      </w:numPr>
    </w:pPr>
  </w:style>
  <w:style w:type="numbering" w:customStyle="1" w:styleId="Listaactual2">
    <w:name w:val="Lista actual2"/>
    <w:uiPriority w:val="99"/>
    <w:rsid w:val="000B6502"/>
    <w:pPr>
      <w:numPr>
        <w:numId w:val="3"/>
      </w:numPr>
    </w:pPr>
  </w:style>
  <w:style w:type="numbering" w:customStyle="1" w:styleId="Listaactual3">
    <w:name w:val="Lista actual3"/>
    <w:uiPriority w:val="99"/>
    <w:rsid w:val="00AE665A"/>
    <w:pPr>
      <w:numPr>
        <w:numId w:val="5"/>
      </w:numPr>
    </w:pPr>
  </w:style>
  <w:style w:type="paragraph" w:styleId="Revisin">
    <w:name w:val="Revision"/>
    <w:hidden/>
    <w:uiPriority w:val="99"/>
    <w:semiHidden/>
    <w:rsid w:val="00617F39"/>
    <w:pPr>
      <w:spacing w:after="0" w:line="240" w:lineRule="auto"/>
    </w:pPr>
    <w:rPr>
      <w:rFonts w:ascii="Calibri" w:eastAsia="Calibri" w:hAnsi="Calibri" w:cs="Calibri"/>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75891">
      <w:bodyDiv w:val="1"/>
      <w:marLeft w:val="0"/>
      <w:marRight w:val="0"/>
      <w:marTop w:val="0"/>
      <w:marBottom w:val="0"/>
      <w:divBdr>
        <w:top w:val="none" w:sz="0" w:space="0" w:color="auto"/>
        <w:left w:val="none" w:sz="0" w:space="0" w:color="auto"/>
        <w:bottom w:val="none" w:sz="0" w:space="0" w:color="auto"/>
        <w:right w:val="none" w:sz="0" w:space="0" w:color="auto"/>
      </w:divBdr>
    </w:div>
    <w:div w:id="67970817">
      <w:bodyDiv w:val="1"/>
      <w:marLeft w:val="0"/>
      <w:marRight w:val="0"/>
      <w:marTop w:val="0"/>
      <w:marBottom w:val="0"/>
      <w:divBdr>
        <w:top w:val="none" w:sz="0" w:space="0" w:color="auto"/>
        <w:left w:val="none" w:sz="0" w:space="0" w:color="auto"/>
        <w:bottom w:val="none" w:sz="0" w:space="0" w:color="auto"/>
        <w:right w:val="none" w:sz="0" w:space="0" w:color="auto"/>
      </w:divBdr>
    </w:div>
    <w:div w:id="68237940">
      <w:bodyDiv w:val="1"/>
      <w:marLeft w:val="0"/>
      <w:marRight w:val="0"/>
      <w:marTop w:val="0"/>
      <w:marBottom w:val="0"/>
      <w:divBdr>
        <w:top w:val="none" w:sz="0" w:space="0" w:color="auto"/>
        <w:left w:val="none" w:sz="0" w:space="0" w:color="auto"/>
        <w:bottom w:val="none" w:sz="0" w:space="0" w:color="auto"/>
        <w:right w:val="none" w:sz="0" w:space="0" w:color="auto"/>
      </w:divBdr>
    </w:div>
    <w:div w:id="134371283">
      <w:bodyDiv w:val="1"/>
      <w:marLeft w:val="0"/>
      <w:marRight w:val="0"/>
      <w:marTop w:val="0"/>
      <w:marBottom w:val="0"/>
      <w:divBdr>
        <w:top w:val="none" w:sz="0" w:space="0" w:color="auto"/>
        <w:left w:val="none" w:sz="0" w:space="0" w:color="auto"/>
        <w:bottom w:val="none" w:sz="0" w:space="0" w:color="auto"/>
        <w:right w:val="none" w:sz="0" w:space="0" w:color="auto"/>
      </w:divBdr>
    </w:div>
    <w:div w:id="160318186">
      <w:bodyDiv w:val="1"/>
      <w:marLeft w:val="0"/>
      <w:marRight w:val="0"/>
      <w:marTop w:val="0"/>
      <w:marBottom w:val="0"/>
      <w:divBdr>
        <w:top w:val="none" w:sz="0" w:space="0" w:color="auto"/>
        <w:left w:val="none" w:sz="0" w:space="0" w:color="auto"/>
        <w:bottom w:val="none" w:sz="0" w:space="0" w:color="auto"/>
        <w:right w:val="none" w:sz="0" w:space="0" w:color="auto"/>
      </w:divBdr>
    </w:div>
    <w:div w:id="229536590">
      <w:bodyDiv w:val="1"/>
      <w:marLeft w:val="0"/>
      <w:marRight w:val="0"/>
      <w:marTop w:val="0"/>
      <w:marBottom w:val="0"/>
      <w:divBdr>
        <w:top w:val="none" w:sz="0" w:space="0" w:color="auto"/>
        <w:left w:val="none" w:sz="0" w:space="0" w:color="auto"/>
        <w:bottom w:val="none" w:sz="0" w:space="0" w:color="auto"/>
        <w:right w:val="none" w:sz="0" w:space="0" w:color="auto"/>
      </w:divBdr>
    </w:div>
    <w:div w:id="311905182">
      <w:bodyDiv w:val="1"/>
      <w:marLeft w:val="0"/>
      <w:marRight w:val="0"/>
      <w:marTop w:val="0"/>
      <w:marBottom w:val="0"/>
      <w:divBdr>
        <w:top w:val="none" w:sz="0" w:space="0" w:color="auto"/>
        <w:left w:val="none" w:sz="0" w:space="0" w:color="auto"/>
        <w:bottom w:val="none" w:sz="0" w:space="0" w:color="auto"/>
        <w:right w:val="none" w:sz="0" w:space="0" w:color="auto"/>
      </w:divBdr>
    </w:div>
    <w:div w:id="329408654">
      <w:bodyDiv w:val="1"/>
      <w:marLeft w:val="0"/>
      <w:marRight w:val="0"/>
      <w:marTop w:val="0"/>
      <w:marBottom w:val="0"/>
      <w:divBdr>
        <w:top w:val="none" w:sz="0" w:space="0" w:color="auto"/>
        <w:left w:val="none" w:sz="0" w:space="0" w:color="auto"/>
        <w:bottom w:val="none" w:sz="0" w:space="0" w:color="auto"/>
        <w:right w:val="none" w:sz="0" w:space="0" w:color="auto"/>
      </w:divBdr>
    </w:div>
    <w:div w:id="346372734">
      <w:bodyDiv w:val="1"/>
      <w:marLeft w:val="0"/>
      <w:marRight w:val="0"/>
      <w:marTop w:val="0"/>
      <w:marBottom w:val="0"/>
      <w:divBdr>
        <w:top w:val="none" w:sz="0" w:space="0" w:color="auto"/>
        <w:left w:val="none" w:sz="0" w:space="0" w:color="auto"/>
        <w:bottom w:val="none" w:sz="0" w:space="0" w:color="auto"/>
        <w:right w:val="none" w:sz="0" w:space="0" w:color="auto"/>
      </w:divBdr>
    </w:div>
    <w:div w:id="358822690">
      <w:bodyDiv w:val="1"/>
      <w:marLeft w:val="0"/>
      <w:marRight w:val="0"/>
      <w:marTop w:val="0"/>
      <w:marBottom w:val="0"/>
      <w:divBdr>
        <w:top w:val="none" w:sz="0" w:space="0" w:color="auto"/>
        <w:left w:val="none" w:sz="0" w:space="0" w:color="auto"/>
        <w:bottom w:val="none" w:sz="0" w:space="0" w:color="auto"/>
        <w:right w:val="none" w:sz="0" w:space="0" w:color="auto"/>
      </w:divBdr>
    </w:div>
    <w:div w:id="416708791">
      <w:bodyDiv w:val="1"/>
      <w:marLeft w:val="0"/>
      <w:marRight w:val="0"/>
      <w:marTop w:val="0"/>
      <w:marBottom w:val="0"/>
      <w:divBdr>
        <w:top w:val="none" w:sz="0" w:space="0" w:color="auto"/>
        <w:left w:val="none" w:sz="0" w:space="0" w:color="auto"/>
        <w:bottom w:val="none" w:sz="0" w:space="0" w:color="auto"/>
        <w:right w:val="none" w:sz="0" w:space="0" w:color="auto"/>
      </w:divBdr>
    </w:div>
    <w:div w:id="542599648">
      <w:bodyDiv w:val="1"/>
      <w:marLeft w:val="0"/>
      <w:marRight w:val="0"/>
      <w:marTop w:val="0"/>
      <w:marBottom w:val="0"/>
      <w:divBdr>
        <w:top w:val="none" w:sz="0" w:space="0" w:color="auto"/>
        <w:left w:val="none" w:sz="0" w:space="0" w:color="auto"/>
        <w:bottom w:val="none" w:sz="0" w:space="0" w:color="auto"/>
        <w:right w:val="none" w:sz="0" w:space="0" w:color="auto"/>
      </w:divBdr>
    </w:div>
    <w:div w:id="562368748">
      <w:bodyDiv w:val="1"/>
      <w:marLeft w:val="0"/>
      <w:marRight w:val="0"/>
      <w:marTop w:val="0"/>
      <w:marBottom w:val="0"/>
      <w:divBdr>
        <w:top w:val="none" w:sz="0" w:space="0" w:color="auto"/>
        <w:left w:val="none" w:sz="0" w:space="0" w:color="auto"/>
        <w:bottom w:val="none" w:sz="0" w:space="0" w:color="auto"/>
        <w:right w:val="none" w:sz="0" w:space="0" w:color="auto"/>
      </w:divBdr>
      <w:divsChild>
        <w:div w:id="462966274">
          <w:marLeft w:val="0"/>
          <w:marRight w:val="0"/>
          <w:marTop w:val="0"/>
          <w:marBottom w:val="101"/>
          <w:divBdr>
            <w:top w:val="none" w:sz="0" w:space="0" w:color="auto"/>
            <w:left w:val="none" w:sz="0" w:space="0" w:color="auto"/>
            <w:bottom w:val="none" w:sz="0" w:space="0" w:color="auto"/>
            <w:right w:val="none" w:sz="0" w:space="0" w:color="auto"/>
          </w:divBdr>
        </w:div>
        <w:div w:id="1207446829">
          <w:marLeft w:val="0"/>
          <w:marRight w:val="0"/>
          <w:marTop w:val="0"/>
          <w:marBottom w:val="101"/>
          <w:divBdr>
            <w:top w:val="none" w:sz="0" w:space="0" w:color="auto"/>
            <w:left w:val="none" w:sz="0" w:space="0" w:color="auto"/>
            <w:bottom w:val="none" w:sz="0" w:space="0" w:color="auto"/>
            <w:right w:val="none" w:sz="0" w:space="0" w:color="auto"/>
          </w:divBdr>
        </w:div>
      </w:divsChild>
    </w:div>
    <w:div w:id="577522272">
      <w:bodyDiv w:val="1"/>
      <w:marLeft w:val="0"/>
      <w:marRight w:val="0"/>
      <w:marTop w:val="0"/>
      <w:marBottom w:val="0"/>
      <w:divBdr>
        <w:top w:val="none" w:sz="0" w:space="0" w:color="auto"/>
        <w:left w:val="none" w:sz="0" w:space="0" w:color="auto"/>
        <w:bottom w:val="none" w:sz="0" w:space="0" w:color="auto"/>
        <w:right w:val="none" w:sz="0" w:space="0" w:color="auto"/>
      </w:divBdr>
    </w:div>
    <w:div w:id="717627852">
      <w:bodyDiv w:val="1"/>
      <w:marLeft w:val="0"/>
      <w:marRight w:val="0"/>
      <w:marTop w:val="0"/>
      <w:marBottom w:val="0"/>
      <w:divBdr>
        <w:top w:val="none" w:sz="0" w:space="0" w:color="auto"/>
        <w:left w:val="none" w:sz="0" w:space="0" w:color="auto"/>
        <w:bottom w:val="none" w:sz="0" w:space="0" w:color="auto"/>
        <w:right w:val="none" w:sz="0" w:space="0" w:color="auto"/>
      </w:divBdr>
    </w:div>
    <w:div w:id="738091878">
      <w:bodyDiv w:val="1"/>
      <w:marLeft w:val="0"/>
      <w:marRight w:val="0"/>
      <w:marTop w:val="0"/>
      <w:marBottom w:val="0"/>
      <w:divBdr>
        <w:top w:val="none" w:sz="0" w:space="0" w:color="auto"/>
        <w:left w:val="none" w:sz="0" w:space="0" w:color="auto"/>
        <w:bottom w:val="none" w:sz="0" w:space="0" w:color="auto"/>
        <w:right w:val="none" w:sz="0" w:space="0" w:color="auto"/>
      </w:divBdr>
    </w:div>
    <w:div w:id="770971212">
      <w:bodyDiv w:val="1"/>
      <w:marLeft w:val="0"/>
      <w:marRight w:val="0"/>
      <w:marTop w:val="0"/>
      <w:marBottom w:val="0"/>
      <w:divBdr>
        <w:top w:val="none" w:sz="0" w:space="0" w:color="auto"/>
        <w:left w:val="none" w:sz="0" w:space="0" w:color="auto"/>
        <w:bottom w:val="none" w:sz="0" w:space="0" w:color="auto"/>
        <w:right w:val="none" w:sz="0" w:space="0" w:color="auto"/>
      </w:divBdr>
    </w:div>
    <w:div w:id="778378622">
      <w:bodyDiv w:val="1"/>
      <w:marLeft w:val="0"/>
      <w:marRight w:val="0"/>
      <w:marTop w:val="0"/>
      <w:marBottom w:val="0"/>
      <w:divBdr>
        <w:top w:val="none" w:sz="0" w:space="0" w:color="auto"/>
        <w:left w:val="none" w:sz="0" w:space="0" w:color="auto"/>
        <w:bottom w:val="none" w:sz="0" w:space="0" w:color="auto"/>
        <w:right w:val="none" w:sz="0" w:space="0" w:color="auto"/>
      </w:divBdr>
    </w:div>
    <w:div w:id="854270499">
      <w:bodyDiv w:val="1"/>
      <w:marLeft w:val="0"/>
      <w:marRight w:val="0"/>
      <w:marTop w:val="0"/>
      <w:marBottom w:val="0"/>
      <w:divBdr>
        <w:top w:val="none" w:sz="0" w:space="0" w:color="auto"/>
        <w:left w:val="none" w:sz="0" w:space="0" w:color="auto"/>
        <w:bottom w:val="none" w:sz="0" w:space="0" w:color="auto"/>
        <w:right w:val="none" w:sz="0" w:space="0" w:color="auto"/>
      </w:divBdr>
    </w:div>
    <w:div w:id="877161912">
      <w:bodyDiv w:val="1"/>
      <w:marLeft w:val="0"/>
      <w:marRight w:val="0"/>
      <w:marTop w:val="0"/>
      <w:marBottom w:val="0"/>
      <w:divBdr>
        <w:top w:val="none" w:sz="0" w:space="0" w:color="auto"/>
        <w:left w:val="none" w:sz="0" w:space="0" w:color="auto"/>
        <w:bottom w:val="none" w:sz="0" w:space="0" w:color="auto"/>
        <w:right w:val="none" w:sz="0" w:space="0" w:color="auto"/>
      </w:divBdr>
    </w:div>
    <w:div w:id="978999298">
      <w:bodyDiv w:val="1"/>
      <w:marLeft w:val="0"/>
      <w:marRight w:val="0"/>
      <w:marTop w:val="0"/>
      <w:marBottom w:val="0"/>
      <w:divBdr>
        <w:top w:val="none" w:sz="0" w:space="0" w:color="auto"/>
        <w:left w:val="none" w:sz="0" w:space="0" w:color="auto"/>
        <w:bottom w:val="none" w:sz="0" w:space="0" w:color="auto"/>
        <w:right w:val="none" w:sz="0" w:space="0" w:color="auto"/>
      </w:divBdr>
    </w:div>
    <w:div w:id="1094518038">
      <w:bodyDiv w:val="1"/>
      <w:marLeft w:val="0"/>
      <w:marRight w:val="0"/>
      <w:marTop w:val="0"/>
      <w:marBottom w:val="0"/>
      <w:divBdr>
        <w:top w:val="none" w:sz="0" w:space="0" w:color="auto"/>
        <w:left w:val="none" w:sz="0" w:space="0" w:color="auto"/>
        <w:bottom w:val="none" w:sz="0" w:space="0" w:color="auto"/>
        <w:right w:val="none" w:sz="0" w:space="0" w:color="auto"/>
      </w:divBdr>
    </w:div>
    <w:div w:id="1114860503">
      <w:bodyDiv w:val="1"/>
      <w:marLeft w:val="0"/>
      <w:marRight w:val="0"/>
      <w:marTop w:val="0"/>
      <w:marBottom w:val="0"/>
      <w:divBdr>
        <w:top w:val="none" w:sz="0" w:space="0" w:color="auto"/>
        <w:left w:val="none" w:sz="0" w:space="0" w:color="auto"/>
        <w:bottom w:val="none" w:sz="0" w:space="0" w:color="auto"/>
        <w:right w:val="none" w:sz="0" w:space="0" w:color="auto"/>
      </w:divBdr>
      <w:divsChild>
        <w:div w:id="11346349">
          <w:marLeft w:val="1701"/>
          <w:marRight w:val="902"/>
          <w:marTop w:val="0"/>
          <w:marBottom w:val="88"/>
          <w:divBdr>
            <w:top w:val="none" w:sz="0" w:space="0" w:color="auto"/>
            <w:left w:val="none" w:sz="0" w:space="0" w:color="auto"/>
            <w:bottom w:val="none" w:sz="0" w:space="0" w:color="auto"/>
            <w:right w:val="none" w:sz="0" w:space="0" w:color="auto"/>
          </w:divBdr>
        </w:div>
        <w:div w:id="62601727">
          <w:marLeft w:val="1701"/>
          <w:marRight w:val="899"/>
          <w:marTop w:val="0"/>
          <w:marBottom w:val="88"/>
          <w:divBdr>
            <w:top w:val="none" w:sz="0" w:space="0" w:color="auto"/>
            <w:left w:val="none" w:sz="0" w:space="0" w:color="auto"/>
            <w:bottom w:val="none" w:sz="0" w:space="0" w:color="auto"/>
            <w:right w:val="none" w:sz="0" w:space="0" w:color="auto"/>
          </w:divBdr>
        </w:div>
        <w:div w:id="65998605">
          <w:marLeft w:val="1701"/>
          <w:marRight w:val="899"/>
          <w:marTop w:val="0"/>
          <w:marBottom w:val="88"/>
          <w:divBdr>
            <w:top w:val="none" w:sz="0" w:space="0" w:color="auto"/>
            <w:left w:val="none" w:sz="0" w:space="0" w:color="auto"/>
            <w:bottom w:val="none" w:sz="0" w:space="0" w:color="auto"/>
            <w:right w:val="none" w:sz="0" w:space="0" w:color="auto"/>
          </w:divBdr>
        </w:div>
        <w:div w:id="79523126">
          <w:marLeft w:val="1701"/>
          <w:marRight w:val="902"/>
          <w:marTop w:val="0"/>
          <w:marBottom w:val="88"/>
          <w:divBdr>
            <w:top w:val="none" w:sz="0" w:space="0" w:color="auto"/>
            <w:left w:val="none" w:sz="0" w:space="0" w:color="auto"/>
            <w:bottom w:val="none" w:sz="0" w:space="0" w:color="auto"/>
            <w:right w:val="none" w:sz="0" w:space="0" w:color="auto"/>
          </w:divBdr>
        </w:div>
        <w:div w:id="82990364">
          <w:marLeft w:val="0"/>
          <w:marRight w:val="902"/>
          <w:marTop w:val="0"/>
          <w:marBottom w:val="101"/>
          <w:divBdr>
            <w:top w:val="none" w:sz="0" w:space="0" w:color="auto"/>
            <w:left w:val="none" w:sz="0" w:space="0" w:color="auto"/>
            <w:bottom w:val="none" w:sz="0" w:space="0" w:color="auto"/>
            <w:right w:val="none" w:sz="0" w:space="0" w:color="auto"/>
          </w:divBdr>
        </w:div>
        <w:div w:id="117338514">
          <w:marLeft w:val="1701"/>
          <w:marRight w:val="902"/>
          <w:marTop w:val="0"/>
          <w:marBottom w:val="101"/>
          <w:divBdr>
            <w:top w:val="none" w:sz="0" w:space="0" w:color="auto"/>
            <w:left w:val="none" w:sz="0" w:space="0" w:color="auto"/>
            <w:bottom w:val="none" w:sz="0" w:space="0" w:color="auto"/>
            <w:right w:val="none" w:sz="0" w:space="0" w:color="auto"/>
          </w:divBdr>
        </w:div>
        <w:div w:id="134417540">
          <w:marLeft w:val="0"/>
          <w:marRight w:val="850"/>
          <w:marTop w:val="0"/>
          <w:marBottom w:val="88"/>
          <w:divBdr>
            <w:top w:val="none" w:sz="0" w:space="0" w:color="auto"/>
            <w:left w:val="none" w:sz="0" w:space="0" w:color="auto"/>
            <w:bottom w:val="none" w:sz="0" w:space="0" w:color="auto"/>
            <w:right w:val="none" w:sz="0" w:space="0" w:color="auto"/>
          </w:divBdr>
        </w:div>
        <w:div w:id="156505964">
          <w:marLeft w:val="1701"/>
          <w:marRight w:val="850"/>
          <w:marTop w:val="0"/>
          <w:marBottom w:val="88"/>
          <w:divBdr>
            <w:top w:val="none" w:sz="0" w:space="0" w:color="auto"/>
            <w:left w:val="none" w:sz="0" w:space="0" w:color="auto"/>
            <w:bottom w:val="none" w:sz="0" w:space="0" w:color="auto"/>
            <w:right w:val="none" w:sz="0" w:space="0" w:color="auto"/>
          </w:divBdr>
        </w:div>
        <w:div w:id="189072577">
          <w:marLeft w:val="1701"/>
          <w:marRight w:val="902"/>
          <w:marTop w:val="0"/>
          <w:marBottom w:val="101"/>
          <w:divBdr>
            <w:top w:val="none" w:sz="0" w:space="0" w:color="auto"/>
            <w:left w:val="none" w:sz="0" w:space="0" w:color="auto"/>
            <w:bottom w:val="none" w:sz="0" w:space="0" w:color="auto"/>
            <w:right w:val="none" w:sz="0" w:space="0" w:color="auto"/>
          </w:divBdr>
        </w:div>
        <w:div w:id="225142537">
          <w:marLeft w:val="1701"/>
          <w:marRight w:val="899"/>
          <w:marTop w:val="0"/>
          <w:marBottom w:val="88"/>
          <w:divBdr>
            <w:top w:val="none" w:sz="0" w:space="0" w:color="auto"/>
            <w:left w:val="none" w:sz="0" w:space="0" w:color="auto"/>
            <w:bottom w:val="none" w:sz="0" w:space="0" w:color="auto"/>
            <w:right w:val="none" w:sz="0" w:space="0" w:color="auto"/>
          </w:divBdr>
        </w:div>
        <w:div w:id="327905685">
          <w:marLeft w:val="1701"/>
          <w:marRight w:val="902"/>
          <w:marTop w:val="0"/>
          <w:marBottom w:val="88"/>
          <w:divBdr>
            <w:top w:val="none" w:sz="0" w:space="0" w:color="auto"/>
            <w:left w:val="none" w:sz="0" w:space="0" w:color="auto"/>
            <w:bottom w:val="none" w:sz="0" w:space="0" w:color="auto"/>
            <w:right w:val="none" w:sz="0" w:space="0" w:color="auto"/>
          </w:divBdr>
        </w:div>
        <w:div w:id="507596562">
          <w:marLeft w:val="1701"/>
          <w:marRight w:val="902"/>
          <w:marTop w:val="0"/>
          <w:marBottom w:val="88"/>
          <w:divBdr>
            <w:top w:val="none" w:sz="0" w:space="0" w:color="auto"/>
            <w:left w:val="none" w:sz="0" w:space="0" w:color="auto"/>
            <w:bottom w:val="none" w:sz="0" w:space="0" w:color="auto"/>
            <w:right w:val="none" w:sz="0" w:space="0" w:color="auto"/>
          </w:divBdr>
        </w:div>
        <w:div w:id="535895955">
          <w:marLeft w:val="0"/>
          <w:marRight w:val="850"/>
          <w:marTop w:val="0"/>
          <w:marBottom w:val="88"/>
          <w:divBdr>
            <w:top w:val="none" w:sz="0" w:space="0" w:color="auto"/>
            <w:left w:val="none" w:sz="0" w:space="0" w:color="auto"/>
            <w:bottom w:val="none" w:sz="0" w:space="0" w:color="auto"/>
            <w:right w:val="none" w:sz="0" w:space="0" w:color="auto"/>
          </w:divBdr>
        </w:div>
        <w:div w:id="559753525">
          <w:marLeft w:val="1701"/>
          <w:marRight w:val="902"/>
          <w:marTop w:val="0"/>
          <w:marBottom w:val="101"/>
          <w:divBdr>
            <w:top w:val="none" w:sz="0" w:space="0" w:color="auto"/>
            <w:left w:val="none" w:sz="0" w:space="0" w:color="auto"/>
            <w:bottom w:val="none" w:sz="0" w:space="0" w:color="auto"/>
            <w:right w:val="none" w:sz="0" w:space="0" w:color="auto"/>
          </w:divBdr>
        </w:div>
        <w:div w:id="581791210">
          <w:marLeft w:val="1701"/>
          <w:marRight w:val="902"/>
          <w:marTop w:val="0"/>
          <w:marBottom w:val="101"/>
          <w:divBdr>
            <w:top w:val="none" w:sz="0" w:space="0" w:color="auto"/>
            <w:left w:val="none" w:sz="0" w:space="0" w:color="auto"/>
            <w:bottom w:val="none" w:sz="0" w:space="0" w:color="auto"/>
            <w:right w:val="none" w:sz="0" w:space="0" w:color="auto"/>
          </w:divBdr>
        </w:div>
        <w:div w:id="614557604">
          <w:marLeft w:val="1701"/>
          <w:marRight w:val="899"/>
          <w:marTop w:val="0"/>
          <w:marBottom w:val="88"/>
          <w:divBdr>
            <w:top w:val="none" w:sz="0" w:space="0" w:color="auto"/>
            <w:left w:val="none" w:sz="0" w:space="0" w:color="auto"/>
            <w:bottom w:val="none" w:sz="0" w:space="0" w:color="auto"/>
            <w:right w:val="none" w:sz="0" w:space="0" w:color="auto"/>
          </w:divBdr>
        </w:div>
        <w:div w:id="691230024">
          <w:marLeft w:val="1701"/>
          <w:marRight w:val="902"/>
          <w:marTop w:val="0"/>
          <w:marBottom w:val="101"/>
          <w:divBdr>
            <w:top w:val="none" w:sz="0" w:space="0" w:color="auto"/>
            <w:left w:val="none" w:sz="0" w:space="0" w:color="auto"/>
            <w:bottom w:val="none" w:sz="0" w:space="0" w:color="auto"/>
            <w:right w:val="none" w:sz="0" w:space="0" w:color="auto"/>
          </w:divBdr>
        </w:div>
        <w:div w:id="785546312">
          <w:marLeft w:val="1701"/>
          <w:marRight w:val="899"/>
          <w:marTop w:val="0"/>
          <w:marBottom w:val="88"/>
          <w:divBdr>
            <w:top w:val="none" w:sz="0" w:space="0" w:color="auto"/>
            <w:left w:val="none" w:sz="0" w:space="0" w:color="auto"/>
            <w:bottom w:val="none" w:sz="0" w:space="0" w:color="auto"/>
            <w:right w:val="none" w:sz="0" w:space="0" w:color="auto"/>
          </w:divBdr>
        </w:div>
        <w:div w:id="826290687">
          <w:marLeft w:val="1701"/>
          <w:marRight w:val="899"/>
          <w:marTop w:val="0"/>
          <w:marBottom w:val="88"/>
          <w:divBdr>
            <w:top w:val="none" w:sz="0" w:space="0" w:color="auto"/>
            <w:left w:val="none" w:sz="0" w:space="0" w:color="auto"/>
            <w:bottom w:val="none" w:sz="0" w:space="0" w:color="auto"/>
            <w:right w:val="none" w:sz="0" w:space="0" w:color="auto"/>
          </w:divBdr>
        </w:div>
        <w:div w:id="954098519">
          <w:marLeft w:val="1701"/>
          <w:marRight w:val="899"/>
          <w:marTop w:val="0"/>
          <w:marBottom w:val="88"/>
          <w:divBdr>
            <w:top w:val="none" w:sz="0" w:space="0" w:color="auto"/>
            <w:left w:val="none" w:sz="0" w:space="0" w:color="auto"/>
            <w:bottom w:val="none" w:sz="0" w:space="0" w:color="auto"/>
            <w:right w:val="none" w:sz="0" w:space="0" w:color="auto"/>
          </w:divBdr>
        </w:div>
        <w:div w:id="1111171328">
          <w:marLeft w:val="1701"/>
          <w:marRight w:val="902"/>
          <w:marTop w:val="0"/>
          <w:marBottom w:val="88"/>
          <w:divBdr>
            <w:top w:val="none" w:sz="0" w:space="0" w:color="auto"/>
            <w:left w:val="none" w:sz="0" w:space="0" w:color="auto"/>
            <w:bottom w:val="none" w:sz="0" w:space="0" w:color="auto"/>
            <w:right w:val="none" w:sz="0" w:space="0" w:color="auto"/>
          </w:divBdr>
        </w:div>
        <w:div w:id="1184517465">
          <w:marLeft w:val="1701"/>
          <w:marRight w:val="902"/>
          <w:marTop w:val="0"/>
          <w:marBottom w:val="88"/>
          <w:divBdr>
            <w:top w:val="none" w:sz="0" w:space="0" w:color="auto"/>
            <w:left w:val="none" w:sz="0" w:space="0" w:color="auto"/>
            <w:bottom w:val="none" w:sz="0" w:space="0" w:color="auto"/>
            <w:right w:val="none" w:sz="0" w:space="0" w:color="auto"/>
          </w:divBdr>
        </w:div>
        <w:div w:id="1191651073">
          <w:marLeft w:val="1701"/>
          <w:marRight w:val="902"/>
          <w:marTop w:val="0"/>
          <w:marBottom w:val="101"/>
          <w:divBdr>
            <w:top w:val="none" w:sz="0" w:space="0" w:color="auto"/>
            <w:left w:val="none" w:sz="0" w:space="0" w:color="auto"/>
            <w:bottom w:val="none" w:sz="0" w:space="0" w:color="auto"/>
            <w:right w:val="none" w:sz="0" w:space="0" w:color="auto"/>
          </w:divBdr>
        </w:div>
        <w:div w:id="1323041634">
          <w:marLeft w:val="1701"/>
          <w:marRight w:val="899"/>
          <w:marTop w:val="0"/>
          <w:marBottom w:val="88"/>
          <w:divBdr>
            <w:top w:val="none" w:sz="0" w:space="0" w:color="auto"/>
            <w:left w:val="none" w:sz="0" w:space="0" w:color="auto"/>
            <w:bottom w:val="none" w:sz="0" w:space="0" w:color="auto"/>
            <w:right w:val="none" w:sz="0" w:space="0" w:color="auto"/>
          </w:divBdr>
        </w:div>
        <w:div w:id="1398631408">
          <w:marLeft w:val="0"/>
          <w:marRight w:val="899"/>
          <w:marTop w:val="0"/>
          <w:marBottom w:val="88"/>
          <w:divBdr>
            <w:top w:val="none" w:sz="0" w:space="0" w:color="auto"/>
            <w:left w:val="none" w:sz="0" w:space="0" w:color="auto"/>
            <w:bottom w:val="none" w:sz="0" w:space="0" w:color="auto"/>
            <w:right w:val="none" w:sz="0" w:space="0" w:color="auto"/>
          </w:divBdr>
        </w:div>
        <w:div w:id="1582065219">
          <w:marLeft w:val="1701"/>
          <w:marRight w:val="899"/>
          <w:marTop w:val="0"/>
          <w:marBottom w:val="88"/>
          <w:divBdr>
            <w:top w:val="none" w:sz="0" w:space="0" w:color="auto"/>
            <w:left w:val="none" w:sz="0" w:space="0" w:color="auto"/>
            <w:bottom w:val="none" w:sz="0" w:space="0" w:color="auto"/>
            <w:right w:val="none" w:sz="0" w:space="0" w:color="auto"/>
          </w:divBdr>
        </w:div>
        <w:div w:id="1604069922">
          <w:marLeft w:val="1701"/>
          <w:marRight w:val="902"/>
          <w:marTop w:val="0"/>
          <w:marBottom w:val="101"/>
          <w:divBdr>
            <w:top w:val="none" w:sz="0" w:space="0" w:color="auto"/>
            <w:left w:val="none" w:sz="0" w:space="0" w:color="auto"/>
            <w:bottom w:val="none" w:sz="0" w:space="0" w:color="auto"/>
            <w:right w:val="none" w:sz="0" w:space="0" w:color="auto"/>
          </w:divBdr>
        </w:div>
        <w:div w:id="1610317244">
          <w:marLeft w:val="1701"/>
          <w:marRight w:val="899"/>
          <w:marTop w:val="0"/>
          <w:marBottom w:val="101"/>
          <w:divBdr>
            <w:top w:val="none" w:sz="0" w:space="0" w:color="auto"/>
            <w:left w:val="none" w:sz="0" w:space="0" w:color="auto"/>
            <w:bottom w:val="none" w:sz="0" w:space="0" w:color="auto"/>
            <w:right w:val="none" w:sz="0" w:space="0" w:color="auto"/>
          </w:divBdr>
        </w:div>
        <w:div w:id="1743940723">
          <w:marLeft w:val="1701"/>
          <w:marRight w:val="902"/>
          <w:marTop w:val="0"/>
          <w:marBottom w:val="101"/>
          <w:divBdr>
            <w:top w:val="none" w:sz="0" w:space="0" w:color="auto"/>
            <w:left w:val="none" w:sz="0" w:space="0" w:color="auto"/>
            <w:bottom w:val="none" w:sz="0" w:space="0" w:color="auto"/>
            <w:right w:val="none" w:sz="0" w:space="0" w:color="auto"/>
          </w:divBdr>
        </w:div>
        <w:div w:id="1767921043">
          <w:marLeft w:val="1701"/>
          <w:marRight w:val="902"/>
          <w:marTop w:val="0"/>
          <w:marBottom w:val="88"/>
          <w:divBdr>
            <w:top w:val="none" w:sz="0" w:space="0" w:color="auto"/>
            <w:left w:val="none" w:sz="0" w:space="0" w:color="auto"/>
            <w:bottom w:val="none" w:sz="0" w:space="0" w:color="auto"/>
            <w:right w:val="none" w:sz="0" w:space="0" w:color="auto"/>
          </w:divBdr>
        </w:div>
        <w:div w:id="1877083557">
          <w:marLeft w:val="1701"/>
          <w:marRight w:val="902"/>
          <w:marTop w:val="0"/>
          <w:marBottom w:val="101"/>
          <w:divBdr>
            <w:top w:val="none" w:sz="0" w:space="0" w:color="auto"/>
            <w:left w:val="none" w:sz="0" w:space="0" w:color="auto"/>
            <w:bottom w:val="none" w:sz="0" w:space="0" w:color="auto"/>
            <w:right w:val="none" w:sz="0" w:space="0" w:color="auto"/>
          </w:divBdr>
        </w:div>
        <w:div w:id="2014674759">
          <w:marLeft w:val="1701"/>
          <w:marRight w:val="902"/>
          <w:marTop w:val="0"/>
          <w:marBottom w:val="101"/>
          <w:divBdr>
            <w:top w:val="none" w:sz="0" w:space="0" w:color="auto"/>
            <w:left w:val="none" w:sz="0" w:space="0" w:color="auto"/>
            <w:bottom w:val="none" w:sz="0" w:space="0" w:color="auto"/>
            <w:right w:val="none" w:sz="0" w:space="0" w:color="auto"/>
          </w:divBdr>
        </w:div>
        <w:div w:id="2060467996">
          <w:marLeft w:val="1701"/>
          <w:marRight w:val="902"/>
          <w:marTop w:val="0"/>
          <w:marBottom w:val="88"/>
          <w:divBdr>
            <w:top w:val="none" w:sz="0" w:space="0" w:color="auto"/>
            <w:left w:val="none" w:sz="0" w:space="0" w:color="auto"/>
            <w:bottom w:val="none" w:sz="0" w:space="0" w:color="auto"/>
            <w:right w:val="none" w:sz="0" w:space="0" w:color="auto"/>
          </w:divBdr>
        </w:div>
        <w:div w:id="2094626306">
          <w:marLeft w:val="1701"/>
          <w:marRight w:val="899"/>
          <w:marTop w:val="0"/>
          <w:marBottom w:val="88"/>
          <w:divBdr>
            <w:top w:val="none" w:sz="0" w:space="0" w:color="auto"/>
            <w:left w:val="none" w:sz="0" w:space="0" w:color="auto"/>
            <w:bottom w:val="none" w:sz="0" w:space="0" w:color="auto"/>
            <w:right w:val="none" w:sz="0" w:space="0" w:color="auto"/>
          </w:divBdr>
        </w:div>
        <w:div w:id="2121993092">
          <w:marLeft w:val="1701"/>
          <w:marRight w:val="899"/>
          <w:marTop w:val="0"/>
          <w:marBottom w:val="88"/>
          <w:divBdr>
            <w:top w:val="none" w:sz="0" w:space="0" w:color="auto"/>
            <w:left w:val="none" w:sz="0" w:space="0" w:color="auto"/>
            <w:bottom w:val="none" w:sz="0" w:space="0" w:color="auto"/>
            <w:right w:val="none" w:sz="0" w:space="0" w:color="auto"/>
          </w:divBdr>
        </w:div>
      </w:divsChild>
    </w:div>
    <w:div w:id="1136029410">
      <w:bodyDiv w:val="1"/>
      <w:marLeft w:val="0"/>
      <w:marRight w:val="0"/>
      <w:marTop w:val="0"/>
      <w:marBottom w:val="0"/>
      <w:divBdr>
        <w:top w:val="none" w:sz="0" w:space="0" w:color="auto"/>
        <w:left w:val="none" w:sz="0" w:space="0" w:color="auto"/>
        <w:bottom w:val="none" w:sz="0" w:space="0" w:color="auto"/>
        <w:right w:val="none" w:sz="0" w:space="0" w:color="auto"/>
      </w:divBdr>
    </w:div>
    <w:div w:id="1207257812">
      <w:bodyDiv w:val="1"/>
      <w:marLeft w:val="0"/>
      <w:marRight w:val="0"/>
      <w:marTop w:val="0"/>
      <w:marBottom w:val="0"/>
      <w:divBdr>
        <w:top w:val="none" w:sz="0" w:space="0" w:color="auto"/>
        <w:left w:val="none" w:sz="0" w:space="0" w:color="auto"/>
        <w:bottom w:val="none" w:sz="0" w:space="0" w:color="auto"/>
        <w:right w:val="none" w:sz="0" w:space="0" w:color="auto"/>
      </w:divBdr>
    </w:div>
    <w:div w:id="1210730009">
      <w:bodyDiv w:val="1"/>
      <w:marLeft w:val="0"/>
      <w:marRight w:val="0"/>
      <w:marTop w:val="0"/>
      <w:marBottom w:val="0"/>
      <w:divBdr>
        <w:top w:val="none" w:sz="0" w:space="0" w:color="auto"/>
        <w:left w:val="none" w:sz="0" w:space="0" w:color="auto"/>
        <w:bottom w:val="none" w:sz="0" w:space="0" w:color="auto"/>
        <w:right w:val="none" w:sz="0" w:space="0" w:color="auto"/>
      </w:divBdr>
    </w:div>
    <w:div w:id="1246763343">
      <w:bodyDiv w:val="1"/>
      <w:marLeft w:val="0"/>
      <w:marRight w:val="0"/>
      <w:marTop w:val="0"/>
      <w:marBottom w:val="0"/>
      <w:divBdr>
        <w:top w:val="none" w:sz="0" w:space="0" w:color="auto"/>
        <w:left w:val="none" w:sz="0" w:space="0" w:color="auto"/>
        <w:bottom w:val="none" w:sz="0" w:space="0" w:color="auto"/>
        <w:right w:val="none" w:sz="0" w:space="0" w:color="auto"/>
      </w:divBdr>
    </w:div>
    <w:div w:id="1288316718">
      <w:bodyDiv w:val="1"/>
      <w:marLeft w:val="0"/>
      <w:marRight w:val="0"/>
      <w:marTop w:val="0"/>
      <w:marBottom w:val="0"/>
      <w:divBdr>
        <w:top w:val="none" w:sz="0" w:space="0" w:color="auto"/>
        <w:left w:val="none" w:sz="0" w:space="0" w:color="auto"/>
        <w:bottom w:val="none" w:sz="0" w:space="0" w:color="auto"/>
        <w:right w:val="none" w:sz="0" w:space="0" w:color="auto"/>
      </w:divBdr>
      <w:divsChild>
        <w:div w:id="322126034">
          <w:marLeft w:val="0"/>
          <w:marRight w:val="0"/>
          <w:marTop w:val="0"/>
          <w:marBottom w:val="0"/>
          <w:divBdr>
            <w:top w:val="none" w:sz="0" w:space="0" w:color="auto"/>
            <w:left w:val="none" w:sz="0" w:space="0" w:color="auto"/>
            <w:bottom w:val="none" w:sz="0" w:space="0" w:color="auto"/>
            <w:right w:val="none" w:sz="0" w:space="0" w:color="auto"/>
          </w:divBdr>
        </w:div>
      </w:divsChild>
    </w:div>
    <w:div w:id="1294754267">
      <w:bodyDiv w:val="1"/>
      <w:marLeft w:val="0"/>
      <w:marRight w:val="0"/>
      <w:marTop w:val="0"/>
      <w:marBottom w:val="0"/>
      <w:divBdr>
        <w:top w:val="none" w:sz="0" w:space="0" w:color="auto"/>
        <w:left w:val="none" w:sz="0" w:space="0" w:color="auto"/>
        <w:bottom w:val="none" w:sz="0" w:space="0" w:color="auto"/>
        <w:right w:val="none" w:sz="0" w:space="0" w:color="auto"/>
      </w:divBdr>
    </w:div>
    <w:div w:id="1331563967">
      <w:bodyDiv w:val="1"/>
      <w:marLeft w:val="0"/>
      <w:marRight w:val="0"/>
      <w:marTop w:val="0"/>
      <w:marBottom w:val="0"/>
      <w:divBdr>
        <w:top w:val="none" w:sz="0" w:space="0" w:color="auto"/>
        <w:left w:val="none" w:sz="0" w:space="0" w:color="auto"/>
        <w:bottom w:val="none" w:sz="0" w:space="0" w:color="auto"/>
        <w:right w:val="none" w:sz="0" w:space="0" w:color="auto"/>
      </w:divBdr>
    </w:div>
    <w:div w:id="1407268274">
      <w:bodyDiv w:val="1"/>
      <w:marLeft w:val="0"/>
      <w:marRight w:val="0"/>
      <w:marTop w:val="0"/>
      <w:marBottom w:val="0"/>
      <w:divBdr>
        <w:top w:val="none" w:sz="0" w:space="0" w:color="auto"/>
        <w:left w:val="none" w:sz="0" w:space="0" w:color="auto"/>
        <w:bottom w:val="none" w:sz="0" w:space="0" w:color="auto"/>
        <w:right w:val="none" w:sz="0" w:space="0" w:color="auto"/>
      </w:divBdr>
    </w:div>
    <w:div w:id="1422411396">
      <w:bodyDiv w:val="1"/>
      <w:marLeft w:val="0"/>
      <w:marRight w:val="0"/>
      <w:marTop w:val="0"/>
      <w:marBottom w:val="0"/>
      <w:divBdr>
        <w:top w:val="none" w:sz="0" w:space="0" w:color="auto"/>
        <w:left w:val="none" w:sz="0" w:space="0" w:color="auto"/>
        <w:bottom w:val="none" w:sz="0" w:space="0" w:color="auto"/>
        <w:right w:val="none" w:sz="0" w:space="0" w:color="auto"/>
      </w:divBdr>
    </w:div>
    <w:div w:id="1435513144">
      <w:bodyDiv w:val="1"/>
      <w:marLeft w:val="0"/>
      <w:marRight w:val="0"/>
      <w:marTop w:val="0"/>
      <w:marBottom w:val="0"/>
      <w:divBdr>
        <w:top w:val="none" w:sz="0" w:space="0" w:color="auto"/>
        <w:left w:val="none" w:sz="0" w:space="0" w:color="auto"/>
        <w:bottom w:val="none" w:sz="0" w:space="0" w:color="auto"/>
        <w:right w:val="none" w:sz="0" w:space="0" w:color="auto"/>
      </w:divBdr>
    </w:div>
    <w:div w:id="1439570427">
      <w:bodyDiv w:val="1"/>
      <w:marLeft w:val="0"/>
      <w:marRight w:val="0"/>
      <w:marTop w:val="0"/>
      <w:marBottom w:val="0"/>
      <w:divBdr>
        <w:top w:val="none" w:sz="0" w:space="0" w:color="auto"/>
        <w:left w:val="none" w:sz="0" w:space="0" w:color="auto"/>
        <w:bottom w:val="none" w:sz="0" w:space="0" w:color="auto"/>
        <w:right w:val="none" w:sz="0" w:space="0" w:color="auto"/>
      </w:divBdr>
    </w:div>
    <w:div w:id="1464733948">
      <w:bodyDiv w:val="1"/>
      <w:marLeft w:val="0"/>
      <w:marRight w:val="0"/>
      <w:marTop w:val="0"/>
      <w:marBottom w:val="0"/>
      <w:divBdr>
        <w:top w:val="none" w:sz="0" w:space="0" w:color="auto"/>
        <w:left w:val="none" w:sz="0" w:space="0" w:color="auto"/>
        <w:bottom w:val="none" w:sz="0" w:space="0" w:color="auto"/>
        <w:right w:val="none" w:sz="0" w:space="0" w:color="auto"/>
      </w:divBdr>
    </w:div>
    <w:div w:id="1543637891">
      <w:bodyDiv w:val="1"/>
      <w:marLeft w:val="0"/>
      <w:marRight w:val="0"/>
      <w:marTop w:val="0"/>
      <w:marBottom w:val="0"/>
      <w:divBdr>
        <w:top w:val="none" w:sz="0" w:space="0" w:color="auto"/>
        <w:left w:val="none" w:sz="0" w:space="0" w:color="auto"/>
        <w:bottom w:val="none" w:sz="0" w:space="0" w:color="auto"/>
        <w:right w:val="none" w:sz="0" w:space="0" w:color="auto"/>
      </w:divBdr>
      <w:divsChild>
        <w:div w:id="482770327">
          <w:marLeft w:val="0"/>
          <w:marRight w:val="48"/>
          <w:marTop w:val="0"/>
          <w:marBottom w:val="101"/>
          <w:divBdr>
            <w:top w:val="none" w:sz="0" w:space="0" w:color="auto"/>
            <w:left w:val="none" w:sz="0" w:space="0" w:color="auto"/>
            <w:bottom w:val="none" w:sz="0" w:space="0" w:color="auto"/>
            <w:right w:val="none" w:sz="0" w:space="0" w:color="auto"/>
          </w:divBdr>
        </w:div>
        <w:div w:id="571547338">
          <w:marLeft w:val="0"/>
          <w:marRight w:val="48"/>
          <w:marTop w:val="0"/>
          <w:marBottom w:val="101"/>
          <w:divBdr>
            <w:top w:val="none" w:sz="0" w:space="0" w:color="auto"/>
            <w:left w:val="none" w:sz="0" w:space="0" w:color="auto"/>
            <w:bottom w:val="none" w:sz="0" w:space="0" w:color="auto"/>
            <w:right w:val="none" w:sz="0" w:space="0" w:color="auto"/>
          </w:divBdr>
        </w:div>
        <w:div w:id="647326967">
          <w:marLeft w:val="1134"/>
          <w:marRight w:val="850"/>
          <w:marTop w:val="0"/>
          <w:marBottom w:val="101"/>
          <w:divBdr>
            <w:top w:val="none" w:sz="0" w:space="0" w:color="auto"/>
            <w:left w:val="none" w:sz="0" w:space="0" w:color="auto"/>
            <w:bottom w:val="none" w:sz="0" w:space="0" w:color="auto"/>
            <w:right w:val="none" w:sz="0" w:space="0" w:color="auto"/>
          </w:divBdr>
        </w:div>
        <w:div w:id="696810630">
          <w:marLeft w:val="0"/>
          <w:marRight w:val="48"/>
          <w:marTop w:val="0"/>
          <w:marBottom w:val="101"/>
          <w:divBdr>
            <w:top w:val="none" w:sz="0" w:space="0" w:color="auto"/>
            <w:left w:val="none" w:sz="0" w:space="0" w:color="auto"/>
            <w:bottom w:val="none" w:sz="0" w:space="0" w:color="auto"/>
            <w:right w:val="none" w:sz="0" w:space="0" w:color="auto"/>
          </w:divBdr>
        </w:div>
        <w:div w:id="992947824">
          <w:marLeft w:val="0"/>
          <w:marRight w:val="48"/>
          <w:marTop w:val="0"/>
          <w:marBottom w:val="101"/>
          <w:divBdr>
            <w:top w:val="none" w:sz="0" w:space="0" w:color="auto"/>
            <w:left w:val="none" w:sz="0" w:space="0" w:color="auto"/>
            <w:bottom w:val="none" w:sz="0" w:space="0" w:color="auto"/>
            <w:right w:val="none" w:sz="0" w:space="0" w:color="auto"/>
          </w:divBdr>
        </w:div>
        <w:div w:id="1185166004">
          <w:marLeft w:val="0"/>
          <w:marRight w:val="48"/>
          <w:marTop w:val="0"/>
          <w:marBottom w:val="101"/>
          <w:divBdr>
            <w:top w:val="none" w:sz="0" w:space="0" w:color="auto"/>
            <w:left w:val="none" w:sz="0" w:space="0" w:color="auto"/>
            <w:bottom w:val="none" w:sz="0" w:space="0" w:color="auto"/>
            <w:right w:val="none" w:sz="0" w:space="0" w:color="auto"/>
          </w:divBdr>
        </w:div>
        <w:div w:id="1206140998">
          <w:marLeft w:val="0"/>
          <w:marRight w:val="48"/>
          <w:marTop w:val="0"/>
          <w:marBottom w:val="101"/>
          <w:divBdr>
            <w:top w:val="none" w:sz="0" w:space="0" w:color="auto"/>
            <w:left w:val="none" w:sz="0" w:space="0" w:color="auto"/>
            <w:bottom w:val="none" w:sz="0" w:space="0" w:color="auto"/>
            <w:right w:val="none" w:sz="0" w:space="0" w:color="auto"/>
          </w:divBdr>
        </w:div>
        <w:div w:id="1868565951">
          <w:marLeft w:val="0"/>
          <w:marRight w:val="48"/>
          <w:marTop w:val="0"/>
          <w:marBottom w:val="101"/>
          <w:divBdr>
            <w:top w:val="none" w:sz="0" w:space="0" w:color="auto"/>
            <w:left w:val="none" w:sz="0" w:space="0" w:color="auto"/>
            <w:bottom w:val="none" w:sz="0" w:space="0" w:color="auto"/>
            <w:right w:val="none" w:sz="0" w:space="0" w:color="auto"/>
          </w:divBdr>
        </w:div>
        <w:div w:id="1971934361">
          <w:marLeft w:val="0"/>
          <w:marRight w:val="48"/>
          <w:marTop w:val="0"/>
          <w:marBottom w:val="101"/>
          <w:divBdr>
            <w:top w:val="none" w:sz="0" w:space="0" w:color="auto"/>
            <w:left w:val="none" w:sz="0" w:space="0" w:color="auto"/>
            <w:bottom w:val="none" w:sz="0" w:space="0" w:color="auto"/>
            <w:right w:val="none" w:sz="0" w:space="0" w:color="auto"/>
          </w:divBdr>
        </w:div>
      </w:divsChild>
    </w:div>
    <w:div w:id="1574311654">
      <w:bodyDiv w:val="1"/>
      <w:marLeft w:val="0"/>
      <w:marRight w:val="0"/>
      <w:marTop w:val="0"/>
      <w:marBottom w:val="0"/>
      <w:divBdr>
        <w:top w:val="none" w:sz="0" w:space="0" w:color="auto"/>
        <w:left w:val="none" w:sz="0" w:space="0" w:color="auto"/>
        <w:bottom w:val="none" w:sz="0" w:space="0" w:color="auto"/>
        <w:right w:val="none" w:sz="0" w:space="0" w:color="auto"/>
      </w:divBdr>
    </w:div>
    <w:div w:id="1603680555">
      <w:bodyDiv w:val="1"/>
      <w:marLeft w:val="0"/>
      <w:marRight w:val="0"/>
      <w:marTop w:val="0"/>
      <w:marBottom w:val="0"/>
      <w:divBdr>
        <w:top w:val="none" w:sz="0" w:space="0" w:color="auto"/>
        <w:left w:val="none" w:sz="0" w:space="0" w:color="auto"/>
        <w:bottom w:val="none" w:sz="0" w:space="0" w:color="auto"/>
        <w:right w:val="none" w:sz="0" w:space="0" w:color="auto"/>
      </w:divBdr>
    </w:div>
    <w:div w:id="1615333303">
      <w:bodyDiv w:val="1"/>
      <w:marLeft w:val="0"/>
      <w:marRight w:val="0"/>
      <w:marTop w:val="0"/>
      <w:marBottom w:val="0"/>
      <w:divBdr>
        <w:top w:val="none" w:sz="0" w:space="0" w:color="auto"/>
        <w:left w:val="none" w:sz="0" w:space="0" w:color="auto"/>
        <w:bottom w:val="none" w:sz="0" w:space="0" w:color="auto"/>
        <w:right w:val="none" w:sz="0" w:space="0" w:color="auto"/>
      </w:divBdr>
    </w:div>
    <w:div w:id="1670019975">
      <w:bodyDiv w:val="1"/>
      <w:marLeft w:val="0"/>
      <w:marRight w:val="0"/>
      <w:marTop w:val="0"/>
      <w:marBottom w:val="0"/>
      <w:divBdr>
        <w:top w:val="none" w:sz="0" w:space="0" w:color="auto"/>
        <w:left w:val="none" w:sz="0" w:space="0" w:color="auto"/>
        <w:bottom w:val="none" w:sz="0" w:space="0" w:color="auto"/>
        <w:right w:val="none" w:sz="0" w:space="0" w:color="auto"/>
      </w:divBdr>
    </w:div>
    <w:div w:id="1684167325">
      <w:bodyDiv w:val="1"/>
      <w:marLeft w:val="0"/>
      <w:marRight w:val="0"/>
      <w:marTop w:val="0"/>
      <w:marBottom w:val="0"/>
      <w:divBdr>
        <w:top w:val="none" w:sz="0" w:space="0" w:color="auto"/>
        <w:left w:val="none" w:sz="0" w:space="0" w:color="auto"/>
        <w:bottom w:val="none" w:sz="0" w:space="0" w:color="auto"/>
        <w:right w:val="none" w:sz="0" w:space="0" w:color="auto"/>
      </w:divBdr>
    </w:div>
    <w:div w:id="1713842138">
      <w:bodyDiv w:val="1"/>
      <w:marLeft w:val="0"/>
      <w:marRight w:val="0"/>
      <w:marTop w:val="0"/>
      <w:marBottom w:val="0"/>
      <w:divBdr>
        <w:top w:val="none" w:sz="0" w:space="0" w:color="auto"/>
        <w:left w:val="none" w:sz="0" w:space="0" w:color="auto"/>
        <w:bottom w:val="none" w:sz="0" w:space="0" w:color="auto"/>
        <w:right w:val="none" w:sz="0" w:space="0" w:color="auto"/>
      </w:divBdr>
    </w:div>
    <w:div w:id="1786538144">
      <w:bodyDiv w:val="1"/>
      <w:marLeft w:val="0"/>
      <w:marRight w:val="0"/>
      <w:marTop w:val="0"/>
      <w:marBottom w:val="0"/>
      <w:divBdr>
        <w:top w:val="none" w:sz="0" w:space="0" w:color="auto"/>
        <w:left w:val="none" w:sz="0" w:space="0" w:color="auto"/>
        <w:bottom w:val="none" w:sz="0" w:space="0" w:color="auto"/>
        <w:right w:val="none" w:sz="0" w:space="0" w:color="auto"/>
      </w:divBdr>
    </w:div>
    <w:div w:id="1897738510">
      <w:bodyDiv w:val="1"/>
      <w:marLeft w:val="0"/>
      <w:marRight w:val="0"/>
      <w:marTop w:val="0"/>
      <w:marBottom w:val="0"/>
      <w:divBdr>
        <w:top w:val="none" w:sz="0" w:space="0" w:color="auto"/>
        <w:left w:val="none" w:sz="0" w:space="0" w:color="auto"/>
        <w:bottom w:val="none" w:sz="0" w:space="0" w:color="auto"/>
        <w:right w:val="none" w:sz="0" w:space="0" w:color="auto"/>
      </w:divBdr>
    </w:div>
    <w:div w:id="1913735606">
      <w:bodyDiv w:val="1"/>
      <w:marLeft w:val="0"/>
      <w:marRight w:val="0"/>
      <w:marTop w:val="0"/>
      <w:marBottom w:val="0"/>
      <w:divBdr>
        <w:top w:val="none" w:sz="0" w:space="0" w:color="auto"/>
        <w:left w:val="none" w:sz="0" w:space="0" w:color="auto"/>
        <w:bottom w:val="none" w:sz="0" w:space="0" w:color="auto"/>
        <w:right w:val="none" w:sz="0" w:space="0" w:color="auto"/>
      </w:divBdr>
    </w:div>
    <w:div w:id="2026469727">
      <w:bodyDiv w:val="1"/>
      <w:marLeft w:val="0"/>
      <w:marRight w:val="0"/>
      <w:marTop w:val="0"/>
      <w:marBottom w:val="0"/>
      <w:divBdr>
        <w:top w:val="none" w:sz="0" w:space="0" w:color="auto"/>
        <w:left w:val="none" w:sz="0" w:space="0" w:color="auto"/>
        <w:bottom w:val="none" w:sz="0" w:space="0" w:color="auto"/>
        <w:right w:val="none" w:sz="0" w:space="0" w:color="auto"/>
      </w:divBdr>
    </w:div>
    <w:div w:id="2037078038">
      <w:bodyDiv w:val="1"/>
      <w:marLeft w:val="0"/>
      <w:marRight w:val="0"/>
      <w:marTop w:val="0"/>
      <w:marBottom w:val="0"/>
      <w:divBdr>
        <w:top w:val="none" w:sz="0" w:space="0" w:color="auto"/>
        <w:left w:val="none" w:sz="0" w:space="0" w:color="auto"/>
        <w:bottom w:val="none" w:sz="0" w:space="0" w:color="auto"/>
        <w:right w:val="none" w:sz="0" w:space="0" w:color="auto"/>
      </w:divBdr>
      <w:divsChild>
        <w:div w:id="1145467648">
          <w:marLeft w:val="0"/>
          <w:marRight w:val="0"/>
          <w:marTop w:val="0"/>
          <w:marBottom w:val="0"/>
          <w:divBdr>
            <w:top w:val="none" w:sz="0" w:space="0" w:color="auto"/>
            <w:left w:val="none" w:sz="0" w:space="0" w:color="auto"/>
            <w:bottom w:val="none" w:sz="0" w:space="0" w:color="auto"/>
            <w:right w:val="none" w:sz="0" w:space="0" w:color="auto"/>
          </w:divBdr>
        </w:div>
      </w:divsChild>
    </w:div>
    <w:div w:id="20499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D8DFF-D120-4601-ABCD-9E70850E4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29</Pages>
  <Words>7356</Words>
  <Characters>40460</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17</cp:revision>
  <cp:lastPrinted>2019-06-13T15:30:00Z</cp:lastPrinted>
  <dcterms:created xsi:type="dcterms:W3CDTF">2022-01-04T16:39:00Z</dcterms:created>
  <dcterms:modified xsi:type="dcterms:W3CDTF">2022-02-22T18:08:00Z</dcterms:modified>
</cp:coreProperties>
</file>