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veinticuatro de marzo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00614/INFOEM/IP/RR/2022</w:t>
      </w:r>
      <w:r w:rsidDel="00000000" w:rsidR="00000000" w:rsidRPr="00000000">
        <w:rPr>
          <w:rFonts w:ascii="Palatino Linotype" w:cs="Palatino Linotype" w:eastAsia="Palatino Linotype" w:hAnsi="Palatino Linotype"/>
          <w:sz w:val="24"/>
          <w:szCs w:val="24"/>
          <w:rtl w:val="0"/>
        </w:rPr>
        <w:t xml:space="preserve">, interpuesto por un particular que al momento de ingresar la solicitud de información e interponer el recurso de revisión, no señaló nombre o seudónimo con el cual desee ser identificado, al cual en lo sucesivo se le denominara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la solicitud de información con número de folio </w:t>
      </w:r>
      <w:r w:rsidDel="00000000" w:rsidR="00000000" w:rsidRPr="00000000">
        <w:rPr>
          <w:rFonts w:ascii="Palatino Linotype" w:cs="Palatino Linotype" w:eastAsia="Palatino Linotype" w:hAnsi="Palatino Linotype"/>
          <w:b w:val="1"/>
          <w:color w:val="000000"/>
          <w:sz w:val="24"/>
          <w:szCs w:val="24"/>
          <w:rtl w:val="0"/>
        </w:rPr>
        <w:t xml:space="preserve">00017/CHICOLOA/IP/2022</w:t>
      </w:r>
      <w:r w:rsidDel="00000000" w:rsidR="00000000" w:rsidRPr="00000000">
        <w:rPr>
          <w:rFonts w:ascii="Palatino Linotype" w:cs="Palatino Linotype" w:eastAsia="Palatino Linotype" w:hAnsi="Palatino Linotype"/>
          <w:b w:val="1"/>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por parte del</w:t>
      </w:r>
      <w:r w:rsidDel="00000000" w:rsidR="00000000" w:rsidRPr="00000000">
        <w:rPr>
          <w:rFonts w:ascii="Palatino Linotype" w:cs="Palatino Linotype" w:eastAsia="Palatino Linotype" w:hAnsi="Palatino Linotype"/>
          <w:b w:val="1"/>
          <w:sz w:val="24"/>
          <w:szCs w:val="24"/>
          <w:rtl w:val="0"/>
        </w:rPr>
        <w:t xml:space="preserve"> Ayuntamiento de Chicoloapan</w:t>
      </w:r>
      <w:r w:rsidDel="00000000" w:rsidR="00000000" w:rsidRPr="00000000">
        <w:rPr>
          <w:rFonts w:ascii="Palatino Linotype" w:cs="Palatino Linotype" w:eastAsia="Palatino Linotype" w:hAnsi="Palatino Linotype"/>
          <w:sz w:val="24"/>
          <w:szCs w:val="24"/>
          <w:rtl w:val="0"/>
        </w:rPr>
        <w:t xml:space="preserve">, en lo sucesivo</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AN T E C E D E N T E S   </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w:t>
      </w:r>
      <w:r w:rsidDel="00000000" w:rsidR="00000000" w:rsidRPr="00000000">
        <w:rPr>
          <w:rFonts w:ascii="Palatino Linotype" w:cs="Palatino Linotype" w:eastAsia="Palatino Linotype" w:hAnsi="Palatino Linotype"/>
          <w:sz w:val="24"/>
          <w:szCs w:val="24"/>
          <w:rtl w:val="0"/>
        </w:rPr>
        <w:t xml:space="preserve"> Con fecha diecisiete de enero de dos mil veintidós,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00017/CHICOLOA/IP/2022</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información en el tenor siguiente:</w:t>
      </w:r>
    </w:p>
    <w:p w:rsidR="00000000" w:rsidDel="00000000" w:rsidP="00000000" w:rsidRDefault="00000000" w:rsidRPr="00000000" w14:paraId="00000005">
      <w:pPr>
        <w:spacing w:after="240" w:before="240" w:line="360" w:lineRule="auto"/>
        <w:ind w:left="567" w:firstLine="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“SE ANEXA SOLICITUD DE INFORMACIÓN Y ANEXOS (Sic).</w:t>
      </w:r>
    </w:p>
    <w:p w:rsidR="00000000" w:rsidDel="00000000" w:rsidP="00000000" w:rsidRDefault="00000000" w:rsidRPr="00000000" w14:paraId="00000006">
      <w:pPr>
        <w:spacing w:after="240" w:before="24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Resulta preciso señalar que </w:t>
      </w:r>
      <w:r w:rsidDel="00000000" w:rsidR="00000000" w:rsidRPr="00000000">
        <w:rPr>
          <w:rFonts w:ascii="Palatino Linotype" w:cs="Palatino Linotype" w:eastAsia="Palatino Linotype" w:hAnsi="Palatino Linotype"/>
          <w:b w:val="1"/>
          <w:color w:val="000000"/>
          <w:sz w:val="24"/>
          <w:szCs w:val="24"/>
          <w:rtl w:val="0"/>
        </w:rPr>
        <w:t xml:space="preserve">EL RECURRENTE</w:t>
      </w:r>
      <w:r w:rsidDel="00000000" w:rsidR="00000000" w:rsidRPr="00000000">
        <w:rPr>
          <w:rFonts w:ascii="Palatino Linotype" w:cs="Palatino Linotype" w:eastAsia="Palatino Linotype" w:hAnsi="Palatino Linotype"/>
          <w:color w:val="000000"/>
          <w:sz w:val="24"/>
          <w:szCs w:val="24"/>
          <w:rtl w:val="0"/>
        </w:rPr>
        <w:t xml:space="preserve"> adjuntó los siguientes documentos electrónicos en los que precisa lo siguiente:</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color w:val="333333"/>
          <w:sz w:val="28"/>
          <w:szCs w:val="28"/>
        </w:rPr>
      </w:pPr>
      <w:hyperlink r:id="rId7">
        <w:r w:rsidDel="00000000" w:rsidR="00000000" w:rsidRPr="00000000">
          <w:rPr>
            <w:rFonts w:ascii="Palatino Linotype" w:cs="Palatino Linotype" w:eastAsia="Palatino Linotype" w:hAnsi="Palatino Linotype"/>
            <w:b w:val="1"/>
            <w:color w:val="000000"/>
            <w:sz w:val="24"/>
            <w:szCs w:val="24"/>
            <w:u w:val="single"/>
            <w:rtl w:val="0"/>
          </w:rPr>
          <w:t xml:space="preserve">Catastro Desarrollo Urbano Municipal.pdf</w:t>
        </w:r>
      </w:hyperlink>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Arial" w:cs="Arial" w:eastAsia="Arial" w:hAnsi="Arial"/>
          <w:color w:val="000000"/>
          <w:sz w:val="27"/>
          <w:szCs w:val="27"/>
          <w:rtl w:val="0"/>
        </w:rPr>
        <w:t xml:space="preserve"> </w:t>
      </w:r>
      <w:r w:rsidDel="00000000" w:rsidR="00000000" w:rsidRPr="00000000">
        <w:rPr>
          <w:rFonts w:ascii="Palatino Linotype" w:cs="Palatino Linotype" w:eastAsia="Palatino Linotype" w:hAnsi="Palatino Linotype"/>
          <w:sz w:val="24"/>
          <w:szCs w:val="24"/>
          <w:rtl w:val="0"/>
        </w:rPr>
        <w:t xml:space="preserve">Catastro municipal Desarrollo Urbano municipal Respecto del predio ubicado sobre Calle S. Efrén, casi esquina de Av. Río Manzano, C.P. 56373, Barrio San Antonio, Chicoloapan Estado de México, el cual colinda con las calles San Pedro, Santo Domingo y calle Prolongación Zaragoza; -para pronta referencia se anexa a la presente solicitud diversas capturas de pantalla de las cuales se hacen señalamientos concretos para dar cuenta de la ubicación del predio referido-, motivo por el cual conforme a la documentación que obra en sus archivos tanto físicos como digitales requiero la siguiente información pública: 1. Conforme a los documentos que obran en sus archivos tanto físicos como digitales, </w:t>
      </w:r>
      <w:r w:rsidDel="00000000" w:rsidR="00000000" w:rsidRPr="00000000">
        <w:rPr>
          <w:rFonts w:ascii="Palatino Linotype" w:cs="Palatino Linotype" w:eastAsia="Palatino Linotype" w:hAnsi="Palatino Linotype"/>
          <w:b w:val="1"/>
          <w:sz w:val="24"/>
          <w:szCs w:val="24"/>
          <w:u w:val="single"/>
          <w:rtl w:val="0"/>
        </w:rPr>
        <w:t xml:space="preserve">requiero en versión pública el documento mediante el cual se constate la subdivisión o lotificación del inmueble de referencia. En caso de no existir subdivisión o lotificación, requiero se me compruebe la búsqueda exhaustiva y en caso de no contar con la información, requiero la declaratoria de inexistencia, así como el acta del comité de transparencia. </w:t>
      </w:r>
      <w:r w:rsidDel="00000000" w:rsidR="00000000" w:rsidRPr="00000000">
        <w:rPr>
          <w:rFonts w:ascii="Palatino Linotype" w:cs="Palatino Linotype" w:eastAsia="Palatino Linotype" w:hAnsi="Palatino Linotype"/>
          <w:sz w:val="24"/>
          <w:szCs w:val="24"/>
          <w:rtl w:val="0"/>
        </w:rPr>
        <w:t xml:space="preserve">2. En dicho predio, a la presente fecha se pueden observar diversas edificaciones (construcciones), para ello se adjuntan diversas imágenes, por lo cual requiero lo siguiente: a) </w:t>
      </w:r>
      <w:r w:rsidDel="00000000" w:rsidR="00000000" w:rsidRPr="00000000">
        <w:rPr>
          <w:rFonts w:ascii="Palatino Linotype" w:cs="Palatino Linotype" w:eastAsia="Palatino Linotype" w:hAnsi="Palatino Linotype"/>
          <w:b w:val="1"/>
          <w:sz w:val="24"/>
          <w:szCs w:val="24"/>
          <w:rtl w:val="0"/>
        </w:rPr>
        <w:t xml:space="preserve">De las construcciones señaladas con los números 1 al 3, requiero la versión pública del uso de suelo de cada construcción, en caso de no contar con la información requiero la declaratoria de inexistencia pasada ante su comité de transparencia</w:t>
      </w:r>
      <w:r w:rsidDel="00000000" w:rsidR="00000000" w:rsidRPr="00000000">
        <w:rPr>
          <w:rFonts w:ascii="Palatino Linotype" w:cs="Palatino Linotype" w:eastAsia="Palatino Linotype" w:hAnsi="Palatino Linotype"/>
          <w:sz w:val="24"/>
          <w:szCs w:val="24"/>
          <w:rtl w:val="0"/>
        </w:rPr>
        <w:t xml:space="preserve">. b) De las construcciones señaladas con los números 1 al 3, </w:t>
      </w:r>
      <w:r w:rsidDel="00000000" w:rsidR="00000000" w:rsidRPr="00000000">
        <w:rPr>
          <w:rFonts w:ascii="Palatino Linotype" w:cs="Palatino Linotype" w:eastAsia="Palatino Linotype" w:hAnsi="Palatino Linotype"/>
          <w:b w:val="1"/>
          <w:sz w:val="24"/>
          <w:szCs w:val="24"/>
          <w:rtl w:val="0"/>
        </w:rPr>
        <w:t xml:space="preserve">requiero la versión pública del alineamiento, en caso de no contar con la información requiero la declaratoria de inexistencia</w:t>
      </w:r>
      <w:r w:rsidDel="00000000" w:rsidR="00000000" w:rsidRPr="00000000">
        <w:rPr>
          <w:rFonts w:ascii="Palatino Linotype" w:cs="Palatino Linotype" w:eastAsia="Palatino Linotype" w:hAnsi="Palatino Linotype"/>
          <w:sz w:val="24"/>
          <w:szCs w:val="24"/>
          <w:rtl w:val="0"/>
        </w:rPr>
        <w:t xml:space="preserve"> pasada ante su comité de transparencia. c) De las construcciones señaladas con los números 1 al 3, </w:t>
      </w:r>
      <w:r w:rsidDel="00000000" w:rsidR="00000000" w:rsidRPr="00000000">
        <w:rPr>
          <w:rFonts w:ascii="Palatino Linotype" w:cs="Palatino Linotype" w:eastAsia="Palatino Linotype" w:hAnsi="Palatino Linotype"/>
          <w:b w:val="1"/>
          <w:sz w:val="24"/>
          <w:szCs w:val="24"/>
          <w:rtl w:val="0"/>
        </w:rPr>
        <w:t xml:space="preserve">requiero la versión pública de la asignación del número oficial, en caso de no contar con la información requiero la declaratoria de inexistencia</w:t>
      </w:r>
      <w:r w:rsidDel="00000000" w:rsidR="00000000" w:rsidRPr="00000000">
        <w:rPr>
          <w:rFonts w:ascii="Palatino Linotype" w:cs="Palatino Linotype" w:eastAsia="Palatino Linotype" w:hAnsi="Palatino Linotype"/>
          <w:sz w:val="24"/>
          <w:szCs w:val="24"/>
          <w:rtl w:val="0"/>
        </w:rPr>
        <w:t xml:space="preserve"> pasada ante su comité de transparencia. d) De las construcciones señaladas con los números 1 al 3, </w:t>
      </w:r>
      <w:r w:rsidDel="00000000" w:rsidR="00000000" w:rsidRPr="00000000">
        <w:rPr>
          <w:rFonts w:ascii="Palatino Linotype" w:cs="Palatino Linotype" w:eastAsia="Palatino Linotype" w:hAnsi="Palatino Linotype"/>
          <w:b w:val="1"/>
          <w:sz w:val="24"/>
          <w:szCs w:val="24"/>
          <w:rtl w:val="0"/>
        </w:rPr>
        <w:t xml:space="preserve">requiero la versión pública únicamente de la licencia de construcción y bardas perimetrales</w:t>
      </w:r>
      <w:r w:rsidDel="00000000" w:rsidR="00000000" w:rsidRPr="00000000">
        <w:rPr>
          <w:rFonts w:ascii="Palatino Linotype" w:cs="Palatino Linotype" w:eastAsia="Palatino Linotype" w:hAnsi="Palatino Linotype"/>
          <w:sz w:val="24"/>
          <w:szCs w:val="24"/>
          <w:rtl w:val="0"/>
        </w:rPr>
        <w:t xml:space="preserve">, en caso de no contar con la información requiero la declaratoria de inexistencia pasada ante su comité de transparencia. 3. De las construcciones señaladas con los números 1 al 3, requiero la </w:t>
      </w:r>
      <w:r w:rsidDel="00000000" w:rsidR="00000000" w:rsidRPr="00000000">
        <w:rPr>
          <w:rFonts w:ascii="Palatino Linotype" w:cs="Palatino Linotype" w:eastAsia="Palatino Linotype" w:hAnsi="Palatino Linotype"/>
          <w:b w:val="1"/>
          <w:sz w:val="24"/>
          <w:szCs w:val="24"/>
          <w:rtl w:val="0"/>
        </w:rPr>
        <w:t xml:space="preserve">versión pública de la asignación de su cuenta catastral, </w:t>
      </w:r>
      <w:r w:rsidDel="00000000" w:rsidR="00000000" w:rsidRPr="00000000">
        <w:rPr>
          <w:rFonts w:ascii="Palatino Linotype" w:cs="Palatino Linotype" w:eastAsia="Palatino Linotype" w:hAnsi="Palatino Linotype"/>
          <w:sz w:val="24"/>
          <w:szCs w:val="24"/>
          <w:rtl w:val="0"/>
        </w:rPr>
        <w:t xml:space="preserve">en caso de no contar con la información requiero la declaratoria de inexistencia pasada ante su comité de transparencia. 4. De las construcciones señaladas con los números 1 al 3, requiero la </w:t>
      </w:r>
      <w:r w:rsidDel="00000000" w:rsidR="00000000" w:rsidRPr="00000000">
        <w:rPr>
          <w:rFonts w:ascii="Palatino Linotype" w:cs="Palatino Linotype" w:eastAsia="Palatino Linotype" w:hAnsi="Palatino Linotype"/>
          <w:b w:val="1"/>
          <w:sz w:val="24"/>
          <w:szCs w:val="24"/>
          <w:rtl w:val="0"/>
        </w:rPr>
        <w:t xml:space="preserve">versión pública del traslado de dominio,</w:t>
      </w:r>
      <w:r w:rsidDel="00000000" w:rsidR="00000000" w:rsidRPr="00000000">
        <w:rPr>
          <w:rFonts w:ascii="Palatino Linotype" w:cs="Palatino Linotype" w:eastAsia="Palatino Linotype" w:hAnsi="Palatino Linotype"/>
          <w:sz w:val="24"/>
          <w:szCs w:val="24"/>
          <w:rtl w:val="0"/>
        </w:rPr>
        <w:t xml:space="preserve"> en caso de no contar con la información requiero la declaratoria de inexistencia pasada ante su comité de transparencia.</w:t>
      </w:r>
      <w:r w:rsidDel="00000000" w:rsidR="00000000" w:rsidRPr="00000000">
        <w:rPr>
          <w:rtl w:val="0"/>
        </w:rPr>
      </w:r>
    </w:p>
    <w:p w:rsidR="00000000" w:rsidDel="00000000" w:rsidP="00000000" w:rsidRDefault="00000000" w:rsidRPr="00000000" w14:paraId="00000008">
      <w:pPr>
        <w:spacing w:after="240" w:before="240" w:line="360" w:lineRule="auto"/>
        <w:rPr>
          <w:rFonts w:ascii="Palatino Linotype" w:cs="Palatino Linotype" w:eastAsia="Palatino Linotype" w:hAnsi="Palatino Linotype"/>
          <w:color w:val="000000"/>
          <w:sz w:val="24"/>
          <w:szCs w:val="24"/>
        </w:rPr>
      </w:pPr>
      <w:hyperlink r:id="rId8">
        <w:r w:rsidDel="00000000" w:rsidR="00000000" w:rsidRPr="00000000">
          <w:rPr>
            <w:rFonts w:ascii="Palatino Linotype" w:cs="Palatino Linotype" w:eastAsia="Palatino Linotype" w:hAnsi="Palatino Linotype"/>
            <w:b w:val="1"/>
            <w:color w:val="000000"/>
            <w:sz w:val="24"/>
            <w:szCs w:val="24"/>
            <w:u w:val="single"/>
            <w:rtl w:val="0"/>
          </w:rPr>
          <w:t xml:space="preserve">IMG_20220117_204736_745.jpg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09">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656502" cy="1531930"/>
            <wp:effectExtent b="0" l="0" r="0" t="0"/>
            <wp:docPr descr="Vista desde lo alto de una calle&#10;&#10;Descripción generada automáticamente con confianza media" id="12" name="image10.jpg"/>
            <a:graphic>
              <a:graphicData uri="http://schemas.openxmlformats.org/drawingml/2006/picture">
                <pic:pic>
                  <pic:nvPicPr>
                    <pic:cNvPr descr="Vista desde lo alto de una calle&#10;&#10;Descripción generada automáticamente con confianza media" id="0" name="image10.jpg"/>
                    <pic:cNvPicPr preferRelativeResize="0"/>
                  </pic:nvPicPr>
                  <pic:blipFill>
                    <a:blip r:embed="rId9"/>
                    <a:srcRect b="0" l="0" r="0" t="0"/>
                    <a:stretch>
                      <a:fillRect/>
                    </a:stretch>
                  </pic:blipFill>
                  <pic:spPr>
                    <a:xfrm>
                      <a:off x="0" y="0"/>
                      <a:ext cx="5656502" cy="153193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360" w:lineRule="auto"/>
        <w:rPr>
          <w:rFonts w:ascii="Palatino Linotype" w:cs="Palatino Linotype" w:eastAsia="Palatino Linotype" w:hAnsi="Palatino Linotype"/>
          <w:color w:val="000000"/>
          <w:sz w:val="24"/>
          <w:szCs w:val="24"/>
        </w:rPr>
      </w:pPr>
      <w:hyperlink r:id="rId10">
        <w:r w:rsidDel="00000000" w:rsidR="00000000" w:rsidRPr="00000000">
          <w:rPr>
            <w:rFonts w:ascii="Palatino Linotype" w:cs="Palatino Linotype" w:eastAsia="Palatino Linotype" w:hAnsi="Palatino Linotype"/>
            <w:b w:val="1"/>
            <w:color w:val="000000"/>
            <w:sz w:val="24"/>
            <w:szCs w:val="24"/>
            <w:u w:val="single"/>
            <w:rtl w:val="0"/>
          </w:rPr>
          <w:t xml:space="preserve">4.JPG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0B">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654723" cy="1417018"/>
            <wp:effectExtent b="0" l="0" r="0" t="0"/>
            <wp:docPr descr="Diagrama&#10;&#10;Descripción generada automáticamente" id="14" name="image7.jpg"/>
            <a:graphic>
              <a:graphicData uri="http://schemas.openxmlformats.org/drawingml/2006/picture">
                <pic:pic>
                  <pic:nvPicPr>
                    <pic:cNvPr descr="Diagrama&#10;&#10;Descripción generada automáticamente" id="0" name="image7.jpg"/>
                    <pic:cNvPicPr preferRelativeResize="0"/>
                  </pic:nvPicPr>
                  <pic:blipFill>
                    <a:blip r:embed="rId11"/>
                    <a:srcRect b="0" l="0" r="0" t="0"/>
                    <a:stretch>
                      <a:fillRect/>
                    </a:stretch>
                  </pic:blipFill>
                  <pic:spPr>
                    <a:xfrm>
                      <a:off x="0" y="0"/>
                      <a:ext cx="5654723" cy="1417018"/>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360" w:lineRule="auto"/>
        <w:rPr>
          <w:rFonts w:ascii="Palatino Linotype" w:cs="Palatino Linotype" w:eastAsia="Palatino Linotype" w:hAnsi="Palatino Linotype"/>
          <w:color w:val="000000"/>
          <w:sz w:val="24"/>
          <w:szCs w:val="24"/>
        </w:rPr>
      </w:pPr>
      <w:hyperlink r:id="rId12">
        <w:r w:rsidDel="00000000" w:rsidR="00000000" w:rsidRPr="00000000">
          <w:rPr>
            <w:rFonts w:ascii="Palatino Linotype" w:cs="Palatino Linotype" w:eastAsia="Palatino Linotype" w:hAnsi="Palatino Linotype"/>
            <w:b w:val="1"/>
            <w:color w:val="000000"/>
            <w:sz w:val="24"/>
            <w:szCs w:val="24"/>
            <w:u w:val="single"/>
            <w:rtl w:val="0"/>
          </w:rPr>
          <w:t xml:space="preserve">2.JPG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0D">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592653" cy="1400270"/>
            <wp:effectExtent b="0" l="0" r="0" t="0"/>
            <wp:docPr descr="Una carretera con coches&#10;&#10;Descripción generada automáticamente" id="13" name="image6.jpg"/>
            <a:graphic>
              <a:graphicData uri="http://schemas.openxmlformats.org/drawingml/2006/picture">
                <pic:pic>
                  <pic:nvPicPr>
                    <pic:cNvPr descr="Una carretera con coches&#10;&#10;Descripción generada automáticamente" id="0" name="image6.jpg"/>
                    <pic:cNvPicPr preferRelativeResize="0"/>
                  </pic:nvPicPr>
                  <pic:blipFill>
                    <a:blip r:embed="rId13"/>
                    <a:srcRect b="0" l="0" r="0" t="0"/>
                    <a:stretch>
                      <a:fillRect/>
                    </a:stretch>
                  </pic:blipFill>
                  <pic:spPr>
                    <a:xfrm>
                      <a:off x="0" y="0"/>
                      <a:ext cx="5592653" cy="140027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240" w:before="240" w:line="360" w:lineRule="auto"/>
        <w:rPr>
          <w:rFonts w:ascii="Palatino Linotype" w:cs="Palatino Linotype" w:eastAsia="Palatino Linotype" w:hAnsi="Palatino Linotype"/>
          <w:color w:val="000000"/>
          <w:sz w:val="24"/>
          <w:szCs w:val="24"/>
        </w:rPr>
      </w:pPr>
      <w:hyperlink r:id="rId14">
        <w:r w:rsidDel="00000000" w:rsidR="00000000" w:rsidRPr="00000000">
          <w:rPr>
            <w:rFonts w:ascii="Palatino Linotype" w:cs="Palatino Linotype" w:eastAsia="Palatino Linotype" w:hAnsi="Palatino Linotype"/>
            <w:b w:val="1"/>
            <w:color w:val="000000"/>
            <w:sz w:val="24"/>
            <w:szCs w:val="24"/>
            <w:u w:val="single"/>
            <w:rtl w:val="0"/>
          </w:rPr>
          <w:t xml:space="preserve">6.JPG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0F">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447594" cy="1268233"/>
            <wp:effectExtent b="0" l="0" r="0" t="0"/>
            <wp:docPr descr="Imagen que contiene Interfaz de usuario gráfica&#10;&#10;Descripción generada automáticamente" id="16" name="image2.jpg"/>
            <a:graphic>
              <a:graphicData uri="http://schemas.openxmlformats.org/drawingml/2006/picture">
                <pic:pic>
                  <pic:nvPicPr>
                    <pic:cNvPr descr="Imagen que contiene Interfaz de usuario gráfica&#10;&#10;Descripción generada automáticamente" id="0" name="image2.jpg"/>
                    <pic:cNvPicPr preferRelativeResize="0"/>
                  </pic:nvPicPr>
                  <pic:blipFill>
                    <a:blip r:embed="rId15"/>
                    <a:srcRect b="0" l="0" r="0" t="0"/>
                    <a:stretch>
                      <a:fillRect/>
                    </a:stretch>
                  </pic:blipFill>
                  <pic:spPr>
                    <a:xfrm>
                      <a:off x="0" y="0"/>
                      <a:ext cx="5447594" cy="126823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360" w:lineRule="auto"/>
        <w:rPr>
          <w:rFonts w:ascii="Palatino Linotype" w:cs="Palatino Linotype" w:eastAsia="Palatino Linotype" w:hAnsi="Palatino Linotype"/>
          <w:color w:val="000000"/>
          <w:sz w:val="24"/>
          <w:szCs w:val="24"/>
        </w:rPr>
      </w:pPr>
      <w:hyperlink r:id="rId16">
        <w:r w:rsidDel="00000000" w:rsidR="00000000" w:rsidRPr="00000000">
          <w:rPr>
            <w:rFonts w:ascii="Palatino Linotype" w:cs="Palatino Linotype" w:eastAsia="Palatino Linotype" w:hAnsi="Palatino Linotype"/>
            <w:b w:val="1"/>
            <w:color w:val="000000"/>
            <w:sz w:val="24"/>
            <w:szCs w:val="24"/>
            <w:u w:val="single"/>
            <w:rtl w:val="0"/>
          </w:rPr>
          <w:t xml:space="preserve">3.JPG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11">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480960" cy="1220325"/>
            <wp:effectExtent b="0" l="0" r="0" t="0"/>
            <wp:docPr descr="Carretera en medio de la calle&#10;&#10;Descripción generada automáticamente" id="15" name="image5.jpg"/>
            <a:graphic>
              <a:graphicData uri="http://schemas.openxmlformats.org/drawingml/2006/picture">
                <pic:pic>
                  <pic:nvPicPr>
                    <pic:cNvPr descr="Carretera en medio de la calle&#10;&#10;Descripción generada automáticamente" id="0" name="image5.jpg"/>
                    <pic:cNvPicPr preferRelativeResize="0"/>
                  </pic:nvPicPr>
                  <pic:blipFill>
                    <a:blip r:embed="rId17"/>
                    <a:srcRect b="0" l="0" r="0" t="0"/>
                    <a:stretch>
                      <a:fillRect/>
                    </a:stretch>
                  </pic:blipFill>
                  <pic:spPr>
                    <a:xfrm>
                      <a:off x="0" y="0"/>
                      <a:ext cx="5480960" cy="122032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360" w:lineRule="auto"/>
        <w:rPr>
          <w:rFonts w:ascii="Palatino Linotype" w:cs="Palatino Linotype" w:eastAsia="Palatino Linotype" w:hAnsi="Palatino Linotype"/>
          <w:color w:val="000000"/>
          <w:sz w:val="24"/>
          <w:szCs w:val="24"/>
        </w:rPr>
      </w:pPr>
      <w:hyperlink r:id="rId18">
        <w:r w:rsidDel="00000000" w:rsidR="00000000" w:rsidRPr="00000000">
          <w:rPr>
            <w:rFonts w:ascii="Palatino Linotype" w:cs="Palatino Linotype" w:eastAsia="Palatino Linotype" w:hAnsi="Palatino Linotype"/>
            <w:b w:val="1"/>
            <w:color w:val="000000"/>
            <w:sz w:val="24"/>
            <w:szCs w:val="24"/>
            <w:u w:val="single"/>
            <w:rtl w:val="0"/>
          </w:rPr>
          <w:t xml:space="preserve">5.JPG</w:t>
        </w:r>
      </w:hyperlink>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13">
      <w:pPr>
        <w:spacing w:after="240" w:before="240" w:line="360" w:lineRule="auto"/>
        <w:rPr>
          <w:rFonts w:ascii="Palatino Linotype" w:cs="Palatino Linotype" w:eastAsia="Palatino Linotype" w:hAnsi="Palatino Linotype"/>
          <w:color w:val="000000"/>
          <w:sz w:val="24"/>
          <w:szCs w:val="24"/>
        </w:rPr>
      </w:pPr>
      <w:r w:rsidDel="00000000" w:rsidR="00000000" w:rsidRPr="00000000">
        <w:rPr/>
        <w:drawing>
          <wp:inline distB="0" distT="0" distL="0" distR="0">
            <wp:extent cx="5560604" cy="1307966"/>
            <wp:effectExtent b="0" l="0" r="0" t="0"/>
            <wp:docPr descr="Imagen de la pantalla de un video juego&#10;&#10;Descripción generada automáticamente con confianza baja" id="18" name="image3.jpg"/>
            <a:graphic>
              <a:graphicData uri="http://schemas.openxmlformats.org/drawingml/2006/picture">
                <pic:pic>
                  <pic:nvPicPr>
                    <pic:cNvPr descr="Imagen de la pantalla de un video juego&#10;&#10;Descripción generada automáticamente con confianza baja" id="0" name="image3.jpg"/>
                    <pic:cNvPicPr preferRelativeResize="0"/>
                  </pic:nvPicPr>
                  <pic:blipFill>
                    <a:blip r:embed="rId19"/>
                    <a:srcRect b="0" l="0" r="0" t="0"/>
                    <a:stretch>
                      <a:fillRect/>
                    </a:stretch>
                  </pic:blipFill>
                  <pic:spPr>
                    <a:xfrm>
                      <a:off x="0" y="0"/>
                      <a:ext cx="5560604" cy="1307966"/>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2.  RESPUESTA DEL SUJETO OBLIGADO. </w:t>
      </w:r>
      <w:r w:rsidDel="00000000" w:rsidR="00000000" w:rsidRPr="00000000">
        <w:rPr>
          <w:rFonts w:ascii="Palatino Linotype" w:cs="Palatino Linotype" w:eastAsia="Palatino Linotype" w:hAnsi="Palatino Linotype"/>
          <w:sz w:val="24"/>
          <w:szCs w:val="24"/>
          <w:rtl w:val="0"/>
        </w:rPr>
        <w:t xml:space="preserve">Con fecha cuatro de febrero del dos mil veintidós,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 a la solicitud de acceso a la información de la siguiente manera: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 En respuesta a su solicitud, de acuerdo al Manual Catastral del Estado de México I. Atención al público y Control de Gestión para la prestación de Servicios y Generación de productos Catastrales, I.3 Políticas Generales ACGC007 y ACGC011 y el Articulo 182 del Código Financiero del Estado de México y Municipios no es posible brindar los datos solicitados. ATENTAMENTE</w:t>
      </w:r>
    </w:p>
    <w:p w:rsidR="00000000" w:rsidDel="00000000" w:rsidP="00000000" w:rsidRDefault="00000000" w:rsidRPr="00000000" w14:paraId="00000016">
      <w:pPr>
        <w:spacing w:after="240" w:before="240" w:line="276"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MARCOS ANTONIO GODINEZ MALANCO</w:t>
      </w:r>
    </w:p>
    <w:p w:rsidR="00000000" w:rsidDel="00000000" w:rsidP="00000000" w:rsidRDefault="00000000" w:rsidRPr="00000000" w14:paraId="00000017">
      <w:pPr>
        <w:spacing w:after="240" w:before="24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El Sujeto Obligado adjunto a su respuesta los archivos electrónicos siguientes: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hyperlink r:id="rId20">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CODIGO FINANCIERO DEL ESTADO DE MEXICO Y MUNICIPIOS.pdf</w:t>
        </w:r>
      </w:hyperlink>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cual contiene el Código Financiero del Estado de México, como se aprecia en la siguiente imagen:</w:t>
      </w:r>
      <w:r w:rsidDel="00000000" w:rsidR="00000000" w:rsidRPr="00000000">
        <w:rPr>
          <w:rtl w:val="0"/>
        </w:rPr>
      </w:r>
    </w:p>
    <w:p w:rsidR="00000000" w:rsidDel="00000000" w:rsidP="00000000" w:rsidRDefault="00000000" w:rsidRPr="00000000" w14:paraId="00000019">
      <w:pPr>
        <w:spacing w:after="240" w:before="240" w:line="360" w:lineRule="auto"/>
        <w:ind w:right="-234"/>
        <w:jc w:val="both"/>
        <w:rPr>
          <w:rFonts w:ascii="Palatino Linotype" w:cs="Palatino Linotype" w:eastAsia="Palatino Linotype" w:hAnsi="Palatino Linotype"/>
          <w:i w:val="1"/>
          <w:color w:val="000000"/>
          <w:sz w:val="24"/>
          <w:szCs w:val="24"/>
        </w:rPr>
      </w:pPr>
      <w:r w:rsidDel="00000000" w:rsidR="00000000" w:rsidRPr="00000000">
        <w:rPr>
          <w:rtl w:val="0"/>
        </w:rPr>
      </w:r>
    </w:p>
    <w:p w:rsidR="00000000" w:rsidDel="00000000" w:rsidP="00000000" w:rsidRDefault="00000000" w:rsidRPr="00000000" w14:paraId="0000001A">
      <w:pPr>
        <w:spacing w:after="240" w:before="240" w:line="360" w:lineRule="auto"/>
        <w:ind w:right="-234"/>
        <w:jc w:val="center"/>
        <w:rPr>
          <w:rFonts w:ascii="Palatino Linotype" w:cs="Palatino Linotype" w:eastAsia="Palatino Linotype" w:hAnsi="Palatino Linotype"/>
          <w:i w:val="1"/>
          <w:color w:val="000000"/>
          <w:sz w:val="24"/>
          <w:szCs w:val="24"/>
        </w:rPr>
      </w:pPr>
      <w:r w:rsidDel="00000000" w:rsidR="00000000" w:rsidRPr="00000000">
        <w:rPr/>
        <w:drawing>
          <wp:inline distB="0" distT="0" distL="0" distR="0">
            <wp:extent cx="4842776" cy="7233897"/>
            <wp:effectExtent b="0" l="0" r="0" t="0"/>
            <wp:docPr id="17" name="image9.png"/>
            <a:graphic>
              <a:graphicData uri="http://schemas.openxmlformats.org/drawingml/2006/picture">
                <pic:pic>
                  <pic:nvPicPr>
                    <pic:cNvPr id="0" name="image9.png"/>
                    <pic:cNvPicPr preferRelativeResize="0"/>
                  </pic:nvPicPr>
                  <pic:blipFill>
                    <a:blip r:embed="rId21"/>
                    <a:srcRect b="14905" l="43619" r="29226" t="12974"/>
                    <a:stretch>
                      <a:fillRect/>
                    </a:stretch>
                  </pic:blipFill>
                  <pic:spPr>
                    <a:xfrm>
                      <a:off x="0" y="0"/>
                      <a:ext cx="4842776" cy="723389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234"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hyperlink r:id="rId22">
        <w:r w:rsidDel="00000000" w:rsidR="00000000" w:rsidRPr="00000000">
          <w:rPr>
            <w:rFonts w:ascii="Palatino Linotype" w:cs="Palatino Linotype" w:eastAsia="Palatino Linotype" w:hAnsi="Palatino Linotype"/>
            <w:b w:val="1"/>
            <w:i w:val="1"/>
            <w:smallCaps w:val="0"/>
            <w:strike w:val="0"/>
            <w:color w:val="000000"/>
            <w:sz w:val="24"/>
            <w:szCs w:val="24"/>
            <w:u w:val="single"/>
            <w:shd w:fill="auto" w:val="clear"/>
            <w:vertAlign w:val="baseline"/>
            <w:rtl w:val="0"/>
          </w:rPr>
          <w:t xml:space="preserve">MANUAL CATASTRAL DEL ESTADO DE MEXICO.pdf</w:t>
        </w:r>
      </w:hyperlink>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del cual se desprende el Manual Catastral del Estado de México, como se advierte a continuación:</w:t>
      </w:r>
    </w:p>
    <w:p w:rsidR="00000000" w:rsidDel="00000000" w:rsidP="00000000" w:rsidRDefault="00000000" w:rsidRPr="00000000" w14:paraId="0000001C">
      <w:pPr>
        <w:spacing w:after="240" w:before="240" w:line="360" w:lineRule="auto"/>
        <w:ind w:right="-234"/>
        <w:jc w:val="center"/>
        <w:rPr>
          <w:rFonts w:ascii="Palatino Linotype" w:cs="Palatino Linotype" w:eastAsia="Palatino Linotype" w:hAnsi="Palatino Linotype"/>
          <w:color w:val="000000"/>
          <w:sz w:val="24"/>
          <w:szCs w:val="24"/>
        </w:rPr>
      </w:pPr>
      <w:r w:rsidDel="00000000" w:rsidR="00000000" w:rsidRPr="00000000">
        <w:rPr/>
        <w:drawing>
          <wp:inline distB="0" distT="0" distL="0" distR="0">
            <wp:extent cx="4442939" cy="6105635"/>
            <wp:effectExtent b="0" l="0" r="0" t="0"/>
            <wp:docPr id="20" name="image4.png"/>
            <a:graphic>
              <a:graphicData uri="http://schemas.openxmlformats.org/drawingml/2006/picture">
                <pic:pic>
                  <pic:nvPicPr>
                    <pic:cNvPr id="0" name="image4.png"/>
                    <pic:cNvPicPr preferRelativeResize="0"/>
                  </pic:nvPicPr>
                  <pic:blipFill>
                    <a:blip r:embed="rId23"/>
                    <a:srcRect b="15811" l="42430" r="29904" t="16596"/>
                    <a:stretch>
                      <a:fillRect/>
                    </a:stretch>
                  </pic:blipFill>
                  <pic:spPr>
                    <a:xfrm>
                      <a:off x="0" y="0"/>
                      <a:ext cx="4442939" cy="610563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3. RECURSO DE REVISIÓN. </w:t>
      </w:r>
      <w:r w:rsidDel="00000000" w:rsidR="00000000" w:rsidRPr="00000000">
        <w:rPr>
          <w:rFonts w:ascii="Palatino Linotype" w:cs="Palatino Linotype" w:eastAsia="Palatino Linotype" w:hAnsi="Palatino Linotype"/>
          <w:sz w:val="24"/>
          <w:szCs w:val="24"/>
          <w:rtl w:val="0"/>
        </w:rPr>
        <w:t xml:space="preserve">Inconforme con la respuesta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RECURRENTE </w:t>
      </w:r>
      <w:r w:rsidDel="00000000" w:rsidR="00000000" w:rsidRPr="00000000">
        <w:rPr>
          <w:rFonts w:ascii="Palatino Linotype" w:cs="Palatino Linotype" w:eastAsia="Palatino Linotype" w:hAnsi="Palatino Linotype"/>
          <w:sz w:val="24"/>
          <w:szCs w:val="24"/>
          <w:rtl w:val="0"/>
        </w:rPr>
        <w:t xml:space="preserve">interpuso el recurso de revisión, en fecha cuatro de febrero de dos mil veintidós,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color w:val="000000"/>
          <w:sz w:val="24"/>
          <w:szCs w:val="24"/>
          <w:rtl w:val="0"/>
        </w:rPr>
        <w:t xml:space="preserve">00614/INFOEM/IP/RR/2022</w:t>
      </w:r>
      <w:r w:rsidDel="00000000" w:rsidR="00000000" w:rsidRPr="00000000">
        <w:rPr>
          <w:rFonts w:ascii="Palatino Linotype" w:cs="Palatino Linotype" w:eastAsia="Palatino Linotype" w:hAnsi="Palatino Linotype"/>
          <w:sz w:val="24"/>
          <w:szCs w:val="24"/>
          <w:rtl w:val="0"/>
        </w:rPr>
        <w:t xml:space="preserve">, en el cual manifiesta, lo siguiente:</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“La entrega de la información no corresponde con lo solicitado. No se omite señalar que, de conformidad con lo establecido en el artículos 3 fracciones XI, XII, XIV, XV y XLV, 4, 7, 11, 150 y 162 de la Ley de Transparencia y Acceso a la Información Pública del Estado de México y Municipios, toda la información física y digital que obra en los archivos del sujeto obligado es pública, en consecuencia, la información requerida en la solicitud si es posible entregarla incluso en versión pública dependiendo el caso concreto.” [Sic]</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720" w:right="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“La entrega de la información no corresponde con lo solicitado. No se omite señalar que, de conformidad con lo establecido en el artículos 3 fracciones XI, XII, XIV, XV y XLV, 4, 7, 11, 150 y 162 de la Ley de Transparencia y Acceso a la Información Pública del Estado de México y Municipios, toda la información física y digital que obra en los archivos del sujeto obligado es pública, en consecuencia, la información requerida en la solicitud si es posible entregarla incluso en versión pública dependiendo el caso concreto.” [Sic]</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8"/>
          <w:szCs w:val="28"/>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w:t>
      </w:r>
      <w:r w:rsidDel="00000000" w:rsidR="00000000" w:rsidRPr="00000000">
        <w:rPr>
          <w:rFonts w:ascii="Palatino Linotype" w:cs="Palatino Linotype" w:eastAsia="Palatino Linotype" w:hAnsi="Palatino Linotype"/>
          <w:sz w:val="24"/>
          <w:szCs w:val="24"/>
          <w:highlight w:val="white"/>
          <w:rtl w:val="0"/>
        </w:rPr>
        <w:t xml:space="preserve">de la Ley Transparencia y Acceso a la Información Pública</w:t>
      </w:r>
      <w:r w:rsidDel="00000000" w:rsidR="00000000" w:rsidRPr="00000000">
        <w:rPr>
          <w:rFonts w:ascii="Palatino Linotype" w:cs="Palatino Linotype" w:eastAsia="Palatino Linotype" w:hAnsi="Palatino Linotype"/>
          <w:sz w:val="24"/>
          <w:szCs w:val="24"/>
          <w:rtl w:val="0"/>
        </w:rPr>
        <w:t xml:space="preserve">, el recurso de revisión número</w:t>
      </w:r>
      <w:r w:rsidDel="00000000" w:rsidR="00000000" w:rsidRPr="00000000">
        <w:rPr>
          <w:rFonts w:ascii="Palatino Linotype" w:cs="Palatino Linotype" w:eastAsia="Palatino Linotype" w:hAnsi="Palatino Linotype"/>
          <w:b w:val="1"/>
          <w:sz w:val="24"/>
          <w:szCs w:val="24"/>
          <w:rtl w:val="0"/>
        </w:rPr>
        <w:t xml:space="preserve"> 00614/INFOEM/IP/RR/2022 </w:t>
      </w:r>
      <w:r w:rsidDel="00000000" w:rsidR="00000000" w:rsidRPr="00000000">
        <w:rPr>
          <w:rFonts w:ascii="Palatino Linotype" w:cs="Palatino Linotype" w:eastAsia="Palatino Linotype" w:hAnsi="Palatino Linotype"/>
          <w:sz w:val="24"/>
          <w:szCs w:val="24"/>
          <w:rtl w:val="0"/>
        </w:rPr>
        <w:t xml:space="preserve">fue turnado en fecha cuatro de febrero de dos mil veintidós a la Comisionada Ponente </w:t>
      </w:r>
      <w:r w:rsidDel="00000000" w:rsidR="00000000" w:rsidRPr="00000000">
        <w:rPr>
          <w:rFonts w:ascii="Palatino Linotype" w:cs="Palatino Linotype" w:eastAsia="Palatino Linotype" w:hAnsi="Palatino Linotype"/>
          <w:b w:val="1"/>
          <w:sz w:val="24"/>
          <w:szCs w:val="24"/>
          <w:rtl w:val="0"/>
        </w:rPr>
        <w:t xml:space="preserve">Guadalupe Ramírez Peña</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DEL DESISTIMIENTO DEL RECURSO DE REVISIÓN. </w:t>
      </w:r>
      <w:r w:rsidDel="00000000" w:rsidR="00000000" w:rsidRPr="00000000">
        <w:rPr>
          <w:rFonts w:ascii="Palatino Linotype" w:cs="Palatino Linotype" w:eastAsia="Palatino Linotype" w:hAnsi="Palatino Linotype"/>
          <w:sz w:val="24"/>
          <w:szCs w:val="24"/>
          <w:rtl w:val="0"/>
        </w:rPr>
        <w:t xml:space="preserve">El día nueve de febrero del año en curso, en el detalle de seguimiento de solicitud, se aprecia que el hoy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desistió del recurso de revisión que nos ocupa, expresando lo siguiente:</w:t>
      </w:r>
    </w:p>
    <w:p w:rsidR="00000000" w:rsidDel="00000000" w:rsidP="00000000" w:rsidRDefault="00000000" w:rsidRPr="00000000" w14:paraId="00000024">
      <w:pPr>
        <w:spacing w:after="240" w:before="240" w:line="36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4"/>
          <w:szCs w:val="24"/>
          <w:rtl w:val="0"/>
        </w:rPr>
        <w:t xml:space="preserve">Desistimiento del recurso de revisión.</w:t>
      </w:r>
      <w:r w:rsidDel="00000000" w:rsidR="00000000" w:rsidRPr="00000000">
        <w:rPr>
          <w:rtl w:val="0"/>
        </w:rPr>
      </w:r>
    </w:p>
    <w:p w:rsidR="00000000" w:rsidDel="00000000" w:rsidP="00000000" w:rsidRDefault="00000000" w:rsidRPr="00000000" w14:paraId="00000025">
      <w:pPr>
        <w:spacing w:after="240" w:before="240" w:line="36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4"/>
          <w:szCs w:val="24"/>
          <w:rtl w:val="0"/>
        </w:rPr>
        <w:t xml:space="preserve">ATENTAMENTE</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ADMISIÓN. </w:t>
      </w:r>
      <w:r w:rsidDel="00000000" w:rsidR="00000000" w:rsidRPr="00000000">
        <w:rPr>
          <w:rFonts w:ascii="Palatino Linotype" w:cs="Palatino Linotype" w:eastAsia="Palatino Linotype" w:hAnsi="Palatino Linotype"/>
          <w:sz w:val="24"/>
          <w:szCs w:val="24"/>
          <w:rtl w:val="0"/>
        </w:rPr>
        <w:t xml:space="preserve">En fecha once de febrero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24"/>
          <w:szCs w:val="24"/>
          <w:rtl w:val="0"/>
        </w:rPr>
        <w:t xml:space="preserve">INFORME JUSTIFICADO O MANIFESTACIONES</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sz w:val="24"/>
          <w:szCs w:val="24"/>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no rindió su informe justificado, del mismo modo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omitió realizar manifestaciones, tal como se advierte a continuación: </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84373" cy="1500048"/>
            <wp:effectExtent b="0" l="0" r="0" t="0"/>
            <wp:docPr id="19" name="image8.png"/>
            <a:graphic>
              <a:graphicData uri="http://schemas.openxmlformats.org/drawingml/2006/picture">
                <pic:pic>
                  <pic:nvPicPr>
                    <pic:cNvPr id="0" name="image8.png"/>
                    <pic:cNvPicPr preferRelativeResize="0"/>
                  </pic:nvPicPr>
                  <pic:blipFill>
                    <a:blip r:embed="rId24"/>
                    <a:srcRect b="55038" l="29023" r="29226" t="25023"/>
                    <a:stretch>
                      <a:fillRect/>
                    </a:stretch>
                  </pic:blipFill>
                  <pic:spPr>
                    <a:xfrm>
                      <a:off x="0" y="0"/>
                      <a:ext cx="5584373" cy="150004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8. DEL CIERRE DE INSTRUCCIÓN. </w:t>
      </w:r>
      <w:r w:rsidDel="00000000" w:rsidR="00000000" w:rsidRPr="00000000">
        <w:rPr>
          <w:rFonts w:ascii="Palatino Linotype" w:cs="Palatino Linotype" w:eastAsia="Palatino Linotype" w:hAnsi="Palatino Linotype"/>
          <w:sz w:val="24"/>
          <w:szCs w:val="24"/>
          <w:rtl w:val="0"/>
        </w:rPr>
        <w:t xml:space="preserve">El diez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40" w:before="240" w:line="360" w:lineRule="auto"/>
        <w:ind w:left="567" w:firstLine="0"/>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 O N S I D E R A N D OS: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sidDel="00000000" w:rsidR="00000000" w:rsidRPr="00000000">
        <w:rPr>
          <w:rFonts w:ascii="Palatino Linotype" w:cs="Palatino Linotype" w:eastAsia="Palatino Linotype" w:hAnsi="Palatino Linotype"/>
          <w:highlight w:val="white"/>
          <w:rtl w:val="0"/>
        </w:rPr>
        <w:t xml:space="preserve"> </w:t>
      </w:r>
      <w:r w:rsidDel="00000000" w:rsidR="00000000" w:rsidRPr="00000000">
        <w:rPr>
          <w:rFonts w:ascii="Palatino Linotype" w:cs="Palatino Linotype" w:eastAsia="Palatino Linotype" w:hAnsi="Palatino Linotype"/>
          <w:sz w:val="24"/>
          <w:szCs w:val="24"/>
          <w:rtl w:val="0"/>
        </w:rPr>
        <w:t xml:space="preserve">9, fracciones I y XXIV y 11 </w:t>
      </w:r>
      <w:r w:rsidDel="00000000" w:rsidR="00000000" w:rsidRPr="00000000">
        <w:rPr>
          <w:rFonts w:ascii="Palatino Linotype" w:cs="Palatino Linotype" w:eastAsia="Palatino Linotype" w:hAnsi="Palatino Linotype"/>
          <w:sz w:val="24"/>
          <w:szCs w:val="24"/>
          <w:highlight w:val="white"/>
          <w:rtl w:val="0"/>
        </w:rPr>
        <w:t xml:space="preserve">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2C">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 respuesta, toda vez que ésta fue pronunciada el día cuatro de febrero de dos mil veintidós, mientras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el recurso de revisión en la mismo día, mes y año, </w:t>
      </w:r>
      <w:r w:rsidDel="00000000" w:rsidR="00000000" w:rsidRPr="00000000">
        <w:rPr>
          <w:rFonts w:ascii="Palatino Linotype" w:cs="Palatino Linotype" w:eastAsia="Palatino Linotype" w:hAnsi="Palatino Linotype"/>
          <w:color w:val="222222"/>
          <w:sz w:val="24"/>
          <w:szCs w:val="24"/>
          <w:rtl w:val="0"/>
        </w:rPr>
        <w:t xml:space="preserve">circunstancia que no es determinante para declararlo extemporáneo, toda vez que el tiempo concedido es para delimitar el término en que puede impugnarse la respuesta, lo cual no impide que se presente antes de iniciado el plazo previsto.</w:t>
      </w:r>
      <w:r w:rsidDel="00000000" w:rsidR="00000000" w:rsidRPr="00000000">
        <w:rPr>
          <w:rtl w:val="0"/>
        </w:rPr>
      </w:r>
    </w:p>
    <w:p w:rsidR="00000000" w:rsidDel="00000000" w:rsidP="00000000" w:rsidRDefault="00000000" w:rsidRPr="00000000" w14:paraId="0000002E">
      <w:pPr>
        <w:shd w:fill="ffffff" w:val="clear"/>
        <w:spacing w:after="240" w:before="240" w:line="360" w:lineRule="auto"/>
        <w:ind w:right="49"/>
        <w:jc w:val="both"/>
        <w:rPr>
          <w:rFonts w:ascii="Times New Roman" w:cs="Times New Roman" w:eastAsia="Times New Roman" w:hAnsi="Times New Roman"/>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rtl w:val="0"/>
        </w:rPr>
      </w:r>
    </w:p>
    <w:p w:rsidR="00000000" w:rsidDel="00000000" w:rsidP="00000000" w:rsidRDefault="00000000" w:rsidRPr="00000000" w14:paraId="0000002F">
      <w:pPr>
        <w:shd w:fill="ffffff" w:val="clear"/>
        <w:spacing w:after="240" w:before="240" w:line="276" w:lineRule="auto"/>
        <w:ind w:left="567" w:right="616" w:firstLine="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i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w:t>
      </w:r>
      <w:r w:rsidDel="00000000" w:rsidR="00000000" w:rsidRPr="00000000">
        <w:rPr>
          <w:rFonts w:ascii="Palatino Linotype" w:cs="Palatino Linotype" w:eastAsia="Palatino Linotype" w:hAnsi="Palatino Linotype"/>
          <w:i w:val="1"/>
          <w:color w:val="222222"/>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30">
      <w:pPr>
        <w:shd w:fill="ffffff" w:val="clear"/>
        <w:spacing w:after="240" w:before="240" w:line="276" w:lineRule="auto"/>
        <w:ind w:left="567" w:right="616" w:firstLine="0"/>
        <w:jc w:val="both"/>
        <w:rPr>
          <w:rFonts w:ascii="Times New Roman" w:cs="Times New Roman" w:eastAsia="Times New Roman" w:hAnsi="Times New Roman"/>
          <w:color w:val="222222"/>
        </w:rPr>
      </w:pPr>
      <w:r w:rsidDel="00000000" w:rsidR="00000000" w:rsidRPr="00000000">
        <w:rPr>
          <w:rFonts w:ascii="Palatino Linotype" w:cs="Palatino Linotype" w:eastAsia="Palatino Linotype" w:hAnsi="Palatino Linotype"/>
          <w:i w:val="1"/>
          <w:color w:val="2222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31">
      <w:pPr>
        <w:shd w:fill="ffffff" w:val="clear"/>
        <w:spacing w:after="240" w:before="240" w:line="276" w:lineRule="auto"/>
        <w:ind w:left="567" w:right="616" w:firstLine="0"/>
        <w:jc w:val="both"/>
        <w:rPr>
          <w:rFonts w:ascii="Times New Roman" w:cs="Times New Roman" w:eastAsia="Times New Roman" w:hAnsi="Times New Roman"/>
          <w:color w:val="222222"/>
        </w:rPr>
      </w:pPr>
      <w:r w:rsidDel="00000000" w:rsidR="00000000" w:rsidRPr="00000000">
        <w:rPr>
          <w:rFonts w:ascii="Palatino Linotype" w:cs="Palatino Linotype" w:eastAsia="Palatino Linotype" w:hAnsi="Palatino Linotype"/>
          <w:i w:val="1"/>
          <w:color w:val="222222"/>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color w:val="222222"/>
          <w:rtl w:val="0"/>
        </w:rPr>
        <w:t xml:space="preserve">"(Sic)</w:t>
      </w:r>
      <w:r w:rsidDel="00000000" w:rsidR="00000000" w:rsidRPr="00000000">
        <w:rPr>
          <w:rtl w:val="0"/>
        </w:rPr>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del recurso 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3">
      <w:pPr>
        <w:spacing w:after="240" w:before="24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La entrega de información que no corresponda con lo solicitado;” (Sic)</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 ANÁLISIS DE LAS CAUSALES DE SOBRESEIMIENTO DEL RECURSO DE REVISIÓN. </w:t>
      </w:r>
      <w:r w:rsidDel="00000000" w:rsidR="00000000" w:rsidRPr="00000000">
        <w:rPr>
          <w:rFonts w:ascii="Palatino Linotype" w:cs="Palatino Linotype" w:eastAsia="Palatino Linotype" w:hAnsi="Palatino Linotype"/>
          <w:sz w:val="24"/>
          <w:szCs w:val="24"/>
          <w:rtl w:val="0"/>
        </w:rPr>
        <w:t xml:space="preserve">El artículo 192 de la </w:t>
      </w:r>
      <w:r w:rsidDel="00000000" w:rsidR="00000000" w:rsidRPr="00000000">
        <w:rPr>
          <w:rFonts w:ascii="Palatino Linotype" w:cs="Palatino Linotype" w:eastAsia="Palatino Linotype" w:hAnsi="Palatino Linotype"/>
          <w:color w:val="000000"/>
          <w:sz w:val="24"/>
          <w:szCs w:val="24"/>
          <w:rtl w:val="0"/>
        </w:rPr>
        <w:t xml:space="preserve">Ley de Transparencia y Acceso a la Información Pública del Estado de México y Municipios, señala que el Recurso de Revisión será sobreseído en todo o en parte, cuando, una vez admitido, se actualice alguno de los siguientes supuestos:</w:t>
      </w:r>
      <w:r w:rsidDel="00000000" w:rsidR="00000000" w:rsidRPr="00000000">
        <w:rPr>
          <w:rtl w:val="0"/>
        </w:rPr>
      </w:r>
    </w:p>
    <w:p w:rsidR="00000000" w:rsidDel="00000000" w:rsidP="00000000" w:rsidRDefault="00000000" w:rsidRPr="00000000" w14:paraId="0000003B">
      <w:pPr>
        <w:numPr>
          <w:ilvl w:val="0"/>
          <w:numId w:val="2"/>
        </w:numPr>
        <w:spacing w:after="240" w:before="240" w:line="360" w:lineRule="auto"/>
        <w:ind w:left="567" w:hanging="87.00000000000003"/>
        <w:jc w:val="both"/>
        <w:rPr>
          <w:rFonts w:ascii="Palatino Linotype" w:cs="Palatino Linotype" w:eastAsia="Palatino Linotype" w:hAnsi="Palatino Linotype"/>
          <w:b w:val="1"/>
          <w:color w:val="000000"/>
          <w:sz w:val="24"/>
          <w:szCs w:val="24"/>
          <w:u w:val="single"/>
        </w:rPr>
      </w:pPr>
      <w:r w:rsidDel="00000000" w:rsidR="00000000" w:rsidRPr="00000000">
        <w:rPr>
          <w:rFonts w:ascii="Palatino Linotype" w:cs="Palatino Linotype" w:eastAsia="Palatino Linotype" w:hAnsi="Palatino Linotype"/>
          <w:b w:val="1"/>
          <w:color w:val="000000"/>
          <w:sz w:val="24"/>
          <w:szCs w:val="24"/>
          <w:u w:val="single"/>
          <w:rtl w:val="0"/>
        </w:rPr>
        <w:t xml:space="preserve">El Recurrente se desista expresamente;</w:t>
      </w:r>
    </w:p>
    <w:p w:rsidR="00000000" w:rsidDel="00000000" w:rsidP="00000000" w:rsidRDefault="00000000" w:rsidRPr="00000000" w14:paraId="0000003C">
      <w:pPr>
        <w:numPr>
          <w:ilvl w:val="0"/>
          <w:numId w:val="2"/>
        </w:numPr>
        <w:spacing w:after="240" w:before="240" w:line="360" w:lineRule="auto"/>
        <w:ind w:left="567" w:hanging="87.0000000000000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El Recurrente fallezca o, tratándose de personas morales se disuelva;</w:t>
      </w:r>
    </w:p>
    <w:p w:rsidR="00000000" w:rsidDel="00000000" w:rsidP="00000000" w:rsidRDefault="00000000" w:rsidRPr="00000000" w14:paraId="0000003D">
      <w:pPr>
        <w:numPr>
          <w:ilvl w:val="0"/>
          <w:numId w:val="2"/>
        </w:numPr>
        <w:spacing w:after="240" w:before="240" w:line="360" w:lineRule="auto"/>
        <w:ind w:left="567" w:hanging="87.0000000000000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El Sujeto Obligado modifique la respuesta o la revoque, de tal manera que el recurso de revisión quede sin materia;</w:t>
      </w:r>
    </w:p>
    <w:p w:rsidR="00000000" w:rsidDel="00000000" w:rsidP="00000000" w:rsidRDefault="00000000" w:rsidRPr="00000000" w14:paraId="0000003E">
      <w:pPr>
        <w:numPr>
          <w:ilvl w:val="0"/>
          <w:numId w:val="2"/>
        </w:numPr>
        <w:spacing w:after="240" w:before="240" w:line="360" w:lineRule="auto"/>
        <w:ind w:left="567" w:hanging="87.0000000000000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Admitido el recurso de revisión, aparezca alguna causal de improcedencia; y,</w:t>
      </w:r>
    </w:p>
    <w:p w:rsidR="00000000" w:rsidDel="00000000" w:rsidP="00000000" w:rsidRDefault="00000000" w:rsidRPr="00000000" w14:paraId="0000003F">
      <w:pPr>
        <w:numPr>
          <w:ilvl w:val="0"/>
          <w:numId w:val="2"/>
        </w:numPr>
        <w:spacing w:after="240" w:before="240" w:line="360" w:lineRule="auto"/>
        <w:ind w:left="567" w:hanging="87.0000000000000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Cuando por cualquier motivo quede sin materia el recurso de revisión.</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En ese sentido, es susceptible de análisis la actualización del supuesto jurídico previsto en la fracción I, del artículo 192, de la Ley en cita, mismo que dispone que el Recurso de Revisión será sobreseído cuando </w:t>
      </w:r>
      <w:r w:rsidDel="00000000" w:rsidR="00000000" w:rsidRPr="00000000">
        <w:rPr>
          <w:rFonts w:ascii="Palatino Linotype" w:cs="Palatino Linotype" w:eastAsia="Palatino Linotype" w:hAnsi="Palatino Linotype"/>
          <w:b w:val="1"/>
          <w:sz w:val="24"/>
          <w:szCs w:val="24"/>
          <w:rtl w:val="0"/>
        </w:rPr>
        <w:t xml:space="preserve">el Recurrente se desista expresamente</w:t>
      </w:r>
      <w:r w:rsidDel="00000000" w:rsidR="00000000" w:rsidRPr="00000000">
        <w:rPr>
          <w:rFonts w:ascii="Palatino Linotype" w:cs="Palatino Linotype" w:eastAsia="Palatino Linotype" w:hAnsi="Palatino Linotype"/>
          <w:color w:val="000000"/>
          <w:sz w:val="24"/>
          <w:szCs w:val="24"/>
          <w:rtl w:val="0"/>
        </w:rPr>
        <w:t xml:space="preserve">. Ello, toda vez que </w:t>
      </w:r>
      <w:r w:rsidDel="00000000" w:rsidR="00000000" w:rsidRPr="00000000">
        <w:rPr>
          <w:rFonts w:ascii="Palatino Linotype" w:cs="Palatino Linotype" w:eastAsia="Palatino Linotype" w:hAnsi="Palatino Linotype"/>
          <w:b w:val="1"/>
          <w:color w:val="000000"/>
          <w:sz w:val="24"/>
          <w:szCs w:val="24"/>
          <w:rtl w:val="0"/>
        </w:rPr>
        <w:t xml:space="preserve">LA PARTE RECURRENTE</w:t>
      </w:r>
      <w:r w:rsidDel="00000000" w:rsidR="00000000" w:rsidRPr="00000000">
        <w:rPr>
          <w:rFonts w:ascii="Palatino Linotype" w:cs="Palatino Linotype" w:eastAsia="Palatino Linotype" w:hAnsi="Palatino Linotype"/>
          <w:color w:val="000000"/>
          <w:sz w:val="24"/>
          <w:szCs w:val="24"/>
          <w:rtl w:val="0"/>
        </w:rPr>
        <w:t xml:space="preserve"> en fecha nueve de febrero de dos mil veintidós, a través del Sistema de Acceso a la Información Mexiquense (SAIMEX), se desistió expresamente del presente Recurso de Revisión.</w:t>
      </w:r>
    </w:p>
    <w:p w:rsidR="00000000" w:rsidDel="00000000" w:rsidP="00000000" w:rsidRDefault="00000000" w:rsidRPr="00000000" w14:paraId="00000041">
      <w:pPr>
        <w:tabs>
          <w:tab w:val="left" w:pos="8647"/>
        </w:tabs>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En efecto, se aprecia que el Particular </w:t>
      </w:r>
      <w:r w:rsidDel="00000000" w:rsidR="00000000" w:rsidRPr="00000000">
        <w:rPr>
          <w:rFonts w:ascii="Palatino Linotype" w:cs="Palatino Linotype" w:eastAsia="Palatino Linotype" w:hAnsi="Palatino Linotype"/>
          <w:b w:val="1"/>
          <w:color w:val="000000"/>
          <w:sz w:val="24"/>
          <w:szCs w:val="24"/>
          <w:rtl w:val="0"/>
        </w:rPr>
        <w:t xml:space="preserve">manifestó expresamente su voluntad de desistirse del Recurso de Revisión</w:t>
      </w:r>
      <w:r w:rsidDel="00000000" w:rsidR="00000000" w:rsidRPr="00000000">
        <w:rPr>
          <w:rFonts w:ascii="Palatino Linotype" w:cs="Palatino Linotype" w:eastAsia="Palatino Linotype" w:hAnsi="Palatino Linotype"/>
          <w:sz w:val="24"/>
          <w:szCs w:val="24"/>
          <w:rtl w:val="0"/>
        </w:rPr>
        <w:t xml:space="preserve"> al rubro anotado. </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se estima que se actualiza el supuesto previsto en el artículo 192 fracción I, de la Ley de Transparencia y Acceso a la Información Pública del Estado de México y Municipios.</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tenor, resulta aplicable la Jurisprudencia número 1a./J. 65/2005, Semanario Judicial de la Federación y su Gaceta, Novena Época, Tomo XXII, julio de dos mil cinco, página ciento sesenta y uno, que establece lo siguiente:</w:t>
      </w:r>
    </w:p>
    <w:p w:rsidR="00000000" w:rsidDel="00000000" w:rsidP="00000000" w:rsidRDefault="00000000" w:rsidRPr="00000000" w14:paraId="00000044">
      <w:pPr>
        <w:spacing w:after="240" w:before="24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DESISTIMIENTO DE LA INSTANCIA. SURTE EFECTOS DESDE EL MOMENTO EN QUE SE PRESENTA EL ESCRITO CORRESPONDIENTE.</w:t>
      </w:r>
      <w:r w:rsidDel="00000000" w:rsidR="00000000" w:rsidRPr="00000000">
        <w:rPr>
          <w:rtl w:val="0"/>
        </w:rPr>
      </w:r>
    </w:p>
    <w:p w:rsidR="00000000" w:rsidDel="00000000" w:rsidP="00000000" w:rsidRDefault="00000000" w:rsidRPr="00000000" w14:paraId="00000045">
      <w:pPr>
        <w:spacing w:after="240" w:before="24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citado se pude colegir que cuando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presente un escrito de desistimiento, le hace saber a este Instituto la intención de cesar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toda vez que este Instituto constató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se desistió por la vía idónea para realizar dicha acción, a saber, por el Sistema de Acceso a la Información Mexiquense (SAIMEX), resulta procedente </w:t>
      </w:r>
      <w:r w:rsidDel="00000000" w:rsidR="00000000" w:rsidRPr="00000000">
        <w:rPr>
          <w:rFonts w:ascii="Palatino Linotype" w:cs="Palatino Linotype" w:eastAsia="Palatino Linotype" w:hAnsi="Palatino Linotype"/>
          <w:b w:val="1"/>
          <w:sz w:val="24"/>
          <w:szCs w:val="24"/>
          <w:rtl w:val="0"/>
        </w:rPr>
        <w:t xml:space="preserve">SOBRESEER </w:t>
      </w:r>
      <w:r w:rsidDel="00000000" w:rsidR="00000000" w:rsidRPr="00000000">
        <w:rPr>
          <w:rFonts w:ascii="Palatino Linotype" w:cs="Palatino Linotype" w:eastAsia="Palatino Linotype" w:hAnsi="Palatino Linotype"/>
          <w:sz w:val="24"/>
          <w:szCs w:val="24"/>
          <w:rtl w:val="0"/>
        </w:rPr>
        <w:t xml:space="preserve">el Recurso de Revisión con número </w:t>
      </w:r>
      <w:r w:rsidDel="00000000" w:rsidR="00000000" w:rsidRPr="00000000">
        <w:rPr>
          <w:rFonts w:ascii="Palatino Linotype" w:cs="Palatino Linotype" w:eastAsia="Palatino Linotype" w:hAnsi="Palatino Linotype"/>
          <w:b w:val="1"/>
          <w:sz w:val="24"/>
          <w:szCs w:val="24"/>
          <w:rtl w:val="0"/>
        </w:rPr>
        <w:t xml:space="preserve">00614/INFOEM/IP/RR/2022 </w:t>
      </w:r>
      <w:r w:rsidDel="00000000" w:rsidR="00000000" w:rsidRPr="00000000">
        <w:rPr>
          <w:rFonts w:ascii="Palatino Linotype" w:cs="Palatino Linotype" w:eastAsia="Palatino Linotype" w:hAnsi="Palatino Linotype"/>
          <w:sz w:val="24"/>
          <w:szCs w:val="24"/>
          <w:rtl w:val="0"/>
        </w:rPr>
        <w:t xml:space="preserve">al actualizarse el supuesto previsto en el artículo 192, fracción I, de la Ley de Transparencia y Acceso a la Información Pública del Estado de México y Municipios, en relación con el 186, fracción I de ese ordenamiento legal.</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w:t>
      </w:r>
      <w:r w:rsidDel="00000000" w:rsidR="00000000" w:rsidRPr="00000000">
        <w:rPr>
          <w:rFonts w:ascii="Palatino Linotype" w:cs="Palatino Linotype" w:eastAsia="Palatino Linotype" w:hAnsi="Palatino Linotype"/>
          <w:sz w:val="24"/>
          <w:szCs w:val="24"/>
          <w:highlight w:val="white"/>
          <w:rtl w:val="0"/>
        </w:rPr>
        <w:t xml:space="preserve">párrafos trigésimo, trigésimo primero y trigésimo segundo fracciones IV y V </w:t>
      </w:r>
      <w:r w:rsidDel="00000000" w:rsidR="00000000" w:rsidRPr="00000000">
        <w:rPr>
          <w:rFonts w:ascii="Palatino Linotype" w:cs="Palatino Linotype" w:eastAsia="Palatino Linotype" w:hAnsi="Palatino Linotype"/>
          <w:sz w:val="24"/>
          <w:szCs w:val="24"/>
          <w:rtl w:val="0"/>
        </w:rPr>
        <w:t xml:space="preserve">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49">
      <w:pPr>
        <w:spacing w:after="240" w:before="24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RESUELVE</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SOBRESEE</w:t>
      </w:r>
      <w:r w:rsidDel="00000000" w:rsidR="00000000" w:rsidRPr="00000000">
        <w:rPr>
          <w:rFonts w:ascii="Palatino Linotype" w:cs="Palatino Linotype" w:eastAsia="Palatino Linotype" w:hAnsi="Palatino Linotype"/>
          <w:sz w:val="24"/>
          <w:szCs w:val="24"/>
          <w:rtl w:val="0"/>
        </w:rPr>
        <w:t xml:space="preserve"> el recurso de revisión número </w:t>
      </w:r>
      <w:r w:rsidDel="00000000" w:rsidR="00000000" w:rsidRPr="00000000">
        <w:rPr>
          <w:rFonts w:ascii="Palatino Linotype" w:cs="Palatino Linotype" w:eastAsia="Palatino Linotype" w:hAnsi="Palatino Linotype"/>
          <w:b w:val="1"/>
          <w:sz w:val="24"/>
          <w:szCs w:val="24"/>
          <w:rtl w:val="0"/>
        </w:rPr>
        <w:t xml:space="preserve">00614/INFOEM/IP/RR/2022</w:t>
      </w:r>
      <w:r w:rsidDel="00000000" w:rsidR="00000000" w:rsidRPr="00000000">
        <w:rPr>
          <w:rFonts w:ascii="Palatino Linotype" w:cs="Palatino Linotype" w:eastAsia="Palatino Linotype" w:hAnsi="Palatino Linotype"/>
          <w:sz w:val="24"/>
          <w:szCs w:val="24"/>
          <w:rtl w:val="0"/>
        </w:rPr>
        <w:t xml:space="preserve">, por haberse desistido expresamente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en términos del Considerando </w:t>
      </w: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de la presente resolución.</w:t>
      </w:r>
      <w:r w:rsidDel="00000000" w:rsidR="00000000" w:rsidRPr="00000000">
        <w:rPr>
          <w:rFonts w:ascii="Palatino Linotype" w:cs="Palatino Linotype" w:eastAsia="Palatino Linotype" w:hAnsi="Palatino Linotype"/>
          <w:b w:val="1"/>
          <w:sz w:val="24"/>
          <w:szCs w:val="24"/>
          <w:rtl w:val="0"/>
        </w:rPr>
        <w:t xml:space="preserve"> </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SEGUNDO. NOTIFÍQUESE</w:t>
      </w:r>
      <w:r w:rsidDel="00000000" w:rsidR="00000000" w:rsidRPr="00000000">
        <w:rPr>
          <w:rFonts w:ascii="Palatino Linotype" w:cs="Palatino Linotype" w:eastAsia="Palatino Linotype" w:hAnsi="Palatino Linotype"/>
          <w:sz w:val="24"/>
          <w:szCs w:val="24"/>
          <w:rtl w:val="0"/>
        </w:rPr>
        <w:t xml:space="preserve"> vía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la presente resolución al Titular de la Unidad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su conocimiento. </w:t>
      </w:r>
      <w:r w:rsidDel="00000000" w:rsidR="00000000" w:rsidRPr="00000000">
        <w:rPr>
          <w:rtl w:val="0"/>
        </w:rPr>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w:t>
      </w:r>
      <w:r w:rsidDel="00000000" w:rsidR="00000000" w:rsidRPr="00000000">
        <w:rPr>
          <w:rFonts w:ascii="Palatino Linotype" w:cs="Palatino Linotype" w:eastAsia="Palatino Linotype" w:hAnsi="Palatino Linotype"/>
          <w:sz w:val="24"/>
          <w:szCs w:val="24"/>
          <w:rtl w:val="0"/>
        </w:rPr>
        <w:t xml:space="preserve">Notifíquese vía Sistema de Acceso a la Información Mexiquense (SAIMEX), 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4D">
      <w:pPr>
        <w:spacing w:after="240" w:before="24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VEINTICUATRO DE MARZO DE DOS MIL VEINTIDÓS, ANTE EL SECRETARIO TÉCNICO DEL PLENO, ALEXIS TAPIA RAMÍREZ.</w:t>
      </w:r>
      <w:r w:rsidDel="00000000" w:rsidR="00000000" w:rsidRPr="00000000">
        <w:rPr>
          <w:rtl w:val="0"/>
        </w:rPr>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i w:val="1"/>
        </w:rPr>
      </w:pPr>
      <w:r w:rsidDel="00000000" w:rsidR="00000000" w:rsidRPr="00000000">
        <w:rPr>
          <w:rtl w:val="0"/>
        </w:rPr>
      </w:r>
    </w:p>
    <w:sectPr>
      <w:headerReference r:id="rId25" w:type="default"/>
      <w:footerReference r:id="rId2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bl>
    <w:tblPr>
      <w:tblStyle w:val="Table1"/>
      <w:tblW w:w="10302.0" w:type="dxa"/>
      <w:jc w:val="left"/>
      <w:tblInd w:w="-1281.0" w:type="dxa"/>
      <w:tblLayout w:type="fixed"/>
      <w:tblLook w:val="0400"/>
    </w:tblPr>
    <w:tblGrid>
      <w:gridCol w:w="5660"/>
      <w:gridCol w:w="4642"/>
      <w:tblGridChange w:id="0">
        <w:tblGrid>
          <w:gridCol w:w="5660"/>
          <w:gridCol w:w="4642"/>
        </w:tblGrid>
      </w:tblGridChange>
    </w:tblGrid>
    <w:tr>
      <w:trPr>
        <w:cantSplit w:val="0"/>
        <w:trHeight w:val="260" w:hRule="atLeast"/>
        <w:tblHeader w:val="0"/>
      </w:trPr>
      <w:tc>
        <w:tcPr/>
        <w:p w:rsidR="00000000" w:rsidDel="00000000" w:rsidP="00000000" w:rsidRDefault="00000000" w:rsidRPr="00000000" w14:paraId="00000051">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052">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00614/INFOEM/IP/RR/2022</w:t>
          </w:r>
        </w:p>
      </w:tc>
    </w:tr>
    <w:tr>
      <w:trPr>
        <w:cantSplit w:val="0"/>
        <w:trHeight w:val="224" w:hRule="atLeast"/>
        <w:tblHeader w:val="0"/>
      </w:trPr>
      <w:tc>
        <w:tcPr/>
        <w:p w:rsidR="00000000" w:rsidDel="00000000" w:rsidP="00000000" w:rsidRDefault="00000000" w:rsidRPr="00000000" w14:paraId="00000053">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054">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055">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056">
          <w:pPr>
            <w:spacing w:after="0" w:lineRule="auto"/>
            <w:ind w:left="-495"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Ayuntamiento de Chicoloapan</w:t>
          </w:r>
        </w:p>
      </w:tc>
    </w:tr>
    <w:tr>
      <w:trPr>
        <w:cantSplit w:val="0"/>
        <w:trHeight w:val="393" w:hRule="atLeast"/>
        <w:tblHeader w:val="0"/>
      </w:trPr>
      <w:tc>
        <w:tcPr/>
        <w:p w:rsidR="00000000" w:rsidDel="00000000" w:rsidP="00000000" w:rsidRDefault="00000000" w:rsidRPr="00000000" w14:paraId="00000057">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058">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-1564639</wp:posOffset>
          </wp:positionV>
          <wp:extent cx="7867650" cy="10133330"/>
          <wp:effectExtent b="0" l="0" r="0" t="0"/>
          <wp:wrapNone/>
          <wp:docPr id="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867650" cy="101333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Roman"/>
      <w:lvlText w:val="%1."/>
      <w:lvlJc w:val="right"/>
      <w:pPr>
        <w:ind w:left="720" w:hanging="360"/>
      </w:pPr>
      <w:rPr>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720" w:hanging="360"/>
      </w:pPr>
      <w:rPr>
        <w:rFonts w:ascii="Palatino Linotype" w:cs="Palatino Linotype" w:eastAsia="Palatino Linotype" w:hAnsi="Palatino Linotype"/>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B3654"/>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B365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B3654"/>
  </w:style>
  <w:style w:type="paragraph" w:styleId="Piedepgina">
    <w:name w:val="footer"/>
    <w:basedOn w:val="Normal"/>
    <w:link w:val="PiedepginaCar"/>
    <w:uiPriority w:val="99"/>
    <w:unhideWhenUsed w:val="1"/>
    <w:rsid w:val="002B365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B3654"/>
  </w:style>
  <w:style w:type="character" w:styleId="Hipervnculo">
    <w:name w:val="Hyperlink"/>
    <w:basedOn w:val="Fuentedeprrafopredeter"/>
    <w:uiPriority w:val="99"/>
    <w:semiHidden w:val="1"/>
    <w:unhideWhenUsed w:val="1"/>
    <w:rsid w:val="0049317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493177"/>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493177"/>
  </w:style>
  <w:style w:type="character" w:styleId="apple-converted-space" w:customStyle="1">
    <w:name w:val="apple-converted-space"/>
    <w:basedOn w:val="Fuentedeprrafopredeter"/>
    <w:rsid w:val="00056530"/>
  </w:style>
  <w:style w:type="paragraph" w:styleId="Citas" w:customStyle="1">
    <w:name w:val="Citas"/>
    <w:basedOn w:val="Normal"/>
    <w:qFormat w:val="1"/>
    <w:rsid w:val="005C63C2"/>
    <w:pPr>
      <w:spacing w:before="240" w:line="360" w:lineRule="auto"/>
      <w:ind w:left="851" w:right="851"/>
      <w:jc w:val="both"/>
    </w:pPr>
    <w:rPr>
      <w:rFonts w:ascii="Palatino Linotype" w:cs="Arial" w:hAnsi="Palatino Linotype"/>
      <w:i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aimex.org.mx/saimex/solicitud/downloadAttach/1321855.page" TargetMode="External"/><Relationship Id="rId22" Type="http://schemas.openxmlformats.org/officeDocument/2006/relationships/hyperlink" Target="https://www.saimex.org.mx/saimex/solicitud/downloadAttach/1321856.page" TargetMode="External"/><Relationship Id="rId21"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saimex.org.mx/saimex/solicitud/downloadAttach/1306462.page" TargetMode="External"/><Relationship Id="rId8" Type="http://schemas.openxmlformats.org/officeDocument/2006/relationships/hyperlink" Target="https://www.saimex.org.mx/saimex/solicitud/downloadAttach/1306463.page" TargetMode="External"/><Relationship Id="rId11" Type="http://schemas.openxmlformats.org/officeDocument/2006/relationships/image" Target="media/image7.jpg"/><Relationship Id="rId10" Type="http://schemas.openxmlformats.org/officeDocument/2006/relationships/hyperlink" Target="https://www.saimex.org.mx/saimex/solicitud/downloadAttach/1306464.page" TargetMode="External"/><Relationship Id="rId13" Type="http://schemas.openxmlformats.org/officeDocument/2006/relationships/image" Target="media/image6.jpg"/><Relationship Id="rId12" Type="http://schemas.openxmlformats.org/officeDocument/2006/relationships/hyperlink" Target="https://www.saimex.org.mx/saimex/solicitud/downloadAttach/1306465.page" TargetMode="External"/><Relationship Id="rId15" Type="http://schemas.openxmlformats.org/officeDocument/2006/relationships/image" Target="media/image2.jpg"/><Relationship Id="rId14" Type="http://schemas.openxmlformats.org/officeDocument/2006/relationships/hyperlink" Target="https://www.saimex.org.mx/saimex/solicitud/downloadAttach/1306466.page" TargetMode="External"/><Relationship Id="rId17" Type="http://schemas.openxmlformats.org/officeDocument/2006/relationships/image" Target="media/image5.jpg"/><Relationship Id="rId16" Type="http://schemas.openxmlformats.org/officeDocument/2006/relationships/hyperlink" Target="https://www.saimex.org.mx/saimex/solicitud/downloadAttach/1306467.page" TargetMode="External"/><Relationship Id="rId19" Type="http://schemas.openxmlformats.org/officeDocument/2006/relationships/image" Target="media/image3.jpg"/><Relationship Id="rId18" Type="http://schemas.openxmlformats.org/officeDocument/2006/relationships/hyperlink" Target="https://www.saimex.org.mx/saimex/solicitud/downloadAttach/1306468.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YJIeeKCAEFJ4EDvZ8kiWbsNcAQ==">AMUW2mUhZYrdx3PRnb0tGxI8dE7vBO6naBEHCsdWwydNhyug8o1e5r+uX22534Ga6PMgJuwcjIa6S0kHiSU/44w5nfCoVsnBunVK7RgSk108vlpTnqdP7Flwx/wTGim025t9R4h+94RF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2022-03-16T05:56:00Z</dcterms:created>
  <dc:creator>DIANA LAURA RENDON GARCIA</dc:creator>
</cp:coreProperties>
</file>