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3F7" w:rsidRPr="00603E73" w:rsidRDefault="00F426D3">
      <w:pPr>
        <w:spacing w:before="240" w:after="240" w:line="360" w:lineRule="auto"/>
        <w:jc w:val="both"/>
        <w:rPr>
          <w:rFonts w:ascii="Palatino Linotype" w:eastAsia="Palatino Linotype" w:hAnsi="Palatino Linotype" w:cs="Palatino Linotype"/>
        </w:rPr>
      </w:pPr>
      <w:bookmarkStart w:id="0" w:name="_GoBack"/>
      <w:bookmarkEnd w:id="0"/>
      <w:r w:rsidRPr="00603E73">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veintiocho de septiembre del dos mil veintidós.</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b/>
        </w:rPr>
        <w:t>Visto</w:t>
      </w:r>
      <w:r w:rsidRPr="00603E73">
        <w:rPr>
          <w:rFonts w:ascii="Palatino Linotype" w:eastAsia="Palatino Linotype" w:hAnsi="Palatino Linotype" w:cs="Palatino Linotype"/>
        </w:rPr>
        <w:t xml:space="preserve"> el expediente relativo al recurso de revisión </w:t>
      </w:r>
      <w:r w:rsidRPr="00603E73">
        <w:rPr>
          <w:rFonts w:ascii="Palatino Linotype" w:eastAsia="Palatino Linotype" w:hAnsi="Palatino Linotype" w:cs="Palatino Linotype"/>
          <w:b/>
        </w:rPr>
        <w:t>06999/INFOEM/IP/RR/2022</w:t>
      </w:r>
      <w:r w:rsidRPr="00603E73">
        <w:rPr>
          <w:rFonts w:ascii="Palatino Linotype" w:eastAsia="Palatino Linotype" w:hAnsi="Palatino Linotype" w:cs="Palatino Linotype"/>
        </w:rPr>
        <w:t xml:space="preserve">, interpuesto por </w:t>
      </w:r>
      <w:r w:rsidRPr="00603E73">
        <w:rPr>
          <w:rFonts w:ascii="Palatino Linotype" w:eastAsia="Palatino Linotype" w:hAnsi="Palatino Linotype" w:cs="Palatino Linotype"/>
          <w:b/>
        </w:rPr>
        <w:t>un particular que no proporcionó nombre o seudónimo</w:t>
      </w:r>
      <w:r w:rsidRPr="00603E73">
        <w:rPr>
          <w:rFonts w:ascii="Palatino Linotype" w:eastAsia="Palatino Linotype" w:hAnsi="Palatino Linotype" w:cs="Palatino Linotype"/>
        </w:rPr>
        <w:t xml:space="preserve">, a quien se le denominada el </w:t>
      </w:r>
      <w:r w:rsidRPr="00603E73">
        <w:rPr>
          <w:rFonts w:ascii="Palatino Linotype" w:eastAsia="Palatino Linotype" w:hAnsi="Palatino Linotype" w:cs="Palatino Linotype"/>
          <w:b/>
        </w:rPr>
        <w:t>RECURRENTE</w:t>
      </w:r>
      <w:r w:rsidRPr="00603E73">
        <w:rPr>
          <w:rFonts w:ascii="Palatino Linotype" w:eastAsia="Palatino Linotype" w:hAnsi="Palatino Linotype" w:cs="Palatino Linotype"/>
        </w:rPr>
        <w:t xml:space="preserve">, en contra de la respuesta a su solicitud de información con número de folio </w:t>
      </w:r>
      <w:r w:rsidRPr="00603E73">
        <w:rPr>
          <w:rFonts w:ascii="Palatino Linotype" w:eastAsia="Palatino Linotype" w:hAnsi="Palatino Linotype" w:cs="Palatino Linotype"/>
          <w:b/>
        </w:rPr>
        <w:t xml:space="preserve">00144/SF/IP/2022, </w:t>
      </w:r>
      <w:r w:rsidRPr="00603E73">
        <w:rPr>
          <w:rFonts w:ascii="Palatino Linotype" w:eastAsia="Palatino Linotype" w:hAnsi="Palatino Linotype" w:cs="Palatino Linotype"/>
        </w:rPr>
        <w:t xml:space="preserve">por parte </w:t>
      </w:r>
      <w:r w:rsidRPr="00603E73">
        <w:rPr>
          <w:rFonts w:ascii="Palatino Linotype" w:eastAsia="Palatino Linotype" w:hAnsi="Palatino Linotype" w:cs="Palatino Linotype"/>
          <w:b/>
        </w:rPr>
        <w:t xml:space="preserve">de la Secretaría de Finanzas, </w:t>
      </w:r>
      <w:r w:rsidRPr="00603E73">
        <w:rPr>
          <w:rFonts w:ascii="Palatino Linotype" w:eastAsia="Palatino Linotype" w:hAnsi="Palatino Linotype" w:cs="Palatino Linotype"/>
        </w:rPr>
        <w:t xml:space="preserve">en lo sucesivo el </w:t>
      </w:r>
      <w:r w:rsidRPr="00603E73">
        <w:rPr>
          <w:rFonts w:ascii="Palatino Linotype" w:eastAsia="Palatino Linotype" w:hAnsi="Palatino Linotype" w:cs="Palatino Linotype"/>
          <w:b/>
        </w:rPr>
        <w:t xml:space="preserve">SUJETO OBLIGADO; </w:t>
      </w:r>
      <w:r w:rsidRPr="00603E73">
        <w:rPr>
          <w:rFonts w:ascii="Palatino Linotype" w:eastAsia="Palatino Linotype" w:hAnsi="Palatino Linotype" w:cs="Palatino Linotype"/>
        </w:rPr>
        <w:t>se procede a dictar la presente resolución, con base en los siguientes:</w:t>
      </w:r>
    </w:p>
    <w:p w:rsidR="009D73F7" w:rsidRPr="00603E73" w:rsidRDefault="00F426D3">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rPr>
      </w:pPr>
      <w:r w:rsidRPr="00603E73">
        <w:rPr>
          <w:rFonts w:ascii="Palatino Linotype" w:eastAsia="Palatino Linotype" w:hAnsi="Palatino Linotype" w:cs="Palatino Linotype"/>
          <w:b/>
        </w:rPr>
        <w:t>A N T E C E D E N T E S:</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b/>
        </w:rPr>
        <w:t xml:space="preserve">1. Solicitud de acceso a la información. </w:t>
      </w:r>
      <w:r w:rsidRPr="00603E73">
        <w:rPr>
          <w:rFonts w:ascii="Palatino Linotype" w:eastAsia="Palatino Linotype" w:hAnsi="Palatino Linotype" w:cs="Palatino Linotype"/>
        </w:rPr>
        <w:t xml:space="preserve">Con fecha seis de abril del dos mil veintidós, la parte </w:t>
      </w:r>
      <w:r w:rsidRPr="00603E73">
        <w:rPr>
          <w:rFonts w:ascii="Palatino Linotype" w:eastAsia="Palatino Linotype" w:hAnsi="Palatino Linotype" w:cs="Palatino Linotype"/>
          <w:b/>
        </w:rPr>
        <w:t>RECURRENTE</w:t>
      </w:r>
      <w:r w:rsidRPr="00603E73">
        <w:rPr>
          <w:rFonts w:ascii="Palatino Linotype" w:eastAsia="Palatino Linotype" w:hAnsi="Palatino Linotype" w:cs="Palatino Linotype"/>
        </w:rPr>
        <w:t xml:space="preserve"> formuló solicitud de acceso a información pública al </w:t>
      </w:r>
      <w:r w:rsidRPr="00603E73">
        <w:rPr>
          <w:rFonts w:ascii="Palatino Linotype" w:eastAsia="Palatino Linotype" w:hAnsi="Palatino Linotype" w:cs="Palatino Linotype"/>
          <w:b/>
        </w:rPr>
        <w:t>SUJETO OBLIGADO</w:t>
      </w:r>
      <w:r w:rsidRPr="00603E73">
        <w:rPr>
          <w:rFonts w:ascii="Palatino Linotype" w:eastAsia="Palatino Linotype" w:hAnsi="Palatino Linotype" w:cs="Palatino Linotype"/>
        </w:rPr>
        <w:t xml:space="preserve"> a través del Sistema de Acceso a la Información Mexiquense, en adelante </w:t>
      </w:r>
      <w:r w:rsidRPr="00603E73">
        <w:rPr>
          <w:rFonts w:ascii="Palatino Linotype" w:eastAsia="Palatino Linotype" w:hAnsi="Palatino Linotype" w:cs="Palatino Linotype"/>
          <w:b/>
        </w:rPr>
        <w:t>SAIMEX,</w:t>
      </w:r>
      <w:r w:rsidRPr="00603E73">
        <w:rPr>
          <w:rFonts w:ascii="Palatino Linotype" w:eastAsia="Palatino Linotype" w:hAnsi="Palatino Linotype" w:cs="Palatino Linotype"/>
        </w:rPr>
        <w:t xml:space="preserve"> requiriéndole lo siguiente:</w:t>
      </w:r>
    </w:p>
    <w:p w:rsidR="009D73F7" w:rsidRPr="00603E73" w:rsidRDefault="00F426D3">
      <w:pPr>
        <w:ind w:left="851" w:right="758"/>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“Le solicito amablemente información sobre los montos alcanzados por los conceptos de las tarifas de los aprovechamientos por los bienes y servicios que proporciona la Secretaría de Cultura y Turismo en cada uno de los museos mexiquense en 2018, 2019, 2020, 2021 y lo que va de 2022, ya que la secretaría de cultura y turismo aseguró que desconoce dicha información ya que lo deposita en un cuenta directa al gobierno federal a cargo de esta dependencia, de igual forma le agradecería información sobre los montos que se designan a cada museo para su funcionamiento y qué se hace con las cuotas que entran bajo el concepto de tarifas de los aprovechamientos.” (Sic)</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b/>
        </w:rPr>
        <w:t xml:space="preserve">Modalidad elegida para la entrega de la información: </w:t>
      </w:r>
      <w:r w:rsidRPr="00603E73">
        <w:rPr>
          <w:rFonts w:ascii="Palatino Linotype" w:eastAsia="Palatino Linotype" w:hAnsi="Palatino Linotype" w:cs="Palatino Linotype"/>
        </w:rPr>
        <w:t xml:space="preserve">a través del </w:t>
      </w:r>
      <w:r w:rsidRPr="00603E73">
        <w:rPr>
          <w:rFonts w:ascii="Palatino Linotype" w:eastAsia="Palatino Linotype" w:hAnsi="Palatino Linotype" w:cs="Palatino Linotype"/>
          <w:b/>
        </w:rPr>
        <w:t>SAIMEX</w:t>
      </w:r>
      <w:r w:rsidRPr="00603E73">
        <w:rPr>
          <w:rFonts w:ascii="Palatino Linotype" w:eastAsia="Palatino Linotype" w:hAnsi="Palatino Linotype" w:cs="Palatino Linotype"/>
        </w:rPr>
        <w:t>.</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b/>
        </w:rPr>
        <w:lastRenderedPageBreak/>
        <w:t xml:space="preserve">2. Respuesta. </w:t>
      </w:r>
      <w:r w:rsidRPr="00603E73">
        <w:rPr>
          <w:rFonts w:ascii="Palatino Linotype" w:eastAsia="Palatino Linotype" w:hAnsi="Palatino Linotype" w:cs="Palatino Linotype"/>
        </w:rPr>
        <w:t xml:space="preserve">Con fecha dos de mayo del dos mil veintidós el </w:t>
      </w:r>
      <w:r w:rsidRPr="00603E73">
        <w:rPr>
          <w:rFonts w:ascii="Palatino Linotype" w:eastAsia="Palatino Linotype" w:hAnsi="Palatino Linotype" w:cs="Palatino Linotype"/>
          <w:b/>
        </w:rPr>
        <w:t>SUJETO OBLIGADO</w:t>
      </w:r>
      <w:r w:rsidRPr="00603E73">
        <w:rPr>
          <w:rFonts w:ascii="Palatino Linotype" w:eastAsia="Palatino Linotype" w:hAnsi="Palatino Linotype" w:cs="Palatino Linotype"/>
        </w:rPr>
        <w:t xml:space="preserve"> envió su respuesta a la solicitud de acceso a la información a través del SAIMEX, la cual versa como sigue:</w:t>
      </w:r>
    </w:p>
    <w:p w:rsidR="009D73F7" w:rsidRPr="00603E73" w:rsidRDefault="00F426D3">
      <w:pPr>
        <w:spacing w:before="240" w:line="276" w:lineRule="auto"/>
        <w:ind w:left="851" w:right="902"/>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D73F7" w:rsidRPr="00603E73" w:rsidRDefault="00F426D3">
      <w:pPr>
        <w:spacing w:before="240" w:line="276" w:lineRule="auto"/>
        <w:ind w:left="851" w:right="902"/>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De conformidad con los artículos 3 fracción XLIV, 4, 50, 51, 53 fracciones II y VI, 150 y 163 de la Ley de Transparencia y Acceso a la Información Pública del Estado y Municipios; en atención a la solicitud de información pública registrada con el folio número 00144/SF/IP/2022, sírvase encontrar en archivo adjunto el oficio número 20703001030200L/131/2022 emitido por el servidor público habilitado suplente de la Dirección General de Recaudación, en el que se detalla lo referente a la solicitud mencionada.</w:t>
      </w:r>
    </w:p>
    <w:p w:rsidR="009D73F7" w:rsidRPr="00603E73" w:rsidRDefault="00F426D3">
      <w:pPr>
        <w:spacing w:line="276" w:lineRule="auto"/>
        <w:ind w:left="851" w:right="902"/>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ATENTAMENTE</w:t>
      </w:r>
    </w:p>
    <w:p w:rsidR="009D73F7" w:rsidRPr="00603E73" w:rsidRDefault="00F426D3">
      <w:pPr>
        <w:spacing w:line="276" w:lineRule="auto"/>
        <w:ind w:left="851" w:right="902"/>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sz w:val="22"/>
          <w:szCs w:val="22"/>
        </w:rPr>
        <w:t>L</w:t>
      </w:r>
      <w:r w:rsidRPr="00603E73">
        <w:rPr>
          <w:rFonts w:ascii="Palatino Linotype" w:eastAsia="Palatino Linotype" w:hAnsi="Palatino Linotype" w:cs="Palatino Linotype"/>
          <w:i/>
          <w:sz w:val="22"/>
          <w:szCs w:val="22"/>
        </w:rPr>
        <w:t xml:space="preserve">ic. Rodolfo Esteban </w:t>
      </w:r>
      <w:proofErr w:type="spellStart"/>
      <w:r w:rsidRPr="00603E73">
        <w:rPr>
          <w:rFonts w:ascii="Palatino Linotype" w:eastAsia="Palatino Linotype" w:hAnsi="Palatino Linotype" w:cs="Palatino Linotype"/>
          <w:i/>
          <w:sz w:val="22"/>
          <w:szCs w:val="22"/>
        </w:rPr>
        <w:t>Rivadeneyra</w:t>
      </w:r>
      <w:proofErr w:type="spellEnd"/>
      <w:r w:rsidRPr="00603E73">
        <w:rPr>
          <w:rFonts w:ascii="Palatino Linotype" w:eastAsia="Palatino Linotype" w:hAnsi="Palatino Linotype" w:cs="Palatino Linotype"/>
          <w:i/>
          <w:sz w:val="22"/>
          <w:szCs w:val="22"/>
        </w:rPr>
        <w:t xml:space="preserve"> Hernández” (Sic)</w:t>
      </w:r>
    </w:p>
    <w:p w:rsidR="009D73F7" w:rsidRPr="00603E73" w:rsidRDefault="009D73F7">
      <w:pPr>
        <w:ind w:right="902"/>
        <w:jc w:val="both"/>
        <w:rPr>
          <w:rFonts w:ascii="Palatino Linotype" w:eastAsia="Palatino Linotype" w:hAnsi="Palatino Linotype" w:cs="Palatino Linotype"/>
          <w:i/>
        </w:rPr>
      </w:pP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El </w:t>
      </w:r>
      <w:r w:rsidRPr="00603E73">
        <w:rPr>
          <w:rFonts w:ascii="Palatino Linotype" w:eastAsia="Palatino Linotype" w:hAnsi="Palatino Linotype" w:cs="Palatino Linotype"/>
          <w:b/>
        </w:rPr>
        <w:t>SUJETO OBLIGADO</w:t>
      </w:r>
      <w:r w:rsidRPr="00603E73">
        <w:rPr>
          <w:rFonts w:ascii="Palatino Linotype" w:eastAsia="Palatino Linotype" w:hAnsi="Palatino Linotype" w:cs="Palatino Linotype"/>
        </w:rPr>
        <w:t>, adjuntó a su respuesta el archivo electrónico denominado “</w:t>
      </w:r>
      <w:hyperlink r:id="rId8">
        <w:r w:rsidRPr="00603E73">
          <w:rPr>
            <w:rFonts w:ascii="Palatino Linotype" w:eastAsia="Palatino Linotype" w:hAnsi="Palatino Linotype" w:cs="Palatino Linotype"/>
            <w:b/>
          </w:rPr>
          <w:t xml:space="preserve"> </w:t>
        </w:r>
      </w:hyperlink>
      <w:hyperlink r:id="rId9">
        <w:r w:rsidRPr="00603E73">
          <w:rPr>
            <w:rFonts w:ascii="Palatino Linotype" w:eastAsia="Palatino Linotype" w:hAnsi="Palatino Linotype" w:cs="Palatino Linotype"/>
            <w:b/>
          </w:rPr>
          <w:t>144 DG.Recaudación.pdf</w:t>
        </w:r>
      </w:hyperlink>
      <w:r w:rsidRPr="00603E73">
        <w:rPr>
          <w:rFonts w:ascii="Palatino Linotype" w:eastAsia="Palatino Linotype" w:hAnsi="Palatino Linotype" w:cs="Palatino Linotype"/>
          <w:b/>
        </w:rPr>
        <w:t>”;</w:t>
      </w:r>
      <w:r w:rsidRPr="00603E73">
        <w:rPr>
          <w:rFonts w:ascii="Palatino Linotype" w:eastAsia="Palatino Linotype" w:hAnsi="Palatino Linotype" w:cs="Palatino Linotype"/>
        </w:rPr>
        <w:t xml:space="preserve"> el cual contiene oficio número 20703001030200L/131/2022, por medio del cual el Subdirector de Normas y Procedimientos y servidor público habilitado suplente de la Dirección General de Recaudación, informó al Titular de la Unidad de Transparencia, ambos de la Secretaría de Finanzas, los montos alcanzados respecto de los aprovechamientos por los bienes y servicios que proporciona la Secretaría de Cultura y Turismo de Museos Mexiquenses de los años 2018, 2019, 2020, 2021 y de lo que va del año 2022, siendo el siguiente:</w:t>
      </w: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 </w:t>
      </w:r>
    </w:p>
    <w:p w:rsidR="009D73F7" w:rsidRPr="00603E73" w:rsidRDefault="009D73F7">
      <w:pPr>
        <w:spacing w:line="360" w:lineRule="auto"/>
        <w:jc w:val="both"/>
      </w:pPr>
    </w:p>
    <w:p w:rsidR="009D73F7" w:rsidRPr="00603E73" w:rsidRDefault="009D73F7">
      <w:pPr>
        <w:spacing w:line="360" w:lineRule="auto"/>
        <w:jc w:val="both"/>
        <w:rPr>
          <w:rFonts w:ascii="Palatino Linotype" w:eastAsia="Palatino Linotype" w:hAnsi="Palatino Linotype" w:cs="Palatino Linotype"/>
        </w:rPr>
      </w:pPr>
    </w:p>
    <w:p w:rsidR="009D73F7" w:rsidRPr="00603E73" w:rsidRDefault="00F426D3">
      <w:pPr>
        <w:spacing w:line="360" w:lineRule="auto"/>
        <w:jc w:val="both"/>
        <w:rPr>
          <w:rFonts w:ascii="Palatino Linotype" w:eastAsia="Palatino Linotype" w:hAnsi="Palatino Linotype" w:cs="Palatino Linotype"/>
          <w:b/>
        </w:rPr>
      </w:pPr>
      <w:r w:rsidRPr="00603E73">
        <w:rPr>
          <w:noProof/>
          <w:lang w:val="es-MX" w:eastAsia="es-MX"/>
        </w:rPr>
        <w:drawing>
          <wp:inline distT="0" distB="0" distL="0" distR="0">
            <wp:extent cx="5497943" cy="3781666"/>
            <wp:effectExtent l="0" t="0" r="0" b="0"/>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34890" t="15284" r="18828" b="9516"/>
                    <a:stretch>
                      <a:fillRect/>
                    </a:stretch>
                  </pic:blipFill>
                  <pic:spPr>
                    <a:xfrm>
                      <a:off x="0" y="0"/>
                      <a:ext cx="5497943" cy="3781666"/>
                    </a:xfrm>
                    <a:prstGeom prst="rect">
                      <a:avLst/>
                    </a:prstGeom>
                    <a:ln/>
                  </pic:spPr>
                </pic:pic>
              </a:graphicData>
            </a:graphic>
          </wp:inline>
        </w:drawing>
      </w:r>
      <w:r w:rsidRPr="00603E73">
        <w:rPr>
          <w:noProof/>
          <w:lang w:val="es-MX" w:eastAsia="es-MX"/>
        </w:rPr>
        <mc:AlternateContent>
          <mc:Choice Requires="wpg">
            <w:drawing>
              <wp:anchor distT="0" distB="0" distL="114300" distR="114300" simplePos="0" relativeHeight="251658240" behindDoc="0" locked="0" layoutInCell="1" hidden="0" allowOverlap="1">
                <wp:simplePos x="0" y="0"/>
                <wp:positionH relativeFrom="column">
                  <wp:posOffset>203200</wp:posOffset>
                </wp:positionH>
                <wp:positionV relativeFrom="paragraph">
                  <wp:posOffset>1854200</wp:posOffset>
                </wp:positionV>
                <wp:extent cx="4912290" cy="800010"/>
                <wp:effectExtent l="0" t="0" r="0" b="0"/>
                <wp:wrapNone/>
                <wp:docPr id="47" name="Rectángulo 47"/>
                <wp:cNvGraphicFramePr/>
                <a:graphic xmlns:a="http://schemas.openxmlformats.org/drawingml/2006/main">
                  <a:graphicData uri="http://schemas.microsoft.com/office/word/2010/wordprocessingShape">
                    <wps:wsp>
                      <wps:cNvSpPr/>
                      <wps:spPr>
                        <a:xfrm>
                          <a:off x="2905730" y="3395870"/>
                          <a:ext cx="4880540" cy="768260"/>
                        </a:xfrm>
                        <a:prstGeom prst="rect">
                          <a:avLst/>
                        </a:prstGeom>
                        <a:noFill/>
                        <a:ln w="31750" cap="flat" cmpd="sng">
                          <a:solidFill>
                            <a:srgbClr val="42719B"/>
                          </a:solidFill>
                          <a:prstDash val="solid"/>
                          <a:miter lim="800000"/>
                          <a:headEnd type="none" w="sm" len="sm"/>
                          <a:tailEnd type="none" w="sm" len="sm"/>
                        </a:ln>
                      </wps:spPr>
                      <wps:txbx>
                        <w:txbxContent>
                          <w:p w:rsidR="009D73F7" w:rsidRDefault="009D73F7">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203200</wp:posOffset>
                </wp:positionH>
                <wp:positionV relativeFrom="paragraph">
                  <wp:posOffset>1854200</wp:posOffset>
                </wp:positionV>
                <wp:extent cx="4912290" cy="800010"/>
                <wp:effectExtent b="0" l="0" r="0" t="0"/>
                <wp:wrapNone/>
                <wp:docPr id="47"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4912290" cy="800010"/>
                        </a:xfrm>
                        <a:prstGeom prst="rect"/>
                        <a:ln/>
                      </pic:spPr>
                    </pic:pic>
                  </a:graphicData>
                </a:graphic>
              </wp:anchor>
            </w:drawing>
          </mc:Fallback>
        </mc:AlternateContent>
      </w:r>
    </w:p>
    <w:p w:rsidR="009D73F7" w:rsidRPr="00603E73" w:rsidRDefault="009D73F7">
      <w:pPr>
        <w:spacing w:line="360" w:lineRule="auto"/>
        <w:jc w:val="both"/>
        <w:rPr>
          <w:rFonts w:ascii="Palatino Linotype" w:eastAsia="Palatino Linotype" w:hAnsi="Palatino Linotype" w:cs="Palatino Linotype"/>
          <w:b/>
        </w:rPr>
      </w:pP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b/>
        </w:rPr>
        <w:t xml:space="preserve">3. Interposición del recurso de revisión. </w:t>
      </w:r>
      <w:r w:rsidRPr="00603E73">
        <w:rPr>
          <w:rFonts w:ascii="Palatino Linotype" w:eastAsia="Palatino Linotype" w:hAnsi="Palatino Linotype" w:cs="Palatino Linotype"/>
        </w:rPr>
        <w:t>Inconforme</w:t>
      </w:r>
      <w:r w:rsidRPr="00603E73">
        <w:rPr>
          <w:rFonts w:ascii="Palatino Linotype" w:eastAsia="Palatino Linotype" w:hAnsi="Palatino Linotype" w:cs="Palatino Linotype"/>
          <w:sz w:val="36"/>
          <w:szCs w:val="36"/>
        </w:rPr>
        <w:t xml:space="preserve"> </w:t>
      </w:r>
      <w:r w:rsidRPr="00603E73">
        <w:rPr>
          <w:rFonts w:ascii="Palatino Linotype" w:eastAsia="Palatino Linotype" w:hAnsi="Palatino Linotype" w:cs="Palatino Linotype"/>
        </w:rPr>
        <w:t xml:space="preserve">el solicitante con la respuesta del </w:t>
      </w:r>
      <w:r w:rsidRPr="00603E73">
        <w:rPr>
          <w:rFonts w:ascii="Palatino Linotype" w:eastAsia="Palatino Linotype" w:hAnsi="Palatino Linotype" w:cs="Palatino Linotype"/>
          <w:b/>
        </w:rPr>
        <w:t>SUJETO OBLIGADO</w:t>
      </w:r>
      <w:r w:rsidRPr="00603E73">
        <w:rPr>
          <w:rFonts w:ascii="Palatino Linotype" w:eastAsia="Palatino Linotype" w:hAnsi="Palatino Linotype" w:cs="Palatino Linotype"/>
        </w:rPr>
        <w:t xml:space="preserve"> interpuso el recurso de revisión a través del SAIMEX en fecha seis de mayo del dos mil veintidós, a través del cual expresó lo siguiente:</w:t>
      </w:r>
    </w:p>
    <w:p w:rsidR="009D73F7" w:rsidRPr="00603E73" w:rsidRDefault="009D73F7">
      <w:pPr>
        <w:spacing w:line="360" w:lineRule="auto"/>
        <w:jc w:val="both"/>
        <w:rPr>
          <w:rFonts w:ascii="Palatino Linotype" w:eastAsia="Palatino Linotype" w:hAnsi="Palatino Linotype" w:cs="Palatino Linotype"/>
        </w:rPr>
      </w:pPr>
    </w:p>
    <w:p w:rsidR="009D73F7" w:rsidRPr="00603E73" w:rsidRDefault="00F426D3">
      <w:pPr>
        <w:spacing w:line="360" w:lineRule="auto"/>
        <w:rPr>
          <w:rFonts w:ascii="Palatino Linotype" w:eastAsia="Palatino Linotype" w:hAnsi="Palatino Linotype" w:cs="Palatino Linotype"/>
          <w:b/>
        </w:rPr>
      </w:pPr>
      <w:r w:rsidRPr="00603E73">
        <w:rPr>
          <w:rFonts w:ascii="Palatino Linotype" w:eastAsia="Palatino Linotype" w:hAnsi="Palatino Linotype" w:cs="Palatino Linotype"/>
          <w:b/>
        </w:rPr>
        <w:t>a) Acto impugnado.</w:t>
      </w:r>
    </w:p>
    <w:p w:rsidR="009D73F7" w:rsidRPr="00603E73" w:rsidRDefault="00F426D3">
      <w:pPr>
        <w:spacing w:after="240"/>
        <w:ind w:left="851" w:right="900"/>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“Respondió de forma incompleta” (Sic)</w:t>
      </w:r>
    </w:p>
    <w:p w:rsidR="009D73F7" w:rsidRPr="00603E73" w:rsidRDefault="00F426D3">
      <w:pPr>
        <w:spacing w:line="360" w:lineRule="auto"/>
        <w:jc w:val="both"/>
        <w:rPr>
          <w:rFonts w:ascii="Palatino Linotype" w:eastAsia="Palatino Linotype" w:hAnsi="Palatino Linotype" w:cs="Palatino Linotype"/>
          <w:b/>
        </w:rPr>
      </w:pPr>
      <w:r w:rsidRPr="00603E73">
        <w:rPr>
          <w:rFonts w:ascii="Palatino Linotype" w:eastAsia="Palatino Linotype" w:hAnsi="Palatino Linotype" w:cs="Palatino Linotype"/>
          <w:b/>
        </w:rPr>
        <w:t>b) Motivos de inconformidad.</w:t>
      </w:r>
    </w:p>
    <w:p w:rsidR="009D73F7" w:rsidRPr="00603E73" w:rsidRDefault="00F426D3">
      <w:pPr>
        <w:spacing w:after="240"/>
        <w:ind w:left="851" w:right="900"/>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“No respondió nada referente a qué se hace con el recurso que ingresa al gobierno bajo el concepto de tarifas de aprovechamiento” (Sic)</w:t>
      </w:r>
    </w:p>
    <w:p w:rsidR="009D73F7" w:rsidRPr="00603E73" w:rsidRDefault="00F426D3">
      <w:pPr>
        <w:spacing w:before="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b/>
        </w:rPr>
        <w:t xml:space="preserve">4. Turno. </w:t>
      </w:r>
      <w:r w:rsidRPr="00603E7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w:t>
      </w:r>
      <w:r w:rsidRPr="00603E73">
        <w:rPr>
          <w:rFonts w:ascii="Palatino Linotype" w:eastAsia="Palatino Linotype" w:hAnsi="Palatino Linotype" w:cs="Palatino Linotype"/>
        </w:rPr>
        <w:lastRenderedPageBreak/>
        <w:t xml:space="preserve">revisión número </w:t>
      </w:r>
      <w:r w:rsidRPr="00603E73">
        <w:rPr>
          <w:rFonts w:ascii="Palatino Linotype" w:eastAsia="Palatino Linotype" w:hAnsi="Palatino Linotype" w:cs="Palatino Linotype"/>
          <w:b/>
        </w:rPr>
        <w:t xml:space="preserve">06999/INFOEM/IP/RR/2022 </w:t>
      </w:r>
      <w:r w:rsidRPr="00603E73">
        <w:rPr>
          <w:rFonts w:ascii="Palatino Linotype" w:eastAsia="Palatino Linotype" w:hAnsi="Palatino Linotype" w:cs="Palatino Linotype"/>
        </w:rPr>
        <w:t>se turnó</w:t>
      </w:r>
      <w:r w:rsidRPr="00603E73">
        <w:rPr>
          <w:rFonts w:ascii="Palatino Linotype" w:eastAsia="Palatino Linotype" w:hAnsi="Palatino Linotype" w:cs="Palatino Linotype"/>
          <w:b/>
        </w:rPr>
        <w:t xml:space="preserve"> </w:t>
      </w:r>
      <w:r w:rsidRPr="00603E73">
        <w:rPr>
          <w:rFonts w:ascii="Palatino Linotype" w:eastAsia="Palatino Linotype" w:hAnsi="Palatino Linotype" w:cs="Palatino Linotype"/>
        </w:rPr>
        <w:t xml:space="preserve">por el sistema electrónico del Instituto de Transparencia, Acceso a la Información Pública y Protección de Datos Personales del Estado de México y Municipios, a la Comisionada </w:t>
      </w:r>
      <w:r w:rsidRPr="00603E73">
        <w:rPr>
          <w:rFonts w:ascii="Palatino Linotype" w:eastAsia="Palatino Linotype" w:hAnsi="Palatino Linotype" w:cs="Palatino Linotype"/>
          <w:b/>
        </w:rPr>
        <w:t>Guadalupe Ramírez Peña,</w:t>
      </w:r>
      <w:r w:rsidRPr="00603E73">
        <w:rPr>
          <w:rFonts w:ascii="Palatino Linotype" w:eastAsia="Palatino Linotype" w:hAnsi="Palatino Linotype" w:cs="Palatino Linotype"/>
        </w:rPr>
        <w:t xml:space="preserve"> para su análisis, estudio, elaboración del proyecto y presentación ante el Pleno de este Instituto.</w:t>
      </w:r>
    </w:p>
    <w:p w:rsidR="009D73F7" w:rsidRPr="00603E73" w:rsidRDefault="009D73F7">
      <w:pPr>
        <w:spacing w:line="360" w:lineRule="auto"/>
        <w:jc w:val="both"/>
        <w:rPr>
          <w:rFonts w:ascii="Palatino Linotype" w:eastAsia="Palatino Linotype" w:hAnsi="Palatino Linotype" w:cs="Palatino Linotype"/>
        </w:rPr>
      </w:pPr>
    </w:p>
    <w:p w:rsidR="009D73F7" w:rsidRPr="00603E73" w:rsidRDefault="00F426D3">
      <w:pPr>
        <w:spacing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b/>
        </w:rPr>
        <w:t xml:space="preserve">5. Admisión del recurso de revisión: </w:t>
      </w:r>
      <w:r w:rsidRPr="00603E73">
        <w:rPr>
          <w:rFonts w:ascii="Palatino Linotype" w:eastAsia="Palatino Linotype" w:hAnsi="Palatino Linotype" w:cs="Palatino Linotype"/>
        </w:rPr>
        <w:t xml:space="preserve">En fecha once de mayo del dos mil veintidós,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9D73F7" w:rsidRPr="00603E73" w:rsidRDefault="00F426D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b/>
        </w:rPr>
        <w:t>6. Manifestaciones</w:t>
      </w:r>
      <w:r w:rsidRPr="00603E73">
        <w:rPr>
          <w:rFonts w:ascii="Palatino Linotype" w:eastAsia="Palatino Linotype" w:hAnsi="Palatino Linotype" w:cs="Palatino Linotype"/>
        </w:rPr>
        <w:t xml:space="preserve">: De las constancias que integran el expediente en que se actúan se advierte que el </w:t>
      </w:r>
      <w:r w:rsidRPr="00603E73">
        <w:rPr>
          <w:rFonts w:ascii="Palatino Linotype" w:eastAsia="Palatino Linotype" w:hAnsi="Palatino Linotype" w:cs="Palatino Linotype"/>
          <w:b/>
        </w:rPr>
        <w:t>RECURRENTE</w:t>
      </w:r>
      <w:r w:rsidRPr="00603E73">
        <w:rPr>
          <w:rFonts w:ascii="Palatino Linotype" w:eastAsia="Palatino Linotype" w:hAnsi="Palatino Linotype" w:cs="Palatino Linotype"/>
        </w:rPr>
        <w:t xml:space="preserve"> fue omiso en ofrecer sus alegatos.</w:t>
      </w: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Por su parte, el </w:t>
      </w:r>
      <w:r w:rsidRPr="00603E73">
        <w:rPr>
          <w:rFonts w:ascii="Palatino Linotype" w:eastAsia="Palatino Linotype" w:hAnsi="Palatino Linotype" w:cs="Palatino Linotype"/>
          <w:b/>
        </w:rPr>
        <w:t>SUJETO OBLIGADO</w:t>
      </w:r>
      <w:r w:rsidRPr="00603E73">
        <w:rPr>
          <w:rFonts w:ascii="Palatino Linotype" w:eastAsia="Palatino Linotype" w:hAnsi="Palatino Linotype" w:cs="Palatino Linotype"/>
        </w:rPr>
        <w:t xml:space="preserve"> en fecha diecinueve de mayo del dos mil veintidós, remite en el apartado de manifestaciones del SAIMEX el archivo electrónico denominado: </w:t>
      </w:r>
    </w:p>
    <w:p w:rsidR="009D73F7" w:rsidRPr="00603E73" w:rsidRDefault="009D73F7">
      <w:pPr>
        <w:spacing w:line="360" w:lineRule="auto"/>
        <w:jc w:val="both"/>
        <w:rPr>
          <w:rFonts w:ascii="Palatino Linotype" w:eastAsia="Palatino Linotype" w:hAnsi="Palatino Linotype" w:cs="Palatino Linotype"/>
        </w:rPr>
      </w:pPr>
    </w:p>
    <w:p w:rsidR="009D73F7" w:rsidRPr="00603E73" w:rsidRDefault="00FF0943">
      <w:pPr>
        <w:spacing w:line="360" w:lineRule="auto"/>
        <w:jc w:val="both"/>
        <w:rPr>
          <w:rFonts w:ascii="Palatino Linotype" w:eastAsia="Palatino Linotype" w:hAnsi="Palatino Linotype" w:cs="Palatino Linotype"/>
        </w:rPr>
      </w:pPr>
      <w:hyperlink r:id="rId12">
        <w:r w:rsidR="00F426D3" w:rsidRPr="00603E73">
          <w:rPr>
            <w:rFonts w:ascii="Palatino Linotype" w:eastAsia="Palatino Linotype" w:hAnsi="Palatino Linotype" w:cs="Palatino Linotype"/>
            <w:b/>
          </w:rPr>
          <w:t>“RR 06999-2022 DGR.pdf</w:t>
        </w:r>
      </w:hyperlink>
      <w:r w:rsidR="00F426D3" w:rsidRPr="00603E73">
        <w:rPr>
          <w:rFonts w:ascii="Palatino Linotype" w:eastAsia="Palatino Linotype" w:hAnsi="Palatino Linotype" w:cs="Palatino Linotype"/>
          <w:b/>
        </w:rPr>
        <w:t>”,</w:t>
      </w:r>
      <w:r w:rsidR="00F426D3" w:rsidRPr="00603E73">
        <w:rPr>
          <w:rFonts w:ascii="Palatino Linotype" w:eastAsia="Palatino Linotype" w:hAnsi="Palatino Linotype" w:cs="Palatino Linotype"/>
        </w:rPr>
        <w:t xml:space="preserve"> el cual contiene un similar al documento remitido por el </w:t>
      </w:r>
      <w:r w:rsidR="00F426D3" w:rsidRPr="00603E73">
        <w:rPr>
          <w:rFonts w:ascii="Palatino Linotype" w:eastAsia="Palatino Linotype" w:hAnsi="Palatino Linotype" w:cs="Palatino Linotype"/>
          <w:b/>
        </w:rPr>
        <w:t>SUJETO OBLIGADO</w:t>
      </w:r>
      <w:r w:rsidR="00F426D3" w:rsidRPr="00603E73">
        <w:rPr>
          <w:rFonts w:ascii="Palatino Linotype" w:eastAsia="Palatino Linotype" w:hAnsi="Palatino Linotype" w:cs="Palatino Linotype"/>
        </w:rPr>
        <w:t xml:space="preserve"> en respuesta, con la diferencia que señaló que sobre los montos que se designan a cada museo para su funcionamiento y que se hace con las cuotas que entran bajo el concepto de tarifas de los aprovechamientos, comentó que el área no puede atender su petición, debido a que no cuenta con dicha información, como se observa a continuación:</w:t>
      </w:r>
    </w:p>
    <w:p w:rsidR="009D73F7" w:rsidRPr="00603E73" w:rsidRDefault="009D73F7">
      <w:pPr>
        <w:spacing w:line="360" w:lineRule="auto"/>
        <w:jc w:val="both"/>
      </w:pPr>
    </w:p>
    <w:p w:rsidR="009D73F7" w:rsidRPr="00603E73" w:rsidRDefault="00F426D3">
      <w:pPr>
        <w:spacing w:line="360" w:lineRule="auto"/>
        <w:jc w:val="both"/>
        <w:rPr>
          <w:rFonts w:ascii="Palatino Linotype" w:eastAsia="Palatino Linotype" w:hAnsi="Palatino Linotype" w:cs="Palatino Linotype"/>
        </w:rPr>
      </w:pPr>
      <w:r w:rsidRPr="00603E73">
        <w:rPr>
          <w:noProof/>
          <w:lang w:val="es-MX" w:eastAsia="es-MX"/>
        </w:rPr>
        <w:lastRenderedPageBreak/>
        <w:drawing>
          <wp:inline distT="0" distB="0" distL="0" distR="0">
            <wp:extent cx="5338351" cy="3836393"/>
            <wp:effectExtent l="0" t="0" r="0" b="0"/>
            <wp:docPr id="5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l="38693" t="12617" r="23018" b="7731"/>
                    <a:stretch>
                      <a:fillRect/>
                    </a:stretch>
                  </pic:blipFill>
                  <pic:spPr>
                    <a:xfrm>
                      <a:off x="0" y="0"/>
                      <a:ext cx="5338351" cy="3836393"/>
                    </a:xfrm>
                    <a:prstGeom prst="rect">
                      <a:avLst/>
                    </a:prstGeom>
                    <a:ln/>
                  </pic:spPr>
                </pic:pic>
              </a:graphicData>
            </a:graphic>
          </wp:inline>
        </w:drawing>
      </w:r>
    </w:p>
    <w:p w:rsidR="009D73F7" w:rsidRPr="00603E73" w:rsidRDefault="009D73F7">
      <w:pPr>
        <w:spacing w:line="360" w:lineRule="auto"/>
        <w:jc w:val="both"/>
        <w:rPr>
          <w:rFonts w:ascii="Palatino Linotype" w:eastAsia="Palatino Linotype" w:hAnsi="Palatino Linotype" w:cs="Palatino Linotype"/>
        </w:rPr>
      </w:pP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b/>
        </w:rPr>
        <w:t>“</w:t>
      </w:r>
      <w:hyperlink r:id="rId14">
        <w:r w:rsidRPr="00603E73">
          <w:rPr>
            <w:rFonts w:ascii="Palatino Linotype" w:eastAsia="Palatino Linotype" w:hAnsi="Palatino Linotype" w:cs="Palatino Linotype"/>
            <w:b/>
          </w:rPr>
          <w:t>Informe Justificado RR 06999-2022.pdf</w:t>
        </w:r>
      </w:hyperlink>
      <w:r w:rsidRPr="00603E73">
        <w:rPr>
          <w:rFonts w:ascii="Palatino Linotype" w:eastAsia="Palatino Linotype" w:hAnsi="Palatino Linotype" w:cs="Palatino Linotype"/>
        </w:rPr>
        <w:t xml:space="preserve"> ”, el cual contiene el informe justificado de la Secretaría de Finanzas, a través del cual ratificó la respuesta inicial y lo señalado en el párrafo anterior, como se observa a continuación:</w:t>
      </w: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 </w:t>
      </w:r>
      <w:r w:rsidRPr="00603E73">
        <w:rPr>
          <w:noProof/>
          <w:lang w:val="es-MX" w:eastAsia="es-MX"/>
        </w:rPr>
        <mc:AlternateContent>
          <mc:Choice Requires="wpg">
            <w:drawing>
              <wp:anchor distT="0" distB="0" distL="114300" distR="114300" simplePos="0" relativeHeight="251659264" behindDoc="0" locked="0" layoutInCell="1" hidden="0" allowOverlap="1">
                <wp:simplePos x="0" y="0"/>
                <wp:positionH relativeFrom="column">
                  <wp:posOffset>101601</wp:posOffset>
                </wp:positionH>
                <wp:positionV relativeFrom="paragraph">
                  <wp:posOffset>38100</wp:posOffset>
                </wp:positionV>
                <wp:extent cx="5448158" cy="2309173"/>
                <wp:effectExtent l="0" t="0" r="0" b="0"/>
                <wp:wrapNone/>
                <wp:docPr id="46" name="Conector recto de flecha 46"/>
                <wp:cNvGraphicFramePr/>
                <a:graphic xmlns:a="http://schemas.openxmlformats.org/drawingml/2006/main">
                  <a:graphicData uri="http://schemas.microsoft.com/office/word/2010/wordprocessingShape">
                    <wps:wsp>
                      <wps:cNvCnPr/>
                      <wps:spPr>
                        <a:xfrm>
                          <a:off x="2626684" y="2630176"/>
                          <a:ext cx="5438633" cy="2299648"/>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101601</wp:posOffset>
                </wp:positionH>
                <wp:positionV relativeFrom="paragraph">
                  <wp:posOffset>38100</wp:posOffset>
                </wp:positionV>
                <wp:extent cx="5448158" cy="2309173"/>
                <wp:effectExtent b="0" l="0" r="0" t="0"/>
                <wp:wrapNone/>
                <wp:docPr id="46"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5448158" cy="2309173"/>
                        </a:xfrm>
                        <a:prstGeom prst="rect"/>
                        <a:ln/>
                      </pic:spPr>
                    </pic:pic>
                  </a:graphicData>
                </a:graphic>
              </wp:anchor>
            </w:drawing>
          </mc:Fallback>
        </mc:AlternateContent>
      </w:r>
    </w:p>
    <w:p w:rsidR="009D73F7" w:rsidRPr="00603E73" w:rsidRDefault="009D73F7">
      <w:pPr>
        <w:spacing w:line="360" w:lineRule="auto"/>
        <w:jc w:val="both"/>
        <w:rPr>
          <w:rFonts w:ascii="Palatino Linotype" w:eastAsia="Palatino Linotype" w:hAnsi="Palatino Linotype" w:cs="Palatino Linotype"/>
        </w:rPr>
      </w:pPr>
    </w:p>
    <w:p w:rsidR="009D73F7" w:rsidRPr="00603E73" w:rsidRDefault="009D73F7">
      <w:pPr>
        <w:spacing w:line="360" w:lineRule="auto"/>
        <w:jc w:val="both"/>
        <w:rPr>
          <w:rFonts w:ascii="Palatino Linotype" w:eastAsia="Palatino Linotype" w:hAnsi="Palatino Linotype" w:cs="Palatino Linotype"/>
        </w:rPr>
      </w:pPr>
    </w:p>
    <w:p w:rsidR="009D73F7" w:rsidRPr="00603E73" w:rsidRDefault="009D73F7">
      <w:pPr>
        <w:spacing w:line="360" w:lineRule="auto"/>
        <w:jc w:val="both"/>
        <w:rPr>
          <w:rFonts w:ascii="Palatino Linotype" w:eastAsia="Palatino Linotype" w:hAnsi="Palatino Linotype" w:cs="Palatino Linotype"/>
        </w:rPr>
      </w:pPr>
    </w:p>
    <w:p w:rsidR="009D73F7" w:rsidRPr="00603E73" w:rsidRDefault="009D73F7">
      <w:pPr>
        <w:spacing w:line="360" w:lineRule="auto"/>
        <w:jc w:val="both"/>
        <w:rPr>
          <w:rFonts w:ascii="Palatino Linotype" w:eastAsia="Palatino Linotype" w:hAnsi="Palatino Linotype" w:cs="Palatino Linotype"/>
        </w:rPr>
      </w:pPr>
    </w:p>
    <w:p w:rsidR="009D73F7" w:rsidRPr="00603E73" w:rsidRDefault="009D73F7">
      <w:pPr>
        <w:spacing w:line="360" w:lineRule="auto"/>
        <w:jc w:val="both"/>
        <w:rPr>
          <w:rFonts w:ascii="Palatino Linotype" w:eastAsia="Palatino Linotype" w:hAnsi="Palatino Linotype" w:cs="Palatino Linotype"/>
        </w:rPr>
      </w:pPr>
    </w:p>
    <w:p w:rsidR="009D73F7" w:rsidRPr="00603E73" w:rsidRDefault="009D73F7">
      <w:pPr>
        <w:spacing w:line="360" w:lineRule="auto"/>
        <w:jc w:val="both"/>
      </w:pPr>
    </w:p>
    <w:p w:rsidR="009D73F7" w:rsidRPr="00603E73" w:rsidRDefault="00F426D3">
      <w:pPr>
        <w:spacing w:line="360" w:lineRule="auto"/>
        <w:jc w:val="both"/>
      </w:pPr>
      <w:r w:rsidRPr="00603E73">
        <w:rPr>
          <w:noProof/>
          <w:lang w:val="es-MX" w:eastAsia="es-MX"/>
        </w:rPr>
        <w:lastRenderedPageBreak/>
        <w:drawing>
          <wp:inline distT="0" distB="0" distL="0" distR="0">
            <wp:extent cx="5274466" cy="7333905"/>
            <wp:effectExtent l="0" t="0" r="0" b="0"/>
            <wp:docPr id="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l="38086" t="11906" r="23430" b="5610"/>
                    <a:stretch>
                      <a:fillRect/>
                    </a:stretch>
                  </pic:blipFill>
                  <pic:spPr>
                    <a:xfrm>
                      <a:off x="0" y="0"/>
                      <a:ext cx="5274466" cy="7333905"/>
                    </a:xfrm>
                    <a:prstGeom prst="rect">
                      <a:avLst/>
                    </a:prstGeom>
                    <a:ln/>
                  </pic:spPr>
                </pic:pic>
              </a:graphicData>
            </a:graphic>
          </wp:inline>
        </w:drawing>
      </w:r>
    </w:p>
    <w:p w:rsidR="009D73F7" w:rsidRPr="00603E73" w:rsidRDefault="00F426D3">
      <w:pPr>
        <w:spacing w:line="360" w:lineRule="auto"/>
        <w:jc w:val="both"/>
      </w:pPr>
      <w:r w:rsidRPr="00603E73">
        <w:rPr>
          <w:noProof/>
          <w:lang w:val="es-MX" w:eastAsia="es-MX"/>
        </w:rPr>
        <w:lastRenderedPageBreak/>
        <w:drawing>
          <wp:inline distT="0" distB="0" distL="0" distR="0">
            <wp:extent cx="5566337" cy="7293068"/>
            <wp:effectExtent l="0" t="0" r="0" b="0"/>
            <wp:docPr id="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38889" t="15106" r="24430" b="10587"/>
                    <a:stretch>
                      <a:fillRect/>
                    </a:stretch>
                  </pic:blipFill>
                  <pic:spPr>
                    <a:xfrm>
                      <a:off x="0" y="0"/>
                      <a:ext cx="5566337" cy="7293068"/>
                    </a:xfrm>
                    <a:prstGeom prst="rect">
                      <a:avLst/>
                    </a:prstGeom>
                    <a:ln/>
                  </pic:spPr>
                </pic:pic>
              </a:graphicData>
            </a:graphic>
          </wp:inline>
        </w:drawing>
      </w:r>
    </w:p>
    <w:p w:rsidR="009D73F7" w:rsidRPr="00603E73" w:rsidRDefault="009D73F7">
      <w:pPr>
        <w:spacing w:line="360" w:lineRule="auto"/>
        <w:jc w:val="both"/>
      </w:pPr>
    </w:p>
    <w:p w:rsidR="009D73F7" w:rsidRPr="00603E73" w:rsidRDefault="00F426D3">
      <w:pPr>
        <w:spacing w:line="360" w:lineRule="auto"/>
        <w:jc w:val="both"/>
      </w:pPr>
      <w:r w:rsidRPr="00603E73">
        <w:rPr>
          <w:noProof/>
          <w:lang w:val="es-MX" w:eastAsia="es-MX"/>
        </w:rPr>
        <w:lastRenderedPageBreak/>
        <w:drawing>
          <wp:inline distT="0" distB="0" distL="0" distR="0">
            <wp:extent cx="5464688" cy="7316590"/>
            <wp:effectExtent l="0" t="0" r="0" b="0"/>
            <wp:docPr id="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37587" t="13151" r="24027" b="12008"/>
                    <a:stretch>
                      <a:fillRect/>
                    </a:stretch>
                  </pic:blipFill>
                  <pic:spPr>
                    <a:xfrm>
                      <a:off x="0" y="0"/>
                      <a:ext cx="5464688" cy="7316590"/>
                    </a:xfrm>
                    <a:prstGeom prst="rect">
                      <a:avLst/>
                    </a:prstGeom>
                    <a:ln/>
                  </pic:spPr>
                </pic:pic>
              </a:graphicData>
            </a:graphic>
          </wp:inline>
        </w:drawing>
      </w:r>
    </w:p>
    <w:p w:rsidR="009D73F7" w:rsidRPr="00603E73" w:rsidRDefault="009D73F7">
      <w:pPr>
        <w:spacing w:line="360" w:lineRule="auto"/>
        <w:jc w:val="both"/>
      </w:pPr>
    </w:p>
    <w:p w:rsidR="009D73F7" w:rsidRPr="00603E73" w:rsidRDefault="00F426D3">
      <w:pPr>
        <w:spacing w:line="360" w:lineRule="auto"/>
        <w:jc w:val="both"/>
        <w:rPr>
          <w:rFonts w:ascii="Palatino Linotype" w:eastAsia="Palatino Linotype" w:hAnsi="Palatino Linotype" w:cs="Palatino Linotype"/>
        </w:rPr>
      </w:pPr>
      <w:r w:rsidRPr="00603E73">
        <w:rPr>
          <w:noProof/>
          <w:lang w:val="es-MX" w:eastAsia="es-MX"/>
        </w:rPr>
        <w:lastRenderedPageBreak/>
        <w:drawing>
          <wp:inline distT="0" distB="0" distL="0" distR="0">
            <wp:extent cx="5584347" cy="7385435"/>
            <wp:effectExtent l="0" t="0" r="0" b="0"/>
            <wp:docPr id="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l="38796" t="13861" r="23714" b="10397"/>
                    <a:stretch>
                      <a:fillRect/>
                    </a:stretch>
                  </pic:blipFill>
                  <pic:spPr>
                    <a:xfrm>
                      <a:off x="0" y="0"/>
                      <a:ext cx="5584347" cy="7385435"/>
                    </a:xfrm>
                    <a:prstGeom prst="rect">
                      <a:avLst/>
                    </a:prstGeom>
                    <a:ln/>
                  </pic:spPr>
                </pic:pic>
              </a:graphicData>
            </a:graphic>
          </wp:inline>
        </w:drawing>
      </w:r>
    </w:p>
    <w:p w:rsidR="009D73F7" w:rsidRPr="00603E73" w:rsidRDefault="009D73F7">
      <w:pPr>
        <w:spacing w:line="360" w:lineRule="auto"/>
        <w:jc w:val="both"/>
        <w:rPr>
          <w:rFonts w:ascii="Palatino Linotype" w:eastAsia="Palatino Linotype" w:hAnsi="Palatino Linotype" w:cs="Palatino Linotype"/>
        </w:rPr>
      </w:pPr>
    </w:p>
    <w:p w:rsidR="009D73F7" w:rsidRPr="00603E73" w:rsidRDefault="00F426D3">
      <w:pPr>
        <w:spacing w:line="360" w:lineRule="auto"/>
        <w:jc w:val="both"/>
        <w:rPr>
          <w:rFonts w:ascii="Palatino Linotype" w:eastAsia="Palatino Linotype" w:hAnsi="Palatino Linotype" w:cs="Palatino Linotype"/>
        </w:rPr>
      </w:pPr>
      <w:r w:rsidRPr="00603E73">
        <w:rPr>
          <w:noProof/>
          <w:lang w:val="es-MX" w:eastAsia="es-MX"/>
        </w:rPr>
        <w:lastRenderedPageBreak/>
        <w:drawing>
          <wp:inline distT="0" distB="0" distL="0" distR="0">
            <wp:extent cx="5419676" cy="7330431"/>
            <wp:effectExtent l="0" t="0" r="0" b="0"/>
            <wp:docPr id="5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l="37598" t="15995" r="23915" b="14130"/>
                    <a:stretch>
                      <a:fillRect/>
                    </a:stretch>
                  </pic:blipFill>
                  <pic:spPr>
                    <a:xfrm>
                      <a:off x="0" y="0"/>
                      <a:ext cx="5419676" cy="7330431"/>
                    </a:xfrm>
                    <a:prstGeom prst="rect">
                      <a:avLst/>
                    </a:prstGeom>
                    <a:ln/>
                  </pic:spPr>
                </pic:pic>
              </a:graphicData>
            </a:graphic>
          </wp:inline>
        </w:drawing>
      </w:r>
    </w:p>
    <w:p w:rsidR="009D73F7" w:rsidRPr="00603E73" w:rsidRDefault="009D73F7">
      <w:pPr>
        <w:spacing w:line="360" w:lineRule="auto"/>
        <w:jc w:val="both"/>
        <w:rPr>
          <w:rFonts w:ascii="Palatino Linotype" w:eastAsia="Palatino Linotype" w:hAnsi="Palatino Linotype" w:cs="Palatino Linotype"/>
        </w:rPr>
      </w:pPr>
    </w:p>
    <w:p w:rsidR="009D73F7" w:rsidRPr="00603E73" w:rsidRDefault="00F426D3">
      <w:pPr>
        <w:spacing w:line="360" w:lineRule="auto"/>
        <w:jc w:val="both"/>
        <w:rPr>
          <w:rFonts w:ascii="Palatino Linotype" w:eastAsia="Palatino Linotype" w:hAnsi="Palatino Linotype" w:cs="Palatino Linotype"/>
        </w:rPr>
      </w:pPr>
      <w:r w:rsidRPr="00603E73">
        <w:rPr>
          <w:noProof/>
          <w:lang w:val="es-MX" w:eastAsia="es-MX"/>
        </w:rPr>
        <w:lastRenderedPageBreak/>
        <w:drawing>
          <wp:inline distT="0" distB="0" distL="0" distR="0">
            <wp:extent cx="5359980" cy="2319740"/>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l="37792" t="33588" r="23825" b="10586"/>
                    <a:stretch>
                      <a:fillRect/>
                    </a:stretch>
                  </pic:blipFill>
                  <pic:spPr>
                    <a:xfrm>
                      <a:off x="0" y="0"/>
                      <a:ext cx="5359980" cy="2319740"/>
                    </a:xfrm>
                    <a:prstGeom prst="rect">
                      <a:avLst/>
                    </a:prstGeom>
                    <a:ln/>
                  </pic:spPr>
                </pic:pic>
              </a:graphicData>
            </a:graphic>
          </wp:inline>
        </w:drawing>
      </w:r>
    </w:p>
    <w:p w:rsidR="009D73F7" w:rsidRPr="00603E73" w:rsidRDefault="009D73F7">
      <w:pPr>
        <w:spacing w:line="360" w:lineRule="auto"/>
        <w:jc w:val="both"/>
        <w:rPr>
          <w:rFonts w:ascii="Palatino Linotype" w:eastAsia="Palatino Linotype" w:hAnsi="Palatino Linotype" w:cs="Palatino Linotype"/>
        </w:rPr>
      </w:pP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Posteriormente el diecinueve de septiembre del año en curso, el </w:t>
      </w:r>
      <w:r w:rsidRPr="00603E73">
        <w:rPr>
          <w:rFonts w:ascii="Palatino Linotype" w:eastAsia="Palatino Linotype" w:hAnsi="Palatino Linotype" w:cs="Palatino Linotype"/>
          <w:b/>
        </w:rPr>
        <w:t>SUJETO OBLIGADO</w:t>
      </w:r>
      <w:r w:rsidRPr="00603E73">
        <w:rPr>
          <w:rFonts w:ascii="Palatino Linotype" w:eastAsia="Palatino Linotype" w:hAnsi="Palatino Linotype" w:cs="Palatino Linotype"/>
        </w:rPr>
        <w:t>, remitió un alcance al informe justificado; a través del siguiente archivo electrónico:</w:t>
      </w:r>
    </w:p>
    <w:p w:rsidR="009D73F7" w:rsidRPr="00603E73" w:rsidRDefault="009D73F7">
      <w:pPr>
        <w:spacing w:line="360" w:lineRule="auto"/>
        <w:jc w:val="both"/>
        <w:rPr>
          <w:rFonts w:ascii="Palatino Linotype" w:eastAsia="Palatino Linotype" w:hAnsi="Palatino Linotype" w:cs="Palatino Linotype"/>
        </w:rPr>
      </w:pP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w:t>
      </w:r>
      <w:hyperlink r:id="rId22">
        <w:r w:rsidRPr="00603E73">
          <w:rPr>
            <w:rFonts w:ascii="Palatino Linotype" w:eastAsia="Palatino Linotype" w:hAnsi="Palatino Linotype" w:cs="Palatino Linotype"/>
            <w:b/>
          </w:rPr>
          <w:t>RR 6999-2022 SUBSE DE INGRESOS.pdf</w:t>
        </w:r>
      </w:hyperlink>
      <w:r w:rsidRPr="00603E73">
        <w:rPr>
          <w:rFonts w:ascii="Palatino Linotype" w:eastAsia="Palatino Linotype" w:hAnsi="Palatino Linotype" w:cs="Palatino Linotype"/>
          <w:b/>
        </w:rPr>
        <w:t>”</w:t>
      </w:r>
      <w:r w:rsidRPr="00603E73">
        <w:rPr>
          <w:rFonts w:ascii="Palatino Linotype" w:eastAsia="Palatino Linotype" w:hAnsi="Palatino Linotype" w:cs="Palatino Linotype"/>
        </w:rPr>
        <w:t>, el cual contiene oficio número 20703000000200S/1679/2002, por medio del cual la Subsecretaría de Ingresos de la Secretaría de Finanzas del Estado de México, informó que todos los ingresos recaudados por el Gobierno del Estado de México son integrados en una cuenta concentradora y son destinados a sufragar el gasto público y que sólo podrán destinarse a un fin específico cuando así lo exprese el Código, la Ley de Ingresos o el Presupuesto de Egresos, en términos del fundamento legal que señaló.</w:t>
      </w:r>
    </w:p>
    <w:p w:rsidR="009D73F7" w:rsidRPr="00603E73" w:rsidRDefault="009D73F7">
      <w:pPr>
        <w:spacing w:line="360" w:lineRule="auto"/>
        <w:jc w:val="both"/>
        <w:rPr>
          <w:rFonts w:ascii="Palatino Linotype" w:eastAsia="Palatino Linotype" w:hAnsi="Palatino Linotype" w:cs="Palatino Linotype"/>
        </w:rPr>
      </w:pP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Asimismo, señaló que de manera anual se publica en el Periódico Oficial “Gaceta de Gobierno”, el presupuesto el presupuesto de Egresos del Gobierno del Estado de México, el cual tiene como propósito establecer la asignación y distribución de los </w:t>
      </w:r>
      <w:r w:rsidRPr="00603E73">
        <w:rPr>
          <w:rFonts w:ascii="Palatino Linotype" w:eastAsia="Palatino Linotype" w:hAnsi="Palatino Linotype" w:cs="Palatino Linotype"/>
        </w:rPr>
        <w:lastRenderedPageBreak/>
        <w:t>recursos públicos orientada a los resultados con eficacia, eficiencia y economía presupuestal, como se observa en la siguiente imagen:</w:t>
      </w:r>
    </w:p>
    <w:p w:rsidR="009D73F7" w:rsidRPr="00603E73" w:rsidRDefault="009D73F7">
      <w:pPr>
        <w:spacing w:line="360" w:lineRule="auto"/>
        <w:jc w:val="both"/>
        <w:rPr>
          <w:rFonts w:ascii="Palatino Linotype" w:eastAsia="Palatino Linotype" w:hAnsi="Palatino Linotype" w:cs="Palatino Linotype"/>
        </w:rPr>
      </w:pPr>
    </w:p>
    <w:p w:rsidR="009D73F7" w:rsidRPr="00603E73" w:rsidRDefault="00F426D3">
      <w:pPr>
        <w:spacing w:line="360" w:lineRule="auto"/>
        <w:jc w:val="both"/>
        <w:rPr>
          <w:rFonts w:ascii="Palatino Linotype" w:eastAsia="Palatino Linotype" w:hAnsi="Palatino Linotype" w:cs="Palatino Linotype"/>
        </w:rPr>
      </w:pPr>
      <w:r w:rsidRPr="00603E73">
        <w:rPr>
          <w:noProof/>
          <w:lang w:val="es-MX" w:eastAsia="es-MX"/>
        </w:rPr>
        <w:drawing>
          <wp:inline distT="0" distB="0" distL="0" distR="0">
            <wp:extent cx="5504487" cy="4902007"/>
            <wp:effectExtent l="0" t="0" r="0" b="0"/>
            <wp:docPr id="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l="38671" t="17085" r="18897" b="10444"/>
                    <a:stretch>
                      <a:fillRect/>
                    </a:stretch>
                  </pic:blipFill>
                  <pic:spPr>
                    <a:xfrm>
                      <a:off x="0" y="0"/>
                      <a:ext cx="5504487" cy="4902007"/>
                    </a:xfrm>
                    <a:prstGeom prst="rect">
                      <a:avLst/>
                    </a:prstGeom>
                    <a:ln/>
                  </pic:spPr>
                </pic:pic>
              </a:graphicData>
            </a:graphic>
          </wp:inline>
        </w:drawing>
      </w: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Los cuales se determinaron poner a la vista del </w:t>
      </w:r>
      <w:r w:rsidRPr="00603E73">
        <w:rPr>
          <w:rFonts w:ascii="Palatino Linotype" w:eastAsia="Palatino Linotype" w:hAnsi="Palatino Linotype" w:cs="Palatino Linotype"/>
          <w:b/>
        </w:rPr>
        <w:t>RECURRENTE</w:t>
      </w:r>
      <w:r w:rsidRPr="00603E73">
        <w:rPr>
          <w:rFonts w:ascii="Palatino Linotype" w:eastAsia="Palatino Linotype" w:hAnsi="Palatino Linotype" w:cs="Palatino Linotype"/>
        </w:rPr>
        <w:t>, en términos de la fracción III del artículo 185 de la Ley de Transparencia y Acceso a la Información Pública del Estado de México y Municipios.</w:t>
      </w:r>
    </w:p>
    <w:p w:rsidR="009D73F7" w:rsidRPr="00603E73" w:rsidRDefault="009D73F7">
      <w:pPr>
        <w:spacing w:line="360" w:lineRule="auto"/>
        <w:jc w:val="both"/>
        <w:rPr>
          <w:rFonts w:ascii="Palatino Linotype" w:eastAsia="Palatino Linotype" w:hAnsi="Palatino Linotype" w:cs="Palatino Linotype"/>
          <w:b/>
        </w:rPr>
      </w:pP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b/>
        </w:rPr>
        <w:t>7.- Ampliación del plazo para emitir resolución</w:t>
      </w:r>
      <w:r w:rsidRPr="00603E73">
        <w:rPr>
          <w:rFonts w:ascii="Palatino Linotype" w:eastAsia="Palatino Linotype" w:hAnsi="Palatino Linotype" w:cs="Palatino Linotype"/>
        </w:rPr>
        <w:t xml:space="preserve">. En fecha primero de septiembre del dos mil veintidós, este Instituto con fundamento en el artículo 181, párrafo </w:t>
      </w:r>
      <w:r w:rsidRPr="00603E73">
        <w:rPr>
          <w:rFonts w:ascii="Palatino Linotype" w:eastAsia="Palatino Linotype" w:hAnsi="Palatino Linotype" w:cs="Palatino Linotype"/>
        </w:rPr>
        <w:lastRenderedPageBreak/>
        <w:t>tercero, de la Ley de Transparencia y Acceso a la Información Pública del Estado de México y Municipios.</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603E73">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Actividad Procesal del interesado. Acciones u omisiones del interesado.</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Conducta de la Autoridad: Las Acciones u omisiones realizadas en el procedimiento. Así como si la autoridad actuó con la debida diligencia.</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d) La afectación generada en la situación jurídica de la persona involucrada en el proceso: Violación a sus derechos humanos.</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Argumento que encuentra sustento en la jurisprudencia P</w:t>
      </w:r>
      <w:proofErr w:type="gramStart"/>
      <w:r w:rsidRPr="00603E73">
        <w:rPr>
          <w:rFonts w:ascii="Palatino Linotype" w:eastAsia="Palatino Linotype" w:hAnsi="Palatino Linotype" w:cs="Palatino Linotype"/>
        </w:rPr>
        <w:t>./</w:t>
      </w:r>
      <w:proofErr w:type="gramEnd"/>
      <w:r w:rsidRPr="00603E73">
        <w:rPr>
          <w:rFonts w:ascii="Palatino Linotype" w:eastAsia="Palatino Linotype" w:hAnsi="Palatino Linotype" w:cs="Palatino Linotype"/>
        </w:rPr>
        <w:t xml:space="preserve">J. 32/92 emitida por el Pleno de la Suprema Corte de Justicia de la Nación de rubro “TÉRMINOS PROCESALES. PARA DETERMINAR SI UN FUNCIONARIO JUDICIAL ACTUÓ INDEBIDAMENTE POR NO RESPETARLOS SE DEBE ATENDER AL </w:t>
      </w:r>
      <w:r w:rsidRPr="00603E73">
        <w:rPr>
          <w:rFonts w:ascii="Palatino Linotype" w:eastAsia="Palatino Linotype" w:hAnsi="Palatino Linotype" w:cs="Palatino Linotype"/>
        </w:rPr>
        <w:lastRenderedPageBreak/>
        <w:t>PRESUPUESTO QUE CONSIDERÓ EL LEGISLADOR AL FIJARLOS Y LAS CARACTERÍSTICAS DEL CASO.”, visible en la Gaceta del Seminario Judicial de la Federación con el registro digital 205635.</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 “PLAZO RAZONABLE PARA RESOLVER. DIMENSIÓN Y EFECTOS DE ESTE CONCEPTO CUANDO SE ADUCE EXCESIVA CARGA DE TRABAJO.” consultable en el Seminario Judicial de la Federación y su gaceta, con el registro digital 2002351.</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lastRenderedPageBreak/>
        <w:t>“PLAZO RAZONABLE PARA RESOLVER. CONCEPTO Y ELEMENTOS QUE LO INTEGRAN A LA LUZ DEL DERECHO INTERNACIONAL DE LOS DERECHOS HUMANOS.”, visible en el Seminario Judicial de la Federación y su gaceta, con el registro digital 2002350.</w:t>
      </w: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b/>
        </w:rPr>
        <w:t xml:space="preserve">8. Cierre de instrucción. </w:t>
      </w:r>
      <w:r w:rsidRPr="00603E73">
        <w:rPr>
          <w:rFonts w:ascii="Palatino Linotype" w:eastAsia="Palatino Linotype" w:hAnsi="Palatino Linotype" w:cs="Palatino Linotype"/>
        </w:rPr>
        <w:t>En fecha veintiocho de septiembre del dos mil veintidós la Comisionada ponente determinó el cierre de instrucción en términos de la fracción VI del artículo 185 de la Ley de Transparencia y Acceso a la Información Pública del Estado de México y Municipios.</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9D73F7" w:rsidRPr="00603E73" w:rsidRDefault="00F426D3">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rPr>
      </w:pPr>
      <w:r w:rsidRPr="00603E73">
        <w:rPr>
          <w:rFonts w:ascii="Palatino Linotype" w:eastAsia="Palatino Linotype" w:hAnsi="Palatino Linotype" w:cs="Palatino Linotype"/>
          <w:b/>
        </w:rPr>
        <w:t>II</w:t>
      </w:r>
      <w:r w:rsidRPr="00603E73">
        <w:rPr>
          <w:rFonts w:ascii="Palatino Linotype" w:eastAsia="Palatino Linotype" w:hAnsi="Palatino Linotype" w:cs="Palatino Linotype"/>
          <w:b/>
        </w:rPr>
        <w:tab/>
        <w:t>C O N S I D E R A N D O:</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b/>
        </w:rPr>
        <w:t xml:space="preserve">Primero. Competencia. </w:t>
      </w:r>
      <w:r w:rsidRPr="00603E73">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Pr="00603E73">
        <w:rPr>
          <w:rFonts w:ascii="Palatino Linotype" w:eastAsia="Palatino Linotype" w:hAnsi="Palatino Linotype" w:cs="Palatino Linotype"/>
          <w:b/>
        </w:rPr>
        <w:t>RECURRENTE</w:t>
      </w:r>
      <w:r w:rsidRPr="00603E73">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b/>
        </w:rPr>
        <w:lastRenderedPageBreak/>
        <w:t>Segundo. Oportunidad y Procedibilidad del Recurso de Revisión</w:t>
      </w:r>
      <w:r w:rsidRPr="00603E73">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603E73">
        <w:rPr>
          <w:rFonts w:ascii="Palatino Linotype" w:eastAsia="Palatino Linotype" w:hAnsi="Palatino Linotype" w:cs="Palatino Linotype"/>
          <w:b/>
        </w:rPr>
        <w:t>SUJETO OBLIGADO</w:t>
      </w:r>
      <w:r w:rsidRPr="00603E73">
        <w:rPr>
          <w:rFonts w:ascii="Palatino Linotype" w:eastAsia="Palatino Linotype" w:hAnsi="Palatino Linotype" w:cs="Palatino Linotype"/>
        </w:rPr>
        <w:t xml:space="preserve"> emitió su respuesta a la solicitud planteada por el solicitante en fecha dos de mayo del año dos mil veintidós y el</w:t>
      </w:r>
      <w:r w:rsidRPr="00603E73">
        <w:rPr>
          <w:rFonts w:ascii="Palatino Linotype" w:eastAsia="Palatino Linotype" w:hAnsi="Palatino Linotype" w:cs="Palatino Linotype"/>
          <w:b/>
        </w:rPr>
        <w:t xml:space="preserve"> RECURRENTE</w:t>
      </w:r>
      <w:r w:rsidRPr="00603E73">
        <w:rPr>
          <w:rFonts w:ascii="Palatino Linotype" w:eastAsia="Palatino Linotype" w:hAnsi="Palatino Linotype" w:cs="Palatino Linotype"/>
        </w:rPr>
        <w:t xml:space="preserve"> presentó su recurso de revisión el seis del mismo mes y año, esto es al tercer día hábil siguiente de aquel en que tuvo conocimiento de la respuesta; evidenciándose que la interposición del recurso se encuentra dentro de los márgenes temporales previstos en el citado precepto legal.</w:t>
      </w: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Al mismo tiempo, tras la revisión del formato de interposición del recurso, es de suma importancia señalar que la parte </w:t>
      </w:r>
      <w:r w:rsidRPr="00603E73">
        <w:rPr>
          <w:rFonts w:ascii="Palatino Linotype" w:eastAsia="Palatino Linotype" w:hAnsi="Palatino Linotype" w:cs="Palatino Linotype"/>
          <w:b/>
        </w:rPr>
        <w:t>RECURRENTE</w:t>
      </w:r>
      <w:r w:rsidRPr="00603E73">
        <w:rPr>
          <w:rFonts w:ascii="Palatino Linotype" w:eastAsia="Palatino Linotype" w:hAnsi="Palatino Linotype" w:cs="Palatino Linotype"/>
        </w:rPr>
        <w:t xml:space="preserve"> </w:t>
      </w:r>
      <w:r w:rsidRPr="00603E73">
        <w:rPr>
          <w:rFonts w:ascii="Palatino Linotype" w:eastAsia="Palatino Linotype" w:hAnsi="Palatino Linotype" w:cs="Palatino Linotype"/>
          <w:b/>
        </w:rPr>
        <w:t>no proporcionó su nombre</w:t>
      </w:r>
      <w:r w:rsidRPr="00603E73">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9D73F7" w:rsidRPr="00603E73" w:rsidRDefault="009D73F7">
      <w:pPr>
        <w:ind w:left="567" w:right="474"/>
        <w:jc w:val="both"/>
        <w:rPr>
          <w:rFonts w:ascii="Palatino Linotype" w:eastAsia="Palatino Linotype" w:hAnsi="Palatino Linotype" w:cs="Palatino Linotype"/>
          <w:i/>
        </w:rPr>
      </w:pPr>
    </w:p>
    <w:p w:rsidR="009D73F7" w:rsidRPr="00603E73" w:rsidRDefault="00F426D3">
      <w:pPr>
        <w:ind w:left="567" w:right="474"/>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w:t>
      </w:r>
      <w:r w:rsidRPr="00603E73">
        <w:rPr>
          <w:rFonts w:ascii="Palatino Linotype" w:eastAsia="Palatino Linotype" w:hAnsi="Palatino Linotype" w:cs="Palatino Linotype"/>
          <w:b/>
          <w:i/>
          <w:sz w:val="22"/>
          <w:szCs w:val="22"/>
        </w:rPr>
        <w:t>Las solicitudes anónimas</w:t>
      </w:r>
      <w:r w:rsidRPr="00603E73">
        <w:rPr>
          <w:rFonts w:ascii="Palatino Linotype" w:eastAsia="Palatino Linotype" w:hAnsi="Palatino Linotype" w:cs="Palatino Linotype"/>
          <w:i/>
          <w:sz w:val="22"/>
          <w:szCs w:val="22"/>
        </w:rPr>
        <w:t xml:space="preserve">, con nombre incompleto o seudónimo </w:t>
      </w:r>
      <w:r w:rsidRPr="00603E73">
        <w:rPr>
          <w:rFonts w:ascii="Palatino Linotype" w:eastAsia="Palatino Linotype" w:hAnsi="Palatino Linotype" w:cs="Palatino Linotype"/>
          <w:b/>
          <w:i/>
          <w:sz w:val="22"/>
          <w:szCs w:val="22"/>
        </w:rPr>
        <w:t>serán procedentes para su trámite por parte del sujeto obligado ante quien se presente</w:t>
      </w:r>
      <w:r w:rsidRPr="00603E73">
        <w:rPr>
          <w:rFonts w:ascii="Palatino Linotype" w:eastAsia="Palatino Linotype" w:hAnsi="Palatino Linotype" w:cs="Palatino Linotype"/>
          <w:i/>
          <w:sz w:val="22"/>
          <w:szCs w:val="22"/>
        </w:rPr>
        <w:t>. No podrá requerirse información adicional con motivo del nombre proporcionado por el solicitante."</w:t>
      </w:r>
    </w:p>
    <w:p w:rsidR="009D73F7" w:rsidRPr="00603E73" w:rsidRDefault="009D73F7">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9D73F7" w:rsidRPr="00603E73" w:rsidRDefault="00F426D3">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Así también, por cuanto hace a la procedibilidad del recurso de revisión una vez realizado el análisis del formato de interposición del recurso, se acreditan plenamente </w:t>
      </w:r>
      <w:r w:rsidRPr="00603E73">
        <w:rPr>
          <w:rFonts w:ascii="Palatino Linotype" w:eastAsia="Palatino Linotype" w:hAnsi="Palatino Linotype" w:cs="Palatino Linotype"/>
        </w:rPr>
        <w:lastRenderedPageBreak/>
        <w:t xml:space="preserve">de todos y cada uno de los elementos formales exigidos por el artículo 180 de la Ley de Transparencia y Acceso a la Información Pública del Estado de México y Municipios, en atención a que fue presentado mediante el formato visible en </w:t>
      </w:r>
      <w:r w:rsidRPr="00603E73">
        <w:rPr>
          <w:rFonts w:ascii="Palatino Linotype" w:eastAsia="Palatino Linotype" w:hAnsi="Palatino Linotype" w:cs="Palatino Linotype"/>
          <w:b/>
        </w:rPr>
        <w:t>EL</w:t>
      </w:r>
      <w:r w:rsidRPr="00603E73">
        <w:rPr>
          <w:rFonts w:ascii="Palatino Linotype" w:eastAsia="Palatino Linotype" w:hAnsi="Palatino Linotype" w:cs="Palatino Linotype"/>
        </w:rPr>
        <w:t xml:space="preserve"> </w:t>
      </w:r>
      <w:r w:rsidRPr="00603E73">
        <w:rPr>
          <w:rFonts w:ascii="Palatino Linotype" w:eastAsia="Palatino Linotype" w:hAnsi="Palatino Linotype" w:cs="Palatino Linotype"/>
          <w:b/>
        </w:rPr>
        <w:t>SAIMEX</w:t>
      </w:r>
      <w:r w:rsidRPr="00603E73">
        <w:rPr>
          <w:rFonts w:ascii="Palatino Linotype" w:eastAsia="Palatino Linotype" w:hAnsi="Palatino Linotype" w:cs="Palatino Linotype"/>
        </w:rPr>
        <w:t>.</w:t>
      </w:r>
    </w:p>
    <w:p w:rsidR="009D73F7" w:rsidRPr="00603E73" w:rsidRDefault="009D73F7">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9D73F7" w:rsidRPr="00603E73" w:rsidRDefault="00F426D3">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Ahora bien, resulta procedente la interposición del recurso revisión, según lo aducido por el </w:t>
      </w:r>
      <w:r w:rsidRPr="00603E73">
        <w:rPr>
          <w:rFonts w:ascii="Palatino Linotype" w:eastAsia="Palatino Linotype" w:hAnsi="Palatino Linotype" w:cs="Palatino Linotype"/>
          <w:b/>
        </w:rPr>
        <w:t>RECURRENTE</w:t>
      </w:r>
      <w:r w:rsidRPr="00603E73">
        <w:rPr>
          <w:rFonts w:ascii="Palatino Linotype" w:eastAsia="Palatino Linotype" w:hAnsi="Palatino Linotype" w:cs="Palatino Linotype"/>
        </w:rPr>
        <w:t xml:space="preserve"> en su acto impugnado como en sus motivos de inconformidad, de acuerdo al artículo 179 fracción V de la Ley de Transparencia y Acceso a la Información Pública del Estado de México y Municipios; que a la letra dice:</w:t>
      </w:r>
    </w:p>
    <w:p w:rsidR="009D73F7" w:rsidRPr="00603E73" w:rsidRDefault="009D73F7">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9D73F7" w:rsidRPr="00603E73" w:rsidRDefault="00F426D3">
      <w:pPr>
        <w:pBdr>
          <w:top w:val="nil"/>
          <w:left w:val="nil"/>
          <w:bottom w:val="nil"/>
          <w:right w:val="nil"/>
          <w:between w:val="nil"/>
        </w:pBdr>
        <w:ind w:left="992" w:right="1043"/>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b/>
          <w:i/>
          <w:sz w:val="22"/>
          <w:szCs w:val="22"/>
        </w:rPr>
        <w:t>“Artículo 179</w:t>
      </w:r>
      <w:r w:rsidRPr="00603E73">
        <w:rPr>
          <w:rFonts w:ascii="Palatino Linotype" w:eastAsia="Palatino Linotype" w:hAnsi="Palatino Linotype" w:cs="Palatino Linotype"/>
          <w:i/>
          <w:sz w:val="22"/>
          <w:szCs w:val="22"/>
        </w:rPr>
        <w:t xml:space="preserve">. </w:t>
      </w:r>
      <w:r w:rsidRPr="00603E73">
        <w:rPr>
          <w:rFonts w:ascii="Palatino Linotype" w:eastAsia="Palatino Linotype" w:hAnsi="Palatino Linotype" w:cs="Palatino Linotype"/>
          <w:b/>
          <w:i/>
          <w:sz w:val="22"/>
          <w:szCs w:val="22"/>
        </w:rPr>
        <w:t>El recurso de revisión</w:t>
      </w:r>
      <w:r w:rsidRPr="00603E73">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603E73">
        <w:rPr>
          <w:rFonts w:ascii="Palatino Linotype" w:eastAsia="Palatino Linotype" w:hAnsi="Palatino Linotype" w:cs="Palatino Linotype"/>
          <w:b/>
          <w:i/>
          <w:sz w:val="22"/>
          <w:szCs w:val="22"/>
        </w:rPr>
        <w:t>, y procederá en contra de las siguientes causas</w:t>
      </w:r>
      <w:r w:rsidRPr="00603E73">
        <w:rPr>
          <w:rFonts w:ascii="Palatino Linotype" w:eastAsia="Palatino Linotype" w:hAnsi="Palatino Linotype" w:cs="Palatino Linotype"/>
          <w:i/>
          <w:sz w:val="22"/>
          <w:szCs w:val="22"/>
        </w:rPr>
        <w:t>:</w:t>
      </w:r>
    </w:p>
    <w:p w:rsidR="009D73F7" w:rsidRPr="00603E73" w:rsidRDefault="00F426D3">
      <w:pPr>
        <w:pBdr>
          <w:top w:val="nil"/>
          <w:left w:val="nil"/>
          <w:bottom w:val="nil"/>
          <w:right w:val="nil"/>
          <w:between w:val="nil"/>
        </w:pBdr>
        <w:ind w:left="992" w:right="1043"/>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w:t>
      </w:r>
    </w:p>
    <w:p w:rsidR="009D73F7" w:rsidRPr="00603E73" w:rsidRDefault="00F426D3">
      <w:pPr>
        <w:pBdr>
          <w:top w:val="nil"/>
          <w:left w:val="nil"/>
          <w:bottom w:val="nil"/>
          <w:right w:val="nil"/>
          <w:between w:val="nil"/>
        </w:pBdr>
        <w:ind w:left="992" w:right="1043"/>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V. La entrega de la información incompleta;…” (Sic)</w:t>
      </w:r>
    </w:p>
    <w:p w:rsidR="009D73F7" w:rsidRPr="00603E73" w:rsidRDefault="009D73F7">
      <w:pPr>
        <w:pBdr>
          <w:top w:val="nil"/>
          <w:left w:val="nil"/>
          <w:bottom w:val="nil"/>
          <w:right w:val="nil"/>
          <w:between w:val="nil"/>
        </w:pBdr>
        <w:spacing w:after="240" w:line="360" w:lineRule="auto"/>
        <w:ind w:right="-91"/>
        <w:jc w:val="both"/>
        <w:rPr>
          <w:rFonts w:ascii="Palatino Linotype" w:eastAsia="Palatino Linotype" w:hAnsi="Palatino Linotype" w:cs="Palatino Linotype"/>
          <w:b/>
          <w:i/>
          <w:sz w:val="22"/>
          <w:szCs w:val="22"/>
        </w:rPr>
      </w:pPr>
    </w:p>
    <w:p w:rsidR="009D73F7" w:rsidRPr="00603E73" w:rsidRDefault="00F426D3">
      <w:pPr>
        <w:spacing w:before="240" w:after="240" w:line="360" w:lineRule="auto"/>
        <w:ind w:right="60"/>
        <w:jc w:val="both"/>
        <w:rPr>
          <w:rFonts w:ascii="Palatino Linotype" w:eastAsia="Palatino Linotype" w:hAnsi="Palatino Linotype" w:cs="Palatino Linotype"/>
          <w:b/>
        </w:rPr>
      </w:pPr>
      <w:r w:rsidRPr="00603E73">
        <w:rPr>
          <w:rFonts w:ascii="Palatino Linotype" w:eastAsia="Palatino Linotype" w:hAnsi="Palatino Linotype" w:cs="Palatino Linotype"/>
          <w:b/>
        </w:rPr>
        <w:t xml:space="preserve">Tercero. Análisis de las causales de sobreseimiento del recurso de revisión. </w:t>
      </w:r>
      <w:r w:rsidRPr="00603E73">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9D73F7" w:rsidRPr="00603E73" w:rsidRDefault="00F426D3">
      <w:pPr>
        <w:spacing w:before="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Siendo una facultad legal entrar al estudio de las causas de improcedencia que hagan valer las partes o que se adviertan de oficio por este Instituto; presupuestos </w:t>
      </w:r>
      <w:r w:rsidRPr="00603E73">
        <w:rPr>
          <w:rFonts w:ascii="Palatino Linotype" w:eastAsia="Palatino Linotype" w:hAnsi="Palatino Linotype" w:cs="Palatino Linotype"/>
        </w:rPr>
        <w:lastRenderedPageBreak/>
        <w:t>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9D73F7" w:rsidRPr="00603E73" w:rsidRDefault="009D73F7">
      <w:pPr>
        <w:spacing w:line="360" w:lineRule="auto"/>
        <w:jc w:val="both"/>
      </w:pPr>
    </w:p>
    <w:p w:rsidR="009D73F7" w:rsidRPr="00603E73" w:rsidRDefault="00F426D3">
      <w:pPr>
        <w:spacing w:line="360" w:lineRule="auto"/>
        <w:ind w:right="51"/>
        <w:jc w:val="both"/>
        <w:rPr>
          <w:rFonts w:ascii="Palatino Linotype" w:eastAsia="Palatino Linotype" w:hAnsi="Palatino Linotype" w:cs="Palatino Linotype"/>
        </w:rPr>
      </w:pPr>
      <w:r w:rsidRPr="00603E73">
        <w:rPr>
          <w:rFonts w:ascii="Palatino Linotype" w:eastAsia="Palatino Linotype" w:hAnsi="Palatino Linotype" w:cs="Palatino Linotype"/>
        </w:rPr>
        <w:t>De manera preliminar en el caso concreto conviene analizar si se actualiza alguna de las causales de sobreseimiento del recurso de revisión.</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Así, del análisis de la solicitud de información motivo del recurso de revisión que ahora se resuelve, se advierte que el particular requirió a la Secretaría de Finanzas, lo siguiente:</w:t>
      </w:r>
    </w:p>
    <w:p w:rsidR="009D73F7" w:rsidRPr="00603E73" w:rsidRDefault="00F426D3">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03E73">
        <w:rPr>
          <w:rFonts w:ascii="Palatino Linotype" w:eastAsia="Palatino Linotype" w:hAnsi="Palatino Linotype" w:cs="Palatino Linotype"/>
        </w:rPr>
        <w:t>Los montos alcanzados por los conceptos de las tarifas de los aprovechamientos por los bienes y servicios que proporciona la Secretaría de Cultura y Turismo en cada uno de los museos mexiquense en 2018, 2019, 2020, 2021 y lo que va de 2022.</w:t>
      </w:r>
    </w:p>
    <w:p w:rsidR="009D73F7" w:rsidRPr="00603E73" w:rsidRDefault="00F426D3">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03E73">
        <w:rPr>
          <w:rFonts w:ascii="Palatino Linotype" w:eastAsia="Palatino Linotype" w:hAnsi="Palatino Linotype" w:cs="Palatino Linotype"/>
        </w:rPr>
        <w:t xml:space="preserve">Los montos que se designan a cada museo para su funcionamiento </w:t>
      </w:r>
    </w:p>
    <w:p w:rsidR="009D73F7" w:rsidRPr="00603E73" w:rsidRDefault="00F426D3">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03E73">
        <w:rPr>
          <w:rFonts w:ascii="Palatino Linotype" w:eastAsia="Palatino Linotype" w:hAnsi="Palatino Linotype" w:cs="Palatino Linotype"/>
        </w:rPr>
        <w:t>Qué se hace con las cuotas que entran bajo el concepto de tarifas de los aprovechamientos.</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Por su parte el </w:t>
      </w:r>
      <w:r w:rsidRPr="00603E73">
        <w:rPr>
          <w:rFonts w:ascii="Palatino Linotype" w:eastAsia="Palatino Linotype" w:hAnsi="Palatino Linotype" w:cs="Palatino Linotype"/>
          <w:b/>
        </w:rPr>
        <w:t>SUJETO OBLIGADO</w:t>
      </w:r>
      <w:r w:rsidRPr="00603E73">
        <w:rPr>
          <w:rFonts w:ascii="Palatino Linotype" w:eastAsia="Palatino Linotype" w:hAnsi="Palatino Linotype" w:cs="Palatino Linotype"/>
        </w:rPr>
        <w:t xml:space="preserve">, a través del Subdirector de Normas y Procedimientos y servidor público habilitado suplente de la Dirección General de </w:t>
      </w:r>
      <w:r w:rsidRPr="00603E73">
        <w:rPr>
          <w:rFonts w:ascii="Palatino Linotype" w:eastAsia="Palatino Linotype" w:hAnsi="Palatino Linotype" w:cs="Palatino Linotype"/>
        </w:rPr>
        <w:lastRenderedPageBreak/>
        <w:t xml:space="preserve">Recaudación, informó al Titular de la Unidad de Transparencia, ambos de la Secretaría de Finanzas, los montos alcanzados respecto de los aprovechamientos por los bienes y servicios que proporciona la Secretaría de Cultura y Turismo de Museos Mexiquenses en los años 2018, 2019, 2020, 2021 y de lo que va del año 2022, siendo el siguiente: </w:t>
      </w:r>
    </w:p>
    <w:p w:rsidR="009D73F7" w:rsidRPr="00603E73" w:rsidRDefault="00F426D3">
      <w:pPr>
        <w:spacing w:line="360" w:lineRule="auto"/>
        <w:jc w:val="both"/>
        <w:rPr>
          <w:rFonts w:ascii="Palatino Linotype" w:eastAsia="Palatino Linotype" w:hAnsi="Palatino Linotype" w:cs="Palatino Linotype"/>
          <w:b/>
        </w:rPr>
      </w:pPr>
      <w:r w:rsidRPr="00603E73">
        <w:rPr>
          <w:noProof/>
          <w:lang w:val="es-MX" w:eastAsia="es-MX"/>
        </w:rPr>
        <w:drawing>
          <wp:inline distT="0" distB="0" distL="0" distR="0">
            <wp:extent cx="5649802" cy="822434"/>
            <wp:effectExtent l="0" t="0" r="0" b="0"/>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l="34890" t="51769" r="22175" b="31889"/>
                    <a:stretch>
                      <a:fillRect/>
                    </a:stretch>
                  </pic:blipFill>
                  <pic:spPr>
                    <a:xfrm>
                      <a:off x="0" y="0"/>
                      <a:ext cx="5649802" cy="822434"/>
                    </a:xfrm>
                    <a:prstGeom prst="rect">
                      <a:avLst/>
                    </a:prstGeom>
                    <a:ln/>
                  </pic:spPr>
                </pic:pic>
              </a:graphicData>
            </a:graphic>
          </wp:inline>
        </w:drawing>
      </w:r>
    </w:p>
    <w:p w:rsidR="009D73F7" w:rsidRPr="00603E73" w:rsidRDefault="00F426D3">
      <w:pPr>
        <w:spacing w:before="240" w:after="240" w:line="360" w:lineRule="auto"/>
        <w:jc w:val="both"/>
        <w:rPr>
          <w:rFonts w:ascii="Palatino Linotype" w:eastAsia="Palatino Linotype" w:hAnsi="Palatino Linotype" w:cs="Palatino Linotype"/>
          <w:i/>
        </w:rPr>
      </w:pPr>
      <w:r w:rsidRPr="00603E73">
        <w:rPr>
          <w:rFonts w:ascii="Palatino Linotype" w:eastAsia="Palatino Linotype" w:hAnsi="Palatino Linotype" w:cs="Palatino Linotype"/>
        </w:rPr>
        <w:t xml:space="preserve">Inconforme el </w:t>
      </w:r>
      <w:r w:rsidRPr="00603E73">
        <w:rPr>
          <w:rFonts w:ascii="Palatino Linotype" w:eastAsia="Palatino Linotype" w:hAnsi="Palatino Linotype" w:cs="Palatino Linotype"/>
          <w:b/>
        </w:rPr>
        <w:t>RECURRENTE</w:t>
      </w:r>
      <w:r w:rsidRPr="00603E73">
        <w:rPr>
          <w:rFonts w:ascii="Palatino Linotype" w:eastAsia="Palatino Linotype" w:hAnsi="Palatino Linotype" w:cs="Palatino Linotype"/>
        </w:rPr>
        <w:t xml:space="preserve"> con la respuesta, interpuso el Recurso de Revisión que se resuelve, quejándose únicamente de que “</w:t>
      </w:r>
      <w:r w:rsidRPr="00603E73">
        <w:rPr>
          <w:rFonts w:ascii="Palatino Linotype" w:eastAsia="Palatino Linotype" w:hAnsi="Palatino Linotype" w:cs="Palatino Linotype"/>
          <w:i/>
        </w:rPr>
        <w:t>No respondió nada referente a qué se hace con el recurso que ingresa al gobierno bajo el concepto de tarifas de aprovechamiento” (Sic)</w:t>
      </w: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Una vez notificado el recurso de revisión al </w:t>
      </w:r>
      <w:r w:rsidRPr="00603E73">
        <w:rPr>
          <w:rFonts w:ascii="Palatino Linotype" w:eastAsia="Palatino Linotype" w:hAnsi="Palatino Linotype" w:cs="Palatino Linotype"/>
          <w:b/>
        </w:rPr>
        <w:t>SUJETO OBLIGADO</w:t>
      </w:r>
      <w:r w:rsidRPr="00603E73">
        <w:rPr>
          <w:rFonts w:ascii="Palatino Linotype" w:eastAsia="Palatino Linotype" w:hAnsi="Palatino Linotype" w:cs="Palatino Linotype"/>
        </w:rPr>
        <w:t>, este remitió su informe justificado, en donde reiteró los montos alcanzados respecto de los aprovechamientos por los bienes y servicios que proporciona la Secretaría de Cultura y Turismo de Museos Mexiquenses; asimismo, señaló que sobre los montos que se designan a cada museo para su funcionamiento y que se hace con las cuotas que entran bajo el concepto de tarifas de los aprovechamientos, comentó que el área no puede atender su petición, debido a que no cuenta con dicha información.</w:t>
      </w:r>
    </w:p>
    <w:p w:rsidR="009D73F7" w:rsidRPr="00603E73" w:rsidRDefault="009D73F7">
      <w:pPr>
        <w:spacing w:line="360" w:lineRule="auto"/>
        <w:jc w:val="both"/>
        <w:rPr>
          <w:rFonts w:ascii="Palatino Linotype" w:eastAsia="Palatino Linotype" w:hAnsi="Palatino Linotype" w:cs="Palatino Linotype"/>
        </w:rPr>
      </w:pP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Además, a través del alcance al informe justificado la Subsecretaría de Ingresos de la Secretaría de Finanzas del Estado de México, </w:t>
      </w:r>
      <w:r w:rsidRPr="00603E73">
        <w:rPr>
          <w:rFonts w:ascii="Palatino Linotype" w:eastAsia="Palatino Linotype" w:hAnsi="Palatino Linotype" w:cs="Palatino Linotype"/>
          <w:b/>
          <w:u w:val="single"/>
        </w:rPr>
        <w:t>informó que todos los ingresos recaudados por el Gobierno del Estado de México son integrados en una cuenta concentradora y son destinados a sufragar el gasto público</w:t>
      </w:r>
      <w:r w:rsidRPr="00603E73">
        <w:rPr>
          <w:rFonts w:ascii="Palatino Linotype" w:eastAsia="Palatino Linotype" w:hAnsi="Palatino Linotype" w:cs="Palatino Linotype"/>
        </w:rPr>
        <w:t xml:space="preserve"> y que sólo podrán </w:t>
      </w:r>
      <w:r w:rsidRPr="00603E73">
        <w:rPr>
          <w:rFonts w:ascii="Palatino Linotype" w:eastAsia="Palatino Linotype" w:hAnsi="Palatino Linotype" w:cs="Palatino Linotype"/>
        </w:rPr>
        <w:lastRenderedPageBreak/>
        <w:t>destinarse a un fin específico cuando así lo exprese el Código, la Ley de Ingresos o el Presupuesto de Egresos, en términos del fundamento legal que refirió.</w:t>
      </w:r>
    </w:p>
    <w:p w:rsidR="009D73F7" w:rsidRPr="00603E73" w:rsidRDefault="009D73F7">
      <w:pPr>
        <w:spacing w:line="360" w:lineRule="auto"/>
        <w:jc w:val="both"/>
        <w:rPr>
          <w:rFonts w:ascii="Palatino Linotype" w:eastAsia="Palatino Linotype" w:hAnsi="Palatino Linotype" w:cs="Palatino Linotype"/>
        </w:rPr>
      </w:pP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Asimismo, señaló que de manera anual se publica en el Periódico Oficial “Gaceta de Gobierno”, el presupuesto el presupuesto de Egresos del Gobierno del Estado de México, el cual tiene como propósito establecer la asignación y distribución de los recursos públicos orientada a los resultados con eficacia, eficiencia y economía presupuestal.</w:t>
      </w:r>
    </w:p>
    <w:p w:rsidR="009D73F7" w:rsidRPr="00603E73" w:rsidRDefault="009D73F7">
      <w:pPr>
        <w:spacing w:line="360" w:lineRule="auto"/>
        <w:ind w:right="-93"/>
        <w:jc w:val="both"/>
        <w:rPr>
          <w:rFonts w:ascii="Palatino Linotype" w:eastAsia="Palatino Linotype" w:hAnsi="Palatino Linotype" w:cs="Palatino Linotype"/>
        </w:rPr>
      </w:pP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Antes que nada, del análisis de los motivos de inconformidad del </w:t>
      </w:r>
      <w:r w:rsidRPr="00603E73">
        <w:rPr>
          <w:rFonts w:ascii="Palatino Linotype" w:eastAsia="Palatino Linotype" w:hAnsi="Palatino Linotype" w:cs="Palatino Linotype"/>
          <w:b/>
        </w:rPr>
        <w:t>RECURRENTE</w:t>
      </w:r>
      <w:r w:rsidRPr="00603E73">
        <w:rPr>
          <w:rFonts w:ascii="Palatino Linotype" w:eastAsia="Palatino Linotype" w:hAnsi="Palatino Linotype" w:cs="Palatino Linotype"/>
        </w:rPr>
        <w:t>, se advierte que está conforme con la respuesta otorgada a los puntos “1” y “2”, relacionados con:</w:t>
      </w:r>
    </w:p>
    <w:p w:rsidR="009D73F7" w:rsidRPr="00603E73" w:rsidRDefault="00F426D3">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03E73">
        <w:rPr>
          <w:rFonts w:ascii="Palatino Linotype" w:eastAsia="Palatino Linotype" w:hAnsi="Palatino Linotype" w:cs="Palatino Linotype"/>
        </w:rPr>
        <w:t>Los montos alcanzados por los conceptos de las tarifas de los aprovechamientos por los bienes y servicios que proporciona la Secretaría de Cultura y Turismo en cada uno de los museos mexiquense en 2018, 2019, 2020, 2021 y lo que va de 2022.</w:t>
      </w:r>
    </w:p>
    <w:p w:rsidR="009D73F7" w:rsidRPr="00603E73" w:rsidRDefault="00F426D3">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03E73">
        <w:rPr>
          <w:rFonts w:ascii="Palatino Linotype" w:eastAsia="Palatino Linotype" w:hAnsi="Palatino Linotype" w:cs="Palatino Linotype"/>
        </w:rPr>
        <w:t xml:space="preserve">Los montos que se designan a cada museo para su funcionamiento </w:t>
      </w: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En razón que sólo se inconforma del punto “3”, concerniente </w:t>
      </w:r>
      <w:proofErr w:type="gramStart"/>
      <w:r w:rsidRPr="00603E73">
        <w:rPr>
          <w:rFonts w:ascii="Palatino Linotype" w:eastAsia="Palatino Linotype" w:hAnsi="Palatino Linotype" w:cs="Palatino Linotype"/>
        </w:rPr>
        <w:t>a</w:t>
      </w:r>
      <w:proofErr w:type="gramEnd"/>
      <w:r w:rsidRPr="00603E73">
        <w:rPr>
          <w:rFonts w:ascii="Palatino Linotype" w:eastAsia="Palatino Linotype" w:hAnsi="Palatino Linotype" w:cs="Palatino Linotype"/>
        </w:rPr>
        <w:t>:</w:t>
      </w:r>
    </w:p>
    <w:p w:rsidR="009D73F7" w:rsidRPr="00603E73" w:rsidRDefault="00F426D3">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03E73">
        <w:rPr>
          <w:rFonts w:ascii="Palatino Linotype" w:eastAsia="Palatino Linotype" w:hAnsi="Palatino Linotype" w:cs="Palatino Linotype"/>
        </w:rPr>
        <w:t>Qué se hace con las cuotas que entran bajo el concepto de tarifas de los aprovechamientos.</w:t>
      </w: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Por consiguiente, cuando el solicitante no expresa razón o motivo de inconformidad en contra de todos los rubros de la respuesta que pudieran ser un agravio a su derecho, los mismos deben estimarse atendidos. Sirve de apoyo a lo anterior, por </w:t>
      </w:r>
      <w:r w:rsidRPr="00603E73">
        <w:rPr>
          <w:rFonts w:ascii="Palatino Linotype" w:eastAsia="Palatino Linotype" w:hAnsi="Palatino Linotype" w:cs="Palatino Linotype"/>
        </w:rPr>
        <w:lastRenderedPageBreak/>
        <w:t>analogía, la Tesis Jurisprudencial Número 3ª./J.7/91, publicada en el Semanario Judicial de la Federación y su Gaceta bajo el número de registro 174,177, que establece lo siguiente:</w:t>
      </w:r>
    </w:p>
    <w:p w:rsidR="009D73F7" w:rsidRPr="00603E73" w:rsidRDefault="009D73F7">
      <w:pPr>
        <w:spacing w:line="360" w:lineRule="auto"/>
        <w:jc w:val="both"/>
        <w:rPr>
          <w:rFonts w:ascii="Palatino Linotype" w:eastAsia="Palatino Linotype" w:hAnsi="Palatino Linotype" w:cs="Palatino Linotype"/>
        </w:rPr>
      </w:pPr>
    </w:p>
    <w:p w:rsidR="009D73F7" w:rsidRPr="00603E73" w:rsidRDefault="00F426D3">
      <w:pPr>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sz w:val="22"/>
          <w:szCs w:val="22"/>
        </w:rPr>
        <w:t>“</w:t>
      </w:r>
      <w:r w:rsidRPr="00603E73">
        <w:rPr>
          <w:rFonts w:ascii="Palatino Linotype" w:eastAsia="Palatino Linotype" w:hAnsi="Palatino Linotype" w:cs="Palatino Linotype"/>
          <w:b/>
          <w:i/>
          <w:sz w:val="22"/>
          <w:szCs w:val="22"/>
        </w:rPr>
        <w:t>REVISIÓN EN AMPARO. LOS RESOLUTIVOS NO COMBATIDOS DEBEN DECLARARSE FIRMES</w:t>
      </w:r>
      <w:r w:rsidRPr="00603E73">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rsidR="009D73F7" w:rsidRPr="00603E73" w:rsidRDefault="009D73F7">
      <w:pPr>
        <w:spacing w:after="240" w:line="360" w:lineRule="auto"/>
        <w:jc w:val="both"/>
        <w:rPr>
          <w:rFonts w:ascii="Palatino Linotype" w:eastAsia="Palatino Linotype" w:hAnsi="Palatino Linotype" w:cs="Palatino Linotype"/>
        </w:rPr>
      </w:pP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Esto es, la parte de la solicitud sobre la que no se expresó inconformidad, debe declararse consentida por el hoy </w:t>
      </w:r>
      <w:r w:rsidRPr="00603E73">
        <w:rPr>
          <w:rFonts w:ascii="Palatino Linotype" w:eastAsia="Palatino Linotype" w:hAnsi="Palatino Linotype" w:cs="Palatino Linotype"/>
          <w:b/>
        </w:rPr>
        <w:t>RECURRENTE</w:t>
      </w:r>
      <w:r w:rsidRPr="00603E73">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w:t>
      </w:r>
      <w:r w:rsidRPr="00603E73">
        <w:rPr>
          <w:rFonts w:ascii="Palatino Linotype" w:eastAsia="Palatino Linotype" w:hAnsi="Palatino Linotype" w:cs="Palatino Linotype"/>
          <w:b/>
          <w:i/>
          <w:sz w:val="22"/>
          <w:szCs w:val="22"/>
        </w:rPr>
        <w:t>ACTOS CONSENTIDOS. SON LOS QUE NO SE IMPUGNAN MEDIANTE EL RECURSO IDÓNEO</w:t>
      </w:r>
      <w:r w:rsidRPr="00603E73">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rsidR="009D73F7" w:rsidRPr="00603E73" w:rsidRDefault="009D73F7">
      <w:pPr>
        <w:spacing w:before="240" w:line="360" w:lineRule="auto"/>
        <w:jc w:val="both"/>
        <w:rPr>
          <w:rFonts w:ascii="Palatino Linotype" w:eastAsia="Palatino Linotype" w:hAnsi="Palatino Linotype" w:cs="Palatino Linotype"/>
        </w:rPr>
      </w:pP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lastRenderedPageBreak/>
        <w:t xml:space="preserve">Precisado lo anterior, respecto de la parte de la solicitud del particular que se inconformó, sobre qué se hace con las cuotas que entran bajo el concepto de tarifas de los aprovechamientos, en respuesta el </w:t>
      </w:r>
      <w:r w:rsidRPr="00603E73">
        <w:rPr>
          <w:rFonts w:ascii="Palatino Linotype" w:eastAsia="Palatino Linotype" w:hAnsi="Palatino Linotype" w:cs="Palatino Linotype"/>
          <w:b/>
        </w:rPr>
        <w:t xml:space="preserve">SUJETO OBLIGADO </w:t>
      </w:r>
      <w:r w:rsidRPr="00603E73">
        <w:rPr>
          <w:rFonts w:ascii="Palatino Linotype" w:eastAsia="Palatino Linotype" w:hAnsi="Palatino Linotype" w:cs="Palatino Linotype"/>
        </w:rPr>
        <w:t>sólo se concretó a señalar los montos alcanzados respecto de los aprovechamientos por los bienes y servicios que proporciona la Secretaría de Cultura y Turismo de Museos Mexiquenses en los años 2018, 2019, 2020, 2021 y de lo que va del año 2022, sin pronunciarse al respecto y en informe justificado informó a través de la Dirección General de Recaudación “…que se hace con las cuotas que entran bajo el concepto de tarifas de los aprovechamientos, comentó que el área no puede atender su petición, debido a que no cuenta con dicha información.” (Sic)</w:t>
      </w:r>
    </w:p>
    <w:p w:rsidR="009D73F7" w:rsidRPr="00603E73" w:rsidRDefault="009D73F7">
      <w:pPr>
        <w:spacing w:line="360" w:lineRule="auto"/>
        <w:jc w:val="both"/>
        <w:rPr>
          <w:rFonts w:ascii="Palatino Linotype" w:eastAsia="Palatino Linotype" w:hAnsi="Palatino Linotype" w:cs="Palatino Linotype"/>
          <w:b/>
        </w:rPr>
      </w:pP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En ese sentido, de un análisis al artículo 15 de la Ley de Ingresos del Estado de México para el Ejercicio Fiscal 2022, que señala:</w:t>
      </w:r>
    </w:p>
    <w:p w:rsidR="009D73F7" w:rsidRPr="00603E73" w:rsidRDefault="00F426D3">
      <w:pPr>
        <w:spacing w:before="240" w:after="240" w:line="276" w:lineRule="auto"/>
        <w:ind w:left="567" w:right="567"/>
        <w:jc w:val="both"/>
        <w:rPr>
          <w:rFonts w:ascii="Palatino Linotype" w:eastAsia="Palatino Linotype" w:hAnsi="Palatino Linotype" w:cs="Palatino Linotype"/>
          <w:b/>
          <w:i/>
          <w:sz w:val="22"/>
          <w:szCs w:val="22"/>
        </w:rPr>
      </w:pPr>
      <w:r w:rsidRPr="00603E73">
        <w:rPr>
          <w:rFonts w:ascii="Palatino Linotype" w:eastAsia="Palatino Linotype" w:hAnsi="Palatino Linotype" w:cs="Palatino Linotype"/>
          <w:b/>
          <w:i/>
          <w:sz w:val="22"/>
          <w:szCs w:val="22"/>
        </w:rPr>
        <w:t>Artículo 15</w:t>
      </w:r>
      <w:r w:rsidRPr="00603E73">
        <w:rPr>
          <w:rFonts w:ascii="Palatino Linotype" w:eastAsia="Palatino Linotype" w:hAnsi="Palatino Linotype" w:cs="Palatino Linotype"/>
          <w:i/>
          <w:sz w:val="22"/>
          <w:szCs w:val="22"/>
        </w:rPr>
        <w:t xml:space="preserve">.- </w:t>
      </w:r>
      <w:r w:rsidRPr="00603E73">
        <w:rPr>
          <w:rFonts w:ascii="Palatino Linotype" w:eastAsia="Palatino Linotype" w:hAnsi="Palatino Linotype" w:cs="Palatino Linotype"/>
          <w:b/>
          <w:i/>
          <w:sz w:val="22"/>
          <w:szCs w:val="22"/>
          <w:u w:val="single"/>
        </w:rPr>
        <w:t xml:space="preserve">El Ejecutivo del Estado, por conducto de la Secretaría de Finanzas </w:t>
      </w:r>
      <w:r w:rsidRPr="00603E73">
        <w:rPr>
          <w:rFonts w:ascii="Palatino Linotype" w:eastAsia="Palatino Linotype" w:hAnsi="Palatino Linotype" w:cs="Palatino Linotype"/>
          <w:i/>
          <w:sz w:val="22"/>
          <w:szCs w:val="22"/>
        </w:rPr>
        <w:t>y previa solicitud de las dependencias</w:t>
      </w:r>
      <w:r w:rsidRPr="00603E73">
        <w:rPr>
          <w:rFonts w:ascii="Palatino Linotype" w:eastAsia="Palatino Linotype" w:hAnsi="Palatino Linotype" w:cs="Palatino Linotype"/>
          <w:b/>
          <w:i/>
          <w:sz w:val="22"/>
          <w:szCs w:val="22"/>
        </w:rPr>
        <w:t xml:space="preserve">, </w:t>
      </w:r>
      <w:r w:rsidRPr="00603E73">
        <w:rPr>
          <w:rFonts w:ascii="Palatino Linotype" w:eastAsia="Palatino Linotype" w:hAnsi="Palatino Linotype" w:cs="Palatino Linotype"/>
          <w:b/>
          <w:i/>
          <w:sz w:val="22"/>
          <w:szCs w:val="22"/>
          <w:u w:val="single"/>
        </w:rPr>
        <w:t>queda autorizado para aprobar</w:t>
      </w:r>
      <w:r w:rsidRPr="00603E73">
        <w:rPr>
          <w:rFonts w:ascii="Palatino Linotype" w:eastAsia="Palatino Linotype" w:hAnsi="Palatino Linotype" w:cs="Palatino Linotype"/>
          <w:b/>
          <w:i/>
          <w:sz w:val="22"/>
          <w:szCs w:val="22"/>
        </w:rPr>
        <w:t xml:space="preserve"> </w:t>
      </w:r>
      <w:r w:rsidRPr="00603E73">
        <w:rPr>
          <w:rFonts w:ascii="Palatino Linotype" w:eastAsia="Palatino Linotype" w:hAnsi="Palatino Linotype" w:cs="Palatino Linotype"/>
          <w:i/>
          <w:sz w:val="22"/>
          <w:szCs w:val="22"/>
        </w:rPr>
        <w:t>o modificar, mediante resoluciones de carácter particular, los precios, cuotas, tarifas y</w:t>
      </w:r>
      <w:r w:rsidRPr="00603E73">
        <w:rPr>
          <w:rFonts w:ascii="Palatino Linotype" w:eastAsia="Palatino Linotype" w:hAnsi="Palatino Linotype" w:cs="Palatino Linotype"/>
          <w:b/>
          <w:i/>
          <w:sz w:val="22"/>
          <w:szCs w:val="22"/>
        </w:rPr>
        <w:t xml:space="preserve"> denominaciones de </w:t>
      </w:r>
      <w:r w:rsidRPr="00603E73">
        <w:rPr>
          <w:rFonts w:ascii="Palatino Linotype" w:eastAsia="Palatino Linotype" w:hAnsi="Palatino Linotype" w:cs="Palatino Linotype"/>
          <w:b/>
          <w:i/>
          <w:sz w:val="22"/>
          <w:szCs w:val="22"/>
          <w:u w:val="single"/>
        </w:rPr>
        <w:t>los aprovechamientos que se cobren en el ejercicio fiscal 2022</w:t>
      </w:r>
      <w:r w:rsidRPr="00603E73">
        <w:rPr>
          <w:rFonts w:ascii="Palatino Linotype" w:eastAsia="Palatino Linotype" w:hAnsi="Palatino Linotype" w:cs="Palatino Linotype"/>
          <w:i/>
          <w:sz w:val="22"/>
          <w:szCs w:val="22"/>
          <w:u w:val="single"/>
        </w:rPr>
        <w:t xml:space="preserve">, </w:t>
      </w:r>
      <w:r w:rsidRPr="00603E73">
        <w:rPr>
          <w:rFonts w:ascii="Palatino Linotype" w:eastAsia="Palatino Linotype" w:hAnsi="Palatino Linotype" w:cs="Palatino Linotype"/>
          <w:b/>
          <w:i/>
          <w:sz w:val="22"/>
          <w:szCs w:val="22"/>
          <w:u w:val="single"/>
        </w:rPr>
        <w:t>por el uso o aprovechamiento de bienes del dominio público o por la prestación de servicios en el ejercicio de las funciones de derecho público por los que no se establezcan derechos</w:t>
      </w:r>
      <w:r w:rsidRPr="00603E73">
        <w:rPr>
          <w:rFonts w:ascii="Palatino Linotype" w:eastAsia="Palatino Linotype" w:hAnsi="Palatino Linotype" w:cs="Palatino Linotype"/>
          <w:b/>
          <w:i/>
          <w:sz w:val="22"/>
          <w:szCs w:val="22"/>
        </w:rPr>
        <w:t xml:space="preserve">.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 xml:space="preserve">Para lo anterior, durante el periodo que comprende los meses de enero, febrero y marzo de 2022, y conforme a los Lineamientos que para tal efecto emita la propia Secretaría, las dependencias estarán obligadas a someter para su aprobación o, en su caso, modificación correspondiente de los montos y denominaciones de dichos aprovechamientos.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 xml:space="preserve">Durante el periodo referido en el párrafo anterior, las dependencias podrán cobrar los montos y denominaciones de los aprovechamientos vigentes al 31 de diciembre de 2021, hasta en tanto no sea emitida la resolución correspondiente.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lastRenderedPageBreak/>
        <w:t>Los aprovechamientos que no sean sometidos a la aprobación de la Secretaría de Finanzas no podrán ser cobrados por la Dependencia de que se trate a partir del 1º de abril de dicho año y hasta la fecha en que sean sometidos y aprobados mediante las resoluciones antes referidas. Asimismo, los aprovechamientos cuya aprobación haya sido negada por parte de la Secretaría de Finanzas, no podrán ser cobrados por la Dependencia de que se trate, a partir de la fecha en que surta efectos la notificación de la resolución respectiva.</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 xml:space="preserve">Tratándose de aprovechamientos que no hayan sido cobrados en el ejercicio inmediato anterior o que no se cobren de manera regular, las dependencias interesadas deberán someter para su aprobación a la Secretaría de Finanzas el monto y denominación de dichos aprovechamientos, conforme a los lineamientos referidos en este artículo.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La Secretaría de Finanzas, mediante Reglas de Carácter General, señalará aquellos aprovechamientos que no requieran de autorización para su cobro.</w:t>
      </w:r>
    </w:p>
    <w:p w:rsidR="009D73F7" w:rsidRPr="00603E73" w:rsidRDefault="00F426D3">
      <w:pPr>
        <w:spacing w:before="240" w:after="240" w:line="276" w:lineRule="auto"/>
        <w:ind w:left="567" w:right="567"/>
        <w:jc w:val="both"/>
        <w:rPr>
          <w:rFonts w:ascii="Palatino Linotype" w:eastAsia="Palatino Linotype" w:hAnsi="Palatino Linotype" w:cs="Palatino Linotype"/>
          <w:b/>
          <w:i/>
          <w:sz w:val="22"/>
          <w:szCs w:val="22"/>
        </w:rPr>
      </w:pPr>
      <w:r w:rsidRPr="00603E73">
        <w:rPr>
          <w:rFonts w:ascii="Palatino Linotype" w:eastAsia="Palatino Linotype" w:hAnsi="Palatino Linotype" w:cs="Palatino Linotype"/>
          <w:i/>
          <w:sz w:val="22"/>
          <w:szCs w:val="22"/>
          <w:u w:val="single"/>
        </w:rPr>
        <w:t xml:space="preserve"> </w:t>
      </w:r>
      <w:r w:rsidRPr="00603E73">
        <w:rPr>
          <w:rFonts w:ascii="Palatino Linotype" w:eastAsia="Palatino Linotype" w:hAnsi="Palatino Linotype" w:cs="Palatino Linotype"/>
          <w:b/>
          <w:i/>
          <w:sz w:val="22"/>
          <w:szCs w:val="22"/>
          <w:u w:val="single"/>
        </w:rPr>
        <w:t>Los ingresos por aprovechamientos se podrán destinar, previa aprobación de la Secretaría de Finanzas</w:t>
      </w:r>
      <w:r w:rsidRPr="00603E73">
        <w:rPr>
          <w:rFonts w:ascii="Palatino Linotype" w:eastAsia="Palatino Linotype" w:hAnsi="Palatino Linotype" w:cs="Palatino Linotype"/>
          <w:b/>
          <w:i/>
          <w:sz w:val="22"/>
          <w:szCs w:val="22"/>
        </w:rPr>
        <w:t xml:space="preserve">, a cubrir erogaciones adicionales del Ente Público generador de dichos ingresos; siempre y cuando durante el ejercicio fiscal 2022 se haya recaudado un monto mayor al aprobado en esta Ley y se dé cumplimiento a lo estipulado en las fracciones I y II del artículo 14 de la Ley de Disciplina Financiera de las Entidades Federativas y los Municipios y las fracciones I y II del segundo párrafo del artículo 317 Bis A del Código Financiero del Estado de México y Municipios.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Los ingresos por aprovechamientos se deberán enterar a la Caja General de Gobierno de la Subsecretaría de Tesorería de la Secretaría de Finanzas, a más tardar el décimo día del mes siguiente a aquel en que se obtuvo el ingreso, excepto en aquellos casos que se señalen en el Código Financiero del Estado de México y Municipios. A las dependencias que omitan, total o parcialmente, el cobro o entero de los aprovechamientos establecidos en los términos de esta Ley, se les disminuirá del presupuesto que se les haya asignado para el ejercicio fiscal, una cantidad equivalente al valor de la omisión.” (Sic)</w:t>
      </w: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De lo anterior, podemos observar que existe un destino de los recursos obtenidos por aprovechamientos de bienes del dominio público o por la prestación de servicios de las dependencias del Gobierno del Estado de México, en este caso de la Secretaría de Cultura y Turismo de la entidad.</w:t>
      </w: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lastRenderedPageBreak/>
        <w:t>Lo que se robustece con lo señalado por el artículo 7 del Código Financiero del Estado de México, que señala:</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 xml:space="preserve">“Artículo 7.- </w:t>
      </w:r>
      <w:r w:rsidRPr="00603E73">
        <w:rPr>
          <w:rFonts w:ascii="Palatino Linotype" w:eastAsia="Palatino Linotype" w:hAnsi="Palatino Linotype" w:cs="Palatino Linotype"/>
          <w:b/>
          <w:i/>
          <w:sz w:val="22"/>
          <w:szCs w:val="22"/>
        </w:rPr>
        <w:t xml:space="preserve">Para cubrir el gasto público y demás obligaciones a su cargo, el </w:t>
      </w:r>
      <w:r w:rsidRPr="00603E73">
        <w:rPr>
          <w:rFonts w:ascii="Palatino Linotype" w:eastAsia="Palatino Linotype" w:hAnsi="Palatino Linotype" w:cs="Palatino Linotype"/>
          <w:b/>
          <w:i/>
          <w:sz w:val="22"/>
          <w:szCs w:val="22"/>
          <w:u w:val="single"/>
        </w:rPr>
        <w:t>Estado</w:t>
      </w:r>
      <w:r w:rsidRPr="00603E73">
        <w:rPr>
          <w:rFonts w:ascii="Palatino Linotype" w:eastAsia="Palatino Linotype" w:hAnsi="Palatino Linotype" w:cs="Palatino Linotype"/>
          <w:i/>
          <w:sz w:val="22"/>
          <w:szCs w:val="22"/>
        </w:rPr>
        <w:t xml:space="preserve"> y los Municipios </w:t>
      </w:r>
      <w:r w:rsidRPr="00603E73">
        <w:rPr>
          <w:rFonts w:ascii="Palatino Linotype" w:eastAsia="Palatino Linotype" w:hAnsi="Palatino Linotype" w:cs="Palatino Linotype"/>
          <w:b/>
          <w:i/>
          <w:sz w:val="22"/>
          <w:szCs w:val="22"/>
        </w:rPr>
        <w:t>percibirán en cada ejercicio fiscal los</w:t>
      </w:r>
      <w:r w:rsidRPr="00603E73">
        <w:rPr>
          <w:rFonts w:ascii="Palatino Linotype" w:eastAsia="Palatino Linotype" w:hAnsi="Palatino Linotype" w:cs="Palatino Linotype"/>
          <w:i/>
          <w:sz w:val="22"/>
          <w:szCs w:val="22"/>
        </w:rPr>
        <w:t xml:space="preserve"> impuestos, derechos, aportaciones de mejoras, productos, </w:t>
      </w:r>
      <w:r w:rsidRPr="00603E73">
        <w:rPr>
          <w:rFonts w:ascii="Palatino Linotype" w:eastAsia="Palatino Linotype" w:hAnsi="Palatino Linotype" w:cs="Palatino Linotype"/>
          <w:b/>
          <w:i/>
          <w:sz w:val="22"/>
          <w:szCs w:val="22"/>
        </w:rPr>
        <w:t>aprovechamientos</w:t>
      </w:r>
      <w:r w:rsidRPr="00603E73">
        <w:rPr>
          <w:rFonts w:ascii="Palatino Linotype" w:eastAsia="Palatino Linotype" w:hAnsi="Palatino Linotype" w:cs="Palatino Linotype"/>
          <w:i/>
          <w:sz w:val="22"/>
          <w:szCs w:val="22"/>
        </w:rPr>
        <w:t xml:space="preserve">, ingresos derivados de la coordinación hacendaria, e ingresos provenientes de financiamientos, establecidos en la Ley de Ingresos. Tratándose del Estado, también percibirá las aportaciones y cuotas de seguridad social.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La Ley de Ingresos del Estado se elaborará con base en el Marco de Referencia para las Finanzas Públicas Estatales y/o en los criterios generales de política económica emitidos por el Gobierno Federal y, en su caso, con la última información económica publicada por el Banco de México y la Secretaría de Hacienda y Crédito Público, y deberá ser congruente con el Plan de Desarrollo del Estado y los programas que de él deriven; tratándose de estimaciones de participaciones y transferencias federales etiquetadas, no deberán exceder a las previstas en la Ley de Ingresos de la Federación y en el Presupuesto de Egresos de la Federación del ejercicio fiscal correspondiente.” (Sic)</w:t>
      </w: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Por consiguiente, en términos de los preceptos legales anteriores, logramos inferir que existen indicios sobre el destino de los recursos obtenidos por aprovechamientos de bienes del dominio público o por la prestación de servicios de las dependencias del Gobierno del Estado de México, en este caso de la Secretaría de Cultura y Turismo de la entidad.</w:t>
      </w:r>
    </w:p>
    <w:p w:rsidR="009D73F7" w:rsidRPr="00603E73" w:rsidRDefault="009D73F7">
      <w:pPr>
        <w:spacing w:line="360" w:lineRule="auto"/>
        <w:jc w:val="both"/>
        <w:rPr>
          <w:rFonts w:ascii="Palatino Linotype" w:eastAsia="Palatino Linotype" w:hAnsi="Palatino Linotype" w:cs="Palatino Linotype"/>
        </w:rPr>
      </w:pP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Sin embargo, a través del alcance al informe justificado la Subsecretaría de Ingresos de la Secretaría de Finanzas del Estado de México, informó “</w:t>
      </w:r>
      <w:r w:rsidRPr="00603E73">
        <w:rPr>
          <w:rFonts w:ascii="Palatino Linotype" w:eastAsia="Palatino Linotype" w:hAnsi="Palatino Linotype" w:cs="Palatino Linotype"/>
          <w:b/>
          <w:i/>
          <w:u w:val="single"/>
        </w:rPr>
        <w:t xml:space="preserve">que todos los ingresos recaudados por el Gobierno del Estado de México son integrados en una cuenta concentradora y son destinados a sufragar el gasto público </w:t>
      </w:r>
      <w:r w:rsidRPr="00603E73">
        <w:rPr>
          <w:rFonts w:ascii="Palatino Linotype" w:eastAsia="Palatino Linotype" w:hAnsi="Palatino Linotype" w:cs="Palatino Linotype"/>
        </w:rPr>
        <w:t>y que sólo podrán destinarse a un fin específico cuando así lo exprese el Código, la Ley de Ingresos o el Presupuesto de Egresos…” (Sic), en términos del fundamento legal que refirió.</w:t>
      </w: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lastRenderedPageBreak/>
        <w:t>Asimismo, señaló que de manera anual se publica en el Periódico Oficial “Gaceta de Gobierno”, el presupuesto el presupuesto de Egresos del Gobierno del Estado de México, el cual tiene como propósito establecer la asignación y distribución de los recursos públicos orientada a los resultados con eficacia, eficiencia y economía presupuestal.</w:t>
      </w:r>
    </w:p>
    <w:p w:rsidR="009D73F7" w:rsidRPr="00603E73" w:rsidRDefault="009D73F7">
      <w:pPr>
        <w:spacing w:line="360" w:lineRule="auto"/>
        <w:jc w:val="both"/>
        <w:rPr>
          <w:rFonts w:ascii="Palatino Linotype" w:eastAsia="Palatino Linotype" w:hAnsi="Palatino Linotype" w:cs="Palatino Linotype"/>
        </w:rPr>
      </w:pP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Lo que se entiende que los recursos obtenidos por aprovechamientos de bienes del dominio público o por la prestación de servicios de las dependencias del Gobierno del Estado de México, en este caso de la Secretaría de Cultura y Turismo de la entidad, </w:t>
      </w:r>
      <w:r w:rsidRPr="00603E73">
        <w:rPr>
          <w:rFonts w:ascii="Palatino Linotype" w:eastAsia="Palatino Linotype" w:hAnsi="Palatino Linotype" w:cs="Palatino Linotype"/>
          <w:b/>
          <w:u w:val="single"/>
        </w:rPr>
        <w:t>son destinados para financiar el gasto público</w:t>
      </w:r>
      <w:r w:rsidRPr="00603E73">
        <w:rPr>
          <w:rFonts w:ascii="Palatino Linotype" w:eastAsia="Palatino Linotype" w:hAnsi="Palatino Linotype" w:cs="Palatino Linotype"/>
        </w:rPr>
        <w:t>.</w:t>
      </w:r>
    </w:p>
    <w:p w:rsidR="009D73F7" w:rsidRPr="00603E73" w:rsidRDefault="009D73F7">
      <w:pPr>
        <w:spacing w:line="360" w:lineRule="auto"/>
        <w:jc w:val="both"/>
        <w:rPr>
          <w:rFonts w:ascii="Palatino Linotype" w:eastAsia="Palatino Linotype" w:hAnsi="Palatino Linotype" w:cs="Palatino Linotype"/>
        </w:rPr>
      </w:pP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Colmando con ello el derecho de acceso a la información pública de la </w:t>
      </w:r>
      <w:r w:rsidRPr="00603E73">
        <w:rPr>
          <w:rFonts w:ascii="Palatino Linotype" w:eastAsia="Palatino Linotype" w:hAnsi="Palatino Linotype" w:cs="Palatino Linotype"/>
          <w:b/>
        </w:rPr>
        <w:t>RECURRENTE</w:t>
      </w:r>
      <w:r w:rsidRPr="00603E73">
        <w:rPr>
          <w:rFonts w:ascii="Palatino Linotype" w:eastAsia="Palatino Linotype" w:hAnsi="Palatino Linotype" w:cs="Palatino Linotype"/>
        </w:rPr>
        <w:t xml:space="preserve">, en razón de que el área del </w:t>
      </w:r>
      <w:r w:rsidRPr="00603E73">
        <w:rPr>
          <w:rFonts w:ascii="Palatino Linotype" w:eastAsia="Palatino Linotype" w:hAnsi="Palatino Linotype" w:cs="Palatino Linotype"/>
          <w:b/>
        </w:rPr>
        <w:t>SUJETO OBLIGADO</w:t>
      </w:r>
      <w:r w:rsidRPr="00603E73">
        <w:rPr>
          <w:rFonts w:ascii="Palatino Linotype" w:eastAsia="Palatino Linotype" w:hAnsi="Palatino Linotype" w:cs="Palatino Linotype"/>
        </w:rPr>
        <w:t xml:space="preserve"> que se pronunció, fue la </w:t>
      </w:r>
      <w:r w:rsidRPr="00603E73">
        <w:rPr>
          <w:rFonts w:ascii="Palatino Linotype" w:eastAsia="Palatino Linotype" w:hAnsi="Palatino Linotype" w:cs="Palatino Linotype"/>
          <w:b/>
        </w:rPr>
        <w:t>Subsecretaría de Ingresos de la Secretaría de Finanzas</w:t>
      </w:r>
      <w:r w:rsidRPr="00603E73">
        <w:rPr>
          <w:rFonts w:ascii="Palatino Linotype" w:eastAsia="Palatino Linotype" w:hAnsi="Palatino Linotype" w:cs="Palatino Linotype"/>
        </w:rPr>
        <w:t xml:space="preserve"> del Estado de México, que en términos de lo señalado por el artículo 10 del Reglamento Interior de la Secretaría de Finanzas, tiene las siguientes atribuciones:</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 xml:space="preserve"> “Artículo 10.- Corresponde al Subsecretario de Ingresos: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b/>
          <w:i/>
          <w:sz w:val="22"/>
          <w:szCs w:val="22"/>
        </w:rPr>
        <w:t xml:space="preserve">I. Proponer al Secretario, la política de ingresos en materia fiscal, de </w:t>
      </w:r>
      <w:r w:rsidRPr="00603E73">
        <w:rPr>
          <w:rFonts w:ascii="Palatino Linotype" w:eastAsia="Palatino Linotype" w:hAnsi="Palatino Linotype" w:cs="Palatino Linotype"/>
          <w:b/>
          <w:i/>
          <w:sz w:val="22"/>
          <w:szCs w:val="22"/>
          <w:u w:val="single"/>
        </w:rPr>
        <w:t>recaudación, de fiscalización</w:t>
      </w:r>
      <w:r w:rsidRPr="00603E73">
        <w:rPr>
          <w:rFonts w:ascii="Palatino Linotype" w:eastAsia="Palatino Linotype" w:hAnsi="Palatino Linotype" w:cs="Palatino Linotype"/>
          <w:i/>
          <w:sz w:val="22"/>
          <w:szCs w:val="22"/>
        </w:rPr>
        <w:t xml:space="preserve">, de regulación de casas de empeño, comercializadoras y de asistencia al contribuyente.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 xml:space="preserve">II. Proponer al Secretario, reformas a las leyes, reglamentos, decretos y disposiciones de orden financiero, fiscal y administrativo.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III. Promover el cumplimiento de leyes, códigos, reglamentos y demás disposiciones jurídicas o administrativas en materia fiscal y las obligaciones derivadas de los convenios de coordinación con la federación, entidades federativas, ayuntamientos y organismos auxiliares.</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lastRenderedPageBreak/>
        <w:t xml:space="preserve">IV. Ejercer las atribuciones derivadas de los convenios de adhesión al Sistema Nacional de Coordinación Fiscal, de Colaboración Administrativa en materia Fiscal Federal, del Sistema Estatal de Coordinación Hacendaria y convenios de colaboración y coordinación administrativa con la Federación, sus paraestatales, entidades federativas, Ciudad de México y municipios, en el ámbito de su competencia.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 xml:space="preserve">V. Emitir, previo acuerdo del Secretario, resoluciones por las cuales se fijen o modifiquen los aprovechamientos o productos que cobren las dependencias.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 xml:space="preserve">VI. Supervisar el trámite de las solicitudes que presenten los contribuyentes ante las Unidades Administrativas de la Subsecretaría en materia de: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 xml:space="preserve">a) Pago a plazos de créditos fiscales en forma diferida o en parcialidades.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 xml:space="preserve">b) Devolución de cantidades pagadas indebidamente al fisco estatal.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 xml:space="preserve">c) Derogada.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 xml:space="preserve">d) Compensaciones.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 xml:space="preserve">VII. Convenir con los gobiernos municipales, sociedades e instituciones de crédito y sociedades mercantiles, para que por cuenta de la Secretaría, reciban el pago de los ingresos tributarios al erario estatal.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 xml:space="preserve">VIII. Promover la colaboración administrativa y la concertación con los gobiernos municipales, en el marco del Sistema Estatal de Coordinación Hacendaria, y la cooperación con otras entidades federativas.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 xml:space="preserve">IX. Resolver sobre la dispensa de la garantía del interés fiscal, en los casos previstos por el marco jurídico vigente.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b/>
          <w:i/>
          <w:sz w:val="22"/>
          <w:szCs w:val="22"/>
        </w:rPr>
        <w:t>X. Dirigir y coordinar los estudios de política fiscal, que sirvan como base para la elaboración del anteproyecto de la Ley de Ingresos del Estado de México, para el ejercicio fiscal correspondiente</w:t>
      </w:r>
      <w:r w:rsidRPr="00603E73">
        <w:rPr>
          <w:rFonts w:ascii="Palatino Linotype" w:eastAsia="Palatino Linotype" w:hAnsi="Palatino Linotype" w:cs="Palatino Linotype"/>
          <w:i/>
          <w:sz w:val="22"/>
          <w:szCs w:val="22"/>
        </w:rPr>
        <w:t xml:space="preserve">.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b/>
          <w:i/>
          <w:sz w:val="22"/>
          <w:szCs w:val="22"/>
        </w:rPr>
        <w:t>XI. Rendir a las autoridades federales correspondientes, la cuenta comprobada mensual, en términos del Convenio celebrado con la Secretaría de Hacienda y Crédito Público</w:t>
      </w:r>
      <w:r w:rsidRPr="00603E73">
        <w:rPr>
          <w:rFonts w:ascii="Palatino Linotype" w:eastAsia="Palatino Linotype" w:hAnsi="Palatino Linotype" w:cs="Palatino Linotype"/>
          <w:i/>
          <w:sz w:val="22"/>
          <w:szCs w:val="22"/>
        </w:rPr>
        <w:t xml:space="preserve">.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lastRenderedPageBreak/>
        <w:t xml:space="preserve">XII. Coordinar las acciones de asistencia y orientación al contribuyente. </w:t>
      </w:r>
    </w:p>
    <w:p w:rsidR="009D73F7" w:rsidRPr="00603E73" w:rsidRDefault="00F426D3">
      <w:pPr>
        <w:spacing w:before="240" w:after="240" w:line="276" w:lineRule="auto"/>
        <w:ind w:left="567" w:right="567"/>
        <w:jc w:val="both"/>
        <w:rPr>
          <w:rFonts w:ascii="Palatino Linotype" w:eastAsia="Palatino Linotype" w:hAnsi="Palatino Linotype" w:cs="Palatino Linotype"/>
          <w:b/>
          <w:i/>
          <w:sz w:val="22"/>
          <w:szCs w:val="22"/>
        </w:rPr>
      </w:pPr>
      <w:r w:rsidRPr="00603E73">
        <w:rPr>
          <w:rFonts w:ascii="Palatino Linotype" w:eastAsia="Palatino Linotype" w:hAnsi="Palatino Linotype" w:cs="Palatino Linotype"/>
          <w:b/>
          <w:i/>
          <w:sz w:val="22"/>
          <w:szCs w:val="22"/>
        </w:rPr>
        <w:t xml:space="preserve">XIII. Coordinar con las unidades administrativas de la Subsecretaría, campañas de difusión en materia fiscal.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 xml:space="preserve">XIV. Coordinar la difusión, a través de conferencias, talleres y cursos de las disposiciones fiscales vigentes en la entidad.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 xml:space="preserve">XV. Coordinar la elaboración de documentos de orientación en materia fiscal y en su caso administrativa en el ámbito de su competencia.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 xml:space="preserve">XVI. Emitir, previo acuerdo con el Secretario, políticas y lineamientos en materia de transporte particular y comercial.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 xml:space="preserve">XVII. Vigilar el cumplimiento de la legislación que, en materia de casas de empeño y comercializadoras, se encuentre encomendada a la Secretaría de Finanzas.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 xml:space="preserve">XVIII. Emitir cuando proceda, las resoluciones por las cuales se modifiquen los precios y tarifas que sean informados por las Entidades Públicas.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 xml:space="preserve">XIX. Solicitar a la Subsecretaría de Tesorería la aplicación de las retenciones o afectaciones a las aportaciones federales que correspondan conforme a las leyes, códigos, reglamentos y demás disposiciones jurídicas en materia fiscal.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 xml:space="preserve">XX. Autorizar las reglas de carácter general y establecer las políticas y los lineamientos generales en materia del programa de estímulos a la productividad, así como establecer el programa de acciones, o las disposiciones de carácter jurídico o administrativo, encaminados a incrementar el ingreso de los recursos tributarios de la Entidad. </w:t>
      </w:r>
    </w:p>
    <w:p w:rsidR="009D73F7" w:rsidRPr="00603E73" w:rsidRDefault="00F426D3">
      <w:pPr>
        <w:spacing w:before="240" w:after="240" w:line="276" w:lineRule="auto"/>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XXI. Las demás que le confieran otras disposiciones legales y las que le encomiende el Secretario.” (Sic)</w:t>
      </w: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Además, este Organismo Garante estima conveniente señalar que no está facultado para manifestarse sobre la veracidad de la información proporcionada en respuesta como en alcance al informe justificado, ya que no existe precepto legal alguno en la Ley de la Materia que permita, vía recurso de revisión, se pronuncie al respecto. Por analogía, sirve de apoyo a lo anterior el Criterio 31-10 emitido por el entonces </w:t>
      </w:r>
      <w:r w:rsidRPr="00603E73">
        <w:rPr>
          <w:rFonts w:ascii="Palatino Linotype" w:eastAsia="Palatino Linotype" w:hAnsi="Palatino Linotype" w:cs="Palatino Linotype"/>
        </w:rPr>
        <w:lastRenderedPageBreak/>
        <w:t>Instituto Federal de Accesos a la Información y Protección de Datos, que a la letra establece lo siguiente:</w:t>
      </w:r>
    </w:p>
    <w:p w:rsidR="009D73F7" w:rsidRPr="00603E73" w:rsidRDefault="00F426D3">
      <w:pPr>
        <w:spacing w:before="120" w:after="120"/>
        <w:ind w:left="851" w:right="851"/>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w:t>
      </w:r>
      <w:r w:rsidRPr="00603E73">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603E73">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9D73F7" w:rsidRPr="00603E73" w:rsidRDefault="009D73F7">
      <w:pPr>
        <w:pBdr>
          <w:top w:val="nil"/>
          <w:left w:val="nil"/>
          <w:bottom w:val="nil"/>
          <w:right w:val="nil"/>
          <w:between w:val="nil"/>
        </w:pBdr>
        <w:spacing w:line="360" w:lineRule="auto"/>
        <w:jc w:val="both"/>
        <w:rPr>
          <w:rFonts w:ascii="Palatino Linotype" w:eastAsia="Palatino Linotype" w:hAnsi="Palatino Linotype" w:cs="Palatino Linotype"/>
        </w:rPr>
      </w:pPr>
    </w:p>
    <w:p w:rsidR="009D73F7" w:rsidRPr="00603E73" w:rsidRDefault="00F426D3">
      <w:pPr>
        <w:pBdr>
          <w:top w:val="nil"/>
          <w:left w:val="nil"/>
          <w:bottom w:val="nil"/>
          <w:right w:val="nil"/>
          <w:between w:val="nil"/>
        </w:pBd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9D73F7" w:rsidRPr="00603E73" w:rsidRDefault="009D73F7">
      <w:pPr>
        <w:pBdr>
          <w:top w:val="nil"/>
          <w:left w:val="nil"/>
          <w:bottom w:val="nil"/>
          <w:right w:val="nil"/>
          <w:between w:val="nil"/>
        </w:pBdr>
        <w:spacing w:line="360" w:lineRule="auto"/>
        <w:jc w:val="both"/>
        <w:rPr>
          <w:rFonts w:ascii="Palatino Linotype" w:eastAsia="Palatino Linotype" w:hAnsi="Palatino Linotype" w:cs="Palatino Linotype"/>
        </w:rPr>
      </w:pPr>
    </w:p>
    <w:p w:rsidR="009D73F7" w:rsidRPr="00603E73"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rsidR="009D73F7" w:rsidRPr="00603E73" w:rsidRDefault="009D73F7">
      <w:pPr>
        <w:spacing w:line="360" w:lineRule="auto"/>
        <w:jc w:val="both"/>
        <w:rPr>
          <w:rFonts w:ascii="Palatino Linotype" w:eastAsia="Palatino Linotype" w:hAnsi="Palatino Linotype" w:cs="Palatino Linotype"/>
        </w:rPr>
      </w:pPr>
    </w:p>
    <w:p w:rsidR="009D73F7" w:rsidRPr="00603E73" w:rsidRDefault="00F426D3">
      <w:pPr>
        <w:ind w:left="992" w:right="1043"/>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b/>
          <w:i/>
          <w:sz w:val="22"/>
          <w:szCs w:val="22"/>
        </w:rPr>
        <w:t xml:space="preserve">“Artículo 192. </w:t>
      </w:r>
      <w:r w:rsidRPr="00603E73">
        <w:rPr>
          <w:rFonts w:ascii="Palatino Linotype" w:eastAsia="Palatino Linotype" w:hAnsi="Palatino Linotype" w:cs="Palatino Linotype"/>
          <w:i/>
          <w:sz w:val="22"/>
          <w:szCs w:val="22"/>
        </w:rPr>
        <w:t>El recurso será sobreseído en todo o en parte cuando una vez admitido, se actualicen alguno de los siguientes supuestos:</w:t>
      </w:r>
    </w:p>
    <w:p w:rsidR="009D73F7" w:rsidRPr="00603E73" w:rsidRDefault="00F426D3">
      <w:pPr>
        <w:ind w:left="992" w:right="1043"/>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b/>
          <w:i/>
          <w:sz w:val="22"/>
          <w:szCs w:val="22"/>
        </w:rPr>
        <w:t>…</w:t>
      </w:r>
    </w:p>
    <w:p w:rsidR="009D73F7" w:rsidRPr="00603E73" w:rsidRDefault="00F426D3">
      <w:pPr>
        <w:ind w:left="992" w:right="1043"/>
        <w:jc w:val="both"/>
        <w:rPr>
          <w:rFonts w:ascii="Palatino Linotype" w:eastAsia="Palatino Linotype" w:hAnsi="Palatino Linotype" w:cs="Palatino Linotype"/>
          <w:b/>
          <w:i/>
          <w:sz w:val="22"/>
          <w:szCs w:val="22"/>
        </w:rPr>
      </w:pPr>
      <w:r w:rsidRPr="00603E73">
        <w:rPr>
          <w:rFonts w:ascii="Palatino Linotype" w:eastAsia="Palatino Linotype" w:hAnsi="Palatino Linotype" w:cs="Palatino Linotype"/>
          <w:b/>
          <w:i/>
          <w:sz w:val="22"/>
          <w:szCs w:val="22"/>
        </w:rPr>
        <w:lastRenderedPageBreak/>
        <w:t>III. El sujeto obligado responsable del acto lo modifique o revoque de tal manera que el recurso de revisión quede sin materia…”. (Sic)</w:t>
      </w:r>
    </w:p>
    <w:p w:rsidR="009D73F7" w:rsidRPr="00603E73" w:rsidRDefault="009D73F7">
      <w:pPr>
        <w:spacing w:line="360" w:lineRule="auto"/>
        <w:jc w:val="both"/>
        <w:rPr>
          <w:rFonts w:ascii="Palatino Linotype" w:eastAsia="Palatino Linotype" w:hAnsi="Palatino Linotype" w:cs="Palatino Linotype"/>
          <w:b/>
          <w:i/>
        </w:rPr>
      </w:pPr>
    </w:p>
    <w:p w:rsidR="009D73F7" w:rsidRPr="00603E73" w:rsidRDefault="00F426D3">
      <w:pPr>
        <w:spacing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De lo establecido en el precepto legal citado se advierte que el sobreseimiento del recurso de revisión procede en los siguientes casos:</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a) Cuando el sujeto obligado modifique el acto impugnado.</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b) Cuando el sujeto obligado revoque el acto impugnado.</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Quedando en ambos casos el acto combatido sin materia o sin efectos.</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Como se observa de lo anterior, un acto impugnado es modificado en aquellos casos en los que el </w:t>
      </w:r>
      <w:r w:rsidRPr="00603E73">
        <w:rPr>
          <w:rFonts w:ascii="Palatino Linotype" w:eastAsia="Palatino Linotype" w:hAnsi="Palatino Linotype" w:cs="Palatino Linotype"/>
          <w:b/>
        </w:rPr>
        <w:t>SUJETO OBLIGADO</w:t>
      </w:r>
      <w:r w:rsidRPr="00603E73">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sidRPr="00603E73">
        <w:rPr>
          <w:rFonts w:ascii="Palatino Linotype" w:eastAsia="Palatino Linotype" w:hAnsi="Palatino Linotype" w:cs="Palatino Linotype"/>
          <w:b/>
        </w:rPr>
        <w:t>RECURRENTE</w:t>
      </w:r>
      <w:r w:rsidRPr="00603E73">
        <w:rPr>
          <w:rFonts w:ascii="Palatino Linotype" w:eastAsia="Palatino Linotype" w:hAnsi="Palatino Linotype" w:cs="Palatino Linotype"/>
        </w:rPr>
        <w:t>.</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Por lo que hace a la revocación, esta se actualiza cuando el </w:t>
      </w:r>
      <w:r w:rsidRPr="00603E73">
        <w:rPr>
          <w:rFonts w:ascii="Palatino Linotype" w:eastAsia="Palatino Linotype" w:hAnsi="Palatino Linotype" w:cs="Palatino Linotype"/>
          <w:b/>
        </w:rPr>
        <w:t xml:space="preserve">SUJETO OBLIGADO </w:t>
      </w:r>
      <w:r w:rsidRPr="00603E73">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rsidR="009D73F7" w:rsidRPr="00603E73" w:rsidRDefault="00F426D3">
      <w:pPr>
        <w:spacing w:before="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En tanto, en el presente caso queda sin materia, toda vez que, con el alcance al Informe Justificado, el </w:t>
      </w:r>
      <w:r w:rsidRPr="00603E73">
        <w:rPr>
          <w:rFonts w:ascii="Palatino Linotype" w:eastAsia="Palatino Linotype" w:hAnsi="Palatino Linotype" w:cs="Palatino Linotype"/>
          <w:b/>
        </w:rPr>
        <w:t>SUJETO OBLIGADO</w:t>
      </w:r>
      <w:r w:rsidRPr="00603E73">
        <w:rPr>
          <w:rFonts w:ascii="Palatino Linotype" w:eastAsia="Palatino Linotype" w:hAnsi="Palatino Linotype" w:cs="Palatino Linotype"/>
        </w:rPr>
        <w:t xml:space="preserve"> modificó la respuesta al señalar que se </w:t>
      </w:r>
      <w:r w:rsidRPr="00603E73">
        <w:rPr>
          <w:rFonts w:ascii="Palatino Linotype" w:eastAsia="Palatino Linotype" w:hAnsi="Palatino Linotype" w:cs="Palatino Linotype"/>
        </w:rPr>
        <w:lastRenderedPageBreak/>
        <w:t xml:space="preserve">hace con los recursos obtenidos por aprovechamientos de bienes del dominio público o por la prestación de servicios de las dependencias del Gobierno del Estado de México, en este caso de la Secretaría de Cultura y Turismo de la entidad; </w:t>
      </w:r>
      <w:r w:rsidRPr="00603E73">
        <w:rPr>
          <w:rFonts w:ascii="Palatino Linotype" w:eastAsia="Palatino Linotype" w:hAnsi="Palatino Linotype" w:cs="Palatino Linotype"/>
          <w:b/>
          <w:u w:val="single"/>
        </w:rPr>
        <w:t>al ser integrados a una cuenta concentradora y destinados a sufragar el gasto público.</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Tomando en consideración dicha circunstancia, así como el hecho de que la información proporcionada por el </w:t>
      </w:r>
      <w:r w:rsidRPr="00603E73">
        <w:rPr>
          <w:rFonts w:ascii="Palatino Linotype" w:eastAsia="Palatino Linotype" w:hAnsi="Palatino Linotype" w:cs="Palatino Linotype"/>
          <w:b/>
        </w:rPr>
        <w:t>SUJETO OBLIGADO</w:t>
      </w:r>
      <w:r w:rsidRPr="00603E73">
        <w:rPr>
          <w:rFonts w:ascii="Palatino Linotype" w:eastAsia="Palatino Linotype" w:hAnsi="Palatino Linotype" w:cs="Palatino Linotype"/>
        </w:rPr>
        <w:t xml:space="preserve"> fue puesta a la vista de la parte </w:t>
      </w:r>
      <w:r w:rsidRPr="00603E73">
        <w:rPr>
          <w:rFonts w:ascii="Palatino Linotype" w:eastAsia="Palatino Linotype" w:hAnsi="Palatino Linotype" w:cs="Palatino Linotype"/>
          <w:b/>
        </w:rPr>
        <w:t xml:space="preserve">RECURRENTE </w:t>
      </w:r>
      <w:r w:rsidRPr="00603E73">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En resumen, el </w:t>
      </w:r>
      <w:r w:rsidRPr="00603E73">
        <w:rPr>
          <w:rFonts w:ascii="Palatino Linotype" w:eastAsia="Palatino Linotype" w:hAnsi="Palatino Linotype" w:cs="Palatino Linotype"/>
          <w:b/>
        </w:rPr>
        <w:t>SUJETO OBLIGADO</w:t>
      </w:r>
      <w:r w:rsidRPr="00603E73">
        <w:rPr>
          <w:rFonts w:ascii="Palatino Linotype" w:eastAsia="Palatino Linotype" w:hAnsi="Palatino Linotype" w:cs="Palatino Linotype"/>
        </w:rPr>
        <w:t xml:space="preserve"> dio respuesta completa a la solicitud de acceso a la información pública de la parte </w:t>
      </w:r>
      <w:r w:rsidRPr="00603E73">
        <w:rPr>
          <w:rFonts w:ascii="Palatino Linotype" w:eastAsia="Palatino Linotype" w:hAnsi="Palatino Linotype" w:cs="Palatino Linotype"/>
          <w:b/>
        </w:rPr>
        <w:t>RECURRENTE</w:t>
      </w:r>
      <w:r w:rsidRPr="00603E73">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9D73F7" w:rsidRPr="00603E73" w:rsidRDefault="00F426D3">
      <w:pPr>
        <w:spacing w:before="240"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 xml:space="preserve">Siendo el </w:t>
      </w:r>
      <w:r w:rsidRPr="00603E73">
        <w:rPr>
          <w:rFonts w:ascii="Palatino Linotype" w:eastAsia="Palatino Linotype" w:hAnsi="Palatino Linotype" w:cs="Palatino Linotype"/>
          <w:i/>
        </w:rPr>
        <w:t>sobreseimiento</w:t>
      </w:r>
      <w:r w:rsidRPr="00603E73">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parte </w:t>
      </w:r>
      <w:r w:rsidRPr="00603E73">
        <w:rPr>
          <w:rFonts w:ascii="Palatino Linotype" w:eastAsia="Palatino Linotype" w:hAnsi="Palatino Linotype" w:cs="Palatino Linotype"/>
          <w:b/>
        </w:rPr>
        <w:t>RECURRENTE</w:t>
      </w:r>
      <w:r w:rsidRPr="00603E73">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rsidR="009D73F7" w:rsidRPr="00603E73" w:rsidRDefault="00F426D3">
      <w:pPr>
        <w:spacing w:before="240"/>
        <w:ind w:left="567" w:right="567"/>
        <w:jc w:val="both"/>
        <w:rPr>
          <w:rFonts w:ascii="Palatino Linotype" w:eastAsia="Palatino Linotype" w:hAnsi="Palatino Linotype" w:cs="Palatino Linotype"/>
          <w:b/>
          <w:i/>
        </w:rPr>
      </w:pPr>
      <w:r w:rsidRPr="00603E73">
        <w:rPr>
          <w:rFonts w:ascii="Palatino Linotype" w:eastAsia="Palatino Linotype" w:hAnsi="Palatino Linotype" w:cs="Palatino Linotype"/>
          <w:i/>
          <w:sz w:val="22"/>
          <w:szCs w:val="22"/>
        </w:rPr>
        <w:lastRenderedPageBreak/>
        <w:t>“</w:t>
      </w:r>
      <w:r w:rsidRPr="00603E73">
        <w:rPr>
          <w:rFonts w:ascii="Palatino Linotype" w:eastAsia="Palatino Linotype" w:hAnsi="Palatino Linotype" w:cs="Palatino Linotype"/>
          <w:b/>
          <w:i/>
          <w:sz w:val="22"/>
          <w:szCs w:val="22"/>
        </w:rPr>
        <w:t>SOBRESEIMIENTO, NO PERMITE ENTRAR AL ESTUDIO DE LAS CUESTIONES DE FONDO</w:t>
      </w:r>
    </w:p>
    <w:p w:rsidR="009D73F7" w:rsidRPr="00603E73" w:rsidRDefault="00F426D3">
      <w:pPr>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9D73F7" w:rsidRPr="00603E73" w:rsidRDefault="00F426D3">
      <w:pPr>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9D73F7" w:rsidRPr="00603E73" w:rsidRDefault="009D73F7">
      <w:pPr>
        <w:ind w:left="567" w:right="567"/>
        <w:jc w:val="both"/>
        <w:rPr>
          <w:rFonts w:ascii="Palatino Linotype" w:eastAsia="Palatino Linotype" w:hAnsi="Palatino Linotype" w:cs="Palatino Linotype"/>
          <w:i/>
          <w:sz w:val="22"/>
          <w:szCs w:val="22"/>
        </w:rPr>
      </w:pPr>
    </w:p>
    <w:p w:rsidR="009D73F7" w:rsidRPr="00603E73" w:rsidRDefault="00F426D3">
      <w:pPr>
        <w:spacing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rsidR="009D73F7" w:rsidRPr="00603E73" w:rsidRDefault="00F426D3">
      <w:pPr>
        <w:spacing w:before="240"/>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rPr>
        <w:t xml:space="preserve"> </w:t>
      </w:r>
      <w:r w:rsidRPr="00603E73">
        <w:rPr>
          <w:rFonts w:ascii="Palatino Linotype" w:eastAsia="Palatino Linotype" w:hAnsi="Palatino Linotype" w:cs="Palatino Linotype"/>
          <w:i/>
          <w:sz w:val="22"/>
          <w:szCs w:val="22"/>
        </w:rPr>
        <w:t>“DESECHAMIENTO O SOBRESEIMIENTO EN EL JUICIO DE AMPARO. NO IMPLICA DENEGACIÓN DE JUSTICIA NI GENERA INSEGURIDAD JURÍDICA”</w:t>
      </w:r>
    </w:p>
    <w:p w:rsidR="009D73F7" w:rsidRPr="00603E73" w:rsidRDefault="00F426D3">
      <w:pPr>
        <w:ind w:left="567" w:right="567"/>
        <w:jc w:val="both"/>
        <w:rPr>
          <w:rFonts w:ascii="Palatino Linotype" w:eastAsia="Palatino Linotype" w:hAnsi="Palatino Linotype" w:cs="Palatino Linotype"/>
          <w:i/>
          <w:sz w:val="22"/>
          <w:szCs w:val="22"/>
        </w:rPr>
      </w:pPr>
      <w:r w:rsidRPr="00603E73">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603E73">
        <w:rPr>
          <w:rFonts w:ascii="Palatino Linotype" w:eastAsia="Palatino Linotype" w:hAnsi="Palatino Linotype" w:cs="Palatino Linotype"/>
          <w:i/>
          <w:sz w:val="22"/>
          <w:szCs w:val="22"/>
        </w:rPr>
        <w:t>promovente</w:t>
      </w:r>
      <w:proofErr w:type="spellEnd"/>
      <w:r w:rsidRPr="00603E73">
        <w:rPr>
          <w:rFonts w:ascii="Palatino Linotype" w:eastAsia="Palatino Linotype" w:hAnsi="Palatino Linotype" w:cs="Palatino Linotype"/>
          <w:i/>
          <w:sz w:val="22"/>
          <w:szCs w:val="22"/>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9D73F7" w:rsidRPr="00603E73" w:rsidRDefault="009D73F7">
      <w:pPr>
        <w:ind w:left="567" w:right="567"/>
        <w:jc w:val="both"/>
        <w:rPr>
          <w:rFonts w:ascii="Palatino Linotype" w:eastAsia="Palatino Linotype" w:hAnsi="Palatino Linotype" w:cs="Palatino Linotype"/>
          <w:i/>
          <w:sz w:val="22"/>
          <w:szCs w:val="22"/>
        </w:rPr>
      </w:pPr>
    </w:p>
    <w:p w:rsidR="009D73F7" w:rsidRPr="00603E73" w:rsidRDefault="00F426D3">
      <w:pPr>
        <w:spacing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9D73F7" w:rsidRPr="00603E73" w:rsidRDefault="00F426D3">
      <w:pPr>
        <w:spacing w:before="240" w:line="360" w:lineRule="auto"/>
        <w:ind w:left="360"/>
        <w:jc w:val="center"/>
        <w:rPr>
          <w:rFonts w:ascii="Palatino Linotype" w:eastAsia="Palatino Linotype" w:hAnsi="Palatino Linotype" w:cs="Palatino Linotype"/>
          <w:b/>
        </w:rPr>
      </w:pPr>
      <w:r w:rsidRPr="00603E73">
        <w:rPr>
          <w:rFonts w:ascii="Palatino Linotype" w:eastAsia="Palatino Linotype" w:hAnsi="Palatino Linotype" w:cs="Palatino Linotype"/>
          <w:b/>
        </w:rPr>
        <w:lastRenderedPageBreak/>
        <w:t>III.R E S U E L V E:</w:t>
      </w:r>
    </w:p>
    <w:p w:rsidR="009D73F7" w:rsidRPr="00603E73" w:rsidRDefault="00F426D3">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b/>
        </w:rPr>
        <w:t>Primero</w:t>
      </w:r>
      <w:r w:rsidRPr="00603E73">
        <w:rPr>
          <w:rFonts w:ascii="Palatino Linotype" w:eastAsia="Palatino Linotype" w:hAnsi="Palatino Linotype" w:cs="Palatino Linotype"/>
        </w:rPr>
        <w:t xml:space="preserve">. Se </w:t>
      </w:r>
      <w:r w:rsidRPr="00603E73">
        <w:rPr>
          <w:rFonts w:ascii="Palatino Linotype" w:eastAsia="Palatino Linotype" w:hAnsi="Palatino Linotype" w:cs="Palatino Linotype"/>
          <w:b/>
        </w:rPr>
        <w:t>SOBRESEE</w:t>
      </w:r>
      <w:r w:rsidRPr="00603E73">
        <w:rPr>
          <w:rFonts w:ascii="Palatino Linotype" w:eastAsia="Palatino Linotype" w:hAnsi="Palatino Linotype" w:cs="Palatino Linotype"/>
        </w:rPr>
        <w:t xml:space="preserve"> el recurso de revisión número </w:t>
      </w:r>
      <w:r w:rsidRPr="00603E73">
        <w:rPr>
          <w:rFonts w:ascii="Palatino Linotype" w:eastAsia="Palatino Linotype" w:hAnsi="Palatino Linotype" w:cs="Palatino Linotype"/>
          <w:b/>
        </w:rPr>
        <w:t>06999/INFOEM/IP/RR/2022,</w:t>
      </w:r>
      <w:r w:rsidRPr="00603E73">
        <w:rPr>
          <w:rFonts w:ascii="Palatino Linotype" w:eastAsia="Palatino Linotype" w:hAnsi="Palatino Linotype" w:cs="Palatino Linotype"/>
        </w:rPr>
        <w:t xml:space="preserve"> porque al </w:t>
      </w:r>
      <w:r w:rsidRPr="00603E73">
        <w:rPr>
          <w:rFonts w:ascii="Palatino Linotype" w:eastAsia="Palatino Linotype" w:hAnsi="Palatino Linotype" w:cs="Palatino Linotype"/>
          <w:b/>
        </w:rPr>
        <w:t>modificar la respuesta</w:t>
      </w:r>
      <w:r w:rsidRPr="00603E73">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603E73">
        <w:rPr>
          <w:rFonts w:ascii="Palatino Linotype" w:eastAsia="Palatino Linotype" w:hAnsi="Palatino Linotype" w:cs="Palatino Linotype"/>
          <w:i/>
        </w:rPr>
        <w:t xml:space="preserve">Tercero </w:t>
      </w:r>
      <w:r w:rsidRPr="00603E73">
        <w:rPr>
          <w:rFonts w:ascii="Palatino Linotype" w:eastAsia="Palatino Linotype" w:hAnsi="Palatino Linotype" w:cs="Palatino Linotype"/>
        </w:rPr>
        <w:t>de la presente Resolución.</w:t>
      </w:r>
    </w:p>
    <w:p w:rsidR="009D73F7" w:rsidRDefault="00F426D3">
      <w:pPr>
        <w:spacing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b/>
        </w:rPr>
        <w:t xml:space="preserve">Segundo. Notifíquese vía </w:t>
      </w:r>
      <w:r w:rsidRPr="00603E73">
        <w:rPr>
          <w:rFonts w:ascii="Palatino Linotype" w:eastAsia="Palatino Linotype" w:hAnsi="Palatino Linotype" w:cs="Palatino Linotype"/>
        </w:rPr>
        <w:t>Sistema de Acceso a la Información Mexiquense (</w:t>
      </w:r>
      <w:r w:rsidRPr="00603E73">
        <w:rPr>
          <w:rFonts w:ascii="Palatino Linotype" w:eastAsia="Palatino Linotype" w:hAnsi="Palatino Linotype" w:cs="Palatino Linotype"/>
          <w:b/>
        </w:rPr>
        <w:t>SAIMEX)</w:t>
      </w:r>
      <w:r w:rsidRPr="00603E73">
        <w:rPr>
          <w:rFonts w:ascii="Palatino Linotype" w:eastAsia="Palatino Linotype" w:hAnsi="Palatino Linotype" w:cs="Palatino Linotype"/>
          <w:b/>
          <w:i/>
        </w:rPr>
        <w:t xml:space="preserve">, </w:t>
      </w:r>
      <w:r w:rsidRPr="00603E73">
        <w:rPr>
          <w:rFonts w:ascii="Palatino Linotype" w:eastAsia="Palatino Linotype" w:hAnsi="Palatino Linotype" w:cs="Palatino Linotype"/>
        </w:rPr>
        <w:t xml:space="preserve">al Titular de la Unidad de Transparencia del </w:t>
      </w:r>
      <w:r w:rsidRPr="00603E73">
        <w:rPr>
          <w:rFonts w:ascii="Palatino Linotype" w:eastAsia="Palatino Linotype" w:hAnsi="Palatino Linotype" w:cs="Palatino Linotype"/>
          <w:b/>
        </w:rPr>
        <w:t>SUJETO OBLIGADO</w:t>
      </w:r>
      <w:r w:rsidRPr="00603E73">
        <w:rPr>
          <w:rFonts w:ascii="Palatino Linotype" w:eastAsia="Palatino Linotype" w:hAnsi="Palatino Linotype" w:cs="Palatino Linotype"/>
        </w:rPr>
        <w:t xml:space="preserve"> la presente resolución, para su conocimiento. </w:t>
      </w:r>
    </w:p>
    <w:p w:rsidR="00E52CEA" w:rsidRPr="00603E73" w:rsidRDefault="00E52CEA">
      <w:pPr>
        <w:spacing w:line="360" w:lineRule="auto"/>
        <w:jc w:val="both"/>
        <w:rPr>
          <w:rFonts w:ascii="Palatino Linotype" w:eastAsia="Palatino Linotype" w:hAnsi="Palatino Linotype" w:cs="Palatino Linotype"/>
        </w:rPr>
      </w:pPr>
    </w:p>
    <w:p w:rsidR="009D73F7" w:rsidRPr="00603E73" w:rsidRDefault="00F426D3">
      <w:pPr>
        <w:spacing w:after="240" w:line="360" w:lineRule="auto"/>
        <w:jc w:val="both"/>
        <w:rPr>
          <w:rFonts w:ascii="Palatino Linotype" w:eastAsia="Palatino Linotype" w:hAnsi="Palatino Linotype" w:cs="Palatino Linotype"/>
        </w:rPr>
      </w:pPr>
      <w:r w:rsidRPr="00603E73">
        <w:rPr>
          <w:rFonts w:ascii="Palatino Linotype" w:eastAsia="Palatino Linotype" w:hAnsi="Palatino Linotype" w:cs="Palatino Linotype"/>
          <w:b/>
        </w:rPr>
        <w:t xml:space="preserve">Tercero. Notifíquese a través </w:t>
      </w:r>
      <w:r w:rsidRPr="00603E73">
        <w:rPr>
          <w:rFonts w:ascii="Palatino Linotype" w:eastAsia="Palatino Linotype" w:hAnsi="Palatino Linotype" w:cs="Palatino Linotype"/>
        </w:rPr>
        <w:t xml:space="preserve">del Sistema de Acceso a la Información Mexiquense a la parte </w:t>
      </w:r>
      <w:r w:rsidRPr="00603E73">
        <w:rPr>
          <w:rFonts w:ascii="Palatino Linotype" w:eastAsia="Palatino Linotype" w:hAnsi="Palatino Linotype" w:cs="Palatino Linotype"/>
          <w:b/>
        </w:rPr>
        <w:t>RECURRENTE,</w:t>
      </w:r>
      <w:r w:rsidRPr="00603E73">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rsidR="009D73F7" w:rsidRPr="00603E73" w:rsidRDefault="00F426D3">
      <w:pPr>
        <w:spacing w:before="240" w:after="240" w:line="360" w:lineRule="auto"/>
        <w:jc w:val="both"/>
        <w:rPr>
          <w:rFonts w:ascii="Palatino Linotype" w:eastAsia="Palatino Linotype" w:hAnsi="Palatino Linotype" w:cs="Palatino Linotype"/>
        </w:rPr>
        <w:sectPr w:rsidR="009D73F7" w:rsidRPr="00603E73">
          <w:headerReference w:type="default" r:id="rId25"/>
          <w:footerReference w:type="default" r:id="rId26"/>
          <w:headerReference w:type="first" r:id="rId27"/>
          <w:footerReference w:type="first" r:id="rId28"/>
          <w:pgSz w:w="12240" w:h="15840"/>
          <w:pgMar w:top="1417" w:right="1701" w:bottom="1417" w:left="1701" w:header="709" w:footer="709" w:gutter="0"/>
          <w:pgNumType w:start="1"/>
          <w:cols w:space="720"/>
          <w:titlePg/>
        </w:sectPr>
      </w:pPr>
      <w:bookmarkStart w:id="1" w:name="_heading=h.1fob9te" w:colFirst="0" w:colLast="0"/>
      <w:bookmarkEnd w:id="1"/>
      <w:r w:rsidRPr="00603E73">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QUINTA SESIÓN ORDINARIA </w:t>
      </w:r>
      <w:r w:rsidRPr="00603E73">
        <w:rPr>
          <w:rFonts w:ascii="Palatino Linotype" w:eastAsia="Palatino Linotype" w:hAnsi="Palatino Linotype" w:cs="Palatino Linotype"/>
        </w:rPr>
        <w:lastRenderedPageBreak/>
        <w:t xml:space="preserve">CELEBRADA EL VEINTIOCHO DE SEPTIEMBRE DE DOS MIL VEINTIDÓS, ANTE EL SECRETARIO TÉCNICO DEL PLENO ALEXIS TAPIA RAMÍREZ. </w:t>
      </w:r>
    </w:p>
    <w:p w:rsidR="009D73F7" w:rsidRPr="00603E73" w:rsidRDefault="009D73F7">
      <w:pPr>
        <w:spacing w:before="240" w:after="240" w:line="360" w:lineRule="auto"/>
        <w:jc w:val="both"/>
        <w:rPr>
          <w:rFonts w:ascii="Palatino Linotype" w:eastAsia="Palatino Linotype" w:hAnsi="Palatino Linotype" w:cs="Palatino Linotype"/>
        </w:rPr>
      </w:pPr>
    </w:p>
    <w:p w:rsidR="009D73F7" w:rsidRPr="00603E73" w:rsidRDefault="009D73F7">
      <w:pPr>
        <w:spacing w:before="240" w:after="240" w:line="360" w:lineRule="auto"/>
        <w:jc w:val="both"/>
        <w:rPr>
          <w:rFonts w:ascii="Palatino Linotype" w:eastAsia="Palatino Linotype" w:hAnsi="Palatino Linotype" w:cs="Palatino Linotype"/>
        </w:rPr>
      </w:pPr>
    </w:p>
    <w:p w:rsidR="009D73F7" w:rsidRPr="00603E73" w:rsidRDefault="009D73F7">
      <w:pPr>
        <w:spacing w:before="240" w:after="240" w:line="360" w:lineRule="auto"/>
        <w:jc w:val="both"/>
        <w:rPr>
          <w:rFonts w:ascii="Palatino Linotype" w:eastAsia="Palatino Linotype" w:hAnsi="Palatino Linotype" w:cs="Palatino Linotype"/>
        </w:rPr>
      </w:pPr>
    </w:p>
    <w:sectPr w:rsidR="009D73F7" w:rsidRPr="00603E73">
      <w:headerReference w:type="first" r:id="rId29"/>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6D3" w:rsidRDefault="00F426D3">
      <w:r>
        <w:separator/>
      </w:r>
    </w:p>
  </w:endnote>
  <w:endnote w:type="continuationSeparator" w:id="0">
    <w:p w:rsidR="00F426D3" w:rsidRDefault="00F42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3F7" w:rsidRDefault="00F426D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F0943">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F0943">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p>
  <w:p w:rsidR="009D73F7" w:rsidRDefault="009D73F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3F7" w:rsidRDefault="00F426D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F094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F0943">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p>
  <w:p w:rsidR="009D73F7" w:rsidRDefault="009D73F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6D3" w:rsidRDefault="00F426D3">
      <w:r>
        <w:separator/>
      </w:r>
    </w:p>
  </w:footnote>
  <w:footnote w:type="continuationSeparator" w:id="0">
    <w:p w:rsidR="00F426D3" w:rsidRDefault="00F426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3F7" w:rsidRDefault="00F426D3">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simplePos x="0" y="0"/>
          <wp:positionH relativeFrom="column">
            <wp:posOffset>-665859</wp:posOffset>
          </wp:positionH>
          <wp:positionV relativeFrom="paragraph">
            <wp:posOffset>-453615</wp:posOffset>
          </wp:positionV>
          <wp:extent cx="7635600" cy="9943200"/>
          <wp:effectExtent l="0" t="0" r="0" b="0"/>
          <wp:wrapNone/>
          <wp:docPr id="4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5670" w:type="dxa"/>
      <w:tblInd w:w="3119" w:type="dxa"/>
      <w:tblLayout w:type="fixed"/>
      <w:tblLook w:val="0400" w:firstRow="0" w:lastRow="0" w:firstColumn="0" w:lastColumn="0" w:noHBand="0" w:noVBand="1"/>
    </w:tblPr>
    <w:tblGrid>
      <w:gridCol w:w="2551"/>
      <w:gridCol w:w="3119"/>
    </w:tblGrid>
    <w:tr w:rsidR="009D73F7">
      <w:tc>
        <w:tcPr>
          <w:tcW w:w="2551" w:type="dxa"/>
          <w:vAlign w:val="center"/>
        </w:tcPr>
        <w:p w:rsidR="009D73F7" w:rsidRDefault="00F426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9D73F7" w:rsidRDefault="00F426D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06999/INFOEM/IP/RR/2021. </w:t>
          </w:r>
        </w:p>
      </w:tc>
    </w:tr>
    <w:tr w:rsidR="009D73F7">
      <w:trPr>
        <w:trHeight w:val="228"/>
      </w:trPr>
      <w:tc>
        <w:tcPr>
          <w:tcW w:w="2551" w:type="dxa"/>
          <w:vAlign w:val="center"/>
        </w:tcPr>
        <w:p w:rsidR="009D73F7" w:rsidRDefault="00F426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9D73F7" w:rsidRDefault="00F426D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9D73F7">
      <w:tc>
        <w:tcPr>
          <w:tcW w:w="2551" w:type="dxa"/>
          <w:vAlign w:val="center"/>
        </w:tcPr>
        <w:p w:rsidR="009D73F7" w:rsidRDefault="00F426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9D73F7" w:rsidRDefault="00F426D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9D73F7" w:rsidRDefault="009D73F7">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3F7" w:rsidRDefault="00F426D3">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simplePos x="0" y="0"/>
          <wp:positionH relativeFrom="column">
            <wp:posOffset>-680312</wp:posOffset>
          </wp:positionH>
          <wp:positionV relativeFrom="paragraph">
            <wp:posOffset>-168883</wp:posOffset>
          </wp:positionV>
          <wp:extent cx="7635600" cy="9943200"/>
          <wp:effectExtent l="0" t="0" r="0" b="0"/>
          <wp:wrapNone/>
          <wp:docPr id="5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2"/>
      <w:tblW w:w="5812" w:type="dxa"/>
      <w:tblInd w:w="3119" w:type="dxa"/>
      <w:tblLayout w:type="fixed"/>
      <w:tblLook w:val="0400" w:firstRow="0" w:lastRow="0" w:firstColumn="0" w:lastColumn="0" w:noHBand="0" w:noVBand="1"/>
    </w:tblPr>
    <w:tblGrid>
      <w:gridCol w:w="2551"/>
      <w:gridCol w:w="3261"/>
    </w:tblGrid>
    <w:tr w:rsidR="009D73F7">
      <w:tc>
        <w:tcPr>
          <w:tcW w:w="2551" w:type="dxa"/>
          <w:vAlign w:val="center"/>
        </w:tcPr>
        <w:p w:rsidR="009D73F7" w:rsidRDefault="00F426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rsidR="009D73F7" w:rsidRDefault="00F426D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06999/INFOEM/IP/RR/2022. </w:t>
          </w:r>
        </w:p>
      </w:tc>
    </w:tr>
    <w:tr w:rsidR="009D73F7">
      <w:tc>
        <w:tcPr>
          <w:tcW w:w="2551" w:type="dxa"/>
          <w:vAlign w:val="center"/>
        </w:tcPr>
        <w:p w:rsidR="009D73F7" w:rsidRDefault="00F426D3">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rsidR="009D73F7" w:rsidRDefault="009D73F7">
          <w:pPr>
            <w:jc w:val="both"/>
            <w:rPr>
              <w:rFonts w:ascii="Palatino Linotype" w:eastAsia="Palatino Linotype" w:hAnsi="Palatino Linotype" w:cs="Palatino Linotype"/>
              <w:b/>
              <w:sz w:val="22"/>
              <w:szCs w:val="22"/>
            </w:rPr>
          </w:pPr>
        </w:p>
      </w:tc>
    </w:tr>
    <w:tr w:rsidR="009D73F7">
      <w:trPr>
        <w:trHeight w:val="228"/>
      </w:trPr>
      <w:tc>
        <w:tcPr>
          <w:tcW w:w="2551" w:type="dxa"/>
          <w:vAlign w:val="center"/>
        </w:tcPr>
        <w:p w:rsidR="009D73F7" w:rsidRDefault="00F426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rsidR="009D73F7" w:rsidRDefault="00F426D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9D73F7">
      <w:tc>
        <w:tcPr>
          <w:tcW w:w="2551" w:type="dxa"/>
          <w:vAlign w:val="center"/>
        </w:tcPr>
        <w:p w:rsidR="009D73F7" w:rsidRDefault="00F426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rsidR="009D73F7" w:rsidRDefault="00F426D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9D73F7" w:rsidRDefault="009D73F7">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3F7" w:rsidRDefault="009D73F7">
    <w:pPr>
      <w:pBdr>
        <w:top w:val="nil"/>
        <w:left w:val="nil"/>
        <w:bottom w:val="nil"/>
        <w:right w:val="nil"/>
        <w:between w:val="nil"/>
      </w:pBdr>
      <w:tabs>
        <w:tab w:val="center" w:pos="4419"/>
        <w:tab w:val="right" w:pos="8838"/>
      </w:tabs>
      <w:jc w:val="both"/>
      <w:rPr>
        <w:color w:val="000000"/>
      </w:rPr>
    </w:pPr>
  </w:p>
  <w:p w:rsidR="009D73F7" w:rsidRDefault="009D73F7">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626690"/>
    <w:multiLevelType w:val="multilevel"/>
    <w:tmpl w:val="D4CAF8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79B5041"/>
    <w:multiLevelType w:val="multilevel"/>
    <w:tmpl w:val="2350FA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B8836F9"/>
    <w:multiLevelType w:val="multilevel"/>
    <w:tmpl w:val="7432356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3F7"/>
    <w:rsid w:val="00603E73"/>
    <w:rsid w:val="009D73F7"/>
    <w:rsid w:val="00E52CEA"/>
    <w:rsid w:val="00F426D3"/>
    <w:rsid w:val="00FF09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6C09BA-3854-41F7-92C9-36A4226E3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14A6D"/>
    <w:rPr>
      <w:vertAlign w:val="superscript"/>
    </w:rPr>
  </w:style>
  <w:style w:type="paragraph" w:customStyle="1" w:styleId="Default">
    <w:name w:val="Default"/>
    <w:rsid w:val="00DD33AE"/>
    <w:pPr>
      <w:autoSpaceDE w:val="0"/>
      <w:autoSpaceDN w:val="0"/>
      <w:adjustRightInd w:val="0"/>
    </w:pPr>
    <w:rPr>
      <w:rFonts w:ascii="Arial" w:hAnsi="Arial" w:cs="Arial"/>
      <w:color w:val="000000"/>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59683.page"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saimex.org.mx/saimex/solicitud/downloadAttach/1444132.page"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imex.org.mx/saimex/solicitud/downloadAttach/1422609.page" TargetMode="External"/><Relationship Id="rId14" Type="http://schemas.openxmlformats.org/officeDocument/2006/relationships/hyperlink" Target="https://saimex.org.mx/saimex/solicitud/downloadAttach/1444133.page" TargetMode="External"/><Relationship Id="rId22" Type="http://schemas.openxmlformats.org/officeDocument/2006/relationships/hyperlink" Target="https://saimex.org.mx/saimex/solicitud/downloadAttach/1575027.page"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s6MVOOyksBTgirBRCte6yV+W3A==">AMUW2mWD4t4CU9sIsOiS3W0HGeCAujL08cUgXt6g+R1Jw0dQAiAk11M9hHDSWhsF+0u651oqUA4Vfzbm2dDw/IPfJtwDe1JwLbB7bvr9VVjTSEVTCQeMICVgdFJY9f0WtiwkwX3aZ4RR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6886</Words>
  <Characters>37876</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dcterms:created xsi:type="dcterms:W3CDTF">2022-10-04T23:14:00Z</dcterms:created>
  <dcterms:modified xsi:type="dcterms:W3CDTF">2022-10-04T23:14:00Z</dcterms:modified>
</cp:coreProperties>
</file>