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dieciocho de mayo del dos mil veintidós.</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los expedientes relativos a los recursos de revisión </w:t>
      </w:r>
      <w:r>
        <w:rPr>
          <w:rFonts w:ascii="Palatino Linotype" w:eastAsia="Palatino Linotype" w:hAnsi="Palatino Linotype" w:cs="Palatino Linotype"/>
          <w:b/>
        </w:rPr>
        <w:t>01959/INFOEM/IP/RR/2022 y 01960/INFOEM/IP/RR/2022</w:t>
      </w:r>
      <w:r>
        <w:rPr>
          <w:rFonts w:ascii="Palatino Linotype" w:eastAsia="Palatino Linotype" w:hAnsi="Palatino Linotype" w:cs="Palatino Linotype"/>
        </w:rPr>
        <w:t>, interpuestos por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interpuesto por </w:t>
      </w:r>
      <w:r w:rsidR="00823CA7">
        <w:rPr>
          <w:rFonts w:ascii="Palatino Linotype" w:eastAsia="Palatino Linotype" w:hAnsi="Palatino Linotype" w:cs="Palatino Linotype"/>
          <w:b/>
        </w:rPr>
        <w:t>XXXXX XXXXX XXXXX XXXX</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w:t>
      </w:r>
      <w:bookmarkStart w:id="0" w:name="_GoBack"/>
      <w:bookmarkEnd w:id="0"/>
      <w:r>
        <w:rPr>
          <w:rFonts w:ascii="Palatino Linotype" w:eastAsia="Palatino Linotype" w:hAnsi="Palatino Linotype" w:cs="Palatino Linotype"/>
        </w:rPr>
        <w:t xml:space="preserve">sus solicitudes de información con números de folio </w:t>
      </w:r>
      <w:r>
        <w:rPr>
          <w:rFonts w:ascii="Palatino Linotype" w:eastAsia="Palatino Linotype" w:hAnsi="Palatino Linotype" w:cs="Palatino Linotype"/>
          <w:b/>
        </w:rPr>
        <w:t xml:space="preserve">00064/CUAUTIT/IP/2022 y 00062/CUAUTIT/IP/2022,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Cuautitlán,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72151D" w:rsidRDefault="00254347">
      <w:pPr>
        <w:numPr>
          <w:ilvl w:val="0"/>
          <w:numId w:val="2"/>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Con fecha ocho de febrero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un par de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Solicitud 00064/CUAUTIT/IP/2022:</w:t>
      </w:r>
    </w:p>
    <w:p w:rsidR="0072151D" w:rsidRDefault="00254347">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los nombres de las personas que integraron las planillas del copaci y de la delegación del fraccionamiento Real de San Fernando, para el periodo 2013-2016, 2016-2019 y 2019-2022, en caso de renuncia requiero conocer la fecha en que entregaron el nombramiento y su escrito de renuncia” (Sic)</w:t>
      </w:r>
    </w:p>
    <w:p w:rsidR="0072151D" w:rsidRDefault="0072151D">
      <w:pPr>
        <w:ind w:left="851" w:right="758"/>
        <w:jc w:val="both"/>
        <w:rPr>
          <w:rFonts w:ascii="Palatino Linotype" w:eastAsia="Palatino Linotype" w:hAnsi="Palatino Linotype" w:cs="Palatino Linotype"/>
          <w:i/>
          <w:sz w:val="22"/>
          <w:szCs w:val="22"/>
        </w:rPr>
      </w:pPr>
    </w:p>
    <w:p w:rsidR="0072151D" w:rsidRDefault="0025434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00062/CUAUTIT/IP/2022:</w:t>
      </w:r>
    </w:p>
    <w:p w:rsidR="0072151D" w:rsidRDefault="00254347">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“solicito la información completa acerca de la convocatoria para la elección de delegados y copacis correspondiente al periodo 2022-2025, así como los requisitos, fundamento y sustento legal del documento </w:t>
      </w:r>
      <w:r>
        <w:rPr>
          <w:rFonts w:ascii="Palatino Linotype" w:eastAsia="Palatino Linotype" w:hAnsi="Palatino Linotype" w:cs="Palatino Linotype"/>
          <w:b/>
          <w:i/>
          <w:color w:val="000000"/>
        </w:rPr>
        <w:t>y tiempo de ejecución de cada uno de los componentes de la convocatoria</w:t>
      </w:r>
      <w:r>
        <w:rPr>
          <w:rFonts w:ascii="Palatino Linotype" w:eastAsia="Palatino Linotype" w:hAnsi="Palatino Linotype" w:cs="Palatino Linotype"/>
          <w:i/>
          <w:color w:val="000000"/>
        </w:rPr>
        <w:t>” (Sic)</w:t>
      </w:r>
    </w:p>
    <w:p w:rsidR="0072151D" w:rsidRDefault="0072151D">
      <w:pPr>
        <w:ind w:right="758"/>
        <w:jc w:val="both"/>
        <w:rPr>
          <w:rFonts w:ascii="Palatino Linotype" w:eastAsia="Palatino Linotype" w:hAnsi="Palatino Linotype" w:cs="Palatino Linotype"/>
          <w:i/>
          <w:sz w:val="22"/>
          <w:szCs w:val="22"/>
        </w:rPr>
      </w:pP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ambas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Con fecha veintidós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sus respuestas a las solicitudes de acceso a la información a través del SAIMEX, la cuales versa como sigue:</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Solicitud 00064/CUAUTIT/IP/2022:</w:t>
      </w:r>
    </w:p>
    <w:p w:rsidR="0072151D" w:rsidRDefault="00254347">
      <w:pPr>
        <w:spacing w:before="240"/>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2151D" w:rsidRDefault="00254347">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Enviando un cordial saludo me permito brindar la información solicitada mediante la solicitud con folio 00064/CUAUTIT/IP/2022. Adjunto archivo.</w:t>
      </w:r>
    </w:p>
    <w:p w:rsidR="0072151D" w:rsidRDefault="00254347">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72151D" w:rsidRDefault="00254347">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 ANAISSA RAMIREZ ALDANA” (Sic)</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su respuesta el archivo electrónico siguiente: </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rPr>
        <w:t>“</w:t>
      </w:r>
      <w:hyperlink r:id="rId8">
        <w:r>
          <w:rPr>
            <w:rFonts w:ascii="Palatino Linotype" w:eastAsia="Palatino Linotype" w:hAnsi="Palatino Linotype" w:cs="Palatino Linotype"/>
          </w:rPr>
          <w:t>RESPUESTA SOLICITUD 00064 GOBIERNO.pdf</w:t>
        </w:r>
      </w:hyperlink>
      <w:r>
        <w:rPr>
          <w:rFonts w:ascii="Palatino Linotype" w:eastAsia="Palatino Linotype" w:hAnsi="Palatino Linotype" w:cs="Palatino Linotype"/>
        </w:rPr>
        <w:t xml:space="preserve">”, el cual contiene a su vez dos oficios el primero correspondiente al número UT/194/2022, el cual consiste en el requerimiento del Titular de la Unidad de Transparencia al Servidor Público </w:t>
      </w:r>
      <w:r>
        <w:rPr>
          <w:rFonts w:ascii="Palatino Linotype" w:eastAsia="Palatino Linotype" w:hAnsi="Palatino Linotype" w:cs="Palatino Linotype"/>
        </w:rPr>
        <w:lastRenderedPageBreak/>
        <w:t xml:space="preserve">Habilitado de la Dirección de Gobierno, ambos del </w:t>
      </w:r>
      <w:r>
        <w:rPr>
          <w:rFonts w:ascii="Palatino Linotype" w:eastAsia="Palatino Linotype" w:hAnsi="Palatino Linotype" w:cs="Palatino Linotype"/>
          <w:b/>
        </w:rPr>
        <w:t>SUJETO OBLIGADO</w:t>
      </w:r>
      <w:r>
        <w:rPr>
          <w:rFonts w:ascii="Palatino Linotype" w:eastAsia="Palatino Linotype" w:hAnsi="Palatino Linotype" w:cs="Palatino Linotype"/>
        </w:rPr>
        <w:t>, sobre la solicitud de acceso a la información pública número 00064/CUAUTIT/IP/2022.</w:t>
      </w:r>
      <w:r>
        <w:rPr>
          <w:rFonts w:ascii="Palatino Linotype" w:eastAsia="Palatino Linotype" w:hAnsi="Palatino Linotype" w:cs="Palatino Linotype"/>
          <w:i/>
          <w:color w:val="000000"/>
        </w:rPr>
        <w:t xml:space="preserve"> </w:t>
      </w:r>
    </w:p>
    <w:p w:rsidR="0072151D" w:rsidRDefault="0072151D">
      <w:pPr>
        <w:spacing w:line="360" w:lineRule="auto"/>
        <w:jc w:val="both"/>
        <w:rPr>
          <w:rFonts w:ascii="Palatino Linotype" w:eastAsia="Palatino Linotype" w:hAnsi="Palatino Linotype" w:cs="Palatino Linotype"/>
          <w:i/>
          <w:color w:val="000000"/>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segundo oficio número GOB/052/2022, por medio del cual la Dirección de Gobierno informó al Titular de la Unidad de Transparencia, ambos del Ayuntamiento de Cuautitlán, respecto de la solicitud 00064/CUAUTIT/IP/2022, que del periodo 2013-2016 y 2016-2018 debido a una búsqueda exhaustiva por el archivo de concentración, le informó que no se encontró información requerida sobre este periodo, y del periodo 2019-2021 informó los nombres de las personas que integran la planilla para este periodo, como se advierte a continuación:</w:t>
      </w:r>
    </w:p>
    <w:p w:rsidR="0072151D" w:rsidRDefault="0072151D">
      <w:pPr>
        <w:spacing w:line="360" w:lineRule="auto"/>
        <w:jc w:val="both"/>
      </w:pPr>
    </w:p>
    <w:p w:rsidR="0072151D" w:rsidRDefault="00254347">
      <w:pPr>
        <w:spacing w:line="360" w:lineRule="auto"/>
        <w:jc w:val="both"/>
        <w:rPr>
          <w:rFonts w:ascii="Palatino Linotype" w:eastAsia="Palatino Linotype" w:hAnsi="Palatino Linotype" w:cs="Palatino Linotype"/>
        </w:rPr>
      </w:pPr>
      <w:r>
        <w:rPr>
          <w:noProof/>
          <w:lang w:val="en-US" w:eastAsia="en-US"/>
        </w:rPr>
        <w:drawing>
          <wp:inline distT="0" distB="0" distL="0" distR="0">
            <wp:extent cx="5594243" cy="2821996"/>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35510" t="23993" r="20840" b="18266"/>
                    <a:stretch>
                      <a:fillRect/>
                    </a:stretch>
                  </pic:blipFill>
                  <pic:spPr>
                    <a:xfrm>
                      <a:off x="0" y="0"/>
                      <a:ext cx="5594243" cy="2821996"/>
                    </a:xfrm>
                    <a:prstGeom prst="rect">
                      <a:avLst/>
                    </a:prstGeom>
                    <a:ln/>
                  </pic:spPr>
                </pic:pic>
              </a:graphicData>
            </a:graphic>
          </wp:inline>
        </w:drawing>
      </w: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año 2022,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pronunciarse al respecto, también sobre la fecha de su nombramiento y en su caso de los escritos de renuncia del periodo 2013-2015 y 2016-2018.</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Solicitud 00062/CUAUTIT/IP/2022:</w:t>
      </w:r>
    </w:p>
    <w:p w:rsidR="0072151D" w:rsidRDefault="00254347">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2151D" w:rsidRDefault="00254347">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Enviando un cordial saludo me permito brindar la información solicitada mediante la solicitud con folio 00062/CUAUTIT/IP/2022. Adjunto archivo.</w:t>
      </w:r>
    </w:p>
    <w:p w:rsidR="0072151D" w:rsidRDefault="00254347">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72151D" w:rsidRDefault="00254347">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 ANAISSA RAMIREZ ALDANA” (Sic)</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su respuesta el archivo electrónico siguiente: </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0">
        <w:r>
          <w:rPr>
            <w:rFonts w:ascii="Palatino Linotype" w:eastAsia="Palatino Linotype" w:hAnsi="Palatino Linotype" w:cs="Palatino Linotype"/>
          </w:rPr>
          <w:t>RESPUESTA SOLICITUD 00062 GOBIERNO.pdf</w:t>
        </w:r>
      </w:hyperlink>
      <w:r>
        <w:rPr>
          <w:rFonts w:ascii="Palatino Linotype" w:eastAsia="Palatino Linotype" w:hAnsi="Palatino Linotype" w:cs="Palatino Linotype"/>
        </w:rPr>
        <w:t>”, el cual a su vez contiene dos oficios, el primero corresponde al oficio número UT/192/2022, el cual pertenece al turno que hizo el titular de la unidad de transparencia el Director de Gobierno, respecto de la solicitud 00062/CUAUTIT/IP/2022 y el segundo corresponde al oficio número GOB/050/2022, por medio del cual el Director de Gobernación informó al Titular de la Unidad de Transparencia, ambos del SUJETO OBLIGADO, lo siguiente:</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noProof/>
          <w:lang w:val="en-US" w:eastAsia="en-US"/>
        </w:rPr>
        <w:drawing>
          <wp:inline distT="0" distB="0" distL="0" distR="0">
            <wp:extent cx="5502015" cy="1569114"/>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37714" t="55364" r="10713" b="14330"/>
                    <a:stretch>
                      <a:fillRect/>
                    </a:stretch>
                  </pic:blipFill>
                  <pic:spPr>
                    <a:xfrm>
                      <a:off x="0" y="0"/>
                      <a:ext cx="5502015" cy="1569114"/>
                    </a:xfrm>
                    <a:prstGeom prst="rect">
                      <a:avLst/>
                    </a:prstGeom>
                    <a:ln/>
                  </pic:spPr>
                </pic:pic>
              </a:graphicData>
            </a:graphic>
          </wp:inline>
        </w:drawing>
      </w: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 xml:space="preserve">Inconforme el solicitante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 través del </w:t>
      </w:r>
      <w:r>
        <w:rPr>
          <w:rFonts w:ascii="Palatino Linotype" w:eastAsia="Palatino Linotype" w:hAnsi="Palatino Linotype" w:cs="Palatino Linotype"/>
        </w:rPr>
        <w:lastRenderedPageBreak/>
        <w:t>SAIMEX en fecha veinticinco de febrero del dos mil veintidós, a través del cual expresó lo siguiente en ambos recursos:</w:t>
      </w:r>
    </w:p>
    <w:p w:rsidR="0072151D" w:rsidRDefault="00254347">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72151D" w:rsidRDefault="00254347">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 dio respuesta a la solicitud de información.” (Sic)</w:t>
      </w:r>
    </w:p>
    <w:p w:rsidR="0072151D" w:rsidRDefault="0025434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72151D" w:rsidRDefault="00254347">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 dio respuesta a la solicitud de información” (Sic)</w:t>
      </w:r>
    </w:p>
    <w:p w:rsidR="0072151D" w:rsidRDefault="0025434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01959/INFOEM/IP/RR/2022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y el recurso de revisión número </w:t>
      </w:r>
      <w:r>
        <w:rPr>
          <w:rFonts w:ascii="Palatino Linotype" w:eastAsia="Palatino Linotype" w:hAnsi="Palatino Linotype" w:cs="Palatino Linotype"/>
          <w:b/>
        </w:rPr>
        <w:t xml:space="preserve">01960/INFOEM/IP/RR/2022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José Vilchis Martínez,</w:t>
      </w:r>
      <w:r>
        <w:rPr>
          <w:rFonts w:ascii="Palatino Linotype" w:eastAsia="Palatino Linotype" w:hAnsi="Palatino Linotype" w:cs="Palatino Linotype"/>
        </w:rPr>
        <w:t xml:space="preserve"> para su análisis, estudio, elaboración del proyecto y presentación ante el Pleno de este Instituto.</w:t>
      </w:r>
    </w:p>
    <w:p w:rsidR="0072151D" w:rsidRDefault="00254347">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Acumulación, </w:t>
      </w:r>
      <w:r>
        <w:rPr>
          <w:rFonts w:ascii="Palatino Linotype" w:eastAsia="Palatino Linotype" w:hAnsi="Palatino Linotype" w:cs="Palatino Linotype"/>
          <w:color w:val="222222"/>
        </w:rPr>
        <w:t>en la Novena Sesión Ordinaria d</w:t>
      </w:r>
      <w:r>
        <w:rPr>
          <w:rFonts w:ascii="Palatino Linotype" w:eastAsia="Palatino Linotype" w:hAnsi="Palatino Linotype" w:cs="Palatino Linotype"/>
        </w:rPr>
        <w:t xml:space="preserve">el Pleno de este Instituto de Transparencia, Acceso a la Información Pública y Protección de Datos Personales del Estado de México y Municipios, celebrada en fecha nueve de marzo de dos mil veintidós, al advertir la conexidad de causa y con la finalidad de evitar que se dicten resoluciones contradictorias, se acordó la acumulación de los recursos señalados en este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lo anterior de conformidad con el artículo 195 de la Ley de Transparencia y </w:t>
      </w:r>
      <w:r>
        <w:rPr>
          <w:rFonts w:ascii="Palatino Linotype" w:eastAsia="Palatino Linotype" w:hAnsi="Palatino Linotype" w:cs="Palatino Linotype"/>
        </w:rPr>
        <w:lastRenderedPageBreak/>
        <w:t>Acceso a la Información Pública del Estado de México y Municipios, y artículo 18 del Código de Procedimientos Administrativos del Estado de México de manera supletoria; los cuales a la letra establecen:</w:t>
      </w:r>
    </w:p>
    <w:p w:rsidR="0072151D" w:rsidRDefault="00254347">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72151D" w:rsidRDefault="0072151D">
      <w:pPr>
        <w:ind w:right="1325"/>
        <w:jc w:val="both"/>
        <w:rPr>
          <w:rFonts w:ascii="Palatino Linotype" w:eastAsia="Palatino Linotype" w:hAnsi="Palatino Linotype" w:cs="Palatino Linotype"/>
          <w:i/>
          <w:sz w:val="22"/>
          <w:szCs w:val="22"/>
        </w:rPr>
      </w:pPr>
    </w:p>
    <w:p w:rsidR="0072151D" w:rsidRDefault="00254347">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del recurso de revisión: </w:t>
      </w:r>
      <w:r>
        <w:rPr>
          <w:rFonts w:ascii="Palatino Linotype" w:eastAsia="Palatino Linotype" w:hAnsi="Palatino Linotype" w:cs="Palatino Linotype"/>
        </w:rPr>
        <w:t xml:space="preserve">En fecha tres de marzo del dos mil veintidós, la Comisionada ponente, admitió a trámite los recursos de revisión que ahora se resuelven,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w:t>
      </w:r>
    </w:p>
    <w:p w:rsidR="0072151D" w:rsidRDefault="0072151D">
      <w:pPr>
        <w:spacing w:after="240" w:line="360" w:lineRule="auto"/>
        <w:jc w:val="both"/>
        <w:rPr>
          <w:rFonts w:ascii="Palatino Linotype" w:eastAsia="Palatino Linotype" w:hAnsi="Palatino Linotype" w:cs="Palatino Linotype"/>
          <w:b/>
        </w:rPr>
      </w:pPr>
    </w:p>
    <w:p w:rsidR="0072151D" w:rsidRDefault="002543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por su parte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fechas nueve, trece y catorce de marzo del año en curso, realizó sus alegatos a través de los siguientes archivos electrónicos:</w:t>
      </w:r>
    </w:p>
    <w:p w:rsidR="0072151D" w:rsidRDefault="002543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2">
        <w:r>
          <w:rPr>
            <w:rFonts w:ascii="Palatino Linotype" w:eastAsia="Palatino Linotype" w:hAnsi="Palatino Linotype" w:cs="Palatino Linotype"/>
          </w:rPr>
          <w:t>respuesta64.pdf</w:t>
        </w:r>
      </w:hyperlink>
      <w:r>
        <w:rPr>
          <w:rFonts w:ascii="Palatino Linotype" w:eastAsia="Palatino Linotype" w:hAnsi="Palatino Linotype" w:cs="Palatino Linotype"/>
        </w:rPr>
        <w:t xml:space="preserve">”, el cual contiene una captura de pantalla de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en específico de lo entregado en el periodo 2013-2016 y 2016-</w:t>
      </w:r>
      <w:r>
        <w:rPr>
          <w:rFonts w:ascii="Palatino Linotype" w:eastAsia="Palatino Linotype" w:hAnsi="Palatino Linotype" w:cs="Palatino Linotype"/>
        </w:rPr>
        <w:lastRenderedPageBreak/>
        <w:t>2018, en el que se inconformo en lo medular de la búsqueda exhaustiva ya que señala que la fracción XXII del artículo 24 les indica que deben cumplir con la correspondiente prueba documental y no muestra ninguna, en clara oposición a lo indicado en la ley correspondiente al tema de transparencia.</w:t>
      </w:r>
    </w:p>
    <w:p w:rsidR="0072151D" w:rsidRDefault="002543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3">
        <w:r>
          <w:rPr>
            <w:rFonts w:ascii="Palatino Linotype" w:eastAsia="Palatino Linotype" w:hAnsi="Palatino Linotype" w:cs="Palatino Linotype"/>
          </w:rPr>
          <w:t>RESPUESTA SOLICITUD 00064 GOBIERNO.pdf</w:t>
        </w:r>
      </w:hyperlink>
      <w:r>
        <w:rPr>
          <w:rFonts w:ascii="Palatino Linotype" w:eastAsia="Palatino Linotype" w:hAnsi="Palatino Linotype" w:cs="Palatino Linotype"/>
        </w:rPr>
        <w:t xml:space="preserve">”, el cual contiene la respuesta otorgada por el SUJETO OBLIGADO, en la solicitud número 00064/CUAUTIT/IP/2022; no obstante en el apartado de manifestaciones en específico en los comentarios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señaló “cómo se muestra en la respuesta, ni siquiera presenta lo indicado en la fracción XLIX del artículo 92 de la ley de transparencia y Acceso a la información pública del Estado de México y Municipios”.</w:t>
      </w:r>
    </w:p>
    <w:p w:rsidR="0072151D" w:rsidRDefault="002543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4">
        <w:r>
          <w:rPr>
            <w:rFonts w:ascii="Palatino Linotype" w:eastAsia="Palatino Linotype" w:hAnsi="Palatino Linotype" w:cs="Palatino Linotype"/>
          </w:rPr>
          <w:t>RR_RESPUESTA SOLICITUD 00062 GOBIERNO.pdf</w:t>
        </w:r>
      </w:hyperlink>
      <w:r>
        <w:rPr>
          <w:rFonts w:ascii="Palatino Linotype" w:eastAsia="Palatino Linotype" w:hAnsi="Palatino Linotype" w:cs="Palatino Linotype"/>
        </w:rPr>
        <w:t>”, a través del cual señaló “sirva la presente para confirmarle que, con fundamento en la respuesta del sujeto obligado, le suplico su intervención a fin de que sea cumplido de los artículos 3 y 4 de la Ley de Transparencia y Acceso a la Información Pública del Estado de México y Municipios” (Sic)</w:t>
      </w:r>
    </w:p>
    <w:p w:rsidR="0072151D" w:rsidRDefault="002543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5">
        <w:r>
          <w:rPr>
            <w:rFonts w:ascii="Palatino Linotype" w:eastAsia="Palatino Linotype" w:hAnsi="Palatino Linotype" w:cs="Palatino Linotype"/>
          </w:rPr>
          <w:t>Archivo descargado de Cuautitlan.gob.mx.pdf</w:t>
        </w:r>
      </w:hyperlink>
      <w:r>
        <w:rPr>
          <w:rFonts w:ascii="Palatino Linotype" w:eastAsia="Palatino Linotype" w:hAnsi="Palatino Linotype" w:cs="Palatino Linotype"/>
        </w:rPr>
        <w:t>”, el cual contiene la convocatoria para la elección de delegados (as), sub delegados (as) y consejo de participación ciudadana (COPACI) del municipio de Cuautitlán, estado de México, para el periodo 2022-2025, de fecha nueve de marzo del dos mil veintidós</w:t>
      </w:r>
    </w:p>
    <w:p w:rsidR="0072151D" w:rsidRDefault="00254347">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tres y diez de mayo del año dos mil veintidós</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con fundamento en el artículo 181, párrafo tercero de la Ley de Transparencia y </w:t>
      </w:r>
      <w:r>
        <w:rPr>
          <w:rFonts w:ascii="Palatino Linotype" w:eastAsia="Palatino Linotype" w:hAnsi="Palatino Linotype" w:cs="Palatino Linotype"/>
        </w:rPr>
        <w:lastRenderedPageBreak/>
        <w:t>Acceso a la Información Pública del Estado de México y Municipios, se acordó la ampliación del plazo para su resolución.</w:t>
      </w:r>
    </w:p>
    <w:p w:rsidR="0072151D" w:rsidRDefault="00254347">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En fecha tres y diez de mayo del dos mil veintidós la Comisionada ponente determinó los cierres de instrucción en términos de la fracción VI del artículo 185 de la Ley de Transparencia y Acceso a la Información Pública del Estado de México y Municipios. </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72151D" w:rsidRDefault="00254347">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72151D" w:rsidRDefault="00254347">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 los Recursos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solicitudes planteadas por el solicitante en fecha veintidós de febrero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sus recursos de revisión el veinticinco del mismo mes y año, esto es al segundo día hábil siguiente de aquel en que tuvo conocimiento de las respuestas</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 los recursos se encuentran dentro de los márgenes temporales previstos en el citado precepto legal.</w:t>
      </w:r>
    </w:p>
    <w:p w:rsidR="0072151D" w:rsidRDefault="00254347">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también, por cuanto hace a la procedibilidad de los recursos de revisión una vez realizado el análisis del formato de interposición de los recursos,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rsidR="0072151D" w:rsidRDefault="0072151D">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72151D" w:rsidRDefault="00254347">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 los recursos revisión, según lo aducido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en su acto impugnado como en sus motivos de inconformidad, de acuerdo al artículo 179 fracción I de la Ley de Transparencia y </w:t>
      </w:r>
      <w:r>
        <w:rPr>
          <w:rFonts w:ascii="Palatino Linotype" w:eastAsia="Palatino Linotype" w:hAnsi="Palatino Linotype" w:cs="Palatino Linotype"/>
          <w:color w:val="000000"/>
        </w:rPr>
        <w:lastRenderedPageBreak/>
        <w:t>Acceso a la Información Pública del Estado de México y Municipios; que a la letra dice:</w:t>
      </w:r>
    </w:p>
    <w:p w:rsidR="0072151D" w:rsidRDefault="0025434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 y procederá en contra de las siguientes causas:</w:t>
      </w:r>
    </w:p>
    <w:p w:rsidR="0072151D" w:rsidRDefault="0072151D">
      <w:pPr>
        <w:pBdr>
          <w:top w:val="nil"/>
          <w:left w:val="nil"/>
          <w:bottom w:val="nil"/>
          <w:right w:val="nil"/>
          <w:between w:val="nil"/>
        </w:pBdr>
        <w:ind w:left="992" w:right="1043"/>
        <w:jc w:val="both"/>
        <w:rPr>
          <w:rFonts w:ascii="Palatino Linotype" w:eastAsia="Palatino Linotype" w:hAnsi="Palatino Linotype" w:cs="Palatino Linotype"/>
          <w:i/>
          <w:sz w:val="22"/>
          <w:szCs w:val="22"/>
        </w:rPr>
      </w:pPr>
    </w:p>
    <w:p w:rsidR="0072151D" w:rsidRDefault="0025434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La negativa a la información solicitada…” (Sic)</w:t>
      </w:r>
    </w:p>
    <w:p w:rsidR="0072151D" w:rsidRDefault="0072151D">
      <w:pPr>
        <w:pBdr>
          <w:top w:val="nil"/>
          <w:left w:val="nil"/>
          <w:bottom w:val="nil"/>
          <w:right w:val="nil"/>
          <w:between w:val="nil"/>
        </w:pBdr>
        <w:ind w:left="992" w:right="1043"/>
        <w:jc w:val="both"/>
        <w:rPr>
          <w:rFonts w:ascii="Palatino Linotype" w:eastAsia="Palatino Linotype" w:hAnsi="Palatino Linotype" w:cs="Palatino Linotype"/>
          <w:i/>
          <w:sz w:val="22"/>
          <w:szCs w:val="22"/>
        </w:rPr>
      </w:pPr>
    </w:p>
    <w:p w:rsidR="0072151D" w:rsidRDefault="0025434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los expedientes electrónicos se advierte que el tema sobre el que este Instituto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72151D" w:rsidRDefault="00254347">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Del análisis a las solicitudes de información motivo de los recursos de revisión que ahora se resuelven, se advierte que el particular requirió al Ayuntamiento de Cuautitlán, lo siguiente:</w:t>
      </w:r>
    </w:p>
    <w:p w:rsidR="0072151D" w:rsidRDefault="00254347">
      <w:pPr>
        <w:numPr>
          <w:ilvl w:val="0"/>
          <w:numId w:val="3"/>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nombres de las personas que integraron las planillas del COPACI y de la delegación del fraccionamiento Real de San Fernando, para el periodo 2013-2016, 2016-2019 y 2019-2022, en caso de renuncia requiero conocer la fecha en que entregaron el nombramiento y su escrito de renuncia.</w:t>
      </w:r>
    </w:p>
    <w:p w:rsidR="0072151D" w:rsidRDefault="00254347">
      <w:pPr>
        <w:numPr>
          <w:ilvl w:val="0"/>
          <w:numId w:val="3"/>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información completa acerca de la convocatoria para la elección de delegados y COPACIS correspondiente al periodo 2022-2025, así como los requisitos, fundamento y sustento legal del documento y tiempo de ejecución de cada uno de los componentes de la convocatoria.</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 los siguientes archivos electrónicos:</w:t>
      </w:r>
    </w:p>
    <w:p w:rsidR="0072151D" w:rsidRDefault="0025434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00064/CUAUTIT/IP/2022:</w:t>
      </w:r>
    </w:p>
    <w:p w:rsidR="0072151D" w:rsidRDefault="00254347">
      <w:pP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rPr>
        <w:t>“</w:t>
      </w:r>
      <w:hyperlink r:id="rId16">
        <w:r>
          <w:rPr>
            <w:rFonts w:ascii="Palatino Linotype" w:eastAsia="Palatino Linotype" w:hAnsi="Palatino Linotype" w:cs="Palatino Linotype"/>
          </w:rPr>
          <w:t>RESPUESTA SOLICITUD 00064 GOBIERNO.pdf</w:t>
        </w:r>
      </w:hyperlink>
      <w:r>
        <w:rPr>
          <w:rFonts w:ascii="Palatino Linotype" w:eastAsia="Palatino Linotype" w:hAnsi="Palatino Linotype" w:cs="Palatino Linotype"/>
        </w:rPr>
        <w:t>”, el cual contiene a su vez dos oficios el primero correspondiente al número UT/194/2022, el cual consiste en el requerimiento de información del Titular de la Unidad de Transparencia al Servidor Público Habilitado de la Dirección de Gobierno, para atender  la solicitud de acceso a la información pública número 00064/CUAUTIT/IP/2022.</w:t>
      </w:r>
      <w:r>
        <w:rPr>
          <w:rFonts w:ascii="Palatino Linotype" w:eastAsia="Palatino Linotype" w:hAnsi="Palatino Linotype" w:cs="Palatino Linotype"/>
          <w:i/>
          <w:color w:val="000000"/>
        </w:rPr>
        <w:t xml:space="preserve"> </w:t>
      </w:r>
    </w:p>
    <w:p w:rsidR="0072151D" w:rsidRDefault="0072151D">
      <w:pPr>
        <w:spacing w:line="360" w:lineRule="auto"/>
        <w:jc w:val="both"/>
        <w:rPr>
          <w:rFonts w:ascii="Palatino Linotype" w:eastAsia="Palatino Linotype" w:hAnsi="Palatino Linotype" w:cs="Palatino Linotype"/>
          <w:i/>
          <w:color w:val="000000"/>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segundo oficio número GOB/052/2022, por medio del cual la Dirección de Gobierno informó al Titular de la Unidad de Transparencia, ambos del Ayuntamiento de Cuautitlán, respecto de la solicitud 00064/CUAUTIT/IP/2022, q</w:t>
      </w:r>
      <w:r>
        <w:rPr>
          <w:rFonts w:ascii="Palatino Linotype" w:eastAsia="Palatino Linotype" w:hAnsi="Palatino Linotype" w:cs="Palatino Linotype"/>
          <w:b/>
          <w:u w:val="single"/>
        </w:rPr>
        <w:t xml:space="preserve">ue del periodo 2013-2016 y 2016-2018 debido a una búsqueda exhaustiva por el archivo de concentración, le informó que no se encontró información requerida sobre este periodo, </w:t>
      </w:r>
      <w:r>
        <w:rPr>
          <w:rFonts w:ascii="Palatino Linotype" w:eastAsia="Palatino Linotype" w:hAnsi="Palatino Linotype" w:cs="Palatino Linotype"/>
        </w:rPr>
        <w:t>y del periodo 2019-2021 adjuntó los nombres de las personas que integran la planilla para este periodo, como se advierte a continuación:</w:t>
      </w:r>
    </w:p>
    <w:p w:rsidR="0072151D" w:rsidRDefault="00254347">
      <w:pPr>
        <w:spacing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609477" cy="2789828"/>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35510" t="23993" r="20840" b="18266"/>
                    <a:stretch>
                      <a:fillRect/>
                    </a:stretch>
                  </pic:blipFill>
                  <pic:spPr>
                    <a:xfrm>
                      <a:off x="0" y="0"/>
                      <a:ext cx="5609477" cy="2789828"/>
                    </a:xfrm>
                    <a:prstGeom prst="rect">
                      <a:avLst/>
                    </a:prstGeom>
                    <a:ln/>
                  </pic:spPr>
                </pic:pic>
              </a:graphicData>
            </a:graphic>
          </wp:inline>
        </w:drawing>
      </w: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año 2022,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pronunciarse al respecto. </w:t>
      </w:r>
    </w:p>
    <w:p w:rsidR="0072151D" w:rsidRDefault="0025434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00062/CUAUTIT/IP/2022:</w:t>
      </w: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7">
        <w:r>
          <w:rPr>
            <w:rFonts w:ascii="Palatino Linotype" w:eastAsia="Palatino Linotype" w:hAnsi="Palatino Linotype" w:cs="Palatino Linotype"/>
          </w:rPr>
          <w:t>RESPUESTA SOLICITUD 00062 GOBIERNO.pdf</w:t>
        </w:r>
      </w:hyperlink>
      <w:r>
        <w:rPr>
          <w:rFonts w:ascii="Palatino Linotype" w:eastAsia="Palatino Linotype" w:hAnsi="Palatino Linotype" w:cs="Palatino Linotype"/>
        </w:rPr>
        <w:t>”, el cual a su vez contiene dos oficios, el primero corresponde al oficio número UT/192/2022, el cual pertenece al turno que hizo el titular de la unidad de transparencia el Director de Gobierno, respecto de la solicitud 00062/CUAUTIT/IP/2022 y el segundo corresponde al oficio número GOB/050/2022, por medio del cual el Director de Gobernación informó al Titular de la Unidad de Transparencia,  lo siguiente:</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502015" cy="1569114"/>
            <wp:effectExtent l="0" t="0" r="0" b="0"/>
            <wp:docPr id="5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37714" t="55364" r="10713" b="14330"/>
                    <a:stretch>
                      <a:fillRect/>
                    </a:stretch>
                  </pic:blipFill>
                  <pic:spPr>
                    <a:xfrm>
                      <a:off x="0" y="0"/>
                      <a:ext cx="5502015" cy="1569114"/>
                    </a:xfrm>
                    <a:prstGeom prst="rect">
                      <a:avLst/>
                    </a:prstGeom>
                    <a:ln/>
                  </pic:spPr>
                </pic:pic>
              </a:graphicData>
            </a:graphic>
          </wp:inline>
        </w:drawing>
      </w:r>
    </w:p>
    <w:p w:rsidR="0072151D" w:rsidRDefault="0072151D">
      <w:pPr>
        <w:spacing w:line="360" w:lineRule="auto"/>
        <w:jc w:val="both"/>
        <w:rPr>
          <w:rFonts w:ascii="Palatino Linotype" w:eastAsia="Palatino Linotype" w:hAnsi="Palatino Linotype" w:cs="Palatino Linotype"/>
          <w:b/>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Inconforme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 las respuestas, interpuso los Recursos de Revisión y en atención a sus alegatos en lo medular se quejó 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acreditó la búsqueda exhaustiva de la información y para que se cumpla con lo señalado por los artículos 3 y 4 de la Ley de Transparencia. </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los recursos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fue omiso en rendir su informe justificado. </w:t>
      </w:r>
    </w:p>
    <w:p w:rsidR="0072151D" w:rsidRDefault="0072151D">
      <w:pPr>
        <w:spacing w:line="360" w:lineRule="auto"/>
        <w:jc w:val="both"/>
        <w:rPr>
          <w:rFonts w:ascii="Palatino Linotype" w:eastAsia="Palatino Linotype" w:hAnsi="Palatino Linotype" w:cs="Palatino Linotype"/>
        </w:rPr>
      </w:pPr>
    </w:p>
    <w:p w:rsidR="0072151D" w:rsidRDefault="002543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por una parte parcialmente fundados para modificar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 por otra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infundados para modificar o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en razón de las consideraciones de derecho que a continuación se exponen:</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w:t>
      </w:r>
      <w:r>
        <w:rPr>
          <w:rFonts w:ascii="Palatino Linotype" w:eastAsia="Palatino Linotype" w:hAnsi="Palatino Linotype" w:cs="Palatino Linotype"/>
        </w:rPr>
        <w:lastRenderedPageBreak/>
        <w:t>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72151D" w:rsidRDefault="00254347">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2151D" w:rsidRDefault="0025434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2151D" w:rsidRDefault="0025434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72151D" w:rsidRDefault="0072151D">
      <w:pPr>
        <w:ind w:left="709" w:right="760"/>
        <w:jc w:val="both"/>
        <w:rPr>
          <w:rFonts w:ascii="Palatino Linotype" w:eastAsia="Palatino Linotype" w:hAnsi="Palatino Linotype" w:cs="Palatino Linotype"/>
          <w:i/>
          <w:sz w:val="22"/>
          <w:szCs w:val="22"/>
        </w:rPr>
      </w:pPr>
    </w:p>
    <w:p w:rsidR="0072151D" w:rsidRDefault="002543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72151D" w:rsidRDefault="00254347">
      <w:pPr>
        <w:spacing w:before="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72151D" w:rsidRDefault="0072151D">
      <w:pPr>
        <w:ind w:left="567" w:right="758"/>
        <w:jc w:val="both"/>
        <w:rPr>
          <w:rFonts w:ascii="Palatino Linotype" w:eastAsia="Palatino Linotype" w:hAnsi="Palatino Linotype" w:cs="Palatino Linotype"/>
          <w:i/>
          <w:sz w:val="22"/>
          <w:szCs w:val="22"/>
        </w:rPr>
      </w:pPr>
    </w:p>
    <w:p w:rsidR="0072151D" w:rsidRDefault="00254347">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72151D" w:rsidRDefault="0072151D">
      <w:pPr>
        <w:spacing w:line="360" w:lineRule="auto"/>
        <w:ind w:right="-93"/>
        <w:jc w:val="both"/>
        <w:rPr>
          <w:rFonts w:ascii="Palatino Linotype" w:eastAsia="Palatino Linotype" w:hAnsi="Palatino Linotype" w:cs="Palatino Linotype"/>
          <w:color w:val="000000"/>
        </w:rPr>
      </w:pPr>
    </w:p>
    <w:p w:rsidR="0072151D" w:rsidRDefault="00254347">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72151D" w:rsidRDefault="0072151D">
      <w:pPr>
        <w:spacing w:line="360" w:lineRule="auto"/>
        <w:ind w:right="-93"/>
        <w:jc w:val="both"/>
        <w:rPr>
          <w:rFonts w:ascii="Palatino Linotype" w:eastAsia="Palatino Linotype" w:hAnsi="Palatino Linotype" w:cs="Palatino Linotype"/>
          <w:color w:val="000000"/>
        </w:rPr>
      </w:pPr>
    </w:p>
    <w:p w:rsidR="0072151D" w:rsidRDefault="00254347">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72151D" w:rsidRDefault="0072151D">
      <w:pPr>
        <w:ind w:left="851" w:right="850"/>
        <w:jc w:val="both"/>
        <w:rPr>
          <w:rFonts w:ascii="Palatino Linotype" w:eastAsia="Palatino Linotype" w:hAnsi="Palatino Linotype" w:cs="Palatino Linotype"/>
          <w:color w:val="000000"/>
        </w:rPr>
      </w:pPr>
    </w:p>
    <w:p w:rsidR="0072151D" w:rsidRDefault="00254347">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Pr>
          <w:rFonts w:ascii="Palatino Linotype" w:eastAsia="Palatino Linotype" w:hAnsi="Palatino Linotype" w:cs="Palatino Linotype"/>
          <w:i/>
          <w:color w:val="000000"/>
          <w:sz w:val="22"/>
          <w:szCs w:val="22"/>
        </w:rPr>
        <w:lastRenderedPageBreak/>
        <w:t>archivos; sin necesidad de elaborar documentos ad hoc para atender las solicitudes de información.</w:t>
      </w:r>
    </w:p>
    <w:p w:rsidR="0072151D" w:rsidRDefault="00254347">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72151D" w:rsidRDefault="00254347">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72151D" w:rsidRDefault="00254347">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72151D" w:rsidRDefault="00254347">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72151D" w:rsidRDefault="0072151D">
      <w:pPr>
        <w:spacing w:line="360" w:lineRule="auto"/>
        <w:jc w:val="both"/>
        <w:rPr>
          <w:rFonts w:ascii="Palatino Linotype" w:eastAsia="Palatino Linotype" w:hAnsi="Palatino Linotype" w:cs="Palatino Linotype"/>
          <w:color w:val="000000"/>
        </w:rPr>
      </w:pPr>
    </w:p>
    <w:p w:rsidR="0072151D" w:rsidRDefault="0025434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2151D" w:rsidRDefault="0072151D">
      <w:pPr>
        <w:spacing w:line="360" w:lineRule="auto"/>
        <w:ind w:right="49"/>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2151D" w:rsidRDefault="0072151D">
      <w:pPr>
        <w:ind w:left="851" w:right="899"/>
        <w:jc w:val="both"/>
        <w:rPr>
          <w:rFonts w:ascii="Palatino Linotype" w:eastAsia="Palatino Linotype" w:hAnsi="Palatino Linotype" w:cs="Palatino Linotype"/>
          <w:i/>
          <w:sz w:val="22"/>
          <w:szCs w:val="22"/>
        </w:rPr>
      </w:pP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2151D" w:rsidRDefault="00254347">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72151D" w:rsidRDefault="0072151D">
      <w:pPr>
        <w:ind w:left="851" w:right="899"/>
        <w:jc w:val="both"/>
        <w:rPr>
          <w:rFonts w:ascii="Palatino Linotype" w:eastAsia="Palatino Linotype" w:hAnsi="Palatino Linotype" w:cs="Palatino Linotype"/>
          <w:sz w:val="22"/>
          <w:szCs w:val="22"/>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2151D" w:rsidRDefault="0072151D">
      <w:pPr>
        <w:ind w:left="851" w:right="899"/>
        <w:jc w:val="both"/>
        <w:rPr>
          <w:rFonts w:ascii="Palatino Linotype" w:eastAsia="Palatino Linotype" w:hAnsi="Palatino Linotype" w:cs="Palatino Linotype"/>
        </w:rPr>
      </w:pP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72151D" w:rsidRDefault="0072151D">
      <w:pPr>
        <w:spacing w:line="360" w:lineRule="auto"/>
        <w:ind w:right="-93"/>
        <w:jc w:val="both"/>
        <w:rPr>
          <w:rFonts w:ascii="Palatino Linotype" w:eastAsia="Palatino Linotype" w:hAnsi="Palatino Linotype" w:cs="Palatino Linotype"/>
          <w:color w:val="000000"/>
        </w:rPr>
      </w:pPr>
    </w:p>
    <w:p w:rsidR="0072151D" w:rsidRDefault="0025434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sus respuestas cumple parcialmente con lo establecido por los artículos 4, 12 y 24 último de la Ley de Transparencia y Acceso a la Información Pública del Estado de México y Municipios.</w:t>
      </w:r>
    </w:p>
    <w:p w:rsidR="0072151D" w:rsidRDefault="0072151D">
      <w:pPr>
        <w:spacing w:line="360" w:lineRule="auto"/>
        <w:ind w:right="-93"/>
        <w:jc w:val="both"/>
        <w:rPr>
          <w:rFonts w:ascii="Palatino Linotype" w:eastAsia="Palatino Linotype" w:hAnsi="Palatino Linotype" w:cs="Palatino Linotype"/>
        </w:rPr>
      </w:pPr>
    </w:p>
    <w:p w:rsidR="0072151D" w:rsidRDefault="0025434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Sobre el recurso de revisión </w:t>
      </w:r>
      <w:r>
        <w:rPr>
          <w:rFonts w:ascii="Palatino Linotype" w:eastAsia="Palatino Linotype" w:hAnsi="Palatino Linotype" w:cs="Palatino Linotype"/>
          <w:b/>
        </w:rPr>
        <w:t xml:space="preserve">01959/INFOEM/IP/RR/2022, </w:t>
      </w:r>
      <w:r>
        <w:rPr>
          <w:rFonts w:ascii="Palatino Linotype" w:eastAsia="Palatino Linotype" w:hAnsi="Palatino Linotype" w:cs="Palatino Linotype"/>
        </w:rPr>
        <w:t>se determina lo siguiente:</w:t>
      </w:r>
    </w:p>
    <w:p w:rsidR="0072151D" w:rsidRDefault="0072151D">
      <w:pPr>
        <w:spacing w:line="360" w:lineRule="auto"/>
        <w:ind w:right="-93"/>
        <w:jc w:val="both"/>
        <w:rPr>
          <w:rFonts w:ascii="Palatino Linotype" w:eastAsia="Palatino Linotype" w:hAnsi="Palatino Linotype" w:cs="Palatino Linotype"/>
        </w:rPr>
      </w:pPr>
    </w:p>
    <w:p w:rsidR="0072151D" w:rsidRDefault="0025434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 la respuesta se desprende que respecto del periodo comprendido del 2019-2021, el </w:t>
      </w:r>
      <w:r>
        <w:rPr>
          <w:rFonts w:ascii="Palatino Linotype" w:eastAsia="Palatino Linotype" w:hAnsi="Palatino Linotype" w:cs="Palatino Linotype"/>
          <w:b/>
        </w:rPr>
        <w:t>SUJETO OBLIGADO</w:t>
      </w:r>
      <w:r>
        <w:rPr>
          <w:rFonts w:ascii="Palatino Linotype" w:eastAsia="Palatino Linotype" w:hAnsi="Palatino Linotype" w:cs="Palatino Linotype"/>
        </w:rPr>
        <w:t>, entregó los nombres de las personas que integran la plantilla, conforme a lo siguiente:</w:t>
      </w:r>
    </w:p>
    <w:p w:rsidR="0072151D" w:rsidRDefault="00254347">
      <w:pPr>
        <w:spacing w:line="360" w:lineRule="auto"/>
        <w:ind w:right="-93"/>
        <w:jc w:val="both"/>
        <w:rPr>
          <w:rFonts w:ascii="Palatino Linotype" w:eastAsia="Palatino Linotype" w:hAnsi="Palatino Linotype" w:cs="Palatino Linotype"/>
        </w:rPr>
      </w:pPr>
      <w:r>
        <w:rPr>
          <w:noProof/>
          <w:lang w:val="en-US" w:eastAsia="en-US"/>
        </w:rPr>
        <w:lastRenderedPageBreak/>
        <w:drawing>
          <wp:inline distT="0" distB="0" distL="0" distR="0">
            <wp:extent cx="5536021" cy="2155739"/>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35634" t="24213" r="20349" b="18476"/>
                    <a:stretch>
                      <a:fillRect/>
                    </a:stretch>
                  </pic:blipFill>
                  <pic:spPr>
                    <a:xfrm>
                      <a:off x="0" y="0"/>
                      <a:ext cx="5536021" cy="2155739"/>
                    </a:xfrm>
                    <a:prstGeom prst="rect">
                      <a:avLst/>
                    </a:prstGeom>
                    <a:ln/>
                  </pic:spPr>
                </pic:pic>
              </a:graphicData>
            </a:graphic>
          </wp:inline>
        </w:drawing>
      </w: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Colmando parcialmente con ello,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cuanto a dicho periodo; luego entonces,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72151D" w:rsidRDefault="0072151D">
      <w:pPr>
        <w:spacing w:line="360" w:lineRule="auto"/>
        <w:jc w:val="both"/>
        <w:rPr>
          <w:rFonts w:ascii="Palatino Linotype" w:eastAsia="Palatino Linotype" w:hAnsi="Palatino Linotype" w:cs="Palatino Linotype"/>
        </w:rPr>
      </w:pPr>
    </w:p>
    <w:p w:rsidR="0072151D" w:rsidRDefault="0025434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Pr>
          <w:rFonts w:ascii="Palatino Linotype" w:eastAsia="Palatino Linotype" w:hAnsi="Palatino Linotype" w:cs="Palatino Linotype"/>
          <w:i/>
          <w:sz w:val="22"/>
          <w:szCs w:val="22"/>
        </w:rPr>
        <w:lastRenderedPageBreak/>
        <w:t>Gubernamental no se prevé una causal que permita al Instituto Federal de Acceso a la Información y Protección de Datos conocer, vía recurso revisión, al respecto.”</w:t>
      </w:r>
    </w:p>
    <w:p w:rsidR="0072151D" w:rsidRDefault="0072151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151D" w:rsidRDefault="0025434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72151D" w:rsidRDefault="0072151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151D" w:rsidRDefault="0025434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Sin embargo, respecto de la fecha de su nombramiento y</w:t>
      </w:r>
      <w:r>
        <w:rPr>
          <w:rFonts w:ascii="Palatino Linotype" w:eastAsia="Palatino Linotype" w:hAnsi="Palatino Linotype" w:cs="Palatino Linotype"/>
          <w:color w:val="000000"/>
          <w:u w:val="single"/>
        </w:rPr>
        <w:t xml:space="preserve"> en su caso</w:t>
      </w:r>
      <w:r>
        <w:rPr>
          <w:rFonts w:ascii="Palatino Linotype" w:eastAsia="Palatino Linotype" w:hAnsi="Palatino Linotype" w:cs="Palatino Linotype"/>
          <w:color w:val="000000"/>
        </w:rPr>
        <w:t xml:space="preserve"> renuncia,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omitió pronunciarse al respecto, lo que c</w:t>
      </w:r>
      <w:r>
        <w:rPr>
          <w:rFonts w:ascii="Palatino Linotype" w:eastAsia="Palatino Linotype" w:hAnsi="Palatino Linotype" w:cs="Palatino Linotype"/>
        </w:rPr>
        <w:t xml:space="preserve">areció de los principios de congruencia y exhaustividad </w:t>
      </w:r>
      <w:r>
        <w:rPr>
          <w:rFonts w:ascii="Palatino Linotype" w:eastAsia="Palatino Linotype" w:hAnsi="Palatino Linotype" w:cs="Palatino Linotype"/>
          <w:color w:val="000000"/>
        </w:rPr>
        <w:t>en términos del criterio 2/2017, emitido por el Instituto Nacional de Transparencia, que señala:</w:t>
      </w:r>
    </w:p>
    <w:p w:rsidR="0072151D" w:rsidRDefault="0072151D">
      <w:pPr>
        <w:pBdr>
          <w:top w:val="nil"/>
          <w:left w:val="nil"/>
          <w:bottom w:val="nil"/>
          <w:right w:val="nil"/>
          <w:between w:val="nil"/>
        </w:pBdr>
        <w:spacing w:line="360" w:lineRule="auto"/>
        <w:jc w:val="both"/>
        <w:rPr>
          <w:rFonts w:ascii="Palatino Linotype" w:eastAsia="Palatino Linotype" w:hAnsi="Palatino Linotype" w:cs="Palatino Linotype"/>
        </w:rPr>
      </w:pP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Congruencia y exhaustividad.</w:t>
      </w:r>
      <w:r>
        <w:rPr>
          <w:rFonts w:ascii="Palatino Linotype" w:eastAsia="Palatino Linotype" w:hAnsi="Palatino Linotype" w:cs="Palatino Linotype"/>
          <w:i/>
          <w:color w:val="000000"/>
          <w:sz w:val="22"/>
          <w:szCs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Resoluciones:</w:t>
      </w: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RRA 0003/16. Comisión Nacional de las Zonas Áridas. 29 de junio de 2016. Por unanimidad. Comisionado Ponente Oscar Mauricio Guerra Ford.</w:t>
      </w: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RRA 0100/16. Sindicato Nacional de Trabajadores de la Educación. 13 de julio de 2016. Por unanimidad. Comisionada Ponente. Areli Cano Guadiana.</w:t>
      </w: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RRA 1419/16. Secretaría de Educación Pública. 14 de septiembre de 2016. Por unanimidad. Comisionado Ponente Rosendoevgueni Monterrey Chepov.” (Sic)</w:t>
      </w:r>
    </w:p>
    <w:p w:rsidR="0072151D" w:rsidRDefault="0072151D">
      <w:pPr>
        <w:spacing w:line="360" w:lineRule="auto"/>
        <w:jc w:val="both"/>
        <w:rPr>
          <w:rFonts w:ascii="Palatino Linotype" w:eastAsia="Palatino Linotype" w:hAnsi="Palatino Linotype" w:cs="Palatino Linotype"/>
          <w:color w:val="000000"/>
        </w:rPr>
      </w:pPr>
    </w:p>
    <w:p w:rsidR="0072151D" w:rsidRDefault="00254347">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color w:val="000000"/>
        </w:rPr>
        <w:t xml:space="preserve">considera procedente ordenar la entrega del documento en donde conste la fecha de los nombramientos y de </w:t>
      </w:r>
      <w:r>
        <w:rPr>
          <w:rFonts w:ascii="Palatino Linotype" w:eastAsia="Palatino Linotype" w:hAnsi="Palatino Linotype" w:cs="Palatino Linotype"/>
        </w:rPr>
        <w:t>ser el caso d</w:t>
      </w:r>
      <w:r>
        <w:rPr>
          <w:rFonts w:ascii="Palatino Linotype" w:eastAsia="Palatino Linotype" w:hAnsi="Palatino Linotype" w:cs="Palatino Linotype"/>
          <w:color w:val="000000"/>
        </w:rPr>
        <w:t xml:space="preserve">el escrito de sus renuncias, </w:t>
      </w:r>
      <w:r>
        <w:rPr>
          <w:rFonts w:ascii="Palatino Linotype" w:eastAsia="Palatino Linotype" w:hAnsi="Palatino Linotype" w:cs="Palatino Linotype"/>
        </w:rPr>
        <w:t xml:space="preserve">siendo importante mencionar que </w:t>
      </w:r>
      <w:r>
        <w:rPr>
          <w:rFonts w:ascii="Palatino Linotype" w:eastAsia="Palatino Linotype" w:hAnsi="Palatino Linotype" w:cs="Palatino Linotype"/>
          <w:color w:val="000000"/>
        </w:rPr>
        <w:t>para el caso, de no contar con el escrito de renuncias, por no ha</w:t>
      </w:r>
      <w:r>
        <w:rPr>
          <w:rFonts w:ascii="Palatino Linotype" w:eastAsia="Palatino Linotype" w:hAnsi="Palatino Linotype" w:cs="Palatino Linotype"/>
        </w:rPr>
        <w:t>berse actualizado dicho supuesto,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bastará</w:t>
      </w:r>
      <w:r>
        <w:rPr>
          <w:rFonts w:ascii="Palatino Linotype" w:eastAsia="Palatino Linotype" w:hAnsi="Palatino Linotype" w:cs="Palatino Linotype"/>
          <w:color w:val="000000"/>
        </w:rPr>
        <w:t xml:space="preserve"> que así se lo haga del conocimiento al recurrente de manera fundada y motivada, para tener por satisfecho este punto de la solicitud de información. </w:t>
      </w:r>
    </w:p>
    <w:p w:rsidR="0072151D" w:rsidRDefault="0025434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de los periodos 2013-2016 y 2016-2018, si bien es cierto que 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 su Dirección de Gobierno señaló que después de una búsqueda en el archivo de concentración no encontró información de dicho periodo, sin embargo, no acreditó la búsqueda exhaustiva y razonable conforme a la Ley de la Materia, lo anterior en términos del artículo 59 tercer párrafo y 73 de la Ley Orgánica Municipal del Estado de México, que señalan:</w:t>
      </w:r>
    </w:p>
    <w:p w:rsidR="0072151D" w:rsidRDefault="0072151D">
      <w:pPr>
        <w:spacing w:line="360" w:lineRule="auto"/>
        <w:ind w:right="49"/>
        <w:jc w:val="both"/>
        <w:rPr>
          <w:rFonts w:ascii="Palatino Linotype" w:eastAsia="Palatino Linotype" w:hAnsi="Palatino Linotype" w:cs="Palatino Linotype"/>
        </w:rPr>
      </w:pP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59.- La elección de Delegados y Subdelegados se sujetará al procedimiento establecido en la convocatoria que al efecto expida el Ayuntamiento. Por cada Delegado y Subdelegado deberá elegirse un suplente. </w:t>
      </w: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elección de los Delegados y Subdelegados se realizará en la fecha señalada en la convocatoria, entre el segundo domingo de marzo y el 30 de ese mes del primer año de gobierno del Ayuntamiento. La convocatoria deberá expedirse cuando menos diez días antes de la elección. </w:t>
      </w: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Sus nombramientos serán firmados por el Presidente Municipal y el Secretario del Ayuntamiento, entregándose a los electos a más tardar el día en que entren en funciones, que será el 15 de abril del mismo año</w:t>
      </w:r>
      <w:r>
        <w:rPr>
          <w:rFonts w:ascii="Palatino Linotype" w:eastAsia="Palatino Linotype" w:hAnsi="Palatino Linotype" w:cs="Palatino Linotype"/>
          <w:i/>
          <w:color w:val="000000"/>
          <w:sz w:val="22"/>
          <w:szCs w:val="22"/>
        </w:rPr>
        <w:t>.</w:t>
      </w: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72151D" w:rsidRDefault="0025434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73.- </w:t>
      </w:r>
      <w:r>
        <w:rPr>
          <w:rFonts w:ascii="Palatino Linotype" w:eastAsia="Palatino Linotype" w:hAnsi="Palatino Linotype" w:cs="Palatino Linotype"/>
          <w:b/>
          <w:i/>
          <w:color w:val="000000"/>
          <w:sz w:val="22"/>
          <w:szCs w:val="22"/>
        </w:rPr>
        <w:t>Cada consejo de participación ciudadana municipal</w:t>
      </w:r>
      <w:r>
        <w:rPr>
          <w:rFonts w:ascii="Palatino Linotype" w:eastAsia="Palatino Linotype" w:hAnsi="Palatino Linotype" w:cs="Palatino Linotype"/>
          <w:i/>
          <w:color w:val="000000"/>
          <w:sz w:val="22"/>
          <w:szCs w:val="22"/>
        </w:rPr>
        <w:t xml:space="preserve"> se integrará hasta con cinco vecinos del municipio, con 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 </w:t>
      </w:r>
      <w:r>
        <w:rPr>
          <w:rFonts w:ascii="Palatino Linotype" w:eastAsia="Palatino Linotype" w:hAnsi="Palatino Linotype" w:cs="Palatino Linotype"/>
          <w:b/>
          <w:i/>
          <w:color w:val="000000"/>
          <w:sz w:val="22"/>
          <w:szCs w:val="22"/>
        </w:rPr>
        <w:t>El ayuntamiento expedirá los nombramientos respectivos firmados por el presidente municipal y el secretario del ayuntamiento, entregándose a los electos a más tardar el día en que entren en funciones, que será el día 15 de abril del mismo año.”(Sic)</w:t>
      </w:r>
    </w:p>
    <w:p w:rsidR="0072151D" w:rsidRDefault="0072151D">
      <w:pPr>
        <w:spacing w:line="360" w:lineRule="auto"/>
        <w:ind w:right="49"/>
        <w:jc w:val="both"/>
        <w:rPr>
          <w:rFonts w:ascii="Palatino Linotype" w:eastAsia="Palatino Linotype" w:hAnsi="Palatino Linotype" w:cs="Palatino Linotype"/>
        </w:rPr>
      </w:pPr>
    </w:p>
    <w:p w:rsidR="0072151D" w:rsidRDefault="0025434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sentido, debido la naturaleza de la información debe decirse que el Ayuntamiento de Cuautitlán en los periodos 2013-2016 y 2016-2018, contaba con delegados y Consejos de Participación Ciudadana, por así determinarlo los artículos 139 al 141 y 143 al 148 del Bando Municipal del Ayuntamiento de Cuautitlán para el año 2013-2015 y los artículos 51 al 54 y 56 al 58 del Bando Municipal del Ayuntamiento de Cuautitlán para el año 2016-2018, que señalan lo siguiente:</w:t>
      </w:r>
    </w:p>
    <w:p w:rsidR="0072151D" w:rsidRDefault="0072151D">
      <w:pPr>
        <w:spacing w:line="360" w:lineRule="auto"/>
        <w:ind w:right="49"/>
        <w:jc w:val="both"/>
        <w:rPr>
          <w:rFonts w:ascii="Palatino Linotype" w:eastAsia="Palatino Linotype" w:hAnsi="Palatino Linotype" w:cs="Palatino Linotype"/>
        </w:rPr>
      </w:pPr>
    </w:p>
    <w:p w:rsidR="0072151D" w:rsidRDefault="00254347">
      <w:pPr>
        <w:spacing w:line="360" w:lineRule="auto"/>
        <w:ind w:right="49"/>
        <w:jc w:val="both"/>
        <w:rPr>
          <w:rFonts w:ascii="Palatino Linotype" w:eastAsia="Palatino Linotype" w:hAnsi="Palatino Linotype" w:cs="Palatino Linotype"/>
          <w:i/>
          <w:sz w:val="22"/>
          <w:szCs w:val="22"/>
        </w:rPr>
      </w:pPr>
      <w:r>
        <w:rPr>
          <w:noProof/>
          <w:lang w:val="en-US" w:eastAsia="en-US"/>
        </w:rPr>
        <w:lastRenderedPageBreak/>
        <w:drawing>
          <wp:inline distT="0" distB="0" distL="0" distR="0">
            <wp:extent cx="5697059" cy="3210355"/>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26880" t="11889" r="20705" b="15007"/>
                    <a:stretch>
                      <a:fillRect/>
                    </a:stretch>
                  </pic:blipFill>
                  <pic:spPr>
                    <a:xfrm>
                      <a:off x="0" y="0"/>
                      <a:ext cx="5697059" cy="3210355"/>
                    </a:xfrm>
                    <a:prstGeom prst="rect">
                      <a:avLst/>
                    </a:prstGeom>
                    <a:ln/>
                  </pic:spPr>
                </pic:pic>
              </a:graphicData>
            </a:graphic>
          </wp:inline>
        </w:drawing>
      </w:r>
    </w:p>
    <w:p w:rsidR="0072151D" w:rsidRDefault="00254347">
      <w:pPr>
        <w:spacing w:line="360" w:lineRule="auto"/>
        <w:ind w:right="49"/>
        <w:jc w:val="both"/>
        <w:rPr>
          <w:rFonts w:ascii="Palatino Linotype" w:eastAsia="Palatino Linotype" w:hAnsi="Palatino Linotype" w:cs="Palatino Linotype"/>
          <w:i/>
          <w:sz w:val="22"/>
          <w:szCs w:val="22"/>
        </w:rPr>
      </w:pPr>
      <w:r>
        <w:rPr>
          <w:noProof/>
          <w:lang w:val="en-US" w:eastAsia="en-US"/>
        </w:rPr>
        <w:drawing>
          <wp:inline distT="0" distB="0" distL="0" distR="0">
            <wp:extent cx="5589687" cy="3262215"/>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22014" t="19024" r="51480" b="29924"/>
                    <a:stretch>
                      <a:fillRect/>
                    </a:stretch>
                  </pic:blipFill>
                  <pic:spPr>
                    <a:xfrm>
                      <a:off x="0" y="0"/>
                      <a:ext cx="5589687" cy="3262215"/>
                    </a:xfrm>
                    <a:prstGeom prst="rect">
                      <a:avLst/>
                    </a:prstGeom>
                    <a:ln/>
                  </pic:spPr>
                </pic:pic>
              </a:graphicData>
            </a:graphic>
          </wp:inline>
        </w:drawing>
      </w:r>
    </w:p>
    <w:p w:rsidR="0072151D" w:rsidRDefault="0072151D">
      <w:pPr>
        <w:spacing w:line="360" w:lineRule="auto"/>
        <w:ind w:right="49"/>
        <w:jc w:val="both"/>
        <w:rPr>
          <w:rFonts w:ascii="Palatino Linotype" w:eastAsia="Palatino Linotype" w:hAnsi="Palatino Linotype" w:cs="Palatino Linotype"/>
          <w:i/>
          <w:sz w:val="22"/>
          <w:szCs w:val="22"/>
        </w:rPr>
      </w:pP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51. </w:t>
      </w:r>
      <w:r>
        <w:rPr>
          <w:rFonts w:ascii="Palatino Linotype" w:eastAsia="Palatino Linotype" w:hAnsi="Palatino Linotype" w:cs="Palatino Linotype"/>
          <w:b/>
          <w:i/>
          <w:sz w:val="22"/>
          <w:szCs w:val="22"/>
        </w:rPr>
        <w:t>Son autoridades Auxiliares Municipales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Delegaciones</w:t>
      </w:r>
      <w:r>
        <w:rPr>
          <w:rFonts w:ascii="Palatino Linotype" w:eastAsia="Palatino Linotype" w:hAnsi="Palatino Linotype" w:cs="Palatino Linotype"/>
          <w:i/>
          <w:sz w:val="22"/>
          <w:szCs w:val="22"/>
        </w:rPr>
        <w:t xml:space="preserve"> y Subdelegaciones, las Jefaturas de sector o de sección y las Jefaturas de manzana, </w:t>
      </w:r>
      <w:r>
        <w:rPr>
          <w:rFonts w:ascii="Palatino Linotype" w:eastAsia="Palatino Linotype" w:hAnsi="Palatino Linotype" w:cs="Palatino Linotype"/>
          <w:i/>
          <w:sz w:val="22"/>
          <w:szCs w:val="22"/>
        </w:rPr>
        <w:lastRenderedPageBreak/>
        <w:t xml:space="preserve">que designe el Ayuntamiento, de conformidad a lo establecido por el artículo 56 de la Ley Orgánica Municipal. </w:t>
      </w: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52. En cada Delegación habrá un titular y un subdelegado con sus respectivos suplentes.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53. Las personas que sean propuestas a las Delegaciones y Subdelegaciones, serán electas de acuerdo a lo dispuesto por los artículos 59, 60 y demás aplicables de la Ley Orgánica Municipal vigente en el Estado de México. La elección de los Delegados y Subdelegados se realizará en la fecha señalada de la convocatoria, entre el segundo domingo de marzo y el 30 de ese mes; misma que deberá expedirse cuando menos diez días antes de la elección.</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Sus nombramientos serán firmados por la Presidenta Municipal y el titular de la Secretaria del Ayuntamiento, los cuales se entregarán a los electos a más tardar el día 15 de abril del mismo año.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54. Las personas titulares de las Delegaciones y Subdelegaciones actuarán en sus respectivas jurisdicciones como Autoridades Auxiliares Municipales, con las facultades y obligaciones que señala la Ley Orgánica Municipal vigente y este Bando Municipal.</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56. </w:t>
      </w:r>
      <w:r>
        <w:rPr>
          <w:rFonts w:ascii="Palatino Linotype" w:eastAsia="Palatino Linotype" w:hAnsi="Palatino Linotype" w:cs="Palatino Linotype"/>
          <w:b/>
          <w:i/>
          <w:sz w:val="22"/>
          <w:szCs w:val="22"/>
        </w:rPr>
        <w:t>De los Consejos de Participación Ciudadana</w:t>
      </w:r>
      <w:r>
        <w:rPr>
          <w:rFonts w:ascii="Palatino Linotype" w:eastAsia="Palatino Linotype" w:hAnsi="Palatino Linotype" w:cs="Palatino Linotype"/>
          <w:i/>
          <w:sz w:val="22"/>
          <w:szCs w:val="22"/>
        </w:rPr>
        <w:t xml:space="preserve"> En los términos del artículo 64 fracción II de la Ley Orgánica Municipal, el Ayuntamiento, podrá auxiliarse para el desempeño de las funciones públicas, por Consejos de Participación Ciudadana, que se integren en cada una de las comunidades. Artículo 57. </w:t>
      </w:r>
      <w:r>
        <w:rPr>
          <w:rFonts w:ascii="Palatino Linotype" w:eastAsia="Palatino Linotype" w:hAnsi="Palatino Linotype" w:cs="Palatino Linotype"/>
          <w:b/>
          <w:i/>
          <w:sz w:val="22"/>
          <w:szCs w:val="22"/>
        </w:rPr>
        <w:t>Los Consejos de Participación Ciudadana como órganos de comunicación y colaboración entre la comunidad y las autoridades tendrán las siguientes atribuciones</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Promover la participación ciudadana en la realización de los planes y programas Municipales;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Proponer al Ayuntamiento acciones tendientes a integrar o modificar los planes y programas Municipales;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Participar en la supervisión de la prestación de los servicios públicos municipales;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Informar al menos cada tres meses a sus representados y al Ayuntamiento sobre sus proyectos, actividades realizadas, y en su caso, el estado de cuenta de las aportaciones económicas que estén a su cargo;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Coadyuvar para el cumplimiento eficaz de los planes y programas aprobados. VI. Emitir opinión motivada no vinculante, respecto a la autorización de nuevos proyectos inmobiliarios, comerciales, habitacionales o industriales y respecto a la autorización de giros mercantiles.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58. De la elección de los Consejos de Participación Ciudadana</w:t>
      </w:r>
      <w:r>
        <w:rPr>
          <w:rFonts w:ascii="Palatino Linotype" w:eastAsia="Palatino Linotype" w:hAnsi="Palatino Linotype" w:cs="Palatino Linotype"/>
          <w:i/>
          <w:sz w:val="22"/>
          <w:szCs w:val="22"/>
        </w:rPr>
        <w:t xml:space="preserve"> Cada Consejo de participación ciudadana se integrará hasta con cinco vecinos de la comunidad, con sus respectivos suplentes; uno de los cuales lo presidirá, otro fungirá como secretario y otro como tesorero y en su caso dos vocales, que serán electos en las diversas localidades por los habitantes de la comunidad en la forma y términos señalados por la Ley Orgánica municipal…” (Sic)</w:t>
      </w:r>
    </w:p>
    <w:p w:rsidR="0072151D" w:rsidRDefault="0072151D">
      <w:pPr>
        <w:ind w:left="851" w:right="899"/>
        <w:jc w:val="both"/>
        <w:rPr>
          <w:rFonts w:ascii="Palatino Linotype" w:eastAsia="Palatino Linotype" w:hAnsi="Palatino Linotype" w:cs="Palatino Linotype"/>
          <w:i/>
          <w:sz w:val="22"/>
          <w:szCs w:val="22"/>
        </w:rPr>
      </w:pPr>
    </w:p>
    <w:p w:rsidR="0072151D" w:rsidRDefault="0025434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cambio, en los artículos 56, 57 y 74 de la Ley Orgánica Municipal para el Estado de México, señala que las atribuciones de las autoridades auxiliares y los Consejos de Participación Ciudadana, son las siguientes:</w:t>
      </w:r>
    </w:p>
    <w:p w:rsidR="0072151D" w:rsidRDefault="0072151D">
      <w:pPr>
        <w:spacing w:line="360" w:lineRule="auto"/>
        <w:ind w:right="49"/>
        <w:jc w:val="both"/>
        <w:rPr>
          <w:rFonts w:ascii="Palatino Linotype" w:eastAsia="Palatino Linotype" w:hAnsi="Palatino Linotype" w:cs="Palatino Linotype"/>
        </w:rPr>
      </w:pP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56.- </w:t>
      </w:r>
      <w:r>
        <w:rPr>
          <w:rFonts w:ascii="Palatino Linotype" w:eastAsia="Palatino Linotype" w:hAnsi="Palatino Linotype" w:cs="Palatino Linotype"/>
          <w:b/>
          <w:i/>
          <w:sz w:val="22"/>
          <w:szCs w:val="22"/>
        </w:rPr>
        <w:t xml:space="preserve">Son autoridades auxiliares municipales, los delegados y subdelegados, y los jefes de sector o de sección y jefes de manzana que designe el ayuntamiento.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57.- Las autoridades auxiliares municipales ejercerán, en sus respectivas jurisdicciones, </w:t>
      </w:r>
      <w:r>
        <w:rPr>
          <w:rFonts w:ascii="Palatino Linotype" w:eastAsia="Palatino Linotype" w:hAnsi="Palatino Linotype" w:cs="Palatino Linotype"/>
          <w:b/>
          <w:i/>
          <w:sz w:val="22"/>
          <w:szCs w:val="22"/>
        </w:rPr>
        <w:t>las atribuciones que les delegue el ayuntamiento, para mantener el orden, la tranquilidad, la paz social, la seguridad y la protección de los vecinos, conforme a lo establecido en esta Ley, el Bando Municipal y los reglamentos respectivos.</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Corresponde a los delegados y subdelegados</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Vigilar el cumplimiento del bando municipal, de las disposiciones reglamentarias que expida el ayuntamiento </w:t>
      </w:r>
      <w:r>
        <w:rPr>
          <w:rFonts w:ascii="Palatino Linotype" w:eastAsia="Palatino Linotype" w:hAnsi="Palatino Linotype" w:cs="Palatino Linotype"/>
          <w:i/>
          <w:sz w:val="22"/>
          <w:szCs w:val="22"/>
          <w:u w:val="single"/>
        </w:rPr>
        <w:t>y reportar a la dependencia administrativa correspondiente, las violaciones a las mismas;</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u w:val="single"/>
        </w:rPr>
        <w:t xml:space="preserve">b). Coadyuvar con el ayuntamiento en la elaboración y ejecución del Plan de Desarrollo Municipal y de los programas que de él se deriven;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u w:val="single"/>
        </w:rPr>
        <w:t>c). Auxiliar al secretario del ayuntamiento con la información que requiera para expedir certificaciones</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 Informar anualmente a sus representados y al ayuntamiento, sobre la administración de los recursos que en su caso tenga encomendados, y del estado que guardan los asuntos a su cargo</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 Elaborar los programas de trabajo para las delegaciones y subdelegaciones, con la asesoría del ayuntamiento</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 vigilar el estado de los canales, vasos colectores, barrancas, canales alcantarillados y demás desagües e informar al ayuntamiento para la realización de acciones correctivas.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g) Emitir opinión motivada no vinculante, respecto a la autorización de la instalación de nuevos establecimientos comerciales, licencias de construcción y cambios de uso de suelo en sus comunidades</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Corresponde a los jefes de sector o de sección y de manzana: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Colaborar para mantener el orden, la seguridad y la tranquilidad de los vecinos del lugar, reportando ante los cuerpos de seguridad pública, a los oficiales calificadores las conductas que requieran de su intervención;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Elaborar y mantener actualizado el censo de vecinos de la demarcación correspondiente;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 Informar al delegado las deficiencias que presenten los servicios públicos municipales</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Participar en la preservación y restauración del medio ambiente, así como en la protección civil de los vecinos.”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74.- </w:t>
      </w:r>
      <w:r>
        <w:rPr>
          <w:rFonts w:ascii="Palatino Linotype" w:eastAsia="Palatino Linotype" w:hAnsi="Palatino Linotype" w:cs="Palatino Linotype"/>
          <w:b/>
          <w:i/>
          <w:sz w:val="22"/>
          <w:szCs w:val="22"/>
        </w:rPr>
        <w:t>Los consejos de participación ciudadana</w:t>
      </w:r>
      <w:r>
        <w:rPr>
          <w:rFonts w:ascii="Palatino Linotype" w:eastAsia="Palatino Linotype" w:hAnsi="Palatino Linotype" w:cs="Palatino Linotype"/>
          <w:i/>
          <w:sz w:val="22"/>
          <w:szCs w:val="22"/>
        </w:rPr>
        <w:t xml:space="preserve">, como órganos de comunicación y colaboración entre la comunidad y las autoridades, tendrán las siguientes atribuciones: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Promover la participación ciudadana en la realización de los programas municipales</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Coadyuvar para el cumplimiento eficaz de los planes y programas municipales aprobados</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Proponer al ayuntamiento las acciones tendientes a integrar o modificar los planes y programas municipales;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Participar en la supervisión de la prestación de los servicios públicos;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Informar al menos una vez cada tres meses a sus representados y al ayuntamiento sobre sus proyectos, las actividades realizadas y, en su caso, el estado de cuenta de las aportaciones económicas que estén a su cargo.</w:t>
      </w:r>
      <w:r>
        <w:rPr>
          <w:rFonts w:ascii="Palatino Linotype" w:eastAsia="Palatino Linotype" w:hAnsi="Palatino Linotype" w:cs="Palatino Linotype"/>
          <w:i/>
          <w:sz w:val="22"/>
          <w:szCs w:val="22"/>
        </w:rPr>
        <w:t xml:space="preserve"> </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 Emitir opinión motivada no vinculante, respecto a la autorización de nuevos proyectos inmobiliarios, comerciales, habitacionales o industriales y respecto de la autorización de giros mercantiles</w:t>
      </w:r>
      <w:r>
        <w:rPr>
          <w:rFonts w:ascii="Palatino Linotype" w:eastAsia="Palatino Linotype" w:hAnsi="Palatino Linotype" w:cs="Palatino Linotype"/>
          <w:i/>
          <w:sz w:val="22"/>
          <w:szCs w:val="22"/>
        </w:rPr>
        <w:t>. (Sic)</w:t>
      </w:r>
    </w:p>
    <w:p w:rsidR="0072151D" w:rsidRDefault="0072151D">
      <w:pPr>
        <w:spacing w:line="360" w:lineRule="auto"/>
        <w:ind w:right="49"/>
        <w:jc w:val="both"/>
        <w:rPr>
          <w:rFonts w:ascii="Palatino Linotype" w:eastAsia="Palatino Linotype" w:hAnsi="Palatino Linotype" w:cs="Palatino Linotype"/>
        </w:rPr>
      </w:pPr>
    </w:p>
    <w:p w:rsidR="0072151D" w:rsidRDefault="0025434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 lo cual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conocer los nombres de sus delegados como de sus consejos de participación ciudadana como de su fecha de nombramiento y en su caso de sus renuncias, en los periodos 2013-2016 y 2016-2018.</w:t>
      </w:r>
    </w:p>
    <w:p w:rsidR="0072151D" w:rsidRDefault="00254347">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Precisando lo anterior, regresando 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advierte que la Dirección de Gobierno, señaló que no se encontró la información después de haber realizado una búsqueda exhaustiva por el archivo de concentración sobre el periodo 2013-2016 y 2016-2018; sin embargo, dicho pronunciamiento, no acredita la búsqueda exhaustiva de la información solicitada, </w:t>
      </w:r>
      <w:r>
        <w:rPr>
          <w:rFonts w:ascii="Palatino Linotype" w:eastAsia="Palatino Linotype" w:hAnsi="Palatino Linotype" w:cs="Palatino Linotype"/>
          <w:color w:val="000000"/>
        </w:rPr>
        <w:t>sin que se advierta de dicha respuesta si la información fue generada y ya no la posee, o bien si no cuenta con ella porque no fue generada durante ese periodo. De ahí que se estime que su respuesta careció de los principios de congruencia y exhaustividad, como refuerzo de lo anterior</w:t>
      </w:r>
      <w:r>
        <w:rPr>
          <w:rFonts w:ascii="Palatino Linotype" w:eastAsia="Palatino Linotype" w:hAnsi="Palatino Linotype" w:cs="Palatino Linotype"/>
          <w:color w:val="000000"/>
          <w:u w:val="single"/>
        </w:rPr>
        <w:t xml:space="preserve">, resulta crucial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ya referido.</w:t>
      </w:r>
    </w:p>
    <w:p w:rsidR="0072151D" w:rsidRDefault="0025434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Luego entonces el Ayuntamiento de Cuautitlán deberá hacer de nuevo una búsqueda exhaustiva y razonable en términos del artículo 162 de la Ley de la Materia, que señala:</w:t>
      </w:r>
    </w:p>
    <w:p w:rsidR="0072151D" w:rsidRDefault="0072151D">
      <w:pPr>
        <w:spacing w:line="360" w:lineRule="auto"/>
        <w:ind w:right="49"/>
        <w:jc w:val="both"/>
        <w:rPr>
          <w:rFonts w:ascii="Palatino Linotype" w:eastAsia="Palatino Linotype" w:hAnsi="Palatino Linotype" w:cs="Palatino Linotype"/>
        </w:rPr>
      </w:pP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72151D" w:rsidRDefault="0072151D">
      <w:pPr>
        <w:ind w:left="851" w:right="899"/>
        <w:jc w:val="both"/>
        <w:rPr>
          <w:rFonts w:ascii="Palatino Linotype" w:eastAsia="Palatino Linotype" w:hAnsi="Palatino Linotype" w:cs="Palatino Linotype"/>
          <w:i/>
          <w:sz w:val="22"/>
          <w:szCs w:val="22"/>
        </w:rPr>
      </w:pPr>
    </w:p>
    <w:p w:rsidR="0072151D" w:rsidRDefault="0025434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ese argumento, se procedió a la búsqueda de los delegados y COPACIS, en la localidad señalada por el particular en su solicitud de acceso a la información, localizando que en la Gaceta Municipal número seis del catorce de marzo del año 2016, que el Fraccionamiento de Real de San Fernando, sí participó en la elección de </w:t>
      </w:r>
      <w:r>
        <w:rPr>
          <w:rFonts w:ascii="Palatino Linotype" w:eastAsia="Palatino Linotype" w:hAnsi="Palatino Linotype" w:cs="Palatino Linotype"/>
        </w:rPr>
        <w:lastRenderedPageBreak/>
        <w:t>los Delegaciones, Subdelegaciones y Consejos de Participación Ciudadana, como se advierte en las siguientes que se insertan a continuación de la referida gaceta:</w:t>
      </w:r>
    </w:p>
    <w:p w:rsidR="0072151D" w:rsidRDefault="0072151D">
      <w:pPr>
        <w:spacing w:line="360" w:lineRule="auto"/>
        <w:ind w:right="49"/>
        <w:jc w:val="both"/>
        <w:rPr>
          <w:rFonts w:ascii="Palatino Linotype" w:eastAsia="Palatino Linotype" w:hAnsi="Palatino Linotype" w:cs="Palatino Linotype"/>
        </w:rPr>
      </w:pPr>
    </w:p>
    <w:p w:rsidR="0072151D" w:rsidRDefault="00254347">
      <w:pPr>
        <w:spacing w:line="360" w:lineRule="auto"/>
        <w:ind w:right="49"/>
        <w:jc w:val="both"/>
        <w:rPr>
          <w:rFonts w:ascii="Palatino Linotype" w:eastAsia="Palatino Linotype" w:hAnsi="Palatino Linotype" w:cs="Palatino Linotype"/>
        </w:rPr>
      </w:pPr>
      <w:r>
        <w:rPr>
          <w:noProof/>
          <w:lang w:val="en-US" w:eastAsia="en-US"/>
        </w:rPr>
        <w:drawing>
          <wp:inline distT="0" distB="0" distL="0" distR="0">
            <wp:extent cx="5326380" cy="6261811"/>
            <wp:effectExtent l="0" t="0" r="7620" b="5715"/>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41474" t="25293" r="25570" b="8957"/>
                    <a:stretch>
                      <a:fillRect/>
                    </a:stretch>
                  </pic:blipFill>
                  <pic:spPr>
                    <a:xfrm>
                      <a:off x="0" y="0"/>
                      <a:ext cx="5326646" cy="6262124"/>
                    </a:xfrm>
                    <a:prstGeom prst="rect">
                      <a:avLst/>
                    </a:prstGeom>
                    <a:ln/>
                  </pic:spPr>
                </pic:pic>
              </a:graphicData>
            </a:graphic>
          </wp:inline>
        </w:drawing>
      </w:r>
    </w:p>
    <w:p w:rsidR="0072151D" w:rsidRDefault="00254347">
      <w:pPr>
        <w:spacing w:line="360" w:lineRule="auto"/>
        <w:ind w:right="49"/>
        <w:jc w:val="both"/>
        <w:rPr>
          <w:rFonts w:ascii="Palatino Linotype" w:eastAsia="Palatino Linotype" w:hAnsi="Palatino Linotype" w:cs="Palatino Linotype"/>
        </w:rPr>
      </w:pPr>
      <w:r>
        <w:rPr>
          <w:noProof/>
          <w:lang w:val="en-US" w:eastAsia="en-US"/>
        </w:rPr>
        <w:lastRenderedPageBreak/>
        <w:drawing>
          <wp:inline distT="0" distB="0" distL="0" distR="0">
            <wp:extent cx="5537077" cy="3159497"/>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41836" t="34588" r="36761" b="20424"/>
                    <a:stretch>
                      <a:fillRect/>
                    </a:stretch>
                  </pic:blipFill>
                  <pic:spPr>
                    <a:xfrm>
                      <a:off x="0" y="0"/>
                      <a:ext cx="5537077" cy="3159497"/>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58240" behindDoc="0" locked="0" layoutInCell="1" hidden="0" allowOverlap="1">
                <wp:simplePos x="0" y="0"/>
                <wp:positionH relativeFrom="column">
                  <wp:posOffset>3200400</wp:posOffset>
                </wp:positionH>
                <wp:positionV relativeFrom="paragraph">
                  <wp:posOffset>1066800</wp:posOffset>
                </wp:positionV>
                <wp:extent cx="1123097" cy="515772"/>
                <wp:effectExtent l="0" t="0" r="0" b="0"/>
                <wp:wrapNone/>
                <wp:docPr id="49" name="Flecha izquierda 49"/>
                <wp:cNvGraphicFramePr/>
                <a:graphic xmlns:a="http://schemas.openxmlformats.org/drawingml/2006/main">
                  <a:graphicData uri="http://schemas.microsoft.com/office/word/2010/wordprocessingShape">
                    <wps:wsp>
                      <wps:cNvSpPr/>
                      <wps:spPr>
                        <a:xfrm>
                          <a:off x="4797152" y="3534814"/>
                          <a:ext cx="1097697" cy="490372"/>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72151D" w:rsidRDefault="0072151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3200400</wp:posOffset>
                </wp:positionH>
                <wp:positionV relativeFrom="paragraph">
                  <wp:posOffset>1066800</wp:posOffset>
                </wp:positionV>
                <wp:extent cx="1123097" cy="515772"/>
                <wp:effectExtent b="0" l="0" r="0" t="0"/>
                <wp:wrapNone/>
                <wp:docPr id="49"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1123097" cy="515772"/>
                        </a:xfrm>
                        <a:prstGeom prst="rect"/>
                        <a:ln/>
                      </pic:spPr>
                    </pic:pic>
                  </a:graphicData>
                </a:graphic>
              </wp:anchor>
            </w:drawing>
          </mc:Fallback>
        </mc:AlternateConten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contexto,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2151D" w:rsidRDefault="0072151D">
      <w:pPr>
        <w:ind w:left="851" w:right="899"/>
        <w:jc w:val="both"/>
        <w:rPr>
          <w:rFonts w:ascii="Palatino Linotype" w:eastAsia="Palatino Linotype" w:hAnsi="Palatino Linotype" w:cs="Palatino Linotype"/>
        </w:rPr>
      </w:pP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72151D" w:rsidRDefault="00254347">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72151D" w:rsidRDefault="00254347">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es responsabilidad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conservar todos los soportes documentales en el ejercicio de sus atribuciones, ello es así, ya que la conservación de los archivos, ya sea físicos o digitales, es una responsabilidad encomendada para cualquier autoridad, entidad, órgano y organismo de los poderes Legislativo, Ejecutivo y Judicial, Ayuntamientos, órganos autónomos, partidos políticos, fideicomisos y fondos públicos, así como de cualquier persona física, moral o sindicato que reciba y ejerza recursos públicos o realice actos de autoridad de la federación, las entidades federativas y los municipios, según lo dispuesto en la Ley General de Archivos.</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dicha norma, se define al archivo como el conjunto organizado de documentos producidos o recibidos por los sujetos obligados en el ejercicio de sus atribuciones y funciones, con independencia del soporte, espacio o lugar que se resguarden; de igual forma, señala que la conservación es el conjunto de procedimientos y medidas destinados a asegurar la prevención de alteraciones físicas de los documentos en papel y la preservación de documentos digitales a largo plazo.</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respetar el derecho a la verdad y el acceso a la información contenida en los archivos, por lo cual indica en su artículo 7 que los sujetos obligados deberán producir, registrar, organizar y conservar los documentos de archivo sobre todo acto que derive del ejercicio de sus facultades, competencias o funciones de acuerdo con lo establecido en las disposiciones jurídicas correspondientes.</w:t>
      </w:r>
    </w:p>
    <w:p w:rsidR="001105CB" w:rsidRDefault="003F6D3C" w:rsidP="003F6D3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que, de acuerdo a las convocatorias para la elección de los Delegaciones, Subdelegaciones y Consejos de Participación Ciudadana, la información de las planillas participantes es información pública, toda vez que de manera de ejemplo en la convocatoria 2022-2024 se advierte en su base </w:t>
      </w:r>
      <w:r w:rsidR="001105CB">
        <w:rPr>
          <w:rFonts w:ascii="Palatino Linotype" w:eastAsia="Palatino Linotype" w:hAnsi="Palatino Linotype" w:cs="Palatino Linotype"/>
        </w:rPr>
        <w:t>séptima a la décima segunda, que se deben publicar en los estrados de la Dirección Gobierno del Ayuntamiento de Cuautitlán, como se observa a continuación:</w:t>
      </w:r>
    </w:p>
    <w:p w:rsidR="001105CB" w:rsidRDefault="001105CB" w:rsidP="003F6D3C">
      <w:pPr>
        <w:spacing w:line="360" w:lineRule="auto"/>
        <w:ind w:right="49"/>
        <w:jc w:val="both"/>
        <w:rPr>
          <w:rFonts w:ascii="Palatino Linotype" w:eastAsia="Palatino Linotype" w:hAnsi="Palatino Linotype" w:cs="Palatino Linotype"/>
        </w:rPr>
      </w:pPr>
    </w:p>
    <w:p w:rsidR="001105CB" w:rsidRDefault="001105CB" w:rsidP="001105C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1105CB">
        <w:rPr>
          <w:rFonts w:ascii="Palatino Linotype" w:eastAsia="Palatino Linotype" w:hAnsi="Palatino Linotype" w:cs="Palatino Linotype"/>
          <w:i/>
          <w:sz w:val="22"/>
          <w:szCs w:val="22"/>
        </w:rPr>
        <w:t xml:space="preserve">SÉPTIMA: </w:t>
      </w:r>
      <w:r w:rsidRPr="001105CB">
        <w:rPr>
          <w:rFonts w:ascii="Palatino Linotype" w:eastAsia="Palatino Linotype" w:hAnsi="Palatino Linotype" w:cs="Palatino Linotype"/>
          <w:b/>
          <w:i/>
          <w:sz w:val="22"/>
          <w:szCs w:val="22"/>
        </w:rPr>
        <w:t>PARA LA PROCEDENCIA DE LOS REGISTROS DE FÓRMULAS Y PLANILLAS</w:t>
      </w:r>
      <w:r w:rsidRPr="001105CB">
        <w:rPr>
          <w:rFonts w:ascii="Palatino Linotype" w:eastAsia="Palatino Linotype" w:hAnsi="Palatino Linotype" w:cs="Palatino Linotype"/>
          <w:i/>
          <w:sz w:val="22"/>
          <w:szCs w:val="22"/>
        </w:rPr>
        <w:t xml:space="preserve">, LOS INTEGRANTES DEBERÁN CUMPLIR CON LA DOCUMENTACIÓN ESTABLECIDA EN LA PRESENTE CONVOCATORIA. </w:t>
      </w:r>
    </w:p>
    <w:p w:rsidR="001105CB" w:rsidRDefault="001105CB" w:rsidP="001105C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1105CB">
        <w:rPr>
          <w:rFonts w:ascii="Palatino Linotype" w:eastAsia="Palatino Linotype" w:hAnsi="Palatino Linotype" w:cs="Palatino Linotype"/>
          <w:i/>
          <w:sz w:val="22"/>
          <w:szCs w:val="22"/>
        </w:rPr>
        <w:t xml:space="preserve">OCTAVA: SE DEBERÁ ACREDITAR A UNA PERSONA QUE FUNJA COMO REPRESENTANTE PARA EL REGISTRO DE LA FORMULA Y/O PLANILLA, QUE NO SEA CANDIDATO (A) A NINGUNO DE LOS CARGOS, EL CUAL DEBE DE RESIDIR EN LA COMUNIDAD QUE PRETENDA REPRESENTAR, DEBIENDO ACREDITAR LO ANTERIOR </w:t>
      </w:r>
      <w:r w:rsidRPr="001105CB">
        <w:rPr>
          <w:rFonts w:ascii="Palatino Linotype" w:eastAsia="Palatino Linotype" w:hAnsi="Palatino Linotype" w:cs="Palatino Linotype"/>
          <w:i/>
          <w:sz w:val="22"/>
          <w:szCs w:val="22"/>
        </w:rPr>
        <w:lastRenderedPageBreak/>
        <w:t xml:space="preserve">CON COPIA SIMPLE POR AMBOS LADOS DE LA CREDENCIAL DE ELECTOR VIGENTE ANTE LA DIRECCIÓN DE GOBIERNO. </w:t>
      </w:r>
    </w:p>
    <w:p w:rsidR="001105CB" w:rsidRDefault="001105CB" w:rsidP="001105CB">
      <w:pPr>
        <w:ind w:left="851" w:right="899"/>
        <w:jc w:val="both"/>
        <w:rPr>
          <w:rFonts w:ascii="Palatino Linotype" w:eastAsia="Palatino Linotype" w:hAnsi="Palatino Linotype" w:cs="Palatino Linotype"/>
          <w:i/>
          <w:sz w:val="22"/>
          <w:szCs w:val="22"/>
        </w:rPr>
      </w:pPr>
      <w:r w:rsidRPr="001105CB">
        <w:rPr>
          <w:rFonts w:ascii="Palatino Linotype" w:eastAsia="Palatino Linotype" w:hAnsi="Palatino Linotype" w:cs="Palatino Linotype"/>
          <w:b/>
          <w:i/>
          <w:sz w:val="22"/>
          <w:szCs w:val="22"/>
        </w:rPr>
        <w:t>NOVENA: LOS FORMATOS SERÁN ENTREGADOS AL REPRESENTANTE DE FORMULA Y</w:t>
      </w:r>
      <w:r w:rsidRPr="001105CB">
        <w:rPr>
          <w:rFonts w:ascii="Palatino Linotype" w:eastAsia="Palatino Linotype" w:hAnsi="Palatino Linotype" w:cs="Palatino Linotype"/>
          <w:b/>
          <w:i/>
          <w:sz w:val="22"/>
          <w:szCs w:val="22"/>
          <w:u w:val="single"/>
        </w:rPr>
        <w:t>/O PLANILLA</w:t>
      </w:r>
      <w:r w:rsidRPr="001105CB">
        <w:rPr>
          <w:rFonts w:ascii="Palatino Linotype" w:eastAsia="Palatino Linotype" w:hAnsi="Palatino Linotype" w:cs="Palatino Linotype"/>
          <w:b/>
          <w:i/>
          <w:sz w:val="22"/>
          <w:szCs w:val="22"/>
        </w:rPr>
        <w:t xml:space="preserve"> ÚNICAMENTE EL DÍA 14 DE MARZO DEL AÑO 2022 DE 9:00 A 16:00 HORAS, EN LAS OFICINAS DE LA DIRECCIÓN DE GOBIERNO</w:t>
      </w:r>
      <w:r w:rsidRPr="001105CB">
        <w:rPr>
          <w:rFonts w:ascii="Palatino Linotype" w:eastAsia="Palatino Linotype" w:hAnsi="Palatino Linotype" w:cs="Palatino Linotype"/>
          <w:i/>
          <w:sz w:val="22"/>
          <w:szCs w:val="22"/>
        </w:rPr>
        <w:t xml:space="preserve">, UBICADA EN LA PLANTA BAJA DEL PALACIO MUNICIPAL, CON DOMICILIO EN CALLE ALFONSO REYES, ESQUINA VENUSTIANO CARRANZA, FRACCIONAMIENTO SANTA MARÍA, PASEOS DE SANTA MARÍA S/N. C.P 54820, CUAUTITLÁN, ESTADO DE MÉXICO. </w:t>
      </w:r>
    </w:p>
    <w:p w:rsidR="001105CB" w:rsidRDefault="001105CB" w:rsidP="001105CB">
      <w:pPr>
        <w:ind w:left="851" w:right="899"/>
        <w:jc w:val="both"/>
        <w:rPr>
          <w:rFonts w:ascii="Palatino Linotype" w:eastAsia="Palatino Linotype" w:hAnsi="Palatino Linotype" w:cs="Palatino Linotype"/>
          <w:i/>
          <w:sz w:val="22"/>
          <w:szCs w:val="22"/>
        </w:rPr>
      </w:pPr>
      <w:r w:rsidRPr="001105CB">
        <w:rPr>
          <w:rFonts w:ascii="Palatino Linotype" w:eastAsia="Palatino Linotype" w:hAnsi="Palatino Linotype" w:cs="Palatino Linotype"/>
          <w:i/>
          <w:sz w:val="22"/>
          <w:szCs w:val="22"/>
        </w:rPr>
        <w:t xml:space="preserve">DÉCIMA: </w:t>
      </w:r>
      <w:r w:rsidRPr="001105CB">
        <w:rPr>
          <w:rFonts w:ascii="Palatino Linotype" w:eastAsia="Palatino Linotype" w:hAnsi="Palatino Linotype" w:cs="Palatino Linotype"/>
          <w:b/>
          <w:i/>
          <w:sz w:val="22"/>
          <w:szCs w:val="22"/>
        </w:rPr>
        <w:t xml:space="preserve">EL REGISTRO DE LAS FÓRMULAS Y/O </w:t>
      </w:r>
      <w:r w:rsidRPr="001105CB">
        <w:rPr>
          <w:rFonts w:ascii="Palatino Linotype" w:eastAsia="Palatino Linotype" w:hAnsi="Palatino Linotype" w:cs="Palatino Linotype"/>
          <w:b/>
          <w:i/>
          <w:sz w:val="22"/>
          <w:szCs w:val="22"/>
          <w:u w:val="single"/>
        </w:rPr>
        <w:t>PLANILLAS</w:t>
      </w:r>
      <w:r w:rsidRPr="001105CB">
        <w:rPr>
          <w:rFonts w:ascii="Palatino Linotype" w:eastAsia="Palatino Linotype" w:hAnsi="Palatino Linotype" w:cs="Palatino Linotype"/>
          <w:b/>
          <w:i/>
          <w:sz w:val="22"/>
          <w:szCs w:val="22"/>
        </w:rPr>
        <w:t xml:space="preserve"> </w:t>
      </w:r>
      <w:r w:rsidRPr="001105CB">
        <w:rPr>
          <w:rFonts w:ascii="Palatino Linotype" w:eastAsia="Palatino Linotype" w:hAnsi="Palatino Linotype" w:cs="Palatino Linotype"/>
          <w:i/>
          <w:sz w:val="22"/>
          <w:szCs w:val="22"/>
        </w:rPr>
        <w:t xml:space="preserve">SERÁ REALIZADO A TRAVÉS DEL REPRESENTANTE DE ESTAS, EL CUAL SE LLEVARÁ A CABO EL DÍA 16 DE MARZO DEL AÑO 2022, EN UN HORARIO COMPRENDIDO DE 10:00 A 17:00 HORAS EN LAS OFICINAS DE LA DIRECCIÓN DE GOBIERNO UBICADA EN LA PLANTA BAJA DEL PALACIO MUNICIPAL, CON DOMICILIO EN CALLE ALFONSO REYES, ESQUINA VENUSTIANO CARRANZA, FRACCIONAMIENTO PASEOS DE SANTA MARÍA S/N. C.P 54820, CUAUTITLÁN, ESTADO DE MÉXICO. A LA SOLICITUD DE REGISTRO SE DEBERÁN ACOMPAÑAR TODOS LOS DOCUMENTOS SOLICITADOS EN LA PRESENTE CONVOCATORIA, DADOS ESTOS PLAZOS, NO SE ADMITIRÁN REGISTROS EXTEMPORÁNEOS. </w:t>
      </w:r>
    </w:p>
    <w:p w:rsidR="001105CB" w:rsidRDefault="001105CB" w:rsidP="001105CB">
      <w:pPr>
        <w:ind w:left="851" w:right="899"/>
        <w:jc w:val="both"/>
        <w:rPr>
          <w:rFonts w:ascii="Palatino Linotype" w:eastAsia="Palatino Linotype" w:hAnsi="Palatino Linotype" w:cs="Palatino Linotype"/>
          <w:i/>
          <w:sz w:val="22"/>
          <w:szCs w:val="22"/>
        </w:rPr>
      </w:pPr>
      <w:r w:rsidRPr="001105CB">
        <w:rPr>
          <w:rFonts w:ascii="Palatino Linotype" w:eastAsia="Palatino Linotype" w:hAnsi="Palatino Linotype" w:cs="Palatino Linotype"/>
          <w:b/>
          <w:i/>
          <w:sz w:val="22"/>
          <w:szCs w:val="22"/>
        </w:rPr>
        <w:t>DÉCIMA PRIMERA. - LA DIRECCIÓN DE GOBIERNO ASIGNARÁ A CADA PLANILLA EL NÚMERO CORRESPONDIENTE, EN EL ORDEN EN QUE ESTAS HAYAN PRESENTADO LA SOLICITUD DE REGISTRO, SIEMPRE Y CUANDO CUMPLAN CON LOS REQUISITOS ESTABLECIDOS</w:t>
      </w:r>
      <w:r w:rsidRPr="001105CB">
        <w:rPr>
          <w:rFonts w:ascii="Palatino Linotype" w:eastAsia="Palatino Linotype" w:hAnsi="Palatino Linotype" w:cs="Palatino Linotype"/>
          <w:i/>
          <w:sz w:val="22"/>
          <w:szCs w:val="22"/>
        </w:rPr>
        <w:t xml:space="preserve">. </w:t>
      </w:r>
    </w:p>
    <w:p w:rsidR="003F6D3C" w:rsidRPr="001105CB" w:rsidRDefault="001105CB" w:rsidP="001105CB">
      <w:pPr>
        <w:ind w:left="851" w:right="899"/>
        <w:jc w:val="both"/>
        <w:rPr>
          <w:rFonts w:ascii="Palatino Linotype" w:eastAsia="Palatino Linotype" w:hAnsi="Palatino Linotype" w:cs="Palatino Linotype"/>
          <w:b/>
          <w:i/>
          <w:sz w:val="22"/>
          <w:szCs w:val="22"/>
        </w:rPr>
      </w:pPr>
      <w:r w:rsidRPr="001105CB">
        <w:rPr>
          <w:rFonts w:ascii="Palatino Linotype" w:eastAsia="Palatino Linotype" w:hAnsi="Palatino Linotype" w:cs="Palatino Linotype"/>
          <w:b/>
          <w:i/>
          <w:sz w:val="22"/>
          <w:szCs w:val="22"/>
        </w:rPr>
        <w:t>DÉCIMA SEGUNDA: CONCLUIDO EL PERÍODO DE RECEPCIÓN DE SOLICITUDES DE REGISTRO</w:t>
      </w:r>
      <w:r w:rsidRPr="001105CB">
        <w:rPr>
          <w:rFonts w:ascii="Palatino Linotype" w:eastAsia="Palatino Linotype" w:hAnsi="Palatino Linotype" w:cs="Palatino Linotype"/>
          <w:i/>
          <w:sz w:val="22"/>
          <w:szCs w:val="22"/>
        </w:rPr>
        <w:t xml:space="preserve">, LA DIRECCIÓN DE GOBIERNO EMITIRÁ, </w:t>
      </w:r>
      <w:r w:rsidRPr="001105CB">
        <w:rPr>
          <w:rFonts w:ascii="Palatino Linotype" w:eastAsia="Palatino Linotype" w:hAnsi="Palatino Linotype" w:cs="Palatino Linotype"/>
          <w:b/>
          <w:i/>
          <w:sz w:val="22"/>
          <w:szCs w:val="22"/>
        </w:rPr>
        <w:t xml:space="preserve">LOS DICTÁMENES DE PROCEDENCIA O IMPROCEDENCIA, MISMOS QUE </w:t>
      </w:r>
      <w:r w:rsidRPr="001105CB">
        <w:rPr>
          <w:rFonts w:ascii="Palatino Linotype" w:eastAsia="Palatino Linotype" w:hAnsi="Palatino Linotype" w:cs="Palatino Linotype"/>
          <w:b/>
          <w:i/>
          <w:sz w:val="22"/>
          <w:szCs w:val="22"/>
          <w:u w:val="single"/>
        </w:rPr>
        <w:t>SE PUBLICARÁN EN LOS ESTRADOS DE LA DIRECCIÓN DE GOBIERNO</w:t>
      </w:r>
      <w:r w:rsidRPr="001105CB">
        <w:rPr>
          <w:rFonts w:ascii="Palatino Linotype" w:eastAsia="Palatino Linotype" w:hAnsi="Palatino Linotype" w:cs="Palatino Linotype"/>
          <w:b/>
          <w:i/>
          <w:sz w:val="22"/>
          <w:szCs w:val="22"/>
        </w:rPr>
        <w:t>, EL DÍA 22 DE MARZO DEL AÑO 2022 A LAS 9:00 HORAS.</w:t>
      </w:r>
      <w:r>
        <w:rPr>
          <w:rFonts w:ascii="Palatino Linotype" w:eastAsia="Palatino Linotype" w:hAnsi="Palatino Linotype" w:cs="Palatino Linotype"/>
          <w:b/>
          <w:i/>
          <w:sz w:val="22"/>
          <w:szCs w:val="22"/>
        </w:rPr>
        <w:t>” (Sic)</w:t>
      </w:r>
    </w:p>
    <w:p w:rsidR="003F6D3C" w:rsidRDefault="003F6D3C" w:rsidP="003F6D3C">
      <w:pPr>
        <w:spacing w:line="360" w:lineRule="auto"/>
        <w:ind w:right="49"/>
        <w:jc w:val="both"/>
        <w:rPr>
          <w:rFonts w:ascii="Palatino Linotype" w:eastAsia="Palatino Linotype" w:hAnsi="Palatino Linotype" w:cs="Palatino Linotype"/>
        </w:rPr>
      </w:pPr>
    </w:p>
    <w:p w:rsidR="0072151D" w:rsidRDefault="0025434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una nueva búsqueda exhaustiva y razonable de la información solicitada por el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xml:space="preserve">, y entregarla en versión pública de ser procedente en términos del considerando quinto del presente fallo. </w:t>
      </w:r>
    </w:p>
    <w:p w:rsidR="003F6D3C" w:rsidRDefault="003F6D3C">
      <w:pPr>
        <w:spacing w:line="360" w:lineRule="auto"/>
        <w:ind w:right="49"/>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supuesto, de actualizarse la circunstancia fáctica de que, derivado de una búsqueda exhaustiva y razonable, por alguna razón, la información solicitada no obre en sus archivos, tendrá que realizar un Acuerdo de Inexistencia de la Información y notificárselo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rsidR="0072151D" w:rsidRDefault="0072151D">
      <w:pPr>
        <w:spacing w:line="360" w:lineRule="auto"/>
        <w:jc w:val="both"/>
        <w:rPr>
          <w:rFonts w:ascii="Palatino Linotype" w:eastAsia="Palatino Linotype" w:hAnsi="Palatino Linotype" w:cs="Palatino Linotype"/>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2151D" w:rsidRDefault="00254347">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72151D" w:rsidRDefault="0072151D">
      <w:pPr>
        <w:spacing w:line="360" w:lineRule="auto"/>
        <w:jc w:val="both"/>
        <w:rPr>
          <w:rFonts w:ascii="Palatino Linotype" w:eastAsia="Palatino Linotype" w:hAnsi="Palatino Linotype" w:cs="Palatino Linotype"/>
          <w:i/>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72151D" w:rsidRDefault="0072151D">
      <w:pPr>
        <w:spacing w:line="360" w:lineRule="auto"/>
        <w:jc w:val="both"/>
        <w:rPr>
          <w:rFonts w:ascii="Palatino Linotype" w:eastAsia="Palatino Linotype" w:hAnsi="Palatino Linotype" w:cs="Palatino Linotype"/>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72151D" w:rsidRDefault="0072151D">
      <w:pPr>
        <w:ind w:left="567" w:right="567"/>
        <w:jc w:val="both"/>
        <w:rPr>
          <w:rFonts w:ascii="Palatino Linotype" w:eastAsia="Palatino Linotype" w:hAnsi="Palatino Linotype" w:cs="Palatino Linotype"/>
          <w:i/>
          <w:sz w:val="22"/>
          <w:szCs w:val="22"/>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rsidR="0072151D" w:rsidRDefault="0072151D">
      <w:pPr>
        <w:ind w:left="567" w:right="567"/>
        <w:jc w:val="both"/>
        <w:rPr>
          <w:rFonts w:ascii="Palatino Linotype" w:eastAsia="Palatino Linotype" w:hAnsi="Palatino Linotype" w:cs="Palatino Linotype"/>
          <w:i/>
          <w:sz w:val="22"/>
          <w:szCs w:val="22"/>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rsidR="0072151D" w:rsidRDefault="0072151D">
      <w:pPr>
        <w:ind w:left="567" w:right="567"/>
        <w:jc w:val="both"/>
        <w:rPr>
          <w:rFonts w:ascii="Palatino Linotype" w:eastAsia="Palatino Linotype" w:hAnsi="Palatino Linotype" w:cs="Palatino Linotype"/>
          <w:i/>
          <w:sz w:val="22"/>
          <w:szCs w:val="22"/>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2151D" w:rsidRDefault="0072151D">
      <w:pPr>
        <w:ind w:left="567" w:right="567"/>
        <w:jc w:val="both"/>
        <w:rPr>
          <w:rFonts w:ascii="Palatino Linotype" w:eastAsia="Palatino Linotype" w:hAnsi="Palatino Linotype" w:cs="Palatino Linotype"/>
          <w:i/>
          <w:sz w:val="22"/>
          <w:szCs w:val="22"/>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rsidR="0072151D" w:rsidRDefault="0072151D">
      <w:pPr>
        <w:ind w:left="567" w:right="567"/>
        <w:jc w:val="both"/>
        <w:rPr>
          <w:rFonts w:ascii="Palatino Linotype" w:eastAsia="Palatino Linotype" w:hAnsi="Palatino Linotype" w:cs="Palatino Linotype"/>
          <w:i/>
          <w:sz w:val="22"/>
          <w:szCs w:val="22"/>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72151D" w:rsidRDefault="0072151D">
      <w:pPr>
        <w:ind w:left="567" w:right="567"/>
        <w:jc w:val="both"/>
        <w:rPr>
          <w:rFonts w:ascii="Palatino Linotype" w:eastAsia="Palatino Linotype" w:hAnsi="Palatino Linotype" w:cs="Palatino Linotype"/>
          <w:i/>
          <w:sz w:val="22"/>
          <w:szCs w:val="22"/>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72151D" w:rsidRDefault="0072151D">
      <w:pPr>
        <w:ind w:left="567" w:right="567"/>
        <w:jc w:val="both"/>
        <w:rPr>
          <w:rFonts w:ascii="Palatino Linotype" w:eastAsia="Palatino Linotype" w:hAnsi="Palatino Linotype" w:cs="Palatino Linotype"/>
          <w:i/>
          <w:sz w:val="22"/>
          <w:szCs w:val="22"/>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72151D" w:rsidRDefault="0072151D">
      <w:pPr>
        <w:ind w:left="567" w:right="567"/>
        <w:jc w:val="both"/>
        <w:rPr>
          <w:rFonts w:ascii="Palatino Linotype" w:eastAsia="Palatino Linotype" w:hAnsi="Palatino Linotype" w:cs="Palatino Linotype"/>
        </w:rPr>
      </w:pPr>
    </w:p>
    <w:p w:rsidR="0072151D" w:rsidRDefault="0025434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Pr>
          <w:rFonts w:ascii="Palatino Linotype" w:eastAsia="Palatino Linotype" w:hAnsi="Palatino Linotype" w:cs="Palatino Linotype"/>
        </w:rPr>
        <w:lastRenderedPageBreak/>
        <w:t>elementos suficientes del carácter exhaustivo de la indagación realizada, a saber, los siguientes:</w:t>
      </w:r>
    </w:p>
    <w:p w:rsidR="0072151D" w:rsidRDefault="0072151D">
      <w:pPr>
        <w:spacing w:line="360" w:lineRule="auto"/>
        <w:jc w:val="both"/>
        <w:rPr>
          <w:rFonts w:ascii="Palatino Linotype" w:eastAsia="Palatino Linotype" w:hAnsi="Palatino Linotype" w:cs="Palatino Linotype"/>
        </w:rPr>
      </w:pPr>
    </w:p>
    <w:p w:rsidR="0072151D" w:rsidRDefault="00254347">
      <w:pPr>
        <w:numPr>
          <w:ilvl w:val="0"/>
          <w:numId w:val="5"/>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rsidR="0072151D" w:rsidRDefault="00254347">
      <w:pPr>
        <w:numPr>
          <w:ilvl w:val="0"/>
          <w:numId w:val="5"/>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rsidR="0072151D" w:rsidRDefault="00254347">
      <w:pPr>
        <w:numPr>
          <w:ilvl w:val="0"/>
          <w:numId w:val="5"/>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72151D" w:rsidRDefault="0072151D">
      <w:pPr>
        <w:pBdr>
          <w:top w:val="nil"/>
          <w:left w:val="nil"/>
          <w:bottom w:val="nil"/>
          <w:right w:val="nil"/>
          <w:between w:val="nil"/>
        </w:pBdr>
        <w:rPr>
          <w:color w:val="000000"/>
        </w:rPr>
      </w:pPr>
    </w:p>
    <w:p w:rsidR="0072151D" w:rsidRDefault="0025434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72151D" w:rsidRDefault="0025434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rsidR="0072151D" w:rsidRDefault="0025434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rsidR="0072151D" w:rsidRDefault="0025434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rsidR="0072151D" w:rsidRDefault="00254347">
      <w:pPr>
        <w:numPr>
          <w:ilvl w:val="0"/>
          <w:numId w:val="4"/>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72151D" w:rsidRDefault="0072151D">
      <w:pPr>
        <w:spacing w:line="360" w:lineRule="auto"/>
        <w:ind w:right="49"/>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sobre el año 2022, el </w:t>
      </w:r>
      <w:r>
        <w:rPr>
          <w:rFonts w:ascii="Palatino Linotype" w:eastAsia="Palatino Linotype" w:hAnsi="Palatino Linotype" w:cs="Palatino Linotype"/>
          <w:b/>
        </w:rPr>
        <w:t>SUJETO OBLIGADO</w:t>
      </w:r>
      <w:r>
        <w:rPr>
          <w:rFonts w:ascii="Palatino Linotype" w:eastAsia="Palatino Linotype" w:hAnsi="Palatino Linotype" w:cs="Palatino Linotype"/>
        </w:rPr>
        <w:t>, omitió pronunciarse al respecto; ante ello, se localizó en la página oficial del Ayuntamiento de Cuautitlán una nota en donde se señala que se tomaron protesta de los COPACI, Delegados(as) y Subdelegados(as) de Cuautitlán, como se observa en seguida:</w:t>
      </w:r>
    </w:p>
    <w:p w:rsidR="0072151D" w:rsidRDefault="00254347">
      <w:pPr>
        <w:spacing w:line="360" w:lineRule="auto"/>
        <w:jc w:val="both"/>
        <w:rPr>
          <w:rFonts w:ascii="Palatino Linotype" w:eastAsia="Palatino Linotype" w:hAnsi="Palatino Linotype" w:cs="Palatino Linotype"/>
        </w:rPr>
      </w:pPr>
      <w:r>
        <w:rPr>
          <w:noProof/>
          <w:lang w:val="en-US" w:eastAsia="en-US"/>
        </w:rPr>
        <mc:AlternateContent>
          <mc:Choice Requires="wpg">
            <w:drawing>
              <wp:anchor distT="0" distB="0" distL="114300" distR="114300" simplePos="0" relativeHeight="251659264" behindDoc="0" locked="0" layoutInCell="1" hidden="0" allowOverlap="1">
                <wp:simplePos x="0" y="0"/>
                <wp:positionH relativeFrom="column">
                  <wp:posOffset>76201</wp:posOffset>
                </wp:positionH>
                <wp:positionV relativeFrom="paragraph">
                  <wp:posOffset>76200</wp:posOffset>
                </wp:positionV>
                <wp:extent cx="5450859" cy="4174793"/>
                <wp:effectExtent l="0" t="0" r="0" b="0"/>
                <wp:wrapNone/>
                <wp:docPr id="48" name="Conector recto de flecha 48"/>
                <wp:cNvGraphicFramePr/>
                <a:graphic xmlns:a="http://schemas.openxmlformats.org/drawingml/2006/main">
                  <a:graphicData uri="http://schemas.microsoft.com/office/word/2010/wordprocessingShape">
                    <wps:wsp>
                      <wps:cNvCnPr/>
                      <wps:spPr>
                        <a:xfrm>
                          <a:off x="2630096" y="1702129"/>
                          <a:ext cx="5431809" cy="4155743"/>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5450859" cy="4174793"/>
                <wp:effectExtent b="0" l="0" r="0" t="0"/>
                <wp:wrapNone/>
                <wp:docPr id="48"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5450859" cy="4174793"/>
                        </a:xfrm>
                        <a:prstGeom prst="rect"/>
                        <a:ln/>
                      </pic:spPr>
                    </pic:pic>
                  </a:graphicData>
                </a:graphic>
              </wp:anchor>
            </w:drawing>
          </mc:Fallback>
        </mc:AlternateContent>
      </w:r>
    </w:p>
    <w:p w:rsidR="0072151D" w:rsidRDefault="0072151D">
      <w:pPr>
        <w:spacing w:line="360" w:lineRule="auto"/>
        <w:jc w:val="both"/>
      </w:pPr>
    </w:p>
    <w:p w:rsidR="0072151D" w:rsidRDefault="00254347">
      <w:pPr>
        <w:spacing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474709" cy="7254663"/>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t="6052" r="2602" b="4224"/>
                    <a:stretch>
                      <a:fillRect/>
                    </a:stretch>
                  </pic:blipFill>
                  <pic:spPr>
                    <a:xfrm>
                      <a:off x="0" y="0"/>
                      <a:ext cx="5474709" cy="7254663"/>
                    </a:xfrm>
                    <a:prstGeom prst="rect">
                      <a:avLst/>
                    </a:prstGeom>
                    <a:ln/>
                  </pic:spPr>
                </pic:pic>
              </a:graphicData>
            </a:graphic>
          </wp:inline>
        </w:drawing>
      </w:r>
    </w:p>
    <w:p w:rsidR="0072151D" w:rsidRDefault="0072151D">
      <w:pPr>
        <w:spacing w:line="360" w:lineRule="auto"/>
        <w:jc w:val="both"/>
      </w:pPr>
    </w:p>
    <w:p w:rsidR="0072151D" w:rsidRDefault="00254347">
      <w:pPr>
        <w:spacing w:line="360" w:lineRule="auto"/>
        <w:jc w:val="both"/>
        <w:rPr>
          <w:rFonts w:ascii="Palatino Linotype" w:eastAsia="Palatino Linotype" w:hAnsi="Palatino Linotype" w:cs="Palatino Linotype"/>
        </w:rPr>
      </w:pPr>
      <w:r>
        <w:rPr>
          <w:noProof/>
          <w:lang w:val="en-US" w:eastAsia="en-US"/>
        </w:rPr>
        <w:drawing>
          <wp:inline distT="0" distB="0" distL="0" distR="0">
            <wp:extent cx="5400411" cy="5201701"/>
            <wp:effectExtent l="0" t="0" r="0"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l="28697" t="7783" r="42121" b="22579"/>
                    <a:stretch>
                      <a:fillRect/>
                    </a:stretch>
                  </pic:blipFill>
                  <pic:spPr>
                    <a:xfrm>
                      <a:off x="0" y="0"/>
                      <a:ext cx="5400411" cy="5201701"/>
                    </a:xfrm>
                    <a:prstGeom prst="rect">
                      <a:avLst/>
                    </a:prstGeom>
                    <a:ln/>
                  </pic:spPr>
                </pic:pic>
              </a:graphicData>
            </a:graphic>
          </wp:inline>
        </w:drawing>
      </w: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Dentro de la cual se advierte que la elección de los delegados, delegadas y COPACI, fue realizada el 27 de marzo del año del 2022 y en atención a la fecha de la solicitud que fue el ocho de febrero del año 2022, es obvio que a la fecha de la solicitud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aún no había generado la información solicitada; por lo que no es procedente ordenar su entrega, no obstante se dejan a salvo los derechos del </w:t>
      </w:r>
      <w:r>
        <w:rPr>
          <w:rFonts w:ascii="Palatino Linotype" w:eastAsia="Palatino Linotype" w:hAnsi="Palatino Linotype" w:cs="Palatino Linotype"/>
        </w:rPr>
        <w:lastRenderedPageBreak/>
        <w:t xml:space="preserve">solicitante para que así lo determine interponga una nueva solicitud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Sobre el recurso de revisión </w:t>
      </w:r>
      <w:r>
        <w:rPr>
          <w:rFonts w:ascii="Palatino Linotype" w:eastAsia="Palatino Linotype" w:hAnsi="Palatino Linotype" w:cs="Palatino Linotype"/>
          <w:b/>
        </w:rPr>
        <w:t xml:space="preserve">01960/INFOEM/IP/RR/2022, </w:t>
      </w:r>
      <w:r>
        <w:rPr>
          <w:rFonts w:ascii="Palatino Linotype" w:eastAsia="Palatino Linotype" w:hAnsi="Palatino Linotype" w:cs="Palatino Linotype"/>
        </w:rPr>
        <w:t>se determina lo siguiente:</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respuesta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señaló a través de su Director de Gobierno que de acuerdo a lo señalado por el artículo 59 de la Ley Orgánica Municipal del Estado de México, está en proceso la información para la publicación de la convocatoria para la elección de los Delegados y Subdelegados y que la misma se deberá expedir cuando menos diez días antes de la elección, aclarando que la actual administración no es la del 2022-2025, sino del 2022-2024; ante ello, y en atención a que la solicitud de información número 00062/CUAUTIT/IP/2022, se ingresó el ocho de febrero del presente año y la respuesta la otorgó el </w:t>
      </w:r>
      <w:r>
        <w:rPr>
          <w:rFonts w:ascii="Palatino Linotype" w:eastAsia="Palatino Linotype" w:hAnsi="Palatino Linotype" w:cs="Palatino Linotype"/>
          <w:b/>
        </w:rPr>
        <w:t>SUJETO OBLIGADO</w:t>
      </w:r>
      <w:r>
        <w:rPr>
          <w:rFonts w:ascii="Palatino Linotype" w:eastAsia="Palatino Linotype" w:hAnsi="Palatino Linotype" w:cs="Palatino Linotype"/>
        </w:rPr>
        <w:t>, el pasado veintidós de febrero de esta año, luego entonces a dichas fecha es obvio que el Ayuntamiento de Cuautitlán aún no tenía la convocatoria para la elección de delegados y COPACIS correspondiente al periodo 2022-2024, así como los requisitos, fundamento y sustento legal del documento y tiempo de ejecución de cada uno de los componentes de la convocatoria, lo anterior en términos del artículo 59 y 73 de la Ley Orgánica Municipal del Estado de México, que señalan:</w:t>
      </w:r>
    </w:p>
    <w:p w:rsidR="0072151D" w:rsidRDefault="0072151D">
      <w:pPr>
        <w:spacing w:line="360" w:lineRule="auto"/>
        <w:jc w:val="both"/>
        <w:rPr>
          <w:rFonts w:ascii="Palatino Linotype" w:eastAsia="Palatino Linotype" w:hAnsi="Palatino Linotype" w:cs="Palatino Linotype"/>
        </w:rPr>
      </w:pP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59.- La elección de Delegados y Subdelegados se sujetará al procedimiento establecido en la convocatoria que al efecto expida el Ayuntamiento. Por cada Delegado y Subdelegado deberá elegirse un suplente. </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La elección de los Delegados y Subdelegados se realizará en la fecha señalada en la convocatoria, entre el segundo domingo de marzo y el 30 de ese mes del primer año de gobierno del Ayuntamiento</w:t>
      </w:r>
      <w:r>
        <w:rPr>
          <w:rFonts w:ascii="Palatino Linotype" w:eastAsia="Palatino Linotype" w:hAnsi="Palatino Linotype" w:cs="Palatino Linotype"/>
          <w:i/>
          <w:sz w:val="22"/>
          <w:szCs w:val="22"/>
        </w:rPr>
        <w:t xml:space="preserve">. </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 convocatoria deberá expedirse cuando menos diez días antes de la elección</w:t>
      </w:r>
      <w:r>
        <w:rPr>
          <w:rFonts w:ascii="Palatino Linotype" w:eastAsia="Palatino Linotype" w:hAnsi="Palatino Linotype" w:cs="Palatino Linotype"/>
          <w:i/>
          <w:sz w:val="22"/>
          <w:szCs w:val="22"/>
        </w:rPr>
        <w:t>. Sus nombramientos serán firmados por el Presidente Municipal y el Secretario del Ayuntamiento, entregándose a los electos a más tardar el día en que entren en funciones, que será el 15 de abril del mismo año.</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73.-</w:t>
      </w:r>
      <w:r>
        <w:rPr>
          <w:rFonts w:ascii="Palatino Linotype" w:eastAsia="Palatino Linotype" w:hAnsi="Palatino Linotype" w:cs="Palatino Linotype"/>
          <w:i/>
          <w:sz w:val="22"/>
          <w:szCs w:val="22"/>
        </w:rPr>
        <w:t xml:space="preserve"> Cada consejo de participación ciudadana municipal se integrará hasta con cinco vecinos del municipio, con sus respectivos suplentes; uno de los cuales lo presidirá, otro fungirá como secretario y otro como tesorero y en su caso dos vocales, que </w:t>
      </w:r>
      <w:r>
        <w:rPr>
          <w:rFonts w:ascii="Palatino Linotype" w:eastAsia="Palatino Linotype" w:hAnsi="Palatino Linotype" w:cs="Palatino Linotype"/>
          <w:b/>
          <w:i/>
          <w:sz w:val="22"/>
          <w:szCs w:val="22"/>
        </w:rPr>
        <w:t>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w:t>
      </w:r>
      <w:r>
        <w:rPr>
          <w:rFonts w:ascii="Palatino Linotype" w:eastAsia="Palatino Linotype" w:hAnsi="Palatino Linotype" w:cs="Palatino Linotype"/>
          <w:i/>
          <w:sz w:val="22"/>
          <w:szCs w:val="22"/>
        </w:rPr>
        <w:t xml:space="preserve">. </w:t>
      </w:r>
    </w:p>
    <w:p w:rsidR="0072151D" w:rsidRDefault="0025434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ayuntamiento expedirá los nombramientos respectivos firmados por el presidente municipal y el secretario del ayuntamiento, entregándose a los electos a más tardar el día en que entren en funciones, que será el día 15 de abril del mismo año.” (Sic)</w:t>
      </w:r>
    </w:p>
    <w:p w:rsidR="0072151D" w:rsidRDefault="0072151D">
      <w:pPr>
        <w:spacing w:line="360" w:lineRule="auto"/>
        <w:jc w:val="both"/>
        <w:rPr>
          <w:rFonts w:ascii="Palatino Linotype" w:eastAsia="Palatino Linotype" w:hAnsi="Palatino Linotype" w:cs="Palatino Linotype"/>
        </w:rPr>
      </w:pPr>
    </w:p>
    <w:p w:rsidR="0072151D" w:rsidRDefault="0025434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 lo anterior se advierte que las convocatorias deberán expedirse quince días antes de la elección de los delegados y subdelegados, como de los Consejos de Participación Ciudadana, ya que dicha elección se debe realizar entre el segundo domingo de marzo y el treinta del mismo mes, en este caso la elección se llevaría a cabo del doce de marzo al del dos mil veintidós al treinta de marzo del mismo año, y atención a la fecha de la solicitud ocho de febrero del año dos veintidós,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había generado la información solicitada; circunstancia que se traduce como </w:t>
      </w:r>
      <w:r>
        <w:rPr>
          <w:rFonts w:ascii="Palatino Linotype" w:eastAsia="Palatino Linotype" w:hAnsi="Palatino Linotype" w:cs="Palatino Linotype"/>
          <w:color w:val="000000"/>
        </w:rPr>
        <w:t xml:space="preserve">un hecho negativo y ante un hecho negativo, el Pleno de este Organismo Garante ha sostenido que resulta innecesaria una declaratoria de inexistencia en términos de los artículos 19, 169 y 170 de la Ley de </w:t>
      </w:r>
      <w:r>
        <w:rPr>
          <w:rFonts w:ascii="Palatino Linotype" w:eastAsia="Palatino Linotype" w:hAnsi="Palatino Linotype" w:cs="Palatino Linotype"/>
          <w:color w:val="000000"/>
        </w:rPr>
        <w:lastRenderedPageBreak/>
        <w:t>Transparencia y Acceso a la Información Pública del Estado de México y Municipios, resultando aplicable la siguiente tesis:</w:t>
      </w:r>
    </w:p>
    <w:p w:rsidR="0072151D" w:rsidRDefault="0072151D">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72151D" w:rsidRDefault="00254347">
      <w:pPr>
        <w:ind w:left="567" w:right="851"/>
        <w:jc w:val="center"/>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b/>
          <w:i/>
          <w:sz w:val="20"/>
          <w:szCs w:val="20"/>
        </w:rPr>
        <w:t>HECHOS NEGATIVOS, NO SON SUSCEPTIBLES DE DEMOSTRACIÓN</w:t>
      </w:r>
      <w:r>
        <w:rPr>
          <w:rFonts w:ascii="Palatino Linotype" w:eastAsia="Palatino Linotype" w:hAnsi="Palatino Linotype" w:cs="Palatino Linotype"/>
          <w:i/>
          <w:sz w:val="20"/>
          <w:szCs w:val="20"/>
        </w:rPr>
        <w:t>.</w:t>
      </w:r>
    </w:p>
    <w:p w:rsidR="0072151D" w:rsidRDefault="00254347">
      <w:pPr>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Tratándose de un hecho negativo, el Juez no tiene por qué invocar prueba alguna de la que se desprenda, ya que es bien sabido que esta clase de hechos no son susceptibles de demostración.</w:t>
      </w:r>
    </w:p>
    <w:p w:rsidR="0072151D" w:rsidRDefault="00254347">
      <w:pPr>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Amparo en revisión 2022/61. José García Florín (Menor). 9 de octubre de 1961. Cinco votos. Ponente: José Rivera Pérez Campos.” (Sic)</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Máxime que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que se pronunció fue la Dirección de Gobierno, que de acuerdo a la convocatoria para la elección de Delegados (as), Sub delegados (as) y Consejo de Participación Ciudadana (COPACI) del municipio de Cuautitlán, Estado de México, para el periodo 2022-2025, es el competente para conocer de la información solicitada, en términos de la quinta base de dicha convocatoria, que señala:</w:t>
      </w:r>
    </w:p>
    <w:p w:rsidR="0072151D" w:rsidRDefault="0072151D">
      <w:pPr>
        <w:spacing w:line="360" w:lineRule="auto"/>
        <w:jc w:val="both"/>
        <w:rPr>
          <w:rFonts w:ascii="Palatino Linotype" w:eastAsia="Palatino Linotype" w:hAnsi="Palatino Linotype" w:cs="Palatino Linotype"/>
        </w:rPr>
      </w:pPr>
    </w:p>
    <w:p w:rsidR="0072151D" w:rsidRDefault="00254347">
      <w:pPr>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“…DE LA AUTORIDAD RESPONSABLE DE LA ORGANIZACIÓN, DESARROLLO Y VIGILANCIA DEL PROCESO ELECTORAL </w:t>
      </w:r>
    </w:p>
    <w:p w:rsidR="0072151D" w:rsidRDefault="00254347">
      <w:pPr>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QUINTA:</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rPr>
        <w:t>EL AYUNTAMIENTO A TRAVÉS DE LA</w:t>
      </w:r>
      <w:r>
        <w:rPr>
          <w:rFonts w:ascii="Palatino Linotype" w:eastAsia="Palatino Linotype" w:hAnsi="Palatino Linotype" w:cs="Palatino Linotype"/>
          <w:i/>
          <w:sz w:val="20"/>
          <w:szCs w:val="20"/>
        </w:rPr>
        <w:t xml:space="preserve"> COMISIÓN EDILICIA TRANSITORIA DE PARTICIPACIÓN CIUDADANA Y </w:t>
      </w:r>
      <w:r>
        <w:rPr>
          <w:rFonts w:ascii="Palatino Linotype" w:eastAsia="Palatino Linotype" w:hAnsi="Palatino Linotype" w:cs="Palatino Linotype"/>
          <w:b/>
          <w:i/>
          <w:sz w:val="20"/>
          <w:szCs w:val="20"/>
          <w:u w:val="single"/>
        </w:rPr>
        <w:t>LA DIRECCIÓN DE GOBIERNO</w:t>
      </w:r>
      <w:r>
        <w:rPr>
          <w:rFonts w:ascii="Palatino Linotype" w:eastAsia="Palatino Linotype" w:hAnsi="Palatino Linotype" w:cs="Palatino Linotype"/>
          <w:b/>
          <w:i/>
          <w:sz w:val="20"/>
          <w:szCs w:val="20"/>
        </w:rPr>
        <w:t xml:space="preserve"> SERÁ RESPONSABLE DE LA ORGANIZACIÓN Y DESARROLLO DEL PROCESO ELECTORAL. LA VIGILANCIA DE LA ELECCIÓN ESTARÁ A CARGO DEL AYUNTAMIENTO DE CUAUTITLÁN</w:t>
      </w:r>
      <w:r>
        <w:rPr>
          <w:rFonts w:ascii="Palatino Linotype" w:eastAsia="Palatino Linotype" w:hAnsi="Palatino Linotype" w:cs="Palatino Linotype"/>
          <w:i/>
          <w:sz w:val="20"/>
          <w:szCs w:val="20"/>
        </w:rPr>
        <w:t>, ESTADO DE MÉXICO. POR LO ANTERIOR LAS AUTORIDADES DEL GOBIERNO MUNICIPAL Y LOCALES, INTEGRANTES DE PLANILLAS, ASÍ COMO LOS (AS), ELECTORES ESTÁN OBLIGADOS A CONDUCIRSE CON ESTRICTO APEGO A LOS PRINCIPIOS DE LEGALIDAD, IMPARCIALIDAD, INDEPENDENCIA, CERTEZA, TRANSPARENCIA Y OBJETIVIDAD DURANTE ESTE PROCESO…” (Sic)</w:t>
      </w:r>
    </w:p>
    <w:p w:rsidR="0072151D" w:rsidRDefault="0072151D">
      <w:pPr>
        <w:spacing w:line="360" w:lineRule="auto"/>
        <w:jc w:val="both"/>
        <w:rPr>
          <w:rFonts w:ascii="Palatino Linotype" w:eastAsia="Palatino Linotype" w:hAnsi="Palatino Linotype" w:cs="Palatino Linotype"/>
        </w:rPr>
      </w:pPr>
    </w:p>
    <w:p w:rsidR="0072151D" w:rsidRDefault="00254347">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Además, debe decirse que esté</w:t>
      </w:r>
      <w:r>
        <w:rPr>
          <w:rFonts w:ascii="Palatino Linotype" w:eastAsia="Palatino Linotype" w:hAnsi="Palatino Linotype" w:cs="Palatino Linotype"/>
        </w:rPr>
        <w:t xml:space="preserve"> Organismo</w:t>
      </w:r>
      <w:r>
        <w:rPr>
          <w:rFonts w:ascii="Palatino Linotype" w:eastAsia="Palatino Linotype" w:hAnsi="Palatino Linotype" w:cs="Palatino Linotype"/>
          <w:color w:val="000000"/>
        </w:rPr>
        <w:t xml:space="preserve">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72151D" w:rsidRDefault="00254347">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2151D" w:rsidRDefault="0072151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72151D" w:rsidRDefault="0025434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72151D" w:rsidRDefault="0072151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los alegatos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advierte que en fecha trece de marzo el mismo proporcionó la siguiente convocatoria </w:t>
      </w:r>
    </w:p>
    <w:p w:rsidR="0072151D" w:rsidRDefault="0072151D">
      <w:pPr>
        <w:spacing w:line="360" w:lineRule="auto"/>
        <w:jc w:val="both"/>
      </w:pPr>
    </w:p>
    <w:p w:rsidR="0072151D" w:rsidRDefault="00254347">
      <w:pPr>
        <w:spacing w:line="360" w:lineRule="auto"/>
        <w:jc w:val="both"/>
        <w:rPr>
          <w:rFonts w:ascii="Palatino Linotype" w:eastAsia="Palatino Linotype" w:hAnsi="Palatino Linotype" w:cs="Palatino Linotype"/>
        </w:rPr>
      </w:pPr>
      <w:r>
        <w:rPr>
          <w:noProof/>
          <w:lang w:val="en-US" w:eastAsia="en-US"/>
        </w:rPr>
        <w:drawing>
          <wp:inline distT="0" distB="0" distL="0" distR="0">
            <wp:extent cx="5507759" cy="2808707"/>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37461" t="18599" r="16934"/>
                    <a:stretch>
                      <a:fillRect/>
                    </a:stretch>
                  </pic:blipFill>
                  <pic:spPr>
                    <a:xfrm>
                      <a:off x="0" y="0"/>
                      <a:ext cx="5507759" cy="2808707"/>
                    </a:xfrm>
                    <a:prstGeom prst="rect">
                      <a:avLst/>
                    </a:prstGeom>
                    <a:ln/>
                  </pic:spPr>
                </pic:pic>
              </a:graphicData>
            </a:graphic>
          </wp:inline>
        </w:drawing>
      </w: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cual corresponde a la convocatoria para la elección de Delegados (as), Sub delegados (as) y Consejo de Participación Ciudadana (COPACI) del municipio de Cuautitlán, Estado de México, para el periodo 2022-2024, en donde se advierten a los requisitos, fundamentos legales y tiempo de ejecución de cada uno de los componentes de la convocatoria.</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Y en la cual se advierte que esta fue aprobada en la séptima sesión ordinaria de cabildo llevada a cabo el nueve de marzo de dos mil veintidós, tal como se advierte a continuación: </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n-US" w:eastAsia="en-US"/>
        </w:rPr>
        <w:drawing>
          <wp:inline distT="114300" distB="114300" distL="114300" distR="114300">
            <wp:extent cx="5612130" cy="444500"/>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612130" cy="444500"/>
                    </a:xfrm>
                    <a:prstGeom prst="rect">
                      <a:avLst/>
                    </a:prstGeom>
                    <a:ln/>
                  </pic:spPr>
                </pic:pic>
              </a:graphicData>
            </a:graphic>
          </wp:inline>
        </w:drawing>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 lo cual se confirma que a la fecha de la presentación de la solicitud aún no contaba con la información solicitada. </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de conformidad con todo lo anterior, y una vez analizada las constancias que integran el expediente en que se actúa, el motivo inconformidad vertidos en relación a la respuesta, devienen infundados, por lo que lo </w:t>
      </w:r>
      <w:r>
        <w:rPr>
          <w:rFonts w:ascii="Palatino Linotype" w:eastAsia="Palatino Linotype" w:hAnsi="Palatino Linotype" w:cs="Palatino Linotype"/>
          <w:b/>
        </w:rPr>
        <w:t>PROCEDENTE</w:t>
      </w:r>
      <w:r>
        <w:rPr>
          <w:rFonts w:ascii="Palatino Linotype" w:eastAsia="Palatino Linotype" w:hAnsi="Palatino Linotype" w:cs="Palatino Linotype"/>
        </w:rPr>
        <w:t xml:space="preserve"> será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 solicitud </w:t>
      </w:r>
      <w:r>
        <w:rPr>
          <w:rFonts w:ascii="Palatino Linotype" w:eastAsia="Palatino Linotype" w:hAnsi="Palatino Linotype" w:cs="Palatino Linotype"/>
          <w:b/>
        </w:rPr>
        <w:t>00062/CUAUTIT/IP/2022.</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rsidR="0072151D" w:rsidRDefault="0072151D">
      <w:pPr>
        <w:spacing w:line="360" w:lineRule="auto"/>
        <w:jc w:val="both"/>
        <w:rPr>
          <w:rFonts w:ascii="Palatino Linotype" w:eastAsia="Palatino Linotype" w:hAnsi="Palatino Linotype" w:cs="Palatino Linotype"/>
        </w:rPr>
      </w:pPr>
    </w:p>
    <w:p w:rsidR="0072151D" w:rsidRDefault="00254347">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72151D" w:rsidRDefault="00254347">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 “Artículo 3. Para los efectos de la presente Ley se entenderá por:</w:t>
      </w:r>
    </w:p>
    <w:p w:rsidR="0072151D" w:rsidRDefault="0025434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72151D" w:rsidRDefault="0025434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72151D" w:rsidRDefault="0025434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72151D" w:rsidRDefault="0025434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72151D" w:rsidRDefault="0072151D">
      <w:pPr>
        <w:ind w:left="993" w:right="1041"/>
        <w:jc w:val="both"/>
        <w:rPr>
          <w:rFonts w:ascii="Palatino Linotype" w:eastAsia="Palatino Linotype" w:hAnsi="Palatino Linotype" w:cs="Palatino Linotype"/>
          <w:i/>
          <w:sz w:val="22"/>
          <w:szCs w:val="22"/>
        </w:rPr>
      </w:pPr>
    </w:p>
    <w:p w:rsidR="0072151D" w:rsidRDefault="0025434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2151D" w:rsidRDefault="0072151D">
      <w:pPr>
        <w:ind w:left="993" w:right="1041"/>
        <w:jc w:val="both"/>
        <w:rPr>
          <w:rFonts w:ascii="Palatino Linotype" w:eastAsia="Palatino Linotype" w:hAnsi="Palatino Linotype" w:cs="Palatino Linotype"/>
          <w:i/>
          <w:sz w:val="22"/>
          <w:szCs w:val="22"/>
        </w:rPr>
      </w:pPr>
    </w:p>
    <w:p w:rsidR="0072151D" w:rsidRDefault="00254347">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2151D" w:rsidRDefault="0072151D">
      <w:pPr>
        <w:ind w:left="993" w:right="1041"/>
        <w:jc w:val="both"/>
        <w:rPr>
          <w:rFonts w:ascii="Palatino Linotype" w:eastAsia="Palatino Linotype" w:hAnsi="Palatino Linotype" w:cs="Palatino Linotype"/>
          <w:b/>
          <w:i/>
          <w:sz w:val="22"/>
          <w:szCs w:val="22"/>
        </w:rPr>
      </w:pPr>
    </w:p>
    <w:p w:rsidR="0072151D" w:rsidRDefault="0025434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72151D" w:rsidRDefault="0025434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72151D" w:rsidRDefault="0025434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72151D" w:rsidRDefault="0025434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72151D" w:rsidRDefault="0072151D">
      <w:pPr>
        <w:ind w:left="993" w:right="1041"/>
        <w:jc w:val="both"/>
        <w:rPr>
          <w:rFonts w:ascii="Palatino Linotype" w:eastAsia="Palatino Linotype" w:hAnsi="Palatino Linotype" w:cs="Palatino Linotype"/>
          <w:i/>
          <w:sz w:val="22"/>
          <w:szCs w:val="22"/>
        </w:rPr>
      </w:pPr>
    </w:p>
    <w:p w:rsidR="0072151D" w:rsidRDefault="0025434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2151D" w:rsidRDefault="0072151D">
      <w:pPr>
        <w:spacing w:line="360" w:lineRule="auto"/>
        <w:ind w:right="51"/>
        <w:jc w:val="both"/>
        <w:rPr>
          <w:rFonts w:ascii="Palatino Linotype" w:eastAsia="Palatino Linotype" w:hAnsi="Palatino Linotype" w:cs="Palatino Linotype"/>
        </w:rPr>
      </w:pPr>
    </w:p>
    <w:p w:rsidR="0072151D" w:rsidRDefault="00254347">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2151D" w:rsidRDefault="0072151D">
      <w:pPr>
        <w:spacing w:line="360" w:lineRule="auto"/>
        <w:ind w:right="50"/>
        <w:jc w:val="both"/>
        <w:rPr>
          <w:rFonts w:ascii="Palatino Linotype" w:eastAsia="Palatino Linotype" w:hAnsi="Palatino Linotype" w:cs="Palatino Linotype"/>
        </w:rPr>
      </w:pPr>
    </w:p>
    <w:p w:rsidR="0072151D" w:rsidRDefault="0025434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sino que ello deberá realizarse en </w:t>
      </w:r>
      <w:r>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rsidR="0072151D" w:rsidRDefault="0072151D">
      <w:pPr>
        <w:spacing w:line="360" w:lineRule="auto"/>
        <w:ind w:right="51"/>
        <w:jc w:val="both"/>
        <w:rPr>
          <w:rFonts w:ascii="Palatino Linotype" w:eastAsia="Palatino Linotype" w:hAnsi="Palatino Linotype" w:cs="Palatino Linotype"/>
        </w:rPr>
      </w:pPr>
    </w:p>
    <w:p w:rsidR="0072151D" w:rsidRDefault="0025434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72151D" w:rsidRDefault="0025434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72151D" w:rsidRDefault="0025434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72151D" w:rsidRDefault="0025434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72151D" w:rsidRDefault="0025434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72151D" w:rsidRDefault="0025434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72151D" w:rsidRDefault="0072151D">
      <w:pPr>
        <w:ind w:left="992" w:right="1043"/>
        <w:jc w:val="both"/>
        <w:rPr>
          <w:rFonts w:ascii="Palatino Linotype" w:eastAsia="Palatino Linotype" w:hAnsi="Palatino Linotype" w:cs="Palatino Linotype"/>
          <w:i/>
          <w:sz w:val="22"/>
          <w:szCs w:val="22"/>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72151D" w:rsidRDefault="0072151D">
      <w:pPr>
        <w:spacing w:line="360" w:lineRule="auto"/>
        <w:jc w:val="both"/>
        <w:rPr>
          <w:rFonts w:ascii="Palatino Linotype" w:eastAsia="Palatino Linotype" w:hAnsi="Palatino Linotype" w:cs="Palatino Linotype"/>
        </w:rPr>
      </w:pPr>
    </w:p>
    <w:p w:rsidR="0072151D" w:rsidRDefault="00254347">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72151D" w:rsidRDefault="0072151D">
      <w:pPr>
        <w:spacing w:before="240" w:after="240"/>
        <w:ind w:left="993" w:right="1041"/>
        <w:jc w:val="both"/>
        <w:rPr>
          <w:rFonts w:ascii="Palatino Linotype" w:eastAsia="Palatino Linotype" w:hAnsi="Palatino Linotype" w:cs="Palatino Linotype"/>
          <w:i/>
          <w:sz w:val="22"/>
          <w:szCs w:val="22"/>
        </w:rPr>
      </w:pPr>
    </w:p>
    <w:p w:rsidR="0072151D" w:rsidRDefault="002543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2151D" w:rsidRDefault="0025434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 xml:space="preserve">LINEAMIENTOS GENERALES EN MATERIA DE CLASIFICACIÓN Y DESCLASIFICACIÓN DE LA INFORMACIÓN, ASÍ COMO PARA LA </w:t>
      </w:r>
      <w:r>
        <w:rPr>
          <w:rFonts w:ascii="Palatino Linotype" w:eastAsia="Palatino Linotype" w:hAnsi="Palatino Linotype" w:cs="Palatino Linotype"/>
          <w:b/>
        </w:rPr>
        <w:lastRenderedPageBreak/>
        <w:t>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72151D" w:rsidRDefault="0072151D">
      <w:pPr>
        <w:ind w:left="709" w:right="709"/>
        <w:jc w:val="both"/>
        <w:rPr>
          <w:rFonts w:ascii="Palatino Linotype" w:eastAsia="Palatino Linotype" w:hAnsi="Palatino Linotype" w:cs="Palatino Linotype"/>
          <w:b/>
          <w:i/>
          <w:sz w:val="22"/>
          <w:szCs w:val="22"/>
        </w:rPr>
      </w:pPr>
    </w:p>
    <w:p w:rsidR="0072151D" w:rsidRDefault="00254347">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Se determine mediante resolución de autoridad competente, o</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72151D" w:rsidRDefault="0025434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72151D" w:rsidRDefault="0025434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72151D" w:rsidRDefault="0025434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72151D" w:rsidRDefault="00254347">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b"/>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72151D">
        <w:trPr>
          <w:jc w:val="center"/>
        </w:trPr>
        <w:tc>
          <w:tcPr>
            <w:tcW w:w="1159" w:type="dxa"/>
            <w:tcBorders>
              <w:top w:val="nil"/>
              <w:left w:val="nil"/>
              <w:bottom w:val="single" w:sz="4" w:space="0" w:color="000000"/>
              <w:right w:val="single" w:sz="4" w:space="0" w:color="000000"/>
            </w:tcBorders>
          </w:tcPr>
          <w:p w:rsidR="0072151D" w:rsidRDefault="0072151D">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72151D">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72151D" w:rsidRDefault="00254347">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 como confidencial. Si el documento fuera </w:t>
            </w:r>
            <w:r>
              <w:rPr>
                <w:rFonts w:ascii="Palatino Linotype" w:eastAsia="Palatino Linotype" w:hAnsi="Palatino Linotype" w:cs="Palatino Linotype"/>
                <w:i/>
              </w:rPr>
              <w:lastRenderedPageBreak/>
              <w:t>confidencial en su totalidad, se anotarán todas las páginas que lo conforman. Si el documento no contiene información confidencial, se tachará este apartado.</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72151D" w:rsidRDefault="0025434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72151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72151D" w:rsidRDefault="007215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72151D" w:rsidRDefault="00254347">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72151D" w:rsidRDefault="00254347">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72151D" w:rsidRDefault="0072151D">
      <w:pPr>
        <w:spacing w:before="240" w:line="360" w:lineRule="auto"/>
        <w:ind w:right="51"/>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72151D" w:rsidRDefault="0072151D">
      <w:pPr>
        <w:spacing w:line="360" w:lineRule="auto"/>
        <w:jc w:val="both"/>
        <w:rPr>
          <w:rFonts w:ascii="Palatino Linotype" w:eastAsia="Palatino Linotype" w:hAnsi="Palatino Linotype" w:cs="Palatino Linotype"/>
        </w:rPr>
      </w:pPr>
    </w:p>
    <w:p w:rsidR="0072151D" w:rsidRDefault="00254347">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Pr>
          <w:rFonts w:ascii="Palatino Linotype" w:eastAsia="Palatino Linotype" w:hAnsi="Palatino Linotype" w:cs="Palatino Linotype"/>
        </w:rPr>
        <w:lastRenderedPageBreak/>
        <w:t xml:space="preserve">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vigésimo noveno, trigésimo y trigésimo primero de la Constitución Política del Estado Libre y Soberano de México; 2, fracción II; 29, 36 fracciones I y II; 176, 178, 179, fracción VII, 181, 185 de la Ley de Transparencia y Acceso a la Información Pública del Estado de México y Municipios, este Pleno:</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rsidR="0072151D" w:rsidRDefault="0072151D">
      <w:pPr>
        <w:spacing w:line="360" w:lineRule="auto"/>
        <w:jc w:val="center"/>
        <w:rPr>
          <w:rFonts w:ascii="Palatino Linotype" w:eastAsia="Palatino Linotype" w:hAnsi="Palatino Linotype" w:cs="Palatino Linotype"/>
          <w:b/>
        </w:rPr>
      </w:pPr>
    </w:p>
    <w:p w:rsidR="0072151D" w:rsidRDefault="002543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01959/INFOEM/IP/RR/2022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72151D" w:rsidRDefault="002543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en versión pública de ser procedente, previa búsqueda exhaustiva y razonable del documento o documentos en donde conste lo siguiente:</w:t>
      </w:r>
    </w:p>
    <w:p w:rsidR="0072151D" w:rsidRDefault="00254347">
      <w:pPr>
        <w:numPr>
          <w:ilvl w:val="0"/>
          <w:numId w:val="6"/>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los periodos 2013-2015 y 2016-2018, respecto de las delegadas, delegados y Consejos de Participación Ciudadana del Fraccionamiento conocido como Real de San Fernando:</w:t>
      </w:r>
    </w:p>
    <w:p w:rsidR="0072151D" w:rsidRDefault="00254347">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Nombres de las personas que integraron las planillas, la fecha en que entregaron sus nombramientos y </w:t>
      </w:r>
      <w:r>
        <w:rPr>
          <w:rFonts w:ascii="Palatino Linotype" w:eastAsia="Palatino Linotype" w:hAnsi="Palatino Linotype" w:cs="Palatino Linotype"/>
          <w:sz w:val="22"/>
          <w:szCs w:val="22"/>
        </w:rPr>
        <w:t xml:space="preserve">de ser el caso los escritos </w:t>
      </w:r>
      <w:r>
        <w:rPr>
          <w:rFonts w:ascii="Palatino Linotype" w:eastAsia="Palatino Linotype" w:hAnsi="Palatino Linotype" w:cs="Palatino Linotype"/>
          <w:color w:val="000000"/>
          <w:sz w:val="22"/>
          <w:szCs w:val="22"/>
        </w:rPr>
        <w:t>de renuncia</w:t>
      </w:r>
      <w:r>
        <w:rPr>
          <w:rFonts w:ascii="Palatino Linotype" w:eastAsia="Palatino Linotype" w:hAnsi="Palatino Linotype" w:cs="Palatino Linotype"/>
          <w:sz w:val="22"/>
          <w:szCs w:val="22"/>
        </w:rPr>
        <w:t xml:space="preserve"> que correspondan.</w:t>
      </w:r>
      <w:r>
        <w:rPr>
          <w:rFonts w:ascii="Palatino Linotype" w:eastAsia="Palatino Linotype" w:hAnsi="Palatino Linotype" w:cs="Palatino Linotype"/>
          <w:color w:val="000000"/>
          <w:sz w:val="22"/>
          <w:szCs w:val="22"/>
        </w:rPr>
        <w:t xml:space="preserve"> </w:t>
      </w:r>
    </w:p>
    <w:p w:rsidR="0072151D" w:rsidRDefault="00254347">
      <w:pPr>
        <w:numPr>
          <w:ilvl w:val="0"/>
          <w:numId w:val="6"/>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bookmarkStart w:id="1" w:name="_heading=h.1fob9te" w:colFirst="0" w:colLast="0"/>
      <w:bookmarkEnd w:id="1"/>
      <w:r>
        <w:rPr>
          <w:rFonts w:ascii="Palatino Linotype" w:eastAsia="Palatino Linotype" w:hAnsi="Palatino Linotype" w:cs="Palatino Linotype"/>
          <w:color w:val="000000"/>
          <w:sz w:val="22"/>
          <w:szCs w:val="22"/>
        </w:rPr>
        <w:t>De los periodos 2019-2021, respecto de las delegadas, delegados y Consejos de Participación Ciudadana del Fraccionamiento conocido como Real de San Fernando, señalados en respuesta:</w:t>
      </w:r>
    </w:p>
    <w:p w:rsidR="0072151D" w:rsidRDefault="00254347">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fecha en que entregaron sus nombramientos </w:t>
      </w:r>
      <w:r>
        <w:rPr>
          <w:rFonts w:ascii="Palatino Linotype" w:eastAsia="Palatino Linotype" w:hAnsi="Palatino Linotype" w:cs="Palatino Linotype"/>
          <w:sz w:val="22"/>
          <w:szCs w:val="22"/>
        </w:rPr>
        <w:t xml:space="preserve">y de ser el caso los escritos de renuncia que correspondan. </w:t>
      </w:r>
      <w:r>
        <w:rPr>
          <w:rFonts w:ascii="Palatino Linotype" w:eastAsia="Palatino Linotype" w:hAnsi="Palatino Linotype" w:cs="Palatino Linotype"/>
          <w:color w:val="000000"/>
          <w:sz w:val="22"/>
          <w:szCs w:val="22"/>
        </w:rPr>
        <w:t xml:space="preserve"> </w:t>
      </w:r>
    </w:p>
    <w:p w:rsidR="0072151D" w:rsidRDefault="00254347">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Pr>
          <w:rFonts w:ascii="Palatino Linotype" w:eastAsia="Palatino Linotype" w:hAnsi="Palatino Linotype" w:cs="Palatino Linotype"/>
          <w:b/>
          <w:i/>
        </w:rPr>
        <w:t>RECURRENTE</w:t>
      </w:r>
      <w:r>
        <w:rPr>
          <w:rFonts w:ascii="Palatino Linotype" w:eastAsia="Palatino Linotype" w:hAnsi="Palatino Linotype" w:cs="Palatino Linotype"/>
          <w:i/>
        </w:rPr>
        <w:t>, mismo que igualmente hará de su conocimiento.</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el caso de los delegados, delegadas y Consejos de Participación Ciudadana, que se ordenan, hayan renunciado a su nombramiento en los periodos señalados, el </w:t>
      </w:r>
      <w:r>
        <w:rPr>
          <w:rFonts w:ascii="Palatino Linotype" w:eastAsia="Palatino Linotype" w:hAnsi="Palatino Linotype" w:cs="Palatino Linotype"/>
          <w:b/>
          <w:i/>
        </w:rPr>
        <w:t xml:space="preserve">SUJETO </w:t>
      </w:r>
      <w:r>
        <w:rPr>
          <w:rFonts w:ascii="Palatino Linotype" w:eastAsia="Palatino Linotype" w:hAnsi="Palatino Linotype" w:cs="Palatino Linotype"/>
          <w:b/>
          <w:i/>
        </w:rPr>
        <w:lastRenderedPageBreak/>
        <w:t>OBLIGADO</w:t>
      </w:r>
      <w:r>
        <w:rPr>
          <w:rFonts w:ascii="Palatino Linotype" w:eastAsia="Palatino Linotype" w:hAnsi="Palatino Linotype" w:cs="Palatino Linotype"/>
          <w:i/>
        </w:rPr>
        <w:t xml:space="preserve"> deberá entregar el documento en donde conste el escrito de renuncia en versión pública de ser procedente, en caso contrario; es decir que no se hayan presentado renuncias bastará que así se lo haga saber al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de manera fundada y motivada.</w:t>
      </w:r>
    </w:p>
    <w:p w:rsidR="0072151D" w:rsidRDefault="0072151D">
      <w:pPr>
        <w:spacing w:line="360" w:lineRule="auto"/>
        <w:jc w:val="both"/>
        <w:rPr>
          <w:rFonts w:ascii="Palatino Linotype" w:eastAsia="Palatino Linotype" w:hAnsi="Palatino Linotype" w:cs="Palatino Linotype"/>
        </w:rPr>
      </w:pPr>
    </w:p>
    <w:p w:rsidR="0072151D" w:rsidRDefault="00254347">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En el caso que derivado de la búsqueda exhaustiva y razonable que se ordena en el inciso a), por alguna razón no se localice en los archivos del </w:t>
      </w:r>
      <w:r>
        <w:rPr>
          <w:rFonts w:ascii="Palatino Linotype" w:eastAsia="Palatino Linotype" w:hAnsi="Palatino Linotype" w:cs="Palatino Linotype"/>
          <w:b/>
          <w:i/>
        </w:rPr>
        <w:t>SUJETO OBLIGADO</w:t>
      </w:r>
      <w:r>
        <w:rPr>
          <w:rFonts w:ascii="Palatino Linotype" w:eastAsia="Palatino Linotype" w:hAnsi="Palatino Linotype" w:cs="Palatino Linotype"/>
          <w:i/>
        </w:rPr>
        <w:t xml:space="preserve"> deberá emitir el Acuerdo de Inexistencia en términos de los artículos 49, fracciones II y XIII, 169 y 170 de la Ley de Transparencia y Acceso a la Información Pública del Estado de México y Municipios, debiendo notificarlo al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al momento de dar cumplimiento a la presente resolución.</w:t>
      </w:r>
    </w:p>
    <w:p w:rsidR="0072151D" w:rsidRDefault="0072151D">
      <w:pPr>
        <w:spacing w:line="360" w:lineRule="auto"/>
        <w:jc w:val="both"/>
        <w:rPr>
          <w:rFonts w:ascii="Palatino Linotype" w:eastAsia="Palatino Linotype" w:hAnsi="Palatino Linotype" w:cs="Palatino Linotype"/>
        </w:rPr>
      </w:pPr>
    </w:p>
    <w:p w:rsidR="0072151D" w:rsidRDefault="00254347">
      <w:pPr>
        <w:pBdr>
          <w:top w:val="nil"/>
          <w:left w:val="nil"/>
          <w:bottom w:val="nil"/>
          <w:right w:val="nil"/>
          <w:between w:val="nil"/>
        </w:pBdr>
        <w:spacing w:line="405" w:lineRule="auto"/>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b/>
          <w:color w:val="000000"/>
          <w:sz w:val="23"/>
          <w:szCs w:val="23"/>
        </w:rPr>
        <w:t>Tercero.</w:t>
      </w:r>
      <w:r>
        <w:rPr>
          <w:rFonts w:ascii="Palatino Linotype" w:eastAsia="Palatino Linotype" w:hAnsi="Palatino Linotype" w:cs="Palatino Linotype"/>
          <w:color w:val="000000"/>
          <w:sz w:val="23"/>
          <w:szCs w:val="23"/>
        </w:rPr>
        <w:t xml:space="preserve"> Resulta infundado el motivo de inconformidad aducido por la </w:t>
      </w:r>
      <w:r>
        <w:rPr>
          <w:rFonts w:ascii="Palatino Linotype" w:eastAsia="Palatino Linotype" w:hAnsi="Palatino Linotype" w:cs="Palatino Linotype"/>
          <w:b/>
          <w:color w:val="000000"/>
          <w:sz w:val="23"/>
          <w:szCs w:val="23"/>
        </w:rPr>
        <w:t>RECURRENTE</w:t>
      </w:r>
      <w:r>
        <w:rPr>
          <w:rFonts w:ascii="Palatino Linotype" w:eastAsia="Palatino Linotype" w:hAnsi="Palatino Linotype" w:cs="Palatino Linotype"/>
          <w:color w:val="000000"/>
          <w:sz w:val="23"/>
          <w:szCs w:val="23"/>
        </w:rPr>
        <w:t xml:space="preserve"> en el recurso de revisión </w:t>
      </w:r>
      <w:r>
        <w:rPr>
          <w:rFonts w:ascii="Palatino Linotype" w:eastAsia="Palatino Linotype" w:hAnsi="Palatino Linotype" w:cs="Palatino Linotype"/>
          <w:b/>
          <w:color w:val="000000"/>
          <w:sz w:val="23"/>
          <w:szCs w:val="23"/>
        </w:rPr>
        <w:t>01960/INFOEM/IP/RR/2022</w:t>
      </w:r>
      <w:r>
        <w:rPr>
          <w:rFonts w:ascii="Palatino Linotype" w:eastAsia="Palatino Linotype" w:hAnsi="Palatino Linotype" w:cs="Palatino Linotype"/>
          <w:color w:val="000000"/>
          <w:sz w:val="23"/>
          <w:szCs w:val="23"/>
        </w:rPr>
        <w:t xml:space="preserve">; por lo que, en términos de los argumentos señalados en el Considerando Cuarto se </w:t>
      </w:r>
      <w:r>
        <w:rPr>
          <w:rFonts w:ascii="Palatino Linotype" w:eastAsia="Palatino Linotype" w:hAnsi="Palatino Linotype" w:cs="Palatino Linotype"/>
          <w:b/>
          <w:color w:val="000000"/>
          <w:sz w:val="23"/>
          <w:szCs w:val="23"/>
        </w:rPr>
        <w:t>CONFIRMA</w:t>
      </w:r>
      <w:r>
        <w:rPr>
          <w:rFonts w:ascii="Palatino Linotype" w:eastAsia="Palatino Linotype" w:hAnsi="Palatino Linotype" w:cs="Palatino Linotype"/>
          <w:color w:val="000000"/>
          <w:sz w:val="23"/>
          <w:szCs w:val="23"/>
        </w:rPr>
        <w:t xml:space="preserve"> la respuesta emitida por el </w:t>
      </w:r>
      <w:r>
        <w:rPr>
          <w:rFonts w:ascii="Palatino Linotype" w:eastAsia="Palatino Linotype" w:hAnsi="Palatino Linotype" w:cs="Palatino Linotype"/>
          <w:b/>
          <w:color w:val="000000"/>
          <w:sz w:val="23"/>
          <w:szCs w:val="23"/>
        </w:rPr>
        <w:t>SUJETO OBLIGADO</w:t>
      </w:r>
      <w:r>
        <w:rPr>
          <w:rFonts w:ascii="Palatino Linotype" w:eastAsia="Palatino Linotype" w:hAnsi="Palatino Linotype" w:cs="Palatino Linotype"/>
          <w:color w:val="000000"/>
          <w:sz w:val="23"/>
          <w:szCs w:val="23"/>
        </w:rPr>
        <w:t>.</w:t>
      </w:r>
    </w:p>
    <w:p w:rsidR="0072151D" w:rsidRDefault="0072151D">
      <w:pPr>
        <w:spacing w:line="360" w:lineRule="auto"/>
        <w:jc w:val="both"/>
        <w:rPr>
          <w:rFonts w:ascii="Palatino Linotype" w:eastAsia="Palatino Linotype" w:hAnsi="Palatino Linotype" w:cs="Palatino Linotype"/>
        </w:rPr>
      </w:pPr>
    </w:p>
    <w:p w:rsidR="0072151D" w:rsidRDefault="00254347">
      <w:pPr>
        <w:tabs>
          <w:tab w:val="left" w:pos="5019"/>
        </w:tabs>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Cuarto. Notifíquese vía SAIMEX</w:t>
      </w:r>
      <w:r>
        <w:rPr>
          <w:rFonts w:ascii="Palatino Linotype" w:eastAsia="Palatino Linotype" w:hAnsi="Palatino Linotype" w:cs="Palatino Linotype"/>
        </w:rPr>
        <w:t xml:space="preserve">, 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highlight w:val="whit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2151D" w:rsidRDefault="00254347">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lastRenderedPageBreak/>
        <w:t xml:space="preserve">Quinto.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72151D" w:rsidRDefault="002543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bookmarkStart w:id="3" w:name="_heading=h.gjdgxs" w:colFirst="0" w:colLast="0"/>
    <w:bookmarkEnd w:id="3"/>
    <w:p w:rsidR="0072151D" w:rsidRDefault="001105CB">
      <w:pPr>
        <w:spacing w:before="240" w:after="240" w:line="360" w:lineRule="auto"/>
        <w:jc w:val="both"/>
        <w:rPr>
          <w:rFonts w:ascii="Palatino Linotype" w:eastAsia="Palatino Linotype" w:hAnsi="Palatino Linotype" w:cs="Palatino Linotype"/>
        </w:rPr>
        <w:sectPr w:rsidR="0072151D">
          <w:headerReference w:type="default" r:id="rId29"/>
          <w:footerReference w:type="default" r:id="rId30"/>
          <w:headerReference w:type="first" r:id="rId31"/>
          <w:footerReference w:type="first" r:id="rId32"/>
          <w:pgSz w:w="12240" w:h="15840"/>
          <w:pgMar w:top="1417" w:right="1701" w:bottom="1417" w:left="1701" w:header="709" w:footer="709" w:gutter="0"/>
          <w:pgNumType w:start="1"/>
          <w:cols w:space="720"/>
          <w:titlePg/>
        </w:sectPr>
      </w:pPr>
      <w:r>
        <w:rPr>
          <w:rFonts w:ascii="Palatino Linotype" w:eastAsia="Palatino Linotype" w:hAnsi="Palatino Linotype" w:cs="Palatino Linotype"/>
          <w:noProof/>
          <w:color w:val="222222"/>
          <w:lang w:val="en-US" w:eastAsia="en-US"/>
        </w:rPr>
        <mc:AlternateContent>
          <mc:Choice Requires="wps">
            <w:drawing>
              <wp:anchor distT="0" distB="0" distL="114300" distR="114300" simplePos="0" relativeHeight="251660288" behindDoc="0" locked="0" layoutInCell="1" allowOverlap="1">
                <wp:simplePos x="0" y="0"/>
                <wp:positionH relativeFrom="column">
                  <wp:posOffset>90297</wp:posOffset>
                </wp:positionH>
                <wp:positionV relativeFrom="paragraph">
                  <wp:posOffset>2828238</wp:posOffset>
                </wp:positionV>
                <wp:extent cx="5501030" cy="1543507"/>
                <wp:effectExtent l="0" t="0" r="23495" b="19050"/>
                <wp:wrapNone/>
                <wp:docPr id="1" name="Conector recto 1"/>
                <wp:cNvGraphicFramePr/>
                <a:graphic xmlns:a="http://schemas.openxmlformats.org/drawingml/2006/main">
                  <a:graphicData uri="http://schemas.microsoft.com/office/word/2010/wordprocessingShape">
                    <wps:wsp>
                      <wps:cNvCnPr/>
                      <wps:spPr>
                        <a:xfrm>
                          <a:off x="0" y="0"/>
                          <a:ext cx="5501030" cy="15435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9941BE"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pt,222.7pt" to="440.25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" strokecolor="black [3200]" strokeweight=".5pt">
                <v:stroke joinstyle="miter"/>
              </v:line>
            </w:pict>
          </mc:Fallback>
        </mc:AlternateContent>
      </w:r>
      <w:r w:rsidR="00254347">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DIECIOCHO</w:t>
      </w:r>
      <w:r w:rsidR="00254347">
        <w:rPr>
          <w:rFonts w:ascii="Palatino Linotype" w:eastAsia="Palatino Linotype" w:hAnsi="Palatino Linotype" w:cs="Palatino Linotype"/>
        </w:rPr>
        <w:t xml:space="preserve"> DE MAYO DE DOS MIL VEINTIDÓS, ANTE EL SECRETARIO TÉCNICO DEL PLENO ALEXIS TAPIA RAMÍREZ.</w:t>
      </w:r>
    </w:p>
    <w:p w:rsidR="0072151D" w:rsidRDefault="0072151D">
      <w:pPr>
        <w:spacing w:before="240" w:after="240" w:line="360" w:lineRule="auto"/>
        <w:jc w:val="both"/>
        <w:rPr>
          <w:rFonts w:ascii="Palatino Linotype" w:eastAsia="Palatino Linotype" w:hAnsi="Palatino Linotype" w:cs="Palatino Linotype"/>
        </w:rPr>
      </w:pPr>
    </w:p>
    <w:p w:rsidR="0072151D" w:rsidRDefault="0072151D">
      <w:pPr>
        <w:spacing w:before="240" w:after="240" w:line="360" w:lineRule="auto"/>
        <w:jc w:val="both"/>
        <w:rPr>
          <w:rFonts w:ascii="Palatino Linotype" w:eastAsia="Palatino Linotype" w:hAnsi="Palatino Linotype" w:cs="Palatino Linotype"/>
        </w:rPr>
      </w:pPr>
    </w:p>
    <w:p w:rsidR="0072151D" w:rsidRDefault="0072151D">
      <w:pPr>
        <w:spacing w:before="240" w:after="240" w:line="360" w:lineRule="auto"/>
        <w:jc w:val="both"/>
        <w:rPr>
          <w:rFonts w:ascii="Palatino Linotype" w:eastAsia="Palatino Linotype" w:hAnsi="Palatino Linotype" w:cs="Palatino Linotype"/>
        </w:rPr>
      </w:pPr>
    </w:p>
    <w:sectPr w:rsidR="0072151D">
      <w:headerReference w:type="first" r:id="rId33"/>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347" w:rsidRDefault="00254347">
      <w:r>
        <w:separator/>
      </w:r>
    </w:p>
  </w:endnote>
  <w:endnote w:type="continuationSeparator" w:id="0">
    <w:p w:rsidR="00254347" w:rsidRDefault="00254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1D" w:rsidRDefault="0025434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3CA7">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3CA7">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rsidR="0072151D" w:rsidRDefault="0072151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1D" w:rsidRDefault="0025434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3CA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3CA7">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rsidR="0072151D" w:rsidRDefault="0072151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347" w:rsidRDefault="00254347">
      <w:r>
        <w:separator/>
      </w:r>
    </w:p>
  </w:footnote>
  <w:footnote w:type="continuationSeparator" w:id="0">
    <w:p w:rsidR="00254347" w:rsidRDefault="002543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1D" w:rsidRDefault="00254347">
    <w:pPr>
      <w:pBdr>
        <w:top w:val="nil"/>
        <w:left w:val="nil"/>
        <w:bottom w:val="nil"/>
        <w:right w:val="nil"/>
        <w:between w:val="nil"/>
      </w:pBdr>
      <w:tabs>
        <w:tab w:val="center" w:pos="4419"/>
        <w:tab w:val="right" w:pos="8838"/>
      </w:tabs>
      <w:jc w:val="both"/>
      <w:rPr>
        <w:color w:val="000000"/>
      </w:rPr>
    </w:pPr>
    <w:r>
      <w:rPr>
        <w:noProof/>
        <w:lang w:val="en-US" w:eastAsia="en-US"/>
      </w:rPr>
      <w:drawing>
        <wp:anchor distT="0" distB="0" distL="0" distR="0" simplePos="0" relativeHeight="251658240" behindDoc="1" locked="0" layoutInCell="1" hidden="0" allowOverlap="1">
          <wp:simplePos x="0" y="0"/>
          <wp:positionH relativeFrom="column">
            <wp:posOffset>-665856</wp:posOffset>
          </wp:positionH>
          <wp:positionV relativeFrom="paragraph">
            <wp:posOffset>-453611</wp:posOffset>
          </wp:positionV>
          <wp:extent cx="7635600" cy="9943200"/>
          <wp:effectExtent l="0" t="0" r="0" b="0"/>
          <wp:wrapNone/>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72151D">
      <w:tc>
        <w:tcPr>
          <w:tcW w:w="2551" w:type="dxa"/>
          <w:vAlign w:val="center"/>
        </w:tcPr>
        <w:p w:rsidR="0072151D" w:rsidRDefault="002543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72151D" w:rsidRDefault="0025434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01959/INFOEM/IP/RR/2022 y acumulado. </w:t>
          </w:r>
        </w:p>
      </w:tc>
    </w:tr>
    <w:tr w:rsidR="0072151D">
      <w:trPr>
        <w:trHeight w:val="228"/>
      </w:trPr>
      <w:tc>
        <w:tcPr>
          <w:tcW w:w="2551" w:type="dxa"/>
          <w:vAlign w:val="center"/>
        </w:tcPr>
        <w:p w:rsidR="0072151D" w:rsidRDefault="002543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72151D" w:rsidRDefault="0025434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br/>
            <w:t>Cuautitlán.</w:t>
          </w:r>
        </w:p>
      </w:tc>
    </w:tr>
    <w:tr w:rsidR="0072151D">
      <w:tc>
        <w:tcPr>
          <w:tcW w:w="2551" w:type="dxa"/>
          <w:vAlign w:val="center"/>
        </w:tcPr>
        <w:p w:rsidR="0072151D" w:rsidRDefault="002543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72151D" w:rsidRDefault="0025434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2151D" w:rsidRDefault="0072151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1D" w:rsidRDefault="00254347">
    <w:pPr>
      <w:pBdr>
        <w:top w:val="nil"/>
        <w:left w:val="nil"/>
        <w:bottom w:val="nil"/>
        <w:right w:val="nil"/>
        <w:between w:val="nil"/>
      </w:pBdr>
      <w:tabs>
        <w:tab w:val="center" w:pos="4419"/>
        <w:tab w:val="right" w:pos="8838"/>
      </w:tabs>
      <w:jc w:val="both"/>
      <w:rPr>
        <w:color w:val="000000"/>
      </w:rPr>
    </w:pPr>
    <w:r>
      <w:rPr>
        <w:noProof/>
        <w:lang w:val="en-US" w:eastAsia="en-US"/>
      </w:rPr>
      <w:drawing>
        <wp:anchor distT="0" distB="0" distL="0" distR="0" simplePos="0" relativeHeight="251659264" behindDoc="1" locked="0" layoutInCell="1" hidden="0" allowOverlap="1">
          <wp:simplePos x="0" y="0"/>
          <wp:positionH relativeFrom="column">
            <wp:posOffset>-680309</wp:posOffset>
          </wp:positionH>
          <wp:positionV relativeFrom="paragraph">
            <wp:posOffset>-168880</wp:posOffset>
          </wp:positionV>
          <wp:extent cx="7635600" cy="9943200"/>
          <wp:effectExtent l="0" t="0" r="0" b="0"/>
          <wp:wrapNone/>
          <wp:docPr id="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c"/>
      <w:tblW w:w="5812" w:type="dxa"/>
      <w:tblInd w:w="3119" w:type="dxa"/>
      <w:tblLayout w:type="fixed"/>
      <w:tblLook w:val="0400" w:firstRow="0" w:lastRow="0" w:firstColumn="0" w:lastColumn="0" w:noHBand="0" w:noVBand="1"/>
    </w:tblPr>
    <w:tblGrid>
      <w:gridCol w:w="2551"/>
      <w:gridCol w:w="3261"/>
    </w:tblGrid>
    <w:tr w:rsidR="0072151D">
      <w:tc>
        <w:tcPr>
          <w:tcW w:w="2551" w:type="dxa"/>
          <w:vAlign w:val="center"/>
        </w:tcPr>
        <w:p w:rsidR="0072151D" w:rsidRDefault="002543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72151D" w:rsidRDefault="0025434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01959/INFOEM/IP/RR/2022 y acumulado. </w:t>
          </w:r>
        </w:p>
      </w:tc>
    </w:tr>
    <w:tr w:rsidR="0072151D">
      <w:tc>
        <w:tcPr>
          <w:tcW w:w="2551" w:type="dxa"/>
          <w:vAlign w:val="center"/>
        </w:tcPr>
        <w:p w:rsidR="0072151D" w:rsidRDefault="0025434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72151D" w:rsidRDefault="00823CA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XXXXX XXXXX XXXXX.</w:t>
          </w:r>
        </w:p>
      </w:tc>
    </w:tr>
    <w:tr w:rsidR="0072151D">
      <w:trPr>
        <w:trHeight w:val="228"/>
      </w:trPr>
      <w:tc>
        <w:tcPr>
          <w:tcW w:w="2551" w:type="dxa"/>
          <w:vAlign w:val="center"/>
        </w:tcPr>
        <w:p w:rsidR="0072151D" w:rsidRDefault="002543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72151D" w:rsidRDefault="0025434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w:t>
          </w:r>
        </w:p>
      </w:tc>
    </w:tr>
    <w:tr w:rsidR="0072151D">
      <w:tc>
        <w:tcPr>
          <w:tcW w:w="2551" w:type="dxa"/>
          <w:vAlign w:val="center"/>
        </w:tcPr>
        <w:p w:rsidR="0072151D" w:rsidRDefault="002543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72151D" w:rsidRDefault="0025434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2151D" w:rsidRDefault="0072151D">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51D" w:rsidRDefault="0072151D">
    <w:pPr>
      <w:pBdr>
        <w:top w:val="nil"/>
        <w:left w:val="nil"/>
        <w:bottom w:val="nil"/>
        <w:right w:val="nil"/>
        <w:between w:val="nil"/>
      </w:pBdr>
      <w:tabs>
        <w:tab w:val="center" w:pos="4419"/>
        <w:tab w:val="right" w:pos="8838"/>
      </w:tabs>
      <w:jc w:val="both"/>
      <w:rPr>
        <w:color w:val="000000"/>
      </w:rPr>
    </w:pPr>
  </w:p>
  <w:p w:rsidR="0072151D" w:rsidRDefault="0072151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A4BB4"/>
    <w:multiLevelType w:val="multilevel"/>
    <w:tmpl w:val="E0E07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1A3367"/>
    <w:multiLevelType w:val="multilevel"/>
    <w:tmpl w:val="8B6C2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AF7A45"/>
    <w:multiLevelType w:val="multilevel"/>
    <w:tmpl w:val="FCCE3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ED272D"/>
    <w:multiLevelType w:val="multilevel"/>
    <w:tmpl w:val="61BCCA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9477EB"/>
    <w:multiLevelType w:val="multilevel"/>
    <w:tmpl w:val="7E74BF7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B031FF"/>
    <w:multiLevelType w:val="multilevel"/>
    <w:tmpl w:val="803E55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51D"/>
    <w:rsid w:val="001105CB"/>
    <w:rsid w:val="00254347"/>
    <w:rsid w:val="003F6D3C"/>
    <w:rsid w:val="0072151D"/>
    <w:rsid w:val="00823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D3B6C"/>
  <w15:docId w15:val="{9E3A5CCA-64EC-41DA-B2C8-EE82D3FD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63100.page"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1363099.page" TargetMode="External"/><Relationship Id="rId17" Type="http://schemas.openxmlformats.org/officeDocument/2006/relationships/hyperlink" Target="https://www.saimex.org.mx/saimex/solicitud/downloadAttach/1342708.page" TargetMode="External"/><Relationship Id="rId25" Type="http://schemas.openxmlformats.org/officeDocument/2006/relationships/image" Target="media/image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aimex.org.mx/saimex/solicitud/downloadAttach/1342709.page"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363093.page" TargetMode="External"/><Relationship Id="rId23" Type="http://schemas.openxmlformats.org/officeDocument/2006/relationships/image" Target="media/image14.png"/><Relationship Id="rId28" Type="http://schemas.openxmlformats.org/officeDocument/2006/relationships/image" Target="media/image11.png"/><Relationship Id="rId10" Type="http://schemas.openxmlformats.org/officeDocument/2006/relationships/hyperlink" Target="https://www.saimex.org.mx/saimex/solicitud/downloadAttach/1342708.page" TargetMode="Externa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1360557.page"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saimex.org.mx/saimex/solicitud/downloadAttach/1342709.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lAIvKZav2UAsWGjYsDcriMsSjA==">AMUW2mUmE/CsaNCoc4f1lIzOOiEZXQIb2OVSWnVkxxq6Mbgg4Jg5e7q6WAXUQZBVDd0nO81ryR252HhcnKKzniiXDyi5tR9fkFDRIYQT5h2UHz79P9Ud7l1NiX4t+c80W/L5bq5sMerR8WLGOkosL53Ol/vrH9Ykkw==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57</Pages>
  <Words>12889</Words>
  <Characters>73473</Characters>
  <Application>Microsoft Office Word</Application>
  <DocSecurity>0</DocSecurity>
  <Lines>612</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NAJERA </cp:lastModifiedBy>
  <cp:revision>3</cp:revision>
  <dcterms:created xsi:type="dcterms:W3CDTF">2022-05-12T14:42:00Z</dcterms:created>
  <dcterms:modified xsi:type="dcterms:W3CDTF">2022-06-06T22:14:00Z</dcterms:modified>
</cp:coreProperties>
</file>