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22377F" w14:textId="77777777" w:rsidR="00E05C6C" w:rsidRDefault="00E05C6C">
      <w:pPr>
        <w:widowControl w:val="0"/>
        <w:pBdr>
          <w:top w:val="nil"/>
          <w:left w:val="nil"/>
          <w:bottom w:val="nil"/>
          <w:right w:val="nil"/>
          <w:between w:val="nil"/>
        </w:pBdr>
        <w:spacing w:line="276" w:lineRule="auto"/>
      </w:pPr>
    </w:p>
    <w:p w14:paraId="53B7EA03" w14:textId="77777777" w:rsidR="00E05C6C" w:rsidRDefault="00982A5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diecisiete de agosto de dos mil veintidós. </w:t>
      </w:r>
    </w:p>
    <w:p w14:paraId="51995E10" w14:textId="77777777" w:rsidR="00E05C6C" w:rsidRDefault="00E05C6C">
      <w:pPr>
        <w:spacing w:line="360" w:lineRule="auto"/>
        <w:jc w:val="both"/>
        <w:rPr>
          <w:rFonts w:ascii="Palatino Linotype" w:eastAsia="Palatino Linotype" w:hAnsi="Palatino Linotype" w:cs="Palatino Linotype"/>
        </w:rPr>
      </w:pPr>
    </w:p>
    <w:p w14:paraId="03BA7803" w14:textId="73991C47" w:rsidR="00E05C6C" w:rsidRDefault="00982A5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sz w:val="28"/>
          <w:szCs w:val="28"/>
        </w:rPr>
        <w:t>VISTO</w:t>
      </w:r>
      <w:r>
        <w:rPr>
          <w:rFonts w:ascii="Palatino Linotype" w:eastAsia="Palatino Linotype" w:hAnsi="Palatino Linotype" w:cs="Palatino Linotype"/>
        </w:rPr>
        <w:t xml:space="preserve"> el expediente formado con motivo del Recurso de Revisión </w:t>
      </w:r>
      <w:r>
        <w:rPr>
          <w:rFonts w:ascii="Palatino Linotype" w:eastAsia="Palatino Linotype" w:hAnsi="Palatino Linotype" w:cs="Palatino Linotype"/>
          <w:b/>
        </w:rPr>
        <w:t xml:space="preserve">08457/INFOEM/IP/RR/2022, </w:t>
      </w:r>
      <w:r w:rsidR="00816841">
        <w:rPr>
          <w:rFonts w:ascii="Palatino Linotype" w:eastAsia="Palatino Linotype" w:hAnsi="Palatino Linotype" w:cs="Palatino Linotype"/>
        </w:rPr>
        <w:t xml:space="preserve">promovido por </w:t>
      </w:r>
      <w:bookmarkStart w:id="0" w:name="_GoBack"/>
      <w:r w:rsidR="00BD43D7">
        <w:rPr>
          <w:rFonts w:ascii="Palatino Linotype" w:eastAsia="Palatino Linotype" w:hAnsi="Palatino Linotype" w:cs="Palatino Linotype"/>
          <w:b/>
        </w:rPr>
        <w:t>XXXXX XX XXXXXX XXXXXXXXXXXX</w:t>
      </w:r>
      <w:bookmarkEnd w:id="0"/>
      <w:r>
        <w:rPr>
          <w:rFonts w:ascii="Palatino Linotype" w:eastAsia="Palatino Linotype" w:hAnsi="Palatino Linotype" w:cs="Palatino Linotype"/>
          <w:b/>
        </w:rPr>
        <w:t>,</w:t>
      </w:r>
      <w:r>
        <w:rPr>
          <w:rFonts w:ascii="Palatino Linotype" w:eastAsia="Palatino Linotype" w:hAnsi="Palatino Linotype" w:cs="Palatino Linotype"/>
        </w:rPr>
        <w:t xml:space="preserve"> a quien en lo sucesivo se le denominara como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en contra de la respuesta del </w:t>
      </w:r>
      <w:r>
        <w:rPr>
          <w:rFonts w:ascii="Palatino Linotype" w:eastAsia="Palatino Linotype" w:hAnsi="Palatino Linotype" w:cs="Palatino Linotype"/>
          <w:b/>
        </w:rPr>
        <w:t xml:space="preserve">Ayuntamiento de Toluca </w:t>
      </w:r>
      <w:r>
        <w:rPr>
          <w:rFonts w:ascii="Palatino Linotype" w:eastAsia="Palatino Linotype" w:hAnsi="Palatino Linotype" w:cs="Palatino Linotype"/>
        </w:rPr>
        <w:t xml:space="preserve">en lo subsecuente se le denominará </w:t>
      </w:r>
      <w:r>
        <w:rPr>
          <w:rFonts w:ascii="Palatino Linotype" w:eastAsia="Palatino Linotype" w:hAnsi="Palatino Linotype" w:cs="Palatino Linotype"/>
          <w:b/>
        </w:rPr>
        <w:t xml:space="preserve">EL SUJETO OBLIGADO, </w:t>
      </w:r>
      <w:r>
        <w:rPr>
          <w:rFonts w:ascii="Palatino Linotype" w:eastAsia="Palatino Linotype" w:hAnsi="Palatino Linotype" w:cs="Palatino Linotype"/>
        </w:rPr>
        <w:t>se procede a dictar la presente resolución con base en lo siguiente:</w:t>
      </w:r>
    </w:p>
    <w:p w14:paraId="239AC9A8" w14:textId="77777777" w:rsidR="00E05C6C" w:rsidRDefault="00E05C6C">
      <w:pPr>
        <w:spacing w:line="360" w:lineRule="auto"/>
        <w:jc w:val="both"/>
        <w:rPr>
          <w:rFonts w:ascii="Palatino Linotype" w:eastAsia="Palatino Linotype" w:hAnsi="Palatino Linotype" w:cs="Palatino Linotype"/>
          <w:b/>
        </w:rPr>
      </w:pPr>
    </w:p>
    <w:p w14:paraId="0436FF36" w14:textId="77777777" w:rsidR="00E05C6C" w:rsidRDefault="00982A5F">
      <w:pPr>
        <w:jc w:val="center"/>
        <w:rPr>
          <w:rFonts w:ascii="Palatino Linotype" w:eastAsia="Palatino Linotype" w:hAnsi="Palatino Linotype" w:cs="Palatino Linotype"/>
          <w:b/>
          <w:sz w:val="28"/>
          <w:szCs w:val="28"/>
        </w:rPr>
      </w:pPr>
      <w:r>
        <w:rPr>
          <w:rFonts w:ascii="Palatino Linotype" w:eastAsia="Palatino Linotype" w:hAnsi="Palatino Linotype" w:cs="Palatino Linotype"/>
          <w:b/>
          <w:sz w:val="28"/>
          <w:szCs w:val="28"/>
        </w:rPr>
        <w:t>ANTECEDENTES</w:t>
      </w:r>
    </w:p>
    <w:p w14:paraId="4CE9718A" w14:textId="77777777" w:rsidR="00E05C6C" w:rsidRDefault="00E05C6C">
      <w:pPr>
        <w:rPr>
          <w:rFonts w:ascii="Palatino Linotype" w:eastAsia="Palatino Linotype" w:hAnsi="Palatino Linotype" w:cs="Palatino Linotype"/>
          <w:b/>
        </w:rPr>
      </w:pPr>
    </w:p>
    <w:p w14:paraId="32B59A71" w14:textId="77777777" w:rsidR="00E05C6C" w:rsidRDefault="00982A5F">
      <w:pPr>
        <w:spacing w:line="360" w:lineRule="auto"/>
        <w:jc w:val="both"/>
        <w:rPr>
          <w:rFonts w:ascii="Palatino Linotype" w:eastAsia="Palatino Linotype" w:hAnsi="Palatino Linotype" w:cs="Palatino Linotype"/>
          <w:b/>
          <w:sz w:val="28"/>
          <w:szCs w:val="28"/>
        </w:rPr>
      </w:pPr>
      <w:r>
        <w:rPr>
          <w:rFonts w:ascii="Palatino Linotype" w:eastAsia="Palatino Linotype" w:hAnsi="Palatino Linotype" w:cs="Palatino Linotype"/>
          <w:b/>
          <w:sz w:val="28"/>
          <w:szCs w:val="28"/>
        </w:rPr>
        <w:t>I.</w:t>
      </w:r>
      <w:r>
        <w:rPr>
          <w:rFonts w:ascii="Palatino Linotype" w:eastAsia="Palatino Linotype" w:hAnsi="Palatino Linotype" w:cs="Palatino Linotype"/>
          <w:b/>
        </w:rPr>
        <w:t xml:space="preserve"> </w:t>
      </w:r>
      <w:r>
        <w:rPr>
          <w:rFonts w:ascii="Palatino Linotype" w:eastAsia="Palatino Linotype" w:hAnsi="Palatino Linotype" w:cs="Palatino Linotype"/>
          <w:b/>
          <w:sz w:val="28"/>
          <w:szCs w:val="28"/>
        </w:rPr>
        <w:t>De la Solicitud de Información</w:t>
      </w:r>
    </w:p>
    <w:p w14:paraId="7BF2BCAF" w14:textId="77777777" w:rsidR="00E05C6C" w:rsidRDefault="00982A5F">
      <w:pPr>
        <w:spacing w:line="360" w:lineRule="auto"/>
        <w:jc w:val="both"/>
        <w:rPr>
          <w:rFonts w:ascii="Palatino Linotype" w:eastAsia="Palatino Linotype" w:hAnsi="Palatino Linotype" w:cs="Palatino Linotype"/>
          <w:i/>
          <w:sz w:val="20"/>
          <w:szCs w:val="20"/>
        </w:rPr>
      </w:pPr>
      <w:bookmarkStart w:id="1" w:name="_heading=h.ifuj3wtxm21l" w:colFirst="0" w:colLast="0"/>
      <w:bookmarkEnd w:id="1"/>
      <w:r>
        <w:rPr>
          <w:rFonts w:ascii="Palatino Linotype" w:eastAsia="Palatino Linotype" w:hAnsi="Palatino Linotype" w:cs="Palatino Linotype"/>
        </w:rPr>
        <w:t xml:space="preserve"> En fecha cinco de abril de dos mil veintidós,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presentó a través del Sistema de Acceso a la Información Mexiquense, en lo subsecuente </w:t>
      </w:r>
      <w:r>
        <w:rPr>
          <w:rFonts w:ascii="Palatino Linotype" w:eastAsia="Palatino Linotype" w:hAnsi="Palatino Linotype" w:cs="Palatino Linotype"/>
          <w:b/>
        </w:rPr>
        <w:t>EL SAIMEX</w:t>
      </w:r>
      <w:r>
        <w:rPr>
          <w:rFonts w:ascii="Palatino Linotype" w:eastAsia="Palatino Linotype" w:hAnsi="Palatino Linotype" w:cs="Palatino Linotype"/>
        </w:rPr>
        <w:t xml:space="preserve"> ante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la solicitud de acceso a la información pública, a la que se le asignó el número de expediente </w:t>
      </w:r>
      <w:r>
        <w:rPr>
          <w:rFonts w:ascii="Palatino Linotype" w:eastAsia="Palatino Linotype" w:hAnsi="Palatino Linotype" w:cs="Palatino Linotype"/>
          <w:b/>
        </w:rPr>
        <w:t xml:space="preserve">00942/TOLUCA/IP/2022, </w:t>
      </w:r>
      <w:r>
        <w:rPr>
          <w:rFonts w:ascii="Palatino Linotype" w:eastAsia="Palatino Linotype" w:hAnsi="Palatino Linotype" w:cs="Palatino Linotype"/>
        </w:rPr>
        <w:t>requirió, lo siguiente:</w:t>
      </w:r>
    </w:p>
    <w:p w14:paraId="2A3D8B66" w14:textId="77777777" w:rsidR="00E05C6C" w:rsidRDefault="00982A5F">
      <w:pPr>
        <w:ind w:left="850" w:right="899"/>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“1.-Quiero conocer la convocatoria pública para participar en la consulta ciudadana para integrar el Plan Municipal de Desarrollo del esta administración, las bases y formas de como enviar propuestar y participar en los foros e integración del plan, participaremos varias personas que integran un colectivo de Valle de Toluca. 2.-</w:t>
      </w:r>
      <w:r>
        <w:rPr>
          <w:rFonts w:ascii="Palatino Linotype" w:eastAsia="Palatino Linotype" w:hAnsi="Palatino Linotype" w:cs="Palatino Linotype"/>
          <w:i/>
          <w:sz w:val="22"/>
          <w:szCs w:val="22"/>
        </w:rPr>
        <w:lastRenderedPageBreak/>
        <w:t>También si tienen contratado algún prestador servicios que les apoye con el proyecto del Plan de Desarrollo, quiero conocer el contrato y el expediente completo por este concepto. 3.-Con el propósito de conocer como las áreas dependencias pretenden atender la problemática municipal y generar su programa de trabajo del trienio , les pido el Árbol de Problemas y el Árbol de soluciones que hayan o estén desarrollando y sirvió de base para generar entre otros documentos el plan de desarrollo y el presupuesto de este año, favor de incluir las estrategias y objetivos que se desprenden de estas herramientas. En el caso del punto 1, agradeceremos se nos dé respuesta rápida para conocer la fecha y la convocatoria y poder participar, en su caso puede ser al correo que en la solicitud aparece, cabe mencionar que en su pagina web y otros medios no encontramos convocatoria, por lo que recurrimos por este medio, esta solicitud se repite de anterior ya que algunos municipios contestaron que tenían al 31 de marzo para cumplir con la obligación de contar con un Plan de desarrollo Municipal. esperamos esta vez contesten al menos con lo que tengan. este Plan ya debería estar publicado y no lo esta.” (sic)</w:t>
      </w:r>
    </w:p>
    <w:p w14:paraId="16198B6B" w14:textId="77777777" w:rsidR="00E05C6C" w:rsidRDefault="00E05C6C">
      <w:pPr>
        <w:tabs>
          <w:tab w:val="left" w:pos="851"/>
        </w:tabs>
        <w:ind w:right="901"/>
        <w:jc w:val="both"/>
        <w:rPr>
          <w:rFonts w:ascii="Palatino Linotype" w:eastAsia="Palatino Linotype" w:hAnsi="Palatino Linotype" w:cs="Palatino Linotype"/>
          <w:sz w:val="22"/>
          <w:szCs w:val="22"/>
        </w:rPr>
      </w:pPr>
    </w:p>
    <w:p w14:paraId="6D0646A9" w14:textId="77777777" w:rsidR="00E05C6C" w:rsidRDefault="00982A5F">
      <w:pPr>
        <w:widowControl w:val="0"/>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MODALIDAD DE ENTREGA: </w:t>
      </w:r>
      <w:r>
        <w:rPr>
          <w:rFonts w:ascii="Palatino Linotype" w:eastAsia="Palatino Linotype" w:hAnsi="Palatino Linotype" w:cs="Palatino Linotype"/>
        </w:rPr>
        <w:t xml:space="preserve">Vía </w:t>
      </w:r>
      <w:r>
        <w:rPr>
          <w:rFonts w:ascii="Palatino Linotype" w:eastAsia="Palatino Linotype" w:hAnsi="Palatino Linotype" w:cs="Palatino Linotype"/>
          <w:b/>
        </w:rPr>
        <w:t>SAIMEX.</w:t>
      </w:r>
    </w:p>
    <w:p w14:paraId="24D1A37A" w14:textId="77777777" w:rsidR="00E05C6C" w:rsidRDefault="00E05C6C">
      <w:pPr>
        <w:pBdr>
          <w:top w:val="nil"/>
          <w:left w:val="nil"/>
          <w:bottom w:val="nil"/>
          <w:right w:val="nil"/>
          <w:between w:val="nil"/>
        </w:pBdr>
        <w:spacing w:line="360" w:lineRule="auto"/>
        <w:ind w:left="850"/>
        <w:jc w:val="both"/>
        <w:rPr>
          <w:rFonts w:ascii="Palatino Linotype" w:eastAsia="Palatino Linotype" w:hAnsi="Palatino Linotype" w:cs="Palatino Linotype"/>
        </w:rPr>
      </w:pPr>
    </w:p>
    <w:p w14:paraId="19795052" w14:textId="77777777" w:rsidR="00E05C6C" w:rsidRDefault="00982A5F">
      <w:pPr>
        <w:spacing w:line="360" w:lineRule="auto"/>
        <w:jc w:val="both"/>
        <w:rPr>
          <w:rFonts w:ascii="Palatino Linotype" w:eastAsia="Palatino Linotype" w:hAnsi="Palatino Linotype" w:cs="Palatino Linotype"/>
          <w:b/>
          <w:sz w:val="28"/>
          <w:szCs w:val="28"/>
        </w:rPr>
      </w:pPr>
      <w:r>
        <w:rPr>
          <w:rFonts w:ascii="Palatino Linotype" w:eastAsia="Palatino Linotype" w:hAnsi="Palatino Linotype" w:cs="Palatino Linotype"/>
          <w:b/>
          <w:sz w:val="28"/>
          <w:szCs w:val="28"/>
        </w:rPr>
        <w:t>II. Turno de requerimiento del Sujeto Obligado</w:t>
      </w:r>
    </w:p>
    <w:p w14:paraId="5E0B1AD3" w14:textId="77777777" w:rsidR="00E05C6C" w:rsidRDefault="00982A5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las constancias que obran en los expedientes electrónicos del SAIMEX advierte en fecha seis de abril del dos mil veintidós el  turno de requerimiento hecho al servidor público habilitado que estimó competente, en términos de lo establecido por el artículo 162 de la Ley de Transparencia y Acceso a la Información Pública del Estado de México y Municipios.</w:t>
      </w:r>
    </w:p>
    <w:p w14:paraId="6B1103F7" w14:textId="77777777" w:rsidR="00E05C6C" w:rsidRDefault="00982A5F">
      <w:pPr>
        <w:spacing w:line="360" w:lineRule="auto"/>
        <w:jc w:val="both"/>
        <w:rPr>
          <w:rFonts w:ascii="Palatino Linotype" w:eastAsia="Palatino Linotype" w:hAnsi="Palatino Linotype" w:cs="Palatino Linotype"/>
          <w:b/>
          <w:sz w:val="28"/>
          <w:szCs w:val="28"/>
        </w:rPr>
      </w:pPr>
      <w:r>
        <w:rPr>
          <w:rFonts w:ascii="Palatino Linotype" w:eastAsia="Palatino Linotype" w:hAnsi="Palatino Linotype" w:cs="Palatino Linotype"/>
          <w:b/>
          <w:sz w:val="28"/>
          <w:szCs w:val="28"/>
        </w:rPr>
        <w:t xml:space="preserve"> </w:t>
      </w:r>
    </w:p>
    <w:p w14:paraId="06D2097A" w14:textId="77777777" w:rsidR="00E05C6C" w:rsidRDefault="00982A5F">
      <w:pPr>
        <w:spacing w:line="360" w:lineRule="auto"/>
        <w:jc w:val="both"/>
        <w:rPr>
          <w:rFonts w:ascii="Palatino Linotype" w:eastAsia="Palatino Linotype" w:hAnsi="Palatino Linotype" w:cs="Palatino Linotype"/>
          <w:b/>
          <w:sz w:val="28"/>
          <w:szCs w:val="28"/>
        </w:rPr>
      </w:pPr>
      <w:r>
        <w:rPr>
          <w:rFonts w:ascii="Palatino Linotype" w:eastAsia="Palatino Linotype" w:hAnsi="Palatino Linotype" w:cs="Palatino Linotype"/>
          <w:b/>
          <w:sz w:val="28"/>
          <w:szCs w:val="28"/>
        </w:rPr>
        <w:t>III. Respuesta del Sujeto Obligado</w:t>
      </w:r>
    </w:p>
    <w:p w14:paraId="42C252C7" w14:textId="77777777" w:rsidR="00E05C6C" w:rsidRDefault="00982A5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De las constancias que obran en el expediente electrónico del SAIMEX se observa que en fecha tres de mayo de dos mil veintidós,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dio respuesta a la solicitud de acceso a la información pública en los términos siguientes: </w:t>
      </w:r>
    </w:p>
    <w:p w14:paraId="33EE84BE" w14:textId="77777777" w:rsidR="00E05C6C" w:rsidRDefault="00982A5F">
      <w:pP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0674ECE" w14:textId="77777777" w:rsidR="00E05C6C" w:rsidRDefault="00982A5F">
      <w:pPr>
        <w:ind w:left="850" w:right="899"/>
        <w:jc w:val="both"/>
        <w:rPr>
          <w:rFonts w:ascii="Palatino Linotype" w:eastAsia="Palatino Linotype" w:hAnsi="Palatino Linotype" w:cs="Palatino Linotype"/>
        </w:rPr>
      </w:pPr>
      <w:r>
        <w:rPr>
          <w:rFonts w:ascii="Palatino Linotype" w:eastAsia="Palatino Linotype" w:hAnsi="Palatino Linotype" w:cs="Palatino Linotype"/>
          <w:i/>
          <w:sz w:val="22"/>
          <w:szCs w:val="22"/>
        </w:rPr>
        <w:t>En cumplimiento a los artículos 3 fracciones XLI y XLIV, 4, 12, 18, 23 fracción IV, 24, 58 y 59 de la Ley de Transparencia y Acceso a la Información Pública del Estado de México y Municipios, de acuerdo a las atribuciones de la Unidad de Información, Planeación, Programación y Evaluación, se informa que se remite la información requerida con que cuenta esta área a mi cargo. Asimismo, la Directora General de Administración, informó que En atención a la solicitud número 00942/TOLUCA/IP/2022, se envía en formato digital la información solicitada, la cual se encuentra disponible en el portal de ipomex, en el apartado del articulo 92 fracción XXIX a, en la siguiente liga: https://www.ipomex.org.mx/ipo3/lgt/indice/TOLUCA/art_92_xxix_a/4.web registro numero 001. Donde podrá consultar la información requerida respecto al numeral 2, de conformidad con el articulo 12 y 161 de la Ley de Transparencia y Acceso a la Información Pública del Estado de México y Municipios.”(Sic)</w:t>
      </w:r>
    </w:p>
    <w:p w14:paraId="7647103F" w14:textId="77777777" w:rsidR="00E05C6C" w:rsidRDefault="00E05C6C">
      <w:pPr>
        <w:spacing w:line="360" w:lineRule="auto"/>
        <w:jc w:val="both"/>
        <w:rPr>
          <w:rFonts w:ascii="Palatino Linotype" w:eastAsia="Palatino Linotype" w:hAnsi="Palatino Linotype" w:cs="Palatino Linotype"/>
        </w:rPr>
      </w:pPr>
    </w:p>
    <w:p w14:paraId="1F4731CE" w14:textId="77777777" w:rsidR="00E05C6C" w:rsidRDefault="00982A5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Adjuntando a su respuesta tres archivos, el primero de ellos de nombre 338_052796.pdf de cuyo contenido se advierte el documento firmado por la servidor público habilitado de la Unidad de Información, Planeación, Programación y Evaluación  en  fecha siete de abril de dos mil veintidós, donde se pronuncia sobre los requerimientos del particular. </w:t>
      </w:r>
    </w:p>
    <w:p w14:paraId="094E7B7D" w14:textId="77777777" w:rsidR="00E05C6C" w:rsidRDefault="00E05C6C">
      <w:pPr>
        <w:spacing w:line="360" w:lineRule="auto"/>
        <w:jc w:val="both"/>
        <w:rPr>
          <w:rFonts w:ascii="Palatino Linotype" w:eastAsia="Palatino Linotype" w:hAnsi="Palatino Linotype" w:cs="Palatino Linotype"/>
        </w:rPr>
      </w:pPr>
    </w:p>
    <w:p w14:paraId="22E4211C" w14:textId="77777777" w:rsidR="00E05C6C" w:rsidRDefault="00982A5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El segundo documento denominado </w:t>
      </w:r>
      <w:r>
        <w:rPr>
          <w:rFonts w:ascii="Palatino Linotype" w:eastAsia="Palatino Linotype" w:hAnsi="Palatino Linotype" w:cs="Palatino Linotype"/>
          <w:i/>
        </w:rPr>
        <w:t xml:space="preserve">convocatoria.pdf </w:t>
      </w:r>
      <w:r>
        <w:rPr>
          <w:rFonts w:ascii="Palatino Linotype" w:eastAsia="Palatino Linotype" w:hAnsi="Palatino Linotype" w:cs="Palatino Linotype"/>
        </w:rPr>
        <w:t xml:space="preserve">el cual contiene una foja con la convocatoria de la consulta ciudadana para la integración del Plan de Desarrollo Municipal del Municipio de Toluca 2022-2024  </w:t>
      </w:r>
    </w:p>
    <w:p w14:paraId="24D6F994" w14:textId="77777777" w:rsidR="00E05C6C" w:rsidRDefault="00E05C6C">
      <w:pPr>
        <w:spacing w:line="360" w:lineRule="auto"/>
        <w:jc w:val="both"/>
        <w:rPr>
          <w:rFonts w:ascii="Palatino Linotype" w:eastAsia="Palatino Linotype" w:hAnsi="Palatino Linotype" w:cs="Palatino Linotype"/>
        </w:rPr>
      </w:pPr>
    </w:p>
    <w:p w14:paraId="66316467" w14:textId="77777777" w:rsidR="00E05C6C" w:rsidRDefault="00982A5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tercer documento de nombre  </w:t>
      </w:r>
      <w:r>
        <w:rPr>
          <w:rFonts w:ascii="Palatino Linotype" w:eastAsia="Palatino Linotype" w:hAnsi="Palatino Linotype" w:cs="Palatino Linotype"/>
          <w:i/>
        </w:rPr>
        <w:t xml:space="preserve">Contrato Plan de Desarrollo.pdf </w:t>
      </w:r>
      <w:r>
        <w:rPr>
          <w:rFonts w:ascii="Palatino Linotype" w:eastAsia="Palatino Linotype" w:hAnsi="Palatino Linotype" w:cs="Palatino Linotype"/>
        </w:rPr>
        <w:t xml:space="preserve">cuenta con una extensión de 8 fojas de las cuales se observa el contrato firmado por el Ayuntamiento de Toluca para la elaboración del Plan de Desarrollo Municipal. </w:t>
      </w:r>
    </w:p>
    <w:p w14:paraId="0FE5A1C2" w14:textId="77777777" w:rsidR="00E05C6C" w:rsidRDefault="00E05C6C">
      <w:pPr>
        <w:spacing w:line="360" w:lineRule="auto"/>
        <w:jc w:val="both"/>
        <w:rPr>
          <w:rFonts w:ascii="Palatino Linotype" w:eastAsia="Palatino Linotype" w:hAnsi="Palatino Linotype" w:cs="Palatino Linotype"/>
        </w:rPr>
      </w:pPr>
    </w:p>
    <w:p w14:paraId="777B36E3" w14:textId="77777777" w:rsidR="00E05C6C" w:rsidRDefault="00982A5F">
      <w:pPr>
        <w:widowControl w:val="0"/>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sz w:val="28"/>
          <w:szCs w:val="28"/>
        </w:rPr>
        <w:t>IV.  Del Recurso de Revisión</w:t>
      </w:r>
      <w:r>
        <w:rPr>
          <w:rFonts w:ascii="Palatino Linotype" w:eastAsia="Palatino Linotype" w:hAnsi="Palatino Linotype" w:cs="Palatino Linotype"/>
          <w:b/>
        </w:rPr>
        <w:t>.</w:t>
      </w:r>
    </w:p>
    <w:p w14:paraId="4CF59122" w14:textId="77777777" w:rsidR="00E05C6C" w:rsidRDefault="00982A5F">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Inconforme con la respuesta del</w:t>
      </w:r>
      <w:r>
        <w:rPr>
          <w:rFonts w:ascii="Palatino Linotype" w:eastAsia="Palatino Linotype" w:hAnsi="Palatino Linotype" w:cs="Palatino Linotype"/>
          <w:b/>
        </w:rPr>
        <w:t xml:space="preserve"> SUJETO OBLIGADO</w:t>
      </w:r>
      <w:r>
        <w:rPr>
          <w:rFonts w:ascii="Palatino Linotype" w:eastAsia="Palatino Linotype" w:hAnsi="Palatino Linotype" w:cs="Palatino Linotype"/>
        </w:rPr>
        <w:t xml:space="preserve">, el dieciocho de mayo de dos mil veintidós,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interpuso el Recurso de Revisión. El cual fue registrado en </w:t>
      </w:r>
      <w:r>
        <w:rPr>
          <w:rFonts w:ascii="Palatino Linotype" w:eastAsia="Palatino Linotype" w:hAnsi="Palatino Linotype" w:cs="Palatino Linotype"/>
          <w:b/>
        </w:rPr>
        <w:t>EL SAIMEX</w:t>
      </w:r>
      <w:r>
        <w:rPr>
          <w:rFonts w:ascii="Palatino Linotype" w:eastAsia="Palatino Linotype" w:hAnsi="Palatino Linotype" w:cs="Palatino Linotype"/>
        </w:rPr>
        <w:t xml:space="preserve"> y se le asignó el número de expediente </w:t>
      </w:r>
      <w:r>
        <w:rPr>
          <w:rFonts w:ascii="Palatino Linotype" w:eastAsia="Palatino Linotype" w:hAnsi="Palatino Linotype" w:cs="Palatino Linotype"/>
          <w:b/>
        </w:rPr>
        <w:t xml:space="preserve">08457/INFOEM/IP/RR/2022, </w:t>
      </w:r>
      <w:r>
        <w:rPr>
          <w:rFonts w:ascii="Palatino Linotype" w:eastAsia="Palatino Linotype" w:hAnsi="Palatino Linotype" w:cs="Palatino Linotype"/>
        </w:rPr>
        <w:t xml:space="preserve">donde los motivos de agravio del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fueron los siguientes:</w:t>
      </w:r>
    </w:p>
    <w:p w14:paraId="03CDAA22" w14:textId="77777777" w:rsidR="00E05C6C" w:rsidRDefault="00E05C6C">
      <w:pPr>
        <w:widowControl w:val="0"/>
        <w:spacing w:line="360" w:lineRule="auto"/>
        <w:jc w:val="both"/>
        <w:rPr>
          <w:rFonts w:ascii="Palatino Linotype" w:eastAsia="Palatino Linotype" w:hAnsi="Palatino Linotype" w:cs="Palatino Linotype"/>
        </w:rPr>
      </w:pPr>
    </w:p>
    <w:p w14:paraId="04049998" w14:textId="77777777" w:rsidR="00E05C6C" w:rsidRDefault="00982A5F">
      <w:pPr>
        <w:spacing w:line="360" w:lineRule="auto"/>
        <w:ind w:left="-57" w:right="-57"/>
        <w:jc w:val="both"/>
        <w:rPr>
          <w:rFonts w:ascii="Palatino Linotype" w:eastAsia="Palatino Linotype" w:hAnsi="Palatino Linotype" w:cs="Palatino Linotype"/>
          <w:b/>
          <w:u w:val="single"/>
        </w:rPr>
      </w:pPr>
      <w:r>
        <w:rPr>
          <w:rFonts w:ascii="Palatino Linotype" w:eastAsia="Palatino Linotype" w:hAnsi="Palatino Linotype" w:cs="Palatino Linotype"/>
          <w:b/>
          <w:u w:val="single"/>
        </w:rPr>
        <w:t>Acto Impugnado:</w:t>
      </w:r>
      <w:r>
        <w:rPr>
          <w:b/>
          <w:u w:val="single"/>
        </w:rPr>
        <w:t xml:space="preserve"> </w:t>
      </w:r>
    </w:p>
    <w:p w14:paraId="3F851B62" w14:textId="77777777" w:rsidR="00E05C6C" w:rsidRDefault="00982A5F">
      <w:pPr>
        <w:tabs>
          <w:tab w:val="left" w:pos="709"/>
        </w:tabs>
        <w:spacing w:before="66"/>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“incompleta”(sic)</w:t>
      </w:r>
    </w:p>
    <w:p w14:paraId="70785D29" w14:textId="77777777" w:rsidR="00E05C6C" w:rsidRDefault="00E05C6C">
      <w:pPr>
        <w:ind w:right="899"/>
        <w:jc w:val="both"/>
        <w:rPr>
          <w:rFonts w:ascii="Palatino Linotype" w:eastAsia="Palatino Linotype" w:hAnsi="Palatino Linotype" w:cs="Palatino Linotype"/>
        </w:rPr>
      </w:pPr>
    </w:p>
    <w:p w14:paraId="549AD093" w14:textId="77777777" w:rsidR="00E05C6C" w:rsidRDefault="00982A5F">
      <w:pPr>
        <w:spacing w:line="360" w:lineRule="auto"/>
        <w:ind w:right="49"/>
        <w:jc w:val="both"/>
        <w:rPr>
          <w:rFonts w:ascii="Palatino Linotype" w:eastAsia="Palatino Linotype" w:hAnsi="Palatino Linotype" w:cs="Palatino Linotype"/>
          <w:b/>
          <w:u w:val="single"/>
        </w:rPr>
      </w:pPr>
      <w:r>
        <w:rPr>
          <w:rFonts w:ascii="Palatino Linotype" w:eastAsia="Palatino Linotype" w:hAnsi="Palatino Linotype" w:cs="Palatino Linotype"/>
          <w:b/>
          <w:u w:val="single"/>
        </w:rPr>
        <w:t>Razones o motivos de inconformidad:</w:t>
      </w:r>
    </w:p>
    <w:p w14:paraId="524079C8" w14:textId="77777777" w:rsidR="00E05C6C" w:rsidRDefault="00982A5F">
      <w:pPr>
        <w:tabs>
          <w:tab w:val="left" w:pos="709"/>
        </w:tabs>
        <w:spacing w:before="66"/>
        <w:ind w:left="850" w:right="899"/>
        <w:jc w:val="both"/>
        <w:rPr>
          <w:rFonts w:ascii="Palatino Linotype" w:eastAsia="Palatino Linotype" w:hAnsi="Palatino Linotype" w:cs="Palatino Linotype"/>
          <w:b/>
          <w:u w:val="single"/>
        </w:rPr>
      </w:pPr>
      <w:r>
        <w:rPr>
          <w:rFonts w:ascii="Palatino Linotype" w:eastAsia="Palatino Linotype" w:hAnsi="Palatino Linotype" w:cs="Palatino Linotype"/>
          <w:i/>
          <w:sz w:val="22"/>
          <w:szCs w:val="22"/>
        </w:rPr>
        <w:t xml:space="preserve">“existe información que debe de exitir como parte del diseño y construcción de plan de desarrollo municipal, siendo este el principal documento del municipio debe estar y estar completo, estos planes se basan en la metodología que la ley determina y es lo que se pide, sino se tiene que así lo digan cada involucrado como son todos los miembros del ayuntamiento, ya que es una atribución de la Ley Municipal, su difusión es publica ademas que su construcción contempla la participación </w:t>
      </w:r>
      <w:r>
        <w:rPr>
          <w:rFonts w:ascii="Palatino Linotype" w:eastAsia="Palatino Linotype" w:hAnsi="Palatino Linotype" w:cs="Palatino Linotype"/>
          <w:i/>
          <w:sz w:val="22"/>
          <w:szCs w:val="22"/>
        </w:rPr>
        <w:lastRenderedPageBreak/>
        <w:t>ciudadana como un acto de gobierno abierto y democrático sino lo tienen que se ordene su integración.”(sic)</w:t>
      </w:r>
    </w:p>
    <w:p w14:paraId="0E8CDA75" w14:textId="77777777" w:rsidR="00E05C6C" w:rsidRDefault="00E05C6C">
      <w:pPr>
        <w:spacing w:line="360" w:lineRule="auto"/>
        <w:jc w:val="both"/>
        <w:rPr>
          <w:rFonts w:ascii="Palatino Linotype" w:eastAsia="Palatino Linotype" w:hAnsi="Palatino Linotype" w:cs="Palatino Linotype"/>
        </w:rPr>
      </w:pPr>
    </w:p>
    <w:p w14:paraId="4CA56417" w14:textId="77777777" w:rsidR="00E05C6C" w:rsidRDefault="00E05C6C">
      <w:pPr>
        <w:spacing w:line="360" w:lineRule="auto"/>
        <w:jc w:val="both"/>
        <w:rPr>
          <w:rFonts w:ascii="Palatino Linotype" w:eastAsia="Palatino Linotype" w:hAnsi="Palatino Linotype" w:cs="Palatino Linotype"/>
        </w:rPr>
      </w:pPr>
    </w:p>
    <w:p w14:paraId="7FFD98EC" w14:textId="77777777" w:rsidR="00E05C6C" w:rsidRDefault="00E05C6C">
      <w:pPr>
        <w:spacing w:line="360" w:lineRule="auto"/>
        <w:jc w:val="both"/>
        <w:rPr>
          <w:rFonts w:ascii="Palatino Linotype" w:eastAsia="Palatino Linotype" w:hAnsi="Palatino Linotype" w:cs="Palatino Linotype"/>
        </w:rPr>
      </w:pPr>
    </w:p>
    <w:p w14:paraId="3EE09C62" w14:textId="77777777" w:rsidR="00E05C6C" w:rsidRDefault="00982A5F">
      <w:pPr>
        <w:spacing w:line="360" w:lineRule="auto"/>
        <w:jc w:val="both"/>
        <w:rPr>
          <w:rFonts w:ascii="Palatino Linotype" w:eastAsia="Palatino Linotype" w:hAnsi="Palatino Linotype" w:cs="Palatino Linotype"/>
          <w:b/>
          <w:sz w:val="28"/>
          <w:szCs w:val="28"/>
        </w:rPr>
      </w:pPr>
      <w:r>
        <w:rPr>
          <w:rFonts w:ascii="Palatino Linotype" w:eastAsia="Palatino Linotype" w:hAnsi="Palatino Linotype" w:cs="Palatino Linotype"/>
          <w:b/>
          <w:sz w:val="28"/>
          <w:szCs w:val="28"/>
        </w:rPr>
        <w:t xml:space="preserve">V. Del turno del Recurso de Revisión. </w:t>
      </w:r>
    </w:p>
    <w:p w14:paraId="49DC1ED0" w14:textId="77777777" w:rsidR="00E05C6C" w:rsidRDefault="00982A5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dieciocho de mayo de dos mil veintidós, el recurso del que se trata se envió electrónicamente al Instituto de Transparencia, Acceso a la Información Pública y Protección de Datos Personales del Estado de México y Municipios y con fundamento en el artículo 185, fracción I de la Ley de Transparencia y Acceso a la Información Pública del Estado de México y Municipios, se turnó a la </w:t>
      </w:r>
      <w:r>
        <w:rPr>
          <w:rFonts w:ascii="Palatino Linotype" w:eastAsia="Palatino Linotype" w:hAnsi="Palatino Linotype" w:cs="Palatino Linotype"/>
          <w:b/>
        </w:rPr>
        <w:t>Comisionada Sharon Cristina Morales Martínez</w:t>
      </w:r>
      <w:r>
        <w:rPr>
          <w:rFonts w:ascii="Palatino Linotype" w:eastAsia="Palatino Linotype" w:hAnsi="Palatino Linotype" w:cs="Palatino Linotype"/>
        </w:rPr>
        <w:t>; a efecto de decretar su admisión o desechamiento.</w:t>
      </w:r>
    </w:p>
    <w:p w14:paraId="1C96E8C8" w14:textId="77777777" w:rsidR="00E05C6C" w:rsidRDefault="00E05C6C">
      <w:pPr>
        <w:spacing w:line="360" w:lineRule="auto"/>
        <w:jc w:val="both"/>
        <w:rPr>
          <w:rFonts w:ascii="Palatino Linotype" w:eastAsia="Palatino Linotype" w:hAnsi="Palatino Linotype" w:cs="Palatino Linotype"/>
        </w:rPr>
      </w:pPr>
    </w:p>
    <w:p w14:paraId="646D049D" w14:textId="77777777" w:rsidR="00E05C6C" w:rsidRDefault="00982A5F">
      <w:pPr>
        <w:tabs>
          <w:tab w:val="center" w:pos="4252"/>
          <w:tab w:val="right" w:pos="8504"/>
        </w:tabs>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a) Admisión del Recurso de Revisión</w:t>
      </w:r>
    </w:p>
    <w:p w14:paraId="4556F192" w14:textId="77777777" w:rsidR="00E05C6C" w:rsidRDefault="00982A5F">
      <w:pPr>
        <w:tabs>
          <w:tab w:val="center" w:pos="4252"/>
          <w:tab w:val="right" w:pos="8504"/>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las constancias que obran en el expediente electrónico del</w:t>
      </w:r>
      <w:r>
        <w:rPr>
          <w:rFonts w:ascii="Palatino Linotype" w:eastAsia="Palatino Linotype" w:hAnsi="Palatino Linotype" w:cs="Palatino Linotype"/>
          <w:b/>
        </w:rPr>
        <w:t xml:space="preserve"> SAIMEX</w:t>
      </w:r>
      <w:r>
        <w:rPr>
          <w:rFonts w:ascii="Palatino Linotype" w:eastAsia="Palatino Linotype" w:hAnsi="Palatino Linotype" w:cs="Palatino Linotype"/>
        </w:rPr>
        <w:t xml:space="preserve">, se advierte que en fecha veinte de mayo  de dos mil veintidós, se acordó la admisión a trámite del Recurso de Revisión que nos ocupa; así como la integración del expediente respectivo, mismo que se puso a disposición de las partes, para que en un plazo máximo de siete días hábiles </w:t>
      </w:r>
      <w:r>
        <w:rPr>
          <w:rFonts w:ascii="Palatino Linotype" w:eastAsia="Palatino Linotype" w:hAnsi="Palatino Linotype" w:cs="Palatino Linotype"/>
          <w:b/>
        </w:rPr>
        <w:t xml:space="preserve">EL RECURRENTE </w:t>
      </w:r>
      <w:r>
        <w:rPr>
          <w:rFonts w:ascii="Palatino Linotype" w:eastAsia="Palatino Linotype" w:hAnsi="Palatino Linotype" w:cs="Palatino Linotype"/>
        </w:rPr>
        <w:t xml:space="preserve">manifestara lo que a su derecho conviniera, a efecto de presentar pruebas y alegatos; así como, para que </w:t>
      </w:r>
      <w:r>
        <w:rPr>
          <w:rFonts w:ascii="Palatino Linotype" w:eastAsia="Palatino Linotype" w:hAnsi="Palatino Linotype" w:cs="Palatino Linotype"/>
          <w:b/>
        </w:rPr>
        <w:t xml:space="preserve">EL SUJETO OBLIGADO </w:t>
      </w:r>
      <w:r>
        <w:rPr>
          <w:rFonts w:ascii="Palatino Linotype" w:eastAsia="Palatino Linotype" w:hAnsi="Palatino Linotype" w:cs="Palatino Linotype"/>
        </w:rPr>
        <w:t>rindiera el correspondiente</w:t>
      </w:r>
      <w:r>
        <w:rPr>
          <w:rFonts w:ascii="Palatino Linotype" w:eastAsia="Palatino Linotype" w:hAnsi="Palatino Linotype" w:cs="Palatino Linotype"/>
          <w:b/>
        </w:rPr>
        <w:t xml:space="preserve"> </w:t>
      </w:r>
      <w:r>
        <w:rPr>
          <w:rFonts w:ascii="Palatino Linotype" w:eastAsia="Palatino Linotype" w:hAnsi="Palatino Linotype" w:cs="Palatino Linotype"/>
        </w:rPr>
        <w:t>Informe Justificado; lo anterior, conforme a lo dispuesto por el artículo 185 de la Ley de Transparencia y Acceso a la Información Pública del Estado de México y Municipios.</w:t>
      </w:r>
    </w:p>
    <w:p w14:paraId="337E5584" w14:textId="77777777" w:rsidR="00E05C6C" w:rsidRDefault="00E05C6C">
      <w:pPr>
        <w:tabs>
          <w:tab w:val="center" w:pos="4252"/>
          <w:tab w:val="right" w:pos="8504"/>
        </w:tabs>
        <w:spacing w:line="360" w:lineRule="auto"/>
        <w:jc w:val="both"/>
        <w:rPr>
          <w:rFonts w:ascii="Palatino Linotype" w:eastAsia="Palatino Linotype" w:hAnsi="Palatino Linotype" w:cs="Palatino Linotype"/>
        </w:rPr>
      </w:pPr>
    </w:p>
    <w:p w14:paraId="10A37CE0" w14:textId="77777777" w:rsidR="00E05C6C" w:rsidRDefault="00982A5F">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b) Informe Justificado</w:t>
      </w:r>
    </w:p>
    <w:p w14:paraId="6AFA61A2" w14:textId="77777777" w:rsidR="00E05C6C" w:rsidRDefault="00982A5F">
      <w:pPr>
        <w:widowControl w:val="0"/>
        <w:tabs>
          <w:tab w:val="left" w:pos="0"/>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Conforme a las constancias que obran en el expediente del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se desprende que atento a lo dispuesto en el artículo 185 de la Ley de Transparencia y Acceso a la Información Pública del Estado de México y Municipios, dentro del término legalmente concedido a </w:t>
      </w:r>
      <w:r>
        <w:rPr>
          <w:rFonts w:ascii="Palatino Linotype" w:eastAsia="Palatino Linotype" w:hAnsi="Palatino Linotype" w:cs="Palatino Linotype"/>
          <w:b/>
        </w:rPr>
        <w:t>EL</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no presentó manifestaciones que a su derecho convinieran. </w:t>
      </w:r>
    </w:p>
    <w:p w14:paraId="22806FE6" w14:textId="77777777" w:rsidR="00E05C6C" w:rsidRDefault="00E05C6C">
      <w:pPr>
        <w:widowControl w:val="0"/>
        <w:tabs>
          <w:tab w:val="left" w:pos="0"/>
        </w:tabs>
        <w:spacing w:line="360" w:lineRule="auto"/>
        <w:jc w:val="both"/>
        <w:rPr>
          <w:rFonts w:ascii="Palatino Linotype" w:eastAsia="Palatino Linotype" w:hAnsi="Palatino Linotype" w:cs="Palatino Linotype"/>
        </w:rPr>
      </w:pPr>
    </w:p>
    <w:p w14:paraId="3451A1B3" w14:textId="77777777" w:rsidR="00E05C6C" w:rsidRDefault="00982A5F">
      <w:pPr>
        <w:widowControl w:val="0"/>
        <w:tabs>
          <w:tab w:val="left" w:pos="0"/>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su parte,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presentó el documento denominado RR 8457_2022.pdf mediante el cual ratifica su respuesta primigenia y además se pronuncia respecto de los motivos de inconformidad del particular señalando que la información remitida es la única que obra en sus archivos.  </w:t>
      </w:r>
    </w:p>
    <w:p w14:paraId="3AB50D05" w14:textId="77777777" w:rsidR="00E05C6C" w:rsidRDefault="00E05C6C">
      <w:pPr>
        <w:widowControl w:val="0"/>
        <w:tabs>
          <w:tab w:val="left" w:pos="0"/>
        </w:tabs>
        <w:spacing w:line="360" w:lineRule="auto"/>
        <w:jc w:val="both"/>
        <w:rPr>
          <w:rFonts w:ascii="Palatino Linotype" w:eastAsia="Palatino Linotype" w:hAnsi="Palatino Linotype" w:cs="Palatino Linotype"/>
        </w:rPr>
      </w:pPr>
    </w:p>
    <w:p w14:paraId="4EC14D1C" w14:textId="77777777" w:rsidR="00E05C6C" w:rsidRDefault="00982A5F">
      <w:pPr>
        <w:widowControl w:val="0"/>
        <w:tabs>
          <w:tab w:val="left" w:pos="0"/>
        </w:tabs>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c) De la ampliación </w:t>
      </w:r>
    </w:p>
    <w:p w14:paraId="68B81245" w14:textId="77777777" w:rsidR="00E05C6C" w:rsidRDefault="00982A5F">
      <w:pPr>
        <w:spacing w:line="360" w:lineRule="auto"/>
        <w:jc w:val="both"/>
        <w:rPr>
          <w:rFonts w:ascii="Palatino Linotype" w:eastAsia="Palatino Linotype" w:hAnsi="Palatino Linotype" w:cs="Palatino Linotype"/>
        </w:rPr>
      </w:pPr>
      <w:bookmarkStart w:id="2" w:name="_heading=h.1fob9te" w:colFirst="0" w:colLast="0"/>
      <w:bookmarkEnd w:id="2"/>
      <w:r>
        <w:rPr>
          <w:rFonts w:ascii="Palatino Linotype" w:eastAsia="Palatino Linotype" w:hAnsi="Palatino Linotype" w:cs="Palatino Linotype"/>
        </w:rPr>
        <w:t>En fecha siete  de julio de dos mil veintidós, se notificó el acuerdo de ampliación de plazo para resolver el presente Recurso de Revisión, previsto en el artículo 181, tercer párrafo de la Ley de Transparencia y Acceso a la Información Pública del Estado de México y Municipios.</w:t>
      </w:r>
    </w:p>
    <w:p w14:paraId="78A1DEDE" w14:textId="77777777" w:rsidR="00E05C6C" w:rsidRDefault="00E05C6C">
      <w:pPr>
        <w:shd w:val="clear" w:color="auto" w:fill="FFFFFF"/>
        <w:spacing w:line="360" w:lineRule="auto"/>
        <w:jc w:val="both"/>
        <w:rPr>
          <w:rFonts w:ascii="Palatino Linotype" w:eastAsia="Palatino Linotype" w:hAnsi="Palatino Linotype" w:cs="Palatino Linotype"/>
        </w:rPr>
      </w:pPr>
    </w:p>
    <w:p w14:paraId="74EFE9E0" w14:textId="77777777" w:rsidR="00E05C6C" w:rsidRDefault="00982A5F">
      <w:pPr>
        <w:shd w:val="clear" w:color="auto" w:fill="FFFFFF"/>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Este organismo garante no pasa por alto justificar, que el plazo para emitir resolución en el presente asunto encuentra justificación en el alto número de recursos de revisión recibidos dentro del primer semestre del año dos mil veintidós, que, en comparación </w:t>
      </w:r>
      <w:r>
        <w:rPr>
          <w:rFonts w:ascii="Palatino Linotype" w:eastAsia="Palatino Linotype" w:hAnsi="Palatino Linotype" w:cs="Palatino Linotype"/>
        </w:rPr>
        <w:lastRenderedPageBreak/>
        <w:t>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32EC20B3" w14:textId="77777777" w:rsidR="00ED16C1" w:rsidRDefault="00982A5F">
      <w:pPr>
        <w:shd w:val="clear" w:color="auto" w:fill="FFFFFF"/>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w:t>
      </w:r>
      <w:r w:rsidR="00ED16C1">
        <w:rPr>
          <w:rFonts w:ascii="Palatino Linotype" w:eastAsia="Palatino Linotype" w:hAnsi="Palatino Linotype" w:cs="Palatino Linotype"/>
        </w:rPr>
        <w:t>entos análogos, como el que nos ocupa.</w:t>
      </w:r>
    </w:p>
    <w:p w14:paraId="27AF4347" w14:textId="77777777" w:rsidR="00ED16C1" w:rsidRDefault="00ED16C1">
      <w:pPr>
        <w:shd w:val="clear" w:color="auto" w:fill="FFFFFF"/>
        <w:spacing w:line="360" w:lineRule="auto"/>
        <w:jc w:val="both"/>
        <w:rPr>
          <w:rFonts w:ascii="Palatino Linotype" w:eastAsia="Palatino Linotype" w:hAnsi="Palatino Linotype" w:cs="Palatino Linotype"/>
        </w:rPr>
      </w:pPr>
    </w:p>
    <w:p w14:paraId="09B4C2E1" w14:textId="77777777" w:rsidR="00ED16C1" w:rsidRDefault="00982A5F">
      <w:pPr>
        <w:shd w:val="clear" w:color="auto" w:fill="FFFFFF"/>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w:t>
      </w:r>
      <w:r w:rsidR="00ED16C1">
        <w:rPr>
          <w:rFonts w:ascii="Palatino Linotype" w:eastAsia="Palatino Linotype" w:hAnsi="Palatino Linotype" w:cs="Palatino Linotype"/>
        </w:rPr>
        <w:t>sto es, en un plazo razonable.</w:t>
      </w:r>
    </w:p>
    <w:p w14:paraId="76A4DB2C" w14:textId="77777777" w:rsidR="00ED16C1" w:rsidRDefault="00ED16C1">
      <w:pPr>
        <w:shd w:val="clear" w:color="auto" w:fill="FFFFFF"/>
        <w:spacing w:line="360" w:lineRule="auto"/>
        <w:jc w:val="both"/>
        <w:rPr>
          <w:rFonts w:ascii="Palatino Linotype" w:eastAsia="Palatino Linotype" w:hAnsi="Palatino Linotype" w:cs="Palatino Linotype"/>
        </w:rPr>
      </w:pPr>
    </w:p>
    <w:p w14:paraId="2D7911FC" w14:textId="77777777" w:rsidR="00ED16C1" w:rsidRDefault="00982A5F">
      <w:pPr>
        <w:shd w:val="clear" w:color="auto" w:fill="FFFFFF"/>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w:t>
      </w:r>
      <w:r w:rsidR="00ED16C1">
        <w:rPr>
          <w:rFonts w:ascii="Palatino Linotype" w:eastAsia="Palatino Linotype" w:hAnsi="Palatino Linotype" w:cs="Palatino Linotype"/>
        </w:rPr>
        <w:t>o de casos que conocen.</w:t>
      </w:r>
    </w:p>
    <w:p w14:paraId="18B3B2B6" w14:textId="77777777" w:rsidR="00ED16C1" w:rsidRDefault="00ED16C1">
      <w:pPr>
        <w:shd w:val="clear" w:color="auto" w:fill="FFFFFF"/>
        <w:spacing w:line="360" w:lineRule="auto"/>
        <w:jc w:val="both"/>
        <w:rPr>
          <w:rFonts w:ascii="Palatino Linotype" w:eastAsia="Palatino Linotype" w:hAnsi="Palatino Linotype" w:cs="Palatino Linotype"/>
        </w:rPr>
      </w:pPr>
    </w:p>
    <w:p w14:paraId="40DBB281" w14:textId="77777777" w:rsidR="00ED16C1" w:rsidRDefault="00982A5F">
      <w:pPr>
        <w:shd w:val="clear" w:color="auto" w:fill="FFFFFF"/>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Por ello, excepcionalmente, si un asunto es resuelto con posterioridad a los plazos señalados por la norma debe analizarse la razonabilidad del tiempo necesario para su resolución, atent</w:t>
      </w:r>
      <w:r w:rsidR="00ED16C1">
        <w:rPr>
          <w:rFonts w:ascii="Palatino Linotype" w:eastAsia="Palatino Linotype" w:hAnsi="Palatino Linotype" w:cs="Palatino Linotype"/>
        </w:rPr>
        <w:t>os a los siguientes criterios:</w:t>
      </w:r>
    </w:p>
    <w:p w14:paraId="475BD628" w14:textId="77777777" w:rsidR="00ED16C1" w:rsidRDefault="00ED16C1">
      <w:pPr>
        <w:shd w:val="clear" w:color="auto" w:fill="FFFFFF"/>
        <w:spacing w:line="360" w:lineRule="auto"/>
        <w:jc w:val="both"/>
        <w:rPr>
          <w:rFonts w:ascii="Palatino Linotype" w:eastAsia="Palatino Linotype" w:hAnsi="Palatino Linotype" w:cs="Palatino Linotype"/>
        </w:rPr>
      </w:pPr>
    </w:p>
    <w:p w14:paraId="29338776" w14:textId="77777777" w:rsidR="00ED16C1" w:rsidRDefault="00982A5F">
      <w:pPr>
        <w:shd w:val="clear" w:color="auto" w:fill="FFFFFF"/>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      Complejidad del asunto: La complejidad de la prueba, la pluralidad de sujetos procesales, el tiempo transcurrido, las características y contexto del recurso.</w:t>
      </w:r>
      <w:r>
        <w:rPr>
          <w:rFonts w:ascii="Palatino Linotype" w:eastAsia="Palatino Linotype" w:hAnsi="Palatino Linotype" w:cs="Palatino Linotype"/>
        </w:rPr>
        <w:br/>
        <w:t>b)     Actividad Procesal del interesado: Acciones u omisiones del interesado.</w:t>
      </w:r>
      <w:r>
        <w:rPr>
          <w:rFonts w:ascii="Palatino Linotype" w:eastAsia="Palatino Linotype" w:hAnsi="Palatino Linotype" w:cs="Palatino Linotype"/>
        </w:rPr>
        <w:br/>
        <w:t>c)      Conducta de la Autoridad: Las Acciones u omisiones realizadas en el procedimiento. Así como si la autoridad actuó con la debida diligencia.</w:t>
      </w:r>
      <w:r>
        <w:rPr>
          <w:rFonts w:ascii="Palatino Linotype" w:eastAsia="Palatino Linotype" w:hAnsi="Palatino Linotype" w:cs="Palatino Linotype"/>
        </w:rPr>
        <w:br/>
        <w:t>d) La afectación generada en la situación jurídica de la persona involucrada en el proceso: Vio</w:t>
      </w:r>
      <w:r w:rsidR="00ED16C1">
        <w:rPr>
          <w:rFonts w:ascii="Palatino Linotype" w:eastAsia="Palatino Linotype" w:hAnsi="Palatino Linotype" w:cs="Palatino Linotype"/>
        </w:rPr>
        <w:t>lación a sus derechos humanos.</w:t>
      </w:r>
    </w:p>
    <w:p w14:paraId="38E085EC" w14:textId="77777777" w:rsidR="00ED16C1" w:rsidRDefault="00ED16C1">
      <w:pPr>
        <w:shd w:val="clear" w:color="auto" w:fill="FFFFFF"/>
        <w:spacing w:line="360" w:lineRule="auto"/>
        <w:jc w:val="both"/>
        <w:rPr>
          <w:rFonts w:ascii="Palatino Linotype" w:eastAsia="Palatino Linotype" w:hAnsi="Palatino Linotype" w:cs="Palatino Linotype"/>
        </w:rPr>
      </w:pPr>
    </w:p>
    <w:p w14:paraId="187E7039" w14:textId="77777777" w:rsidR="00ED16C1" w:rsidRDefault="00982A5F">
      <w:pPr>
        <w:shd w:val="clear" w:color="auto" w:fill="FFFFFF"/>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w:t>
      </w:r>
      <w:r w:rsidR="00ED16C1">
        <w:rPr>
          <w:rFonts w:ascii="Palatino Linotype" w:eastAsia="Palatino Linotype" w:hAnsi="Palatino Linotype" w:cs="Palatino Linotype"/>
        </w:rPr>
        <w:t>cido en el caso que nos ocupa.</w:t>
      </w:r>
    </w:p>
    <w:p w14:paraId="45A40B1B" w14:textId="77777777" w:rsidR="00ED16C1" w:rsidRDefault="00ED16C1">
      <w:pPr>
        <w:shd w:val="clear" w:color="auto" w:fill="FFFFFF"/>
        <w:spacing w:line="360" w:lineRule="auto"/>
        <w:jc w:val="both"/>
        <w:rPr>
          <w:rFonts w:ascii="Palatino Linotype" w:eastAsia="Palatino Linotype" w:hAnsi="Palatino Linotype" w:cs="Palatino Linotype"/>
        </w:rPr>
      </w:pPr>
    </w:p>
    <w:p w14:paraId="414AE0D4" w14:textId="77777777" w:rsidR="00E05C6C" w:rsidRDefault="00982A5F">
      <w:pPr>
        <w:shd w:val="clear" w:color="auto" w:fill="FFFFFF"/>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w:t>
      </w:r>
      <w:r>
        <w:rPr>
          <w:rFonts w:ascii="Palatino Linotype" w:eastAsia="Palatino Linotype" w:hAnsi="Palatino Linotype" w:cs="Palatino Linotype"/>
        </w:rPr>
        <w:lastRenderedPageBreak/>
        <w:t>EL LEGISLADOR AL FIJARLOS Y LAS CARACTERÍSTICAS DEL CASO.”, visible en la Gaceta del Seminario Judicial de la Federación con el registro digital 205635.</w:t>
      </w:r>
    </w:p>
    <w:p w14:paraId="709FEC92" w14:textId="77777777" w:rsidR="00E05C6C" w:rsidRDefault="00982A5F">
      <w:pPr>
        <w:shd w:val="clear" w:color="auto" w:fill="FFFFFF"/>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br/>
      </w:r>
      <w:r>
        <w:rPr>
          <w:rFonts w:ascii="Palatino Linotype" w:eastAsia="Palatino Linotype" w:hAnsi="Palatino Linotype" w:cs="Palatino Linotype"/>
        </w:rPr>
        <w:b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r>
        <w:rPr>
          <w:rFonts w:ascii="Palatino Linotype" w:eastAsia="Palatino Linotype" w:hAnsi="Palatino Linotype" w:cs="Palatino Linotype"/>
        </w:rPr>
        <w:br/>
      </w:r>
      <w:r>
        <w:rPr>
          <w:rFonts w:ascii="Palatino Linotype" w:eastAsia="Palatino Linotype" w:hAnsi="Palatino Linotype" w:cs="Palatino Linotype"/>
        </w:rPr>
        <w:br/>
        <w:t>Al respecto, también son de considerar los criterios sostenidos por el Cuarto Tribunal Colegiado en Materia Administrativa del Primer Circuito, cuyos rubros y datos de identificación son los siguientes:</w:t>
      </w:r>
      <w:r>
        <w:rPr>
          <w:rFonts w:ascii="Palatino Linotype" w:eastAsia="Palatino Linotype" w:hAnsi="Palatino Linotype" w:cs="Palatino Linotype"/>
        </w:rPr>
        <w:br/>
      </w:r>
      <w:r>
        <w:rPr>
          <w:rFonts w:ascii="Palatino Linotype" w:eastAsia="Palatino Linotype" w:hAnsi="Palatino Linotype" w:cs="Palatino Linotype"/>
        </w:rPr>
        <w:br/>
        <w:t>“PLAZO RAZONABLE PARA RESOLVER. DIMENSIÓN Y EFECTOS DE ESTE CONCEPTO CUANDO SE ADUCE EXCESIVA CARGA DE TRABAJO.” consultable en el Seminario Judicial de la Federación y su gaceta, con el registro digital 2002351.</w:t>
      </w:r>
      <w:r>
        <w:rPr>
          <w:rFonts w:ascii="Palatino Linotype" w:eastAsia="Palatino Linotype" w:hAnsi="Palatino Linotype" w:cs="Palatino Linotype"/>
        </w:rPr>
        <w:br/>
      </w:r>
      <w:r>
        <w:rPr>
          <w:rFonts w:ascii="Palatino Linotype" w:eastAsia="Palatino Linotype" w:hAnsi="Palatino Linotype" w:cs="Palatino Linotype"/>
        </w:rPr>
        <w:lastRenderedPageBreak/>
        <w:br/>
        <w:t>“PLAZO RAZONABLE PARA RESOLVER. CONCEPTO Y ELEMENTOS QUE LO INTEGRAN A LA LUZ DEL DERECHO INTERNACIONAL DE LOS DERECHOS HUMANOS.”, visible en el Seminario Judicial de la Federación y su gaceta, con el registro digital 2002350.</w:t>
      </w:r>
      <w:r>
        <w:rPr>
          <w:rFonts w:ascii="Palatino Linotype" w:eastAsia="Palatino Linotype" w:hAnsi="Palatino Linotype" w:cs="Palatino Linotype"/>
        </w:rPr>
        <w:br/>
      </w:r>
      <w:r>
        <w:rPr>
          <w:rFonts w:ascii="Palatino Linotype" w:eastAsia="Palatino Linotype" w:hAnsi="Palatino Linotype" w:cs="Palatino Linotype"/>
        </w:rPr>
        <w:br/>
        <w:t>Por ello, este organismo garante comprometido con la tutela de los derechos humanos confiados, señala que este exceso del plazo legal para resolver el presente asunto, resulta de carácter excepcional.</w:t>
      </w:r>
    </w:p>
    <w:p w14:paraId="424388C9" w14:textId="77777777" w:rsidR="00E05C6C" w:rsidRDefault="00E05C6C">
      <w:pPr>
        <w:spacing w:line="360" w:lineRule="auto"/>
        <w:jc w:val="both"/>
        <w:rPr>
          <w:rFonts w:ascii="Palatino Linotype" w:eastAsia="Palatino Linotype" w:hAnsi="Palatino Linotype" w:cs="Palatino Linotype"/>
        </w:rPr>
      </w:pPr>
    </w:p>
    <w:p w14:paraId="33E368A7" w14:textId="77777777" w:rsidR="00E05C6C" w:rsidRDefault="00E05C6C">
      <w:pPr>
        <w:spacing w:line="360" w:lineRule="auto"/>
        <w:jc w:val="both"/>
        <w:rPr>
          <w:rFonts w:ascii="Palatino Linotype" w:eastAsia="Palatino Linotype" w:hAnsi="Palatino Linotype" w:cs="Palatino Linotype"/>
        </w:rPr>
      </w:pPr>
    </w:p>
    <w:p w14:paraId="36329C25" w14:textId="77777777" w:rsidR="00E05C6C" w:rsidRDefault="00982A5F">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d) Cierre de Instrucción</w:t>
      </w:r>
    </w:p>
    <w:p w14:paraId="4E9D0A3D" w14:textId="77777777" w:rsidR="00E05C6C" w:rsidRDefault="00982A5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que, una vez analizado el estado procesal que guarda el expediente, en fecha once de agosto de dos mil veintidós, la </w:t>
      </w:r>
      <w:r>
        <w:rPr>
          <w:rFonts w:ascii="Palatino Linotype" w:eastAsia="Palatino Linotype" w:hAnsi="Palatino Linotype" w:cs="Palatino Linotype"/>
          <w:b/>
        </w:rPr>
        <w:t xml:space="preserve">Comisionada Sharon Cristina Morales Martínez </w:t>
      </w:r>
      <w:r>
        <w:rPr>
          <w:rFonts w:ascii="Palatino Linotype" w:eastAsia="Palatino Linotype" w:hAnsi="Palatino Linotype" w:cs="Palatino Linotype"/>
        </w:rPr>
        <w:t xml:space="preserve">acordó el cierre de instrucción, así como la remisión del mismo, a efecto de ser resuelto, de conformidad con lo establecido en el artículo 185 fracciones VI y VIII de la Ley de Transparencia y Acceso a la Información Pública del Estado de México y Municipios. </w:t>
      </w:r>
    </w:p>
    <w:p w14:paraId="799E94FB" w14:textId="77777777" w:rsidR="00E05C6C" w:rsidRDefault="00E05C6C">
      <w:pPr>
        <w:rPr>
          <w:rFonts w:ascii="Palatino Linotype" w:eastAsia="Palatino Linotype" w:hAnsi="Palatino Linotype" w:cs="Palatino Linotype"/>
          <w:b/>
          <w:sz w:val="28"/>
          <w:szCs w:val="28"/>
        </w:rPr>
      </w:pPr>
    </w:p>
    <w:p w14:paraId="53C664AF" w14:textId="77777777" w:rsidR="00E05C6C" w:rsidRDefault="00E05C6C">
      <w:pPr>
        <w:jc w:val="center"/>
        <w:rPr>
          <w:rFonts w:ascii="Palatino Linotype" w:eastAsia="Palatino Linotype" w:hAnsi="Palatino Linotype" w:cs="Palatino Linotype"/>
          <w:b/>
          <w:sz w:val="28"/>
          <w:szCs w:val="28"/>
        </w:rPr>
      </w:pPr>
    </w:p>
    <w:p w14:paraId="7D115F05" w14:textId="77777777" w:rsidR="00E05C6C" w:rsidRDefault="00982A5F">
      <w:pPr>
        <w:jc w:val="center"/>
        <w:rPr>
          <w:rFonts w:ascii="Palatino Linotype" w:eastAsia="Palatino Linotype" w:hAnsi="Palatino Linotype" w:cs="Palatino Linotype"/>
          <w:b/>
          <w:sz w:val="28"/>
          <w:szCs w:val="28"/>
        </w:rPr>
      </w:pPr>
      <w:r>
        <w:rPr>
          <w:rFonts w:ascii="Palatino Linotype" w:eastAsia="Palatino Linotype" w:hAnsi="Palatino Linotype" w:cs="Palatino Linotype"/>
          <w:b/>
          <w:sz w:val="28"/>
          <w:szCs w:val="28"/>
        </w:rPr>
        <w:t>CONSIDERANDO</w:t>
      </w:r>
    </w:p>
    <w:p w14:paraId="1E772DAB" w14:textId="77777777" w:rsidR="00E05C6C" w:rsidRDefault="00E05C6C">
      <w:pPr>
        <w:jc w:val="center"/>
        <w:rPr>
          <w:rFonts w:ascii="Palatino Linotype" w:eastAsia="Palatino Linotype" w:hAnsi="Palatino Linotype" w:cs="Palatino Linotype"/>
          <w:b/>
          <w:sz w:val="28"/>
          <w:szCs w:val="28"/>
        </w:rPr>
      </w:pPr>
    </w:p>
    <w:p w14:paraId="5D1FAD7F" w14:textId="77777777" w:rsidR="00E05C6C" w:rsidRDefault="00982A5F">
      <w:pPr>
        <w:widowControl w:val="0"/>
        <w:tabs>
          <w:tab w:val="left" w:pos="1701"/>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sz w:val="28"/>
          <w:szCs w:val="28"/>
        </w:rPr>
        <w:t>PRIMERO.</w:t>
      </w:r>
      <w:r>
        <w:rPr>
          <w:rFonts w:ascii="Palatino Linotype" w:eastAsia="Palatino Linotype" w:hAnsi="Palatino Linotype" w:cs="Palatino Linotype"/>
          <w:b/>
        </w:rPr>
        <w:t xml:space="preserve"> Competencia</w:t>
      </w:r>
      <w:r>
        <w:rPr>
          <w:rFonts w:ascii="Palatino Linotype" w:eastAsia="Palatino Linotype" w:hAnsi="Palatino Linotype" w:cs="Palatino Linotype"/>
        </w:rPr>
        <w:t>.</w:t>
      </w:r>
      <w:r>
        <w:rPr>
          <w:rFonts w:ascii="Palatino Linotype" w:eastAsia="Palatino Linotype" w:hAnsi="Palatino Linotype" w:cs="Palatino Linotype"/>
          <w:b/>
        </w:rPr>
        <w:t xml:space="preserve"> </w:t>
      </w:r>
    </w:p>
    <w:p w14:paraId="234FB9B4" w14:textId="77777777" w:rsidR="00E05C6C" w:rsidRDefault="00982A5F">
      <w:pPr>
        <w:widowControl w:val="0"/>
        <w:tabs>
          <w:tab w:val="left" w:pos="1701"/>
        </w:tabs>
        <w:spacing w:line="360" w:lineRule="auto"/>
        <w:jc w:val="both"/>
        <w:rPr>
          <w:rFonts w:ascii="Palatino Linotype" w:eastAsia="Palatino Linotype" w:hAnsi="Palatino Linotype" w:cs="Palatino Linotype"/>
        </w:rPr>
      </w:pPr>
      <w:bookmarkStart w:id="3" w:name="_heading=h.3znysh7" w:colFirst="0" w:colLast="0"/>
      <w:bookmarkEnd w:id="3"/>
      <w:r>
        <w:rPr>
          <w:rFonts w:ascii="Palatino Linotype" w:eastAsia="Palatino Linotype" w:hAnsi="Palatino Linotype" w:cs="Palatino Linotype"/>
        </w:rPr>
        <w:lastRenderedPageBreak/>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4493FCB1" w14:textId="77777777" w:rsidR="00E05C6C" w:rsidRDefault="00E05C6C">
      <w:pPr>
        <w:spacing w:line="360" w:lineRule="auto"/>
        <w:jc w:val="both"/>
        <w:rPr>
          <w:rFonts w:ascii="Palatino Linotype" w:eastAsia="Palatino Linotype" w:hAnsi="Palatino Linotype" w:cs="Palatino Linotype"/>
          <w:b/>
          <w:sz w:val="28"/>
          <w:szCs w:val="28"/>
        </w:rPr>
      </w:pPr>
    </w:p>
    <w:p w14:paraId="7C51E505" w14:textId="77777777" w:rsidR="00E05C6C" w:rsidRDefault="00982A5F">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sz w:val="28"/>
          <w:szCs w:val="28"/>
        </w:rPr>
        <w:t>SEGUNDO</w:t>
      </w:r>
      <w:r>
        <w:rPr>
          <w:rFonts w:ascii="Palatino Linotype" w:eastAsia="Palatino Linotype" w:hAnsi="Palatino Linotype" w:cs="Palatino Linotype"/>
          <w:b/>
        </w:rPr>
        <w:t xml:space="preserve">. Interés. </w:t>
      </w:r>
    </w:p>
    <w:p w14:paraId="6CCBDF09" w14:textId="77777777" w:rsidR="00E05C6C" w:rsidRDefault="00982A5F">
      <w:pP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rPr>
        <w:t>El</w:t>
      </w:r>
      <w:r>
        <w:rPr>
          <w:rFonts w:ascii="Palatino Linotype" w:eastAsia="Palatino Linotype" w:hAnsi="Palatino Linotype" w:cs="Palatino Linotype"/>
          <w:color w:val="000000"/>
        </w:rPr>
        <w:t xml:space="preserve"> Recurso de Revisión materia del presente estudio fue interpuesto por parte legítima, en atención a que se presentó por </w:t>
      </w:r>
      <w:r>
        <w:rPr>
          <w:rFonts w:ascii="Palatino Linotype" w:eastAsia="Palatino Linotype" w:hAnsi="Palatino Linotype" w:cs="Palatino Linotype"/>
          <w:b/>
        </w:rPr>
        <w:t>EL</w:t>
      </w:r>
      <w:r>
        <w:rPr>
          <w:rFonts w:ascii="Palatino Linotype" w:eastAsia="Palatino Linotype" w:hAnsi="Palatino Linotype" w:cs="Palatino Linotype"/>
          <w:b/>
          <w:color w:val="000000"/>
        </w:rPr>
        <w:t xml:space="preserve"> RECURRENTE,</w:t>
      </w:r>
      <w:r>
        <w:rPr>
          <w:rFonts w:ascii="Palatino Linotype" w:eastAsia="Palatino Linotype" w:hAnsi="Palatino Linotype" w:cs="Palatino Linotype"/>
          <w:color w:val="000000"/>
        </w:rPr>
        <w:t xml:space="preserve"> quien es la misma persona que formuló la solicitud de acceso a la información pública al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 xml:space="preserve">pues para ello, es necesario que el particular ingrese al </w:t>
      </w:r>
      <w:r>
        <w:rPr>
          <w:rFonts w:ascii="Palatino Linotype" w:eastAsia="Palatino Linotype" w:hAnsi="Palatino Linotype" w:cs="Palatino Linotype"/>
          <w:b/>
          <w:color w:val="000000"/>
        </w:rPr>
        <w:t xml:space="preserve">SAIMEX </w:t>
      </w:r>
      <w:r>
        <w:rPr>
          <w:rFonts w:ascii="Palatino Linotype" w:eastAsia="Palatino Linotype" w:hAnsi="Palatino Linotype" w:cs="Palatino Linotype"/>
          <w:color w:val="000000"/>
        </w:rPr>
        <w:t>mediante la utilización de su clave de usuario y contraseña.</w:t>
      </w:r>
    </w:p>
    <w:p w14:paraId="64383D99" w14:textId="77777777" w:rsidR="00E05C6C" w:rsidRDefault="00E05C6C">
      <w:pPr>
        <w:tabs>
          <w:tab w:val="center" w:pos="4252"/>
          <w:tab w:val="right" w:pos="8504"/>
        </w:tabs>
        <w:spacing w:line="360" w:lineRule="auto"/>
        <w:ind w:left="-57"/>
        <w:jc w:val="both"/>
        <w:rPr>
          <w:rFonts w:ascii="Palatino Linotype" w:eastAsia="Palatino Linotype" w:hAnsi="Palatino Linotype" w:cs="Palatino Linotype"/>
          <w:b/>
          <w:sz w:val="28"/>
          <w:szCs w:val="28"/>
        </w:rPr>
      </w:pPr>
    </w:p>
    <w:p w14:paraId="5CA014FC" w14:textId="77777777" w:rsidR="00E05C6C" w:rsidRDefault="00982A5F">
      <w:pPr>
        <w:tabs>
          <w:tab w:val="center" w:pos="4252"/>
          <w:tab w:val="right" w:pos="8504"/>
        </w:tabs>
        <w:spacing w:line="360" w:lineRule="auto"/>
        <w:ind w:left="-57"/>
        <w:jc w:val="both"/>
        <w:rPr>
          <w:rFonts w:ascii="Palatino Linotype" w:eastAsia="Palatino Linotype" w:hAnsi="Palatino Linotype" w:cs="Palatino Linotype"/>
          <w:color w:val="000000"/>
        </w:rPr>
      </w:pPr>
      <w:r>
        <w:rPr>
          <w:rFonts w:ascii="Palatino Linotype" w:eastAsia="Palatino Linotype" w:hAnsi="Palatino Linotype" w:cs="Palatino Linotype"/>
          <w:b/>
          <w:sz w:val="28"/>
          <w:szCs w:val="28"/>
        </w:rPr>
        <w:t>TERCERO.</w:t>
      </w:r>
      <w:r>
        <w:rPr>
          <w:rFonts w:ascii="Palatino Linotype" w:eastAsia="Palatino Linotype" w:hAnsi="Palatino Linotype" w:cs="Palatino Linotype"/>
        </w:rPr>
        <w:t xml:space="preserve"> </w:t>
      </w:r>
      <w:r>
        <w:rPr>
          <w:rFonts w:ascii="Palatino Linotype" w:eastAsia="Palatino Linotype" w:hAnsi="Palatino Linotype" w:cs="Palatino Linotype"/>
          <w:b/>
          <w:color w:val="000000"/>
        </w:rPr>
        <w:t>Oportunidad</w:t>
      </w:r>
      <w:r>
        <w:rPr>
          <w:rFonts w:ascii="Palatino Linotype" w:eastAsia="Palatino Linotype" w:hAnsi="Palatino Linotype" w:cs="Palatino Linotype"/>
          <w:color w:val="000000"/>
        </w:rPr>
        <w:t xml:space="preserve">. </w:t>
      </w:r>
    </w:p>
    <w:p w14:paraId="0451F1CD" w14:textId="77777777" w:rsidR="00E05C6C" w:rsidRDefault="00982A5F">
      <w:pPr>
        <w:widowControl w:val="0"/>
        <w:tabs>
          <w:tab w:val="left" w:pos="1701"/>
        </w:tabs>
        <w:spacing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rPr>
        <w:t xml:space="preserve">El Recurso de Revisión fue interpuesto dentro del plazo de quince días hábiles, contados a partir del día siguiente al que </w:t>
      </w:r>
      <w:r>
        <w:rPr>
          <w:rFonts w:ascii="Palatino Linotype" w:eastAsia="Palatino Linotype" w:hAnsi="Palatino Linotype" w:cs="Palatino Linotype"/>
          <w:b/>
        </w:rPr>
        <w:t xml:space="preserve">EL RECURRENTE </w:t>
      </w:r>
      <w:r>
        <w:rPr>
          <w:rFonts w:ascii="Palatino Linotype" w:eastAsia="Palatino Linotype" w:hAnsi="Palatino Linotype" w:cs="Palatino Linotype"/>
        </w:rPr>
        <w:t xml:space="preserve">tuvo conocimiento de la respuesta impugnada; tal y como, lo prevé el artículo 178 de la Ley de Transparencia </w:t>
      </w:r>
      <w:r>
        <w:rPr>
          <w:rFonts w:ascii="Palatino Linotype" w:eastAsia="Palatino Linotype" w:hAnsi="Palatino Linotype" w:cs="Palatino Linotype"/>
        </w:rPr>
        <w:lastRenderedPageBreak/>
        <w:t>y Acceso a la Información Pública del Estado de México y Municipios, que establece:</w:t>
      </w:r>
    </w:p>
    <w:p w14:paraId="56B5E850" w14:textId="77777777" w:rsidR="00E05C6C" w:rsidRDefault="00E05C6C">
      <w:pPr>
        <w:ind w:left="720" w:right="709"/>
        <w:jc w:val="both"/>
        <w:rPr>
          <w:rFonts w:ascii="Palatino Linotype" w:eastAsia="Palatino Linotype" w:hAnsi="Palatino Linotype" w:cs="Palatino Linotype"/>
          <w:i/>
          <w:sz w:val="22"/>
          <w:szCs w:val="22"/>
        </w:rPr>
      </w:pPr>
    </w:p>
    <w:p w14:paraId="1B9E30A9" w14:textId="77777777" w:rsidR="00E05C6C" w:rsidRDefault="00982A5F">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178.</w:t>
      </w:r>
      <w:r>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1EBD96F1" w14:textId="77777777" w:rsidR="00E05C6C" w:rsidRDefault="00E05C6C">
      <w:pPr>
        <w:ind w:left="851" w:right="899"/>
        <w:jc w:val="both"/>
        <w:rPr>
          <w:rFonts w:ascii="Palatino Linotype" w:eastAsia="Palatino Linotype" w:hAnsi="Palatino Linotype" w:cs="Palatino Linotype"/>
          <w:i/>
          <w:sz w:val="22"/>
          <w:szCs w:val="22"/>
        </w:rPr>
      </w:pPr>
    </w:p>
    <w:p w14:paraId="6A546354" w14:textId="77777777" w:rsidR="00E05C6C" w:rsidRDefault="00982A5F">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42738E2B" w14:textId="77777777" w:rsidR="00E05C6C" w:rsidRDefault="00E05C6C">
      <w:pPr>
        <w:ind w:left="851" w:right="899"/>
        <w:jc w:val="both"/>
        <w:rPr>
          <w:rFonts w:ascii="Palatino Linotype" w:eastAsia="Palatino Linotype" w:hAnsi="Palatino Linotype" w:cs="Palatino Linotype"/>
          <w:i/>
          <w:sz w:val="22"/>
          <w:szCs w:val="22"/>
        </w:rPr>
      </w:pPr>
    </w:p>
    <w:p w14:paraId="6621DCBD" w14:textId="77777777" w:rsidR="00E05C6C" w:rsidRDefault="00982A5F">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el caso de que se interponga ante la Unidad de Transparencia, ésta deberá remitir el Recurso de Revisión al Instituto a más tardar al día siguiente de haberlo recibido.”</w:t>
      </w:r>
    </w:p>
    <w:p w14:paraId="3C1E25B0" w14:textId="77777777" w:rsidR="00E05C6C" w:rsidRDefault="00E05C6C">
      <w:pPr>
        <w:ind w:left="720" w:right="709"/>
        <w:jc w:val="both"/>
        <w:rPr>
          <w:rFonts w:ascii="Palatino Linotype" w:eastAsia="Palatino Linotype" w:hAnsi="Palatino Linotype" w:cs="Palatino Linotype"/>
          <w:i/>
          <w:sz w:val="22"/>
          <w:szCs w:val="22"/>
        </w:rPr>
      </w:pPr>
    </w:p>
    <w:p w14:paraId="6B98A168" w14:textId="77777777" w:rsidR="00E05C6C" w:rsidRDefault="00982A5F">
      <w:pPr>
        <w:spacing w:line="360" w:lineRule="auto"/>
        <w:jc w:val="both"/>
        <w:rPr>
          <w:rFonts w:ascii="Palatino Linotype" w:eastAsia="Palatino Linotype" w:hAnsi="Palatino Linotype" w:cs="Palatino Linotype"/>
        </w:rPr>
      </w:pPr>
      <w:bookmarkStart w:id="4" w:name="_heading=h.2et92p0" w:colFirst="0" w:colLast="0"/>
      <w:bookmarkEnd w:id="4"/>
      <w:r>
        <w:rPr>
          <w:rFonts w:ascii="Palatino Linotype" w:eastAsia="Palatino Linotype" w:hAnsi="Palatino Linotype" w:cs="Palatino Linotype"/>
        </w:rPr>
        <w:t xml:space="preserve">En esa tesitura, atendiendo a que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notificó la respuesta a la solicitud de acceso a la información pública el día</w:t>
      </w:r>
      <w:r>
        <w:rPr>
          <w:rFonts w:ascii="Palatino Linotype" w:eastAsia="Palatino Linotype" w:hAnsi="Palatino Linotype" w:cs="Palatino Linotype"/>
          <w:b/>
        </w:rPr>
        <w:t xml:space="preserve"> tres de mayo de dos mil veintidós</w:t>
      </w:r>
      <w:r>
        <w:rPr>
          <w:rFonts w:ascii="Palatino Linotype" w:eastAsia="Palatino Linotype" w:hAnsi="Palatino Linotype" w:cs="Palatino Linotype"/>
        </w:rPr>
        <w:t xml:space="preserve">, así el plazo de quince días hábiles que el artículo 178 de la Ley de la materia otorga al </w:t>
      </w:r>
      <w:r>
        <w:rPr>
          <w:rFonts w:ascii="Palatino Linotype" w:eastAsia="Palatino Linotype" w:hAnsi="Palatino Linotype" w:cs="Palatino Linotype"/>
          <w:b/>
        </w:rPr>
        <w:t xml:space="preserve"> RECURRENTE</w:t>
      </w:r>
      <w:r>
        <w:rPr>
          <w:rFonts w:ascii="Palatino Linotype" w:eastAsia="Palatino Linotype" w:hAnsi="Palatino Linotype" w:cs="Palatino Linotype"/>
        </w:rPr>
        <w:t xml:space="preserve"> para presentar el respectivo Recurso de Revisión, transcurrió del</w:t>
      </w:r>
      <w:r>
        <w:rPr>
          <w:rFonts w:ascii="Palatino Linotype" w:eastAsia="Palatino Linotype" w:hAnsi="Palatino Linotype" w:cs="Palatino Linotype"/>
          <w:b/>
        </w:rPr>
        <w:t xml:space="preserve"> cuatro al veinticinco de mayo de dos mil veintidós, </w:t>
      </w:r>
      <w:r>
        <w:rPr>
          <w:rFonts w:ascii="Palatino Linotype" w:eastAsia="Palatino Linotype" w:hAnsi="Palatino Linotype" w:cs="Palatino Linotype"/>
        </w:rPr>
        <w:t xml:space="preserve">sin contemplar en el cómputo los días siete, ocho, catorce, quince, veintiuno y veintidós  de mayo, por corresponder a sábados y domingos, considerados como días inhábiles, en términos del artículo 3, fracción X de la Ley de Transparencia y Acceso a la Información Pública del Estado de México y Municipios. Exceptuando además de dicho plazo el día cinco de mayo por ser considerado como día inhábil  por suspensión de labores en términos del Calendario Oficial en Materia de Transparencia, Acceso a la Información Pública y Protección de Datos Personales del Estado de México y Municipios, así como de labores </w:t>
      </w:r>
      <w:r>
        <w:rPr>
          <w:rFonts w:ascii="Palatino Linotype" w:eastAsia="Palatino Linotype" w:hAnsi="Palatino Linotype" w:cs="Palatino Linotype"/>
        </w:rPr>
        <w:lastRenderedPageBreak/>
        <w:t>del Instituto para el año dos mil veintidós y enero dos mil veintitrés, publicado en el Periódico Oficial “Gaceta del Gobierno”, el veintidós de diciembre de dos mil veintiuno</w:t>
      </w:r>
      <w:r>
        <w:rPr>
          <w:rFonts w:ascii="Palatino Linotype" w:eastAsia="Palatino Linotype" w:hAnsi="Palatino Linotype" w:cs="Palatino Linotype"/>
          <w:vertAlign w:val="superscript"/>
        </w:rPr>
        <w:footnoteReference w:id="1"/>
      </w:r>
      <w:r>
        <w:rPr>
          <w:rFonts w:ascii="Palatino Linotype" w:eastAsia="Palatino Linotype" w:hAnsi="Palatino Linotype" w:cs="Palatino Linotype"/>
        </w:rPr>
        <w:t>.</w:t>
      </w:r>
    </w:p>
    <w:p w14:paraId="59751621" w14:textId="77777777" w:rsidR="00E05C6C" w:rsidRDefault="00E05C6C">
      <w:pPr>
        <w:spacing w:line="360" w:lineRule="auto"/>
        <w:jc w:val="both"/>
        <w:rPr>
          <w:rFonts w:ascii="Palatino Linotype" w:eastAsia="Palatino Linotype" w:hAnsi="Palatino Linotype" w:cs="Palatino Linotype"/>
        </w:rPr>
      </w:pPr>
      <w:bookmarkStart w:id="5" w:name="_heading=h.orkc3o7h9xbv" w:colFirst="0" w:colLast="0"/>
      <w:bookmarkEnd w:id="5"/>
    </w:p>
    <w:p w14:paraId="7BDED9DC" w14:textId="77777777" w:rsidR="00E05C6C" w:rsidRDefault="00982A5F">
      <w:pPr>
        <w:spacing w:line="360" w:lineRule="auto"/>
        <w:ind w:left="-5" w:hanging="10"/>
        <w:jc w:val="both"/>
        <w:rPr>
          <w:rFonts w:ascii="Palatino Linotype" w:eastAsia="Palatino Linotype" w:hAnsi="Palatino Linotype" w:cs="Palatino Linotype"/>
        </w:rPr>
      </w:pPr>
      <w:r>
        <w:rPr>
          <w:rFonts w:ascii="Palatino Linotype" w:eastAsia="Palatino Linotype" w:hAnsi="Palatino Linotype" w:cs="Palatino Linotype"/>
        </w:rPr>
        <w:t xml:space="preserve">En ese tenor, se advierte que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presentó el medio de impugnación, el día dieciocho de mayo, luego entonces  su interposición se considera oportuna.  </w:t>
      </w:r>
    </w:p>
    <w:p w14:paraId="2F58C003" w14:textId="77777777" w:rsidR="00E05C6C" w:rsidRDefault="00E05C6C">
      <w:pPr>
        <w:spacing w:line="360" w:lineRule="auto"/>
        <w:ind w:right="49"/>
        <w:jc w:val="both"/>
        <w:rPr>
          <w:rFonts w:ascii="Palatino Linotype" w:eastAsia="Palatino Linotype" w:hAnsi="Palatino Linotype" w:cs="Palatino Linotype"/>
        </w:rPr>
      </w:pPr>
    </w:p>
    <w:p w14:paraId="7ACB0CED" w14:textId="77777777" w:rsidR="00E05C6C" w:rsidRDefault="00982A5F">
      <w:pPr>
        <w:spacing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b/>
          <w:sz w:val="28"/>
          <w:szCs w:val="28"/>
        </w:rPr>
        <w:t>CUARTO</w:t>
      </w:r>
      <w:r>
        <w:rPr>
          <w:rFonts w:ascii="Palatino Linotype" w:eastAsia="Palatino Linotype" w:hAnsi="Palatino Linotype" w:cs="Palatino Linotype"/>
          <w:b/>
        </w:rPr>
        <w:t xml:space="preserve">. Procedibilidad. </w:t>
      </w:r>
    </w:p>
    <w:p w14:paraId="5ABBD822" w14:textId="77777777" w:rsidR="00E05C6C" w:rsidRDefault="00982A5F">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Esta Ponencia considera importante precisar que conforme al artículo 180, fracción II, último párrafo de la Ley de Transparencia y Acceso a la Información Pública del Estado de México y Municipios, que prevé cuando las solicitudes se presenten de manera electrónica no es requisito indispensable el proporcionar el nombre, tal como se muestra a continuación: </w:t>
      </w:r>
    </w:p>
    <w:p w14:paraId="735F69E3" w14:textId="77777777" w:rsidR="00E05C6C" w:rsidRDefault="00E05C6C">
      <w:pPr>
        <w:ind w:right="49"/>
        <w:jc w:val="both"/>
        <w:rPr>
          <w:rFonts w:ascii="Palatino Linotype" w:eastAsia="Palatino Linotype" w:hAnsi="Palatino Linotype" w:cs="Palatino Linotype"/>
        </w:rPr>
      </w:pPr>
    </w:p>
    <w:p w14:paraId="2E6E2BFE" w14:textId="77777777" w:rsidR="00E05C6C" w:rsidRDefault="00982A5F">
      <w:pPr>
        <w:tabs>
          <w:tab w:val="left" w:pos="851"/>
        </w:tabs>
        <w:ind w:left="851" w:right="90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“Artículo 180. </w:t>
      </w:r>
      <w:r>
        <w:rPr>
          <w:rFonts w:ascii="Palatino Linotype" w:eastAsia="Palatino Linotype" w:hAnsi="Palatino Linotype" w:cs="Palatino Linotype"/>
          <w:i/>
          <w:sz w:val="22"/>
          <w:szCs w:val="22"/>
        </w:rPr>
        <w:t>El Recurso de Revisión contendrá:</w:t>
      </w:r>
      <w:r>
        <w:rPr>
          <w:rFonts w:ascii="Palatino Linotype" w:eastAsia="Palatino Linotype" w:hAnsi="Palatino Linotype" w:cs="Palatino Linotype"/>
          <w:b/>
          <w:i/>
          <w:sz w:val="22"/>
          <w:szCs w:val="22"/>
        </w:rPr>
        <w:t xml:space="preserve"> </w:t>
      </w:r>
    </w:p>
    <w:p w14:paraId="539A72EF" w14:textId="77777777" w:rsidR="00E05C6C" w:rsidRDefault="00982A5F">
      <w:pPr>
        <w:tabs>
          <w:tab w:val="left" w:pos="851"/>
        </w:tabs>
        <w:ind w:left="851" w:right="90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p>
    <w:p w14:paraId="6738157C" w14:textId="77777777" w:rsidR="00E05C6C" w:rsidRDefault="00982A5F">
      <w:pPr>
        <w:tabs>
          <w:tab w:val="left" w:pos="851"/>
        </w:tabs>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II. El nombre del solicitante que recurre </w:t>
      </w:r>
      <w:r>
        <w:rPr>
          <w:rFonts w:ascii="Palatino Linotype" w:eastAsia="Palatino Linotype" w:hAnsi="Palatino Linotype" w:cs="Palatino Linotype"/>
          <w:i/>
          <w:sz w:val="22"/>
          <w:szCs w:val="22"/>
        </w:rPr>
        <w:t>o de su representante y, en su caso, …</w:t>
      </w:r>
    </w:p>
    <w:p w14:paraId="6D9D2E01" w14:textId="77777777" w:rsidR="00E05C6C" w:rsidRDefault="00982A5F">
      <w:pPr>
        <w:tabs>
          <w:tab w:val="left" w:pos="851"/>
        </w:tabs>
        <w:ind w:left="851" w:right="90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En caso de que el recurso se interponga de manera electrónica no será indispensable que contengan los requisitos establecidos en las fracciones II</w:t>
      </w:r>
      <w:r>
        <w:rPr>
          <w:rFonts w:ascii="Palatino Linotype" w:eastAsia="Palatino Linotype" w:hAnsi="Palatino Linotype" w:cs="Palatino Linotype"/>
          <w:i/>
          <w:sz w:val="22"/>
          <w:szCs w:val="22"/>
        </w:rPr>
        <w:t>, IV, VII y VIII.</w:t>
      </w:r>
      <w:r>
        <w:rPr>
          <w:rFonts w:ascii="Palatino Linotype" w:eastAsia="Palatino Linotype" w:hAnsi="Palatino Linotype" w:cs="Palatino Linotype"/>
          <w:b/>
          <w:i/>
          <w:sz w:val="22"/>
          <w:szCs w:val="22"/>
        </w:rPr>
        <w:t>”</w:t>
      </w:r>
    </w:p>
    <w:p w14:paraId="41FAD526" w14:textId="77777777" w:rsidR="00E05C6C" w:rsidRDefault="00982A5F">
      <w:pPr>
        <w:tabs>
          <w:tab w:val="left" w:pos="851"/>
        </w:tabs>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(Énfasis añadido)</w:t>
      </w:r>
    </w:p>
    <w:p w14:paraId="4ECFE526" w14:textId="77777777" w:rsidR="00E05C6C" w:rsidRDefault="00E05C6C">
      <w:pPr>
        <w:tabs>
          <w:tab w:val="left" w:pos="851"/>
        </w:tabs>
        <w:ind w:right="901"/>
        <w:jc w:val="both"/>
        <w:rPr>
          <w:rFonts w:ascii="Palatino Linotype" w:eastAsia="Palatino Linotype" w:hAnsi="Palatino Linotype" w:cs="Palatino Linotype"/>
          <w:i/>
          <w:sz w:val="22"/>
          <w:szCs w:val="22"/>
        </w:rPr>
      </w:pPr>
    </w:p>
    <w:p w14:paraId="1896D48C" w14:textId="77777777" w:rsidR="00E05C6C" w:rsidRDefault="00982A5F">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Por lo que, derivado que el Recurso de Revisión materia del presente asunto, se interpuso de manera electrónica, no es necesario que contenga determinados </w:t>
      </w:r>
      <w:r>
        <w:rPr>
          <w:rFonts w:ascii="Palatino Linotype" w:eastAsia="Palatino Linotype" w:hAnsi="Palatino Linotype" w:cs="Palatino Linotype"/>
        </w:rPr>
        <w:lastRenderedPageBreak/>
        <w:t>requisitos, entre ellos, el nombre del</w:t>
      </w:r>
      <w:r>
        <w:rPr>
          <w:rFonts w:ascii="Palatino Linotype" w:eastAsia="Palatino Linotype" w:hAnsi="Palatino Linotype" w:cs="Palatino Linotype"/>
          <w:b/>
        </w:rPr>
        <w:t xml:space="preserve">  RECURRENTE;</w:t>
      </w:r>
      <w:r>
        <w:rPr>
          <w:rFonts w:ascii="Palatino Linotype" w:eastAsia="Palatino Linotype" w:hAnsi="Palatino Linotype" w:cs="Palatino Linotype"/>
        </w:rPr>
        <w:t xml:space="preserve"> por lo que, en el presente caso, al haber sido presentado el Recurso de Revisión vía </w:t>
      </w:r>
      <w:r>
        <w:rPr>
          <w:rFonts w:ascii="Palatino Linotype" w:eastAsia="Palatino Linotype" w:hAnsi="Palatino Linotype" w:cs="Palatino Linotype"/>
          <w:b/>
        </w:rPr>
        <w:t>SAIMEX</w:t>
      </w:r>
      <w:r>
        <w:rPr>
          <w:rFonts w:ascii="Palatino Linotype" w:eastAsia="Palatino Linotype" w:hAnsi="Palatino Linotype" w:cs="Palatino Linotype"/>
        </w:rPr>
        <w:t>, dicho requisito resulta innecesario.</w:t>
      </w:r>
    </w:p>
    <w:p w14:paraId="6D64CE5B" w14:textId="77777777" w:rsidR="00E05C6C" w:rsidRDefault="00E05C6C">
      <w:pPr>
        <w:spacing w:line="360" w:lineRule="auto"/>
        <w:jc w:val="both"/>
        <w:rPr>
          <w:rFonts w:ascii="Palatino Linotype" w:eastAsia="Palatino Linotype" w:hAnsi="Palatino Linotype" w:cs="Palatino Linotype"/>
        </w:rPr>
      </w:pPr>
    </w:p>
    <w:p w14:paraId="4F4D6E8C" w14:textId="77777777" w:rsidR="00E05C6C" w:rsidRDefault="00982A5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Lo anterior es así, pues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la información pública, </w:t>
      </w:r>
      <w:r>
        <w:rPr>
          <w:rFonts w:ascii="Palatino Linotype" w:eastAsia="Palatino Linotype" w:hAnsi="Palatino Linotype" w:cs="Palatino Linotype"/>
          <w:b/>
          <w:u w:val="single"/>
        </w:rPr>
        <w:t xml:space="preserve">el nombre no es un requisito </w:t>
      </w:r>
      <w:r>
        <w:rPr>
          <w:rFonts w:ascii="Palatino Linotype" w:eastAsia="Palatino Linotype" w:hAnsi="Palatino Linotype" w:cs="Palatino Linotype"/>
          <w:b/>
          <w:i/>
          <w:u w:val="single"/>
        </w:rPr>
        <w:t>sine qua non</w:t>
      </w:r>
      <w:r>
        <w:rPr>
          <w:rFonts w:ascii="Palatino Linotype" w:eastAsia="Palatino Linotype" w:hAnsi="Palatino Linotype" w:cs="Palatino Linotype"/>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6896C381" w14:textId="77777777" w:rsidR="00E05C6C" w:rsidRDefault="00E05C6C">
      <w:pPr>
        <w:spacing w:line="360" w:lineRule="auto"/>
        <w:jc w:val="both"/>
        <w:rPr>
          <w:rFonts w:ascii="Palatino Linotype" w:eastAsia="Palatino Linotype" w:hAnsi="Palatino Linotype" w:cs="Palatino Linotype"/>
        </w:rPr>
      </w:pPr>
    </w:p>
    <w:p w14:paraId="7AD7131C" w14:textId="77777777" w:rsidR="00E05C6C" w:rsidRDefault="00982A5F">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280524EA" w14:textId="77777777" w:rsidR="00E05C6C" w:rsidRDefault="00E05C6C">
      <w:pPr>
        <w:tabs>
          <w:tab w:val="left" w:pos="851"/>
        </w:tabs>
        <w:spacing w:line="360" w:lineRule="auto"/>
        <w:ind w:left="851" w:right="901"/>
        <w:jc w:val="both"/>
        <w:rPr>
          <w:rFonts w:ascii="Palatino Linotype" w:eastAsia="Palatino Linotype" w:hAnsi="Palatino Linotype" w:cs="Palatino Linotype"/>
          <w:sz w:val="22"/>
          <w:szCs w:val="22"/>
        </w:rPr>
      </w:pPr>
    </w:p>
    <w:p w14:paraId="6865F5B4" w14:textId="77777777" w:rsidR="00E05C6C" w:rsidRDefault="00982A5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Asimismo, se estima que el requisito relativo al nombre del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no constituye un supuesto indispensable de procedibilidad de los Recursos de Revisión, </w:t>
      </w:r>
      <w:r>
        <w:rPr>
          <w:rFonts w:ascii="Palatino Linotype" w:eastAsia="Palatino Linotype" w:hAnsi="Palatino Linotype" w:cs="Palatino Linotype"/>
        </w:rPr>
        <w:lastRenderedPageBreak/>
        <w:t xml:space="preserve">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es la misma persona que realizó la solicitud de acceso a la información pública que ahora se impugna.</w:t>
      </w:r>
    </w:p>
    <w:p w14:paraId="2A8FEC49" w14:textId="77777777" w:rsidR="00E05C6C" w:rsidRDefault="00982A5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Es así que, para el estudio de la materia sobre la que se resuelve el presente Recurso de Revisión, resulta intrascendente conocer el nombre de la persona que lo hubiere promovido, en virtud de que tanto la Constitución Política de los Estados Unidos Mexicanos,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w:t>
      </w:r>
    </w:p>
    <w:p w14:paraId="6E686397" w14:textId="77777777" w:rsidR="00E05C6C" w:rsidRDefault="00E05C6C">
      <w:pPr>
        <w:tabs>
          <w:tab w:val="left" w:pos="851"/>
        </w:tabs>
        <w:ind w:right="901"/>
        <w:jc w:val="both"/>
        <w:rPr>
          <w:rFonts w:ascii="Palatino Linotype" w:eastAsia="Palatino Linotype" w:hAnsi="Palatino Linotype" w:cs="Palatino Linotype"/>
          <w:i/>
          <w:sz w:val="22"/>
          <w:szCs w:val="22"/>
        </w:rPr>
      </w:pPr>
    </w:p>
    <w:p w14:paraId="35C1851A" w14:textId="77777777" w:rsidR="00E05C6C" w:rsidRDefault="00E05C6C">
      <w:pPr>
        <w:spacing w:line="360" w:lineRule="auto"/>
        <w:jc w:val="both"/>
        <w:rPr>
          <w:rFonts w:ascii="Palatino Linotype" w:eastAsia="Palatino Linotype" w:hAnsi="Palatino Linotype" w:cs="Palatino Linotype"/>
        </w:rPr>
      </w:pPr>
    </w:p>
    <w:p w14:paraId="5C1C09FD" w14:textId="77777777" w:rsidR="00E05C6C" w:rsidRDefault="00982A5F">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sz w:val="28"/>
          <w:szCs w:val="28"/>
        </w:rPr>
        <w:t>QUINTO</w:t>
      </w:r>
      <w:r>
        <w:rPr>
          <w:rFonts w:ascii="Palatino Linotype" w:eastAsia="Palatino Linotype" w:hAnsi="Palatino Linotype" w:cs="Palatino Linotype"/>
          <w:b/>
        </w:rPr>
        <w:t xml:space="preserve">. Estudio y resolución del asunto. </w:t>
      </w:r>
    </w:p>
    <w:p w14:paraId="3AB81D0E" w14:textId="77777777" w:rsidR="00E05C6C" w:rsidRDefault="00982A5F">
      <w:pPr>
        <w:tabs>
          <w:tab w:val="left" w:pos="709"/>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 importante precisar que,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solicitó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lo siguiente: </w:t>
      </w:r>
    </w:p>
    <w:p w14:paraId="443F7C60" w14:textId="77777777" w:rsidR="00E05C6C" w:rsidRDefault="00982A5F">
      <w:pPr>
        <w:tabs>
          <w:tab w:val="left" w:pos="851"/>
        </w:tabs>
        <w:ind w:left="850" w:right="899"/>
        <w:jc w:val="both"/>
        <w:rPr>
          <w:rFonts w:ascii="Palatino Linotype" w:eastAsia="Palatino Linotype" w:hAnsi="Palatino Linotype" w:cs="Palatino Linotype"/>
        </w:rPr>
      </w:pPr>
      <w:r>
        <w:rPr>
          <w:rFonts w:ascii="Palatino Linotype" w:eastAsia="Palatino Linotype" w:hAnsi="Palatino Linotype" w:cs="Palatino Linotype"/>
          <w:i/>
          <w:sz w:val="22"/>
          <w:szCs w:val="22"/>
        </w:rPr>
        <w:lastRenderedPageBreak/>
        <w:t>“1.-Quiero conocer la convocatoria pública para participar en la consulta ciudadana para integrar el Plan Municipal de Desarrollo del esta administración, las bases y formas de como enviar propuestar y participar en los foros e integración del plan, participaremos varias personas que integran un colectivo de Valle de Toluca. 2.-También si tienen contratado algún prestador servicios que les apoye con el proyecto del Plan de Desarrollo, quiero conocer el contrato y el expediente completo por este concepto. 3.-Con el propósito de conocer como las áreas dependencias pretenden atender la problemática municipal y generar su programa de trabajo del trienio , les pido el Árbol de Problemas y el Árbol de soluciones que hayan o estén desarrollando y sirvió de base para generar entre otros documentos el plan de desarrollo y el presupuesto de este año, favor de incluir las estrategias y objetivos que se desprenden de estas herramientas. En el caso del punto 1, agradeceremos se nos dé respuesta rápida para conocer la fecha y la convocatoria y poder participar, en su caso puede ser al correo que en la solicitud aparece, cabe mencionar que en su pagina web y otros medios no encontramos convocatoria, por lo que recurrimos por este medio, esta solicitud se repite de anterior ya que algunos municipios contestaron que tenían al 31 de marzo para cumplir con la obligación de contar con un Plan de desarrollo Municipal. esperamos esta vez contesten al menos con lo que tengan. este Plan ya debería estar publicado y no lo esta. ” (Sic)</w:t>
      </w:r>
    </w:p>
    <w:p w14:paraId="529343FE" w14:textId="77777777" w:rsidR="00E05C6C" w:rsidRDefault="00E05C6C">
      <w:pPr>
        <w:spacing w:before="200" w:line="360" w:lineRule="auto"/>
        <w:ind w:right="-28"/>
        <w:jc w:val="both"/>
        <w:rPr>
          <w:rFonts w:ascii="Palatino Linotype" w:eastAsia="Palatino Linotype" w:hAnsi="Palatino Linotype" w:cs="Palatino Linotype"/>
        </w:rPr>
      </w:pPr>
    </w:p>
    <w:p w14:paraId="76A44E4C" w14:textId="77777777" w:rsidR="00E05C6C" w:rsidRDefault="00982A5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Atento a lo anterior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dio respuesta mediante el servidor público habilitado de la Unidad de Información, Planeación, Programación y Evaluación del Ayuntamiento de Toluca. </w:t>
      </w:r>
    </w:p>
    <w:p w14:paraId="185CB073" w14:textId="77777777" w:rsidR="00E05C6C" w:rsidRDefault="00E05C6C">
      <w:pPr>
        <w:spacing w:line="360" w:lineRule="auto"/>
        <w:jc w:val="both"/>
        <w:rPr>
          <w:rFonts w:ascii="Palatino Linotype" w:eastAsia="Palatino Linotype" w:hAnsi="Palatino Linotype" w:cs="Palatino Linotype"/>
        </w:rPr>
      </w:pPr>
    </w:p>
    <w:p w14:paraId="36E9E28D" w14:textId="77777777" w:rsidR="00E05C6C" w:rsidRDefault="00982A5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No conforme con la respuesta del ente recurrido, el particular interpuso el presente medio de impugnación, en donde de forma medular se inconforma de que la repuesta otorgada es incompleta. </w:t>
      </w:r>
    </w:p>
    <w:p w14:paraId="45A50C98" w14:textId="77777777" w:rsidR="00E05C6C" w:rsidRDefault="00E05C6C">
      <w:pPr>
        <w:spacing w:line="360" w:lineRule="auto"/>
        <w:jc w:val="both"/>
        <w:rPr>
          <w:rFonts w:ascii="Palatino Linotype" w:eastAsia="Palatino Linotype" w:hAnsi="Palatino Linotype" w:cs="Palatino Linotype"/>
        </w:rPr>
      </w:pPr>
    </w:p>
    <w:p w14:paraId="67E10719" w14:textId="77777777" w:rsidR="00E05C6C" w:rsidRDefault="00982A5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Lo que en consecuencia actualiza la causal de improcedencia establecida en el artículo 179 fracción V de la Ley de Transparencia y Acceso a la Información pública que establece la entrega de información incompleta, como se aprecia a continuación: </w:t>
      </w:r>
    </w:p>
    <w:p w14:paraId="3EDA28CB" w14:textId="77777777" w:rsidR="00E05C6C" w:rsidRDefault="00982A5F">
      <w:pP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179. </w:t>
      </w:r>
      <w:r>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w:t>
      </w:r>
    </w:p>
    <w:p w14:paraId="525BBE00" w14:textId="77777777" w:rsidR="00E05C6C" w:rsidRDefault="00E05C6C">
      <w:pPr>
        <w:ind w:left="850" w:right="899"/>
        <w:jc w:val="both"/>
        <w:rPr>
          <w:rFonts w:ascii="Palatino Linotype" w:eastAsia="Palatino Linotype" w:hAnsi="Palatino Linotype" w:cs="Palatino Linotype"/>
          <w:b/>
          <w:i/>
          <w:sz w:val="22"/>
          <w:szCs w:val="22"/>
        </w:rPr>
      </w:pPr>
    </w:p>
    <w:p w14:paraId="2494E011" w14:textId="77777777" w:rsidR="00E05C6C" w:rsidRDefault="00982A5F">
      <w:pPr>
        <w:ind w:left="850"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V. La entrega de información incompleta;” </w:t>
      </w:r>
    </w:p>
    <w:p w14:paraId="7E64AC63" w14:textId="77777777" w:rsidR="00E05C6C" w:rsidRDefault="00982A5F">
      <w:pPr>
        <w:ind w:left="850"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(énfasis añadido)</w:t>
      </w:r>
    </w:p>
    <w:p w14:paraId="7736455A" w14:textId="77777777" w:rsidR="00E05C6C" w:rsidRDefault="00E05C6C">
      <w:pPr>
        <w:spacing w:line="360" w:lineRule="auto"/>
        <w:jc w:val="both"/>
        <w:rPr>
          <w:rFonts w:ascii="Palatino Linotype" w:eastAsia="Palatino Linotype" w:hAnsi="Palatino Linotype" w:cs="Palatino Linotype"/>
        </w:rPr>
      </w:pPr>
    </w:p>
    <w:p w14:paraId="780F8368" w14:textId="77777777" w:rsidR="00E05C6C" w:rsidRDefault="00982A5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Luego entonces, lo procedente es analizar la totalidad de las constancias que obran en el expediente electrónico del SAIMEX, para determinar si con estas se puede satisfacer el Derecho de Acceso a la Información del particular.</w:t>
      </w:r>
    </w:p>
    <w:p w14:paraId="06311469" w14:textId="77777777" w:rsidR="00E05C6C" w:rsidRDefault="00E05C6C">
      <w:pPr>
        <w:spacing w:line="360" w:lineRule="auto"/>
        <w:jc w:val="both"/>
        <w:rPr>
          <w:rFonts w:ascii="Palatino Linotype" w:eastAsia="Palatino Linotype" w:hAnsi="Palatino Linotype" w:cs="Palatino Linotype"/>
        </w:rPr>
      </w:pPr>
    </w:p>
    <w:p w14:paraId="23E8BBB7" w14:textId="77777777" w:rsidR="00E05C6C" w:rsidRDefault="00982A5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tal manera que, referente al punto número uno donde el particular solicitó: </w:t>
      </w:r>
      <w:r>
        <w:rPr>
          <w:rFonts w:ascii="Palatino Linotype" w:eastAsia="Palatino Linotype" w:hAnsi="Palatino Linotype" w:cs="Palatino Linotype"/>
          <w:i/>
        </w:rPr>
        <w:t xml:space="preserve">Quiero conocer la convocatoria pública para participar en la consulta ciudadana para integrar el Plan Municipal de Desarrollo del esta administración, las bases y formas de como enviar propuestar y participar en los foros e integración del plan, participaremos varias personas que integran un colectivo de Valle de Toluca. </w:t>
      </w:r>
      <w:r>
        <w:rPr>
          <w:rFonts w:ascii="Palatino Linotype" w:eastAsia="Palatino Linotype" w:hAnsi="Palatino Linotype" w:cs="Palatino Linotype"/>
          <w:b/>
        </w:rPr>
        <w:t xml:space="preserve">EL SUJETO OBLIGADO </w:t>
      </w:r>
      <w:r>
        <w:rPr>
          <w:rFonts w:ascii="Palatino Linotype" w:eastAsia="Palatino Linotype" w:hAnsi="Palatino Linotype" w:cs="Palatino Linotype"/>
        </w:rPr>
        <w:t xml:space="preserve">adjuntó en respuesta la siguiente convocatoria: </w:t>
      </w:r>
    </w:p>
    <w:p w14:paraId="32761E78" w14:textId="77777777" w:rsidR="00E05C6C" w:rsidRDefault="00982A5F">
      <w:pPr>
        <w:spacing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rPr>
        <w:lastRenderedPageBreak/>
        <w:drawing>
          <wp:inline distT="114300" distB="114300" distL="114300" distR="114300" wp14:anchorId="74A1843A" wp14:editId="735A8E6B">
            <wp:extent cx="5791200" cy="3591101"/>
            <wp:effectExtent l="0" t="0" r="0" b="0"/>
            <wp:docPr id="36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5791200" cy="3591101"/>
                    </a:xfrm>
                    <a:prstGeom prst="rect">
                      <a:avLst/>
                    </a:prstGeom>
                    <a:ln/>
                  </pic:spPr>
                </pic:pic>
              </a:graphicData>
            </a:graphic>
          </wp:inline>
        </w:drawing>
      </w:r>
    </w:p>
    <w:p w14:paraId="787BA3E7" w14:textId="77777777" w:rsidR="00E05C6C" w:rsidRDefault="00982A5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la imagen, se puede apreciar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entregó la convocatoria para participar en la consulta ciudadana para la integración del Plan de Desarrollo Municipal de Toluca 2022-2024. </w:t>
      </w:r>
    </w:p>
    <w:p w14:paraId="3A4BCB9B" w14:textId="77777777" w:rsidR="00E05C6C" w:rsidRDefault="00E05C6C">
      <w:pPr>
        <w:spacing w:line="360" w:lineRule="auto"/>
        <w:jc w:val="both"/>
        <w:rPr>
          <w:rFonts w:ascii="Palatino Linotype" w:eastAsia="Palatino Linotype" w:hAnsi="Palatino Linotype" w:cs="Palatino Linotype"/>
        </w:rPr>
      </w:pPr>
    </w:p>
    <w:p w14:paraId="08CEC85D" w14:textId="77777777" w:rsidR="00E05C6C" w:rsidRDefault="00982A5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Dicha convocatoria describe en su primera base que la consulta ciudadana se llevará a cabo mediante un Foro Temático Abierto, donde se analizarán las ponencias y propuestas específicas, dicho proceso según lo establecido por la base segunda dará inicio el 25 de febrero de 2022 concluyendo el 4 de marzo de 2022, periodo en el cual se recibirán las opiniones, peticiones y ponencias de forma digital a través de un correo electrónico y de forma impresa en la dirección señalada y con las características </w:t>
      </w:r>
      <w:r>
        <w:rPr>
          <w:rFonts w:ascii="Palatino Linotype" w:eastAsia="Palatino Linotype" w:hAnsi="Palatino Linotype" w:cs="Palatino Linotype"/>
        </w:rPr>
        <w:lastRenderedPageBreak/>
        <w:t xml:space="preserve">descritas en la base tercera. Asimismo la convocatoria señala en su base cuarta que las propuestas podrán ser expuestas de forma presencial en fecha 4 de marzo de dos mil veintidós en el horario y dirección descritos en dicha base. Se insertan capturas de pantalla de las Bases mencionadas para mayor referencia: </w:t>
      </w:r>
    </w:p>
    <w:p w14:paraId="7FE93D19" w14:textId="77777777" w:rsidR="00E05C6C" w:rsidRDefault="00982A5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noProof/>
        </w:rPr>
        <w:drawing>
          <wp:inline distT="114300" distB="114300" distL="114300" distR="114300" wp14:anchorId="741687B1" wp14:editId="1F609600">
            <wp:extent cx="5772150" cy="2081240"/>
            <wp:effectExtent l="0" t="0" r="0" b="0"/>
            <wp:docPr id="36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l="1069" r="712"/>
                    <a:stretch>
                      <a:fillRect/>
                    </a:stretch>
                  </pic:blipFill>
                  <pic:spPr>
                    <a:xfrm>
                      <a:off x="0" y="0"/>
                      <a:ext cx="5772150" cy="2081240"/>
                    </a:xfrm>
                    <a:prstGeom prst="rect">
                      <a:avLst/>
                    </a:prstGeom>
                    <a:ln/>
                  </pic:spPr>
                </pic:pic>
              </a:graphicData>
            </a:graphic>
          </wp:inline>
        </w:drawing>
      </w:r>
    </w:p>
    <w:p w14:paraId="31D9D375" w14:textId="77777777" w:rsidR="00E05C6C" w:rsidRDefault="00982A5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noProof/>
        </w:rPr>
        <w:drawing>
          <wp:inline distT="114300" distB="114300" distL="114300" distR="114300" wp14:anchorId="57674BD9" wp14:editId="30D5B978">
            <wp:extent cx="5705475" cy="1598647"/>
            <wp:effectExtent l="0" t="0" r="0" b="0"/>
            <wp:docPr id="36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l="1842" r="2864"/>
                    <a:stretch>
                      <a:fillRect/>
                    </a:stretch>
                  </pic:blipFill>
                  <pic:spPr>
                    <a:xfrm>
                      <a:off x="0" y="0"/>
                      <a:ext cx="5705475" cy="1598647"/>
                    </a:xfrm>
                    <a:prstGeom prst="rect">
                      <a:avLst/>
                    </a:prstGeom>
                    <a:ln/>
                  </pic:spPr>
                </pic:pic>
              </a:graphicData>
            </a:graphic>
          </wp:inline>
        </w:drawing>
      </w:r>
    </w:p>
    <w:p w14:paraId="0C91EE39" w14:textId="77777777" w:rsidR="00E05C6C" w:rsidRDefault="00982A5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las bases antes referidas se desprenden las bases, fechas y medios por los cuales los particulares podrán participar en el integración del Plan Municipal de Desarrollo, cumpliendo así con lo solicitado por el particular, por lo cual se tiene por satisfecho el punto número uno de la solicitud, con la información entregada en respuesta por el ente recurrido. </w:t>
      </w:r>
    </w:p>
    <w:p w14:paraId="556CB575" w14:textId="77777777" w:rsidR="00E05C6C" w:rsidRDefault="00E05C6C">
      <w:pPr>
        <w:spacing w:line="360" w:lineRule="auto"/>
        <w:jc w:val="both"/>
        <w:rPr>
          <w:rFonts w:ascii="Palatino Linotype" w:eastAsia="Palatino Linotype" w:hAnsi="Palatino Linotype" w:cs="Palatino Linotype"/>
        </w:rPr>
      </w:pPr>
    </w:p>
    <w:p w14:paraId="467A1E8C" w14:textId="77777777" w:rsidR="00E05C6C" w:rsidRDefault="00982A5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Por lo que respecta al punto número 2 donde el particular solicita: </w:t>
      </w:r>
      <w:r>
        <w:rPr>
          <w:rFonts w:ascii="Palatino Linotype" w:eastAsia="Palatino Linotype" w:hAnsi="Palatino Linotype" w:cs="Palatino Linotype"/>
          <w:i/>
        </w:rPr>
        <w:t xml:space="preserve">2.-También si tienen contratado algún prestador de servicios que les apoye con el proyecto del Plan de Desarrollo, quiero conocer el contrato y el expediente completo por este concepto, </w:t>
      </w:r>
      <w:r>
        <w:rPr>
          <w:rFonts w:ascii="Palatino Linotype" w:eastAsia="Palatino Linotype" w:hAnsi="Palatino Linotype" w:cs="Palatino Linotype"/>
        </w:rPr>
        <w:t xml:space="preserve">de las constancias que obran en el expediente electrónico del SAIMEX se advierte que </w:t>
      </w:r>
      <w:r>
        <w:rPr>
          <w:rFonts w:ascii="Palatino Linotype" w:eastAsia="Palatino Linotype" w:hAnsi="Palatino Linotype" w:cs="Palatino Linotype"/>
          <w:b/>
        </w:rPr>
        <w:t xml:space="preserve">EL SUJETO OBLIGADO </w:t>
      </w:r>
      <w:r>
        <w:rPr>
          <w:rFonts w:ascii="Palatino Linotype" w:eastAsia="Palatino Linotype" w:hAnsi="Palatino Linotype" w:cs="Palatino Linotype"/>
        </w:rPr>
        <w:t xml:space="preserve">adjuntó a su respuesta el documento denominado  </w:t>
      </w:r>
      <w:r>
        <w:rPr>
          <w:rFonts w:ascii="Palatino Linotype" w:eastAsia="Palatino Linotype" w:hAnsi="Palatino Linotype" w:cs="Palatino Linotype"/>
          <w:i/>
        </w:rPr>
        <w:t xml:space="preserve">Contrato Plan de Desarrollo.pdf </w:t>
      </w:r>
      <w:r>
        <w:rPr>
          <w:rFonts w:ascii="Palatino Linotype" w:eastAsia="Palatino Linotype" w:hAnsi="Palatino Linotype" w:cs="Palatino Linotype"/>
        </w:rPr>
        <w:t xml:space="preserve">conformado por ocho fojas,  de las cuales se observa el contrato firmado por el Ayuntamiento de Toluca para la elaboración del Plan de Desarrollo Municipal, tal y como se aprecia a continuación: </w:t>
      </w:r>
    </w:p>
    <w:p w14:paraId="55F2C0EB" w14:textId="77777777" w:rsidR="00E05C6C" w:rsidRDefault="00982A5F">
      <w:pPr>
        <w:spacing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rPr>
        <w:drawing>
          <wp:inline distT="114300" distB="114300" distL="114300" distR="114300" wp14:anchorId="1239112E" wp14:editId="3254CA5C">
            <wp:extent cx="4991118" cy="2631681"/>
            <wp:effectExtent l="0" t="0" r="0" b="0"/>
            <wp:docPr id="37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t="3058" b="38593"/>
                    <a:stretch>
                      <a:fillRect/>
                    </a:stretch>
                  </pic:blipFill>
                  <pic:spPr>
                    <a:xfrm>
                      <a:off x="0" y="0"/>
                      <a:ext cx="4991118" cy="2631681"/>
                    </a:xfrm>
                    <a:prstGeom prst="rect">
                      <a:avLst/>
                    </a:prstGeom>
                    <a:ln/>
                  </pic:spPr>
                </pic:pic>
              </a:graphicData>
            </a:graphic>
          </wp:inline>
        </w:drawing>
      </w:r>
    </w:p>
    <w:p w14:paraId="5CDFCBF7" w14:textId="77777777" w:rsidR="00E05C6C" w:rsidRDefault="00982A5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Dicho contrato ampara la relación entre el Ayuntamiento de Toluca con un particular quien se obliga a prestar el servicio profesional, consistente en la elaboración del Plan Municipal de Desarrollo del Municipio de Toluca para el periodo 2022- 2024. </w:t>
      </w:r>
    </w:p>
    <w:p w14:paraId="10A09F58" w14:textId="77777777" w:rsidR="00E05C6C" w:rsidRDefault="00E05C6C">
      <w:pPr>
        <w:spacing w:line="360" w:lineRule="auto"/>
        <w:rPr>
          <w:rFonts w:ascii="Palatino Linotype" w:eastAsia="Palatino Linotype" w:hAnsi="Palatino Linotype" w:cs="Palatino Linotype"/>
        </w:rPr>
      </w:pPr>
    </w:p>
    <w:p w14:paraId="7D0DB9EC" w14:textId="77777777" w:rsidR="00E05C6C" w:rsidRDefault="00982A5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consecuencia, el documento entregado por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puede colmar parte de la pretensión de particular, pues en este consta la información solicitada, no </w:t>
      </w:r>
      <w:r>
        <w:rPr>
          <w:rFonts w:ascii="Palatino Linotype" w:eastAsia="Palatino Linotype" w:hAnsi="Palatino Linotype" w:cs="Palatino Linotype"/>
        </w:rPr>
        <w:lastRenderedPageBreak/>
        <w:t xml:space="preserve">obstante, de los documentos entregados se puede observar que en algunos de ellos existe información que se encuentra testada, lo cual, se advierte corresponde a una pretensión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 llevar a cabo una versión pública de dichos documentos. </w:t>
      </w:r>
    </w:p>
    <w:p w14:paraId="12A29377" w14:textId="77777777" w:rsidR="00E05C6C" w:rsidRDefault="00E05C6C">
      <w:pPr>
        <w:spacing w:line="360" w:lineRule="auto"/>
        <w:jc w:val="both"/>
        <w:rPr>
          <w:rFonts w:ascii="Palatino Linotype" w:eastAsia="Palatino Linotype" w:hAnsi="Palatino Linotype" w:cs="Palatino Linotype"/>
        </w:rPr>
      </w:pPr>
    </w:p>
    <w:p w14:paraId="01FFF21C" w14:textId="77777777" w:rsidR="00E05C6C" w:rsidRDefault="00982A5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tal sentido para que pueda existir una correcta versión pública de la información, la  clasificación de los datos confidenciales deberá llevarse a cabo a través de la forma y formalidades que la Ley impone; es decir, mediante Acuerdo debidamente fundado y motivado, en términos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52F7C049" w14:textId="77777777" w:rsidR="00E05C6C" w:rsidRDefault="00982A5F">
      <w:pPr>
        <w:ind w:left="851" w:right="902"/>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Ley de Transparencia y Acceso a la Información Pública del Estado de México y Municipios</w:t>
      </w:r>
    </w:p>
    <w:p w14:paraId="05989F7F" w14:textId="77777777" w:rsidR="00E05C6C" w:rsidRDefault="00982A5F">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49. </w:t>
      </w:r>
      <w:r>
        <w:rPr>
          <w:rFonts w:ascii="Palatino Linotype" w:eastAsia="Palatino Linotype" w:hAnsi="Palatino Linotype" w:cs="Palatino Linotype"/>
          <w:i/>
          <w:sz w:val="22"/>
          <w:szCs w:val="22"/>
        </w:rPr>
        <w:t>Los Comités de Transparencia tendrán las siguientes atribuciones:</w:t>
      </w:r>
    </w:p>
    <w:p w14:paraId="4B2B6FA0" w14:textId="77777777" w:rsidR="00E05C6C" w:rsidRDefault="00982A5F">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Aprobar</w:t>
      </w:r>
      <w:r>
        <w:rPr>
          <w:rFonts w:ascii="Palatino Linotype" w:eastAsia="Palatino Linotype" w:hAnsi="Palatino Linotype" w:cs="Palatino Linotype"/>
          <w:i/>
          <w:sz w:val="22"/>
          <w:szCs w:val="22"/>
        </w:rPr>
        <w:t>, modificar o revocar la clasificación de la información;</w:t>
      </w:r>
    </w:p>
    <w:p w14:paraId="5C663892" w14:textId="77777777" w:rsidR="00E05C6C" w:rsidRDefault="00982A5F">
      <w:pPr>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Artículo 132.</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clasificación de la información se llevará a cabo en el momento en que:</w:t>
      </w:r>
    </w:p>
    <w:p w14:paraId="58952502" w14:textId="77777777" w:rsidR="00E05C6C" w:rsidRDefault="00982A5F">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6CB9B41C" w14:textId="77777777" w:rsidR="00E05C6C" w:rsidRDefault="00982A5F">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Se determine mediante resolución de autoridad competente; o</w:t>
      </w:r>
    </w:p>
    <w:p w14:paraId="2B3F9613" w14:textId="77777777" w:rsidR="00E05C6C" w:rsidRDefault="00982A5F">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Se generen versiones públicas para dar cumplimiento a las obligaciones de transparencia previstas en esta Ley</w:t>
      </w:r>
      <w:r>
        <w:rPr>
          <w:rFonts w:ascii="Palatino Linotype" w:eastAsia="Palatino Linotype" w:hAnsi="Palatino Linotype" w:cs="Palatino Linotype"/>
          <w:i/>
          <w:sz w:val="22"/>
          <w:szCs w:val="22"/>
        </w:rPr>
        <w:t>.”</w:t>
      </w:r>
    </w:p>
    <w:p w14:paraId="416D3324" w14:textId="77777777" w:rsidR="00E05C6C" w:rsidRDefault="00982A5F">
      <w:pPr>
        <w:ind w:left="851" w:right="902"/>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Lineamientos Generales en materia de Clasificación y Desclasificación de la Información</w:t>
      </w:r>
    </w:p>
    <w:p w14:paraId="154FB68F" w14:textId="77777777" w:rsidR="00E05C6C" w:rsidRDefault="00982A5F">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Segundo.-</w:t>
      </w:r>
      <w:r>
        <w:rPr>
          <w:rFonts w:ascii="Palatino Linotype" w:eastAsia="Palatino Linotype" w:hAnsi="Palatino Linotype" w:cs="Palatino Linotype"/>
          <w:i/>
          <w:sz w:val="22"/>
          <w:szCs w:val="22"/>
        </w:rPr>
        <w:t xml:space="preserve"> Para efectos de los presentes Lineamientos Generales, se entenderá por:</w:t>
      </w:r>
    </w:p>
    <w:p w14:paraId="2E1B548E" w14:textId="77777777" w:rsidR="00E05C6C" w:rsidRDefault="00982A5F">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XVIII.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Versión pública:</w:t>
      </w:r>
      <w:r>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Pr>
          <w:rFonts w:ascii="Palatino Linotype" w:eastAsia="Palatino Linotype" w:hAnsi="Palatino Linotype" w:cs="Palatino Linotype"/>
          <w:b/>
          <w:i/>
          <w:sz w:val="22"/>
          <w:szCs w:val="22"/>
        </w:rPr>
        <w:t>fundando y motivando la</w:t>
      </w:r>
      <w:r>
        <w:rPr>
          <w:rFonts w:ascii="Palatino Linotype" w:eastAsia="Palatino Linotype" w:hAnsi="Palatino Linotype" w:cs="Palatino Linotype"/>
          <w:i/>
          <w:sz w:val="22"/>
          <w:szCs w:val="22"/>
        </w:rPr>
        <w:t xml:space="preserve"> reserva o </w:t>
      </w:r>
      <w:r>
        <w:rPr>
          <w:rFonts w:ascii="Palatino Linotype" w:eastAsia="Palatino Linotype" w:hAnsi="Palatino Linotype" w:cs="Palatino Linotype"/>
          <w:b/>
          <w:i/>
          <w:sz w:val="22"/>
          <w:szCs w:val="22"/>
        </w:rPr>
        <w:t>confidencialidad</w:t>
      </w:r>
      <w:r>
        <w:rPr>
          <w:rFonts w:ascii="Palatino Linotype" w:eastAsia="Palatino Linotype" w:hAnsi="Palatino Linotype" w:cs="Palatino Linotype"/>
          <w:i/>
          <w:sz w:val="22"/>
          <w:szCs w:val="22"/>
        </w:rPr>
        <w:t>, a través de la resolución que para tal efecto emita el Comité de Transparencia.</w:t>
      </w:r>
    </w:p>
    <w:p w14:paraId="6987A5CC" w14:textId="77777777" w:rsidR="00E05C6C" w:rsidRDefault="00982A5F">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Cuarto.</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Para clasificar la información como</w:t>
      </w:r>
      <w:r>
        <w:rPr>
          <w:rFonts w:ascii="Palatino Linotype" w:eastAsia="Palatino Linotype" w:hAnsi="Palatino Linotype" w:cs="Palatino Linotype"/>
          <w:i/>
          <w:sz w:val="22"/>
          <w:szCs w:val="22"/>
        </w:rPr>
        <w:t xml:space="preserve"> reservada o </w:t>
      </w:r>
      <w:r>
        <w:rPr>
          <w:rFonts w:ascii="Palatino Linotype" w:eastAsia="Palatino Linotype" w:hAnsi="Palatino Linotype" w:cs="Palatino Linotype"/>
          <w:b/>
          <w:i/>
          <w:sz w:val="22"/>
          <w:szCs w:val="22"/>
        </w:rPr>
        <w:t>confidencial, de manera total o parcial, el titular del área del sujeto obligado deberá atender lo dispuesto por el Título Sexto de la Ley General</w:t>
      </w:r>
      <w:r>
        <w:rPr>
          <w:rFonts w:ascii="Palatino Linotype" w:eastAsia="Palatino Linotype" w:hAnsi="Palatino Linotype" w:cs="Palatino Linotype"/>
          <w:i/>
          <w:sz w:val="22"/>
          <w:szCs w:val="22"/>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13F077A0" w14:textId="77777777" w:rsidR="00E05C6C" w:rsidRDefault="00982A5F">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0B29F9EA" w14:textId="77777777" w:rsidR="00E05C6C" w:rsidRDefault="00982A5F">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Quinto.</w:t>
      </w:r>
      <w:r>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64652FBE" w14:textId="77777777" w:rsidR="00E05C6C" w:rsidRDefault="00982A5F">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Sexto.</w:t>
      </w:r>
      <w:r>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18E56C89" w14:textId="77777777" w:rsidR="00E05C6C" w:rsidRDefault="00982A5F">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14:paraId="34817573" w14:textId="77777777" w:rsidR="00E05C6C" w:rsidRDefault="00982A5F">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Séptimo.</w:t>
      </w:r>
      <w:r>
        <w:rPr>
          <w:rFonts w:ascii="Palatino Linotype" w:eastAsia="Palatino Linotype" w:hAnsi="Palatino Linotype" w:cs="Palatino Linotype"/>
          <w:i/>
          <w:sz w:val="22"/>
          <w:szCs w:val="22"/>
        </w:rPr>
        <w:t xml:space="preserve"> La clasificación de la información se llevará a cabo en el momento en que:</w:t>
      </w:r>
    </w:p>
    <w:p w14:paraId="658380A9" w14:textId="77777777" w:rsidR="00E05C6C" w:rsidRDefault="00982A5F">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reciba una solicitud de acceso a la información;</w:t>
      </w:r>
    </w:p>
    <w:p w14:paraId="00EBC2F8" w14:textId="77777777" w:rsidR="00E05C6C" w:rsidRDefault="00982A5F">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Se determine mediante resolución de autoridad competente, o</w:t>
      </w:r>
    </w:p>
    <w:p w14:paraId="6FA342F6" w14:textId="77777777" w:rsidR="00E05C6C" w:rsidRDefault="00982A5F">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654CD146" w14:textId="77777777" w:rsidR="00E05C6C" w:rsidRDefault="00982A5F">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4F056430" w14:textId="77777777" w:rsidR="00E05C6C" w:rsidRDefault="00982A5F">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Octavo.</w:t>
      </w:r>
      <w:r>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1CE165A6" w14:textId="77777777" w:rsidR="00E05C6C" w:rsidRDefault="00982A5F">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0E054D7A" w14:textId="77777777" w:rsidR="00E05C6C" w:rsidRDefault="00982A5F">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14:paraId="7C79EF53" w14:textId="77777777" w:rsidR="00E05C6C" w:rsidRDefault="00982A5F">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6CDF3138" w14:textId="77777777" w:rsidR="00E05C6C" w:rsidRDefault="00982A5F">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14:paraId="49702B1A" w14:textId="77777777" w:rsidR="00E05C6C" w:rsidRDefault="00982A5F">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Noveno.</w:t>
      </w:r>
      <w:r>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6F3264BA" w14:textId="77777777" w:rsidR="00E05C6C" w:rsidRDefault="00982A5F">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Décimo.</w:t>
      </w:r>
      <w:r>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7B4F1D11" w14:textId="77777777" w:rsidR="00E05C6C" w:rsidRDefault="00982A5F">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251B0BCA" w14:textId="77777777" w:rsidR="00E05C6C" w:rsidRDefault="00982A5F">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Décimo primero.</w:t>
      </w:r>
      <w:r>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19A00C8B" w14:textId="77777777" w:rsidR="00E05C6C" w:rsidRDefault="00E05C6C">
      <w:pPr>
        <w:ind w:left="851" w:right="902"/>
        <w:jc w:val="both"/>
        <w:rPr>
          <w:rFonts w:ascii="Palatino Linotype" w:eastAsia="Palatino Linotype" w:hAnsi="Palatino Linotype" w:cs="Palatino Linotype"/>
          <w:i/>
          <w:sz w:val="22"/>
          <w:szCs w:val="22"/>
        </w:rPr>
      </w:pPr>
    </w:p>
    <w:p w14:paraId="2C0DE0E7" w14:textId="77777777" w:rsidR="00E05C6C" w:rsidRDefault="00982A5F">
      <w:pPr>
        <w:ind w:left="850" w:right="901"/>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CAPÍTULO VIII</w:t>
      </w:r>
    </w:p>
    <w:p w14:paraId="2B79BE6F" w14:textId="77777777" w:rsidR="00E05C6C" w:rsidRDefault="00982A5F">
      <w:pPr>
        <w:ind w:left="850" w:right="901"/>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DE LA LEYENDA DE CLASIFICACIÓN</w:t>
      </w:r>
    </w:p>
    <w:p w14:paraId="788B6ADB" w14:textId="77777777" w:rsidR="00E05C6C" w:rsidRDefault="00982A5F">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 xml:space="preserve">Quincuagésimo. </w:t>
      </w:r>
      <w:r>
        <w:rPr>
          <w:rFonts w:ascii="Palatino Linotype" w:eastAsia="Palatino Linotype" w:hAnsi="Palatino Linotype" w:cs="Palatino Linotype"/>
          <w:b/>
          <w:i/>
          <w:sz w:val="22"/>
          <w:szCs w:val="22"/>
          <w:u w:val="single"/>
        </w:rPr>
        <w:t>Los titulares de las áreas de los sujetos obligados podrán utilizar los formatos contenidos en el presente Capítulo como modelo</w:t>
      </w:r>
      <w:r>
        <w:rPr>
          <w:rFonts w:ascii="Palatino Linotype" w:eastAsia="Palatino Linotype" w:hAnsi="Palatino Linotype" w:cs="Palatino Linotype"/>
          <w:i/>
          <w:sz w:val="22"/>
          <w:szCs w:val="22"/>
        </w:rPr>
        <w:t xml:space="preserve"> para señalar la clasificación de documentos o expedientes, sin perjuicio de que establezcan los propios.</w:t>
      </w:r>
    </w:p>
    <w:p w14:paraId="178F5F27" w14:textId="77777777" w:rsidR="00E05C6C" w:rsidRDefault="00982A5F">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72421DED" w14:textId="77777777" w:rsidR="00E05C6C" w:rsidRDefault="00982A5F">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Quincuagésimo tercero. </w:t>
      </w:r>
      <w:r>
        <w:rPr>
          <w:rFonts w:ascii="Palatino Linotype" w:eastAsia="Palatino Linotype" w:hAnsi="Palatino Linotype" w:cs="Palatino Linotype"/>
          <w:b/>
          <w:i/>
          <w:sz w:val="22"/>
          <w:szCs w:val="22"/>
          <w:u w:val="single"/>
        </w:rPr>
        <w:t>El formato para señalar la clasificación parcial de un documento</w:t>
      </w:r>
      <w:r>
        <w:rPr>
          <w:rFonts w:ascii="Palatino Linotype" w:eastAsia="Palatino Linotype" w:hAnsi="Palatino Linotype" w:cs="Palatino Linotype"/>
          <w:i/>
          <w:sz w:val="22"/>
          <w:szCs w:val="22"/>
        </w:rPr>
        <w:t>, es el siguiente:</w:t>
      </w:r>
    </w:p>
    <w:p w14:paraId="6D83073A" w14:textId="77777777" w:rsidR="00E05C6C" w:rsidRDefault="00E05C6C">
      <w:pPr>
        <w:ind w:left="850" w:right="901"/>
        <w:jc w:val="both"/>
        <w:rPr>
          <w:rFonts w:ascii="Palatino Linotype" w:eastAsia="Palatino Linotype" w:hAnsi="Palatino Linotype" w:cs="Palatino Linotype"/>
          <w:i/>
          <w:sz w:val="22"/>
          <w:szCs w:val="22"/>
        </w:rPr>
      </w:pPr>
    </w:p>
    <w:tbl>
      <w:tblPr>
        <w:tblStyle w:val="afffffff5"/>
        <w:tblW w:w="765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1990"/>
        <w:gridCol w:w="4531"/>
      </w:tblGrid>
      <w:tr w:rsidR="00E05C6C" w14:paraId="26C70AF8" w14:textId="77777777">
        <w:trPr>
          <w:jc w:val="center"/>
        </w:trPr>
        <w:tc>
          <w:tcPr>
            <w:tcW w:w="1129" w:type="dxa"/>
            <w:tcBorders>
              <w:top w:val="single" w:sz="4" w:space="0" w:color="000000"/>
              <w:left w:val="single" w:sz="4" w:space="0" w:color="000000"/>
              <w:bottom w:val="single" w:sz="4" w:space="0" w:color="000000"/>
              <w:right w:val="single" w:sz="4" w:space="0" w:color="000000"/>
            </w:tcBorders>
          </w:tcPr>
          <w:p w14:paraId="56B93F45" w14:textId="77777777" w:rsidR="00E05C6C" w:rsidRDefault="00E05C6C">
            <w:pPr>
              <w:jc w:val="both"/>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1BBD1602" w14:textId="77777777" w:rsidR="00E05C6C" w:rsidRDefault="00982A5F">
            <w:pPr>
              <w:jc w:val="center"/>
              <w:rPr>
                <w:rFonts w:ascii="Palatino Linotype" w:eastAsia="Palatino Linotype" w:hAnsi="Palatino Linotype" w:cs="Palatino Linotype"/>
                <w:b/>
                <w:i/>
              </w:rPr>
            </w:pPr>
            <w:r>
              <w:rPr>
                <w:rFonts w:ascii="Palatino Linotype" w:eastAsia="Palatino Linotype" w:hAnsi="Palatino Linotype" w:cs="Palatino Linotype"/>
                <w:b/>
                <w:i/>
              </w:rPr>
              <w:t>Concepto</w:t>
            </w:r>
          </w:p>
        </w:tc>
        <w:tc>
          <w:tcPr>
            <w:tcW w:w="4531" w:type="dxa"/>
            <w:tcBorders>
              <w:top w:val="single" w:sz="4" w:space="0" w:color="000000"/>
              <w:left w:val="single" w:sz="4" w:space="0" w:color="000000"/>
              <w:bottom w:val="single" w:sz="4" w:space="0" w:color="000000"/>
              <w:right w:val="single" w:sz="4" w:space="0" w:color="000000"/>
            </w:tcBorders>
          </w:tcPr>
          <w:p w14:paraId="4001F955" w14:textId="77777777" w:rsidR="00E05C6C" w:rsidRDefault="00982A5F">
            <w:pPr>
              <w:jc w:val="center"/>
              <w:rPr>
                <w:rFonts w:ascii="Palatino Linotype" w:eastAsia="Palatino Linotype" w:hAnsi="Palatino Linotype" w:cs="Palatino Linotype"/>
                <w:b/>
                <w:i/>
              </w:rPr>
            </w:pPr>
            <w:r>
              <w:rPr>
                <w:rFonts w:ascii="Palatino Linotype" w:eastAsia="Palatino Linotype" w:hAnsi="Palatino Linotype" w:cs="Palatino Linotype"/>
                <w:b/>
                <w:i/>
              </w:rPr>
              <w:t>Dónde:</w:t>
            </w:r>
          </w:p>
        </w:tc>
      </w:tr>
      <w:tr w:rsidR="00E05C6C" w14:paraId="2F437E3A" w14:textId="77777777">
        <w:trPr>
          <w:jc w:val="center"/>
        </w:trPr>
        <w:tc>
          <w:tcPr>
            <w:tcW w:w="1129" w:type="dxa"/>
            <w:vMerge w:val="restart"/>
            <w:tcBorders>
              <w:top w:val="single" w:sz="4" w:space="0" w:color="000000"/>
              <w:left w:val="single" w:sz="4" w:space="0" w:color="000000"/>
              <w:bottom w:val="single" w:sz="4" w:space="0" w:color="000000"/>
              <w:right w:val="single" w:sz="4" w:space="0" w:color="000000"/>
            </w:tcBorders>
            <w:vAlign w:val="center"/>
          </w:tcPr>
          <w:p w14:paraId="3CFCA4CF" w14:textId="77777777" w:rsidR="00E05C6C" w:rsidRDefault="00982A5F">
            <w:pPr>
              <w:jc w:val="center"/>
              <w:rPr>
                <w:rFonts w:ascii="Palatino Linotype" w:eastAsia="Palatino Linotype" w:hAnsi="Palatino Linotype" w:cs="Palatino Linotype"/>
                <w:b/>
                <w:i/>
              </w:rPr>
            </w:pPr>
            <w:r>
              <w:rPr>
                <w:rFonts w:ascii="Palatino Linotype" w:eastAsia="Palatino Linotype" w:hAnsi="Palatino Linotype" w:cs="Palatino Linotype"/>
                <w:b/>
                <w:i/>
              </w:rPr>
              <w:t>Sello oficial o logotipo del sujeto obligado</w:t>
            </w:r>
          </w:p>
        </w:tc>
        <w:tc>
          <w:tcPr>
            <w:tcW w:w="1990" w:type="dxa"/>
            <w:tcBorders>
              <w:top w:val="single" w:sz="4" w:space="0" w:color="000000"/>
              <w:left w:val="single" w:sz="4" w:space="0" w:color="000000"/>
              <w:bottom w:val="single" w:sz="4" w:space="0" w:color="000000"/>
              <w:right w:val="single" w:sz="4" w:space="0" w:color="000000"/>
            </w:tcBorders>
          </w:tcPr>
          <w:p w14:paraId="434B7570" w14:textId="77777777" w:rsidR="00E05C6C" w:rsidRDefault="00982A5F">
            <w:pPr>
              <w:jc w:val="center"/>
              <w:rPr>
                <w:rFonts w:ascii="Palatino Linotype" w:eastAsia="Palatino Linotype" w:hAnsi="Palatino Linotype" w:cs="Palatino Linotype"/>
                <w:i/>
              </w:rPr>
            </w:pPr>
            <w:r>
              <w:rPr>
                <w:rFonts w:ascii="Palatino Linotype" w:eastAsia="Palatino Linotype" w:hAnsi="Palatino Linotype" w:cs="Palatino Linotype"/>
                <w:i/>
              </w:rPr>
              <w:t>Fecha de clasificación</w:t>
            </w:r>
          </w:p>
        </w:tc>
        <w:tc>
          <w:tcPr>
            <w:tcW w:w="4531" w:type="dxa"/>
            <w:tcBorders>
              <w:top w:val="single" w:sz="4" w:space="0" w:color="000000"/>
              <w:left w:val="single" w:sz="4" w:space="0" w:color="000000"/>
              <w:bottom w:val="single" w:sz="4" w:space="0" w:color="000000"/>
              <w:right w:val="single" w:sz="4" w:space="0" w:color="000000"/>
            </w:tcBorders>
          </w:tcPr>
          <w:p w14:paraId="40E5142B" w14:textId="77777777" w:rsidR="00E05C6C" w:rsidRDefault="00982A5F">
            <w:pPr>
              <w:jc w:val="both"/>
              <w:rPr>
                <w:rFonts w:ascii="Palatino Linotype" w:eastAsia="Palatino Linotype" w:hAnsi="Palatino Linotype" w:cs="Palatino Linotype"/>
                <w:i/>
              </w:rPr>
            </w:pPr>
            <w:r>
              <w:rPr>
                <w:rFonts w:ascii="Palatino Linotype" w:eastAsia="Palatino Linotype" w:hAnsi="Palatino Linotype" w:cs="Palatino Linotype"/>
                <w:i/>
              </w:rPr>
              <w:t>Se anotará la fecha en la que el Comité de Transparencia confirmó la clasificación del documento, en su caso.</w:t>
            </w:r>
          </w:p>
        </w:tc>
      </w:tr>
      <w:tr w:rsidR="00E05C6C" w14:paraId="2A73692B"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4B4E5149" w14:textId="77777777" w:rsidR="00E05C6C" w:rsidRDefault="00E05C6C">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16912BAC" w14:textId="77777777" w:rsidR="00E05C6C" w:rsidRDefault="00982A5F">
            <w:pPr>
              <w:jc w:val="center"/>
              <w:rPr>
                <w:rFonts w:ascii="Palatino Linotype" w:eastAsia="Palatino Linotype" w:hAnsi="Palatino Linotype" w:cs="Palatino Linotype"/>
                <w:i/>
              </w:rPr>
            </w:pPr>
            <w:r>
              <w:rPr>
                <w:rFonts w:ascii="Palatino Linotype" w:eastAsia="Palatino Linotype" w:hAnsi="Palatino Linotype" w:cs="Palatino Linotype"/>
                <w:i/>
              </w:rPr>
              <w:t>Área</w:t>
            </w:r>
          </w:p>
        </w:tc>
        <w:tc>
          <w:tcPr>
            <w:tcW w:w="4531" w:type="dxa"/>
            <w:tcBorders>
              <w:top w:val="single" w:sz="4" w:space="0" w:color="000000"/>
              <w:left w:val="single" w:sz="4" w:space="0" w:color="000000"/>
              <w:bottom w:val="single" w:sz="4" w:space="0" w:color="000000"/>
              <w:right w:val="single" w:sz="4" w:space="0" w:color="000000"/>
            </w:tcBorders>
          </w:tcPr>
          <w:p w14:paraId="5A452A44" w14:textId="77777777" w:rsidR="00E05C6C" w:rsidRDefault="00982A5F">
            <w:pPr>
              <w:jc w:val="both"/>
              <w:rPr>
                <w:rFonts w:ascii="Palatino Linotype" w:eastAsia="Palatino Linotype" w:hAnsi="Palatino Linotype" w:cs="Palatino Linotype"/>
                <w:i/>
              </w:rPr>
            </w:pPr>
            <w:r>
              <w:rPr>
                <w:rFonts w:ascii="Palatino Linotype" w:eastAsia="Palatino Linotype" w:hAnsi="Palatino Linotype" w:cs="Palatino Linotype"/>
                <w:i/>
              </w:rPr>
              <w:t>Se señalará el nombre del área del cual es titular quien clasifica.</w:t>
            </w:r>
          </w:p>
        </w:tc>
      </w:tr>
      <w:tr w:rsidR="00E05C6C" w14:paraId="6F231822"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289650C4" w14:textId="77777777" w:rsidR="00E05C6C" w:rsidRDefault="00E05C6C">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29A5473F" w14:textId="77777777" w:rsidR="00E05C6C" w:rsidRDefault="00982A5F">
            <w:pPr>
              <w:jc w:val="center"/>
              <w:rPr>
                <w:rFonts w:ascii="Palatino Linotype" w:eastAsia="Palatino Linotype" w:hAnsi="Palatino Linotype" w:cs="Palatino Linotype"/>
                <w:i/>
              </w:rPr>
            </w:pPr>
            <w:r>
              <w:rPr>
                <w:rFonts w:ascii="Palatino Linotype" w:eastAsia="Palatino Linotype" w:hAnsi="Palatino Linotype" w:cs="Palatino Linotype"/>
                <w:i/>
              </w:rPr>
              <w:t>Información reservada</w:t>
            </w:r>
          </w:p>
        </w:tc>
        <w:tc>
          <w:tcPr>
            <w:tcW w:w="4531" w:type="dxa"/>
            <w:tcBorders>
              <w:top w:val="single" w:sz="4" w:space="0" w:color="000000"/>
              <w:left w:val="single" w:sz="4" w:space="0" w:color="000000"/>
              <w:bottom w:val="single" w:sz="4" w:space="0" w:color="000000"/>
              <w:right w:val="single" w:sz="4" w:space="0" w:color="000000"/>
            </w:tcBorders>
          </w:tcPr>
          <w:p w14:paraId="44AAFFC6" w14:textId="77777777" w:rsidR="00E05C6C" w:rsidRDefault="00982A5F">
            <w:pPr>
              <w:jc w:val="both"/>
              <w:rPr>
                <w:rFonts w:ascii="Palatino Linotype" w:eastAsia="Palatino Linotype" w:hAnsi="Palatino Linotype" w:cs="Palatino Linotype"/>
                <w:i/>
              </w:rPr>
            </w:pPr>
            <w:r>
              <w:rPr>
                <w:rFonts w:ascii="Palatino Linotype" w:eastAsia="Palatino Linotype" w:hAnsi="Palatino Linotype" w:cs="Palatino Linotype"/>
                <w:i/>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E05C6C" w14:paraId="3515169D"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3061BBF3" w14:textId="77777777" w:rsidR="00E05C6C" w:rsidRDefault="00E05C6C">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30742CD3" w14:textId="77777777" w:rsidR="00E05C6C" w:rsidRDefault="00982A5F">
            <w:pPr>
              <w:jc w:val="center"/>
              <w:rPr>
                <w:rFonts w:ascii="Palatino Linotype" w:eastAsia="Palatino Linotype" w:hAnsi="Palatino Linotype" w:cs="Palatino Linotype"/>
                <w:i/>
              </w:rPr>
            </w:pPr>
            <w:r>
              <w:rPr>
                <w:rFonts w:ascii="Palatino Linotype" w:eastAsia="Palatino Linotype" w:hAnsi="Palatino Linotype" w:cs="Palatino Linotype"/>
                <w:i/>
              </w:rPr>
              <w:t>Periodo de reserva</w:t>
            </w:r>
          </w:p>
        </w:tc>
        <w:tc>
          <w:tcPr>
            <w:tcW w:w="4531" w:type="dxa"/>
            <w:tcBorders>
              <w:top w:val="single" w:sz="4" w:space="0" w:color="000000"/>
              <w:left w:val="single" w:sz="4" w:space="0" w:color="000000"/>
              <w:bottom w:val="single" w:sz="4" w:space="0" w:color="000000"/>
              <w:right w:val="single" w:sz="4" w:space="0" w:color="000000"/>
            </w:tcBorders>
          </w:tcPr>
          <w:p w14:paraId="73E8626E" w14:textId="77777777" w:rsidR="00E05C6C" w:rsidRDefault="00982A5F">
            <w:pPr>
              <w:jc w:val="both"/>
              <w:rPr>
                <w:rFonts w:ascii="Palatino Linotype" w:eastAsia="Palatino Linotype" w:hAnsi="Palatino Linotype" w:cs="Palatino Linotype"/>
                <w:i/>
              </w:rPr>
            </w:pPr>
            <w:r>
              <w:rPr>
                <w:rFonts w:ascii="Palatino Linotype" w:eastAsia="Palatino Linotype" w:hAnsi="Palatino Linotype" w:cs="Palatino Linotype"/>
                <w:i/>
              </w:rPr>
              <w:t>Se anotará el número de años o meses por los que se mantendrá el documento o las partes del mismo como reservado.</w:t>
            </w:r>
          </w:p>
        </w:tc>
      </w:tr>
      <w:tr w:rsidR="00E05C6C" w14:paraId="67C7A967"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05115A3C" w14:textId="77777777" w:rsidR="00E05C6C" w:rsidRDefault="00E05C6C">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05BF5112" w14:textId="77777777" w:rsidR="00E05C6C" w:rsidRDefault="00982A5F">
            <w:pPr>
              <w:jc w:val="center"/>
              <w:rPr>
                <w:rFonts w:ascii="Palatino Linotype" w:eastAsia="Palatino Linotype" w:hAnsi="Palatino Linotype" w:cs="Palatino Linotype"/>
                <w:i/>
              </w:rPr>
            </w:pPr>
            <w:r>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14:paraId="1795C588" w14:textId="77777777" w:rsidR="00E05C6C" w:rsidRDefault="00982A5F">
            <w:pPr>
              <w:jc w:val="both"/>
              <w:rPr>
                <w:rFonts w:ascii="Palatino Linotype" w:eastAsia="Palatino Linotype" w:hAnsi="Palatino Linotype" w:cs="Palatino Linotype"/>
                <w:i/>
              </w:rPr>
            </w:pPr>
            <w:r>
              <w:rPr>
                <w:rFonts w:ascii="Palatino Linotype" w:eastAsia="Palatino Linotype" w:hAnsi="Palatino Linotype" w:cs="Palatino Linotype"/>
                <w:i/>
              </w:rPr>
              <w:t>Se señalará el nombre del ordenamiento, el o los artículos, fracción(es), párrafo(s) con base en los cuales se sustente la reserva.</w:t>
            </w:r>
          </w:p>
        </w:tc>
      </w:tr>
      <w:tr w:rsidR="00E05C6C" w14:paraId="42D8348C"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71BABAB1" w14:textId="77777777" w:rsidR="00E05C6C" w:rsidRDefault="00E05C6C">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2399162F" w14:textId="77777777" w:rsidR="00E05C6C" w:rsidRDefault="00982A5F">
            <w:pPr>
              <w:jc w:val="center"/>
              <w:rPr>
                <w:rFonts w:ascii="Palatino Linotype" w:eastAsia="Palatino Linotype" w:hAnsi="Palatino Linotype" w:cs="Palatino Linotype"/>
                <w:i/>
              </w:rPr>
            </w:pPr>
            <w:r>
              <w:rPr>
                <w:rFonts w:ascii="Palatino Linotype" w:eastAsia="Palatino Linotype" w:hAnsi="Palatino Linotype" w:cs="Palatino Linotype"/>
                <w:i/>
              </w:rPr>
              <w:t>Ampliación del periodo de reserva</w:t>
            </w:r>
          </w:p>
        </w:tc>
        <w:tc>
          <w:tcPr>
            <w:tcW w:w="4531" w:type="dxa"/>
            <w:tcBorders>
              <w:top w:val="single" w:sz="4" w:space="0" w:color="000000"/>
              <w:left w:val="single" w:sz="4" w:space="0" w:color="000000"/>
              <w:bottom w:val="single" w:sz="4" w:space="0" w:color="000000"/>
              <w:right w:val="single" w:sz="4" w:space="0" w:color="000000"/>
            </w:tcBorders>
          </w:tcPr>
          <w:p w14:paraId="42F4C28B" w14:textId="77777777" w:rsidR="00E05C6C" w:rsidRDefault="00982A5F">
            <w:pPr>
              <w:jc w:val="both"/>
              <w:rPr>
                <w:rFonts w:ascii="Palatino Linotype" w:eastAsia="Palatino Linotype" w:hAnsi="Palatino Linotype" w:cs="Palatino Linotype"/>
                <w:i/>
              </w:rPr>
            </w:pPr>
            <w:r>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E05C6C" w14:paraId="2930F80F"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7B64C7D5" w14:textId="77777777" w:rsidR="00E05C6C" w:rsidRDefault="00E05C6C">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64532293" w14:textId="77777777" w:rsidR="00E05C6C" w:rsidRDefault="00982A5F">
            <w:pPr>
              <w:jc w:val="center"/>
              <w:rPr>
                <w:rFonts w:ascii="Palatino Linotype" w:eastAsia="Palatino Linotype" w:hAnsi="Palatino Linotype" w:cs="Palatino Linotype"/>
                <w:b/>
                <w:i/>
                <w:u w:val="single"/>
              </w:rPr>
            </w:pPr>
            <w:r>
              <w:rPr>
                <w:rFonts w:ascii="Palatino Linotype" w:eastAsia="Palatino Linotype" w:hAnsi="Palatino Linotype" w:cs="Palatino Linotype"/>
                <w:b/>
                <w:i/>
                <w:u w:val="single"/>
              </w:rPr>
              <w:t>Confidencial</w:t>
            </w:r>
          </w:p>
        </w:tc>
        <w:tc>
          <w:tcPr>
            <w:tcW w:w="4531" w:type="dxa"/>
            <w:tcBorders>
              <w:top w:val="single" w:sz="4" w:space="0" w:color="000000"/>
              <w:left w:val="single" w:sz="4" w:space="0" w:color="000000"/>
              <w:bottom w:val="single" w:sz="4" w:space="0" w:color="000000"/>
              <w:right w:val="single" w:sz="4" w:space="0" w:color="000000"/>
            </w:tcBorders>
          </w:tcPr>
          <w:p w14:paraId="64624654" w14:textId="77777777" w:rsidR="00E05C6C" w:rsidRDefault="00982A5F">
            <w:pPr>
              <w:jc w:val="both"/>
              <w:rPr>
                <w:rFonts w:ascii="Palatino Linotype" w:eastAsia="Palatino Linotype" w:hAnsi="Palatino Linotype" w:cs="Palatino Linotype"/>
                <w:i/>
              </w:rPr>
            </w:pPr>
            <w:r>
              <w:rPr>
                <w:rFonts w:ascii="Palatino Linotype" w:eastAsia="Palatino Linotype" w:hAnsi="Palatino Linotype" w:cs="Palatino Linotype"/>
                <w:i/>
              </w:rPr>
              <w:t xml:space="preserve">Se indicarán, en su caso, </w:t>
            </w:r>
            <w:r>
              <w:rPr>
                <w:rFonts w:ascii="Palatino Linotype" w:eastAsia="Palatino Linotype" w:hAnsi="Palatino Linotype" w:cs="Palatino Linotype"/>
                <w:b/>
                <w:i/>
                <w:u w:val="single"/>
              </w:rPr>
              <w:t>las partes o páginas del documento que se clasifica como confidencial</w:t>
            </w:r>
            <w:r>
              <w:rPr>
                <w:rFonts w:ascii="Palatino Linotype" w:eastAsia="Palatino Linotype" w:hAnsi="Palatino Linotype" w:cs="Palatino Linotype"/>
                <w:i/>
              </w:rPr>
              <w:t xml:space="preserve">. </w:t>
            </w:r>
            <w:r>
              <w:rPr>
                <w:rFonts w:ascii="Palatino Linotype" w:eastAsia="Palatino Linotype" w:hAnsi="Palatino Linotype" w:cs="Palatino Linotype"/>
                <w:b/>
                <w:i/>
                <w:u w:val="single"/>
              </w:rPr>
              <w:t>Si el documento fuera confidencial en su totalidad, se anotarán todas las páginas que lo conforman</w:t>
            </w:r>
            <w:r>
              <w:rPr>
                <w:rFonts w:ascii="Palatino Linotype" w:eastAsia="Palatino Linotype" w:hAnsi="Palatino Linotype" w:cs="Palatino Linotype"/>
                <w:i/>
              </w:rPr>
              <w:t>. Si el documento no contiene información confidencial, se tachará este apartado.</w:t>
            </w:r>
          </w:p>
        </w:tc>
      </w:tr>
      <w:tr w:rsidR="00E05C6C" w14:paraId="4D11038E"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56A90E5F" w14:textId="77777777" w:rsidR="00E05C6C" w:rsidRDefault="00E05C6C">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2E9931D2" w14:textId="77777777" w:rsidR="00E05C6C" w:rsidRDefault="00982A5F">
            <w:pPr>
              <w:jc w:val="center"/>
              <w:rPr>
                <w:rFonts w:ascii="Palatino Linotype" w:eastAsia="Palatino Linotype" w:hAnsi="Palatino Linotype" w:cs="Palatino Linotype"/>
                <w:i/>
              </w:rPr>
            </w:pPr>
            <w:r>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14:paraId="461920ED" w14:textId="77777777" w:rsidR="00E05C6C" w:rsidRDefault="00982A5F">
            <w:pPr>
              <w:jc w:val="both"/>
              <w:rPr>
                <w:rFonts w:ascii="Palatino Linotype" w:eastAsia="Palatino Linotype" w:hAnsi="Palatino Linotype" w:cs="Palatino Linotype"/>
                <w:i/>
              </w:rPr>
            </w:pPr>
            <w:r>
              <w:rPr>
                <w:rFonts w:ascii="Palatino Linotype" w:eastAsia="Palatino Linotype" w:hAnsi="Palatino Linotype" w:cs="Palatino Linotype"/>
                <w:i/>
              </w:rPr>
              <w:t>Se señalará el nombre del ordenamiento, el o los artículos, fracción(es), párrafo(s) con base en los cuales se sustente la confidencialidad.</w:t>
            </w:r>
          </w:p>
        </w:tc>
      </w:tr>
      <w:tr w:rsidR="00E05C6C" w14:paraId="087E4850"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20C2482A" w14:textId="77777777" w:rsidR="00E05C6C" w:rsidRDefault="00E05C6C">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5857241C" w14:textId="77777777" w:rsidR="00E05C6C" w:rsidRDefault="00982A5F">
            <w:pPr>
              <w:jc w:val="center"/>
              <w:rPr>
                <w:rFonts w:ascii="Palatino Linotype" w:eastAsia="Palatino Linotype" w:hAnsi="Palatino Linotype" w:cs="Palatino Linotype"/>
                <w:i/>
              </w:rPr>
            </w:pPr>
            <w:r>
              <w:rPr>
                <w:rFonts w:ascii="Palatino Linotype" w:eastAsia="Palatino Linotype" w:hAnsi="Palatino Linotype" w:cs="Palatino Linotype"/>
                <w:i/>
              </w:rPr>
              <w:t>Rúbrica del titular del área</w:t>
            </w:r>
          </w:p>
        </w:tc>
        <w:tc>
          <w:tcPr>
            <w:tcW w:w="4531" w:type="dxa"/>
            <w:tcBorders>
              <w:top w:val="single" w:sz="4" w:space="0" w:color="000000"/>
              <w:left w:val="single" w:sz="4" w:space="0" w:color="000000"/>
              <w:bottom w:val="single" w:sz="4" w:space="0" w:color="000000"/>
              <w:right w:val="single" w:sz="4" w:space="0" w:color="000000"/>
            </w:tcBorders>
          </w:tcPr>
          <w:p w14:paraId="2211307F" w14:textId="77777777" w:rsidR="00E05C6C" w:rsidRDefault="00982A5F">
            <w:pPr>
              <w:jc w:val="both"/>
              <w:rPr>
                <w:rFonts w:ascii="Palatino Linotype" w:eastAsia="Palatino Linotype" w:hAnsi="Palatino Linotype" w:cs="Palatino Linotype"/>
                <w:i/>
              </w:rPr>
            </w:pPr>
            <w:r>
              <w:rPr>
                <w:rFonts w:ascii="Palatino Linotype" w:eastAsia="Palatino Linotype" w:hAnsi="Palatino Linotype" w:cs="Palatino Linotype"/>
                <w:i/>
              </w:rPr>
              <w:t>Rúbrica autógrafa de quien clasifica.</w:t>
            </w:r>
          </w:p>
        </w:tc>
      </w:tr>
      <w:tr w:rsidR="00E05C6C" w14:paraId="37A44B33"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6FA8E62C" w14:textId="77777777" w:rsidR="00E05C6C" w:rsidRDefault="00E05C6C">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3D932045" w14:textId="77777777" w:rsidR="00E05C6C" w:rsidRDefault="00982A5F">
            <w:pPr>
              <w:jc w:val="center"/>
              <w:rPr>
                <w:rFonts w:ascii="Palatino Linotype" w:eastAsia="Palatino Linotype" w:hAnsi="Palatino Linotype" w:cs="Palatino Linotype"/>
                <w:i/>
              </w:rPr>
            </w:pPr>
            <w:r>
              <w:rPr>
                <w:rFonts w:ascii="Palatino Linotype" w:eastAsia="Palatino Linotype" w:hAnsi="Palatino Linotype" w:cs="Palatino Linotype"/>
                <w:i/>
              </w:rPr>
              <w:t>Fecha de desclasificación</w:t>
            </w:r>
          </w:p>
        </w:tc>
        <w:tc>
          <w:tcPr>
            <w:tcW w:w="4531" w:type="dxa"/>
            <w:tcBorders>
              <w:top w:val="single" w:sz="4" w:space="0" w:color="000000"/>
              <w:left w:val="single" w:sz="4" w:space="0" w:color="000000"/>
              <w:bottom w:val="single" w:sz="4" w:space="0" w:color="000000"/>
              <w:right w:val="single" w:sz="4" w:space="0" w:color="000000"/>
            </w:tcBorders>
          </w:tcPr>
          <w:p w14:paraId="5049BB53" w14:textId="77777777" w:rsidR="00E05C6C" w:rsidRDefault="00982A5F">
            <w:pPr>
              <w:jc w:val="both"/>
              <w:rPr>
                <w:rFonts w:ascii="Palatino Linotype" w:eastAsia="Palatino Linotype" w:hAnsi="Palatino Linotype" w:cs="Palatino Linotype"/>
                <w:i/>
              </w:rPr>
            </w:pPr>
            <w:r>
              <w:rPr>
                <w:rFonts w:ascii="Palatino Linotype" w:eastAsia="Palatino Linotype" w:hAnsi="Palatino Linotype" w:cs="Palatino Linotype"/>
                <w:i/>
              </w:rPr>
              <w:t>Se anotará la fecha en que se desclasifica el documento.</w:t>
            </w:r>
          </w:p>
        </w:tc>
      </w:tr>
      <w:tr w:rsidR="00E05C6C" w14:paraId="59C176CE"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34E5BA85" w14:textId="77777777" w:rsidR="00E05C6C" w:rsidRDefault="00E05C6C">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6C3155BB" w14:textId="77777777" w:rsidR="00E05C6C" w:rsidRDefault="00982A5F">
            <w:pPr>
              <w:jc w:val="center"/>
              <w:rPr>
                <w:rFonts w:ascii="Palatino Linotype" w:eastAsia="Palatino Linotype" w:hAnsi="Palatino Linotype" w:cs="Palatino Linotype"/>
                <w:i/>
              </w:rPr>
            </w:pPr>
            <w:r>
              <w:rPr>
                <w:rFonts w:ascii="Palatino Linotype" w:eastAsia="Palatino Linotype" w:hAnsi="Palatino Linotype" w:cs="Palatino Linotype"/>
                <w:i/>
              </w:rPr>
              <w:t>Rúbrica y cargo del servidor público</w:t>
            </w:r>
          </w:p>
        </w:tc>
        <w:tc>
          <w:tcPr>
            <w:tcW w:w="4531" w:type="dxa"/>
            <w:tcBorders>
              <w:top w:val="single" w:sz="4" w:space="0" w:color="000000"/>
              <w:left w:val="single" w:sz="4" w:space="0" w:color="000000"/>
              <w:bottom w:val="single" w:sz="4" w:space="0" w:color="000000"/>
              <w:right w:val="single" w:sz="4" w:space="0" w:color="000000"/>
            </w:tcBorders>
            <w:vAlign w:val="center"/>
          </w:tcPr>
          <w:p w14:paraId="3BB2E9D5" w14:textId="77777777" w:rsidR="00E05C6C" w:rsidRDefault="00982A5F">
            <w:pPr>
              <w:rPr>
                <w:rFonts w:ascii="Palatino Linotype" w:eastAsia="Palatino Linotype" w:hAnsi="Palatino Linotype" w:cs="Palatino Linotype"/>
                <w:i/>
              </w:rPr>
            </w:pPr>
            <w:r>
              <w:rPr>
                <w:rFonts w:ascii="Palatino Linotype" w:eastAsia="Palatino Linotype" w:hAnsi="Palatino Linotype" w:cs="Palatino Linotype"/>
                <w:i/>
              </w:rPr>
              <w:t>Rúbrica autógrafa de quien desclasifica.</w:t>
            </w:r>
          </w:p>
        </w:tc>
      </w:tr>
    </w:tbl>
    <w:p w14:paraId="6DF7A249" w14:textId="77777777" w:rsidR="00E05C6C" w:rsidRDefault="00982A5F">
      <w:pPr>
        <w:ind w:left="709" w:right="70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(Énfasis Añadido)</w:t>
      </w:r>
    </w:p>
    <w:p w14:paraId="5019C879" w14:textId="77777777" w:rsidR="00E05C6C" w:rsidRDefault="00E05C6C">
      <w:pPr>
        <w:spacing w:line="360" w:lineRule="auto"/>
        <w:jc w:val="both"/>
        <w:rPr>
          <w:rFonts w:ascii="Palatino Linotype" w:eastAsia="Palatino Linotype" w:hAnsi="Palatino Linotype" w:cs="Palatino Linotype"/>
        </w:rPr>
      </w:pPr>
    </w:p>
    <w:p w14:paraId="082CB0D6" w14:textId="77777777" w:rsidR="00E05C6C" w:rsidRDefault="00982A5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 importante referir que,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deberá seguir el procedimiento legal establecido para su clasificación, esto es, que su Comité de Transparencia emita un Acuerdo de Clasificación que cumpla con las formalidades previstas, antes citadas</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que lo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w:t>
      </w:r>
      <w:r>
        <w:rPr>
          <w:rFonts w:ascii="Palatino Linotype" w:eastAsia="Palatino Linotype" w:hAnsi="Palatino Linotype" w:cs="Palatino Linotype"/>
        </w:rPr>
        <w:lastRenderedPageBreak/>
        <w:t>porque no aparecen en la documentación respectiva, es decir, si no se exponen de manera puntual las razones de ello se estaría violentando desde un inicio el derecho de acceso a la información del solicitante.</w:t>
      </w:r>
    </w:p>
    <w:p w14:paraId="3588C448" w14:textId="77777777" w:rsidR="00E05C6C" w:rsidRDefault="00E05C6C">
      <w:pPr>
        <w:spacing w:line="360" w:lineRule="auto"/>
        <w:jc w:val="both"/>
        <w:rPr>
          <w:rFonts w:ascii="Palatino Linotype" w:eastAsia="Palatino Linotype" w:hAnsi="Palatino Linotype" w:cs="Palatino Linotype"/>
        </w:rPr>
      </w:pPr>
    </w:p>
    <w:p w14:paraId="5ADEBD05" w14:textId="77777777" w:rsidR="00E05C6C" w:rsidRDefault="00982A5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atención a lo anterior, para colmar la pretensión del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deberá hacer entrega del contrato remitido en respuesta en su correcta versión pública.</w:t>
      </w:r>
    </w:p>
    <w:p w14:paraId="2E0651DE" w14:textId="77777777" w:rsidR="00E05C6C" w:rsidRDefault="00E05C6C">
      <w:pPr>
        <w:spacing w:line="360" w:lineRule="auto"/>
        <w:jc w:val="both"/>
        <w:rPr>
          <w:rFonts w:ascii="Palatino Linotype" w:eastAsia="Palatino Linotype" w:hAnsi="Palatino Linotype" w:cs="Palatino Linotype"/>
        </w:rPr>
      </w:pPr>
    </w:p>
    <w:p w14:paraId="437F7E73" w14:textId="77777777" w:rsidR="00E05C6C" w:rsidRDefault="00982A5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Aunado a ello, se advierte que en su solicitud el particular desea conocer el expediente generado con motivo de dicha contratación, en tal sentido, resulta necesario precisar que de conformidad con la Guía Técnica 9 de la Administración del Personal Municipal emitida por el Instituto Nacional para el Federalismo y el Desarrollo Municipal, señala que el funcionario responsable de la administración del personal debe llevar un control de todo el personal que ingresa a las diferentes dependencias municipales e integrar sus respectivos expedientes, los cuales deben contener: solicitud de empleo, contrato o nombramiento, fotografías, constancia de estudios y acta de nacimiento, entre otros, de tal manera que la información que desea obtener el Particular se encuentra contenida en dicho expediente y toda vez que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fue omiso en pronunciarse respecto de dicho rubro de la solicitud, no existe certeza de que no se haya generado dicho expediente, por lo cual deberá hacer entrega del mismo en versión pública.  </w:t>
      </w:r>
    </w:p>
    <w:p w14:paraId="0D22E297" w14:textId="77777777" w:rsidR="00E05C6C" w:rsidRDefault="00E05C6C">
      <w:pPr>
        <w:spacing w:line="360" w:lineRule="auto"/>
        <w:jc w:val="both"/>
        <w:rPr>
          <w:rFonts w:ascii="Palatino Linotype" w:eastAsia="Palatino Linotype" w:hAnsi="Palatino Linotype" w:cs="Palatino Linotype"/>
        </w:rPr>
      </w:pPr>
    </w:p>
    <w:p w14:paraId="0E5B620C" w14:textId="77777777" w:rsidR="00E05C6C" w:rsidRDefault="00982A5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Por cuanto hace al punto tercero de la solicitud, mediante el cual, el ahora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solicita del Ayuntamiento de Toluca: </w:t>
      </w:r>
    </w:p>
    <w:p w14:paraId="62CD19C2" w14:textId="77777777" w:rsidR="00E05C6C" w:rsidRDefault="00E05C6C">
      <w:pPr>
        <w:spacing w:line="360" w:lineRule="auto"/>
        <w:jc w:val="both"/>
        <w:rPr>
          <w:rFonts w:ascii="Palatino Linotype" w:eastAsia="Palatino Linotype" w:hAnsi="Palatino Linotype" w:cs="Palatino Linotype"/>
        </w:rPr>
      </w:pPr>
    </w:p>
    <w:p w14:paraId="7162188A" w14:textId="77777777" w:rsidR="00E05C6C" w:rsidRDefault="00982A5F">
      <w:pPr>
        <w:spacing w:line="360" w:lineRule="auto"/>
        <w:jc w:val="both"/>
        <w:rPr>
          <w:rFonts w:ascii="Palatino Linotype" w:eastAsia="Palatino Linotype" w:hAnsi="Palatino Linotype" w:cs="Palatino Linotype"/>
          <w:i/>
        </w:rPr>
      </w:pPr>
      <w:r>
        <w:rPr>
          <w:rFonts w:ascii="Palatino Linotype" w:eastAsia="Palatino Linotype" w:hAnsi="Palatino Linotype" w:cs="Palatino Linotype"/>
          <w:i/>
        </w:rPr>
        <w:t>“3-Con el propósito de conocer como las áreas dependencias pretenden atender la problemática municipal y generar su programa de trabajo del trienio, les pido el Árbol de Problemas y el Árbol de soluciones que hayan o estén desarrollando y sirvió de base para generar entre otros documentos el plan de desarrollo y el presupuesto de este año, favor de incluir las estrategias y objetivos que se desprenden de estas herramientas”.</w:t>
      </w:r>
    </w:p>
    <w:p w14:paraId="5B546A01" w14:textId="77777777" w:rsidR="00E05C6C" w:rsidRDefault="00E05C6C">
      <w:pPr>
        <w:spacing w:line="360" w:lineRule="auto"/>
        <w:jc w:val="both"/>
        <w:rPr>
          <w:rFonts w:ascii="Palatino Linotype" w:eastAsia="Palatino Linotype" w:hAnsi="Palatino Linotype" w:cs="Palatino Linotype"/>
          <w:i/>
        </w:rPr>
      </w:pPr>
    </w:p>
    <w:p w14:paraId="50739C94" w14:textId="77777777" w:rsidR="00E05C6C" w:rsidRDefault="00982A5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EL SUJETO OBLIGADO </w:t>
      </w:r>
      <w:r>
        <w:rPr>
          <w:rFonts w:ascii="Palatino Linotype" w:eastAsia="Palatino Linotype" w:hAnsi="Palatino Linotype" w:cs="Palatino Linotype"/>
        </w:rPr>
        <w:t xml:space="preserve">en su respuesta señaló que el Árbol de problemas y soluciones puede ser consultado en los anexos de las páginas 514 y 513 del Plan de Desarrollo Municipal 2022-2024 y en cuanto a las estrategias y objetivos, dicha información se encuentra en los proyectos aceleradores del desarrollo que también forman parte del Plan de Desarrollo Municipal. Adjuntando a dirección de consulta: https://www2.toluca.gob.mx/wp-content/uploads/2022/03/tol-pdf-plan-de-desarrollo-minicipal-2022_2024.pdf.  Enlace que fue consultado por esta Ponencia, encontrando lo siguiente: </w:t>
      </w:r>
    </w:p>
    <w:p w14:paraId="7E4AA909" w14:textId="77777777" w:rsidR="00E05C6C" w:rsidRDefault="00E05C6C">
      <w:pPr>
        <w:spacing w:line="360" w:lineRule="auto"/>
        <w:jc w:val="both"/>
        <w:rPr>
          <w:rFonts w:ascii="Palatino Linotype" w:eastAsia="Palatino Linotype" w:hAnsi="Palatino Linotype" w:cs="Palatino Linotype"/>
        </w:rPr>
      </w:pPr>
    </w:p>
    <w:p w14:paraId="1143C538" w14:textId="77777777" w:rsidR="00E05C6C" w:rsidRDefault="00982A5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noProof/>
        </w:rPr>
        <w:lastRenderedPageBreak/>
        <w:drawing>
          <wp:inline distT="114300" distB="114300" distL="114300" distR="114300" wp14:anchorId="79E3EB2F" wp14:editId="37C25A05">
            <wp:extent cx="5791200" cy="3623136"/>
            <wp:effectExtent l="0" t="0" r="0" b="0"/>
            <wp:docPr id="36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b="10708"/>
                    <a:stretch>
                      <a:fillRect/>
                    </a:stretch>
                  </pic:blipFill>
                  <pic:spPr>
                    <a:xfrm>
                      <a:off x="0" y="0"/>
                      <a:ext cx="5791200" cy="3623136"/>
                    </a:xfrm>
                    <a:prstGeom prst="rect">
                      <a:avLst/>
                    </a:prstGeom>
                    <a:ln/>
                  </pic:spPr>
                </pic:pic>
              </a:graphicData>
            </a:graphic>
          </wp:inline>
        </w:drawing>
      </w:r>
    </w:p>
    <w:p w14:paraId="6FF1AE10" w14:textId="77777777" w:rsidR="00E05C6C" w:rsidRDefault="00982A5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noProof/>
        </w:rPr>
        <w:lastRenderedPageBreak/>
        <w:drawing>
          <wp:inline distT="114300" distB="114300" distL="114300" distR="114300" wp14:anchorId="360433AE" wp14:editId="5A3F6716">
            <wp:extent cx="5791835" cy="3708400"/>
            <wp:effectExtent l="0" t="0" r="0" b="0"/>
            <wp:docPr id="37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5791835" cy="3708400"/>
                    </a:xfrm>
                    <a:prstGeom prst="rect">
                      <a:avLst/>
                    </a:prstGeom>
                    <a:ln/>
                  </pic:spPr>
                </pic:pic>
              </a:graphicData>
            </a:graphic>
          </wp:inline>
        </w:drawing>
      </w:r>
    </w:p>
    <w:p w14:paraId="25AF88E9" w14:textId="77777777" w:rsidR="00E05C6C" w:rsidRDefault="00E05C6C">
      <w:pPr>
        <w:spacing w:line="360" w:lineRule="auto"/>
        <w:jc w:val="both"/>
        <w:rPr>
          <w:rFonts w:ascii="Palatino Linotype" w:eastAsia="Palatino Linotype" w:hAnsi="Palatino Linotype" w:cs="Palatino Linotype"/>
        </w:rPr>
      </w:pPr>
    </w:p>
    <w:p w14:paraId="5A24181A" w14:textId="77777777" w:rsidR="00E05C6C" w:rsidRDefault="00982A5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las imágenes antes referidas, se observa el comunicado número 134/2022  del Ayuntamiento de Toluca de fecha 28 de abril de 2022 , mediante el cual se indica que se aprobó en la Comisión de Planeación para el desarrollo municipal el dictamen relativo al Plan de Desarrollo Municipal, por lo que se presentará al cabildo próximamente. </w:t>
      </w:r>
    </w:p>
    <w:p w14:paraId="35BD85E5" w14:textId="77777777" w:rsidR="00E05C6C" w:rsidRDefault="00E05C6C">
      <w:pPr>
        <w:spacing w:line="360" w:lineRule="auto"/>
        <w:jc w:val="both"/>
        <w:rPr>
          <w:rFonts w:ascii="Palatino Linotype" w:eastAsia="Palatino Linotype" w:hAnsi="Palatino Linotype" w:cs="Palatino Linotype"/>
        </w:rPr>
      </w:pPr>
    </w:p>
    <w:p w14:paraId="42C683F9" w14:textId="77777777" w:rsidR="00E05C6C" w:rsidRDefault="00982A5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relación a lo anterior, se aprecia de forma medular que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refiere que la información solicitada se encuentra disponible para su consulta en el Plan </w:t>
      </w:r>
      <w:r>
        <w:rPr>
          <w:rFonts w:ascii="Palatino Linotype" w:eastAsia="Palatino Linotype" w:hAnsi="Palatino Linotype" w:cs="Palatino Linotype"/>
        </w:rPr>
        <w:lastRenderedPageBreak/>
        <w:t xml:space="preserve">de Desarrollo Municipal; por su parte el enlace adjunto a la respuesta no colma la petición del particular. </w:t>
      </w:r>
    </w:p>
    <w:p w14:paraId="54C1C2DE" w14:textId="77777777" w:rsidR="00E05C6C" w:rsidRDefault="00E05C6C">
      <w:pPr>
        <w:spacing w:line="360" w:lineRule="auto"/>
        <w:jc w:val="both"/>
        <w:rPr>
          <w:rFonts w:ascii="Palatino Linotype" w:eastAsia="Palatino Linotype" w:hAnsi="Palatino Linotype" w:cs="Palatino Linotype"/>
        </w:rPr>
      </w:pPr>
    </w:p>
    <w:p w14:paraId="285DAF91" w14:textId="77777777" w:rsidR="00E05C6C" w:rsidRDefault="00982A5F">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rPr>
        <w:t>En tal sentido es de mencionar que la Ley Orgánica Municipal del Estado de México establece en el artículo 114 y sus consecutivos lo siguiente</w:t>
      </w:r>
      <w:r>
        <w:rPr>
          <w:rFonts w:ascii="Palatino Linotype" w:eastAsia="Palatino Linotype" w:hAnsi="Palatino Linotype" w:cs="Palatino Linotype"/>
          <w:sz w:val="22"/>
          <w:szCs w:val="22"/>
        </w:rPr>
        <w:t xml:space="preserve">: </w:t>
      </w:r>
    </w:p>
    <w:p w14:paraId="2D251D40" w14:textId="77777777" w:rsidR="00E05C6C" w:rsidRDefault="00982A5F">
      <w:pPr>
        <w:ind w:left="567"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114.- </w:t>
      </w:r>
      <w:r>
        <w:rPr>
          <w:rFonts w:ascii="Palatino Linotype" w:eastAsia="Palatino Linotype" w:hAnsi="Palatino Linotype" w:cs="Palatino Linotype"/>
          <w:i/>
          <w:sz w:val="22"/>
          <w:szCs w:val="22"/>
        </w:rPr>
        <w:t xml:space="preserve">Cada ayuntamiento elaborará su plan de desarrollo municipal y los programas de trabajo necesarios para su ejecución en forma democrática y participativa. </w:t>
      </w:r>
    </w:p>
    <w:p w14:paraId="03DFF659" w14:textId="77777777" w:rsidR="00E05C6C" w:rsidRDefault="00E05C6C">
      <w:pPr>
        <w:ind w:left="567" w:right="899"/>
        <w:jc w:val="both"/>
        <w:rPr>
          <w:rFonts w:ascii="Palatino Linotype" w:eastAsia="Palatino Linotype" w:hAnsi="Palatino Linotype" w:cs="Palatino Linotype"/>
          <w:b/>
          <w:i/>
          <w:sz w:val="22"/>
          <w:szCs w:val="22"/>
        </w:rPr>
      </w:pPr>
    </w:p>
    <w:p w14:paraId="41FA5C7E" w14:textId="77777777" w:rsidR="00E05C6C" w:rsidRDefault="00982A5F">
      <w:pPr>
        <w:ind w:left="567"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115.- </w:t>
      </w:r>
      <w:r>
        <w:rPr>
          <w:rFonts w:ascii="Palatino Linotype" w:eastAsia="Palatino Linotype" w:hAnsi="Palatino Linotype" w:cs="Palatino Linotype"/>
          <w:i/>
          <w:sz w:val="22"/>
          <w:szCs w:val="22"/>
        </w:rPr>
        <w:t xml:space="preserve">La formulación, aprobación, ejecución, control y evaluación del plan y programas municipales estarán a cargo de los órganos, dependencias o servidores públicos que determinen los ayuntamientos, conforme a las normas legales de la materia y las que cada cabildo determine. </w:t>
      </w:r>
    </w:p>
    <w:p w14:paraId="3CBB3566" w14:textId="77777777" w:rsidR="00E05C6C" w:rsidRDefault="00E05C6C">
      <w:pPr>
        <w:ind w:left="567" w:right="899"/>
        <w:jc w:val="both"/>
        <w:rPr>
          <w:rFonts w:ascii="Palatino Linotype" w:eastAsia="Palatino Linotype" w:hAnsi="Palatino Linotype" w:cs="Palatino Linotype"/>
          <w:b/>
          <w:i/>
          <w:sz w:val="22"/>
          <w:szCs w:val="22"/>
        </w:rPr>
      </w:pPr>
    </w:p>
    <w:p w14:paraId="74FC6BE8" w14:textId="77777777" w:rsidR="00E05C6C" w:rsidRDefault="00982A5F">
      <w:pPr>
        <w:ind w:left="567"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116.</w:t>
      </w:r>
      <w:r>
        <w:rPr>
          <w:rFonts w:ascii="Palatino Linotype" w:eastAsia="Palatino Linotype" w:hAnsi="Palatino Linotype" w:cs="Palatino Linotype"/>
          <w:i/>
          <w:sz w:val="22"/>
          <w:szCs w:val="22"/>
        </w:rPr>
        <w:t xml:space="preserve">- El Plan de Desarrollo Municipal deberá ser elaborado, aprobado y publicado dentro de los primeros tres meses de la gestión municipal. Su evaluación deberá realizarse anualmente; y en caso de no hacerse se hará acreedor a las sanciones de las dependencias normativas en el ámbito de su competencia. </w:t>
      </w:r>
    </w:p>
    <w:p w14:paraId="12C4AC07" w14:textId="77777777" w:rsidR="00E05C6C" w:rsidRDefault="00E05C6C">
      <w:pPr>
        <w:ind w:left="567" w:right="899"/>
        <w:jc w:val="both"/>
        <w:rPr>
          <w:rFonts w:ascii="Palatino Linotype" w:eastAsia="Palatino Linotype" w:hAnsi="Palatino Linotype" w:cs="Palatino Linotype"/>
          <w:b/>
          <w:i/>
          <w:sz w:val="22"/>
          <w:szCs w:val="22"/>
        </w:rPr>
      </w:pPr>
    </w:p>
    <w:p w14:paraId="1E084F0E" w14:textId="77777777" w:rsidR="00E05C6C" w:rsidRDefault="00E05C6C">
      <w:pPr>
        <w:spacing w:line="360" w:lineRule="auto"/>
        <w:jc w:val="both"/>
        <w:rPr>
          <w:rFonts w:ascii="Palatino Linotype" w:eastAsia="Palatino Linotype" w:hAnsi="Palatino Linotype" w:cs="Palatino Linotype"/>
          <w:sz w:val="22"/>
          <w:szCs w:val="22"/>
        </w:rPr>
      </w:pPr>
    </w:p>
    <w:p w14:paraId="3FCD7CA4" w14:textId="77777777" w:rsidR="00E05C6C" w:rsidRDefault="00982A5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la interpretación sistemática y armónica de los preceptos citados se puede indicar que la elaboración del Plan de Desarrollo Municipal será facultad de los Municipios, quienes para tales efectos podrán realizar las gestiones y colaboraciones necesarias y deberán elaborarlo, aprobarlo y publicarlo dentro de los primeros tres meses de su gestión municipal. </w:t>
      </w:r>
    </w:p>
    <w:p w14:paraId="49336E07" w14:textId="77777777" w:rsidR="00E05C6C" w:rsidRDefault="00E05C6C">
      <w:pPr>
        <w:spacing w:line="360" w:lineRule="auto"/>
        <w:jc w:val="both"/>
        <w:rPr>
          <w:rFonts w:ascii="Palatino Linotype" w:eastAsia="Palatino Linotype" w:hAnsi="Palatino Linotype" w:cs="Palatino Linotype"/>
        </w:rPr>
      </w:pPr>
    </w:p>
    <w:p w14:paraId="5510E333" w14:textId="77777777" w:rsidR="00E05C6C" w:rsidRDefault="00982A5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Dicho plan contendrá según lo señalan los artículos 117 y 118 los objetivos tendientes a atender las demandas de la población, propiciar el desarrollo del municipio asegurar la participación de la sociedad y aplicar de forma racional los recursos además </w:t>
      </w:r>
      <w:r>
        <w:rPr>
          <w:rFonts w:ascii="Palatino Linotype" w:eastAsia="Palatino Linotype" w:hAnsi="Palatino Linotype" w:cs="Palatino Linotype"/>
        </w:rPr>
        <w:lastRenderedPageBreak/>
        <w:t xml:space="preserve">contendrá al menos un diagnóstico de las condiciones económicas y sociales del municipio, las metas a alcanzar y las estrategias a seguir, tal y como se observa del contenido de los preceptos referidos: </w:t>
      </w:r>
    </w:p>
    <w:p w14:paraId="03E90182" w14:textId="77777777" w:rsidR="00E05C6C" w:rsidRDefault="00E05C6C">
      <w:pPr>
        <w:spacing w:line="360" w:lineRule="auto"/>
        <w:jc w:val="both"/>
        <w:rPr>
          <w:rFonts w:ascii="Palatino Linotype" w:eastAsia="Palatino Linotype" w:hAnsi="Palatino Linotype" w:cs="Palatino Linotype"/>
        </w:rPr>
      </w:pPr>
    </w:p>
    <w:p w14:paraId="1CEB93DF" w14:textId="77777777" w:rsidR="00E05C6C" w:rsidRDefault="00982A5F">
      <w:pPr>
        <w:ind w:left="567"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117.- </w:t>
      </w:r>
      <w:r>
        <w:rPr>
          <w:rFonts w:ascii="Palatino Linotype" w:eastAsia="Palatino Linotype" w:hAnsi="Palatino Linotype" w:cs="Palatino Linotype"/>
          <w:i/>
          <w:sz w:val="22"/>
          <w:szCs w:val="22"/>
        </w:rPr>
        <w:t xml:space="preserve">El Plan de Desarrollo Municipal tendrá los objetivos siguientes: a) atender las demandas prioritarias de la población; b) propiciar el desarrollo armónico del municipio; c) asegurar la participación de la sociedad en las acciones del gobierno municipal; d) vincular el Plan de Desarrollo Municipal con los demás planes de desarrollo federal y estatal y; e) aplicar de manera racional los recursos financieros para el cumplimiento del plan y los programas de desarrollo. </w:t>
      </w:r>
    </w:p>
    <w:p w14:paraId="14949BF8" w14:textId="77777777" w:rsidR="00E05C6C" w:rsidRDefault="00E05C6C">
      <w:pPr>
        <w:ind w:left="567" w:right="899"/>
        <w:jc w:val="both"/>
        <w:rPr>
          <w:rFonts w:ascii="Palatino Linotype" w:eastAsia="Palatino Linotype" w:hAnsi="Palatino Linotype" w:cs="Palatino Linotype"/>
          <w:b/>
          <w:i/>
          <w:sz w:val="22"/>
          <w:szCs w:val="22"/>
        </w:rPr>
      </w:pPr>
    </w:p>
    <w:p w14:paraId="24303749" w14:textId="77777777" w:rsidR="00E05C6C" w:rsidRDefault="00982A5F">
      <w:pPr>
        <w:ind w:left="567"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118.- El Plan de Desarrollo Municipal contendrá al menos, un diagnóstico sobre las condiciones económicas y sociales del municipio</w:t>
      </w:r>
      <w:r>
        <w:rPr>
          <w:rFonts w:ascii="Palatino Linotype" w:eastAsia="Palatino Linotype" w:hAnsi="Palatino Linotype" w:cs="Palatino Linotype"/>
          <w:i/>
          <w:sz w:val="22"/>
          <w:szCs w:val="22"/>
        </w:rPr>
        <w:t>, las metas a alcanzar, las estrategias a seguir, los plazos de ejecución, las dependencias y organismos responsables de su cumplimiento y las bases de coordinación y concertación que se requieren para su conocimiento. “</w:t>
      </w:r>
    </w:p>
    <w:p w14:paraId="68C5BC37" w14:textId="77777777" w:rsidR="00E05C6C" w:rsidRDefault="00982A5F">
      <w:pPr>
        <w:ind w:left="567"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(Énfasis añadido)</w:t>
      </w:r>
    </w:p>
    <w:p w14:paraId="04D27BE0" w14:textId="77777777" w:rsidR="00E05C6C" w:rsidRDefault="00E05C6C">
      <w:pPr>
        <w:spacing w:line="360" w:lineRule="auto"/>
        <w:jc w:val="both"/>
        <w:rPr>
          <w:rFonts w:ascii="Palatino Linotype" w:eastAsia="Palatino Linotype" w:hAnsi="Palatino Linotype" w:cs="Palatino Linotype"/>
        </w:rPr>
      </w:pPr>
    </w:p>
    <w:p w14:paraId="19E6F773" w14:textId="77777777" w:rsidR="00E05C6C" w:rsidRDefault="00982A5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Aunado a ello, de conformidad con la Ley de Planeación del Estado de México y Municipios los planes de desarrollo se formularán, aprobarán y publicarán dentro de un plazo de seis meses para el Ejecutivo del Estado y cuatro meses para los ayuntamientos, contados a partir del inicio del periodo constitucional de gobierno y en su elaboración se tomarán en cuenta las opiniones y aportaciones de los diversos grupos de la sociedad; así como el Plan de Desarrollo precedente, también habrán de considerarse estrategias, objetivos y metas, que deberán ser revisadas y consideradas. </w:t>
      </w:r>
    </w:p>
    <w:p w14:paraId="4CAFBDA9" w14:textId="77777777" w:rsidR="00E05C6C" w:rsidRDefault="00E05C6C">
      <w:pPr>
        <w:spacing w:line="360" w:lineRule="auto"/>
        <w:jc w:val="both"/>
        <w:rPr>
          <w:rFonts w:ascii="Palatino Linotype" w:eastAsia="Palatino Linotype" w:hAnsi="Palatino Linotype" w:cs="Palatino Linotype"/>
        </w:rPr>
      </w:pPr>
    </w:p>
    <w:p w14:paraId="0D0BCFCB" w14:textId="77777777" w:rsidR="00E05C6C" w:rsidRDefault="00982A5F">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rPr>
        <w:lastRenderedPageBreak/>
        <w:t>Con lo anterior en mente, se debe señalar que de acuerdo con el Consejo Nacional de Evaluación de la Política de Desarrollo Social (CONEVAL), el árbol del problema y de objetivos, son herramientas metodológicas que apoyan la elaboración de la Matriz de Indicadores para Resultados (MIR), estas permiten identificar la naturaleza y contexto de la problemática que se pretende resolver mediante una estrategia, programa, proyecto, etcétera</w:t>
      </w:r>
      <w:r>
        <w:rPr>
          <w:rFonts w:ascii="Palatino Linotype" w:eastAsia="Palatino Linotype" w:hAnsi="Palatino Linotype" w:cs="Palatino Linotype"/>
          <w:sz w:val="22"/>
          <w:szCs w:val="22"/>
        </w:rPr>
        <w:t>.</w:t>
      </w:r>
    </w:p>
    <w:p w14:paraId="192F5898" w14:textId="77777777" w:rsidR="00E05C6C" w:rsidRDefault="00E05C6C">
      <w:pPr>
        <w:spacing w:line="360" w:lineRule="auto"/>
        <w:jc w:val="both"/>
        <w:rPr>
          <w:rFonts w:ascii="Palatino Linotype" w:eastAsia="Palatino Linotype" w:hAnsi="Palatino Linotype" w:cs="Palatino Linotype"/>
          <w:sz w:val="22"/>
          <w:szCs w:val="22"/>
        </w:rPr>
      </w:pPr>
    </w:p>
    <w:p w14:paraId="48667B63" w14:textId="77777777" w:rsidR="00E05C6C" w:rsidRDefault="00982A5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un lado, el Consejo Nacional de Evaluación de la Política de Desarrollo Social, precisa que para el desarrollo del árbol del problema se tienen que identificar tanto las causas que originan el problema como los efectos directos e indirectos que ocasiona en el mediano y largo plazo; cabe precisar que la vinculación que esta herramienta tiene con el Matriz de Indicadores para Resultados es que permite identificar y definir los objetivos que contendrá el resumen narrativo (fin, propósito, componentes y actividades). </w:t>
      </w:r>
    </w:p>
    <w:p w14:paraId="1E985956" w14:textId="77777777" w:rsidR="00E05C6C" w:rsidRDefault="00E05C6C">
      <w:pPr>
        <w:spacing w:line="360" w:lineRule="auto"/>
        <w:jc w:val="both"/>
        <w:rPr>
          <w:rFonts w:ascii="Palatino Linotype" w:eastAsia="Palatino Linotype" w:hAnsi="Palatino Linotype" w:cs="Palatino Linotype"/>
        </w:rPr>
      </w:pPr>
    </w:p>
    <w:p w14:paraId="55A7FFF3" w14:textId="77777777" w:rsidR="00E05C6C" w:rsidRDefault="00982A5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Asimismo, es de mencionar que el árbol del problema se representa en un diagrama en el cual el problema central se identifica en el tronco del árbol; las causas del problema se establecen del tronco hacia las raíces; y los efectos se establecen del tronco hacia las ramas o la copa del árbol, como a continuación se muestra: </w:t>
      </w:r>
    </w:p>
    <w:p w14:paraId="2912E099" w14:textId="77777777" w:rsidR="00E05C6C" w:rsidRDefault="00982A5F">
      <w:pPr>
        <w:spacing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rPr>
        <w:lastRenderedPageBreak/>
        <w:drawing>
          <wp:inline distT="0" distB="0" distL="0" distR="0" wp14:anchorId="4D629EC4" wp14:editId="5B71B4FF">
            <wp:extent cx="4721115" cy="2542482"/>
            <wp:effectExtent l="0" t="0" r="0" b="0"/>
            <wp:docPr id="371" name="image3.png"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png" descr="Diagrama&#10;&#10;Descripción generada automáticamente"/>
                    <pic:cNvPicPr preferRelativeResize="0"/>
                  </pic:nvPicPr>
                  <pic:blipFill>
                    <a:blip r:embed="rId14"/>
                    <a:srcRect/>
                    <a:stretch>
                      <a:fillRect/>
                    </a:stretch>
                  </pic:blipFill>
                  <pic:spPr>
                    <a:xfrm>
                      <a:off x="0" y="0"/>
                      <a:ext cx="4721115" cy="2542482"/>
                    </a:xfrm>
                    <a:prstGeom prst="rect">
                      <a:avLst/>
                    </a:prstGeom>
                    <a:ln/>
                  </pic:spPr>
                </pic:pic>
              </a:graphicData>
            </a:graphic>
          </wp:inline>
        </w:drawing>
      </w:r>
    </w:p>
    <w:p w14:paraId="543F26D2" w14:textId="77777777" w:rsidR="00E05C6C" w:rsidRDefault="00E05C6C">
      <w:pPr>
        <w:spacing w:line="360" w:lineRule="auto"/>
        <w:rPr>
          <w:rFonts w:ascii="Palatino Linotype" w:eastAsia="Palatino Linotype" w:hAnsi="Palatino Linotype" w:cs="Palatino Linotype"/>
        </w:rPr>
      </w:pPr>
    </w:p>
    <w:p w14:paraId="15C12CF2" w14:textId="77777777" w:rsidR="00E05C6C" w:rsidRDefault="00982A5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otro lado, el árbol de objetivos de acuerdo con la Guía de la Construcción de la Matriz de Indicadores para Resultados precisa que este es utilizado para definir la situación futura a lograr que solventará las necesidades o problemas identificados en el análisis del problema, este consiste en traducir las causas- efectos en medios-fines, convierte el análisis de problemas en definición de objetivos y; los problemas enunciados como situaciones negativas evolucionan en condiciones positivas de futuro o estados alcanzados, del mismo modo, se establecerán las soluciones alternativas, es decir; se seleccionará dentro del árbol de objetivos las opciones de medios que pueden llevarse a cabo con mayores posibilidades de éxito. </w:t>
      </w:r>
    </w:p>
    <w:p w14:paraId="2EE5ED8C" w14:textId="77777777" w:rsidR="00E05C6C" w:rsidRDefault="00E05C6C">
      <w:pPr>
        <w:spacing w:line="360" w:lineRule="auto"/>
        <w:jc w:val="both"/>
        <w:rPr>
          <w:rFonts w:ascii="Palatino Linotype" w:eastAsia="Palatino Linotype" w:hAnsi="Palatino Linotype" w:cs="Palatino Linotype"/>
        </w:rPr>
      </w:pPr>
    </w:p>
    <w:p w14:paraId="45D6DF16" w14:textId="77777777" w:rsidR="00E05C6C" w:rsidRDefault="00982A5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otras palabras, se construye un árbol de objetivos con base en el problema y los efectos que se generan, con la finalidad de que se transformen en medios de solución y los fines que se persiguen con el logro del objetivo, como se observa a continuación: </w:t>
      </w:r>
    </w:p>
    <w:p w14:paraId="5F3936EB" w14:textId="77777777" w:rsidR="00E05C6C" w:rsidRDefault="00E05C6C">
      <w:pPr>
        <w:spacing w:line="360" w:lineRule="auto"/>
        <w:jc w:val="both"/>
        <w:rPr>
          <w:rFonts w:ascii="Palatino Linotype" w:eastAsia="Palatino Linotype" w:hAnsi="Palatino Linotype" w:cs="Palatino Linotype"/>
        </w:rPr>
      </w:pPr>
    </w:p>
    <w:p w14:paraId="30FCACBD" w14:textId="77777777" w:rsidR="00E05C6C" w:rsidRDefault="00982A5F">
      <w:pPr>
        <w:spacing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rPr>
        <w:drawing>
          <wp:inline distT="0" distB="0" distL="0" distR="0" wp14:anchorId="343974C7" wp14:editId="1B41BD7A">
            <wp:extent cx="4991797" cy="1590897"/>
            <wp:effectExtent l="0" t="0" r="0" b="0"/>
            <wp:docPr id="374" name="image8.png" descr="Interfaz de usuario gráfic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8.png" descr="Interfaz de usuario gráfica&#10;&#10;Descripción generada automáticamente"/>
                    <pic:cNvPicPr preferRelativeResize="0"/>
                  </pic:nvPicPr>
                  <pic:blipFill>
                    <a:blip r:embed="rId15"/>
                    <a:srcRect/>
                    <a:stretch>
                      <a:fillRect/>
                    </a:stretch>
                  </pic:blipFill>
                  <pic:spPr>
                    <a:xfrm>
                      <a:off x="0" y="0"/>
                      <a:ext cx="4991797" cy="1590897"/>
                    </a:xfrm>
                    <a:prstGeom prst="rect">
                      <a:avLst/>
                    </a:prstGeom>
                    <a:ln/>
                  </pic:spPr>
                </pic:pic>
              </a:graphicData>
            </a:graphic>
          </wp:inline>
        </w:drawing>
      </w:r>
    </w:p>
    <w:p w14:paraId="687BA08E" w14:textId="77777777" w:rsidR="00E05C6C" w:rsidRDefault="00E05C6C">
      <w:pPr>
        <w:spacing w:line="360" w:lineRule="auto"/>
        <w:jc w:val="center"/>
        <w:rPr>
          <w:rFonts w:ascii="Palatino Linotype" w:eastAsia="Palatino Linotype" w:hAnsi="Palatino Linotype" w:cs="Palatino Linotype"/>
        </w:rPr>
      </w:pPr>
    </w:p>
    <w:p w14:paraId="69CB55E1" w14:textId="77777777" w:rsidR="00E05C6C" w:rsidRDefault="00982A5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Dicho lo anterior, es menester precisar que, si bien es cierto, el Particular requirió el árbol de problemas y soluciones, también lo es en que no se advierte la existencia de una herramienta metodológica definida como “árbol de soluciones” sino que en el que se definen las posibles soluciones de las problemáticas planteadas es en el “árbol del objetivo”. </w:t>
      </w:r>
    </w:p>
    <w:p w14:paraId="38AA80F7" w14:textId="77777777" w:rsidR="00E05C6C" w:rsidRDefault="00E05C6C">
      <w:pPr>
        <w:spacing w:line="360" w:lineRule="auto"/>
        <w:jc w:val="both"/>
        <w:rPr>
          <w:rFonts w:ascii="Palatino Linotype" w:eastAsia="Palatino Linotype" w:hAnsi="Palatino Linotype" w:cs="Palatino Linotype"/>
        </w:rPr>
      </w:pPr>
    </w:p>
    <w:p w14:paraId="0022509C" w14:textId="77777777" w:rsidR="00E05C6C" w:rsidRDefault="00982A5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otro lado, cabe señalar que, en efecto, tanto el árbol del problema como el árbol del objetivo, son herramientas que permiten la elaboración de la Matriz de Indicadores para Resultados (MIR), la cual en materia presupuestaria permitirá vincular los instrumentos para el diseño, organización, ejecución y mejora de los programas presupuestarios, y en materia de desarrollo alineará los objetivos a nivel de las actividades, componentes, propósito y fines con sus respectivos indicadores. </w:t>
      </w:r>
    </w:p>
    <w:p w14:paraId="3F7B3216" w14:textId="77777777" w:rsidR="00E05C6C" w:rsidRDefault="00E05C6C">
      <w:pPr>
        <w:spacing w:line="360" w:lineRule="auto"/>
        <w:jc w:val="both"/>
        <w:rPr>
          <w:rFonts w:ascii="Palatino Linotype" w:eastAsia="Palatino Linotype" w:hAnsi="Palatino Linotype" w:cs="Palatino Linotype"/>
        </w:rPr>
      </w:pPr>
    </w:p>
    <w:p w14:paraId="743D3F6C" w14:textId="77777777" w:rsidR="00E05C6C" w:rsidRDefault="00982A5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sentido, resulta relevante señalar que la publicación del presupuesto de egresos para el presente ejercicio fiscal fue el treinta y uno de enero de dos mil veintidós, por </w:t>
      </w:r>
      <w:r>
        <w:rPr>
          <w:rFonts w:ascii="Palatino Linotype" w:eastAsia="Palatino Linotype" w:hAnsi="Palatino Linotype" w:cs="Palatino Linotype"/>
        </w:rPr>
        <w:lastRenderedPageBreak/>
        <w:t xml:space="preserve">lo que, el árbol del problema y del objetivo, ya se habrían generado a la fecha de la solicitud de información (la cual fue presentada el cinco de abril de dos mil veintidós), toda vez que como se precisó son documentos de apoyo para la elaboración de la Matriz de Indicadores para Resultados y, la cual será utilizada para la creación del presupuesto.  </w:t>
      </w:r>
    </w:p>
    <w:p w14:paraId="6CB6FAC2" w14:textId="77777777" w:rsidR="00E05C6C" w:rsidRDefault="00E05C6C">
      <w:pPr>
        <w:spacing w:line="360" w:lineRule="auto"/>
        <w:jc w:val="both"/>
        <w:rPr>
          <w:rFonts w:ascii="Palatino Linotype" w:eastAsia="Palatino Linotype" w:hAnsi="Palatino Linotype" w:cs="Palatino Linotype"/>
        </w:rPr>
      </w:pPr>
    </w:p>
    <w:p w14:paraId="42BECD4D" w14:textId="77777777" w:rsidR="00E05C6C" w:rsidRDefault="00982A5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No pasa desapercibido señalar que el Particular también solicitó las estrategias y objetivos que se desprenden de los árboles, información que, de manera enunciativa, pudieran están contenidos en la Matriz de Indicadores para Resultados utilizadas para la elaboración del presupuesto de egresos, en el entendido de que todos los programas presupuestarios están obligados a tener una MIR a fin de contribuir a la transparencia y la rendición de cuentas.</w:t>
      </w:r>
    </w:p>
    <w:p w14:paraId="2CD6E14F" w14:textId="77777777" w:rsidR="00E05C6C" w:rsidRDefault="00E05C6C">
      <w:pPr>
        <w:spacing w:line="360" w:lineRule="auto"/>
        <w:jc w:val="both"/>
        <w:rPr>
          <w:rFonts w:ascii="Palatino Linotype" w:eastAsia="Palatino Linotype" w:hAnsi="Palatino Linotype" w:cs="Palatino Linotype"/>
        </w:rPr>
      </w:pPr>
    </w:p>
    <w:p w14:paraId="4A8E6179" w14:textId="77777777" w:rsidR="00E05C6C" w:rsidRDefault="00982A5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lo anterior, resulta necesario traer a colación el Criterio 2/17 emitido por el Instituto Nacional de Transparencia, Acceso a la Información y Protección de Datos Personales, el cual precisa que: </w:t>
      </w:r>
    </w:p>
    <w:p w14:paraId="533E4DA0" w14:textId="77777777" w:rsidR="00E05C6C" w:rsidRDefault="00E05C6C">
      <w:pPr>
        <w:spacing w:line="360" w:lineRule="auto"/>
        <w:jc w:val="both"/>
        <w:rPr>
          <w:rFonts w:ascii="Palatino Linotype" w:eastAsia="Palatino Linotype" w:hAnsi="Palatino Linotype" w:cs="Palatino Linotype"/>
        </w:rPr>
      </w:pPr>
    </w:p>
    <w:p w14:paraId="1834D7D5" w14:textId="77777777" w:rsidR="00E05C6C" w:rsidRDefault="00982A5F">
      <w:pPr>
        <w:ind w:left="567" w:right="539"/>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Congruencia y exhaustividad. Sus alcances para garantizar el derecho de acceso a la información. </w:t>
      </w:r>
    </w:p>
    <w:p w14:paraId="3E48BEA7" w14:textId="77777777" w:rsidR="00E05C6C" w:rsidRDefault="00982A5F">
      <w:pPr>
        <w:ind w:left="567" w:right="53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w:t>
      </w:r>
      <w:r>
        <w:rPr>
          <w:rFonts w:ascii="Palatino Linotype" w:eastAsia="Palatino Linotype" w:hAnsi="Palatino Linotype" w:cs="Palatino Linotype"/>
          <w:i/>
          <w:sz w:val="22"/>
          <w:szCs w:val="22"/>
        </w:rPr>
        <w:lastRenderedPageBreak/>
        <w:t>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07C6CFF5" w14:textId="77777777" w:rsidR="00E05C6C" w:rsidRDefault="00982A5F">
      <w:pPr>
        <w:ind w:left="567" w:right="53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(Énfasis añadido)</w:t>
      </w:r>
    </w:p>
    <w:p w14:paraId="7124A1D3" w14:textId="77777777" w:rsidR="00E05C6C" w:rsidRDefault="00E05C6C">
      <w:pPr>
        <w:spacing w:line="360" w:lineRule="auto"/>
        <w:jc w:val="both"/>
        <w:rPr>
          <w:rFonts w:ascii="Palatino Linotype" w:eastAsia="Palatino Linotype" w:hAnsi="Palatino Linotype" w:cs="Palatino Linotype"/>
        </w:rPr>
      </w:pPr>
    </w:p>
    <w:p w14:paraId="256101DB" w14:textId="77777777" w:rsidR="00E05C6C" w:rsidRDefault="00982A5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Del citado criterio, se desprende que todo acto administrativo debe apegarse al principio de exhaustividad y congruencia, entendido el segundo como la concordancia entre el requerimiento formulado por el particular y la respuesta proporcionada por el Sujeto Obligado, es decir que las respuesta que emitan los Sujetos Obligados, así como las resoluciones de los Órganos de Transparencia Estatales, deben guardar una relación lógica con lo solicitado, lo cual en el presente caso no sucedió, toda vez que la respuesta emitida por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no fue congruente con lo solicitado por el Particular. </w:t>
      </w:r>
    </w:p>
    <w:p w14:paraId="1590FF1C" w14:textId="77777777" w:rsidR="00E05C6C" w:rsidRDefault="00E05C6C">
      <w:pPr>
        <w:spacing w:line="360" w:lineRule="auto"/>
        <w:jc w:val="both"/>
        <w:rPr>
          <w:rFonts w:ascii="Palatino Linotype" w:eastAsia="Palatino Linotype" w:hAnsi="Palatino Linotype" w:cs="Palatino Linotype"/>
        </w:rPr>
      </w:pPr>
    </w:p>
    <w:p w14:paraId="769792C3" w14:textId="77777777" w:rsidR="00E05C6C" w:rsidRDefault="00982A5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Asimismo, con la finalidad de reafirmar el razonamiento anterior, conviene recordar que la Ley Orgánica del Estado de México y Municipios  prevé el plazo de tres meses para la publicación del Plan Municipal de Desarrollo, por lo cual si la solicitud de información corresponde al día cinco de abril de dos mil veintidós, el Plan debió haberse aprobado, aunado a ello, del contrato entregado por </w:t>
      </w:r>
      <w:r>
        <w:rPr>
          <w:rFonts w:ascii="Palatino Linotype" w:eastAsia="Palatino Linotype" w:hAnsi="Palatino Linotype" w:cs="Palatino Linotype"/>
          <w:b/>
        </w:rPr>
        <w:t xml:space="preserve">EL SUJETO OBLIGADO </w:t>
      </w:r>
      <w:r>
        <w:rPr>
          <w:rFonts w:ascii="Palatino Linotype" w:eastAsia="Palatino Linotype" w:hAnsi="Palatino Linotype" w:cs="Palatino Linotype"/>
        </w:rPr>
        <w:t xml:space="preserve">en respuesta, se advierte dentro de la Cláusula Décima, relativa a la vigencia, establece que el prestador del servicio deberá entregar  entre otros el Plan de Desarrollo Municipal a más tardar el día veintinueve de marzo de dos mi veintidós, tal y como se aprecia en la siguiente captura de pantalla extraída de contrato en comento:  </w:t>
      </w:r>
    </w:p>
    <w:p w14:paraId="2FE62885" w14:textId="77777777" w:rsidR="00E05C6C" w:rsidRDefault="00982A5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noProof/>
        </w:rPr>
        <w:lastRenderedPageBreak/>
        <w:drawing>
          <wp:inline distT="114300" distB="114300" distL="114300" distR="114300" wp14:anchorId="440EBA3A" wp14:editId="040B12CC">
            <wp:extent cx="5791835" cy="1879600"/>
            <wp:effectExtent l="0" t="0" r="0" b="0"/>
            <wp:docPr id="37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5791835" cy="1879600"/>
                    </a:xfrm>
                    <a:prstGeom prst="rect">
                      <a:avLst/>
                    </a:prstGeom>
                    <a:ln/>
                  </pic:spPr>
                </pic:pic>
              </a:graphicData>
            </a:graphic>
          </wp:inline>
        </w:drawing>
      </w:r>
    </w:p>
    <w:p w14:paraId="2BAD3C87" w14:textId="77777777" w:rsidR="00E05C6C" w:rsidRDefault="00E05C6C">
      <w:pPr>
        <w:widowControl w:val="0"/>
        <w:tabs>
          <w:tab w:val="left" w:pos="1701"/>
          <w:tab w:val="left" w:pos="1843"/>
        </w:tabs>
        <w:spacing w:line="360" w:lineRule="auto"/>
        <w:jc w:val="both"/>
        <w:rPr>
          <w:rFonts w:ascii="Palatino Linotype" w:eastAsia="Palatino Linotype" w:hAnsi="Palatino Linotype" w:cs="Palatino Linotype"/>
        </w:rPr>
      </w:pPr>
    </w:p>
    <w:p w14:paraId="2FF7C216" w14:textId="77777777" w:rsidR="00E05C6C" w:rsidRDefault="00982A5F">
      <w:pPr>
        <w:widowControl w:val="0"/>
        <w:tabs>
          <w:tab w:val="left" w:pos="1701"/>
          <w:tab w:val="left" w:pos="1843"/>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consecuencia, este Instituto determina </w:t>
      </w:r>
      <w:r>
        <w:rPr>
          <w:rFonts w:ascii="Palatino Linotype" w:eastAsia="Palatino Linotype" w:hAnsi="Palatino Linotype" w:cs="Palatino Linotype"/>
          <w:b/>
        </w:rPr>
        <w:t xml:space="preserve">MODIFICAR </w:t>
      </w:r>
      <w:r>
        <w:rPr>
          <w:rFonts w:ascii="Palatino Linotype" w:eastAsia="Palatino Linotype" w:hAnsi="Palatino Linotype" w:cs="Palatino Linotype"/>
        </w:rPr>
        <w:t xml:space="preserve">la respuesta del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 y ordenarle haga entrega de ser procedente en versión pública, de lo siguiente:  </w:t>
      </w:r>
    </w:p>
    <w:p w14:paraId="4EDDA4ED" w14:textId="77777777" w:rsidR="00E05C6C" w:rsidRDefault="00982A5F">
      <w:pPr>
        <w:numPr>
          <w:ilvl w:val="0"/>
          <w:numId w:val="2"/>
        </w:numPr>
        <w:tabs>
          <w:tab w:val="left" w:pos="993"/>
        </w:tabs>
        <w:spacing w:line="360" w:lineRule="auto"/>
        <w:ind w:right="-28"/>
        <w:jc w:val="both"/>
        <w:rPr>
          <w:rFonts w:ascii="Palatino Linotype" w:eastAsia="Palatino Linotype" w:hAnsi="Palatino Linotype" w:cs="Palatino Linotype"/>
        </w:rPr>
      </w:pPr>
      <w:r>
        <w:rPr>
          <w:rFonts w:ascii="Palatino Linotype" w:eastAsia="Palatino Linotype" w:hAnsi="Palatino Linotype" w:cs="Palatino Linotype"/>
        </w:rPr>
        <w:t xml:space="preserve">El contrato celebrado con motivo de la elaboración del Plan de Desarrollo Municipal 2022, así como el o los expedientes correspondientes que se hayan generado con motivo de dicha contratación. </w:t>
      </w:r>
    </w:p>
    <w:p w14:paraId="280CF742" w14:textId="77777777" w:rsidR="00E05C6C" w:rsidRDefault="00982A5F">
      <w:pPr>
        <w:numPr>
          <w:ilvl w:val="0"/>
          <w:numId w:val="2"/>
        </w:numPr>
        <w:tabs>
          <w:tab w:val="left" w:pos="993"/>
        </w:tabs>
        <w:spacing w:line="360" w:lineRule="auto"/>
        <w:ind w:right="-28"/>
        <w:jc w:val="both"/>
        <w:rPr>
          <w:rFonts w:ascii="Palatino Linotype" w:eastAsia="Palatino Linotype" w:hAnsi="Palatino Linotype" w:cs="Palatino Linotype"/>
        </w:rPr>
      </w:pPr>
      <w:r>
        <w:rPr>
          <w:rFonts w:ascii="Palatino Linotype" w:eastAsia="Palatino Linotype" w:hAnsi="Palatino Linotype" w:cs="Palatino Linotype"/>
        </w:rPr>
        <w:t xml:space="preserve">Documentos que den cuenta sobre los problemas y objetivos, utilizados para la elaboración del Plan de Desarrollo Municipal 2022 y del presupuesto de egresos del presente ejercicio fiscal, generados al cinco de abril  de dos mil veintidós. </w:t>
      </w:r>
    </w:p>
    <w:p w14:paraId="14766CAE" w14:textId="77777777" w:rsidR="00E05C6C" w:rsidRDefault="00982A5F">
      <w:pPr>
        <w:numPr>
          <w:ilvl w:val="0"/>
          <w:numId w:val="2"/>
        </w:numPr>
        <w:tabs>
          <w:tab w:val="left" w:pos="993"/>
        </w:tabs>
        <w:spacing w:line="360" w:lineRule="auto"/>
        <w:ind w:right="-28"/>
        <w:jc w:val="both"/>
        <w:rPr>
          <w:rFonts w:ascii="Palatino Linotype" w:eastAsia="Palatino Linotype" w:hAnsi="Palatino Linotype" w:cs="Palatino Linotype"/>
        </w:rPr>
      </w:pPr>
      <w:r>
        <w:rPr>
          <w:rFonts w:ascii="Palatino Linotype" w:eastAsia="Palatino Linotype" w:hAnsi="Palatino Linotype" w:cs="Palatino Linotype"/>
        </w:rPr>
        <w:t>Documento donde consten las estrategias y objetivos que se desprendieron de los problemas y objetivos valorados para la elaboración del Plan de Desarrollo Municipal 2022, generados al cinco de abril de dos mil veintidós.</w:t>
      </w:r>
    </w:p>
    <w:p w14:paraId="1E34108D" w14:textId="77777777" w:rsidR="00E05C6C" w:rsidRDefault="00E05C6C">
      <w:pPr>
        <w:widowControl w:val="0"/>
        <w:tabs>
          <w:tab w:val="left" w:pos="1701"/>
          <w:tab w:val="left" w:pos="1843"/>
        </w:tabs>
        <w:spacing w:line="360" w:lineRule="auto"/>
        <w:jc w:val="both"/>
        <w:rPr>
          <w:rFonts w:ascii="Palatino Linotype" w:eastAsia="Palatino Linotype" w:hAnsi="Palatino Linotype" w:cs="Palatino Linotype"/>
        </w:rPr>
      </w:pPr>
    </w:p>
    <w:p w14:paraId="4E6BB3AF" w14:textId="77777777" w:rsidR="00E05C6C" w:rsidRDefault="00E05C6C">
      <w:pPr>
        <w:widowControl w:val="0"/>
        <w:tabs>
          <w:tab w:val="left" w:pos="1701"/>
          <w:tab w:val="left" w:pos="1843"/>
        </w:tabs>
        <w:spacing w:line="360" w:lineRule="auto"/>
        <w:jc w:val="both"/>
        <w:rPr>
          <w:rFonts w:ascii="Palatino Linotype" w:eastAsia="Palatino Linotype" w:hAnsi="Palatino Linotype" w:cs="Palatino Linotype"/>
        </w:rPr>
      </w:pPr>
    </w:p>
    <w:p w14:paraId="14D91ED6" w14:textId="77777777" w:rsidR="00E05C6C" w:rsidRDefault="00E05C6C">
      <w:pPr>
        <w:spacing w:line="360" w:lineRule="auto"/>
        <w:jc w:val="both"/>
        <w:rPr>
          <w:rFonts w:ascii="Palatino Linotype" w:eastAsia="Palatino Linotype" w:hAnsi="Palatino Linotype" w:cs="Palatino Linotype"/>
        </w:rPr>
      </w:pPr>
    </w:p>
    <w:p w14:paraId="6880BE8C" w14:textId="77777777" w:rsidR="00E05C6C" w:rsidRDefault="00982A5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con fundamento en lo previsto en los artículos 5, párrafos trigésimo, trigésimo primero y trigésimo segundo, fracciones IV y V de la Constitución Política del Estado Libre y Soberano de México; 2, fracción II, 29, 36, fracciones I y II, 176, 178, 179, 181, 185 fracción I, 186 y 188 de la Ley de Transparencia y Acceso a la Información Pública del Estado de México y Municipios, este Pleno:</w:t>
      </w:r>
    </w:p>
    <w:p w14:paraId="2E1AF3A7" w14:textId="77777777" w:rsidR="00E05C6C" w:rsidRDefault="00E05C6C">
      <w:pPr>
        <w:spacing w:line="360" w:lineRule="auto"/>
        <w:jc w:val="center"/>
        <w:rPr>
          <w:rFonts w:ascii="Palatino Linotype" w:eastAsia="Palatino Linotype" w:hAnsi="Palatino Linotype" w:cs="Palatino Linotype"/>
          <w:b/>
          <w:sz w:val="26"/>
          <w:szCs w:val="26"/>
        </w:rPr>
      </w:pPr>
    </w:p>
    <w:p w14:paraId="5B020BA2" w14:textId="77777777" w:rsidR="00E05C6C" w:rsidRDefault="00982A5F">
      <w:pPr>
        <w:spacing w:line="360" w:lineRule="auto"/>
        <w:jc w:val="center"/>
        <w:rPr>
          <w:rFonts w:ascii="Palatino Linotype" w:eastAsia="Palatino Linotype" w:hAnsi="Palatino Linotype" w:cs="Palatino Linotype"/>
          <w:b/>
          <w:sz w:val="26"/>
          <w:szCs w:val="26"/>
        </w:rPr>
      </w:pPr>
      <w:r>
        <w:rPr>
          <w:rFonts w:ascii="Palatino Linotype" w:eastAsia="Palatino Linotype" w:hAnsi="Palatino Linotype" w:cs="Palatino Linotype"/>
          <w:b/>
          <w:sz w:val="26"/>
          <w:szCs w:val="26"/>
        </w:rPr>
        <w:t>RESUELVE</w:t>
      </w:r>
    </w:p>
    <w:p w14:paraId="78852801" w14:textId="77777777" w:rsidR="00E05C6C" w:rsidRDefault="00E05C6C">
      <w:pPr>
        <w:spacing w:line="360" w:lineRule="auto"/>
        <w:ind w:right="49"/>
        <w:jc w:val="both"/>
        <w:rPr>
          <w:rFonts w:ascii="Palatino Linotype" w:eastAsia="Palatino Linotype" w:hAnsi="Palatino Linotype" w:cs="Palatino Linotype"/>
          <w:b/>
        </w:rPr>
      </w:pPr>
    </w:p>
    <w:p w14:paraId="275CAC9F" w14:textId="77777777" w:rsidR="00E05C6C" w:rsidRDefault="00982A5F">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PRIMERO.</w:t>
      </w:r>
      <w:r>
        <w:rPr>
          <w:rFonts w:ascii="Palatino Linotype" w:eastAsia="Palatino Linotype" w:hAnsi="Palatino Linotype" w:cs="Palatino Linotype"/>
        </w:rPr>
        <w:t xml:space="preserve"> Resultan </w:t>
      </w:r>
      <w:r>
        <w:rPr>
          <w:rFonts w:ascii="Palatino Linotype" w:eastAsia="Palatino Linotype" w:hAnsi="Palatino Linotype" w:cs="Palatino Linotype"/>
          <w:b/>
        </w:rPr>
        <w:t>parcialmente</w:t>
      </w:r>
      <w:r>
        <w:rPr>
          <w:rFonts w:ascii="Palatino Linotype" w:eastAsia="Palatino Linotype" w:hAnsi="Palatino Linotype" w:cs="Palatino Linotype"/>
        </w:rPr>
        <w:t xml:space="preserve"> </w:t>
      </w:r>
      <w:r>
        <w:rPr>
          <w:rFonts w:ascii="Palatino Linotype" w:eastAsia="Palatino Linotype" w:hAnsi="Palatino Linotype" w:cs="Palatino Linotype"/>
          <w:b/>
        </w:rPr>
        <w:t>fundadas</w:t>
      </w:r>
      <w:r>
        <w:rPr>
          <w:rFonts w:ascii="Palatino Linotype" w:eastAsia="Palatino Linotype" w:hAnsi="Palatino Linotype" w:cs="Palatino Linotype"/>
        </w:rPr>
        <w:t xml:space="preserve"> las manifestaciones hechas valer por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en el recurso de revisión </w:t>
      </w:r>
      <w:r>
        <w:rPr>
          <w:rFonts w:ascii="Palatino Linotype" w:eastAsia="Palatino Linotype" w:hAnsi="Palatino Linotype" w:cs="Palatino Linotype"/>
          <w:b/>
        </w:rPr>
        <w:t>08457/INFOEM/IP/RR/2022</w:t>
      </w:r>
      <w:r>
        <w:rPr>
          <w:rFonts w:ascii="Palatino Linotype" w:eastAsia="Palatino Linotype" w:hAnsi="Palatino Linotype" w:cs="Palatino Linotype"/>
        </w:rPr>
        <w:t xml:space="preserve">, en términos del considerando </w:t>
      </w:r>
      <w:r>
        <w:rPr>
          <w:rFonts w:ascii="Palatino Linotype" w:eastAsia="Palatino Linotype" w:hAnsi="Palatino Linotype" w:cs="Palatino Linotype"/>
          <w:b/>
        </w:rPr>
        <w:t>QUINTO</w:t>
      </w:r>
      <w:r>
        <w:rPr>
          <w:rFonts w:ascii="Palatino Linotype" w:eastAsia="Palatino Linotype" w:hAnsi="Palatino Linotype" w:cs="Palatino Linotype"/>
        </w:rPr>
        <w:t>.</w:t>
      </w:r>
    </w:p>
    <w:p w14:paraId="295705C9" w14:textId="77777777" w:rsidR="00E05C6C" w:rsidRDefault="00E05C6C">
      <w:pPr>
        <w:spacing w:line="360" w:lineRule="auto"/>
        <w:ind w:right="49"/>
        <w:jc w:val="both"/>
        <w:rPr>
          <w:rFonts w:ascii="Palatino Linotype" w:eastAsia="Palatino Linotype" w:hAnsi="Palatino Linotype" w:cs="Palatino Linotype"/>
        </w:rPr>
      </w:pPr>
    </w:p>
    <w:p w14:paraId="0A85C870" w14:textId="77777777" w:rsidR="00E05C6C" w:rsidRDefault="00982A5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SEGUNDO. </w:t>
      </w:r>
      <w:r>
        <w:rPr>
          <w:rFonts w:ascii="Palatino Linotype" w:eastAsia="Palatino Linotype" w:hAnsi="Palatino Linotype" w:cs="Palatino Linotype"/>
        </w:rPr>
        <w:t xml:space="preserve">Se </w:t>
      </w:r>
      <w:r>
        <w:rPr>
          <w:rFonts w:ascii="Palatino Linotype" w:eastAsia="Palatino Linotype" w:hAnsi="Palatino Linotype" w:cs="Palatino Linotype"/>
          <w:b/>
        </w:rPr>
        <w:t xml:space="preserve">MODIFICA </w:t>
      </w:r>
      <w:r>
        <w:rPr>
          <w:rFonts w:ascii="Palatino Linotype" w:eastAsia="Palatino Linotype" w:hAnsi="Palatino Linotype" w:cs="Palatino Linotype"/>
        </w:rPr>
        <w:t xml:space="preserve">la respuesta emitida por </w:t>
      </w:r>
      <w:r>
        <w:rPr>
          <w:rFonts w:ascii="Palatino Linotype" w:eastAsia="Palatino Linotype" w:hAnsi="Palatino Linotype" w:cs="Palatino Linotype"/>
          <w:b/>
        </w:rPr>
        <w:t>EL</w:t>
      </w:r>
      <w:r>
        <w:rPr>
          <w:rFonts w:ascii="Palatino Linotype" w:eastAsia="Palatino Linotype" w:hAnsi="Palatino Linotype" w:cs="Palatino Linotype"/>
        </w:rPr>
        <w:t xml:space="preserve">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y se ordena que en términos del Considerando </w:t>
      </w:r>
      <w:r>
        <w:rPr>
          <w:rFonts w:ascii="Palatino Linotype" w:eastAsia="Palatino Linotype" w:hAnsi="Palatino Linotype" w:cs="Palatino Linotype"/>
          <w:b/>
        </w:rPr>
        <w:t>Quinto</w:t>
      </w:r>
      <w:r>
        <w:rPr>
          <w:rFonts w:ascii="Palatino Linotype" w:eastAsia="Palatino Linotype" w:hAnsi="Palatino Linotype" w:cs="Palatino Linotype"/>
        </w:rPr>
        <w:t xml:space="preserve"> haga entrega al Recurrente mediante el Sistema de Acceso a la Información Mexiquense (SAIMEX), en versión pública de ser procedente, de lo siguiente: </w:t>
      </w:r>
    </w:p>
    <w:p w14:paraId="4967310D" w14:textId="77777777" w:rsidR="00E05C6C" w:rsidRDefault="00E05C6C">
      <w:pPr>
        <w:ind w:left="850" w:right="332"/>
        <w:jc w:val="both"/>
        <w:rPr>
          <w:rFonts w:ascii="Palatino Linotype" w:eastAsia="Palatino Linotype" w:hAnsi="Palatino Linotype" w:cs="Palatino Linotype"/>
          <w:i/>
          <w:sz w:val="22"/>
          <w:szCs w:val="22"/>
        </w:rPr>
      </w:pPr>
    </w:p>
    <w:p w14:paraId="16D19AB0" w14:textId="77777777" w:rsidR="00E05C6C" w:rsidRDefault="00982A5F">
      <w:pPr>
        <w:numPr>
          <w:ilvl w:val="0"/>
          <w:numId w:val="1"/>
        </w:numPr>
        <w:tabs>
          <w:tab w:val="left" w:pos="993"/>
        </w:tabs>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El contrato celebrado con motivo de la elaboración del Plan de Desarrollo Municipal 2022, </w:t>
      </w:r>
      <w:r w:rsidRPr="00ED16C1">
        <w:rPr>
          <w:rFonts w:ascii="Palatino Linotype" w:eastAsia="Palatino Linotype" w:hAnsi="Palatino Linotype" w:cs="Palatino Linotype"/>
          <w:i/>
          <w:sz w:val="22"/>
          <w:szCs w:val="22"/>
        </w:rPr>
        <w:t>así como el o los expedientes correspondientes</w:t>
      </w:r>
      <w:r>
        <w:rPr>
          <w:rFonts w:ascii="Palatino Linotype" w:eastAsia="Palatino Linotype" w:hAnsi="Palatino Linotype" w:cs="Palatino Linotype"/>
          <w:i/>
          <w:sz w:val="22"/>
          <w:szCs w:val="22"/>
        </w:rPr>
        <w:t xml:space="preserve"> que se hayan generado con motivo de dicha contratación. </w:t>
      </w:r>
    </w:p>
    <w:p w14:paraId="0228190C" w14:textId="77777777" w:rsidR="00E05C6C" w:rsidRDefault="00982A5F">
      <w:pPr>
        <w:numPr>
          <w:ilvl w:val="0"/>
          <w:numId w:val="1"/>
        </w:numPr>
        <w:tabs>
          <w:tab w:val="left" w:pos="993"/>
        </w:tabs>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Documentos que den cuenta sobre los problemas y objetivos, utilizados para la elaboración del Plan de Desarrollo Municipal 2022 y del presupuesto de egresos del presente ejercicio fiscal, generados al cinco de abril  de dos mil veintidós. </w:t>
      </w:r>
    </w:p>
    <w:p w14:paraId="5755A34C" w14:textId="77777777" w:rsidR="00E05C6C" w:rsidRDefault="00982A5F">
      <w:pPr>
        <w:numPr>
          <w:ilvl w:val="0"/>
          <w:numId w:val="1"/>
        </w:numPr>
        <w:tabs>
          <w:tab w:val="left" w:pos="993"/>
        </w:tabs>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Documento donde consten las estrategias y objetivos que se desprendieron de los problemas y objetivos valorados para la elaboración del Plan de Desarrollo Municipal 2022, generados al cinco de abril de dos mil veintidós.</w:t>
      </w:r>
    </w:p>
    <w:p w14:paraId="0B666E76" w14:textId="77777777" w:rsidR="00E05C6C" w:rsidRDefault="00E05C6C">
      <w:pPr>
        <w:tabs>
          <w:tab w:val="left" w:pos="709"/>
        </w:tabs>
        <w:ind w:left="850" w:right="899"/>
        <w:jc w:val="both"/>
        <w:rPr>
          <w:rFonts w:ascii="Palatino Linotype" w:eastAsia="Palatino Linotype" w:hAnsi="Palatino Linotype" w:cs="Palatino Linotype"/>
          <w:i/>
          <w:sz w:val="22"/>
          <w:szCs w:val="22"/>
        </w:rPr>
      </w:pPr>
    </w:p>
    <w:p w14:paraId="73A852CC" w14:textId="77777777" w:rsidR="00E05C6C" w:rsidRDefault="00982A5F">
      <w:pPr>
        <w:tabs>
          <w:tab w:val="left" w:pos="709"/>
        </w:tabs>
        <w:ind w:left="850" w:right="899"/>
        <w:jc w:val="both"/>
        <w:rPr>
          <w:rFonts w:ascii="Palatino Linotype" w:eastAsia="Palatino Linotype" w:hAnsi="Palatino Linotype" w:cs="Palatino Linotype"/>
          <w:i/>
        </w:rPr>
      </w:pPr>
      <w:bookmarkStart w:id="6" w:name="_heading=h.gjdgxs" w:colFirst="0" w:colLast="0"/>
      <w:bookmarkEnd w:id="6"/>
      <w:r>
        <w:rPr>
          <w:rFonts w:ascii="Palatino Linotype" w:eastAsia="Palatino Linotype" w:hAnsi="Palatino Linotype" w:cs="Palatino Linotype"/>
          <w:i/>
          <w:sz w:val="22"/>
          <w:szCs w:val="22"/>
        </w:rPr>
        <w:t xml:space="preserve">Debiendo notificar al </w:t>
      </w:r>
      <w:r>
        <w:rPr>
          <w:rFonts w:ascii="Palatino Linotype" w:eastAsia="Palatino Linotype" w:hAnsi="Palatino Linotype" w:cs="Palatino Linotype"/>
          <w:b/>
          <w:i/>
          <w:sz w:val="22"/>
          <w:szCs w:val="22"/>
        </w:rPr>
        <w:t>RECURRENTE</w:t>
      </w:r>
      <w:r>
        <w:rPr>
          <w:rFonts w:ascii="Palatino Linotype" w:eastAsia="Palatino Linotype" w:hAnsi="Palatino Linotype" w:cs="Palatino Linotype"/>
          <w:i/>
          <w:sz w:val="22"/>
          <w:szCs w:val="22"/>
        </w:rPr>
        <w:t xml:space="preserve"> el Acuerdo de Clasificación de la información que emita el Comité de Transparencia con motivo de la versión pública.</w:t>
      </w:r>
    </w:p>
    <w:p w14:paraId="1B7D4337" w14:textId="77777777" w:rsidR="00E05C6C" w:rsidRDefault="00E05C6C">
      <w:pPr>
        <w:tabs>
          <w:tab w:val="left" w:pos="709"/>
        </w:tabs>
        <w:ind w:right="899"/>
        <w:jc w:val="both"/>
        <w:rPr>
          <w:rFonts w:ascii="Palatino Linotype" w:eastAsia="Palatino Linotype" w:hAnsi="Palatino Linotype" w:cs="Palatino Linotype"/>
          <w:i/>
          <w:sz w:val="20"/>
          <w:szCs w:val="20"/>
        </w:rPr>
      </w:pPr>
    </w:p>
    <w:p w14:paraId="2F88460F" w14:textId="77777777" w:rsidR="00E05C6C" w:rsidRDefault="00E05C6C">
      <w:pPr>
        <w:spacing w:line="360" w:lineRule="auto"/>
        <w:jc w:val="both"/>
        <w:rPr>
          <w:rFonts w:ascii="Palatino Linotype" w:eastAsia="Palatino Linotype" w:hAnsi="Palatino Linotype" w:cs="Palatino Linotype"/>
          <w:b/>
        </w:rPr>
      </w:pPr>
    </w:p>
    <w:p w14:paraId="19F48651" w14:textId="77777777" w:rsidR="00E05C6C" w:rsidRDefault="00982A5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TERCERO.</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NOTIFÍQUESE </w:t>
      </w:r>
      <w:r>
        <w:rPr>
          <w:rFonts w:ascii="Palatino Linotype" w:eastAsia="Palatino Linotype" w:hAnsi="Palatino Linotype" w:cs="Palatino Linotype"/>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54D1953C" w14:textId="77777777" w:rsidR="00E05C6C" w:rsidRDefault="00E05C6C">
      <w:pPr>
        <w:spacing w:line="360" w:lineRule="auto"/>
        <w:jc w:val="both"/>
        <w:rPr>
          <w:rFonts w:ascii="Palatino Linotype" w:eastAsia="Palatino Linotype" w:hAnsi="Palatino Linotype" w:cs="Palatino Linotype"/>
          <w:sz w:val="22"/>
          <w:szCs w:val="22"/>
        </w:rPr>
      </w:pPr>
    </w:p>
    <w:p w14:paraId="07570767" w14:textId="77777777" w:rsidR="00E05C6C" w:rsidRDefault="00982A5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w:t>
      </w:r>
      <w:r>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30C39D69" w14:textId="77777777" w:rsidR="00E05C6C" w:rsidRDefault="00E05C6C">
      <w:pPr>
        <w:spacing w:line="360" w:lineRule="auto"/>
        <w:jc w:val="both"/>
        <w:rPr>
          <w:rFonts w:ascii="Palatino Linotype" w:eastAsia="Palatino Linotype" w:hAnsi="Palatino Linotype" w:cs="Palatino Linotype"/>
          <w:sz w:val="22"/>
          <w:szCs w:val="22"/>
        </w:rPr>
      </w:pPr>
    </w:p>
    <w:p w14:paraId="5B7A9850" w14:textId="77777777" w:rsidR="00E05C6C" w:rsidRDefault="00982A5F">
      <w:pPr>
        <w:spacing w:line="360" w:lineRule="auto"/>
        <w:jc w:val="both"/>
        <w:rPr>
          <w:rFonts w:ascii="Calibri" w:eastAsia="Calibri" w:hAnsi="Calibri" w:cs="Calibri"/>
        </w:rPr>
      </w:pPr>
      <w:r>
        <w:rPr>
          <w:rFonts w:ascii="Palatino Linotype" w:eastAsia="Palatino Linotype" w:hAnsi="Palatino Linotype" w:cs="Palatino Linotype"/>
          <w:b/>
        </w:rPr>
        <w:t>QUINTO.</w:t>
      </w:r>
      <w:r>
        <w:rPr>
          <w:rFonts w:ascii="Palatino Linotype" w:eastAsia="Palatino Linotype" w:hAnsi="Palatino Linotype" w:cs="Palatino Linotype"/>
        </w:rPr>
        <w:t xml:space="preserve"> </w:t>
      </w:r>
      <w:r>
        <w:rPr>
          <w:rFonts w:ascii="Palatino Linotype" w:eastAsia="Palatino Linotype" w:hAnsi="Palatino Linotype" w:cs="Palatino Linotype"/>
          <w:b/>
        </w:rPr>
        <w:t>NOTIFÍQUESE</w:t>
      </w:r>
      <w:r>
        <w:rPr>
          <w:rFonts w:ascii="Palatino Linotype" w:eastAsia="Palatino Linotype" w:hAnsi="Palatino Linotype" w:cs="Palatino Linotype"/>
        </w:rPr>
        <w:t xml:space="preserve"> al Recurrente la presente Resolución, a través del Sistema de Acceso a la Información Mexiquense (SAIMEX),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093226BB" w14:textId="77777777" w:rsidR="00E05C6C" w:rsidRDefault="00982A5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NOVENA SESIÓN ORDINARIA CELEBRADA EL DIESICIETE DE AGOSTO DE DOS MIL VEINTIDÓS, ANTE EL SECRETARIO TÉCNICO DEL PLENO, ALEXIS TAPIA RAMÍREZ.</w:t>
      </w:r>
    </w:p>
    <w:p w14:paraId="64049C76" w14:textId="77777777" w:rsidR="00E05C6C" w:rsidRDefault="00982A5F">
      <w:pPr>
        <w:spacing w:line="360" w:lineRule="auto"/>
        <w:jc w:val="both"/>
        <w:rPr>
          <w:rFonts w:ascii="Palatino Linotype" w:eastAsia="Palatino Linotype" w:hAnsi="Palatino Linotype" w:cs="Palatino Linotype"/>
          <w:sz w:val="14"/>
          <w:szCs w:val="14"/>
        </w:rPr>
      </w:pPr>
      <w:r>
        <w:rPr>
          <w:rFonts w:ascii="Palatino Linotype" w:eastAsia="Palatino Linotype" w:hAnsi="Palatino Linotype" w:cs="Palatino Linotype"/>
          <w:sz w:val="14"/>
          <w:szCs w:val="14"/>
        </w:rPr>
        <w:t>SCMM/BLA/DEMF/PMRE</w:t>
      </w:r>
    </w:p>
    <w:p w14:paraId="1FF3547A" w14:textId="77777777" w:rsidR="00E05C6C" w:rsidRDefault="00982A5F">
      <w:pPr>
        <w:rPr>
          <w:rFonts w:ascii="Palatino Linotype" w:eastAsia="Palatino Linotype" w:hAnsi="Palatino Linotype" w:cs="Palatino Linotype"/>
        </w:rPr>
      </w:pPr>
      <w:r>
        <w:br w:type="page"/>
      </w:r>
    </w:p>
    <w:p w14:paraId="54FC9E97" w14:textId="77777777" w:rsidR="00E05C6C" w:rsidRDefault="00E05C6C">
      <w:pPr>
        <w:spacing w:line="360" w:lineRule="auto"/>
        <w:jc w:val="both"/>
        <w:rPr>
          <w:rFonts w:ascii="Palatino Linotype" w:eastAsia="Palatino Linotype" w:hAnsi="Palatino Linotype" w:cs="Palatino Linotype"/>
        </w:rPr>
      </w:pPr>
    </w:p>
    <w:p w14:paraId="7A5CF1A0" w14:textId="77777777" w:rsidR="00E05C6C" w:rsidRDefault="00E05C6C">
      <w:pPr>
        <w:spacing w:line="360" w:lineRule="auto"/>
        <w:jc w:val="both"/>
        <w:rPr>
          <w:rFonts w:ascii="Palatino Linotype" w:eastAsia="Palatino Linotype" w:hAnsi="Palatino Linotype" w:cs="Palatino Linotype"/>
        </w:rPr>
      </w:pPr>
    </w:p>
    <w:p w14:paraId="5AAE811B" w14:textId="77777777" w:rsidR="00E05C6C" w:rsidRDefault="00E05C6C">
      <w:pPr>
        <w:spacing w:line="360" w:lineRule="auto"/>
        <w:jc w:val="both"/>
        <w:rPr>
          <w:rFonts w:ascii="Palatino Linotype" w:eastAsia="Palatino Linotype" w:hAnsi="Palatino Linotype" w:cs="Palatino Linotype"/>
        </w:rPr>
      </w:pPr>
    </w:p>
    <w:p w14:paraId="739BDDEB" w14:textId="77777777" w:rsidR="00E05C6C" w:rsidRDefault="00E05C6C">
      <w:pPr>
        <w:spacing w:line="360" w:lineRule="auto"/>
        <w:jc w:val="both"/>
        <w:rPr>
          <w:rFonts w:ascii="Palatino Linotype" w:eastAsia="Palatino Linotype" w:hAnsi="Palatino Linotype" w:cs="Palatino Linotype"/>
        </w:rPr>
      </w:pPr>
    </w:p>
    <w:p w14:paraId="3D9D7CE7" w14:textId="77777777" w:rsidR="00E05C6C" w:rsidRDefault="00E05C6C">
      <w:pPr>
        <w:spacing w:line="360" w:lineRule="auto"/>
        <w:jc w:val="both"/>
        <w:rPr>
          <w:rFonts w:ascii="Palatino Linotype" w:eastAsia="Palatino Linotype" w:hAnsi="Palatino Linotype" w:cs="Palatino Linotype"/>
        </w:rPr>
      </w:pPr>
    </w:p>
    <w:p w14:paraId="5DCD7F8F" w14:textId="77777777" w:rsidR="00E05C6C" w:rsidRDefault="00E05C6C">
      <w:pPr>
        <w:spacing w:line="360" w:lineRule="auto"/>
        <w:jc w:val="both"/>
        <w:rPr>
          <w:rFonts w:ascii="Palatino Linotype" w:eastAsia="Palatino Linotype" w:hAnsi="Palatino Linotype" w:cs="Palatino Linotype"/>
        </w:rPr>
      </w:pPr>
    </w:p>
    <w:p w14:paraId="2FA38264" w14:textId="77777777" w:rsidR="00E05C6C" w:rsidRDefault="00E05C6C">
      <w:pPr>
        <w:spacing w:line="360" w:lineRule="auto"/>
        <w:jc w:val="both"/>
        <w:rPr>
          <w:rFonts w:ascii="Palatino Linotype" w:eastAsia="Palatino Linotype" w:hAnsi="Palatino Linotype" w:cs="Palatino Linotype"/>
        </w:rPr>
      </w:pPr>
    </w:p>
    <w:p w14:paraId="2ECE1052" w14:textId="77777777" w:rsidR="00E05C6C" w:rsidRDefault="00E05C6C">
      <w:pPr>
        <w:spacing w:line="360" w:lineRule="auto"/>
        <w:jc w:val="both"/>
        <w:rPr>
          <w:rFonts w:ascii="Palatino Linotype" w:eastAsia="Palatino Linotype" w:hAnsi="Palatino Linotype" w:cs="Palatino Linotype"/>
        </w:rPr>
      </w:pPr>
    </w:p>
    <w:p w14:paraId="3254D309" w14:textId="77777777" w:rsidR="00E05C6C" w:rsidRDefault="00E05C6C">
      <w:pPr>
        <w:spacing w:line="360" w:lineRule="auto"/>
        <w:jc w:val="both"/>
        <w:rPr>
          <w:rFonts w:ascii="Palatino Linotype" w:eastAsia="Palatino Linotype" w:hAnsi="Palatino Linotype" w:cs="Palatino Linotype"/>
        </w:rPr>
      </w:pPr>
      <w:bookmarkStart w:id="7" w:name="_heading=h.30j0zll" w:colFirst="0" w:colLast="0"/>
      <w:bookmarkEnd w:id="7"/>
    </w:p>
    <w:p w14:paraId="7B30D16A" w14:textId="77777777" w:rsidR="00E05C6C" w:rsidRDefault="00E05C6C">
      <w:pPr>
        <w:spacing w:line="360" w:lineRule="auto"/>
        <w:jc w:val="both"/>
        <w:rPr>
          <w:rFonts w:ascii="Palatino Linotype" w:eastAsia="Palatino Linotype" w:hAnsi="Palatino Linotype" w:cs="Palatino Linotype"/>
        </w:rPr>
      </w:pPr>
    </w:p>
    <w:p w14:paraId="1ADEC4D9" w14:textId="77777777" w:rsidR="00E05C6C" w:rsidRDefault="00E05C6C">
      <w:pPr>
        <w:spacing w:line="360" w:lineRule="auto"/>
        <w:jc w:val="both"/>
        <w:rPr>
          <w:rFonts w:ascii="Palatino Linotype" w:eastAsia="Palatino Linotype" w:hAnsi="Palatino Linotype" w:cs="Palatino Linotype"/>
        </w:rPr>
      </w:pPr>
    </w:p>
    <w:p w14:paraId="6F327DB0" w14:textId="77777777" w:rsidR="00E05C6C" w:rsidRDefault="00E05C6C">
      <w:pPr>
        <w:spacing w:line="360" w:lineRule="auto"/>
        <w:jc w:val="both"/>
        <w:rPr>
          <w:rFonts w:ascii="Palatino Linotype" w:eastAsia="Palatino Linotype" w:hAnsi="Palatino Linotype" w:cs="Palatino Linotype"/>
        </w:rPr>
      </w:pPr>
    </w:p>
    <w:p w14:paraId="7F0CC65D" w14:textId="77777777" w:rsidR="00E05C6C" w:rsidRDefault="00E05C6C">
      <w:pPr>
        <w:spacing w:line="360" w:lineRule="auto"/>
        <w:jc w:val="both"/>
        <w:rPr>
          <w:rFonts w:ascii="Palatino Linotype" w:eastAsia="Palatino Linotype" w:hAnsi="Palatino Linotype" w:cs="Palatino Linotype"/>
        </w:rPr>
      </w:pPr>
    </w:p>
    <w:p w14:paraId="2822E0B0" w14:textId="77777777" w:rsidR="00E05C6C" w:rsidRDefault="00E05C6C">
      <w:pPr>
        <w:spacing w:line="360" w:lineRule="auto"/>
        <w:jc w:val="both"/>
        <w:rPr>
          <w:rFonts w:ascii="Palatino Linotype" w:eastAsia="Palatino Linotype" w:hAnsi="Palatino Linotype" w:cs="Palatino Linotype"/>
        </w:rPr>
      </w:pPr>
    </w:p>
    <w:p w14:paraId="5D128000" w14:textId="77777777" w:rsidR="00E05C6C" w:rsidRDefault="00E05C6C">
      <w:pPr>
        <w:spacing w:line="360" w:lineRule="auto"/>
        <w:jc w:val="both"/>
        <w:rPr>
          <w:rFonts w:ascii="Palatino Linotype" w:eastAsia="Palatino Linotype" w:hAnsi="Palatino Linotype" w:cs="Palatino Linotype"/>
        </w:rPr>
      </w:pPr>
    </w:p>
    <w:p w14:paraId="29C56574" w14:textId="77777777" w:rsidR="00E05C6C" w:rsidRDefault="00E05C6C">
      <w:pPr>
        <w:spacing w:line="360" w:lineRule="auto"/>
        <w:jc w:val="both"/>
        <w:rPr>
          <w:rFonts w:ascii="Palatino Linotype" w:eastAsia="Palatino Linotype" w:hAnsi="Palatino Linotype" w:cs="Palatino Linotype"/>
        </w:rPr>
      </w:pPr>
    </w:p>
    <w:p w14:paraId="14D1EABC" w14:textId="77777777" w:rsidR="00E05C6C" w:rsidRDefault="00E05C6C">
      <w:pPr>
        <w:spacing w:line="360" w:lineRule="auto"/>
        <w:jc w:val="both"/>
        <w:rPr>
          <w:rFonts w:ascii="Palatino Linotype" w:eastAsia="Palatino Linotype" w:hAnsi="Palatino Linotype" w:cs="Palatino Linotype"/>
        </w:rPr>
      </w:pPr>
    </w:p>
    <w:p w14:paraId="5426EEBC" w14:textId="77777777" w:rsidR="00E05C6C" w:rsidRDefault="00E05C6C">
      <w:pPr>
        <w:spacing w:line="360" w:lineRule="auto"/>
        <w:jc w:val="both"/>
        <w:rPr>
          <w:rFonts w:ascii="Palatino Linotype" w:eastAsia="Palatino Linotype" w:hAnsi="Palatino Linotype" w:cs="Palatino Linotype"/>
        </w:rPr>
      </w:pPr>
    </w:p>
    <w:sectPr w:rsidR="00E05C6C">
      <w:headerReference w:type="even" r:id="rId17"/>
      <w:headerReference w:type="default" r:id="rId18"/>
      <w:footerReference w:type="default" r:id="rId19"/>
      <w:headerReference w:type="first" r:id="rId20"/>
      <w:footerReference w:type="first" r:id="rId21"/>
      <w:pgSz w:w="12240" w:h="15840"/>
      <w:pgMar w:top="1418" w:right="1418" w:bottom="1418" w:left="1701" w:header="709" w:footer="10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9AED21" w14:textId="77777777" w:rsidR="00B7505B" w:rsidRDefault="00B7505B">
      <w:r>
        <w:separator/>
      </w:r>
    </w:p>
  </w:endnote>
  <w:endnote w:type="continuationSeparator" w:id="0">
    <w:p w14:paraId="24D1AC2C" w14:textId="77777777" w:rsidR="00B7505B" w:rsidRDefault="00B750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E00006FF" w:usb1="420024FF" w:usb2="02000000"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erif">
    <w:panose1 w:val="020B0604020202020204"/>
    <w:charset w:val="01"/>
    <w:family w:val="roman"/>
    <w:pitch w:val="variable"/>
  </w:font>
  <w:font w:name="DejaVu Sans">
    <w:panose1 w:val="020B0604020202020204"/>
    <w:charset w:val="00"/>
    <w:family w:val="roman"/>
    <w:notTrueType/>
    <w:pitch w:val="default"/>
  </w:font>
  <w:font w:name="Lohit Hindi">
    <w:panose1 w:val="020B0604020202020204"/>
    <w:charset w:val="00"/>
    <w:family w:val="roman"/>
    <w:notTrueType/>
    <w:pitch w:val="default"/>
  </w:font>
  <w:font w:name="Helvetica">
    <w:panose1 w:val="00000000000000000000"/>
    <w:charset w:val="00"/>
    <w:family w:val="swiss"/>
    <w:pitch w:val="variable"/>
    <w:sig w:usb0="E0002EFF" w:usb1="C000785B" w:usb2="00000009" w:usb3="00000000" w:csb0="000001FF" w:csb1="00000000"/>
  </w:font>
  <w:font w:name="palatino">
    <w:panose1 w:val="00000000000000000000"/>
    <w:charset w:val="4D"/>
    <w:family w:val="auto"/>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D9C502" w14:textId="77777777" w:rsidR="00E05C6C" w:rsidRDefault="00982A5F">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816841">
      <w:rPr>
        <w:rFonts w:ascii="Palatino Linotype" w:eastAsia="Palatino Linotype" w:hAnsi="Palatino Linotype" w:cs="Palatino Linotype"/>
        <w:noProof/>
        <w:color w:val="000000"/>
        <w:sz w:val="22"/>
        <w:szCs w:val="22"/>
      </w:rPr>
      <w:t>21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816841">
      <w:rPr>
        <w:rFonts w:ascii="Palatino Linotype" w:eastAsia="Palatino Linotype" w:hAnsi="Palatino Linotype" w:cs="Palatino Linotype"/>
        <w:noProof/>
        <w:color w:val="000000"/>
        <w:sz w:val="22"/>
        <w:szCs w:val="22"/>
      </w:rPr>
      <w:t>41</w:t>
    </w:r>
    <w:r>
      <w:rPr>
        <w:rFonts w:ascii="Palatino Linotype" w:eastAsia="Palatino Linotype" w:hAnsi="Palatino Linotype" w:cs="Palatino Linotype"/>
        <w:color w:val="000000"/>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F3E575" w14:textId="77777777" w:rsidR="00E05C6C" w:rsidRDefault="00982A5F">
    <w:pPr>
      <w:pBdr>
        <w:top w:val="nil"/>
        <w:left w:val="nil"/>
        <w:bottom w:val="nil"/>
        <w:right w:val="nil"/>
        <w:between w:val="nil"/>
      </w:pBdr>
      <w:tabs>
        <w:tab w:val="center" w:pos="4252"/>
        <w:tab w:val="right" w:pos="8504"/>
      </w:tabs>
      <w:spacing w:before="120"/>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816841">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816841">
      <w:rPr>
        <w:rFonts w:ascii="Palatino Linotype" w:eastAsia="Palatino Linotype" w:hAnsi="Palatino Linotype" w:cs="Palatino Linotype"/>
        <w:noProof/>
        <w:color w:val="000000"/>
        <w:sz w:val="22"/>
        <w:szCs w:val="22"/>
      </w:rPr>
      <w:t>41</w:t>
    </w:r>
    <w:r>
      <w:rPr>
        <w:rFonts w:ascii="Palatino Linotype" w:eastAsia="Palatino Linotype" w:hAnsi="Palatino Linotype" w:cs="Palatino Linotype"/>
        <w:color w:val="000000"/>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B73B18" w14:textId="77777777" w:rsidR="00B7505B" w:rsidRDefault="00B7505B">
      <w:r>
        <w:separator/>
      </w:r>
    </w:p>
  </w:footnote>
  <w:footnote w:type="continuationSeparator" w:id="0">
    <w:p w14:paraId="62D069ED" w14:textId="77777777" w:rsidR="00B7505B" w:rsidRDefault="00B7505B">
      <w:r>
        <w:continuationSeparator/>
      </w:r>
    </w:p>
  </w:footnote>
  <w:footnote w:id="1">
    <w:p w14:paraId="5333D94D" w14:textId="77777777" w:rsidR="00E05C6C" w:rsidRDefault="00982A5F">
      <w:pPr>
        <w:rPr>
          <w:rFonts w:ascii="Palatino Linotype" w:eastAsia="Palatino Linotype" w:hAnsi="Palatino Linotype" w:cs="Palatino Linotype"/>
          <w:i/>
          <w:sz w:val="18"/>
          <w:szCs w:val="18"/>
        </w:rPr>
      </w:pPr>
      <w:r>
        <w:rPr>
          <w:vertAlign w:val="superscript"/>
        </w:rPr>
        <w:footnoteRef/>
      </w:r>
      <w:r>
        <w:rPr>
          <w:rFonts w:ascii="Cambria" w:eastAsia="Cambria" w:hAnsi="Cambria" w:cs="Cambria"/>
          <w:sz w:val="20"/>
          <w:szCs w:val="20"/>
        </w:rPr>
        <w:t xml:space="preserve"> </w:t>
      </w:r>
      <w:r>
        <w:rPr>
          <w:rFonts w:ascii="Palatino Linotype" w:eastAsia="Palatino Linotype" w:hAnsi="Palatino Linotype" w:cs="Palatino Linotype"/>
          <w:i/>
          <w:sz w:val="18"/>
          <w:szCs w:val="18"/>
        </w:rPr>
        <w:t>https://legislacion.edomex.gob.mx/sites/legislacion.edomex.gob.mx/files/files/pdf/gct/2021/diciembre/dic221/dic221q.pdf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8FF644" w14:textId="77777777" w:rsidR="00E05C6C" w:rsidRDefault="00B7505B">
    <w:pPr>
      <w:pBdr>
        <w:top w:val="nil"/>
        <w:left w:val="nil"/>
        <w:bottom w:val="nil"/>
        <w:right w:val="nil"/>
        <w:between w:val="nil"/>
      </w:pBdr>
      <w:tabs>
        <w:tab w:val="center" w:pos="4252"/>
        <w:tab w:val="right" w:pos="8504"/>
      </w:tabs>
      <w:rPr>
        <w:rFonts w:ascii="Cambria" w:eastAsia="Cambria" w:hAnsi="Cambria" w:cs="Cambria"/>
        <w:color w:val="000000"/>
      </w:rPr>
    </w:pPr>
    <w:r>
      <w:rPr>
        <w:rFonts w:ascii="Cambria" w:eastAsia="Cambria" w:hAnsi="Cambria" w:cs="Cambria"/>
        <w:color w:val="000000"/>
      </w:rPr>
      <w:pict w14:anchorId="1EB752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alt="RESOLUCIÓN" style="position:absolute;margin-left:0;margin-top:0;width:540pt;height:10in;z-index:-251657728;mso-wrap-edited:f;mso-width-percent:0;mso-height-percent:0;mso-position-horizontal:center;mso-position-horizontal-relative:margin;mso-position-vertical:center;mso-position-vertical-relative:margin;mso-width-percent:0;mso-height-percent:0">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971A32" w14:textId="77777777" w:rsidR="00E05C6C" w:rsidRDefault="00B7505B">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r>
      <w:rPr>
        <w:rFonts w:ascii="Palatino Linotype" w:eastAsia="Palatino Linotype" w:hAnsi="Palatino Linotype" w:cs="Palatino Linotype"/>
        <w:color w:val="000000"/>
        <w:sz w:val="28"/>
        <w:szCs w:val="28"/>
      </w:rPr>
      <w:pict w14:anchorId="79D8A5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RESOLUCIÓN" style="position:absolute;margin-left:0;margin-top:0;width:540pt;height:10in;z-index:-251659776;mso-wrap-edited:f;mso-width-percent:0;mso-height-percent:0;mso-position-horizontal:center;mso-position-horizontal-relative:margin;mso-position-vertical:center;mso-position-vertical-relative:margin;mso-width-percent:0;mso-height-percent:0">
          <v:imagedata r:id="rId1" o:title="image1"/>
          <w10:wrap anchorx="margin" anchory="margin"/>
        </v:shape>
      </w:pict>
    </w:r>
  </w:p>
  <w:tbl>
    <w:tblPr>
      <w:tblStyle w:val="afffffff6"/>
      <w:tblW w:w="9534" w:type="dxa"/>
      <w:tblInd w:w="-142" w:type="dxa"/>
      <w:tblLayout w:type="fixed"/>
      <w:tblLook w:val="0400" w:firstRow="0" w:lastRow="0" w:firstColumn="0" w:lastColumn="0" w:noHBand="0" w:noVBand="1"/>
    </w:tblPr>
    <w:tblGrid>
      <w:gridCol w:w="3261"/>
      <w:gridCol w:w="2551"/>
      <w:gridCol w:w="3722"/>
    </w:tblGrid>
    <w:tr w:rsidR="00E05C6C" w14:paraId="76B18363" w14:textId="77777777">
      <w:tc>
        <w:tcPr>
          <w:tcW w:w="3261" w:type="dxa"/>
          <w:vMerge w:val="restart"/>
        </w:tcPr>
        <w:p w14:paraId="18D4C92E" w14:textId="77777777" w:rsidR="00E05C6C" w:rsidRDefault="00982A5F">
          <w:pPr>
            <w:rPr>
              <w:rFonts w:ascii="Palatino Linotype" w:eastAsia="Palatino Linotype" w:hAnsi="Palatino Linotype" w:cs="Palatino Linotype"/>
              <w:b/>
            </w:rPr>
          </w:pPr>
          <w:r>
            <w:rPr>
              <w:rFonts w:ascii="Palatino Linotype" w:eastAsia="Palatino Linotype" w:hAnsi="Palatino Linotype" w:cs="Palatino Linotype"/>
              <w:noProof/>
              <w:sz w:val="28"/>
              <w:szCs w:val="28"/>
            </w:rPr>
            <w:drawing>
              <wp:inline distT="0" distB="0" distL="0" distR="0" wp14:anchorId="07622834" wp14:editId="5BAD01DF">
                <wp:extent cx="1692162" cy="852673"/>
                <wp:effectExtent l="0" t="0" r="0" b="0"/>
                <wp:docPr id="37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51" w:type="dxa"/>
          <w:shd w:val="clear" w:color="auto" w:fill="auto"/>
        </w:tcPr>
        <w:p w14:paraId="3636BB75" w14:textId="77777777" w:rsidR="00E05C6C" w:rsidRDefault="00982A5F">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722" w:type="dxa"/>
          <w:shd w:val="clear" w:color="auto" w:fill="auto"/>
          <w:vAlign w:val="center"/>
        </w:tcPr>
        <w:p w14:paraId="6CC257DC" w14:textId="77777777" w:rsidR="00E05C6C" w:rsidRDefault="00982A5F">
          <w:pPr>
            <w:jc w:val="both"/>
            <w:rPr>
              <w:rFonts w:ascii="Palatino Linotype" w:eastAsia="Palatino Linotype" w:hAnsi="Palatino Linotype" w:cs="Palatino Linotype"/>
              <w:b/>
            </w:rPr>
          </w:pPr>
          <w:r>
            <w:rPr>
              <w:rFonts w:ascii="Palatino Linotype" w:eastAsia="Palatino Linotype" w:hAnsi="Palatino Linotype" w:cs="Palatino Linotype"/>
              <w:b/>
            </w:rPr>
            <w:t>08457/INFOEM/IP/RR/2022</w:t>
          </w:r>
        </w:p>
      </w:tc>
    </w:tr>
    <w:tr w:rsidR="00E05C6C" w14:paraId="6F215A6D" w14:textId="77777777">
      <w:tc>
        <w:tcPr>
          <w:tcW w:w="3261" w:type="dxa"/>
          <w:vMerge/>
        </w:tcPr>
        <w:p w14:paraId="130A5F89" w14:textId="77777777" w:rsidR="00E05C6C" w:rsidRDefault="00E05C6C">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14:paraId="0FFFB3E9" w14:textId="77777777" w:rsidR="00E05C6C" w:rsidRDefault="00982A5F">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722" w:type="dxa"/>
          <w:shd w:val="clear" w:color="auto" w:fill="auto"/>
          <w:vAlign w:val="center"/>
        </w:tcPr>
        <w:p w14:paraId="5FA59A67" w14:textId="77777777" w:rsidR="00E05C6C" w:rsidRDefault="00982A5F">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Ayuntamiento de Toluca </w:t>
          </w:r>
        </w:p>
      </w:tc>
    </w:tr>
    <w:tr w:rsidR="00E05C6C" w14:paraId="147AEABD" w14:textId="77777777">
      <w:trPr>
        <w:trHeight w:val="790"/>
      </w:trPr>
      <w:tc>
        <w:tcPr>
          <w:tcW w:w="3261" w:type="dxa"/>
          <w:vMerge/>
        </w:tcPr>
        <w:p w14:paraId="6D96EED9" w14:textId="77777777" w:rsidR="00E05C6C" w:rsidRDefault="00E05C6C">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14:paraId="5255E05C" w14:textId="77777777" w:rsidR="00E05C6C" w:rsidRDefault="00982A5F">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722" w:type="dxa"/>
          <w:shd w:val="clear" w:color="auto" w:fill="auto"/>
        </w:tcPr>
        <w:p w14:paraId="438D080E" w14:textId="77777777" w:rsidR="00E05C6C" w:rsidRDefault="00982A5F">
          <w:pPr>
            <w:jc w:val="both"/>
            <w:rPr>
              <w:rFonts w:ascii="Palatino Linotype" w:eastAsia="Palatino Linotype" w:hAnsi="Palatino Linotype" w:cs="Palatino Linotype"/>
              <w:b/>
            </w:rPr>
          </w:pPr>
          <w:r>
            <w:rPr>
              <w:rFonts w:ascii="Palatino Linotype" w:eastAsia="Palatino Linotype" w:hAnsi="Palatino Linotype" w:cs="Palatino Linotype"/>
              <w:b/>
            </w:rPr>
            <w:t>Sharon Cristina Morales Martínez</w:t>
          </w:r>
        </w:p>
      </w:tc>
    </w:tr>
  </w:tbl>
  <w:p w14:paraId="4A8C0C7B" w14:textId="77777777" w:rsidR="00E05C6C" w:rsidRDefault="00E05C6C">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40B39F" w14:textId="77777777" w:rsidR="00E05C6C" w:rsidRDefault="00B7505B">
    <w:pPr>
      <w:rPr>
        <w:rFonts w:ascii="Palatino Linotype" w:eastAsia="Palatino Linotype" w:hAnsi="Palatino Linotype" w:cs="Palatino Linotype"/>
        <w:sz w:val="28"/>
        <w:szCs w:val="28"/>
      </w:rPr>
    </w:pPr>
    <w:r>
      <w:rPr>
        <w:rFonts w:ascii="Palatino Linotype" w:eastAsia="Palatino Linotype" w:hAnsi="Palatino Linotype" w:cs="Palatino Linotype"/>
        <w:sz w:val="28"/>
        <w:szCs w:val="28"/>
      </w:rPr>
      <w:pict w14:anchorId="172D9D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RESOLUCIÓN" style="position:absolute;margin-left:0;margin-top:0;width:540pt;height:10in;z-index:-251658752;mso-wrap-edited:f;mso-width-percent:0;mso-height-percent:0;mso-position-horizontal:center;mso-position-horizontal-relative:margin;mso-position-vertical:center;mso-position-vertical-relative:margin;mso-width-percent:0;mso-height-percent:0">
          <v:imagedata r:id="rId1" o:title="image1"/>
          <w10:wrap anchorx="margin" anchory="margin"/>
        </v:shape>
      </w:pict>
    </w:r>
  </w:p>
  <w:tbl>
    <w:tblPr>
      <w:tblStyle w:val="afffffff7"/>
      <w:tblW w:w="9900" w:type="dxa"/>
      <w:tblInd w:w="-833" w:type="dxa"/>
      <w:tblLayout w:type="fixed"/>
      <w:tblLook w:val="0400" w:firstRow="0" w:lastRow="0" w:firstColumn="0" w:lastColumn="0" w:noHBand="0" w:noVBand="1"/>
    </w:tblPr>
    <w:tblGrid>
      <w:gridCol w:w="3805"/>
      <w:gridCol w:w="3000"/>
      <w:gridCol w:w="3095"/>
    </w:tblGrid>
    <w:tr w:rsidR="00E05C6C" w14:paraId="5C3A74DB" w14:textId="77777777">
      <w:tc>
        <w:tcPr>
          <w:tcW w:w="3805" w:type="dxa"/>
          <w:vMerge w:val="restart"/>
          <w:shd w:val="clear" w:color="auto" w:fill="auto"/>
        </w:tcPr>
        <w:p w14:paraId="7737A3BD" w14:textId="77777777" w:rsidR="00E05C6C" w:rsidRDefault="00982A5F">
          <w:pPr>
            <w:jc w:val="center"/>
            <w:rPr>
              <w:rFonts w:ascii="Palatino Linotype" w:eastAsia="Palatino Linotype" w:hAnsi="Palatino Linotype" w:cs="Palatino Linotype"/>
              <w:b/>
            </w:rPr>
          </w:pPr>
          <w:r>
            <w:rPr>
              <w:rFonts w:ascii="Palatino Linotype" w:eastAsia="Palatino Linotype" w:hAnsi="Palatino Linotype" w:cs="Palatino Linotype"/>
              <w:noProof/>
              <w:sz w:val="28"/>
              <w:szCs w:val="28"/>
            </w:rPr>
            <w:drawing>
              <wp:inline distT="0" distB="0" distL="0" distR="0" wp14:anchorId="4C03213D" wp14:editId="2F1EFF45">
                <wp:extent cx="1692162" cy="852673"/>
                <wp:effectExtent l="0" t="0" r="0" b="0"/>
                <wp:docPr id="37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3000" w:type="dxa"/>
          <w:shd w:val="clear" w:color="auto" w:fill="auto"/>
        </w:tcPr>
        <w:p w14:paraId="2C9186B8" w14:textId="77777777" w:rsidR="00E05C6C" w:rsidRDefault="00982A5F">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095" w:type="dxa"/>
          <w:shd w:val="clear" w:color="auto" w:fill="auto"/>
          <w:vAlign w:val="center"/>
        </w:tcPr>
        <w:p w14:paraId="65E9FA76" w14:textId="77777777" w:rsidR="00E05C6C" w:rsidRDefault="00982A5F">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08457/INFOEM/IP/RR/2022 </w:t>
          </w:r>
        </w:p>
      </w:tc>
    </w:tr>
    <w:tr w:rsidR="00E05C6C" w14:paraId="18DCCB40" w14:textId="77777777">
      <w:tc>
        <w:tcPr>
          <w:tcW w:w="3805" w:type="dxa"/>
          <w:vMerge/>
          <w:shd w:val="clear" w:color="auto" w:fill="auto"/>
        </w:tcPr>
        <w:p w14:paraId="49A1D64A" w14:textId="77777777" w:rsidR="00E05C6C" w:rsidRDefault="00E05C6C">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14:paraId="60A6C1D4" w14:textId="77777777" w:rsidR="00E05C6C" w:rsidRDefault="00982A5F">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095" w:type="dxa"/>
          <w:shd w:val="clear" w:color="auto" w:fill="auto"/>
          <w:vAlign w:val="center"/>
        </w:tcPr>
        <w:p w14:paraId="7866BFE6" w14:textId="4559C39A" w:rsidR="00E05C6C" w:rsidRDefault="00BD43D7">
          <w:pPr>
            <w:jc w:val="both"/>
            <w:rPr>
              <w:rFonts w:ascii="Palatino Linotype" w:eastAsia="Palatino Linotype" w:hAnsi="Palatino Linotype" w:cs="Palatino Linotype"/>
              <w:b/>
            </w:rPr>
          </w:pPr>
          <w:r>
            <w:rPr>
              <w:rFonts w:ascii="Palatino Linotype" w:eastAsia="Palatino Linotype" w:hAnsi="Palatino Linotype" w:cs="Palatino Linotype"/>
              <w:b/>
            </w:rPr>
            <w:t>XXXXX XX XXXXXX XXXXXXXXXXXX</w:t>
          </w:r>
        </w:p>
      </w:tc>
    </w:tr>
    <w:tr w:rsidR="00E05C6C" w14:paraId="55D8CFB3" w14:textId="77777777">
      <w:trPr>
        <w:trHeight w:val="228"/>
      </w:trPr>
      <w:tc>
        <w:tcPr>
          <w:tcW w:w="3805" w:type="dxa"/>
          <w:vMerge/>
          <w:shd w:val="clear" w:color="auto" w:fill="auto"/>
        </w:tcPr>
        <w:p w14:paraId="696E10EB" w14:textId="77777777" w:rsidR="00E05C6C" w:rsidRDefault="00E05C6C">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14:paraId="3E8BE9D4" w14:textId="77777777" w:rsidR="00E05C6C" w:rsidRDefault="00982A5F">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095" w:type="dxa"/>
          <w:shd w:val="clear" w:color="auto" w:fill="auto"/>
          <w:vAlign w:val="center"/>
        </w:tcPr>
        <w:p w14:paraId="1896376B" w14:textId="77777777" w:rsidR="00E05C6C" w:rsidRDefault="00982A5F">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Ayuntamiento de Toluca </w:t>
          </w:r>
        </w:p>
      </w:tc>
    </w:tr>
    <w:tr w:rsidR="00E05C6C" w14:paraId="41DDF806" w14:textId="77777777">
      <w:tc>
        <w:tcPr>
          <w:tcW w:w="3805" w:type="dxa"/>
          <w:vMerge/>
          <w:shd w:val="clear" w:color="auto" w:fill="auto"/>
        </w:tcPr>
        <w:p w14:paraId="79A4D8F8" w14:textId="77777777" w:rsidR="00E05C6C" w:rsidRDefault="00E05C6C">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14:paraId="4424A538" w14:textId="77777777" w:rsidR="00E05C6C" w:rsidRDefault="00982A5F">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095" w:type="dxa"/>
          <w:shd w:val="clear" w:color="auto" w:fill="auto"/>
        </w:tcPr>
        <w:p w14:paraId="4CE32A63" w14:textId="77777777" w:rsidR="00E05C6C" w:rsidRDefault="00982A5F">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Sharon Cristina Morales Martínez </w:t>
          </w:r>
        </w:p>
      </w:tc>
    </w:tr>
  </w:tbl>
  <w:p w14:paraId="7B80D2C5" w14:textId="77777777" w:rsidR="00E05C6C" w:rsidRDefault="00E05C6C">
    <w:pPr>
      <w:rPr>
        <w:rFonts w:ascii="Palatino Linotype" w:eastAsia="Palatino Linotype" w:hAnsi="Palatino Linotype" w:cs="Palatino Linotype"/>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C736C9"/>
    <w:multiLevelType w:val="multilevel"/>
    <w:tmpl w:val="059EF52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92673C2"/>
    <w:multiLevelType w:val="multilevel"/>
    <w:tmpl w:val="5ACCCC1C"/>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5C6C"/>
    <w:rsid w:val="00161500"/>
    <w:rsid w:val="00162F51"/>
    <w:rsid w:val="00301887"/>
    <w:rsid w:val="00661AA4"/>
    <w:rsid w:val="00816841"/>
    <w:rsid w:val="00982A5F"/>
    <w:rsid w:val="00B7505B"/>
    <w:rsid w:val="00BD43D7"/>
    <w:rsid w:val="00E05C6C"/>
    <w:rsid w:val="00ED16C1"/>
    <w:rsid w:val="00ED3D7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96C2DBA"/>
  <w15:docId w15:val="{1CA25942-B1D9-4D1F-B9D6-5DD46CF8EE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B2895"/>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semiHidden/>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semiHidden/>
    <w:unhideWhenUsed/>
    <w:qFormat/>
    <w:rsid w:val="0071255C"/>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semiHidden/>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semiHidden/>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semiHidden/>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table" w:customStyle="1" w:styleId="TableNormalf6">
    <w:name w:val="Table Normal"/>
    <w:tblPr>
      <w:tblCellMar>
        <w:top w:w="0" w:type="dxa"/>
        <w:left w:w="0" w:type="dxa"/>
        <w:bottom w:w="0" w:type="dxa"/>
        <w:right w:w="0" w:type="dxa"/>
      </w:tblCellMar>
    </w:tblPr>
  </w:style>
  <w:style w:type="table" w:customStyle="1" w:styleId="TableNormalf7">
    <w:name w:val="Table Normal"/>
    <w:tblPr>
      <w:tblCellMar>
        <w:top w:w="0" w:type="dxa"/>
        <w:left w:w="0" w:type="dxa"/>
        <w:bottom w:w="0" w:type="dxa"/>
        <w:right w:w="0" w:type="dxa"/>
      </w:tblCellMar>
    </w:tblPr>
  </w:style>
  <w:style w:type="table" w:customStyle="1" w:styleId="TableNormalf8">
    <w:name w:val="Table Normal"/>
    <w:tblPr>
      <w:tblCellMar>
        <w:top w:w="0" w:type="dxa"/>
        <w:left w:w="0" w:type="dxa"/>
        <w:bottom w:w="0" w:type="dxa"/>
        <w:right w:w="0" w:type="dxa"/>
      </w:tblCellMar>
    </w:tblPr>
  </w:style>
  <w:style w:type="table" w:customStyle="1" w:styleId="TableNormalf9">
    <w:name w:val="Table Normal"/>
    <w:tblPr>
      <w:tblCellMar>
        <w:top w:w="0" w:type="dxa"/>
        <w:left w:w="0" w:type="dxa"/>
        <w:bottom w:w="0" w:type="dxa"/>
        <w:right w:w="0" w:type="dxa"/>
      </w:tblCellMar>
    </w:tblPr>
  </w:style>
  <w:style w:type="table" w:customStyle="1" w:styleId="TableNormalfa">
    <w:name w:val="Table Normal"/>
    <w:tblPr>
      <w:tblCellMar>
        <w:top w:w="0" w:type="dxa"/>
        <w:left w:w="0" w:type="dxa"/>
        <w:bottom w:w="0" w:type="dxa"/>
        <w:right w:w="0" w:type="dxa"/>
      </w:tblCellMar>
    </w:tblPr>
  </w:style>
  <w:style w:type="table" w:customStyle="1" w:styleId="TableNormalfb">
    <w:name w:val="Table Normal"/>
    <w:tblPr>
      <w:tblCellMar>
        <w:top w:w="0" w:type="dxa"/>
        <w:left w:w="0" w:type="dxa"/>
        <w:bottom w:w="0" w:type="dxa"/>
        <w:right w:w="0" w:type="dxa"/>
      </w:tblCellMar>
    </w:tblPr>
  </w:style>
  <w:style w:type="table" w:customStyle="1" w:styleId="TableNormalfc">
    <w:name w:val="Table Normal"/>
    <w:tblPr>
      <w:tblCellMar>
        <w:top w:w="0" w:type="dxa"/>
        <w:left w:w="0" w:type="dxa"/>
        <w:bottom w:w="0" w:type="dxa"/>
        <w:right w:w="0" w:type="dxa"/>
      </w:tblCellMar>
    </w:tblPr>
  </w:style>
  <w:style w:type="table" w:customStyle="1" w:styleId="TableNormalfd">
    <w:name w:val="Table Normal"/>
    <w:tblPr>
      <w:tblCellMar>
        <w:top w:w="0" w:type="dxa"/>
        <w:left w:w="0" w:type="dxa"/>
        <w:bottom w:w="0" w:type="dxa"/>
        <w:right w:w="0" w:type="dxa"/>
      </w:tblCellMar>
    </w:tblPr>
  </w:style>
  <w:style w:type="table" w:customStyle="1" w:styleId="TableNormalfe">
    <w:name w:val="Table Normal"/>
    <w:tblPr>
      <w:tblCellMar>
        <w:top w:w="0" w:type="dxa"/>
        <w:left w:w="0" w:type="dxa"/>
        <w:bottom w:w="0" w:type="dxa"/>
        <w:right w:w="0" w:type="dxa"/>
      </w:tblCellMar>
    </w:tblPr>
  </w:style>
  <w:style w:type="table" w:customStyle="1" w:styleId="TableNormalff">
    <w:name w:val="Table Normal"/>
    <w:tblPr>
      <w:tblCellMar>
        <w:top w:w="0" w:type="dxa"/>
        <w:left w:w="0" w:type="dxa"/>
        <w:bottom w:w="0" w:type="dxa"/>
        <w:right w:w="0" w:type="dxa"/>
      </w:tblCellMar>
    </w:tblPr>
  </w:style>
  <w:style w:type="table" w:customStyle="1" w:styleId="TableNormalff0">
    <w:name w:val="Table Normal"/>
    <w:tblPr>
      <w:tblCellMar>
        <w:top w:w="0" w:type="dxa"/>
        <w:left w:w="0" w:type="dxa"/>
        <w:bottom w:w="0" w:type="dxa"/>
        <w:right w:w="0" w:type="dxa"/>
      </w:tblCellMar>
    </w:tblPr>
  </w:style>
  <w:style w:type="table" w:customStyle="1" w:styleId="TableNormalff1">
    <w:name w:val="Table Normal"/>
    <w:tblPr>
      <w:tblCellMar>
        <w:top w:w="0" w:type="dxa"/>
        <w:left w:w="0" w:type="dxa"/>
        <w:bottom w:w="0" w:type="dxa"/>
        <w:right w:w="0" w:type="dxa"/>
      </w:tblCellMar>
    </w:tblPr>
  </w:style>
  <w:style w:type="table" w:customStyle="1" w:styleId="TableNormalff2">
    <w:name w:val="Table Normal"/>
    <w:tblPr>
      <w:tblCellMar>
        <w:top w:w="0" w:type="dxa"/>
        <w:left w:w="0" w:type="dxa"/>
        <w:bottom w:w="0" w:type="dxa"/>
        <w:right w:w="0" w:type="dxa"/>
      </w:tblCellMar>
    </w:tblPr>
  </w:style>
  <w:style w:type="table" w:customStyle="1" w:styleId="TableNormalff3">
    <w:name w:val="Table Normal"/>
    <w:tblPr>
      <w:tblCellMar>
        <w:top w:w="0" w:type="dxa"/>
        <w:left w:w="0" w:type="dxa"/>
        <w:bottom w:w="0" w:type="dxa"/>
        <w:right w:w="0" w:type="dxa"/>
      </w:tblCellMar>
    </w:tblPr>
  </w:style>
  <w:style w:type="table" w:customStyle="1" w:styleId="TableNormalff4">
    <w:name w:val="Table Normal"/>
    <w:tblPr>
      <w:tblCellMar>
        <w:top w:w="0" w:type="dxa"/>
        <w:left w:w="0" w:type="dxa"/>
        <w:bottom w:w="0" w:type="dxa"/>
        <w:right w:w="0" w:type="dxa"/>
      </w:tblCellMar>
    </w:tblPr>
  </w:style>
  <w:style w:type="table" w:customStyle="1" w:styleId="TableNormalff5">
    <w:name w:val="Table Normal"/>
    <w:tblPr>
      <w:tblCellMar>
        <w:top w:w="0" w:type="dxa"/>
        <w:left w:w="0" w:type="dxa"/>
        <w:bottom w:w="0" w:type="dxa"/>
        <w:right w:w="0" w:type="dxa"/>
      </w:tblCellMar>
    </w:tblPr>
  </w:style>
  <w:style w:type="table" w:customStyle="1" w:styleId="TableNormalff6">
    <w:name w:val="Table Normal"/>
    <w:tblPr>
      <w:tblCellMar>
        <w:top w:w="0" w:type="dxa"/>
        <w:left w:w="0" w:type="dxa"/>
        <w:bottom w:w="0" w:type="dxa"/>
        <w:right w:w="0" w:type="dxa"/>
      </w:tblCellMar>
    </w:tblPr>
  </w:style>
  <w:style w:type="table" w:customStyle="1" w:styleId="TableNormalff7">
    <w:name w:val="Table Normal"/>
    <w:tblPr>
      <w:tblCellMar>
        <w:top w:w="0" w:type="dxa"/>
        <w:left w:w="0" w:type="dxa"/>
        <w:bottom w:w="0" w:type="dxa"/>
        <w:right w:w="0" w:type="dxa"/>
      </w:tblCellMar>
    </w:tblPr>
  </w:style>
  <w:style w:type="table" w:customStyle="1" w:styleId="TableNormalff8">
    <w:name w:val="Table Normal"/>
    <w:tblPr>
      <w:tblCellMar>
        <w:top w:w="0" w:type="dxa"/>
        <w:left w:w="0" w:type="dxa"/>
        <w:bottom w:w="0" w:type="dxa"/>
        <w:right w:w="0" w:type="dxa"/>
      </w:tblCellMar>
    </w:tblPr>
  </w:style>
  <w:style w:type="table" w:customStyle="1" w:styleId="TableNormalff9">
    <w:name w:val="Table Normal"/>
    <w:tblPr>
      <w:tblCellMar>
        <w:top w:w="0" w:type="dxa"/>
        <w:left w:w="0" w:type="dxa"/>
        <w:bottom w:w="0" w:type="dxa"/>
        <w:right w:w="0" w:type="dxa"/>
      </w:tblCellMar>
    </w:tblPr>
  </w:style>
  <w:style w:type="table" w:customStyle="1" w:styleId="TableNormalffa">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rPr>
  </w:style>
  <w:style w:type="paragraph" w:customStyle="1" w:styleId="n2">
    <w:name w:val="n2"/>
    <w:basedOn w:val="Normal"/>
    <w:rsid w:val="001C4E80"/>
    <w:pPr>
      <w:spacing w:before="100" w:beforeAutospacing="1" w:after="100" w:afterAutospacing="1"/>
    </w:pPr>
  </w:style>
  <w:style w:type="paragraph" w:customStyle="1" w:styleId="j">
    <w:name w:val="j"/>
    <w:basedOn w:val="Normal"/>
    <w:rsid w:val="001C4E80"/>
    <w:pPr>
      <w:spacing w:before="100" w:beforeAutospacing="1" w:after="100" w:afterAutospacing="1"/>
    </w:p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rPr>
  </w:style>
  <w:style w:type="table" w:customStyle="1" w:styleId="Tablaconcuadrcula1">
    <w:name w:val="Tabla con cuadrícula1"/>
    <w:basedOn w:val="Tablanormal"/>
    <w:next w:val="Tablaconcuadrcula"/>
    <w:uiPriority w:val="59"/>
    <w:rsid w:val="00555C12"/>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07EF1"/>
  </w:style>
  <w:style w:type="table" w:customStyle="1" w:styleId="Tablaconcuadrcula3">
    <w:name w:val="Tabla con cuadrícula3"/>
    <w:basedOn w:val="Tablanormal"/>
    <w:next w:val="Tablaconcuadrcula"/>
    <w:uiPriority w:val="39"/>
    <w:rsid w:val="006E27FE"/>
    <w:rPr>
      <w:rFonts w:ascii="Arial" w:eastAsia="Calibri" w:hAnsi="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096E3C"/>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5F2C87"/>
    <w:rPr>
      <w:color w:val="605E5C"/>
      <w:shd w:val="clear" w:color="auto" w:fill="E1DFDD"/>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ffa"/>
    <w:tblPr>
      <w:tblStyleRowBandSize w:val="1"/>
      <w:tblStyleColBandSize w:val="1"/>
      <w:tblCellMar>
        <w:top w:w="100" w:type="dxa"/>
        <w:left w:w="100" w:type="dxa"/>
        <w:bottom w:w="100" w:type="dxa"/>
        <w:right w:w="100" w:type="dxa"/>
      </w:tblCellMar>
    </w:tblPr>
  </w:style>
  <w:style w:type="table" w:customStyle="1" w:styleId="a0">
    <w:basedOn w:val="TableNormalffa"/>
    <w:tblPr>
      <w:tblStyleRowBandSize w:val="1"/>
      <w:tblStyleColBandSize w:val="1"/>
      <w:tblCellMar>
        <w:left w:w="115" w:type="dxa"/>
        <w:right w:w="115" w:type="dxa"/>
      </w:tblCellMar>
    </w:tblPr>
  </w:style>
  <w:style w:type="table" w:customStyle="1" w:styleId="a1">
    <w:basedOn w:val="TableNormalffa"/>
    <w:tblPr>
      <w:tblStyleRowBandSize w:val="1"/>
      <w:tblStyleColBandSize w:val="1"/>
      <w:tblCellMar>
        <w:left w:w="115" w:type="dxa"/>
        <w:right w:w="115" w:type="dxa"/>
      </w:tblCellMar>
    </w:tblPr>
  </w:style>
  <w:style w:type="table" w:customStyle="1" w:styleId="a2">
    <w:basedOn w:val="TableNormalffa"/>
    <w:tblPr>
      <w:tblStyleRowBandSize w:val="1"/>
      <w:tblStyleColBandSize w:val="1"/>
      <w:tblCellMar>
        <w:left w:w="115" w:type="dxa"/>
        <w:right w:w="115" w:type="dxa"/>
      </w:tblCellMar>
    </w:tblPr>
  </w:style>
  <w:style w:type="table" w:customStyle="1" w:styleId="a3">
    <w:basedOn w:val="TableNormalffa"/>
    <w:tblPr>
      <w:tblStyleRowBandSize w:val="1"/>
      <w:tblStyleColBandSize w:val="1"/>
      <w:tblCellMar>
        <w:left w:w="115" w:type="dxa"/>
        <w:right w:w="115" w:type="dxa"/>
      </w:tblCellMar>
    </w:tblPr>
  </w:style>
  <w:style w:type="table" w:customStyle="1" w:styleId="a4">
    <w:basedOn w:val="TableNormalffa"/>
    <w:tblPr>
      <w:tblStyleRowBandSize w:val="1"/>
      <w:tblStyleColBandSize w:val="1"/>
      <w:tblCellMar>
        <w:left w:w="115" w:type="dxa"/>
        <w:right w:w="115" w:type="dxa"/>
      </w:tblCellMar>
    </w:tblPr>
  </w:style>
  <w:style w:type="table" w:customStyle="1" w:styleId="a5">
    <w:basedOn w:val="TableNormalffa"/>
    <w:rPr>
      <w:rFonts w:ascii="Arial" w:eastAsia="Arial" w:hAnsi="Arial" w:cs="Arial"/>
      <w:sz w:val="22"/>
      <w:szCs w:val="22"/>
    </w:rPr>
    <w:tblPr>
      <w:tblStyleRowBandSize w:val="1"/>
      <w:tblStyleColBandSize w:val="1"/>
      <w:tblCellMar>
        <w:left w:w="115" w:type="dxa"/>
        <w:right w:w="115" w:type="dxa"/>
      </w:tblCellMar>
    </w:tblPr>
  </w:style>
  <w:style w:type="table" w:customStyle="1" w:styleId="a6">
    <w:basedOn w:val="TableNormalffa"/>
    <w:tblPr>
      <w:tblStyleRowBandSize w:val="1"/>
      <w:tblStyleColBandSize w:val="1"/>
      <w:tblCellMar>
        <w:left w:w="115" w:type="dxa"/>
        <w:right w:w="115" w:type="dxa"/>
      </w:tblCellMar>
    </w:tblPr>
  </w:style>
  <w:style w:type="table" w:customStyle="1" w:styleId="a7">
    <w:basedOn w:val="TableNormalffa"/>
    <w:tblPr>
      <w:tblStyleRowBandSize w:val="1"/>
      <w:tblStyleColBandSize w:val="1"/>
      <w:tblCellMar>
        <w:left w:w="115" w:type="dxa"/>
        <w:right w:w="115" w:type="dxa"/>
      </w:tblCellMar>
    </w:tblPr>
  </w:style>
  <w:style w:type="table" w:customStyle="1" w:styleId="a8">
    <w:basedOn w:val="TableNormalffa"/>
    <w:rPr>
      <w:rFonts w:ascii="Arial" w:eastAsia="Arial" w:hAnsi="Arial" w:cs="Arial"/>
      <w:sz w:val="22"/>
      <w:szCs w:val="22"/>
    </w:rPr>
    <w:tblPr>
      <w:tblStyleRowBandSize w:val="1"/>
      <w:tblStyleColBandSize w:val="1"/>
      <w:tblCellMar>
        <w:left w:w="115" w:type="dxa"/>
        <w:right w:w="115" w:type="dxa"/>
      </w:tblCellMar>
    </w:tblPr>
  </w:style>
  <w:style w:type="table" w:customStyle="1" w:styleId="a9">
    <w:basedOn w:val="TableNormalffa"/>
    <w:rPr>
      <w:rFonts w:ascii="Arial" w:eastAsia="Arial" w:hAnsi="Arial" w:cs="Arial"/>
      <w:sz w:val="22"/>
      <w:szCs w:val="22"/>
    </w:rPr>
    <w:tblPr>
      <w:tblStyleRowBandSize w:val="1"/>
      <w:tblStyleColBandSize w:val="1"/>
      <w:tblCellMar>
        <w:left w:w="115" w:type="dxa"/>
        <w:right w:w="115" w:type="dxa"/>
      </w:tblCellMar>
    </w:tblPr>
  </w:style>
  <w:style w:type="table" w:customStyle="1" w:styleId="aa">
    <w:basedOn w:val="TableNormalff7"/>
    <w:rPr>
      <w:rFonts w:ascii="Arial" w:eastAsia="Arial" w:hAnsi="Arial" w:cs="Arial"/>
      <w:sz w:val="22"/>
      <w:szCs w:val="22"/>
    </w:rPr>
    <w:tblPr>
      <w:tblStyleRowBandSize w:val="1"/>
      <w:tblStyleColBandSize w:val="1"/>
      <w:tblCellMar>
        <w:left w:w="115" w:type="dxa"/>
        <w:right w:w="115" w:type="dxa"/>
      </w:tblCellMar>
    </w:tblPr>
  </w:style>
  <w:style w:type="table" w:customStyle="1" w:styleId="ab">
    <w:basedOn w:val="TableNormalf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c">
    <w:basedOn w:val="TableNormalf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d">
    <w:basedOn w:val="TableNormalf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e">
    <w:basedOn w:val="TableNormalf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
    <w:basedOn w:val="TableNormalf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0">
    <w:basedOn w:val="TableNormalf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1">
    <w:basedOn w:val="TableNormalf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2">
    <w:basedOn w:val="TableNormalf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3">
    <w:basedOn w:val="TableNormalf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4">
    <w:basedOn w:val="TableNormalf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5">
    <w:basedOn w:val="TableNormalf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6">
    <w:basedOn w:val="TableNormalf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7">
    <w:basedOn w:val="TableNormalf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8">
    <w:basedOn w:val="TableNormalf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9">
    <w:basedOn w:val="TableNormalf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a">
    <w:basedOn w:val="TableNormalf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b">
    <w:basedOn w:val="TableNormalf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c">
    <w:basedOn w:val="TableNormalf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d">
    <w:basedOn w:val="TableNormalf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e">
    <w:basedOn w:val="TableNormalf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
    <w:basedOn w:val="TableNormalf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0">
    <w:basedOn w:val="TableNormalf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1">
    <w:basedOn w:val="TableNormalf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2">
    <w:basedOn w:val="TableNormalf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3">
    <w:basedOn w:val="TableNormalf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4">
    <w:basedOn w:val="TableNormalf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5">
    <w:basedOn w:val="TableNormalf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6">
    <w:basedOn w:val="TableNormalf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7">
    <w:basedOn w:val="TableNormalf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8">
    <w:basedOn w:val="TableNormalf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9">
    <w:basedOn w:val="TableNormalf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a">
    <w:basedOn w:val="TableNormalf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b">
    <w:basedOn w:val="TableNormalf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c">
    <w:basedOn w:val="TableNormalf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d">
    <w:basedOn w:val="TableNormalf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e">
    <w:basedOn w:val="TableNormalf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
    <w:basedOn w:val="TableNormalf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0">
    <w:basedOn w:val="TableNormalf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1">
    <w:basedOn w:val="TableNormalf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2">
    <w:basedOn w:val="TableNormalf9"/>
    <w:tblPr>
      <w:tblStyleRowBandSize w:val="1"/>
      <w:tblStyleColBandSize w:val="1"/>
      <w:tblCellMar>
        <w:left w:w="115" w:type="dxa"/>
        <w:right w:w="115" w:type="dxa"/>
      </w:tblCellMar>
    </w:tblPr>
  </w:style>
  <w:style w:type="table" w:customStyle="1" w:styleId="afff3">
    <w:basedOn w:val="TableNormalf9"/>
    <w:tblPr>
      <w:tblStyleRowBandSize w:val="1"/>
      <w:tblStyleColBandSize w:val="1"/>
      <w:tblCellMar>
        <w:top w:w="100" w:type="dxa"/>
        <w:left w:w="100" w:type="dxa"/>
        <w:bottom w:w="100" w:type="dxa"/>
        <w:right w:w="100" w:type="dxa"/>
      </w:tblCellMar>
    </w:tblPr>
  </w:style>
  <w:style w:type="table" w:customStyle="1" w:styleId="afff4">
    <w:basedOn w:val="TableNormalf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5">
    <w:basedOn w:val="TableNormalf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6">
    <w:basedOn w:val="TableNormalf9"/>
    <w:tblPr>
      <w:tblStyleRowBandSize w:val="1"/>
      <w:tblStyleColBandSize w:val="1"/>
      <w:tblCellMar>
        <w:top w:w="100" w:type="dxa"/>
        <w:left w:w="100" w:type="dxa"/>
        <w:bottom w:w="100" w:type="dxa"/>
        <w:right w:w="100" w:type="dxa"/>
      </w:tblCellMar>
    </w:tblPr>
  </w:style>
  <w:style w:type="table" w:customStyle="1" w:styleId="afff7">
    <w:basedOn w:val="TableNormalf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8">
    <w:basedOn w:val="TableNormalf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9">
    <w:basedOn w:val="TableNormalf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a">
    <w:basedOn w:val="TableNormalf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b">
    <w:basedOn w:val="TableNormalf9"/>
    <w:rPr>
      <w:rFonts w:ascii="Arial" w:eastAsia="Arial" w:hAnsi="Arial" w:cs="Arial"/>
      <w:sz w:val="22"/>
      <w:szCs w:val="22"/>
    </w:rPr>
    <w:tblPr>
      <w:tblStyleRowBandSize w:val="1"/>
      <w:tblStyleColBandSize w:val="1"/>
      <w:tblCellMar>
        <w:left w:w="115" w:type="dxa"/>
        <w:right w:w="115" w:type="dxa"/>
      </w:tblCellMar>
    </w:tblPr>
  </w:style>
  <w:style w:type="table" w:customStyle="1" w:styleId="afffc">
    <w:basedOn w:val="TableNormalf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d">
    <w:basedOn w:val="TableNormalf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e">
    <w:basedOn w:val="TableNormalf9"/>
    <w:rPr>
      <w:rFonts w:ascii="Arial" w:eastAsia="Arial" w:hAnsi="Arial" w:cs="Arial"/>
      <w:sz w:val="22"/>
      <w:szCs w:val="22"/>
    </w:rPr>
    <w:tblPr>
      <w:tblStyleRowBandSize w:val="1"/>
      <w:tblStyleColBandSize w:val="1"/>
      <w:tblCellMar>
        <w:left w:w="108" w:type="dxa"/>
        <w:right w:w="108" w:type="dxa"/>
      </w:tblCellMar>
    </w:tblPr>
  </w:style>
  <w:style w:type="table" w:customStyle="1" w:styleId="affff">
    <w:basedOn w:val="TableNormalf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0">
    <w:basedOn w:val="TableNormalf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1">
    <w:basedOn w:val="TableNormalf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2">
    <w:basedOn w:val="TableNormalf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3">
    <w:basedOn w:val="TableNormalf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4">
    <w:basedOn w:val="TableNormalf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5">
    <w:basedOn w:val="TableNormalf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6">
    <w:basedOn w:val="TableNormalf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7">
    <w:basedOn w:val="TableNormalf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8">
    <w:basedOn w:val="TableNormalf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9">
    <w:basedOn w:val="TableNormalf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a">
    <w:basedOn w:val="TableNormalf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b">
    <w:basedOn w:val="TableNormalf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c">
    <w:basedOn w:val="TableNormal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d">
    <w:basedOn w:val="TableNormal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e">
    <w:basedOn w:val="TableNormal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
    <w:basedOn w:val="TableNormal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0">
    <w:basedOn w:val="TableNormal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1">
    <w:basedOn w:val="TableNormal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2">
    <w:basedOn w:val="TableNormal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3">
    <w:basedOn w:val="TableNormal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4">
    <w:basedOn w:val="TableNormal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5">
    <w:basedOn w:val="TableNormal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6">
    <w:basedOn w:val="TableNormal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7">
    <w:basedOn w:val="TableNormal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8">
    <w:basedOn w:val="TableNormal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9">
    <w:basedOn w:val="TableNormal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a">
    <w:basedOn w:val="TableNormal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b">
    <w:basedOn w:val="TableNormal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c">
    <w:basedOn w:val="TableNormal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d">
    <w:basedOn w:val="TableNormal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e">
    <w:basedOn w:val="TableNormal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
    <w:basedOn w:val="TableNormal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0">
    <w:basedOn w:val="TableNormal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1">
    <w:basedOn w:val="TableNormal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2">
    <w:basedOn w:val="TableNormal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3">
    <w:basedOn w:val="TableNormal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4">
    <w:basedOn w:val="TableNormal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5">
    <w:basedOn w:val="TableNormal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6">
    <w:basedOn w:val="TableNormal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7">
    <w:basedOn w:val="TableNormal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8">
    <w:basedOn w:val="TableNormal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9">
    <w:basedOn w:val="TableNormal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a">
    <w:basedOn w:val="TableNormal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b">
    <w:basedOn w:val="TableNormal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c">
    <w:basedOn w:val="TableNormal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d">
    <w:basedOn w:val="TableNormal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e">
    <w:basedOn w:val="TableNormal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
    <w:basedOn w:val="TableNormal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0">
    <w:basedOn w:val="TableNormal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1">
    <w:basedOn w:val="TableNormal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2">
    <w:basedOn w:val="TableNormal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3">
    <w:basedOn w:val="TableNormal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4">
    <w:basedOn w:val="TableNormal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5">
    <w:basedOn w:val="TableNormal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6">
    <w:basedOn w:val="TableNormal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7">
    <w:basedOn w:val="TableNormal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OA6JqbCig9h5bOSou0nzGvkl5sw==">AMUW2mXdlO3b2UT417g+NB08ybjJ/bqTfO4V6qL8UU4FqZ3LSEa/O7ggAX5w6Sm3R/r79cNSqLGMkJEHpfC/QqfUBt92438+GTNJLvNx0N9GJnN6SbVU4XP+N4LhaE5Qlx59naPeqfTyVrxCgiE87DtmoajxyYT7OlKHjMeX17clFELoq1CfJyt/azhCF1fJ89kMa6rsHYoxiNMGOUo5NwCKKOXmyVKObJ8jJpazxK8fKWO53L23mYo=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41</Pages>
  <Words>8247</Words>
  <Characters>45364</Characters>
  <Application>Microsoft Office Word</Application>
  <DocSecurity>0</DocSecurity>
  <Lines>378</Lines>
  <Paragraphs>107</Paragraphs>
  <ScaleCrop>false</ScaleCrop>
  <Company/>
  <LinksUpToDate>false</LinksUpToDate>
  <CharactersWithSpaces>53504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Microsoft Office User</cp:lastModifiedBy>
  <cp:revision>7</cp:revision>
  <cp:lastPrinted>2022-08-19T02:04:00Z</cp:lastPrinted>
  <dcterms:created xsi:type="dcterms:W3CDTF">2022-08-11T17:52:00Z</dcterms:created>
  <dcterms:modified xsi:type="dcterms:W3CDTF">2022-08-31T16:18:00Z</dcterms:modified>
</cp:coreProperties>
</file>