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730C" w:rsidRDefault="00D23B6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w:t>
      </w:r>
      <w:r w:rsidR="00081AE0">
        <w:rPr>
          <w:rFonts w:ascii="Palatino Linotype" w:eastAsia="Palatino Linotype" w:hAnsi="Palatino Linotype" w:cs="Palatino Linotype"/>
        </w:rPr>
        <w:t>pec, Estado de México, a diez de agosto</w:t>
      </w:r>
      <w:r>
        <w:rPr>
          <w:rFonts w:ascii="Palatino Linotype" w:eastAsia="Palatino Linotype" w:hAnsi="Palatino Linotype" w:cs="Palatino Linotype"/>
        </w:rPr>
        <w:t xml:space="preserve"> de dos mil veintidós. </w:t>
      </w:r>
    </w:p>
    <w:p w:rsidR="00C8730C" w:rsidRDefault="00D23B6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formado con motivo del recurso de revisión </w:t>
      </w:r>
      <w:r w:rsidR="00081AE0">
        <w:rPr>
          <w:rFonts w:ascii="Palatino Linotype" w:eastAsia="Palatino Linotype" w:hAnsi="Palatino Linotype" w:cs="Palatino Linotype"/>
          <w:b/>
        </w:rPr>
        <w:t>05444</w:t>
      </w:r>
      <w:r>
        <w:rPr>
          <w:rFonts w:ascii="Palatino Linotype" w:eastAsia="Palatino Linotype" w:hAnsi="Palatino Linotype" w:cs="Palatino Linotype"/>
          <w:b/>
        </w:rPr>
        <w:t>/INFOEM/IP/RR/2022</w:t>
      </w:r>
      <w:r>
        <w:rPr>
          <w:rFonts w:ascii="Palatino Linotype" w:eastAsia="Palatino Linotype" w:hAnsi="Palatino Linotype" w:cs="Palatino Linotype"/>
        </w:rPr>
        <w:t xml:space="preserve">, por </w:t>
      </w:r>
      <w:r w:rsidR="00081AE0">
        <w:rPr>
          <w:rFonts w:ascii="Palatino Linotype" w:eastAsia="Palatino Linotype" w:hAnsi="Palatino Linotype" w:cs="Palatino Linotype"/>
        </w:rPr>
        <w:t xml:space="preserve">interpuesto por </w:t>
      </w:r>
      <w:r w:rsidR="00081AE0">
        <w:rPr>
          <w:rFonts w:ascii="Palatino Linotype" w:eastAsia="Palatino Linotype" w:hAnsi="Palatino Linotype" w:cs="Palatino Linotype"/>
          <w:b/>
        </w:rPr>
        <w:t>un particular que no proporcionó su nombre</w:t>
      </w:r>
      <w:r w:rsidR="00081AE0">
        <w:rPr>
          <w:rFonts w:ascii="Palatino Linotype" w:eastAsia="Palatino Linotype" w:hAnsi="Palatino Linotype" w:cs="Palatino Linotype"/>
        </w:rPr>
        <w:t xml:space="preserve">, en lo sucesivo el </w:t>
      </w:r>
      <w:r w:rsidR="00081AE0">
        <w:rPr>
          <w:rFonts w:ascii="Palatino Linotype" w:eastAsia="Palatino Linotype" w:hAnsi="Palatino Linotype" w:cs="Palatino Linotype"/>
          <w:b/>
        </w:rPr>
        <w:t>RECURRENTE</w:t>
      </w:r>
      <w:r>
        <w:rPr>
          <w:rFonts w:ascii="Palatino Linotype" w:eastAsia="Palatino Linotype" w:hAnsi="Palatino Linotype" w:cs="Palatino Linotype"/>
          <w:b/>
        </w:rPr>
        <w:t>,</w:t>
      </w:r>
      <w:r>
        <w:rPr>
          <w:rFonts w:ascii="Palatino Linotype" w:eastAsia="Palatino Linotype" w:hAnsi="Palatino Linotype" w:cs="Palatino Linotype"/>
        </w:rPr>
        <w:t xml:space="preserve"> en contra de la respuesta a su solicitud por parte del </w:t>
      </w:r>
      <w:r w:rsidR="00081AE0" w:rsidRPr="00081AE0">
        <w:rPr>
          <w:rFonts w:ascii="Palatino Linotype" w:eastAsia="Palatino Linotype" w:hAnsi="Palatino Linotype" w:cs="Palatino Linotype"/>
          <w:b/>
        </w:rPr>
        <w:t>Organismo Público Descentralizado para la Prestación de Los Servicios de Agua Potable Alcantarillado y Saneamiento del Municipio de Metepec</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procede a dictar la presente resolución con base en los siguientes: </w:t>
      </w:r>
    </w:p>
    <w:p w:rsidR="00C8730C" w:rsidRDefault="00D23B6E">
      <w:pPr>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 A N T E C E D E N T E S</w:t>
      </w:r>
    </w:p>
    <w:p w:rsidR="00C8730C" w:rsidRDefault="00D23B6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rPr>
        <w:t xml:space="preserve"> Con fecha </w:t>
      </w:r>
      <w:r w:rsidR="00690783" w:rsidRPr="00690783">
        <w:rPr>
          <w:rFonts w:ascii="Palatino Linotype" w:eastAsia="Palatino Linotype" w:hAnsi="Palatino Linotype" w:cs="Palatino Linotype"/>
          <w:b/>
        </w:rPr>
        <w:t>primero de marzo d</w:t>
      </w:r>
      <w:r w:rsidRPr="00690783">
        <w:rPr>
          <w:rFonts w:ascii="Palatino Linotype" w:eastAsia="Palatino Linotype" w:hAnsi="Palatino Linotype" w:cs="Palatino Linotype"/>
          <w:b/>
        </w:rPr>
        <w:t>e</w:t>
      </w:r>
      <w:r w:rsidR="00690783" w:rsidRPr="00690783">
        <w:rPr>
          <w:rFonts w:ascii="Palatino Linotype" w:eastAsia="Palatino Linotype" w:hAnsi="Palatino Linotype" w:cs="Palatino Linotype"/>
          <w:b/>
        </w:rPr>
        <w:t>l</w:t>
      </w:r>
      <w:r w:rsidRPr="00690783">
        <w:rPr>
          <w:rFonts w:ascii="Palatino Linotype" w:eastAsia="Palatino Linotype" w:hAnsi="Palatino Linotype" w:cs="Palatino Linotype"/>
          <w:b/>
        </w:rPr>
        <w:t xml:space="preserve"> dos </w:t>
      </w:r>
      <w:r>
        <w:rPr>
          <w:rFonts w:ascii="Palatino Linotype" w:eastAsia="Palatino Linotype" w:hAnsi="Palatino Linotype" w:cs="Palatino Linotype"/>
          <w:b/>
        </w:rPr>
        <w:t>mil veintidós,</w:t>
      </w:r>
      <w:r>
        <w:rPr>
          <w:rFonts w:ascii="Palatino Linotype" w:eastAsia="Palatino Linotype" w:hAnsi="Palatino Linotype" w:cs="Palatino Linotype"/>
        </w:rPr>
        <w:t xml:space="preserve"> la parte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presentó, través del Sistema de Acceso a la Información Mexiquense, en lo subsecuente 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ante el </w:t>
      </w:r>
      <w:r>
        <w:rPr>
          <w:rFonts w:ascii="Palatino Linotype" w:eastAsia="Palatino Linotype" w:hAnsi="Palatino Linotype" w:cs="Palatino Linotype"/>
          <w:b/>
        </w:rPr>
        <w:t>SUJETO OBLIGADO</w:t>
      </w:r>
      <w:r>
        <w:rPr>
          <w:rFonts w:ascii="Palatino Linotype" w:eastAsia="Palatino Linotype" w:hAnsi="Palatino Linotype" w:cs="Palatino Linotype"/>
        </w:rPr>
        <w:t>, la solicitud de acceso a la información pública, a la que se le asignó el número</w:t>
      </w:r>
      <w:r>
        <w:rPr>
          <w:rFonts w:ascii="Palatino Linotype" w:eastAsia="Palatino Linotype" w:hAnsi="Palatino Linotype" w:cs="Palatino Linotype"/>
          <w:b/>
        </w:rPr>
        <w:t xml:space="preserve"> </w:t>
      </w:r>
      <w:r w:rsidR="00081AE0" w:rsidRPr="00081AE0">
        <w:rPr>
          <w:rFonts w:ascii="Palatino Linotype" w:eastAsia="Palatino Linotype" w:hAnsi="Palatino Linotype" w:cs="Palatino Linotype"/>
          <w:b/>
        </w:rPr>
        <w:t>00704/OASMETEPEC/IP/2022</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mediante la cual requirió la información siguiente: </w:t>
      </w:r>
    </w:p>
    <w:p w:rsidR="00C8730C" w:rsidRDefault="00D23B6E">
      <w:pPr>
        <w:spacing w:before="240"/>
        <w:ind w:left="851" w:right="902"/>
        <w:jc w:val="both"/>
        <w:rPr>
          <w:rFonts w:ascii="Palatino Linotype" w:eastAsia="Palatino Linotype" w:hAnsi="Palatino Linotype" w:cs="Palatino Linotype"/>
          <w:i/>
          <w:sz w:val="22"/>
          <w:szCs w:val="22"/>
        </w:rPr>
      </w:pPr>
      <w:bookmarkStart w:id="0" w:name="_heading=h.gjdgxs" w:colFirst="0" w:colLast="0"/>
      <w:bookmarkEnd w:id="0"/>
      <w:r>
        <w:rPr>
          <w:rFonts w:ascii="Palatino Linotype" w:eastAsia="Palatino Linotype" w:hAnsi="Palatino Linotype" w:cs="Palatino Linotype"/>
          <w:i/>
          <w:sz w:val="22"/>
          <w:szCs w:val="22"/>
        </w:rPr>
        <w:lastRenderedPageBreak/>
        <w:t>“</w:t>
      </w:r>
      <w:r w:rsidR="00081AE0" w:rsidRPr="00081AE0">
        <w:rPr>
          <w:rFonts w:ascii="Palatino Linotype" w:eastAsia="Palatino Linotype" w:hAnsi="Palatino Linotype" w:cs="Palatino Linotype"/>
          <w:i/>
          <w:sz w:val="22"/>
          <w:szCs w:val="22"/>
        </w:rPr>
        <w:t>SOLICITO COPIA DIGITAL EN PDF DE LOS OFICIOS RECIBIDOS POR TODAS LAS AREAS DEL DÍA 17 DE FEBRERO 2022”</w:t>
      </w:r>
      <w:r>
        <w:rPr>
          <w:rFonts w:ascii="Palatino Linotype" w:eastAsia="Palatino Linotype" w:hAnsi="Palatino Linotype" w:cs="Palatino Linotype"/>
          <w:i/>
          <w:sz w:val="22"/>
          <w:szCs w:val="22"/>
        </w:rPr>
        <w:t xml:space="preserve"> (Sic)</w:t>
      </w:r>
    </w:p>
    <w:p w:rsidR="00C8730C" w:rsidRDefault="00C8730C">
      <w:pPr>
        <w:spacing w:line="360" w:lineRule="auto"/>
        <w:jc w:val="both"/>
        <w:rPr>
          <w:rFonts w:ascii="Palatino Linotype" w:eastAsia="Palatino Linotype" w:hAnsi="Palatino Linotype" w:cs="Palatino Linotype"/>
        </w:rPr>
      </w:pPr>
    </w:p>
    <w:p w:rsidR="00C8730C" w:rsidRDefault="00D23B6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Modalidad de Entrega:</w:t>
      </w:r>
      <w:r>
        <w:rPr>
          <w:rFonts w:ascii="Palatino Linotype" w:eastAsia="Palatino Linotype" w:hAnsi="Palatino Linotype" w:cs="Palatino Linotype"/>
        </w:rPr>
        <w:t xml:space="preserve"> A través de SAIMEX.</w:t>
      </w:r>
    </w:p>
    <w:p w:rsidR="00C8730C" w:rsidRDefault="00C8730C">
      <w:pPr>
        <w:spacing w:line="360" w:lineRule="auto"/>
        <w:jc w:val="both"/>
        <w:rPr>
          <w:rFonts w:ascii="Palatino Linotype" w:eastAsia="Palatino Linotype" w:hAnsi="Palatino Linotype" w:cs="Palatino Linotype"/>
        </w:rPr>
      </w:pPr>
    </w:p>
    <w:p w:rsidR="00C8730C" w:rsidRDefault="00D23B6E">
      <w:pPr>
        <w:spacing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2. Respuesta. </w:t>
      </w:r>
      <w:r>
        <w:rPr>
          <w:rFonts w:ascii="Palatino Linotype" w:eastAsia="Palatino Linotype" w:hAnsi="Palatino Linotype" w:cs="Palatino Linotype"/>
        </w:rPr>
        <w:t xml:space="preserve">Con fecha </w:t>
      </w:r>
      <w:r w:rsidR="00081AE0">
        <w:rPr>
          <w:rFonts w:ascii="Palatino Linotype" w:eastAsia="Palatino Linotype" w:hAnsi="Palatino Linotype" w:cs="Palatino Linotype"/>
          <w:b/>
        </w:rPr>
        <w:t>veinticuatro</w:t>
      </w:r>
      <w:r>
        <w:rPr>
          <w:rFonts w:ascii="Palatino Linotype" w:eastAsia="Palatino Linotype" w:hAnsi="Palatino Linotype" w:cs="Palatino Linotype"/>
          <w:b/>
        </w:rPr>
        <w:t xml:space="preserve"> de marzo de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envió su respuesta a la solicitud de acceso a la información a través de SAIMEX, sustancialmente en los términos siguientes:   </w:t>
      </w:r>
    </w:p>
    <w:p w:rsidR="00C8730C" w:rsidRDefault="00D23B6E">
      <w:pPr>
        <w:spacing w:before="240" w:after="24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sidR="00081AE0" w:rsidRPr="00081AE0">
        <w:rPr>
          <w:rFonts w:ascii="Palatino Linotype" w:eastAsia="Palatino Linotype" w:hAnsi="Palatino Linotype" w:cs="Palatino Linotype"/>
          <w:i/>
          <w:sz w:val="22"/>
          <w:szCs w:val="22"/>
        </w:rPr>
        <w:t>se anexa respuesta a su solicitud de información</w:t>
      </w:r>
      <w:r>
        <w:rPr>
          <w:rFonts w:ascii="Palatino Linotype" w:eastAsia="Palatino Linotype" w:hAnsi="Palatino Linotype" w:cs="Palatino Linotype"/>
          <w:i/>
          <w:sz w:val="22"/>
          <w:szCs w:val="22"/>
        </w:rPr>
        <w:t>...” (Sic)</w:t>
      </w:r>
    </w:p>
    <w:p w:rsidR="00C8730C" w:rsidRDefault="00D23B6E">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El </w:t>
      </w:r>
      <w:r>
        <w:rPr>
          <w:rFonts w:ascii="Palatino Linotype" w:eastAsia="Palatino Linotype" w:hAnsi="Palatino Linotype" w:cs="Palatino Linotype"/>
          <w:b/>
        </w:rPr>
        <w:t>SUJETO OBLIGADO</w:t>
      </w:r>
      <w:r w:rsidR="00081AE0">
        <w:rPr>
          <w:rFonts w:ascii="Palatino Linotype" w:eastAsia="Palatino Linotype" w:hAnsi="Palatino Linotype" w:cs="Palatino Linotype"/>
        </w:rPr>
        <w:t xml:space="preserve"> adjuntó el siguiente archivo</w:t>
      </w:r>
      <w:r>
        <w:rPr>
          <w:rFonts w:ascii="Palatino Linotype" w:eastAsia="Palatino Linotype" w:hAnsi="Palatino Linotype" w:cs="Palatino Linotype"/>
        </w:rPr>
        <w:t>:</w:t>
      </w:r>
    </w:p>
    <w:p w:rsidR="00081AE0" w:rsidRDefault="00D23B6E">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w:t>
      </w:r>
      <w:r w:rsidRPr="00567E32">
        <w:rPr>
          <w:rFonts w:ascii="Palatino Linotype" w:eastAsia="Palatino Linotype" w:hAnsi="Palatino Linotype" w:cs="Palatino Linotype"/>
          <w:b/>
          <w:i/>
        </w:rPr>
        <w:t xml:space="preserve"> “</w:t>
      </w:r>
      <w:hyperlink r:id="rId8" w:tgtFrame="_blank" w:history="1">
        <w:r w:rsidR="00081AE0" w:rsidRPr="00567E32">
          <w:rPr>
            <w:rFonts w:ascii="Palatino Linotype" w:eastAsia="Palatino Linotype" w:hAnsi="Palatino Linotype" w:cs="Palatino Linotype"/>
            <w:b/>
            <w:i/>
          </w:rPr>
          <w:t>respuesta 704.pdf</w:t>
        </w:r>
      </w:hyperlink>
      <w:r>
        <w:rPr>
          <w:rFonts w:ascii="Palatino Linotype" w:eastAsia="Palatino Linotype" w:hAnsi="Palatino Linotype" w:cs="Palatino Linotype"/>
        </w:rPr>
        <w:t>”, e</w:t>
      </w:r>
      <w:r w:rsidR="00081AE0">
        <w:rPr>
          <w:rFonts w:ascii="Palatino Linotype" w:eastAsia="Palatino Linotype" w:hAnsi="Palatino Linotype" w:cs="Palatino Linotype"/>
        </w:rPr>
        <w:t xml:space="preserve">l cual contiene la respuesta del Titular de la Unidad de Transparencia del </w:t>
      </w:r>
      <w:r w:rsidR="00081AE0" w:rsidRPr="00081AE0">
        <w:rPr>
          <w:rFonts w:ascii="Palatino Linotype" w:eastAsia="Palatino Linotype" w:hAnsi="Palatino Linotype" w:cs="Palatino Linotype"/>
          <w:b/>
        </w:rPr>
        <w:t>SUJETO OBLIGADO</w:t>
      </w:r>
      <w:r w:rsidR="00081AE0">
        <w:rPr>
          <w:rFonts w:ascii="Palatino Linotype" w:eastAsia="Palatino Linotype" w:hAnsi="Palatino Linotype" w:cs="Palatino Linotype"/>
        </w:rPr>
        <w:t xml:space="preserve"> al solicitante; a través del cual le informó que se adjuntaban los oficios recibidos, anexando nueve</w:t>
      </w:r>
      <w:r w:rsidR="00917DAD">
        <w:rPr>
          <w:rFonts w:ascii="Palatino Linotype" w:eastAsia="Palatino Linotype" w:hAnsi="Palatino Linotype" w:cs="Palatino Linotype"/>
        </w:rPr>
        <w:t xml:space="preserve"> oficios de los cuales el oficio número OSFEM/AS/1080/2022 se aprecia incompleto.</w:t>
      </w:r>
    </w:p>
    <w:p w:rsidR="00C8730C" w:rsidRDefault="00D23B6E">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3. Interposición del recurso de revisión. </w:t>
      </w:r>
      <w:r>
        <w:rPr>
          <w:rFonts w:ascii="Palatino Linotype" w:eastAsia="Palatino Linotype" w:hAnsi="Palatino Linotype" w:cs="Palatino Linotype"/>
        </w:rPr>
        <w:t xml:space="preserve">Inconforme con los términos de la respuesta emitida por parte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el </w:t>
      </w:r>
      <w:r w:rsidR="00917DAD">
        <w:rPr>
          <w:rFonts w:ascii="Palatino Linotype" w:eastAsia="Palatino Linotype" w:hAnsi="Palatino Linotype" w:cs="Palatino Linotype"/>
          <w:b/>
        </w:rPr>
        <w:t>primero de abril</w:t>
      </w:r>
      <w:r>
        <w:rPr>
          <w:rFonts w:ascii="Palatino Linotype" w:eastAsia="Palatino Linotype" w:hAnsi="Palatino Linotype" w:cs="Palatino Linotype"/>
          <w:b/>
        </w:rPr>
        <w:t xml:space="preserve"> de dos mil veintidós,</w:t>
      </w:r>
      <w:r>
        <w:rPr>
          <w:rFonts w:ascii="Palatino Linotype" w:eastAsia="Palatino Linotype" w:hAnsi="Palatino Linotype" w:cs="Palatino Linotype"/>
        </w:rPr>
        <w:t xml:space="preserve"> la parte </w:t>
      </w:r>
      <w:r w:rsidR="00917DAD" w:rsidRPr="00917DAD">
        <w:rPr>
          <w:rFonts w:ascii="Palatino Linotype" w:eastAsia="Palatino Linotype" w:hAnsi="Palatino Linotype" w:cs="Palatino Linotype"/>
          <w:b/>
        </w:rPr>
        <w:t>RECURRENTE</w:t>
      </w:r>
      <w:r>
        <w:rPr>
          <w:rFonts w:ascii="Palatino Linotype" w:eastAsia="Palatino Linotype" w:hAnsi="Palatino Linotype" w:cs="Palatino Linotype"/>
        </w:rPr>
        <w:t xml:space="preserve"> interpuso el recurso de revisión a través de </w:t>
      </w:r>
      <w:r>
        <w:rPr>
          <w:rFonts w:ascii="Palatino Linotype" w:eastAsia="Palatino Linotype" w:hAnsi="Palatino Linotype" w:cs="Palatino Linotype"/>
          <w:b/>
        </w:rPr>
        <w:t xml:space="preserve">SAIMEX, </w:t>
      </w:r>
      <w:r>
        <w:rPr>
          <w:rFonts w:ascii="Palatino Linotype" w:eastAsia="Palatino Linotype" w:hAnsi="Palatino Linotype" w:cs="Palatino Linotype"/>
        </w:rPr>
        <w:t>en donde se manifestó de la siguiente manera:</w:t>
      </w:r>
    </w:p>
    <w:p w:rsidR="00C8730C" w:rsidRDefault="00D23B6E">
      <w:pPr>
        <w:tabs>
          <w:tab w:val="left" w:pos="2745"/>
        </w:tabs>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Acto impugnado: </w:t>
      </w:r>
      <w:r>
        <w:rPr>
          <w:rFonts w:ascii="Palatino Linotype" w:eastAsia="Palatino Linotype" w:hAnsi="Palatino Linotype" w:cs="Palatino Linotype"/>
          <w:b/>
        </w:rPr>
        <w:tab/>
      </w:r>
    </w:p>
    <w:p w:rsidR="00C8730C" w:rsidRDefault="00D23B6E">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sidR="00917DAD" w:rsidRPr="00917DAD">
        <w:rPr>
          <w:rFonts w:ascii="Palatino Linotype" w:eastAsia="Palatino Linotype" w:hAnsi="Palatino Linotype" w:cs="Palatino Linotype"/>
          <w:i/>
          <w:sz w:val="22"/>
          <w:szCs w:val="22"/>
        </w:rPr>
        <w:t>La respuesta proporcionada por el Sujeto Obligado.</w:t>
      </w:r>
      <w:r>
        <w:rPr>
          <w:rFonts w:ascii="Palatino Linotype" w:eastAsia="Palatino Linotype" w:hAnsi="Palatino Linotype" w:cs="Palatino Linotype"/>
          <w:i/>
          <w:sz w:val="22"/>
          <w:szCs w:val="22"/>
        </w:rPr>
        <w:t>” (Sic)</w:t>
      </w:r>
    </w:p>
    <w:p w:rsidR="00C8730C" w:rsidRDefault="00C8730C">
      <w:pPr>
        <w:ind w:left="851" w:right="902"/>
        <w:jc w:val="both"/>
        <w:rPr>
          <w:rFonts w:ascii="Palatino Linotype" w:eastAsia="Palatino Linotype" w:hAnsi="Palatino Linotype" w:cs="Palatino Linotype"/>
          <w:i/>
          <w:sz w:val="22"/>
          <w:szCs w:val="22"/>
        </w:rPr>
      </w:pPr>
    </w:p>
    <w:p w:rsidR="00C8730C" w:rsidRDefault="00D23B6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Y Razones o motivos de inconformidad</w:t>
      </w:r>
      <w:r>
        <w:rPr>
          <w:rFonts w:ascii="Palatino Linotype" w:eastAsia="Palatino Linotype" w:hAnsi="Palatino Linotype" w:cs="Palatino Linotype"/>
        </w:rPr>
        <w:t>:</w:t>
      </w:r>
    </w:p>
    <w:p w:rsidR="00C8730C" w:rsidRDefault="00D23B6E">
      <w:pPr>
        <w:ind w:left="851" w:right="902"/>
        <w:jc w:val="both"/>
        <w:rPr>
          <w:rFonts w:ascii="Palatino Linotype" w:eastAsia="Palatino Linotype" w:hAnsi="Palatino Linotype" w:cs="Palatino Linotype"/>
          <w:i/>
          <w:sz w:val="22"/>
          <w:szCs w:val="22"/>
        </w:rPr>
      </w:pPr>
      <w:bookmarkStart w:id="1" w:name="_heading=h.30j0zll" w:colFirst="0" w:colLast="0"/>
      <w:bookmarkEnd w:id="1"/>
      <w:r>
        <w:rPr>
          <w:rFonts w:ascii="Palatino Linotype" w:eastAsia="Palatino Linotype" w:hAnsi="Palatino Linotype" w:cs="Palatino Linotype"/>
          <w:i/>
          <w:sz w:val="22"/>
          <w:szCs w:val="22"/>
        </w:rPr>
        <w:t xml:space="preserve"> “</w:t>
      </w:r>
      <w:r w:rsidR="00917DAD" w:rsidRPr="00917DAD">
        <w:rPr>
          <w:rFonts w:ascii="Palatino Linotype" w:eastAsia="Palatino Linotype" w:hAnsi="Palatino Linotype" w:cs="Palatino Linotype"/>
          <w:i/>
          <w:sz w:val="22"/>
          <w:szCs w:val="22"/>
        </w:rPr>
        <w:t xml:space="preserve">La respuesta proporcionada por el sujeto obligado está repleta de deficiencias al incumplir con diversas disposiciones explícitamente señaladas por la Ley de Transparencia y Acceso a la Información Pública.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lo tanto, se arriba que el derecho de acceso a la información se garantiza mediante el manejo y la conservación del patrimonio documental para posteriormente facilitar el acceso a la información en posesión de sujetos obligados. En relación directa con ello, resultan relevantes los artículos 4, 12, 18, 19 y 24 último párrafo de la Ley de Transparencia y Acceso a la Información Pública del Estado de México y Municipios Por otra parte, se estima que el Sujeto Obligado no dio cabal cumplimiento al procedimiento para la atención a las solicitudes de acceso a la información, establecido en los artículos 151, 160, 162, 163, 164, 165 y 166, de la Ley de Transparencia y Acceso a la Información Pública del Estado de México y Municipios. Siendo a su vez, el sujeto obligado omiso en las formalidades de clasificación de información en los casos procedentes, en términos de los artículos 47, 48, 49, fracciones II, VIII, IX, XII, XVI, 50, fracción X, 58, fracción V, 122, 130, 131, 133, 134, 135, 137, 140, 143 y 149 de la Ley referida con antelación. En este sentido, el sujeto obligado se encuentra constreñido a entregar la información solicitada, en los formatos que obren en sus archivos y por el medio de notificación seleccionado, siguiendo el procedimiento señalado en la propia Ley de Transparencia y Acceso a la Información Pública del Estado de México y Municipios. Por lo anteriormente expuesto se solicita al Pleno del Instituto de Transparencia, Acceso a la Información Pública y Protección de Datos Personales del Estado de México y Municipios tenga a bien ordenar al sujeto obligado de mérito la entrega de la información solicitada, en versión digital y pública, de ser el caso, en el formato en que se encuentre. Asimismo, de conformidad con el artículo 223 de la multicitada Ley de transparencia local, </w:t>
      </w:r>
      <w:r w:rsidR="00917DAD" w:rsidRPr="00917DAD">
        <w:rPr>
          <w:rFonts w:ascii="Palatino Linotype" w:eastAsia="Palatino Linotype" w:hAnsi="Palatino Linotype" w:cs="Palatino Linotype"/>
          <w:i/>
          <w:sz w:val="22"/>
          <w:szCs w:val="22"/>
          <w:u w:val="single"/>
        </w:rPr>
        <w:t xml:space="preserve">se solicita al Instituto dar vista a la </w:t>
      </w:r>
      <w:r w:rsidR="00917DAD" w:rsidRPr="00917DAD">
        <w:rPr>
          <w:rFonts w:ascii="Palatino Linotype" w:eastAsia="Palatino Linotype" w:hAnsi="Palatino Linotype" w:cs="Palatino Linotype"/>
          <w:i/>
          <w:sz w:val="22"/>
          <w:szCs w:val="22"/>
          <w:u w:val="single"/>
        </w:rPr>
        <w:lastRenderedPageBreak/>
        <w:t>Contraloría Interna y Órgano de Control y Vigilancia en términos de la Ley de Responsabilidades de los Servidores Públicos del Estado y Municipios, para que determine el grado de responsabilidad de quienes incumplan con las obligaciones de la Ley, al considerar posibles causas de responsabilidad administrativa por el incumplimiento a lo anteriormente expuesto,</w:t>
      </w:r>
      <w:r w:rsidR="00917DAD" w:rsidRPr="00917DAD">
        <w:rPr>
          <w:rFonts w:ascii="Palatino Linotype" w:eastAsia="Palatino Linotype" w:hAnsi="Palatino Linotype" w:cs="Palatino Linotype"/>
          <w:i/>
          <w:sz w:val="22"/>
          <w:szCs w:val="22"/>
        </w:rPr>
        <w:t xml:space="preserve"> aunado a los supuestos normativos aplicables, previstos por el artículo 222 del mismo ordenamiento jurídico. No omito mencionar que el sujeto obligado omitió en su respuesta informar a los interesados el derecho y plazo que tienen para promover recurso de revisión, de acuerdo a lo señalado por el artículo 177 de la ley en mención. </w:t>
      </w:r>
      <w:r w:rsidR="00917DAD" w:rsidRPr="00917DAD">
        <w:rPr>
          <w:rFonts w:ascii="Palatino Linotype" w:eastAsia="Palatino Linotype" w:hAnsi="Palatino Linotype" w:cs="Palatino Linotype"/>
          <w:i/>
          <w:sz w:val="22"/>
          <w:szCs w:val="22"/>
          <w:u w:val="single"/>
        </w:rPr>
        <w:t xml:space="preserve">La respuesta proporcionada por el Sujeto Obligado, mencionan no haber recibido oficios en </w:t>
      </w:r>
      <w:proofErr w:type="spellStart"/>
      <w:r w:rsidR="00917DAD" w:rsidRPr="00917DAD">
        <w:rPr>
          <w:rFonts w:ascii="Palatino Linotype" w:eastAsia="Palatino Linotype" w:hAnsi="Palatino Linotype" w:cs="Palatino Linotype"/>
          <w:i/>
          <w:sz w:val="22"/>
          <w:szCs w:val="22"/>
          <w:u w:val="single"/>
        </w:rPr>
        <w:t>está</w:t>
      </w:r>
      <w:proofErr w:type="spellEnd"/>
      <w:r w:rsidR="00917DAD" w:rsidRPr="00917DAD">
        <w:rPr>
          <w:rFonts w:ascii="Palatino Linotype" w:eastAsia="Palatino Linotype" w:hAnsi="Palatino Linotype" w:cs="Palatino Linotype"/>
          <w:i/>
          <w:sz w:val="22"/>
          <w:szCs w:val="22"/>
          <w:u w:val="single"/>
        </w:rPr>
        <w:t xml:space="preserve"> fecha sin embargo en otra solicitud suben un archivo correspondiente a ese día, lo cual hace evidente la falta de interés en realizar la búsqueda exhaustiva de la documentación relativo a las solicitudes que reciben</w:t>
      </w:r>
      <w:r w:rsidR="00917DAD" w:rsidRPr="00917DAD">
        <w:rPr>
          <w:rFonts w:ascii="Palatino Linotype" w:eastAsia="Palatino Linotype" w:hAnsi="Palatino Linotype" w:cs="Palatino Linotype"/>
          <w:i/>
          <w:sz w:val="22"/>
          <w:szCs w:val="22"/>
        </w:rPr>
        <w:t>.</w:t>
      </w:r>
      <w:r>
        <w:rPr>
          <w:rFonts w:ascii="Palatino Linotype" w:eastAsia="Palatino Linotype" w:hAnsi="Palatino Linotype" w:cs="Palatino Linotype"/>
          <w:i/>
          <w:sz w:val="22"/>
          <w:szCs w:val="22"/>
        </w:rPr>
        <w:t>” (Sic)</w:t>
      </w:r>
    </w:p>
    <w:p w:rsidR="00C8730C" w:rsidRDefault="00C8730C">
      <w:pPr>
        <w:ind w:left="851" w:right="902"/>
        <w:jc w:val="both"/>
        <w:rPr>
          <w:rFonts w:ascii="Palatino Linotype" w:eastAsia="Palatino Linotype" w:hAnsi="Palatino Linotype" w:cs="Palatino Linotype"/>
          <w:i/>
          <w:sz w:val="22"/>
          <w:szCs w:val="22"/>
        </w:rPr>
      </w:pPr>
    </w:p>
    <w:p w:rsidR="00C8730C" w:rsidRDefault="00D23B6E">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b/>
        </w:rPr>
        <w:t xml:space="preserve">4. Turno.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Pr>
          <w:rFonts w:ascii="Palatino Linotype" w:eastAsia="Palatino Linotype" w:hAnsi="Palatino Linotype" w:cs="Palatino Linotype"/>
          <w:b/>
        </w:rPr>
        <w:t xml:space="preserve">Guadalupe Ramírez Peña, </w:t>
      </w:r>
      <w:r>
        <w:rPr>
          <w:rFonts w:ascii="Palatino Linotype" w:eastAsia="Palatino Linotype" w:hAnsi="Palatino Linotype" w:cs="Palatino Linotype"/>
        </w:rPr>
        <w:t>a efecto de que analizara sobre su admisión o su desechamiento.</w:t>
      </w:r>
    </w:p>
    <w:p w:rsidR="00C8730C" w:rsidRDefault="00C8730C">
      <w:pPr>
        <w:spacing w:line="360" w:lineRule="auto"/>
        <w:ind w:right="51"/>
        <w:jc w:val="both"/>
        <w:rPr>
          <w:rFonts w:ascii="Palatino Linotype" w:eastAsia="Palatino Linotype" w:hAnsi="Palatino Linotype" w:cs="Palatino Linotype"/>
        </w:rPr>
      </w:pPr>
    </w:p>
    <w:p w:rsidR="00C8730C" w:rsidRDefault="00D23B6E">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5. Admisión del Recurso de revisión.</w:t>
      </w:r>
      <w:r>
        <w:rPr>
          <w:rFonts w:ascii="Palatino Linotype" w:eastAsia="Palatino Linotype" w:hAnsi="Palatino Linotype" w:cs="Palatino Linotype"/>
        </w:rPr>
        <w:t xml:space="preserve"> Con fecha</w:t>
      </w:r>
      <w:r w:rsidR="00917DAD">
        <w:rPr>
          <w:rFonts w:ascii="Palatino Linotype" w:eastAsia="Palatino Linotype" w:hAnsi="Palatino Linotype" w:cs="Palatino Linotype"/>
          <w:b/>
        </w:rPr>
        <w:t xml:space="preserve"> seis de abril</w:t>
      </w:r>
      <w:r>
        <w:rPr>
          <w:rFonts w:ascii="Palatino Linotype" w:eastAsia="Palatino Linotype" w:hAnsi="Palatino Linotype" w:cs="Palatino Linotype"/>
          <w:b/>
        </w:rPr>
        <w:t xml:space="preserve"> de dos mil veintidós, </w:t>
      </w:r>
      <w:r>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w:t>
      </w:r>
      <w:r>
        <w:rPr>
          <w:rFonts w:ascii="Palatino Linotype" w:eastAsia="Palatino Linotype" w:hAnsi="Palatino Linotype" w:cs="Palatino Linotype"/>
        </w:rPr>
        <w:lastRenderedPageBreak/>
        <w:t xml:space="preserve">pruebas, formularan alegatos y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presentara su informe justificado.</w:t>
      </w:r>
    </w:p>
    <w:p w:rsidR="00C8730C" w:rsidRDefault="00D23B6E">
      <w:pPr>
        <w:spacing w:after="240" w:line="360" w:lineRule="auto"/>
        <w:jc w:val="both"/>
        <w:rPr>
          <w:rFonts w:ascii="Palatino Linotype" w:eastAsia="Palatino Linotype" w:hAnsi="Palatino Linotype" w:cs="Palatino Linotype"/>
        </w:rPr>
      </w:pPr>
      <w:bookmarkStart w:id="2" w:name="_heading=h.2s8eyo1" w:colFirst="0" w:colLast="0"/>
      <w:bookmarkEnd w:id="2"/>
      <w:r>
        <w:rPr>
          <w:rFonts w:ascii="Palatino Linotype" w:eastAsia="Palatino Linotype" w:hAnsi="Palatino Linotype" w:cs="Palatino Linotype"/>
          <w:b/>
        </w:rPr>
        <w:t>6. Manifestaciones</w:t>
      </w:r>
      <w:r>
        <w:rPr>
          <w:rFonts w:ascii="Palatino Linotype" w:eastAsia="Palatino Linotype" w:hAnsi="Palatino Linotype" w:cs="Palatino Linotype"/>
        </w:rPr>
        <w:t xml:space="preserve">. En fecha </w:t>
      </w:r>
      <w:r w:rsidR="00917DAD">
        <w:rPr>
          <w:rFonts w:ascii="Palatino Linotype" w:eastAsia="Palatino Linotype" w:hAnsi="Palatino Linotype" w:cs="Palatino Linotype"/>
          <w:b/>
        </w:rPr>
        <w:t>tres de agosto</w:t>
      </w:r>
      <w:r>
        <w:rPr>
          <w:rFonts w:ascii="Palatino Linotype" w:eastAsia="Palatino Linotype" w:hAnsi="Palatino Linotype" w:cs="Palatino Linotype"/>
          <w:b/>
        </w:rPr>
        <w:t xml:space="preserve"> de dos mil veintidós, </w:t>
      </w:r>
      <w:r>
        <w:rPr>
          <w:rFonts w:ascii="Palatino Linotype" w:eastAsia="Palatino Linotype" w:hAnsi="Palatino Linotype" w:cs="Palatino Linotype"/>
        </w:rPr>
        <w:t xml:space="preserve">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remitió, a través del SAIMEX, su i</w:t>
      </w:r>
      <w:r w:rsidR="00917DAD">
        <w:rPr>
          <w:rFonts w:ascii="Palatino Linotype" w:eastAsia="Palatino Linotype" w:hAnsi="Palatino Linotype" w:cs="Palatino Linotype"/>
        </w:rPr>
        <w:t>nforme justificado, mediante el siguiente archivo electrónico</w:t>
      </w:r>
      <w:r>
        <w:rPr>
          <w:rFonts w:ascii="Palatino Linotype" w:eastAsia="Palatino Linotype" w:hAnsi="Palatino Linotype" w:cs="Palatino Linotype"/>
        </w:rPr>
        <w:t>:</w:t>
      </w:r>
    </w:p>
    <w:p w:rsidR="00FF241D" w:rsidRDefault="00D23B6E" w:rsidP="00917DAD">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9" w:history="1">
        <w:r w:rsidR="00917DAD" w:rsidRPr="00917DAD">
          <w:rPr>
            <w:rFonts w:ascii="Palatino Linotype" w:eastAsia="Palatino Linotype" w:hAnsi="Palatino Linotype" w:cs="Palatino Linotype"/>
          </w:rPr>
          <w:t>704-2.pdf</w:t>
        </w:r>
      </w:hyperlink>
      <w:r w:rsidR="00FF241D">
        <w:rPr>
          <w:rFonts w:ascii="Palatino Linotype" w:eastAsia="Palatino Linotype" w:hAnsi="Palatino Linotype" w:cs="Palatino Linotype"/>
        </w:rPr>
        <w:t xml:space="preserve">”, el cual contiene </w:t>
      </w:r>
      <w:r w:rsidR="00917DAD">
        <w:rPr>
          <w:rFonts w:ascii="Palatino Linotype" w:eastAsia="Palatino Linotype" w:hAnsi="Palatino Linotype" w:cs="Palatino Linotype"/>
        </w:rPr>
        <w:t>los mismos nueve oficios adjuntados en respuesta con la diferencia que el oficio número OSFEM/AS/1080/2022 ya se encuentra completo.</w:t>
      </w:r>
    </w:p>
    <w:p w:rsidR="00567E32" w:rsidRDefault="00567E32" w:rsidP="00917DAD">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Asimismo, precisó en el apartado de comentarios a los archivos enviados por la Unidad de Transparencia, que se anexaba toda la información, de acuerdo a lo informado por los habilitados competentes, siendo la única información recibida ese día, tal como se aprecia de la siguiente imagen: </w:t>
      </w:r>
    </w:p>
    <w:p w:rsidR="00567E32" w:rsidRDefault="00567E32" w:rsidP="00917DAD">
      <w:pPr>
        <w:spacing w:after="240" w:line="360" w:lineRule="auto"/>
        <w:jc w:val="both"/>
        <w:rPr>
          <w:rFonts w:ascii="Palatino Linotype" w:eastAsia="Palatino Linotype" w:hAnsi="Palatino Linotype" w:cs="Palatino Linotype"/>
        </w:rPr>
      </w:pPr>
      <w:r w:rsidRPr="00567E32">
        <w:rPr>
          <w:rFonts w:ascii="Palatino Linotype" w:eastAsia="Palatino Linotype" w:hAnsi="Palatino Linotype" w:cs="Palatino Linotype"/>
          <w:noProof/>
          <w:lang w:val="en-US" w:eastAsia="en-US"/>
        </w:rPr>
        <w:drawing>
          <wp:inline distT="0" distB="0" distL="0" distR="0" wp14:anchorId="2C26F4C0" wp14:editId="7A3B0244">
            <wp:extent cx="5612130" cy="255270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2552700"/>
                    </a:xfrm>
                    <a:prstGeom prst="rect">
                      <a:avLst/>
                    </a:prstGeom>
                  </pic:spPr>
                </pic:pic>
              </a:graphicData>
            </a:graphic>
          </wp:inline>
        </w:drawing>
      </w:r>
    </w:p>
    <w:p w:rsidR="00C8730C" w:rsidRDefault="00917DAD">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Documento</w:t>
      </w:r>
      <w:r w:rsidR="00567E32">
        <w:rPr>
          <w:rFonts w:ascii="Palatino Linotype" w:eastAsia="Palatino Linotype" w:hAnsi="Palatino Linotype" w:cs="Palatino Linotype"/>
        </w:rPr>
        <w:t>s</w:t>
      </w:r>
      <w:r>
        <w:rPr>
          <w:rFonts w:ascii="Palatino Linotype" w:eastAsia="Palatino Linotype" w:hAnsi="Palatino Linotype" w:cs="Palatino Linotype"/>
        </w:rPr>
        <w:t xml:space="preserve"> que, una vez analizado</w:t>
      </w:r>
      <w:r w:rsidR="00D23B6E">
        <w:rPr>
          <w:rFonts w:ascii="Palatino Linotype" w:eastAsia="Palatino Linotype" w:hAnsi="Palatino Linotype" w:cs="Palatino Linotype"/>
        </w:rPr>
        <w:t xml:space="preserve">, se hicieron del conocimiento de la parte </w:t>
      </w:r>
      <w:r w:rsidR="00D23B6E">
        <w:rPr>
          <w:rFonts w:ascii="Palatino Linotype" w:eastAsia="Palatino Linotype" w:hAnsi="Palatino Linotype" w:cs="Palatino Linotype"/>
          <w:b/>
        </w:rPr>
        <w:t>RECURRENTE</w:t>
      </w:r>
      <w:r w:rsidR="00D23B6E">
        <w:rPr>
          <w:rFonts w:ascii="Palatino Linotype" w:eastAsia="Palatino Linotype" w:hAnsi="Palatino Linotype" w:cs="Palatino Linotype"/>
        </w:rPr>
        <w:t xml:space="preserve"> a efecto de que manifestara lo que a su derecho estimara conveniente, sin embargo, fue omiso en ejercer dicha prerrogativa en el plazo establecido para tal efecto.</w:t>
      </w:r>
    </w:p>
    <w:p w:rsidR="00917DAD" w:rsidRDefault="00D23B6E" w:rsidP="00917DAD">
      <w:pPr>
        <w:widowControl w:val="0"/>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7.- Ampliación del plazo para emitir resolución.</w:t>
      </w:r>
      <w:r>
        <w:rPr>
          <w:rFonts w:ascii="Palatino Linotype" w:eastAsia="Palatino Linotype" w:hAnsi="Palatino Linotype" w:cs="Palatino Linotype"/>
        </w:rPr>
        <w:t xml:space="preserve"> </w:t>
      </w:r>
      <w:r w:rsidR="00917DAD">
        <w:rPr>
          <w:rFonts w:ascii="Palatino Linotype" w:eastAsia="Palatino Linotype" w:hAnsi="Palatino Linotype" w:cs="Palatino Linotype"/>
        </w:rPr>
        <w:t>En fecha trece de julio del año dos mil veintidós, con fundamento en el artículo 181, párrafo tercero de la Ley de Transparencia y Acceso a la Información Pública del Estado de México y Municipios, se acordó la ampliación del plazo para su resolución.</w:t>
      </w:r>
    </w:p>
    <w:p w:rsidR="00917DAD" w:rsidRDefault="00917DAD" w:rsidP="00917DA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917DAD" w:rsidRDefault="00917DAD" w:rsidP="00917DAD">
      <w:pPr>
        <w:spacing w:line="360" w:lineRule="auto"/>
        <w:jc w:val="both"/>
        <w:rPr>
          <w:rFonts w:ascii="Palatino Linotype" w:eastAsia="Palatino Linotype" w:hAnsi="Palatino Linotype" w:cs="Palatino Linotype"/>
        </w:rPr>
      </w:pPr>
    </w:p>
    <w:p w:rsidR="00917DAD" w:rsidRDefault="00917DAD" w:rsidP="00917DA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w:t>
      </w:r>
      <w:r>
        <w:rPr>
          <w:rFonts w:ascii="Palatino Linotype" w:eastAsia="Palatino Linotype" w:hAnsi="Palatino Linotype" w:cs="Palatino Linotype"/>
        </w:rPr>
        <w:lastRenderedPageBreak/>
        <w:t>órganos jurisdiccionales federales, aplicables también en procedimientos análogos, como el que nos ocupa.</w:t>
      </w:r>
    </w:p>
    <w:p w:rsidR="00917DAD" w:rsidRDefault="00917DAD" w:rsidP="00917DAD">
      <w:pPr>
        <w:spacing w:line="360" w:lineRule="auto"/>
        <w:jc w:val="both"/>
        <w:rPr>
          <w:rFonts w:ascii="Palatino Linotype" w:eastAsia="Palatino Linotype" w:hAnsi="Palatino Linotype" w:cs="Palatino Linotype"/>
        </w:rPr>
      </w:pPr>
    </w:p>
    <w:p w:rsidR="00917DAD" w:rsidRDefault="00917DAD" w:rsidP="00917DA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917DAD" w:rsidRDefault="00917DAD" w:rsidP="00917DAD">
      <w:pPr>
        <w:spacing w:line="360" w:lineRule="auto"/>
        <w:jc w:val="both"/>
        <w:rPr>
          <w:rFonts w:ascii="Palatino Linotype" w:eastAsia="Palatino Linotype" w:hAnsi="Palatino Linotype" w:cs="Palatino Linotype"/>
        </w:rPr>
      </w:pPr>
    </w:p>
    <w:p w:rsidR="00917DAD" w:rsidRDefault="00917DAD" w:rsidP="00917DA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917DAD" w:rsidRDefault="00917DAD" w:rsidP="00917DAD">
      <w:pPr>
        <w:spacing w:line="360" w:lineRule="auto"/>
        <w:jc w:val="both"/>
        <w:rPr>
          <w:rFonts w:ascii="Palatino Linotype" w:eastAsia="Palatino Linotype" w:hAnsi="Palatino Linotype" w:cs="Palatino Linotype"/>
        </w:rPr>
      </w:pPr>
    </w:p>
    <w:p w:rsidR="00917DAD" w:rsidRDefault="00917DAD" w:rsidP="00917DAD">
      <w:pPr>
        <w:spacing w:line="360" w:lineRule="auto"/>
        <w:jc w:val="both"/>
        <w:rPr>
          <w:rFonts w:ascii="Palatino Linotype" w:eastAsia="Palatino Linotype" w:hAnsi="Palatino Linotype" w:cs="Palatino Linotype"/>
          <w:strike/>
          <w:color w:val="FF0000"/>
        </w:rPr>
      </w:pPr>
      <w:r>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rsidR="00917DAD" w:rsidRDefault="00917DAD" w:rsidP="00917DAD">
      <w:pPr>
        <w:spacing w:line="360" w:lineRule="auto"/>
        <w:jc w:val="both"/>
        <w:rPr>
          <w:rFonts w:ascii="Palatino Linotype" w:eastAsia="Palatino Linotype" w:hAnsi="Palatino Linotype" w:cs="Palatino Linotype"/>
        </w:rPr>
      </w:pPr>
    </w:p>
    <w:p w:rsidR="00917DAD" w:rsidRDefault="00917DAD" w:rsidP="00917DAD">
      <w:pPr>
        <w:numPr>
          <w:ilvl w:val="0"/>
          <w:numId w:val="5"/>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rsidR="00917DAD" w:rsidRDefault="00917DAD" w:rsidP="00917DAD">
      <w:pPr>
        <w:spacing w:line="360" w:lineRule="auto"/>
        <w:ind w:left="927"/>
        <w:jc w:val="both"/>
        <w:rPr>
          <w:rFonts w:ascii="Palatino Linotype" w:eastAsia="Palatino Linotype" w:hAnsi="Palatino Linotype" w:cs="Palatino Linotype"/>
        </w:rPr>
      </w:pPr>
    </w:p>
    <w:p w:rsidR="00917DAD" w:rsidRDefault="00917DAD" w:rsidP="00917DAD">
      <w:pPr>
        <w:numPr>
          <w:ilvl w:val="0"/>
          <w:numId w:val="5"/>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Actividad Procesal del interesado. Acciones u omisiones del interesado.</w:t>
      </w:r>
    </w:p>
    <w:p w:rsidR="00917DAD" w:rsidRDefault="00917DAD" w:rsidP="00917DAD">
      <w:pPr>
        <w:spacing w:line="360" w:lineRule="auto"/>
        <w:jc w:val="both"/>
        <w:rPr>
          <w:rFonts w:ascii="Palatino Linotype" w:eastAsia="Palatino Linotype" w:hAnsi="Palatino Linotype" w:cs="Palatino Linotype"/>
        </w:rPr>
      </w:pPr>
    </w:p>
    <w:p w:rsidR="00917DAD" w:rsidRDefault="00917DAD" w:rsidP="00917DAD">
      <w:pPr>
        <w:numPr>
          <w:ilvl w:val="0"/>
          <w:numId w:val="5"/>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Conducta de la Autoridad: Las Acciones u omisiones realizadas en el procedimiento. Así como si la autoridad actuó con la debida diligencia.</w:t>
      </w:r>
    </w:p>
    <w:p w:rsidR="00917DAD" w:rsidRDefault="00917DAD" w:rsidP="00917DAD">
      <w:pPr>
        <w:spacing w:line="360" w:lineRule="auto"/>
        <w:ind w:left="708"/>
        <w:rPr>
          <w:rFonts w:ascii="Palatino Linotype" w:eastAsia="Palatino Linotype" w:hAnsi="Palatino Linotype" w:cs="Palatino Linotype"/>
        </w:rPr>
      </w:pPr>
    </w:p>
    <w:p w:rsidR="00917DAD" w:rsidRDefault="00917DAD" w:rsidP="00917DAD">
      <w:pPr>
        <w:spacing w:line="360" w:lineRule="auto"/>
        <w:ind w:left="567"/>
        <w:jc w:val="both"/>
        <w:rPr>
          <w:rFonts w:ascii="Palatino Linotype" w:eastAsia="Palatino Linotype" w:hAnsi="Palatino Linotype" w:cs="Palatino Linotype"/>
        </w:rPr>
      </w:pPr>
      <w:r>
        <w:rPr>
          <w:rFonts w:ascii="Palatino Linotype" w:eastAsia="Palatino Linotype" w:hAnsi="Palatino Linotype" w:cs="Palatino Linotype"/>
        </w:rPr>
        <w:t>d) La afectación generada en la situación jurídica de la persona involucrada en el proceso: Violación a sus derechos humanos.</w:t>
      </w:r>
    </w:p>
    <w:p w:rsidR="00917DAD" w:rsidRDefault="00917DAD" w:rsidP="00917DAD">
      <w:pPr>
        <w:spacing w:line="360" w:lineRule="auto"/>
        <w:jc w:val="both"/>
        <w:rPr>
          <w:rFonts w:ascii="Palatino Linotype" w:eastAsia="Palatino Linotype" w:hAnsi="Palatino Linotype" w:cs="Palatino Linotype"/>
        </w:rPr>
      </w:pPr>
    </w:p>
    <w:p w:rsidR="00917DAD" w:rsidRDefault="00917DAD" w:rsidP="00917DA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917DAD" w:rsidRDefault="00917DAD" w:rsidP="00917DAD">
      <w:pPr>
        <w:spacing w:line="360" w:lineRule="auto"/>
        <w:jc w:val="both"/>
        <w:rPr>
          <w:rFonts w:ascii="Palatino Linotype" w:eastAsia="Palatino Linotype" w:hAnsi="Palatino Linotype" w:cs="Palatino Linotype"/>
        </w:rPr>
      </w:pPr>
    </w:p>
    <w:p w:rsidR="00917DAD" w:rsidRDefault="00917DAD" w:rsidP="00917DAD">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Pr>
          <w:rFonts w:ascii="Palatino Linotype" w:eastAsia="Palatino Linotype" w:hAnsi="Palatino Linotype" w:cs="Palatino Linotype"/>
          <w:i/>
        </w:rPr>
        <w:t xml:space="preserve">“TÉRMINOS PROCESALES. PARA DETERMINAR SI UN FUNCIONARIO JUDICIAL ACTUÓ INDEBIDAMENTE POR NO RESPETARLOS SE DEBE ATENDER AL PRESUPUESTO QUE CONSIDERÓ EL LEGISLADOR AL FIJARLOS Y LAS </w:t>
      </w:r>
      <w:r>
        <w:rPr>
          <w:rFonts w:ascii="Palatino Linotype" w:eastAsia="Palatino Linotype" w:hAnsi="Palatino Linotype" w:cs="Palatino Linotype"/>
          <w:i/>
        </w:rPr>
        <w:lastRenderedPageBreak/>
        <w:t>CARACTERÍSTICAS DEL CASO.”</w:t>
      </w:r>
      <w:r>
        <w:rPr>
          <w:rFonts w:ascii="Palatino Linotype" w:eastAsia="Palatino Linotype" w:hAnsi="Palatino Linotype" w:cs="Palatino Linotype"/>
        </w:rPr>
        <w:t>, visible en la Gaceta del Seminario Judicial de la Federación con el registro digital 205635.</w:t>
      </w:r>
    </w:p>
    <w:p w:rsidR="00917DAD" w:rsidRDefault="00917DAD" w:rsidP="00917DAD">
      <w:pPr>
        <w:spacing w:line="360" w:lineRule="auto"/>
        <w:jc w:val="both"/>
        <w:rPr>
          <w:rFonts w:ascii="Palatino Linotype" w:eastAsia="Palatino Linotype" w:hAnsi="Palatino Linotype" w:cs="Palatino Linotype"/>
        </w:rPr>
      </w:pPr>
    </w:p>
    <w:p w:rsidR="00917DAD" w:rsidRDefault="00917DAD" w:rsidP="00917DA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917DAD" w:rsidRDefault="00917DAD" w:rsidP="00917DAD">
      <w:pPr>
        <w:spacing w:line="360" w:lineRule="auto"/>
        <w:jc w:val="both"/>
        <w:rPr>
          <w:rFonts w:ascii="Palatino Linotype" w:eastAsia="Palatino Linotype" w:hAnsi="Palatino Linotype" w:cs="Palatino Linotype"/>
        </w:rPr>
      </w:pPr>
    </w:p>
    <w:p w:rsidR="00917DAD" w:rsidRDefault="00917DAD" w:rsidP="00917DA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917DAD" w:rsidRDefault="00917DAD" w:rsidP="00917DAD">
      <w:pPr>
        <w:spacing w:line="360" w:lineRule="auto"/>
        <w:jc w:val="both"/>
        <w:rPr>
          <w:rFonts w:ascii="Palatino Linotype" w:eastAsia="Palatino Linotype" w:hAnsi="Palatino Linotype" w:cs="Palatino Linotype"/>
        </w:rPr>
      </w:pPr>
    </w:p>
    <w:p w:rsidR="00917DAD" w:rsidRDefault="00917DAD" w:rsidP="00917DA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w:t>
      </w:r>
      <w:r>
        <w:rPr>
          <w:rFonts w:ascii="Palatino Linotype" w:eastAsia="Palatino Linotype" w:hAnsi="Palatino Linotype" w:cs="Palatino Linotype"/>
          <w:i/>
        </w:rPr>
        <w:t>“PLAZO RAZONABLE PARA RESOLVER. DIMENSIÓN Y EFECTOS DE ESTE CONCEPTO CUANDO SE ADUCE EXCESIVA CARGA DE TRABAJO.”</w:t>
      </w:r>
      <w:r>
        <w:rPr>
          <w:rFonts w:ascii="Palatino Linotype" w:eastAsia="Palatino Linotype" w:hAnsi="Palatino Linotype" w:cs="Palatino Linotype"/>
        </w:rPr>
        <w:t xml:space="preserve"> consultable en el Seminario Judicial de la Federación y su gaceta, con el registro digital 2002351.</w:t>
      </w:r>
    </w:p>
    <w:p w:rsidR="00917DAD" w:rsidRDefault="00917DAD" w:rsidP="00917DAD">
      <w:pPr>
        <w:spacing w:line="360" w:lineRule="auto"/>
        <w:jc w:val="both"/>
        <w:rPr>
          <w:rFonts w:ascii="Palatino Linotype" w:eastAsia="Palatino Linotype" w:hAnsi="Palatino Linotype" w:cs="Palatino Linotype"/>
          <w:b/>
        </w:rPr>
      </w:pPr>
    </w:p>
    <w:p w:rsidR="00917DAD" w:rsidRDefault="00917DAD" w:rsidP="00917DA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i/>
        </w:rPr>
        <w:t>“PLAZO RAZONABLE PARA RESOLVER. CONCEPTO Y ELEMENTOS QUE LO INTEGRAN A LA LUZ DEL DERECHO INTERNACIONAL DE LOS DERECHOS HUMANOS.”</w:t>
      </w:r>
      <w:r>
        <w:rPr>
          <w:rFonts w:ascii="Palatino Linotype" w:eastAsia="Palatino Linotype" w:hAnsi="Palatino Linotype" w:cs="Palatino Linotype"/>
        </w:rPr>
        <w:t>, visible en el Seminario Judicial de la Federación y su gaceta, con el registro digital 2002350.</w:t>
      </w:r>
    </w:p>
    <w:p w:rsidR="00917DAD" w:rsidRDefault="00917DAD" w:rsidP="00917DAD">
      <w:pPr>
        <w:spacing w:line="360" w:lineRule="auto"/>
        <w:jc w:val="both"/>
        <w:rPr>
          <w:rFonts w:ascii="Palatino Linotype" w:eastAsia="Palatino Linotype" w:hAnsi="Palatino Linotype" w:cs="Palatino Linotype"/>
        </w:rPr>
      </w:pPr>
    </w:p>
    <w:p w:rsidR="00917DAD" w:rsidRDefault="00917DAD" w:rsidP="00917DA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rsidR="00917DAD" w:rsidRDefault="00917DAD" w:rsidP="00917DAD">
      <w:pPr>
        <w:spacing w:line="360" w:lineRule="auto"/>
        <w:jc w:val="both"/>
        <w:rPr>
          <w:rFonts w:ascii="Palatino Linotype" w:eastAsia="Palatino Linotype" w:hAnsi="Palatino Linotype" w:cs="Palatino Linotype"/>
        </w:rPr>
      </w:pPr>
    </w:p>
    <w:p w:rsidR="00C8730C" w:rsidRDefault="00D23B6E" w:rsidP="00917DAD">
      <w:pPr>
        <w:widowControl w:val="0"/>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8. Cierre de instrucción. </w:t>
      </w:r>
      <w:r>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00714228">
        <w:rPr>
          <w:rFonts w:ascii="Palatino Linotype" w:eastAsia="Palatino Linotype" w:hAnsi="Palatino Linotype" w:cs="Palatino Linotype"/>
          <w:b/>
        </w:rPr>
        <w:t>once</w:t>
      </w:r>
      <w:r w:rsidR="00917DAD">
        <w:rPr>
          <w:rFonts w:ascii="Palatino Linotype" w:eastAsia="Palatino Linotype" w:hAnsi="Palatino Linotype" w:cs="Palatino Linotype"/>
          <w:b/>
        </w:rPr>
        <w:t xml:space="preserve"> de agosto</w:t>
      </w:r>
      <w:r>
        <w:rPr>
          <w:rFonts w:ascii="Palatino Linotype" w:eastAsia="Palatino Linotype" w:hAnsi="Palatino Linotype" w:cs="Palatino Linotype"/>
          <w:b/>
        </w:rPr>
        <w:t xml:space="preserve"> de dos mil veintidós</w:t>
      </w:r>
      <w:r>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rsidR="00C8730C" w:rsidRDefault="00D23B6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rsidR="00C8730C" w:rsidRDefault="00D23B6E">
      <w:pPr>
        <w:widowControl w:val="0"/>
        <w:spacing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 C O N S I D E R A N D O S</w:t>
      </w:r>
    </w:p>
    <w:p w:rsidR="00C8730C" w:rsidRDefault="00D23B6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Primero. Competencia.</w:t>
      </w:r>
      <w:r>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C8730C" w:rsidRDefault="00D23B6E">
      <w:pPr>
        <w:spacing w:before="240" w:after="240" w:line="360" w:lineRule="auto"/>
        <w:jc w:val="both"/>
        <w:rPr>
          <w:rFonts w:ascii="Palatino Linotype" w:eastAsia="Palatino Linotype" w:hAnsi="Palatino Linotype" w:cs="Palatino Linotype"/>
        </w:rPr>
      </w:pPr>
      <w:bookmarkStart w:id="3" w:name="_heading=h.tyjcwt" w:colFirst="0" w:colLast="0"/>
      <w:bookmarkEnd w:id="3"/>
      <w:r>
        <w:rPr>
          <w:rFonts w:ascii="Palatino Linotype" w:eastAsia="Palatino Linotype" w:hAnsi="Palatino Linotype" w:cs="Palatino Linotype"/>
          <w:b/>
        </w:rPr>
        <w:t xml:space="preserve">Segundo. Oportunidad y Procedibilidad del Recurso de Revisión. </w:t>
      </w:r>
      <w:r>
        <w:rPr>
          <w:rFonts w:ascii="Palatino Linotype" w:eastAsia="Palatino Linotype" w:hAnsi="Palatino Linotype" w:cs="Palatino Linotype"/>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C8730C" w:rsidRDefault="00D23B6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la Ley de Transparencia y Acceso a la Información Pública del Estado de México y Municipios, establece lo siguiente:</w:t>
      </w:r>
    </w:p>
    <w:p w:rsidR="00C8730C" w:rsidRDefault="00D23B6E">
      <w:pPr>
        <w:ind w:left="851" w:right="900"/>
        <w:jc w:val="both"/>
        <w:rPr>
          <w:rFonts w:ascii="Palatino Linotype" w:eastAsia="Palatino Linotype" w:hAnsi="Palatino Linotype" w:cs="Palatino Linotype"/>
          <w:i/>
          <w:sz w:val="28"/>
          <w:szCs w:val="28"/>
        </w:rPr>
      </w:pPr>
      <w:r>
        <w:rPr>
          <w:rFonts w:ascii="Palatino Linotype" w:eastAsia="Palatino Linotype" w:hAnsi="Palatino Linotype" w:cs="Palatino Linotype"/>
          <w:b/>
          <w:i/>
          <w:sz w:val="22"/>
          <w:szCs w:val="22"/>
        </w:rPr>
        <w:t xml:space="preserve">“Artículo 178. </w:t>
      </w:r>
      <w:r>
        <w:rPr>
          <w:rFonts w:ascii="Palatino Linotype" w:eastAsia="Palatino Linotype" w:hAnsi="Palatino Linotype" w:cs="Palatino Linotype"/>
          <w:i/>
          <w:sz w:val="22"/>
          <w:szCs w:val="22"/>
        </w:rPr>
        <w:t xml:space="preserve">El solicitante podrá interponer, por sí mismo o a través de su representante, de manera directa o por medios electrónicos, recurso de revisión ante el Instituto o ante la Unidad de Transparencia que haya conocido de la </w:t>
      </w:r>
      <w:r>
        <w:rPr>
          <w:rFonts w:ascii="Palatino Linotype" w:eastAsia="Palatino Linotype" w:hAnsi="Palatino Linotype" w:cs="Palatino Linotype"/>
          <w:i/>
          <w:sz w:val="22"/>
          <w:szCs w:val="22"/>
        </w:rPr>
        <w:lastRenderedPageBreak/>
        <w:t>solicitud dentro de los quince días hábiles, siguientes a la fecha de la notificación de la respuesta.</w:t>
      </w:r>
    </w:p>
    <w:p w:rsidR="00C8730C" w:rsidRDefault="00D23B6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remitió la respuesta a la solicitud de información el día </w:t>
      </w:r>
      <w:r w:rsidR="00917DAD">
        <w:rPr>
          <w:rFonts w:ascii="Palatino Linotype" w:eastAsia="Palatino Linotype" w:hAnsi="Palatino Linotype" w:cs="Palatino Linotype"/>
          <w:b/>
        </w:rPr>
        <w:t>veinticuatro</w:t>
      </w:r>
      <w:r>
        <w:rPr>
          <w:rFonts w:ascii="Palatino Linotype" w:eastAsia="Palatino Linotype" w:hAnsi="Palatino Linotype" w:cs="Palatino Linotype"/>
          <w:b/>
        </w:rPr>
        <w:t xml:space="preserve"> de marzo de dos mil veintidós, </w:t>
      </w:r>
      <w:r>
        <w:rPr>
          <w:rFonts w:ascii="Palatino Linotype" w:eastAsia="Palatino Linotype" w:hAnsi="Palatino Linotype" w:cs="Palatino Linotype"/>
        </w:rPr>
        <w:t xml:space="preserve">mientras que el recurso de revisión interpuesto por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se tuvo por presentado el día </w:t>
      </w:r>
      <w:r w:rsidR="00917DAD">
        <w:rPr>
          <w:rFonts w:ascii="Palatino Linotype" w:eastAsia="Palatino Linotype" w:hAnsi="Palatino Linotype" w:cs="Palatino Linotype"/>
          <w:b/>
        </w:rPr>
        <w:t>primero de abril</w:t>
      </w:r>
      <w:r>
        <w:rPr>
          <w:rFonts w:ascii="Palatino Linotype" w:eastAsia="Palatino Linotype" w:hAnsi="Palatino Linotype" w:cs="Palatino Linotype"/>
          <w:b/>
        </w:rPr>
        <w:t xml:space="preserve"> de dos mil veintidós</w:t>
      </w:r>
      <w:r w:rsidR="00917DAD">
        <w:rPr>
          <w:rFonts w:ascii="Palatino Linotype" w:eastAsia="Palatino Linotype" w:hAnsi="Palatino Linotype" w:cs="Palatino Linotype"/>
        </w:rPr>
        <w:t>; esto es, al sexto</w:t>
      </w:r>
      <w:r>
        <w:rPr>
          <w:rFonts w:ascii="Palatino Linotype" w:eastAsia="Palatino Linotype" w:hAnsi="Palatino Linotype" w:cs="Palatino Linotype"/>
        </w:rPr>
        <w:t xml:space="preserve"> día hábil en que tuvo conocimiento de la respuesta impugnada.</w:t>
      </w:r>
    </w:p>
    <w:p w:rsidR="00C8730C" w:rsidRDefault="00D23B6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cuanto hace a la procedibilidad del recurso de revisión, es de suma importancia señalar que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w:t>
      </w:r>
      <w:r w:rsidR="00917DAD">
        <w:rPr>
          <w:rFonts w:ascii="Palatino Linotype" w:eastAsia="Palatino Linotype" w:hAnsi="Palatino Linotype" w:cs="Palatino Linotype"/>
        </w:rPr>
        <w:t>no proporcionó su nombre</w:t>
      </w:r>
      <w:r>
        <w:rPr>
          <w:rFonts w:ascii="Palatino Linotype" w:eastAsia="Palatino Linotype" w:hAnsi="Palatino Linotype" w:cs="Palatino Linotype"/>
          <w:b/>
        </w:rPr>
        <w:t>,</w:t>
      </w:r>
      <w:r>
        <w:rPr>
          <w:rFonts w:ascii="Palatino Linotype" w:eastAsia="Palatino Linotype" w:hAnsi="Palatino Linotype" w:cs="Palatino Linotype"/>
        </w:rPr>
        <w:t xml:space="preserve">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C8730C" w:rsidRDefault="00D23B6E">
      <w:pPr>
        <w:spacing w:before="240" w:after="24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 xml:space="preserve">Las solicitudes </w:t>
      </w:r>
      <w:r>
        <w:rPr>
          <w:rFonts w:ascii="Palatino Linotype" w:eastAsia="Palatino Linotype" w:hAnsi="Palatino Linotype" w:cs="Palatino Linotype"/>
          <w:i/>
        </w:rPr>
        <w:t xml:space="preserve">anónimas, con </w:t>
      </w:r>
      <w:r>
        <w:rPr>
          <w:rFonts w:ascii="Palatino Linotype" w:eastAsia="Palatino Linotype" w:hAnsi="Palatino Linotype" w:cs="Palatino Linotype"/>
          <w:b/>
          <w:i/>
        </w:rPr>
        <w:t>nombre incompleto o seudónimo</w:t>
      </w:r>
      <w:r>
        <w:rPr>
          <w:rFonts w:ascii="Palatino Linotype" w:eastAsia="Palatino Linotype" w:hAnsi="Palatino Linotype" w:cs="Palatino Linotype"/>
          <w:i/>
        </w:rPr>
        <w:t xml:space="preserve"> </w:t>
      </w:r>
      <w:r>
        <w:rPr>
          <w:rFonts w:ascii="Palatino Linotype" w:eastAsia="Palatino Linotype" w:hAnsi="Palatino Linotype" w:cs="Palatino Linotype"/>
          <w:b/>
          <w:i/>
        </w:rPr>
        <w:t xml:space="preserve">serán procedentes para su trámite por parte del sujeto obligado </w:t>
      </w:r>
      <w:r>
        <w:rPr>
          <w:rFonts w:ascii="Palatino Linotype" w:eastAsia="Palatino Linotype" w:hAnsi="Palatino Linotype" w:cs="Palatino Linotype"/>
          <w:b/>
          <w:i/>
        </w:rPr>
        <w:lastRenderedPageBreak/>
        <w:t>ante quien se presente</w:t>
      </w:r>
      <w:r>
        <w:rPr>
          <w:rFonts w:ascii="Palatino Linotype" w:eastAsia="Palatino Linotype" w:hAnsi="Palatino Linotype" w:cs="Palatino Linotype"/>
          <w:i/>
        </w:rPr>
        <w:t>. No podrá requerirse información adicional con motivo del nombre proporcionado por el solicitante."</w:t>
      </w:r>
    </w:p>
    <w:p w:rsidR="00C8730C" w:rsidRDefault="00D23B6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C8730C" w:rsidRDefault="00D23B6E">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Ahora bien, resulta procedente la interposición del recurso, según lo aducido por la recurrente en sus razones o motivos de inconformidad, de acuerdo al artículo 179, </w:t>
      </w:r>
      <w:r w:rsidRPr="00690783">
        <w:rPr>
          <w:rFonts w:ascii="Palatino Linotype" w:eastAsia="Palatino Linotype" w:hAnsi="Palatino Linotype" w:cs="Palatino Linotype"/>
        </w:rPr>
        <w:t xml:space="preserve">fracción XIII de </w:t>
      </w:r>
      <w:r>
        <w:rPr>
          <w:rFonts w:ascii="Palatino Linotype" w:eastAsia="Palatino Linotype" w:hAnsi="Palatino Linotype" w:cs="Palatino Linotype"/>
          <w:color w:val="000000"/>
        </w:rPr>
        <w:t>la Ley de Transparencia y Acceso a la Información Pública del Estado de México y Municipios; que a la letra dice:</w:t>
      </w:r>
    </w:p>
    <w:p w:rsidR="00C8730C" w:rsidRDefault="00D23B6E">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179</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El recurso de revisión</w:t>
      </w:r>
      <w:r>
        <w:rPr>
          <w:rFonts w:ascii="Palatino Linotype" w:eastAsia="Palatino Linotype" w:hAnsi="Palatino Linotype" w:cs="Palatino Linotype"/>
          <w:i/>
          <w:color w:val="000000"/>
          <w:sz w:val="22"/>
          <w:szCs w:val="22"/>
        </w:rPr>
        <w:t xml:space="preserve"> es un medio de protección que la Ley otorga a los particulares, para hacer valer su derecho de acceso a la información pública</w:t>
      </w:r>
      <w:r>
        <w:rPr>
          <w:rFonts w:ascii="Palatino Linotype" w:eastAsia="Palatino Linotype" w:hAnsi="Palatino Linotype" w:cs="Palatino Linotype"/>
          <w:b/>
          <w:i/>
          <w:color w:val="000000"/>
          <w:sz w:val="22"/>
          <w:szCs w:val="22"/>
        </w:rPr>
        <w:t>, y procederá en contra de las siguientes causas</w:t>
      </w:r>
      <w:r>
        <w:rPr>
          <w:rFonts w:ascii="Palatino Linotype" w:eastAsia="Palatino Linotype" w:hAnsi="Palatino Linotype" w:cs="Palatino Linotype"/>
          <w:i/>
          <w:color w:val="000000"/>
          <w:sz w:val="22"/>
          <w:szCs w:val="22"/>
        </w:rPr>
        <w:t>:</w:t>
      </w:r>
    </w:p>
    <w:p w:rsidR="00C8730C" w:rsidRPr="00690783" w:rsidRDefault="00690783" w:rsidP="00690783">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color w:val="000000"/>
          <w:sz w:val="22"/>
          <w:szCs w:val="22"/>
        </w:rPr>
      </w:pPr>
      <w:r w:rsidRPr="00690783">
        <w:rPr>
          <w:rFonts w:ascii="Palatino Linotype" w:eastAsia="Palatino Linotype" w:hAnsi="Palatino Linotype" w:cs="Palatino Linotype"/>
          <w:i/>
          <w:color w:val="000000"/>
          <w:sz w:val="22"/>
          <w:szCs w:val="22"/>
        </w:rPr>
        <w:t>XIII. La falta, deficiencia o insuficiencia de la fundamentación y/o motivación en la respuesta; y</w:t>
      </w:r>
      <w:r w:rsidR="00D23B6E" w:rsidRPr="00690783">
        <w:rPr>
          <w:rFonts w:ascii="Palatino Linotype" w:eastAsia="Palatino Linotype" w:hAnsi="Palatino Linotype" w:cs="Palatino Linotype"/>
          <w:i/>
          <w:color w:val="000000"/>
          <w:sz w:val="22"/>
          <w:szCs w:val="22"/>
        </w:rPr>
        <w:t>…” (Sic)</w:t>
      </w:r>
    </w:p>
    <w:p w:rsidR="00690783" w:rsidRDefault="00690783" w:rsidP="00690783">
      <w:pPr>
        <w:spacing w:before="240" w:after="240" w:line="360" w:lineRule="auto"/>
        <w:contextualSpacing/>
        <w:jc w:val="both"/>
        <w:rPr>
          <w:rFonts w:ascii="Palatino Linotype" w:eastAsia="Palatino Linotype" w:hAnsi="Palatino Linotype" w:cs="Palatino Linotype"/>
          <w:i/>
          <w:color w:val="FF0000"/>
          <w:sz w:val="22"/>
          <w:szCs w:val="22"/>
        </w:rPr>
      </w:pPr>
    </w:p>
    <w:p w:rsidR="00FF241D" w:rsidRDefault="00FF241D" w:rsidP="00690783">
      <w:pPr>
        <w:spacing w:before="240" w:after="240" w:line="360" w:lineRule="auto"/>
        <w:contextualSpacing/>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Análisis de las causales de improcedencia y sobreseimiento.  </w:t>
      </w:r>
      <w:r>
        <w:rPr>
          <w:rFonts w:ascii="Palatino Linotype" w:eastAsia="Palatino Linotype" w:hAnsi="Palatino Linotype" w:cs="Palatino Linotype"/>
        </w:rPr>
        <w:t xml:space="preserve">Es menester resaltar que en el procedimiento de acceso a la información pública y de los medios de impugnación de la materia, se advierten diversos supuestos de procedibilidad </w:t>
      </w:r>
      <w:r>
        <w:rPr>
          <w:rFonts w:ascii="Palatino Linotype" w:eastAsia="Palatino Linotype" w:hAnsi="Palatino Linotype" w:cs="Palatino Linotype"/>
        </w:rPr>
        <w:lastRenderedPageBreak/>
        <w:t>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690783" w:rsidRDefault="00690783" w:rsidP="00690783">
      <w:pPr>
        <w:spacing w:before="240" w:after="240" w:line="360" w:lineRule="auto"/>
        <w:contextualSpacing/>
        <w:jc w:val="both"/>
        <w:rPr>
          <w:rFonts w:ascii="Palatino Linotype" w:eastAsia="Palatino Linotype" w:hAnsi="Palatino Linotype" w:cs="Palatino Linotype"/>
          <w:b/>
        </w:rPr>
      </w:pPr>
    </w:p>
    <w:p w:rsidR="00FF241D" w:rsidRDefault="00FF241D" w:rsidP="00FF241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una facultad legal entrar al estudio de las causas de improcedencia que hagan valer las partes o que se adviertan de oficio por este Instituto;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Estudio de causales de improcedencia que no son incompatibles con el derecho de acceso a la justicia, ya que éste no se coarta por regular causas de improcedencia y sobreseimiento con tales fines.</w:t>
      </w:r>
    </w:p>
    <w:p w:rsidR="00C8730C" w:rsidRDefault="00D23B6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Del análisis de la solicitud de información pública que motivó el recurso de revisión que ahora se resuelve, se advierte que el particular requirió al </w:t>
      </w:r>
      <w:r w:rsidR="00546237" w:rsidRPr="00546237">
        <w:rPr>
          <w:rFonts w:ascii="Palatino Linotype" w:eastAsia="Palatino Linotype" w:hAnsi="Palatino Linotype" w:cs="Palatino Linotype"/>
        </w:rPr>
        <w:t>Organismo Público Descent</w:t>
      </w:r>
      <w:r w:rsidR="00567E32">
        <w:rPr>
          <w:rFonts w:ascii="Palatino Linotype" w:eastAsia="Palatino Linotype" w:hAnsi="Palatino Linotype" w:cs="Palatino Linotype"/>
        </w:rPr>
        <w:t>ralizado para la Prestación de l</w:t>
      </w:r>
      <w:r w:rsidR="00546237" w:rsidRPr="00546237">
        <w:rPr>
          <w:rFonts w:ascii="Palatino Linotype" w:eastAsia="Palatino Linotype" w:hAnsi="Palatino Linotype" w:cs="Palatino Linotype"/>
        </w:rPr>
        <w:t>os Servicios de Agua Potable Alcantarillado y Saneamiento del Municipio de Metepec</w:t>
      </w:r>
      <w:r w:rsidR="00546237">
        <w:rPr>
          <w:rFonts w:ascii="Palatino Linotype" w:eastAsia="Palatino Linotype" w:hAnsi="Palatino Linotype" w:cs="Palatino Linotype"/>
        </w:rPr>
        <w:t xml:space="preserve">, en copia digital en PDF de </w:t>
      </w:r>
      <w:r>
        <w:rPr>
          <w:rFonts w:ascii="Palatino Linotype" w:eastAsia="Palatino Linotype" w:hAnsi="Palatino Linotype" w:cs="Palatino Linotype"/>
        </w:rPr>
        <w:t>lo siguiente:</w:t>
      </w:r>
    </w:p>
    <w:p w:rsidR="00C8730C" w:rsidRPr="00546237" w:rsidRDefault="00546237" w:rsidP="00546237">
      <w:pPr>
        <w:pStyle w:val="Prrafodelista"/>
        <w:numPr>
          <w:ilvl w:val="0"/>
          <w:numId w:val="6"/>
        </w:num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L</w:t>
      </w:r>
      <w:r w:rsidRPr="00546237">
        <w:rPr>
          <w:rFonts w:ascii="Palatino Linotype" w:eastAsia="Palatino Linotype" w:hAnsi="Palatino Linotype" w:cs="Palatino Linotype"/>
        </w:rPr>
        <w:t>os oficios recibidos por todas las áreas del día 17 de febrero 2022</w:t>
      </w:r>
      <w:r>
        <w:rPr>
          <w:rFonts w:ascii="Palatino Linotype" w:eastAsia="Palatino Linotype" w:hAnsi="Palatino Linotype" w:cs="Palatino Linotype"/>
        </w:rPr>
        <w:t>.</w:t>
      </w:r>
    </w:p>
    <w:p w:rsidR="00C8730C" w:rsidRDefault="00D23B6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Posteriormente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emitió su respuesta </w:t>
      </w:r>
      <w:r w:rsidR="00546237">
        <w:rPr>
          <w:rFonts w:ascii="Palatino Linotype" w:eastAsia="Palatino Linotype" w:hAnsi="Palatino Linotype" w:cs="Palatino Linotype"/>
        </w:rPr>
        <w:t>remitiendo nueve oficios que fueron recibidos el pasado 17 de febrero del año 2022; no obstante, el oficio número OSFEM/AS/1080/2022 se aprecia incompleto.</w:t>
      </w:r>
    </w:p>
    <w:p w:rsidR="00C8730C" w:rsidRDefault="00D23B6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Derivado de dicha respuesta el solicitante se inconformó, </w:t>
      </w:r>
      <w:r w:rsidR="00546237">
        <w:rPr>
          <w:rFonts w:ascii="Palatino Linotype" w:eastAsia="Palatino Linotype" w:hAnsi="Palatino Linotype" w:cs="Palatino Linotype"/>
        </w:rPr>
        <w:t xml:space="preserve">en lo medular porque la respuesta está llena de deficiencias. </w:t>
      </w:r>
    </w:p>
    <w:p w:rsidR="00C8730C" w:rsidRDefault="00D23B6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Ante la interposición del Recurso de Revisión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rindió su informe justificado, </w:t>
      </w:r>
      <w:r w:rsidR="00546237">
        <w:rPr>
          <w:rFonts w:ascii="Palatino Linotype" w:eastAsia="Palatino Linotype" w:hAnsi="Palatino Linotype" w:cs="Palatino Linotype"/>
        </w:rPr>
        <w:t xml:space="preserve">remitiendo los nueve oficios que anexo a su respuesta, con la diferencia que el oficio número OSFEM/AS/1080/2022 está completo al corresponder de cuatro fojas. </w:t>
      </w:r>
    </w:p>
    <w:p w:rsidR="00B309DE" w:rsidRDefault="0054623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w:t>
      </w:r>
      <w:r w:rsidR="00B309DE">
        <w:rPr>
          <w:rFonts w:ascii="Palatino Linotype" w:eastAsia="Palatino Linotype" w:hAnsi="Palatino Linotype" w:cs="Palatino Linotype"/>
        </w:rPr>
        <w:t xml:space="preserve">de un análisis de la respuesta se advierte que si bien es cierto que el </w:t>
      </w:r>
      <w:r w:rsidR="00B309DE" w:rsidRPr="00B309DE">
        <w:rPr>
          <w:rFonts w:ascii="Palatino Linotype" w:eastAsia="Palatino Linotype" w:hAnsi="Palatino Linotype" w:cs="Palatino Linotype"/>
          <w:b/>
        </w:rPr>
        <w:t xml:space="preserve">SUJETO OBLIGADO </w:t>
      </w:r>
      <w:r w:rsidR="00B309DE">
        <w:rPr>
          <w:rFonts w:ascii="Palatino Linotype" w:eastAsia="Palatino Linotype" w:hAnsi="Palatino Linotype" w:cs="Palatino Linotype"/>
        </w:rPr>
        <w:t>remitió copia de los oficios que recibió el pasado 17 de febrero del año 2022, lo que daría por colmado el derecho de acceso a la información pública del particular; pero, se aprecia una deficiencia en su respuesta en específico en el oficio número OSFEM/AS/1080/2022, en razón de que se observa que está incompleto, como se indica a continuación en la siguiente imagen que se inserta de manera ilustrativa:</w:t>
      </w:r>
    </w:p>
    <w:p w:rsidR="00B309DE" w:rsidRDefault="00B309DE">
      <w:pPr>
        <w:spacing w:before="240" w:after="240" w:line="360" w:lineRule="auto"/>
        <w:jc w:val="both"/>
        <w:rPr>
          <w:rFonts w:ascii="Palatino Linotype" w:eastAsia="Palatino Linotype" w:hAnsi="Palatino Linotype" w:cs="Palatino Linotype"/>
        </w:rPr>
      </w:pPr>
      <w:r>
        <w:rPr>
          <w:noProof/>
          <w:lang w:val="en-US" w:eastAsia="en-US"/>
        </w:rPr>
        <w:lastRenderedPageBreak/>
        <mc:AlternateContent>
          <mc:Choice Requires="wps">
            <w:drawing>
              <wp:anchor distT="0" distB="0" distL="114300" distR="114300" simplePos="0" relativeHeight="251659264" behindDoc="0" locked="0" layoutInCell="1" allowOverlap="1">
                <wp:simplePos x="0" y="0"/>
                <wp:positionH relativeFrom="column">
                  <wp:posOffset>3164459</wp:posOffset>
                </wp:positionH>
                <wp:positionV relativeFrom="paragraph">
                  <wp:posOffset>4969306</wp:posOffset>
                </wp:positionV>
                <wp:extent cx="403030" cy="195014"/>
                <wp:effectExtent l="57150" t="19050" r="0" b="90805"/>
                <wp:wrapNone/>
                <wp:docPr id="2" name="Flecha izquierda 2"/>
                <wp:cNvGraphicFramePr/>
                <a:graphic xmlns:a="http://schemas.openxmlformats.org/drawingml/2006/main">
                  <a:graphicData uri="http://schemas.microsoft.com/office/word/2010/wordprocessingShape">
                    <wps:wsp>
                      <wps:cNvSpPr/>
                      <wps:spPr>
                        <a:xfrm>
                          <a:off x="0" y="0"/>
                          <a:ext cx="403030" cy="195014"/>
                        </a:xfrm>
                        <a:prstGeom prst="lef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924765F"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2" o:spid="_x0000_s1026" type="#_x0000_t66" style="position:absolute;margin-left:249.15pt;margin-top:391.3pt;width:31.75pt;height:15.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" adj="5226" fillcolor="#4f81bd [3204]" strokecolor="#4579b8 [3044]">
                <v:fill color2="#a7bfde [1620]" rotate="t" angle="180" focus="100%" type="gradient">
                  <o:fill v:ext="view" type="gradientUnscaled"/>
                </v:fill>
                <v:shadow on="t" color="black" opacity="22937f" origin=",.5" offset="0,.63889mm"/>
              </v:shape>
            </w:pict>
          </mc:Fallback>
        </mc:AlternateContent>
      </w:r>
      <w:r>
        <w:rPr>
          <w:noProof/>
          <w:lang w:val="en-US" w:eastAsia="en-US"/>
        </w:rPr>
        <w:drawing>
          <wp:inline distT="0" distB="0" distL="0" distR="0" wp14:anchorId="0D6B4E72" wp14:editId="3D17CD8A">
            <wp:extent cx="5363701" cy="5164532"/>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1246" t="11670" r="24465" b="4543"/>
                    <a:stretch/>
                  </pic:blipFill>
                  <pic:spPr bwMode="auto">
                    <a:xfrm>
                      <a:off x="0" y="0"/>
                      <a:ext cx="5372784" cy="5173278"/>
                    </a:xfrm>
                    <a:prstGeom prst="rect">
                      <a:avLst/>
                    </a:prstGeom>
                    <a:ln>
                      <a:noFill/>
                    </a:ln>
                    <a:extLst>
                      <a:ext uri="{53640926-AAD7-44D8-BBD7-CCE9431645EC}">
                        <a14:shadowObscured xmlns:a14="http://schemas.microsoft.com/office/drawing/2010/main"/>
                      </a:ext>
                    </a:extLst>
                  </pic:spPr>
                </pic:pic>
              </a:graphicData>
            </a:graphic>
          </wp:inline>
        </w:drawing>
      </w:r>
    </w:p>
    <w:p w:rsidR="00E00219" w:rsidRDefault="00B309D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Sin embargo, a través de su informe justificado el </w:t>
      </w:r>
      <w:r w:rsidRPr="00E00219">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remitió de nueva cuenta copia de los nueve </w:t>
      </w:r>
      <w:r w:rsidR="00E00219">
        <w:rPr>
          <w:rFonts w:ascii="Palatino Linotype" w:eastAsia="Palatino Linotype" w:hAnsi="Palatino Linotype" w:cs="Palatino Linotype"/>
        </w:rPr>
        <w:t>oficios</w:t>
      </w:r>
      <w:r>
        <w:rPr>
          <w:rFonts w:ascii="Palatino Linotype" w:eastAsia="Palatino Linotype" w:hAnsi="Palatino Linotype" w:cs="Palatino Linotype"/>
        </w:rPr>
        <w:t xml:space="preserve"> remitidos en respuesta con la diferencia que</w:t>
      </w:r>
      <w:r w:rsidR="00E00219">
        <w:rPr>
          <w:rFonts w:ascii="Palatino Linotype" w:eastAsia="Palatino Linotype" w:hAnsi="Palatino Linotype" w:cs="Palatino Linotype"/>
        </w:rPr>
        <w:t xml:space="preserve"> el oficio número OSFEM/AS/1080/2022 se observa completo, como se indica a continuación en las siguientes imágenes que se inserta de manera ilustrativa:</w:t>
      </w:r>
    </w:p>
    <w:p w:rsidR="00B309DE" w:rsidRDefault="00E0021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 </w:t>
      </w:r>
      <w:r>
        <w:rPr>
          <w:noProof/>
          <w:lang w:val="en-US" w:eastAsia="en-US"/>
        </w:rPr>
        <w:drawing>
          <wp:inline distT="0" distB="0" distL="0" distR="0" wp14:anchorId="276A143B" wp14:editId="2CDF17FA">
            <wp:extent cx="5429035" cy="3224235"/>
            <wp:effectExtent l="0" t="0" r="63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2011" t="14141" r="27104" b="9919"/>
                    <a:stretch/>
                  </pic:blipFill>
                  <pic:spPr bwMode="auto">
                    <a:xfrm>
                      <a:off x="0" y="0"/>
                      <a:ext cx="5446704" cy="3234728"/>
                    </a:xfrm>
                    <a:prstGeom prst="rect">
                      <a:avLst/>
                    </a:prstGeom>
                    <a:ln>
                      <a:noFill/>
                    </a:ln>
                    <a:extLst>
                      <a:ext uri="{53640926-AAD7-44D8-BBD7-CCE9431645EC}">
                        <a14:shadowObscured xmlns:a14="http://schemas.microsoft.com/office/drawing/2010/main"/>
                      </a:ext>
                    </a:extLst>
                  </pic:spPr>
                </pic:pic>
              </a:graphicData>
            </a:graphic>
          </wp:inline>
        </w:drawing>
      </w:r>
    </w:p>
    <w:p w:rsidR="00E00219" w:rsidRDefault="00E00219">
      <w:pPr>
        <w:spacing w:before="240" w:after="240" w:line="360" w:lineRule="auto"/>
        <w:jc w:val="both"/>
        <w:rPr>
          <w:rFonts w:ascii="Palatino Linotype" w:eastAsia="Palatino Linotype" w:hAnsi="Palatino Linotype" w:cs="Palatino Linotype"/>
        </w:rPr>
      </w:pPr>
      <w:r>
        <w:rPr>
          <w:noProof/>
          <w:lang w:val="en-US" w:eastAsia="en-US"/>
        </w:rPr>
        <w:drawing>
          <wp:inline distT="0" distB="0" distL="0" distR="0" wp14:anchorId="20C94A75" wp14:editId="781FED93">
            <wp:extent cx="5460365" cy="3120228"/>
            <wp:effectExtent l="0" t="0" r="6985"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3178" t="21005" r="27553" b="5237"/>
                    <a:stretch/>
                  </pic:blipFill>
                  <pic:spPr bwMode="auto">
                    <a:xfrm>
                      <a:off x="0" y="0"/>
                      <a:ext cx="5480857" cy="3131938"/>
                    </a:xfrm>
                    <a:prstGeom prst="rect">
                      <a:avLst/>
                    </a:prstGeom>
                    <a:ln>
                      <a:noFill/>
                    </a:ln>
                    <a:extLst>
                      <a:ext uri="{53640926-AAD7-44D8-BBD7-CCE9431645EC}">
                        <a14:shadowObscured xmlns:a14="http://schemas.microsoft.com/office/drawing/2010/main"/>
                      </a:ext>
                    </a:extLst>
                  </pic:spPr>
                </pic:pic>
              </a:graphicData>
            </a:graphic>
          </wp:inline>
        </w:drawing>
      </w:r>
    </w:p>
    <w:p w:rsidR="00E00219" w:rsidRDefault="00E00219">
      <w:pPr>
        <w:spacing w:before="240" w:after="240" w:line="360" w:lineRule="auto"/>
        <w:jc w:val="both"/>
        <w:rPr>
          <w:rFonts w:ascii="Palatino Linotype" w:eastAsia="Palatino Linotype" w:hAnsi="Palatino Linotype" w:cs="Palatino Linotype"/>
        </w:rPr>
      </w:pPr>
      <w:r>
        <w:rPr>
          <w:noProof/>
          <w:lang w:val="en-US" w:eastAsia="en-US"/>
        </w:rPr>
        <w:lastRenderedPageBreak/>
        <w:drawing>
          <wp:inline distT="0" distB="0" distL="0" distR="0" wp14:anchorId="31526F65" wp14:editId="5AB7AE7E">
            <wp:extent cx="5247273" cy="3237236"/>
            <wp:effectExtent l="0" t="0" r="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1941" t="15651" r="27396" b="9491"/>
                    <a:stretch/>
                  </pic:blipFill>
                  <pic:spPr bwMode="auto">
                    <a:xfrm>
                      <a:off x="0" y="0"/>
                      <a:ext cx="5267043" cy="3249433"/>
                    </a:xfrm>
                    <a:prstGeom prst="rect">
                      <a:avLst/>
                    </a:prstGeom>
                    <a:ln>
                      <a:noFill/>
                    </a:ln>
                    <a:extLst>
                      <a:ext uri="{53640926-AAD7-44D8-BBD7-CCE9431645EC}">
                        <a14:shadowObscured xmlns:a14="http://schemas.microsoft.com/office/drawing/2010/main"/>
                      </a:ext>
                    </a:extLst>
                  </pic:spPr>
                </pic:pic>
              </a:graphicData>
            </a:graphic>
          </wp:inline>
        </w:drawing>
      </w:r>
    </w:p>
    <w:p w:rsidR="00E00219" w:rsidRDefault="00E00219">
      <w:pPr>
        <w:spacing w:before="240" w:after="240" w:line="360" w:lineRule="auto"/>
        <w:jc w:val="both"/>
        <w:rPr>
          <w:rFonts w:ascii="Palatino Linotype" w:eastAsia="Palatino Linotype" w:hAnsi="Palatino Linotype" w:cs="Palatino Linotype"/>
        </w:rPr>
      </w:pPr>
      <w:r>
        <w:rPr>
          <w:noProof/>
          <w:lang w:val="en-US" w:eastAsia="en-US"/>
        </w:rPr>
        <w:drawing>
          <wp:inline distT="0" distB="0" distL="0" distR="0" wp14:anchorId="303070BD" wp14:editId="2CCC555D">
            <wp:extent cx="5476543" cy="3063890"/>
            <wp:effectExtent l="0" t="0" r="0"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3784" t="21143" r="26951" b="30519"/>
                    <a:stretch/>
                  </pic:blipFill>
                  <pic:spPr bwMode="auto">
                    <a:xfrm>
                      <a:off x="0" y="0"/>
                      <a:ext cx="5516328" cy="3086148"/>
                    </a:xfrm>
                    <a:prstGeom prst="rect">
                      <a:avLst/>
                    </a:prstGeom>
                    <a:ln>
                      <a:noFill/>
                    </a:ln>
                    <a:extLst>
                      <a:ext uri="{53640926-AAD7-44D8-BBD7-CCE9431645EC}">
                        <a14:shadowObscured xmlns:a14="http://schemas.microsoft.com/office/drawing/2010/main"/>
                      </a:ext>
                    </a:extLst>
                  </pic:spPr>
                </pic:pic>
              </a:graphicData>
            </a:graphic>
          </wp:inline>
        </w:drawing>
      </w:r>
    </w:p>
    <w:p w:rsidR="00567E32" w:rsidRDefault="00567E32" w:rsidP="00567E32">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Asimismo, precisó en el apartado de comentarios a los archivos enviados por la Unidad de Transparencia, que se anexaba toda la información, de acuerdo a lo informado por los habilitados competentes, siendo la única información recibida ese día, tal como se aprecia de la siguiente imagen: </w:t>
      </w:r>
    </w:p>
    <w:p w:rsidR="00567E32" w:rsidRDefault="00567E32" w:rsidP="00567E32">
      <w:pPr>
        <w:spacing w:after="240" w:line="360" w:lineRule="auto"/>
        <w:jc w:val="both"/>
        <w:rPr>
          <w:rFonts w:ascii="Palatino Linotype" w:eastAsia="Palatino Linotype" w:hAnsi="Palatino Linotype" w:cs="Palatino Linotype"/>
        </w:rPr>
      </w:pPr>
      <w:r w:rsidRPr="00567E32">
        <w:rPr>
          <w:rFonts w:ascii="Palatino Linotype" w:eastAsia="Palatino Linotype" w:hAnsi="Palatino Linotype" w:cs="Palatino Linotype"/>
          <w:noProof/>
          <w:lang w:val="en-US" w:eastAsia="en-US"/>
        </w:rPr>
        <w:drawing>
          <wp:inline distT="0" distB="0" distL="0" distR="0" wp14:anchorId="59E69F80" wp14:editId="7F81C963">
            <wp:extent cx="5612130" cy="255270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2552700"/>
                    </a:xfrm>
                    <a:prstGeom prst="rect">
                      <a:avLst/>
                    </a:prstGeom>
                  </pic:spPr>
                </pic:pic>
              </a:graphicData>
            </a:graphic>
          </wp:inline>
        </w:drawing>
      </w:r>
    </w:p>
    <w:p w:rsidR="00C8730C" w:rsidRDefault="00E00219" w:rsidP="00E0021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Colmando con ello el derecho de acceso a la información pública de la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máxime, que </w:t>
      </w:r>
      <w:r w:rsidR="00344F56">
        <w:rPr>
          <w:rFonts w:ascii="Palatino Linotype" w:eastAsia="Palatino Linotype" w:hAnsi="Palatino Linotype" w:cs="Palatino Linotype"/>
        </w:rPr>
        <w:t xml:space="preserve">este Organismo Garante </w:t>
      </w:r>
      <w:r w:rsidR="00D23B6E">
        <w:rPr>
          <w:rFonts w:ascii="Palatino Linotype" w:eastAsia="Palatino Linotype" w:hAnsi="Palatino Linotype" w:cs="Palatino Linotype"/>
        </w:rPr>
        <w:t>no está facultado para manifestarse sobre la veracidad de la información proporcionada, ya que no existe precepto legal alguno en la Ley de la Materia que permita, vía recurso de revisión, se pronuncie al respecto. Por analogía, sirve de apoyo a lo anterior el Criterio 31-10 emitido por el entonces Instituto Federal de Accesos a la Información y Protección de Datos, que a la letra establece lo siguiente:</w:t>
      </w:r>
    </w:p>
    <w:p w:rsidR="00C8730C" w:rsidRDefault="00D23B6E">
      <w:pPr>
        <w:spacing w:before="120" w:after="12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r>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(Sic)</w:t>
      </w:r>
    </w:p>
    <w:p w:rsidR="00C8730C" w:rsidRDefault="00C8730C">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C8730C" w:rsidRDefault="00D23B6E">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 lo anterior, este Órgano Resolutor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w:t>
      </w:r>
    </w:p>
    <w:p w:rsidR="00344F56" w:rsidRDefault="00344F56">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344F56" w:rsidRDefault="00344F56" w:rsidP="00344F5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consecuencia</w:t>
      </w:r>
      <w:r w:rsidR="005F5C11">
        <w:rPr>
          <w:rFonts w:ascii="Palatino Linotype" w:eastAsia="Palatino Linotype" w:hAnsi="Palatino Linotype" w:cs="Palatino Linotype"/>
        </w:rPr>
        <w:t xml:space="preserve"> de todo lo anterior</w:t>
      </w:r>
      <w:r>
        <w:rPr>
          <w:rFonts w:ascii="Palatino Linotype" w:eastAsia="Palatino Linotype" w:hAnsi="Palatino Linotype" w:cs="Palatino Linotype"/>
        </w:rPr>
        <w:t>, se actualiza la causal de sobreseimiento prevista en la fracción III del artículo 192 de la Ley de Transparencia y Acceso a la Información Pública del Estado de México y Municipios, que dispone lo siguiente:</w:t>
      </w:r>
    </w:p>
    <w:p w:rsidR="00344F56" w:rsidRDefault="00344F56" w:rsidP="00344F56">
      <w:pPr>
        <w:spacing w:line="360" w:lineRule="auto"/>
        <w:jc w:val="both"/>
        <w:rPr>
          <w:rFonts w:ascii="Palatino Linotype" w:eastAsia="Palatino Linotype" w:hAnsi="Palatino Linotype" w:cs="Palatino Linotype"/>
          <w:color w:val="FF0000"/>
        </w:rPr>
      </w:pPr>
    </w:p>
    <w:p w:rsidR="00344F56" w:rsidRDefault="00344F56" w:rsidP="00344F56">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 xml:space="preserve">“Artículo 192. </w:t>
      </w:r>
      <w:r>
        <w:rPr>
          <w:rFonts w:ascii="Palatino Linotype" w:eastAsia="Palatino Linotype" w:hAnsi="Palatino Linotype" w:cs="Palatino Linotype"/>
          <w:i/>
          <w:sz w:val="22"/>
          <w:szCs w:val="22"/>
        </w:rPr>
        <w:t>El recurso será sobreseído en todo o en parte cuando una vez admitido, se actualicen alguno de los siguientes supuestos:</w:t>
      </w:r>
    </w:p>
    <w:p w:rsidR="00344F56" w:rsidRDefault="00344F56" w:rsidP="00344F56">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w:t>
      </w:r>
    </w:p>
    <w:p w:rsidR="00344F56" w:rsidRDefault="00344F56" w:rsidP="00344F56">
      <w:pPr>
        <w:ind w:left="992" w:right="1043"/>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III. El sujeto obligado responsable del acto lo modifique o revoque de tal manera que el recurso de revisión quede sin materia…”. (Sic)</w:t>
      </w:r>
    </w:p>
    <w:p w:rsidR="00344F56" w:rsidRDefault="00344F56" w:rsidP="00344F56">
      <w:pPr>
        <w:spacing w:line="360" w:lineRule="auto"/>
        <w:jc w:val="both"/>
        <w:rPr>
          <w:rFonts w:ascii="Palatino Linotype" w:eastAsia="Palatino Linotype" w:hAnsi="Palatino Linotype" w:cs="Palatino Linotype"/>
          <w:b/>
          <w:i/>
        </w:rPr>
      </w:pPr>
    </w:p>
    <w:p w:rsidR="00344F56" w:rsidRDefault="00344F56" w:rsidP="00344F56">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establecido en el precepto legal citado se advierte que el sobreseimiento del recurso de revisión procede en los siguientes casos:</w:t>
      </w:r>
    </w:p>
    <w:p w:rsidR="00344F56" w:rsidRDefault="00344F56" w:rsidP="00344F5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 Cuando el sujeto obligado modifique el acto impugnado.</w:t>
      </w:r>
    </w:p>
    <w:p w:rsidR="00344F56" w:rsidRDefault="00344F56" w:rsidP="00344F5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b) Cuando el sujeto obligado revoque el acto impugnado.</w:t>
      </w:r>
    </w:p>
    <w:p w:rsidR="00344F56" w:rsidRDefault="00344F56" w:rsidP="00344F5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Quedando en ambos casos el acto combatido sin materia o sin efectos.</w:t>
      </w:r>
    </w:p>
    <w:p w:rsidR="00344F56" w:rsidRDefault="00344F56" w:rsidP="00344F5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Como se observa de lo anterior, un acto impugnado es modificado en aquellos casos en los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después de haber otorgado una respuesta, emite una diversa de manera posterior y en ésta subsana las deficiencias que hubiera tenido, quedando satisfecho el derecho subjetivo accionado por la parte </w:t>
      </w:r>
      <w:r>
        <w:rPr>
          <w:rFonts w:ascii="Palatino Linotype" w:eastAsia="Palatino Linotype" w:hAnsi="Palatino Linotype" w:cs="Palatino Linotype"/>
          <w:b/>
        </w:rPr>
        <w:t>RECURRENTE</w:t>
      </w:r>
      <w:r>
        <w:rPr>
          <w:rFonts w:ascii="Palatino Linotype" w:eastAsia="Palatino Linotype" w:hAnsi="Palatino Linotype" w:cs="Palatino Linotype"/>
        </w:rPr>
        <w:t>.</w:t>
      </w:r>
    </w:p>
    <w:p w:rsidR="00344F56" w:rsidRDefault="00344F56" w:rsidP="00344F5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que hace a la revocación, esta se actualiza cuando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deja sin efectos la primera respuesta y en su lugar emite otra con las características y cualidades suficientes para dejar satisfecho el ejercicio del derecho al acceso a la información pública.</w:t>
      </w:r>
    </w:p>
    <w:p w:rsidR="00344F56" w:rsidRDefault="00344F56" w:rsidP="00344F56">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En ese tenor, un acto impugnado queda sin efectos, cuando aun existiendo jurídicamente (esto es, que no se ha modificado, ni revocado) ya no genera ninguna consecuencia legal.</w:t>
      </w:r>
    </w:p>
    <w:p w:rsidR="00690783" w:rsidRDefault="00344F56" w:rsidP="00344F56">
      <w:pPr>
        <w:spacing w:before="240" w:after="240" w:line="360" w:lineRule="auto"/>
        <w:jc w:val="both"/>
        <w:rPr>
          <w:rFonts w:ascii="Palatino Linotype" w:eastAsia="Palatino Linotype" w:hAnsi="Palatino Linotype" w:cs="Palatino Linotype"/>
          <w:color w:val="FF0000"/>
        </w:rPr>
      </w:pPr>
      <w:r>
        <w:rPr>
          <w:rFonts w:ascii="Palatino Linotype" w:eastAsia="Palatino Linotype" w:hAnsi="Palatino Linotype" w:cs="Palatino Linotype"/>
        </w:rPr>
        <w:t xml:space="preserve">En tanto, en el presente caso queda sin materia toda vez que con el Informe Justificado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modificó la </w:t>
      </w:r>
      <w:r w:rsidRPr="00690783">
        <w:rPr>
          <w:rFonts w:ascii="Palatino Linotype" w:eastAsia="Palatino Linotype" w:hAnsi="Palatino Linotype" w:cs="Palatino Linotype"/>
        </w:rPr>
        <w:t xml:space="preserve">respuesta </w:t>
      </w:r>
      <w:r w:rsidR="00690783" w:rsidRPr="00690783">
        <w:rPr>
          <w:rFonts w:ascii="Palatino Linotype" w:eastAsia="Palatino Linotype" w:hAnsi="Palatino Linotype" w:cs="Palatino Linotype"/>
        </w:rPr>
        <w:t>al remitir</w:t>
      </w:r>
      <w:r w:rsidR="005F5C11" w:rsidRPr="00690783">
        <w:rPr>
          <w:rFonts w:ascii="Palatino Linotype" w:eastAsia="Palatino Linotype" w:hAnsi="Palatino Linotype" w:cs="Palatino Linotype"/>
        </w:rPr>
        <w:t xml:space="preserve"> </w:t>
      </w:r>
      <w:r w:rsidR="00690783" w:rsidRPr="00690783">
        <w:rPr>
          <w:rFonts w:ascii="Palatino Linotype" w:eastAsia="Palatino Linotype" w:hAnsi="Palatino Linotype" w:cs="Palatino Linotype"/>
        </w:rPr>
        <w:t xml:space="preserve">el </w:t>
      </w:r>
      <w:r w:rsidR="00690783">
        <w:rPr>
          <w:rFonts w:ascii="Palatino Linotype" w:eastAsia="Palatino Linotype" w:hAnsi="Palatino Linotype" w:cs="Palatino Linotype"/>
        </w:rPr>
        <w:t>oficio número OSFEM/AS/1080/2022 de manera completa.</w:t>
      </w:r>
    </w:p>
    <w:p w:rsidR="00344F56" w:rsidRDefault="00344F56" w:rsidP="00344F5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tal manera, es evidente que con ello queda sin materia el presente recurso de revisión, ya que la inconformidad sobre </w:t>
      </w:r>
      <w:r w:rsidR="005F5C11">
        <w:rPr>
          <w:rFonts w:ascii="Palatino Linotype" w:eastAsia="Palatino Linotype" w:hAnsi="Palatino Linotype" w:cs="Palatino Linotype"/>
        </w:rPr>
        <w:t xml:space="preserve">falta </w:t>
      </w:r>
      <w:r w:rsidR="005F5C11" w:rsidRPr="005F5C11">
        <w:rPr>
          <w:rFonts w:ascii="Palatino Linotype" w:eastAsia="Palatino Linotype" w:hAnsi="Palatino Linotype" w:cs="Palatino Linotype"/>
        </w:rPr>
        <w:t>deficiencia o insuficiencia en la fundamentación de la respuest</w:t>
      </w:r>
      <w:r w:rsidR="005F5C11">
        <w:rPr>
          <w:rFonts w:ascii="Palatino Linotype" w:eastAsia="Palatino Linotype" w:hAnsi="Palatino Linotype" w:cs="Palatino Linotype"/>
        </w:rPr>
        <w:t>a</w:t>
      </w:r>
      <w:r>
        <w:rPr>
          <w:rFonts w:ascii="Palatino Linotype" w:eastAsia="Palatino Linotype" w:hAnsi="Palatino Linotype" w:cs="Palatino Linotype"/>
        </w:rPr>
        <w:t>, se subsanó con la información entr</w:t>
      </w:r>
      <w:r w:rsidR="005F5C11">
        <w:rPr>
          <w:rFonts w:ascii="Palatino Linotype" w:eastAsia="Palatino Linotype" w:hAnsi="Palatino Linotype" w:cs="Palatino Linotype"/>
        </w:rPr>
        <w:t>egada en</w:t>
      </w:r>
      <w:r>
        <w:rPr>
          <w:rFonts w:ascii="Palatino Linotype" w:eastAsia="Palatino Linotype" w:hAnsi="Palatino Linotype" w:cs="Palatino Linotype"/>
        </w:rPr>
        <w:t xml:space="preserve"> informe justificado dentro del apartado de manifestaciones del SAIMEX, que fue puesta a la vista de la </w:t>
      </w:r>
      <w:r>
        <w:rPr>
          <w:rFonts w:ascii="Palatino Linotype" w:eastAsia="Palatino Linotype" w:hAnsi="Palatino Linotype" w:cs="Palatino Linotype"/>
          <w:b/>
        </w:rPr>
        <w:t>RECURRENTE</w:t>
      </w:r>
      <w:r>
        <w:rPr>
          <w:rFonts w:ascii="Palatino Linotype" w:eastAsia="Palatino Linotype" w:hAnsi="Palatino Linotype" w:cs="Palatino Linotype"/>
        </w:rPr>
        <w:t>, ya no cobraría sentido; y si respecto de la misma no formuló alegato alguno dentro del plazo concedido para tal efecto se entiende que se encuentra satisfecho.</w:t>
      </w:r>
    </w:p>
    <w:p w:rsidR="00344F56" w:rsidRDefault="00344F56" w:rsidP="00344F5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resumen,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dio respuesta completa a la solicitud de acceso a la información pública del ahora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aunque ello haya sido de manera posterior a su respuesta inicial; dejando con ello sin materia el presente recurso de revisión, actualizándose entonces la causal prevista en la fracción III del artículo 192 de la Ley de la Materia vigente en la Entidad, antes transcrita. </w:t>
      </w:r>
    </w:p>
    <w:p w:rsidR="00344F56" w:rsidRDefault="00344F56" w:rsidP="00344F5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Siendo el </w:t>
      </w:r>
      <w:r>
        <w:rPr>
          <w:rFonts w:ascii="Palatino Linotype" w:eastAsia="Palatino Linotype" w:hAnsi="Palatino Linotype" w:cs="Palatino Linotype"/>
          <w:i/>
        </w:rPr>
        <w:t>sobreseimiento</w:t>
      </w:r>
      <w:r>
        <w:rPr>
          <w:rFonts w:ascii="Palatino Linotype" w:eastAsia="Palatino Linotype" w:hAnsi="Palatino Linotype" w:cs="Palatino Linotype"/>
        </w:rPr>
        <w:t xml:space="preserve"> un acto que da por terminado el procedimiento administrativo de impugnación sin resolver el fondo de la cuestión planteada, por presentarse causas que impiden a la autoridad referirse a lo sustancial de lo planteado por la </w:t>
      </w:r>
      <w:r>
        <w:rPr>
          <w:rFonts w:ascii="Palatino Linotype" w:eastAsia="Palatino Linotype" w:hAnsi="Palatino Linotype" w:cs="Palatino Linotype"/>
          <w:b/>
        </w:rPr>
        <w:t>RECURRENTE</w:t>
      </w:r>
      <w:r>
        <w:rPr>
          <w:rFonts w:ascii="Palatino Linotype" w:eastAsia="Palatino Linotype" w:hAnsi="Palatino Linotype" w:cs="Palatino Linotype"/>
        </w:rPr>
        <w:t>, los efectos del sobreseimiento son los dar por concluido el recurso administrativo sin entrar al estudio de fondo del asunto de que se trate; lo anterior con apoyo en el criterio del Poder Judicial de la Federación con rubro:</w:t>
      </w:r>
    </w:p>
    <w:p w:rsidR="00344F56" w:rsidRDefault="00344F56" w:rsidP="00344F56">
      <w:pPr>
        <w:spacing w:before="240" w:after="240" w:line="360" w:lineRule="auto"/>
        <w:ind w:left="567" w:right="567"/>
        <w:jc w:val="both"/>
        <w:rPr>
          <w:rFonts w:ascii="Palatino Linotype" w:eastAsia="Palatino Linotype" w:hAnsi="Palatino Linotype" w:cs="Palatino Linotype"/>
          <w:b/>
          <w:i/>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SOBRESEIMIENTO, NO PERMITE ENTRAR AL ESTUDIO DE LAS CUESTIONES DE FONDO</w:t>
      </w:r>
    </w:p>
    <w:p w:rsidR="00344F56" w:rsidRDefault="00344F56" w:rsidP="00344F56">
      <w:pPr>
        <w:spacing w:before="240"/>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Localización: 213609. II.2o.183 K. Tribunales Colegiados de Circuito. Octava Época. Semanario Judicial de la Federación. Tomo XIII, Febrero de 1994, Pág. 420</w:t>
      </w:r>
    </w:p>
    <w:p w:rsidR="00344F56" w:rsidRDefault="00344F56" w:rsidP="00344F56">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Cuerpo de tesis: No causa agravio la sentencia que no se ocupa de los razonamientos tendientes a demostrar la inconstitucionalidad de los actos reclamados de las autoridades responsables, que constituyen el problema de fondo, si se decreta el sobreseimiento del juicio.” (Sic)</w:t>
      </w:r>
    </w:p>
    <w:p w:rsidR="00344F56" w:rsidRDefault="00344F56" w:rsidP="00344F56">
      <w:pPr>
        <w:ind w:left="567" w:right="567"/>
        <w:jc w:val="both"/>
        <w:rPr>
          <w:rFonts w:ascii="Palatino Linotype" w:eastAsia="Palatino Linotype" w:hAnsi="Palatino Linotype" w:cs="Palatino Linotype"/>
          <w:i/>
          <w:sz w:val="22"/>
          <w:szCs w:val="22"/>
        </w:rPr>
      </w:pPr>
    </w:p>
    <w:p w:rsidR="00344F56" w:rsidRDefault="00344F56" w:rsidP="00344F56">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Cabe destacar que la decisión de este órgano colegiado de sobreseer el recurso de revisión no implica una limitación o negación a la justicia, según lo ha establecido el Poder Judicial Federal, en el criterio que es aplicable por analogía, con rubro:</w:t>
      </w:r>
    </w:p>
    <w:p w:rsidR="00344F56" w:rsidRDefault="00344F56" w:rsidP="00344F56">
      <w:pPr>
        <w:spacing w:before="240"/>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rPr>
        <w:t xml:space="preserve"> </w:t>
      </w:r>
      <w:r>
        <w:rPr>
          <w:rFonts w:ascii="Palatino Linotype" w:eastAsia="Palatino Linotype" w:hAnsi="Palatino Linotype" w:cs="Palatino Linotype"/>
          <w:i/>
          <w:sz w:val="22"/>
          <w:szCs w:val="22"/>
        </w:rPr>
        <w:t>“DESECHAMIENTO O SOBRESEIMIENTO EN EL JUICIO DE AMPARO. NO IMPLICA DENEGACIÓN DE JUSTICIA NI GENERA INSEGURIDAD JURÍDICA”</w:t>
      </w:r>
    </w:p>
    <w:p w:rsidR="00344F56" w:rsidRDefault="00344F56" w:rsidP="00344F56">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Cuerpo de la tesis: Cuando se desecha una demanda de amparo o se sobresee en el juicio, ello no implica denegar justicia ni genera inseguridad jurídica, ya que la obligación de los tribunales no es tramitar y resolver en el fondo todos los asuntos sometidos a su </w:t>
      </w:r>
      <w:r>
        <w:rPr>
          <w:rFonts w:ascii="Palatino Linotype" w:eastAsia="Palatino Linotype" w:hAnsi="Palatino Linotype" w:cs="Palatino Linotype"/>
          <w:i/>
          <w:sz w:val="22"/>
          <w:szCs w:val="22"/>
        </w:rPr>
        <w:lastRenderedPageBreak/>
        <w:t>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p>
    <w:p w:rsidR="00344F56" w:rsidRDefault="00344F56" w:rsidP="00344F56">
      <w:pPr>
        <w:ind w:left="567" w:right="567"/>
        <w:jc w:val="both"/>
        <w:rPr>
          <w:rFonts w:ascii="Palatino Linotype" w:eastAsia="Palatino Linotype" w:hAnsi="Palatino Linotype" w:cs="Palatino Linotype"/>
          <w:i/>
          <w:sz w:val="22"/>
          <w:szCs w:val="22"/>
        </w:rPr>
      </w:pPr>
    </w:p>
    <w:p w:rsidR="00E00219" w:rsidRDefault="00E00219" w:rsidP="00E0021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otro lado, no escapa de la óptica de este Organismo Garante que el particular, a través de su recurso de revisión, solicitó a este Instituto, se le diera vista a la Contraloría Interna y Órgano de Control y Vigilancia en términos de la Ley de Responsabilidades de los Servidores Públicos del Estado y Municipios, a efectos de que dicho Órgano determinara el grado de responsabilidad, al considerar posibles causas de responsabilidad administrativa por el incumplimiento a las disposiciones previstas en los artículos 161, 163 segundo párrafo y 177 de la Ley de Transparencia y Acceso a la Información Pública del Estado de México y Municipios, sin embargo, es preciso hacer de su conocimiento que el recurso de revisión no es la vía para instaurar procedimientos de responsabilidad administrativa, no obstante, se dejan a salvo sus derechos para que en caso de considerarlo oportuno a sus intereses, ejerza dicha acción ante las instancias correspondientes.</w:t>
      </w:r>
    </w:p>
    <w:p w:rsidR="00E00219" w:rsidRPr="00BB005D" w:rsidRDefault="00E00219" w:rsidP="00E00219">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lastRenderedPageBreak/>
        <w:t xml:space="preserve">Finalmente, respecto de los motivos de inconformidad en donde señaló el </w:t>
      </w:r>
      <w:r w:rsidRPr="001F3C8E">
        <w:rPr>
          <w:rFonts w:ascii="Palatino Linotype" w:eastAsia="Palatino Linotype" w:hAnsi="Palatino Linotype" w:cs="Palatino Linotype"/>
          <w:b/>
        </w:rPr>
        <w:t>RECURRENTE</w:t>
      </w:r>
      <w:r>
        <w:rPr>
          <w:rFonts w:ascii="Palatino Linotype" w:eastAsia="Palatino Linotype" w:hAnsi="Palatino Linotype" w:cs="Palatino Linotype"/>
        </w:rPr>
        <w:t>: “</w:t>
      </w:r>
      <w:r w:rsidRPr="0042681B">
        <w:rPr>
          <w:rFonts w:ascii="Palatino Linotype" w:eastAsia="Palatino Linotype" w:hAnsi="Palatino Linotype" w:cs="Palatino Linotype"/>
          <w:i/>
          <w:color w:val="000000"/>
        </w:rPr>
        <w:t xml:space="preserve">La respuesta proporcionada por el Sujeto Obligado, mencionan no haber recibido oficios en </w:t>
      </w:r>
      <w:proofErr w:type="spellStart"/>
      <w:r w:rsidRPr="0042681B">
        <w:rPr>
          <w:rFonts w:ascii="Palatino Linotype" w:eastAsia="Palatino Linotype" w:hAnsi="Palatino Linotype" w:cs="Palatino Linotype"/>
          <w:i/>
          <w:color w:val="000000"/>
        </w:rPr>
        <w:t>está</w:t>
      </w:r>
      <w:proofErr w:type="spellEnd"/>
      <w:r w:rsidRPr="0042681B">
        <w:rPr>
          <w:rFonts w:ascii="Palatino Linotype" w:eastAsia="Palatino Linotype" w:hAnsi="Palatino Linotype" w:cs="Palatino Linotype"/>
          <w:i/>
          <w:color w:val="000000"/>
        </w:rPr>
        <w:t xml:space="preserve"> fecha sin embargo en otra solicitud suben un archivo correspondiente a ese día, lo cual hace evidente la falta de interés en realizar la búsqueda exhaustiva de la documentación relativo a las solicitudes que reciben</w:t>
      </w:r>
      <w:r>
        <w:rPr>
          <w:rFonts w:ascii="Palatino Linotype" w:eastAsia="Palatino Linotype" w:hAnsi="Palatino Linotype" w:cs="Palatino Linotype"/>
          <w:i/>
          <w:color w:val="000000"/>
        </w:rPr>
        <w:t xml:space="preserve">” (Sic), </w:t>
      </w:r>
      <w:r>
        <w:rPr>
          <w:rFonts w:ascii="Palatino Linotype" w:eastAsia="Palatino Linotype" w:hAnsi="Palatino Linotype" w:cs="Palatino Linotype"/>
          <w:color w:val="000000"/>
        </w:rPr>
        <w:t xml:space="preserve">se observa que el particular se queja que el </w:t>
      </w:r>
      <w:r w:rsidRPr="00690783">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en respuesta le informó que no recibió oficios en la fecha señalada; sin embargo, </w:t>
      </w:r>
      <w:r w:rsidR="009A6885">
        <w:rPr>
          <w:rFonts w:ascii="Palatino Linotype" w:eastAsia="Palatino Linotype" w:hAnsi="Palatino Linotype" w:cs="Palatino Linotype"/>
          <w:color w:val="000000"/>
        </w:rPr>
        <w:t xml:space="preserve">en el presente asunto el </w:t>
      </w:r>
      <w:r w:rsidR="009A6885" w:rsidRPr="009A6885">
        <w:rPr>
          <w:rFonts w:ascii="Palatino Linotype" w:eastAsia="Palatino Linotype" w:hAnsi="Palatino Linotype" w:cs="Palatino Linotype"/>
          <w:color w:val="000000"/>
        </w:rPr>
        <w:t>Organismo Público Descentralizado para la Prestación de Los Servicios de Agua Potable Alcantarillado y Saneamiento del Municipio de Metepec</w:t>
      </w:r>
      <w:r>
        <w:rPr>
          <w:rFonts w:ascii="Palatino Linotype" w:eastAsia="Palatino Linotype" w:hAnsi="Palatino Linotype" w:cs="Palatino Linotype"/>
          <w:color w:val="000000"/>
        </w:rPr>
        <w:t>,</w:t>
      </w:r>
      <w:r w:rsidR="009A6885">
        <w:rPr>
          <w:rFonts w:ascii="Palatino Linotype" w:eastAsia="Palatino Linotype" w:hAnsi="Palatino Linotype" w:cs="Palatino Linotype"/>
          <w:color w:val="000000"/>
        </w:rPr>
        <w:t xml:space="preserve"> sí le entregó los oficios que recibió el pasado 17 de febrero del año 2022,</w:t>
      </w:r>
      <w:r>
        <w:rPr>
          <w:rFonts w:ascii="Palatino Linotype" w:eastAsia="Palatino Linotype" w:hAnsi="Palatino Linotype" w:cs="Palatino Linotype"/>
          <w:color w:val="000000"/>
        </w:rPr>
        <w:t xml:space="preserve">  por lo que, este Organismo Garante determina que esa parte de los motivos de inconformidad son inoperantes</w:t>
      </w:r>
      <w:r w:rsidR="009A6885">
        <w:rPr>
          <w:rFonts w:ascii="Palatino Linotype" w:eastAsia="Palatino Linotype" w:hAnsi="Palatino Linotype" w:cs="Palatino Linotype"/>
          <w:color w:val="000000"/>
        </w:rPr>
        <w:t xml:space="preserve"> e infundados</w:t>
      </w:r>
      <w:r>
        <w:rPr>
          <w:rFonts w:ascii="Palatino Linotype" w:eastAsia="Palatino Linotype" w:hAnsi="Palatino Linotype" w:cs="Palatino Linotype"/>
          <w:color w:val="000000"/>
        </w:rPr>
        <w:t xml:space="preserve"> en términos de lo señalado por la fracción IV del artículo </w:t>
      </w:r>
      <w:r>
        <w:rPr>
          <w:rFonts w:ascii="Palatino Linotype" w:hAnsi="Palatino Linotype"/>
          <w:bCs/>
        </w:rPr>
        <w:t xml:space="preserve">192 </w:t>
      </w:r>
      <w:r w:rsidRPr="00F11546">
        <w:rPr>
          <w:rFonts w:ascii="Palatino Linotype" w:hAnsi="Palatino Linotype"/>
          <w:bCs/>
        </w:rPr>
        <w:t>de la Ley de Transparencia y Acceso a información Pública del Estado de México y Municipios, que disponen lo siguiente:</w:t>
      </w:r>
    </w:p>
    <w:p w:rsidR="00E00219" w:rsidRPr="00BB005D" w:rsidRDefault="00E00219" w:rsidP="00E00219">
      <w:pPr>
        <w:ind w:left="567" w:right="567"/>
        <w:contextualSpacing/>
        <w:jc w:val="both"/>
        <w:rPr>
          <w:rFonts w:ascii="Palatino Linotype" w:hAnsi="Palatino Linotype"/>
          <w:bCs/>
          <w:i/>
          <w:sz w:val="22"/>
          <w:szCs w:val="22"/>
        </w:rPr>
      </w:pPr>
      <w:r w:rsidRPr="00BB005D">
        <w:rPr>
          <w:rFonts w:ascii="Palatino Linotype" w:hAnsi="Palatino Linotype"/>
          <w:bCs/>
          <w:i/>
          <w:sz w:val="22"/>
          <w:szCs w:val="22"/>
        </w:rPr>
        <w:t>“</w:t>
      </w:r>
      <w:r w:rsidRPr="00BB005D">
        <w:rPr>
          <w:rFonts w:ascii="Palatino Linotype" w:hAnsi="Palatino Linotype"/>
          <w:b/>
          <w:bCs/>
          <w:i/>
          <w:sz w:val="22"/>
          <w:szCs w:val="22"/>
        </w:rPr>
        <w:t>Artículo 191.</w:t>
      </w:r>
      <w:r w:rsidRPr="00BB005D">
        <w:rPr>
          <w:rFonts w:ascii="Palatino Linotype" w:hAnsi="Palatino Linotype"/>
          <w:bCs/>
          <w:i/>
          <w:sz w:val="22"/>
          <w:szCs w:val="22"/>
        </w:rPr>
        <w:t xml:space="preserve"> El recurso será </w:t>
      </w:r>
      <w:r w:rsidRPr="00BB005D">
        <w:rPr>
          <w:rFonts w:ascii="Palatino Linotype" w:hAnsi="Palatino Linotype"/>
          <w:bCs/>
          <w:i/>
          <w:sz w:val="22"/>
          <w:szCs w:val="22"/>
          <w:u w:val="single"/>
        </w:rPr>
        <w:t>desechado</w:t>
      </w:r>
      <w:r w:rsidRPr="00BB005D">
        <w:rPr>
          <w:rFonts w:ascii="Palatino Linotype" w:hAnsi="Palatino Linotype"/>
          <w:bCs/>
          <w:i/>
          <w:sz w:val="22"/>
          <w:szCs w:val="22"/>
        </w:rPr>
        <w:t xml:space="preserve"> por improcedente cuando:</w:t>
      </w:r>
    </w:p>
    <w:p w:rsidR="00E00219" w:rsidRPr="00BB005D" w:rsidRDefault="00E00219" w:rsidP="00E00219">
      <w:pPr>
        <w:ind w:left="567" w:right="567"/>
        <w:contextualSpacing/>
        <w:jc w:val="both"/>
        <w:rPr>
          <w:rFonts w:ascii="Palatino Linotype" w:hAnsi="Palatino Linotype"/>
          <w:bCs/>
          <w:i/>
          <w:sz w:val="22"/>
          <w:szCs w:val="22"/>
        </w:rPr>
      </w:pPr>
      <w:r>
        <w:rPr>
          <w:rFonts w:ascii="Palatino Linotype" w:hAnsi="Palatino Linotype"/>
          <w:bCs/>
          <w:i/>
          <w:sz w:val="22"/>
          <w:szCs w:val="22"/>
        </w:rPr>
        <w:t>…</w:t>
      </w:r>
    </w:p>
    <w:p w:rsidR="00E00219" w:rsidRPr="00BB005D" w:rsidRDefault="00E00219" w:rsidP="00E00219">
      <w:pPr>
        <w:ind w:left="567" w:right="567"/>
        <w:contextualSpacing/>
        <w:jc w:val="both"/>
        <w:rPr>
          <w:rFonts w:ascii="Palatino Linotype" w:hAnsi="Palatino Linotype"/>
          <w:bCs/>
          <w:i/>
          <w:sz w:val="22"/>
          <w:szCs w:val="22"/>
        </w:rPr>
      </w:pPr>
      <w:r w:rsidRPr="00BB005D">
        <w:rPr>
          <w:rFonts w:ascii="Palatino Linotype" w:hAnsi="Palatino Linotype"/>
          <w:bCs/>
          <w:i/>
          <w:sz w:val="22"/>
          <w:szCs w:val="22"/>
        </w:rPr>
        <w:t>III. No actualice alguno de los supuest</w:t>
      </w:r>
      <w:r>
        <w:rPr>
          <w:rFonts w:ascii="Palatino Linotype" w:hAnsi="Palatino Linotype"/>
          <w:bCs/>
          <w:i/>
          <w:sz w:val="22"/>
          <w:szCs w:val="22"/>
        </w:rPr>
        <w:t>os previstos en la presente Ley…” (Sic)</w:t>
      </w:r>
    </w:p>
    <w:p w:rsidR="00E00219" w:rsidRDefault="00E00219" w:rsidP="00E00219">
      <w:pPr>
        <w:spacing w:line="360" w:lineRule="auto"/>
        <w:jc w:val="both"/>
        <w:rPr>
          <w:rFonts w:ascii="Palatino Linotype" w:eastAsia="Palatino Linotype" w:hAnsi="Palatino Linotype" w:cs="Palatino Linotype"/>
          <w:b/>
        </w:rPr>
      </w:pPr>
    </w:p>
    <w:p w:rsidR="00344F56" w:rsidRDefault="00344F56" w:rsidP="00344F56">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con fundamento en lo prescrito en los artículos 5 párrafos trigésimo, trigésimo primero y trigésimo segundo de la Constitución Política del Estado Libre y Soberano de México; 2, fracción II; 29, 36 fracciones I y II; 176, 178, 181, 185 y 186 fracción II de </w:t>
      </w:r>
      <w:r>
        <w:rPr>
          <w:rFonts w:ascii="Palatino Linotype" w:eastAsia="Palatino Linotype" w:hAnsi="Palatino Linotype" w:cs="Palatino Linotype"/>
        </w:rPr>
        <w:lastRenderedPageBreak/>
        <w:t>la Ley de Transparencia y Acceso a la Información Pública del Estado de México y Municipios, este Pleno:</w:t>
      </w:r>
    </w:p>
    <w:p w:rsidR="00344F56" w:rsidRDefault="00344F56" w:rsidP="00344F56">
      <w:pPr>
        <w:spacing w:before="240" w:line="360" w:lineRule="auto"/>
        <w:ind w:left="360"/>
        <w:jc w:val="center"/>
        <w:rPr>
          <w:rFonts w:ascii="Palatino Linotype" w:eastAsia="Palatino Linotype" w:hAnsi="Palatino Linotype" w:cs="Palatino Linotype"/>
          <w:b/>
        </w:rPr>
      </w:pPr>
      <w:r>
        <w:rPr>
          <w:rFonts w:ascii="Palatino Linotype" w:eastAsia="Palatino Linotype" w:hAnsi="Palatino Linotype" w:cs="Palatino Linotype"/>
          <w:b/>
        </w:rPr>
        <w:t>III.R E S U E L V E:</w:t>
      </w:r>
    </w:p>
    <w:p w:rsidR="00344F56" w:rsidRDefault="00344F56" w:rsidP="0086042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highlight w:val="white"/>
        </w:rPr>
        <w:t>Primero</w:t>
      </w:r>
      <w:r>
        <w:rPr>
          <w:rFonts w:ascii="Palatino Linotype" w:eastAsia="Palatino Linotype" w:hAnsi="Palatino Linotype" w:cs="Palatino Linotype"/>
          <w:highlight w:val="white"/>
        </w:rPr>
        <w:t xml:space="preserve">. Se </w:t>
      </w:r>
      <w:r>
        <w:rPr>
          <w:rFonts w:ascii="Palatino Linotype" w:eastAsia="Palatino Linotype" w:hAnsi="Palatino Linotype" w:cs="Palatino Linotype"/>
          <w:b/>
          <w:highlight w:val="white"/>
        </w:rPr>
        <w:t>SOBRESEE</w:t>
      </w:r>
      <w:r>
        <w:rPr>
          <w:rFonts w:ascii="Palatino Linotype" w:eastAsia="Palatino Linotype" w:hAnsi="Palatino Linotype" w:cs="Palatino Linotype"/>
          <w:highlight w:val="white"/>
        </w:rPr>
        <w:t xml:space="preserve"> el recurso de revisión número </w:t>
      </w:r>
      <w:r w:rsidR="009A6885">
        <w:rPr>
          <w:rFonts w:ascii="Palatino Linotype" w:eastAsia="Palatino Linotype" w:hAnsi="Palatino Linotype" w:cs="Palatino Linotype"/>
          <w:b/>
          <w:highlight w:val="white"/>
        </w:rPr>
        <w:t>05444</w:t>
      </w:r>
      <w:r>
        <w:rPr>
          <w:rFonts w:ascii="Palatino Linotype" w:eastAsia="Palatino Linotype" w:hAnsi="Palatino Linotype" w:cs="Palatino Linotype"/>
          <w:b/>
          <w:highlight w:val="white"/>
        </w:rPr>
        <w:t>/INFOEM/IP/RR/2022</w:t>
      </w:r>
      <w:r>
        <w:rPr>
          <w:rFonts w:ascii="Palatino Linotype" w:eastAsia="Palatino Linotype" w:hAnsi="Palatino Linotype" w:cs="Palatino Linotype"/>
          <w:b/>
        </w:rPr>
        <w:t>,</w:t>
      </w:r>
      <w:r>
        <w:rPr>
          <w:rFonts w:ascii="Palatino Linotype" w:eastAsia="Palatino Linotype" w:hAnsi="Palatino Linotype" w:cs="Palatino Linotype"/>
        </w:rPr>
        <w:t xml:space="preserve"> porque al modificar la respuesta </w:t>
      </w:r>
      <w:r w:rsidR="00860425" w:rsidRPr="00860425">
        <w:rPr>
          <w:rFonts w:ascii="Palatino Linotype" w:eastAsia="Palatino Linotype" w:hAnsi="Palatino Linotype" w:cs="Palatino Linotype"/>
        </w:rPr>
        <w:t>el medio de impugnación quedó sin materia, de</w:t>
      </w:r>
      <w:r w:rsidR="00860425">
        <w:rPr>
          <w:rFonts w:ascii="Palatino Linotype" w:eastAsia="Palatino Linotype" w:hAnsi="Palatino Linotype" w:cs="Palatino Linotype"/>
        </w:rPr>
        <w:t xml:space="preserve"> </w:t>
      </w:r>
      <w:r w:rsidR="00860425" w:rsidRPr="00860425">
        <w:rPr>
          <w:rFonts w:ascii="Palatino Linotype" w:eastAsia="Palatino Linotype" w:hAnsi="Palatino Linotype" w:cs="Palatino Linotype"/>
        </w:rPr>
        <w:t>conformidad con lo previsto en el artícul</w:t>
      </w:r>
      <w:r w:rsidR="00860425">
        <w:rPr>
          <w:rFonts w:ascii="Palatino Linotype" w:eastAsia="Palatino Linotype" w:hAnsi="Palatino Linotype" w:cs="Palatino Linotype"/>
        </w:rPr>
        <w:t xml:space="preserve">o 192 fracción III de la Ley de </w:t>
      </w:r>
      <w:r w:rsidR="00860425" w:rsidRPr="00860425">
        <w:rPr>
          <w:rFonts w:ascii="Palatino Linotype" w:eastAsia="Palatino Linotype" w:hAnsi="Palatino Linotype" w:cs="Palatino Linotype"/>
        </w:rPr>
        <w:t>Transparencia y Acceso a la Información Pública del Estado de México y</w:t>
      </w:r>
      <w:r w:rsidR="00860425">
        <w:rPr>
          <w:rFonts w:ascii="Palatino Linotype" w:eastAsia="Palatino Linotype" w:hAnsi="Palatino Linotype" w:cs="Palatino Linotype"/>
        </w:rPr>
        <w:t xml:space="preserve"> </w:t>
      </w:r>
      <w:r w:rsidR="00860425" w:rsidRPr="00860425">
        <w:rPr>
          <w:rFonts w:ascii="Palatino Linotype" w:eastAsia="Palatino Linotype" w:hAnsi="Palatino Linotype" w:cs="Palatino Linotype"/>
        </w:rPr>
        <w:t>Municipios, en términos del Considerando Tercero de la presente resolución.</w:t>
      </w:r>
    </w:p>
    <w:p w:rsidR="00860425" w:rsidRDefault="00860425" w:rsidP="00860425">
      <w:pPr>
        <w:spacing w:line="360" w:lineRule="auto"/>
        <w:jc w:val="both"/>
        <w:rPr>
          <w:rFonts w:ascii="Palatino Linotype" w:eastAsia="Palatino Linotype" w:hAnsi="Palatino Linotype" w:cs="Palatino Linotype"/>
          <w:b/>
          <w:sz w:val="20"/>
          <w:szCs w:val="20"/>
        </w:rPr>
      </w:pPr>
    </w:p>
    <w:p w:rsidR="00344F56" w:rsidRDefault="00344F56" w:rsidP="00344F56">
      <w:pPr>
        <w:spacing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highlight w:val="white"/>
        </w:rPr>
        <w:t xml:space="preserve">Segundo. Notifíquese vía </w:t>
      </w:r>
      <w:r>
        <w:rPr>
          <w:rFonts w:ascii="Palatino Linotype" w:eastAsia="Palatino Linotype" w:hAnsi="Palatino Linotype" w:cs="Palatino Linotype"/>
        </w:rPr>
        <w:t>Sistema de Acceso a la Información Mexiquense (</w:t>
      </w:r>
      <w:r>
        <w:rPr>
          <w:rFonts w:ascii="Palatino Linotype" w:eastAsia="Palatino Linotype" w:hAnsi="Palatino Linotype" w:cs="Palatino Linotype"/>
          <w:b/>
          <w:highlight w:val="white"/>
        </w:rPr>
        <w:t>SAIMEX)</w:t>
      </w:r>
      <w:r>
        <w:rPr>
          <w:rFonts w:ascii="Palatino Linotype" w:eastAsia="Palatino Linotype" w:hAnsi="Palatino Linotype" w:cs="Palatino Linotype"/>
          <w:b/>
          <w:i/>
          <w:highlight w:val="white"/>
        </w:rPr>
        <w:t xml:space="preserve">, </w:t>
      </w:r>
      <w:r>
        <w:rPr>
          <w:rFonts w:ascii="Palatino Linotype" w:eastAsia="Palatino Linotype" w:hAnsi="Palatino Linotype" w:cs="Palatino Linotype"/>
          <w:highlight w:val="white"/>
        </w:rPr>
        <w:t xml:space="preserve">al Responsable de la Unidad de Transparencia del </w:t>
      </w:r>
      <w:r>
        <w:rPr>
          <w:rFonts w:ascii="Palatino Linotype" w:eastAsia="Palatino Linotype" w:hAnsi="Palatino Linotype" w:cs="Palatino Linotype"/>
          <w:b/>
          <w:highlight w:val="white"/>
        </w:rPr>
        <w:t>SUJETO OBLIGADO</w:t>
      </w:r>
      <w:r>
        <w:rPr>
          <w:rFonts w:ascii="Palatino Linotype" w:eastAsia="Palatino Linotype" w:hAnsi="Palatino Linotype" w:cs="Palatino Linotype"/>
          <w:highlight w:val="white"/>
        </w:rPr>
        <w:t xml:space="preserve"> la presente resolución, para su conocimiento. </w:t>
      </w:r>
    </w:p>
    <w:p w:rsidR="00344F56" w:rsidRDefault="00344F56" w:rsidP="00344F56">
      <w:pPr>
        <w:spacing w:line="360" w:lineRule="auto"/>
        <w:jc w:val="both"/>
        <w:rPr>
          <w:rFonts w:ascii="Palatino Linotype" w:eastAsia="Palatino Linotype" w:hAnsi="Palatino Linotype" w:cs="Palatino Linotype"/>
          <w:highlight w:val="white"/>
        </w:rPr>
      </w:pPr>
    </w:p>
    <w:p w:rsidR="00344F56" w:rsidRDefault="00344F56" w:rsidP="00344F56">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Notifíquese a través </w:t>
      </w:r>
      <w:r>
        <w:rPr>
          <w:rFonts w:ascii="Palatino Linotype" w:eastAsia="Palatino Linotype" w:hAnsi="Palatino Linotype" w:cs="Palatino Linotype"/>
        </w:rPr>
        <w:t>del Sistema de Acceso a la Información Mexiquense</w:t>
      </w:r>
      <w:r>
        <w:rPr>
          <w:rFonts w:ascii="Palatino Linotype" w:eastAsia="Palatino Linotype" w:hAnsi="Palatino Linotype" w:cs="Palatino Linotype"/>
          <w:color w:val="980000"/>
          <w:highlight w:val="green"/>
        </w:rPr>
        <w:t xml:space="preserve"> </w:t>
      </w:r>
      <w:r>
        <w:rPr>
          <w:rFonts w:ascii="Palatino Linotype" w:eastAsia="Palatino Linotype" w:hAnsi="Palatino Linotype" w:cs="Palatino Linotype"/>
        </w:rPr>
        <w:t xml:space="preserve">al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impugnarla en la vía Juicio de Amparo en los términos de las leyes aplicables.</w:t>
      </w:r>
    </w:p>
    <w:p w:rsidR="00714228" w:rsidRDefault="00D23B6E">
      <w:pPr>
        <w:spacing w:before="240" w:after="240" w:line="360" w:lineRule="auto"/>
        <w:jc w:val="both"/>
        <w:rPr>
          <w:rFonts w:ascii="Palatino Linotype" w:eastAsia="Palatino Linotype" w:hAnsi="Palatino Linotype" w:cs="Palatino Linotype"/>
        </w:rPr>
      </w:pPr>
      <w:bookmarkStart w:id="4" w:name="_heading=h.3rdcrjn" w:colFirst="0" w:colLast="0"/>
      <w:bookmarkEnd w:id="4"/>
      <w:r>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w:t>
      </w:r>
      <w:r>
        <w:rPr>
          <w:rFonts w:ascii="Palatino Linotype" w:eastAsia="Palatino Linotype" w:hAnsi="Palatino Linotype" w:cs="Palatino Linotype"/>
        </w:rPr>
        <w:lastRenderedPageBreak/>
        <w:t xml:space="preserve">MUNICIPIOS, CONFORMADO POR LOS COMISIONADOS JOSÉ MARTÍNEZ VILCHIS, MARÍA DEL ROSARIO MEJÍA AYALA, SHARON CRISTINA MORALES MARTÍNEZ, LUIS GUSTAVO PARRA NORIEGA Y GUADALUPE RAMÍREZ PEÑA; EN LA VIGÉSIMA </w:t>
      </w:r>
      <w:r w:rsidR="009A6885">
        <w:rPr>
          <w:rFonts w:ascii="Palatino Linotype" w:eastAsia="Palatino Linotype" w:hAnsi="Palatino Linotype" w:cs="Palatino Linotype"/>
        </w:rPr>
        <w:t xml:space="preserve">OCTAVA </w:t>
      </w:r>
      <w:r>
        <w:rPr>
          <w:rFonts w:ascii="Palatino Linotype" w:eastAsia="Palatino Linotype" w:hAnsi="Palatino Linotype" w:cs="Palatino Linotype"/>
        </w:rPr>
        <w:t>SESIÓ</w:t>
      </w:r>
      <w:r w:rsidR="009A6885">
        <w:rPr>
          <w:rFonts w:ascii="Palatino Linotype" w:eastAsia="Palatino Linotype" w:hAnsi="Palatino Linotype" w:cs="Palatino Linotype"/>
        </w:rPr>
        <w:t>N ORDINARIA CELEBRADA EL DIEZ DE AGOSTO</w:t>
      </w:r>
      <w:r>
        <w:rPr>
          <w:rFonts w:ascii="Palatino Linotype" w:eastAsia="Palatino Linotype" w:hAnsi="Palatino Linotype" w:cs="Palatino Linotype"/>
        </w:rPr>
        <w:t xml:space="preserve"> DE DOS MIL VEINTIDÓS, ANTE EL </w:t>
      </w:r>
      <w:r w:rsidR="00714228">
        <w:rPr>
          <w:rFonts w:ascii="Palatino Linotype" w:eastAsia="Palatino Linotype" w:hAnsi="Palatino Linotype" w:cs="Palatino Linotype"/>
          <w:noProof/>
          <w:lang w:val="en-US" w:eastAsia="en-US"/>
        </w:rPr>
        <mc:AlternateContent>
          <mc:Choice Requires="wps">
            <w:drawing>
              <wp:anchor distT="0" distB="0" distL="114300" distR="114300" simplePos="0" relativeHeight="251660288" behindDoc="0" locked="0" layoutInCell="1" allowOverlap="1">
                <wp:simplePos x="0" y="0"/>
                <wp:positionH relativeFrom="column">
                  <wp:posOffset>72803</wp:posOffset>
                </wp:positionH>
                <wp:positionV relativeFrom="paragraph">
                  <wp:posOffset>1986445</wp:posOffset>
                </wp:positionV>
                <wp:extent cx="5383033" cy="4826441"/>
                <wp:effectExtent l="38100" t="19050" r="65405" b="88900"/>
                <wp:wrapNone/>
                <wp:docPr id="5" name="Conector recto 5"/>
                <wp:cNvGraphicFramePr/>
                <a:graphic xmlns:a="http://schemas.openxmlformats.org/drawingml/2006/main">
                  <a:graphicData uri="http://schemas.microsoft.com/office/word/2010/wordprocessingShape">
                    <wps:wsp>
                      <wps:cNvCnPr/>
                      <wps:spPr>
                        <a:xfrm>
                          <a:off x="0" y="0"/>
                          <a:ext cx="5383033" cy="4826441"/>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13F3738" id="Conector recto 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5.75pt,156.4pt" to="429.6pt,5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" strokecolor="black [3200]" strokeweight="2pt">
                <v:shadow on="t" color="black" opacity="24903f" origin=",.5" offset="0,.55556mm"/>
              </v:line>
            </w:pict>
          </mc:Fallback>
        </mc:AlternateContent>
      </w:r>
      <w:r>
        <w:rPr>
          <w:rFonts w:ascii="Palatino Linotype" w:eastAsia="Palatino Linotype" w:hAnsi="Palatino Linotype" w:cs="Palatino Linotype"/>
        </w:rPr>
        <w:t>SECRETARIO TÉCNICO DEL PLENO ALEXIS TAPIA RAMÍREZ.</w:t>
      </w:r>
    </w:p>
    <w:p w:rsidR="00714228" w:rsidRPr="00714228" w:rsidRDefault="00714228" w:rsidP="00714228">
      <w:pPr>
        <w:rPr>
          <w:rFonts w:ascii="Palatino Linotype" w:eastAsia="Palatino Linotype" w:hAnsi="Palatino Linotype" w:cs="Palatino Linotype"/>
        </w:rPr>
      </w:pPr>
    </w:p>
    <w:p w:rsidR="00714228" w:rsidRPr="00714228" w:rsidRDefault="00714228" w:rsidP="00714228">
      <w:pPr>
        <w:rPr>
          <w:rFonts w:ascii="Palatino Linotype" w:eastAsia="Palatino Linotype" w:hAnsi="Palatino Linotype" w:cs="Palatino Linotype"/>
        </w:rPr>
      </w:pPr>
    </w:p>
    <w:p w:rsidR="00714228" w:rsidRPr="00714228" w:rsidRDefault="00714228" w:rsidP="00714228">
      <w:pPr>
        <w:rPr>
          <w:rFonts w:ascii="Palatino Linotype" w:eastAsia="Palatino Linotype" w:hAnsi="Palatino Linotype" w:cs="Palatino Linotype"/>
        </w:rPr>
      </w:pPr>
    </w:p>
    <w:p w:rsidR="00714228" w:rsidRPr="00714228" w:rsidRDefault="00714228" w:rsidP="00714228">
      <w:pPr>
        <w:rPr>
          <w:rFonts w:ascii="Palatino Linotype" w:eastAsia="Palatino Linotype" w:hAnsi="Palatino Linotype" w:cs="Palatino Linotype"/>
        </w:rPr>
      </w:pPr>
    </w:p>
    <w:p w:rsidR="00714228" w:rsidRPr="00714228" w:rsidRDefault="00714228" w:rsidP="00714228">
      <w:pPr>
        <w:rPr>
          <w:rFonts w:ascii="Palatino Linotype" w:eastAsia="Palatino Linotype" w:hAnsi="Palatino Linotype" w:cs="Palatino Linotype"/>
        </w:rPr>
      </w:pPr>
    </w:p>
    <w:p w:rsidR="00714228" w:rsidRPr="00714228" w:rsidRDefault="00714228" w:rsidP="00714228">
      <w:pPr>
        <w:rPr>
          <w:rFonts w:ascii="Palatino Linotype" w:eastAsia="Palatino Linotype" w:hAnsi="Palatino Linotype" w:cs="Palatino Linotype"/>
        </w:rPr>
      </w:pPr>
    </w:p>
    <w:p w:rsidR="00714228" w:rsidRPr="00714228" w:rsidRDefault="00714228" w:rsidP="00714228">
      <w:pPr>
        <w:rPr>
          <w:rFonts w:ascii="Palatino Linotype" w:eastAsia="Palatino Linotype" w:hAnsi="Palatino Linotype" w:cs="Palatino Linotype"/>
        </w:rPr>
      </w:pPr>
    </w:p>
    <w:p w:rsidR="00714228" w:rsidRPr="00714228" w:rsidRDefault="00714228" w:rsidP="00714228">
      <w:pPr>
        <w:rPr>
          <w:rFonts w:ascii="Palatino Linotype" w:eastAsia="Palatino Linotype" w:hAnsi="Palatino Linotype" w:cs="Palatino Linotype"/>
        </w:rPr>
      </w:pPr>
    </w:p>
    <w:p w:rsidR="00714228" w:rsidRPr="00714228" w:rsidRDefault="00714228" w:rsidP="00714228">
      <w:pPr>
        <w:rPr>
          <w:rFonts w:ascii="Palatino Linotype" w:eastAsia="Palatino Linotype" w:hAnsi="Palatino Linotype" w:cs="Palatino Linotype"/>
        </w:rPr>
      </w:pPr>
    </w:p>
    <w:p w:rsidR="00714228" w:rsidRPr="00714228" w:rsidRDefault="00714228" w:rsidP="00714228">
      <w:pPr>
        <w:rPr>
          <w:rFonts w:ascii="Palatino Linotype" w:eastAsia="Palatino Linotype" w:hAnsi="Palatino Linotype" w:cs="Palatino Linotype"/>
        </w:rPr>
      </w:pPr>
    </w:p>
    <w:p w:rsidR="00714228" w:rsidRPr="00714228" w:rsidRDefault="00714228" w:rsidP="00714228">
      <w:pPr>
        <w:rPr>
          <w:rFonts w:ascii="Palatino Linotype" w:eastAsia="Palatino Linotype" w:hAnsi="Palatino Linotype" w:cs="Palatino Linotype"/>
        </w:rPr>
      </w:pPr>
    </w:p>
    <w:p w:rsidR="00714228" w:rsidRDefault="00714228" w:rsidP="00714228">
      <w:pPr>
        <w:rPr>
          <w:rFonts w:ascii="Palatino Linotype" w:eastAsia="Palatino Linotype" w:hAnsi="Palatino Linotype" w:cs="Palatino Linotype"/>
        </w:rPr>
      </w:pPr>
    </w:p>
    <w:p w:rsidR="00714228" w:rsidRDefault="00714228" w:rsidP="00714228">
      <w:pPr>
        <w:tabs>
          <w:tab w:val="left" w:pos="2191"/>
        </w:tabs>
        <w:rPr>
          <w:rFonts w:ascii="Palatino Linotype" w:eastAsia="Palatino Linotype" w:hAnsi="Palatino Linotype" w:cs="Palatino Linotype"/>
        </w:rPr>
        <w:sectPr w:rsidR="00714228">
          <w:headerReference w:type="default" r:id="rId16"/>
          <w:footerReference w:type="default" r:id="rId17"/>
          <w:headerReference w:type="first" r:id="rId18"/>
          <w:footerReference w:type="first" r:id="rId19"/>
          <w:pgSz w:w="12240" w:h="15840"/>
          <w:pgMar w:top="1985" w:right="1701" w:bottom="1701" w:left="1701" w:header="709" w:footer="709" w:gutter="0"/>
          <w:pgNumType w:start="1"/>
          <w:cols w:space="720"/>
          <w:titlePg/>
        </w:sectPr>
      </w:pPr>
      <w:r>
        <w:rPr>
          <w:rFonts w:ascii="Palatino Linotype" w:eastAsia="Palatino Linotype" w:hAnsi="Palatino Linotype" w:cs="Palatino Linotype"/>
        </w:rPr>
        <w:tab/>
      </w:r>
    </w:p>
    <w:p w:rsidR="00C8730C" w:rsidRPr="00714228" w:rsidRDefault="00C8730C" w:rsidP="00714228">
      <w:pPr>
        <w:tabs>
          <w:tab w:val="left" w:pos="2191"/>
        </w:tabs>
        <w:rPr>
          <w:rFonts w:ascii="Palatino Linotype" w:eastAsia="Palatino Linotype" w:hAnsi="Palatino Linotype" w:cs="Palatino Linotype"/>
        </w:rPr>
      </w:pPr>
      <w:bookmarkStart w:id="5" w:name="_GoBack"/>
      <w:bookmarkEnd w:id="5"/>
    </w:p>
    <w:sectPr w:rsidR="00C8730C" w:rsidRPr="00714228">
      <w:headerReference w:type="first" r:id="rId20"/>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416B" w:rsidRDefault="00AF416B">
      <w:r>
        <w:separator/>
      </w:r>
    </w:p>
  </w:endnote>
  <w:endnote w:type="continuationSeparator" w:id="0">
    <w:p w:rsidR="00AF416B" w:rsidRDefault="00AF41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Yu Gothic UI"/>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241D" w:rsidRDefault="00FF241D">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714228">
      <w:rPr>
        <w:rFonts w:ascii="Palatino Linotype" w:eastAsia="Palatino Linotype" w:hAnsi="Palatino Linotype" w:cs="Palatino Linotype"/>
        <w:b/>
        <w:noProof/>
        <w:color w:val="000000"/>
        <w:sz w:val="20"/>
        <w:szCs w:val="20"/>
      </w:rPr>
      <w:t>13</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714228">
      <w:rPr>
        <w:rFonts w:ascii="Palatino Linotype" w:eastAsia="Palatino Linotype" w:hAnsi="Palatino Linotype" w:cs="Palatino Linotype"/>
        <w:b/>
        <w:noProof/>
        <w:color w:val="000000"/>
        <w:sz w:val="20"/>
        <w:szCs w:val="20"/>
      </w:rPr>
      <w:t>28</w:t>
    </w:r>
    <w:r>
      <w:rPr>
        <w:rFonts w:ascii="Palatino Linotype" w:eastAsia="Palatino Linotype" w:hAnsi="Palatino Linotype" w:cs="Palatino Linotype"/>
        <w:b/>
        <w:color w:val="000000"/>
        <w:sz w:val="20"/>
        <w:szCs w:val="20"/>
      </w:rPr>
      <w:fldChar w:fldCharType="end"/>
    </w:r>
  </w:p>
  <w:p w:rsidR="00FF241D" w:rsidRDefault="00FF241D">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241D" w:rsidRDefault="00FF241D">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sidR="00714228">
      <w:rPr>
        <w:rFonts w:ascii="Palatino Linotype" w:eastAsia="Palatino Linotype" w:hAnsi="Palatino Linotype" w:cs="Palatino Linotype"/>
        <w:b/>
        <w:color w:val="000000"/>
        <w:sz w:val="20"/>
        <w:szCs w:val="20"/>
      </w:rPr>
      <w:t>28</w:t>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714228">
      <w:rPr>
        <w:rFonts w:ascii="Palatino Linotype" w:eastAsia="Palatino Linotype" w:hAnsi="Palatino Linotype" w:cs="Palatino Linotype"/>
        <w:b/>
        <w:noProof/>
        <w:color w:val="000000"/>
        <w:sz w:val="20"/>
        <w:szCs w:val="20"/>
      </w:rPr>
      <w:t>28</w:t>
    </w:r>
    <w:r>
      <w:rPr>
        <w:rFonts w:ascii="Palatino Linotype" w:eastAsia="Palatino Linotype" w:hAnsi="Palatino Linotype" w:cs="Palatino Linotype"/>
        <w:b/>
        <w:color w:val="000000"/>
        <w:sz w:val="20"/>
        <w:szCs w:val="20"/>
      </w:rPr>
      <w:fldChar w:fldCharType="end"/>
    </w:r>
  </w:p>
  <w:p w:rsidR="00FF241D" w:rsidRDefault="00FF241D">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416B" w:rsidRDefault="00AF416B">
      <w:r>
        <w:separator/>
      </w:r>
    </w:p>
  </w:footnote>
  <w:footnote w:type="continuationSeparator" w:id="0">
    <w:p w:rsidR="00AF416B" w:rsidRDefault="00AF416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7307" w:rsidRDefault="00A77307">
    <w:pPr>
      <w:rPr>
        <w:rFonts w:ascii="Cambria" w:eastAsia="Cambria" w:hAnsi="Cambria" w:cs="Cambria"/>
        <w:color w:val="000000"/>
      </w:rPr>
    </w:pPr>
    <w:r>
      <w:rPr>
        <w:noProof/>
        <w:lang w:val="en-US" w:eastAsia="en-US"/>
      </w:rPr>
      <w:drawing>
        <wp:anchor distT="0" distB="0" distL="0" distR="0" simplePos="0" relativeHeight="251658240" behindDoc="1" locked="0" layoutInCell="1" hidden="0" allowOverlap="1">
          <wp:simplePos x="0" y="0"/>
          <wp:positionH relativeFrom="column">
            <wp:posOffset>-1080133</wp:posOffset>
          </wp:positionH>
          <wp:positionV relativeFrom="paragraph">
            <wp:posOffset>-488313</wp:posOffset>
          </wp:positionV>
          <wp:extent cx="7809865" cy="10165715"/>
          <wp:effectExtent l="0" t="0" r="0" b="0"/>
          <wp:wrapNone/>
          <wp:docPr id="5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1"/>
      <w:tblW w:w="5953" w:type="dxa"/>
      <w:tblInd w:w="3261" w:type="dxa"/>
      <w:tblLayout w:type="fixed"/>
      <w:tblLook w:val="0400" w:firstRow="0" w:lastRow="0" w:firstColumn="0" w:lastColumn="0" w:noHBand="0" w:noVBand="1"/>
    </w:tblPr>
    <w:tblGrid>
      <w:gridCol w:w="2489"/>
      <w:gridCol w:w="3464"/>
    </w:tblGrid>
    <w:tr w:rsidR="00FF241D">
      <w:tc>
        <w:tcPr>
          <w:tcW w:w="2489" w:type="dxa"/>
          <w:shd w:val="clear" w:color="auto" w:fill="auto"/>
        </w:tcPr>
        <w:p w:rsidR="00FF241D" w:rsidRDefault="00FF241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rsidR="00FF241D" w:rsidRDefault="00081AE0">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05444</w:t>
          </w:r>
          <w:r w:rsidR="00FF241D">
            <w:rPr>
              <w:rFonts w:ascii="Palatino Linotype" w:eastAsia="Palatino Linotype" w:hAnsi="Palatino Linotype" w:cs="Palatino Linotype"/>
              <w:b/>
              <w:sz w:val="22"/>
              <w:szCs w:val="22"/>
            </w:rPr>
            <w:t>/INFOEM/IP/RR/2022</w:t>
          </w:r>
        </w:p>
      </w:tc>
    </w:tr>
    <w:tr w:rsidR="00FF241D">
      <w:trPr>
        <w:trHeight w:val="228"/>
      </w:trPr>
      <w:tc>
        <w:tcPr>
          <w:tcW w:w="2489" w:type="dxa"/>
          <w:shd w:val="clear" w:color="auto" w:fill="auto"/>
          <w:vAlign w:val="center"/>
        </w:tcPr>
        <w:p w:rsidR="00FF241D" w:rsidRDefault="00FF241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rsidR="00FF241D" w:rsidRDefault="00081AE0">
          <w:pPr>
            <w:ind w:left="-45" w:right="176"/>
            <w:jc w:val="both"/>
            <w:rPr>
              <w:rFonts w:ascii="Palatino Linotype" w:eastAsia="Palatino Linotype" w:hAnsi="Palatino Linotype" w:cs="Palatino Linotype"/>
              <w:b/>
              <w:sz w:val="22"/>
              <w:szCs w:val="22"/>
            </w:rPr>
          </w:pPr>
          <w:r w:rsidRPr="00081AE0">
            <w:rPr>
              <w:rFonts w:ascii="Palatino Linotype" w:eastAsia="Palatino Linotype" w:hAnsi="Palatino Linotype" w:cs="Palatino Linotype"/>
              <w:b/>
              <w:sz w:val="22"/>
              <w:szCs w:val="22"/>
            </w:rPr>
            <w:t>Organismo Público Descentralizado para la Prestación de Los Servicios de Agua Potable Alcantarillado y Saneamiento del Municipio de Metepec</w:t>
          </w:r>
          <w:r>
            <w:rPr>
              <w:rFonts w:ascii="Palatino Linotype" w:eastAsia="Palatino Linotype" w:hAnsi="Palatino Linotype" w:cs="Palatino Linotype"/>
              <w:b/>
              <w:sz w:val="22"/>
              <w:szCs w:val="22"/>
            </w:rPr>
            <w:t>.</w:t>
          </w:r>
        </w:p>
      </w:tc>
    </w:tr>
    <w:tr w:rsidR="00FF241D">
      <w:tc>
        <w:tcPr>
          <w:tcW w:w="2489" w:type="dxa"/>
          <w:shd w:val="clear" w:color="auto" w:fill="auto"/>
          <w:vAlign w:val="center"/>
        </w:tcPr>
        <w:p w:rsidR="00FF241D" w:rsidRDefault="00FF241D">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rsidR="00FF241D" w:rsidRDefault="00FF241D">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A77307" w:rsidRDefault="00A77307">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241D" w:rsidRDefault="00FF241D">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2"/>
      <w:tblW w:w="5670" w:type="dxa"/>
      <w:tblInd w:w="3261" w:type="dxa"/>
      <w:tblLayout w:type="fixed"/>
      <w:tblLook w:val="0400" w:firstRow="0" w:lastRow="0" w:firstColumn="0" w:lastColumn="0" w:noHBand="0" w:noVBand="1"/>
    </w:tblPr>
    <w:tblGrid>
      <w:gridCol w:w="2551"/>
      <w:gridCol w:w="3119"/>
    </w:tblGrid>
    <w:tr w:rsidR="00FF241D">
      <w:tc>
        <w:tcPr>
          <w:tcW w:w="2551" w:type="dxa"/>
          <w:shd w:val="clear" w:color="auto" w:fill="auto"/>
          <w:vAlign w:val="center"/>
        </w:tcPr>
        <w:p w:rsidR="00FF241D" w:rsidRDefault="00FF241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rsidR="00FF241D" w:rsidRDefault="00081AE0">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05444</w:t>
          </w:r>
          <w:r w:rsidR="00FF241D">
            <w:rPr>
              <w:rFonts w:ascii="Palatino Linotype" w:eastAsia="Palatino Linotype" w:hAnsi="Palatino Linotype" w:cs="Palatino Linotype"/>
              <w:b/>
              <w:sz w:val="22"/>
              <w:szCs w:val="22"/>
            </w:rPr>
            <w:t>/INFOEM/IP/RR/2022</w:t>
          </w:r>
        </w:p>
      </w:tc>
    </w:tr>
    <w:tr w:rsidR="00FF241D">
      <w:trPr>
        <w:trHeight w:val="130"/>
      </w:trPr>
      <w:tc>
        <w:tcPr>
          <w:tcW w:w="2551" w:type="dxa"/>
          <w:shd w:val="clear" w:color="auto" w:fill="auto"/>
          <w:vAlign w:val="center"/>
        </w:tcPr>
        <w:p w:rsidR="00FF241D" w:rsidRDefault="00FF241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rsidR="00FF241D" w:rsidRDefault="00FF241D">
          <w:pPr>
            <w:ind w:left="-45" w:right="176"/>
            <w:jc w:val="both"/>
            <w:rPr>
              <w:rFonts w:ascii="Palatino Linotype" w:eastAsia="Palatino Linotype" w:hAnsi="Palatino Linotype" w:cs="Palatino Linotype"/>
              <w:b/>
              <w:sz w:val="22"/>
              <w:szCs w:val="22"/>
            </w:rPr>
          </w:pPr>
        </w:p>
      </w:tc>
    </w:tr>
    <w:tr w:rsidR="00FF241D">
      <w:trPr>
        <w:trHeight w:val="228"/>
      </w:trPr>
      <w:tc>
        <w:tcPr>
          <w:tcW w:w="2551" w:type="dxa"/>
          <w:shd w:val="clear" w:color="auto" w:fill="auto"/>
          <w:vAlign w:val="center"/>
        </w:tcPr>
        <w:p w:rsidR="00FF241D" w:rsidRDefault="00FF241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rsidR="00FF241D" w:rsidRDefault="00081AE0" w:rsidP="00567E32">
          <w:pPr>
            <w:ind w:left="-45" w:right="27"/>
            <w:jc w:val="both"/>
            <w:rPr>
              <w:rFonts w:ascii="Palatino Linotype" w:eastAsia="Palatino Linotype" w:hAnsi="Palatino Linotype" w:cs="Palatino Linotype"/>
              <w:b/>
              <w:sz w:val="22"/>
              <w:szCs w:val="22"/>
            </w:rPr>
          </w:pPr>
          <w:r w:rsidRPr="00081AE0">
            <w:rPr>
              <w:rFonts w:ascii="Palatino Linotype" w:eastAsia="Palatino Linotype" w:hAnsi="Palatino Linotype" w:cs="Palatino Linotype"/>
              <w:b/>
              <w:sz w:val="22"/>
              <w:szCs w:val="22"/>
            </w:rPr>
            <w:t>Organismo Público Descentralizado para la Prestación de Los Servicios de Agua Potable Alcantarillado y Saneamiento del Municipio de Metepec</w:t>
          </w:r>
          <w:r w:rsidR="00FF241D">
            <w:rPr>
              <w:rFonts w:ascii="Palatino Linotype" w:eastAsia="Palatino Linotype" w:hAnsi="Palatino Linotype" w:cs="Palatino Linotype"/>
              <w:b/>
              <w:sz w:val="22"/>
              <w:szCs w:val="22"/>
            </w:rPr>
            <w:t>.</w:t>
          </w:r>
        </w:p>
      </w:tc>
    </w:tr>
    <w:tr w:rsidR="00FF241D">
      <w:tc>
        <w:tcPr>
          <w:tcW w:w="2551" w:type="dxa"/>
          <w:shd w:val="clear" w:color="auto" w:fill="auto"/>
          <w:vAlign w:val="center"/>
        </w:tcPr>
        <w:p w:rsidR="00FF241D" w:rsidRDefault="00FF241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rsidR="00FF241D" w:rsidRDefault="00FF241D" w:rsidP="00567E32">
          <w:pPr>
            <w:ind w:left="-4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FF241D" w:rsidRDefault="00FF241D">
    <w:pPr>
      <w:pBdr>
        <w:top w:val="nil"/>
        <w:left w:val="nil"/>
        <w:bottom w:val="nil"/>
        <w:right w:val="nil"/>
        <w:between w:val="nil"/>
      </w:pBdr>
      <w:tabs>
        <w:tab w:val="center" w:pos="4252"/>
        <w:tab w:val="right" w:pos="8504"/>
      </w:tabs>
      <w:rPr>
        <w:rFonts w:ascii="Cambria" w:eastAsia="Cambria" w:hAnsi="Cambria" w:cs="Cambria"/>
        <w:color w:val="000000"/>
      </w:rPr>
    </w:pPr>
    <w:r>
      <w:rPr>
        <w:noProof/>
        <w:lang w:val="en-US" w:eastAsia="en-US"/>
      </w:rPr>
      <w:drawing>
        <wp:anchor distT="0" distB="0" distL="0" distR="0" simplePos="0" relativeHeight="251659264" behindDoc="1" locked="0" layoutInCell="1" hidden="0" allowOverlap="1">
          <wp:simplePos x="0" y="0"/>
          <wp:positionH relativeFrom="column">
            <wp:posOffset>-1089658</wp:posOffset>
          </wp:positionH>
          <wp:positionV relativeFrom="paragraph">
            <wp:posOffset>-1169668</wp:posOffset>
          </wp:positionV>
          <wp:extent cx="7809865" cy="10165715"/>
          <wp:effectExtent l="0" t="0" r="0" b="0"/>
          <wp:wrapNone/>
          <wp:docPr id="4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228" w:rsidRDefault="00714228">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p w:rsidR="00714228" w:rsidRDefault="00714228">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2B7442"/>
    <w:multiLevelType w:val="multilevel"/>
    <w:tmpl w:val="C9DC72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B1B1637"/>
    <w:multiLevelType w:val="multilevel"/>
    <w:tmpl w:val="ED00A78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15:restartNumberingAfterBreak="0">
    <w:nsid w:val="44D26845"/>
    <w:multiLevelType w:val="hybridMultilevel"/>
    <w:tmpl w:val="501234BE"/>
    <w:lvl w:ilvl="0" w:tplc="E92610E8">
      <w:start w:val="1"/>
      <w:numFmt w:val="upperRoman"/>
      <w:lvlText w:val="%1."/>
      <w:lvlJc w:val="left"/>
      <w:pPr>
        <w:ind w:left="1712" w:hanging="720"/>
      </w:pPr>
      <w:rPr>
        <w:rFonts w:hint="default"/>
        <w:color w:val="FF0000"/>
      </w:rPr>
    </w:lvl>
    <w:lvl w:ilvl="1" w:tplc="080A0019" w:tentative="1">
      <w:start w:val="1"/>
      <w:numFmt w:val="lowerLetter"/>
      <w:lvlText w:val="%2."/>
      <w:lvlJc w:val="left"/>
      <w:pPr>
        <w:ind w:left="2072" w:hanging="360"/>
      </w:pPr>
    </w:lvl>
    <w:lvl w:ilvl="2" w:tplc="080A001B" w:tentative="1">
      <w:start w:val="1"/>
      <w:numFmt w:val="lowerRoman"/>
      <w:lvlText w:val="%3."/>
      <w:lvlJc w:val="right"/>
      <w:pPr>
        <w:ind w:left="2792" w:hanging="180"/>
      </w:pPr>
    </w:lvl>
    <w:lvl w:ilvl="3" w:tplc="080A000F" w:tentative="1">
      <w:start w:val="1"/>
      <w:numFmt w:val="decimal"/>
      <w:lvlText w:val="%4."/>
      <w:lvlJc w:val="left"/>
      <w:pPr>
        <w:ind w:left="3512" w:hanging="360"/>
      </w:pPr>
    </w:lvl>
    <w:lvl w:ilvl="4" w:tplc="080A0019" w:tentative="1">
      <w:start w:val="1"/>
      <w:numFmt w:val="lowerLetter"/>
      <w:lvlText w:val="%5."/>
      <w:lvlJc w:val="left"/>
      <w:pPr>
        <w:ind w:left="4232" w:hanging="360"/>
      </w:pPr>
    </w:lvl>
    <w:lvl w:ilvl="5" w:tplc="080A001B" w:tentative="1">
      <w:start w:val="1"/>
      <w:numFmt w:val="lowerRoman"/>
      <w:lvlText w:val="%6."/>
      <w:lvlJc w:val="right"/>
      <w:pPr>
        <w:ind w:left="4952" w:hanging="180"/>
      </w:pPr>
    </w:lvl>
    <w:lvl w:ilvl="6" w:tplc="080A000F" w:tentative="1">
      <w:start w:val="1"/>
      <w:numFmt w:val="decimal"/>
      <w:lvlText w:val="%7."/>
      <w:lvlJc w:val="left"/>
      <w:pPr>
        <w:ind w:left="5672" w:hanging="360"/>
      </w:pPr>
    </w:lvl>
    <w:lvl w:ilvl="7" w:tplc="080A0019" w:tentative="1">
      <w:start w:val="1"/>
      <w:numFmt w:val="lowerLetter"/>
      <w:lvlText w:val="%8."/>
      <w:lvlJc w:val="left"/>
      <w:pPr>
        <w:ind w:left="6392" w:hanging="360"/>
      </w:pPr>
    </w:lvl>
    <w:lvl w:ilvl="8" w:tplc="080A001B" w:tentative="1">
      <w:start w:val="1"/>
      <w:numFmt w:val="lowerRoman"/>
      <w:lvlText w:val="%9."/>
      <w:lvlJc w:val="right"/>
      <w:pPr>
        <w:ind w:left="7112" w:hanging="180"/>
      </w:pPr>
    </w:lvl>
  </w:abstractNum>
  <w:abstractNum w:abstractNumId="3" w15:restartNumberingAfterBreak="0">
    <w:nsid w:val="51CC3A13"/>
    <w:multiLevelType w:val="hybridMultilevel"/>
    <w:tmpl w:val="3D8CA5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74262C2"/>
    <w:multiLevelType w:val="multilevel"/>
    <w:tmpl w:val="FCF26A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85409B5"/>
    <w:multiLevelType w:val="multilevel"/>
    <w:tmpl w:val="374CC6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AD76611"/>
    <w:multiLevelType w:val="multilevel"/>
    <w:tmpl w:val="E9A85F64"/>
    <w:lvl w:ilvl="0">
      <w:start w:val="1"/>
      <w:numFmt w:val="lowerLetter"/>
      <w:pStyle w:val="Listaconvietas3"/>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6"/>
  </w:num>
  <w:num w:numId="3">
    <w:abstractNumId w:val="4"/>
  </w:num>
  <w:num w:numId="4">
    <w:abstractNumId w:val="5"/>
  </w:num>
  <w:num w:numId="5">
    <w:abstractNumId w:val="1"/>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30C"/>
    <w:rsid w:val="00081AE0"/>
    <w:rsid w:val="00344F56"/>
    <w:rsid w:val="003A5F54"/>
    <w:rsid w:val="00546237"/>
    <w:rsid w:val="00567E32"/>
    <w:rsid w:val="005F5C11"/>
    <w:rsid w:val="00690783"/>
    <w:rsid w:val="00714228"/>
    <w:rsid w:val="00763B55"/>
    <w:rsid w:val="00860425"/>
    <w:rsid w:val="00917DAD"/>
    <w:rsid w:val="009A6885"/>
    <w:rsid w:val="00A25B28"/>
    <w:rsid w:val="00A35218"/>
    <w:rsid w:val="00A77307"/>
    <w:rsid w:val="00A9178B"/>
    <w:rsid w:val="00AF416B"/>
    <w:rsid w:val="00B309DE"/>
    <w:rsid w:val="00C8730C"/>
    <w:rsid w:val="00CE7E05"/>
    <w:rsid w:val="00D23B6E"/>
    <w:rsid w:val="00D51873"/>
    <w:rsid w:val="00D94A7A"/>
    <w:rsid w:val="00E00219"/>
    <w:rsid w:val="00E12EBB"/>
    <w:rsid w:val="00E14CE5"/>
    <w:rsid w:val="00E415DF"/>
    <w:rsid w:val="00F6574D"/>
    <w:rsid w:val="00F7048A"/>
    <w:rsid w:val="00FD7AD1"/>
    <w:rsid w:val="00FF241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B3D39FE"/>
  <w15:docId w15:val="{F2CCFC37-9B4E-40F2-BB5C-2273CB26A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8">
    <w:name w:val="8"/>
    <w:basedOn w:val="TableNormal1"/>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1"/>
    <w:tblPr>
      <w:tblStyleRowBandSize w:val="1"/>
      <w:tblStyleColBandSize w:val="1"/>
      <w:tblCellMar>
        <w:left w:w="115" w:type="dxa"/>
        <w:right w:w="115" w:type="dxa"/>
      </w:tblCellMar>
    </w:tblPr>
  </w:style>
  <w:style w:type="table" w:customStyle="1" w:styleId="6">
    <w:name w:val="6"/>
    <w:basedOn w:val="TableNormal1"/>
    <w:tblPr>
      <w:tblStyleRowBandSize w:val="1"/>
      <w:tblStyleColBandSize w:val="1"/>
      <w:tblCellMar>
        <w:left w:w="115" w:type="dxa"/>
        <w:right w:w="115" w:type="dxa"/>
      </w:tblCellMar>
    </w:tblPr>
  </w:style>
  <w:style w:type="table" w:customStyle="1" w:styleId="5">
    <w:name w:val="5"/>
    <w:basedOn w:val="TableNormal1"/>
    <w:tblPr>
      <w:tblStyleRowBandSize w:val="1"/>
      <w:tblStyleColBandSize w:val="1"/>
      <w:tblCellMar>
        <w:left w:w="108" w:type="dxa"/>
        <w:right w:w="108" w:type="dxa"/>
      </w:tblCellMar>
    </w:tblPr>
  </w:style>
  <w:style w:type="table" w:customStyle="1" w:styleId="4">
    <w:name w:val="4"/>
    <w:basedOn w:val="TableNormal1"/>
    <w:tblPr>
      <w:tblStyleRowBandSize w:val="1"/>
      <w:tblStyleColBandSize w:val="1"/>
      <w:tblCellMar>
        <w:left w:w="115" w:type="dxa"/>
        <w:right w:w="115" w:type="dxa"/>
      </w:tblCellMar>
    </w:tblPr>
  </w:style>
  <w:style w:type="table" w:customStyle="1" w:styleId="3">
    <w:name w:val="3"/>
    <w:basedOn w:val="TableNormal1"/>
    <w:tblPr>
      <w:tblStyleRowBandSize w:val="1"/>
      <w:tblStyleColBandSize w:val="1"/>
      <w:tblCellMar>
        <w:left w:w="115" w:type="dxa"/>
        <w:right w:w="115" w:type="dxa"/>
      </w:tblCellMar>
    </w:tblPr>
  </w:style>
  <w:style w:type="table" w:customStyle="1" w:styleId="2">
    <w:name w:val="2"/>
    <w:basedOn w:val="TableNormal1"/>
    <w:tblPr>
      <w:tblStyleRowBandSize w:val="1"/>
      <w:tblStyleColBandSize w:val="1"/>
      <w:tblCellMar>
        <w:left w:w="115" w:type="dxa"/>
        <w:right w:w="115" w:type="dxa"/>
      </w:tblCellMar>
    </w:tblPr>
  </w:style>
  <w:style w:type="table" w:customStyle="1" w:styleId="1">
    <w:name w:val="1"/>
    <w:basedOn w:val="TableNormal1"/>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11693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375938.page" TargetMode="Externa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saimex.org.mx/saimex/solicitud/downloadAttach/1521967.page" TargetMode="External"/><Relationship Id="rId14" Type="http://schemas.openxmlformats.org/officeDocument/2006/relationships/image" Target="media/image5.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AzU02ubcHkpTM3k907AHc3RI/zw==">AMUW2mVLq7hXLrxeKMvxh1Egjru4LslpmGYZVrMTNn7agjHNyXZ6saC/hDr5tihIq63PN+wZnpOUCnjOKlEYSgchhj8l4RdT3MW1tHLvaIKilgTSvDuEFsZCgWtxTJWz8CupiqQuypAM4Jb4QqKUKrDor+b91W5VfPwE8TLZeLs2AYopiTA4N1oyXPZsSTtkUzy8qXsraDvp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28</Pages>
  <Words>4874</Words>
  <Characters>27782</Characters>
  <Application>Microsoft Office Word</Application>
  <DocSecurity>0</DocSecurity>
  <Lines>231</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NAJERA </cp:lastModifiedBy>
  <cp:revision>5</cp:revision>
  <dcterms:created xsi:type="dcterms:W3CDTF">2022-08-04T08:40:00Z</dcterms:created>
  <dcterms:modified xsi:type="dcterms:W3CDTF">2022-08-11T14:55:00Z</dcterms:modified>
</cp:coreProperties>
</file>