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3354952" w:rsidR="00091682" w:rsidRPr="00A657DC" w:rsidRDefault="00091682" w:rsidP="00091682">
      <w:pPr>
        <w:spacing w:before="240" w:after="240" w:line="360" w:lineRule="auto"/>
        <w:jc w:val="both"/>
        <w:rPr>
          <w:rFonts w:ascii="Palatino Linotype" w:hAnsi="Palatino Linotype"/>
          <w:b/>
          <w:lang w:val="es-MX"/>
        </w:rPr>
      </w:pPr>
      <w:r w:rsidRPr="00A657DC">
        <w:rPr>
          <w:rFonts w:ascii="Palatino Linotype" w:hAnsi="Palatino Linotype"/>
          <w:lang w:val="es-MX"/>
        </w:rPr>
        <w:t xml:space="preserve">Resolución del Pleno del Instituto de Transparencia, Acceso a la Información Pública y Protección de Datos Personales del Estado de México y Municipios, con domicilio en </w:t>
      </w:r>
      <w:r w:rsidR="004440AC" w:rsidRPr="00A657DC">
        <w:rPr>
          <w:rFonts w:ascii="Palatino Linotype" w:hAnsi="Palatino Linotype"/>
          <w:lang w:val="es-MX"/>
        </w:rPr>
        <w:t>Metepec, Estado de México</w:t>
      </w:r>
      <w:r w:rsidR="00520100" w:rsidRPr="00A657DC">
        <w:rPr>
          <w:rFonts w:ascii="Palatino Linotype" w:hAnsi="Palatino Linotype"/>
          <w:lang w:val="es-MX"/>
        </w:rPr>
        <w:t>,</w:t>
      </w:r>
      <w:r w:rsidR="00EF35FA" w:rsidRPr="00A657DC">
        <w:rPr>
          <w:rFonts w:ascii="Palatino Linotype" w:hAnsi="Palatino Linotype"/>
          <w:lang w:val="es-MX"/>
        </w:rPr>
        <w:t xml:space="preserve"> </w:t>
      </w:r>
      <w:r w:rsidR="00520100" w:rsidRPr="00A657DC">
        <w:rPr>
          <w:rFonts w:ascii="Palatino Linotype" w:hAnsi="Palatino Linotype"/>
          <w:lang w:val="es-MX"/>
        </w:rPr>
        <w:t xml:space="preserve">del </w:t>
      </w:r>
      <w:r w:rsidR="00CE2CFF" w:rsidRPr="00A657DC">
        <w:rPr>
          <w:rFonts w:ascii="Palatino Linotype" w:hAnsi="Palatino Linotype"/>
          <w:b/>
          <w:lang w:val="es-MX"/>
        </w:rPr>
        <w:t>doce de enero</w:t>
      </w:r>
      <w:r w:rsidR="004440AC" w:rsidRPr="00A657DC">
        <w:rPr>
          <w:rFonts w:ascii="Palatino Linotype" w:hAnsi="Palatino Linotype"/>
          <w:b/>
          <w:lang w:val="es-MX"/>
        </w:rPr>
        <w:t xml:space="preserve"> </w:t>
      </w:r>
      <w:r w:rsidRPr="00A657DC">
        <w:rPr>
          <w:rFonts w:ascii="Palatino Linotype" w:hAnsi="Palatino Linotype"/>
          <w:b/>
          <w:lang w:val="es-MX"/>
        </w:rPr>
        <w:t>de</w:t>
      </w:r>
      <w:r w:rsidR="00686279" w:rsidRPr="00A657DC">
        <w:rPr>
          <w:rFonts w:ascii="Palatino Linotype" w:hAnsi="Palatino Linotype"/>
          <w:b/>
          <w:lang w:val="es-MX"/>
        </w:rPr>
        <w:t>l</w:t>
      </w:r>
      <w:r w:rsidR="00E5452C" w:rsidRPr="00A657DC">
        <w:rPr>
          <w:rFonts w:ascii="Palatino Linotype" w:hAnsi="Palatino Linotype"/>
          <w:b/>
          <w:lang w:val="es-MX"/>
        </w:rPr>
        <w:t xml:space="preserve"> dos mil </w:t>
      </w:r>
      <w:r w:rsidR="006562E3" w:rsidRPr="00A657DC">
        <w:rPr>
          <w:rFonts w:ascii="Palatino Linotype" w:hAnsi="Palatino Linotype"/>
          <w:b/>
          <w:lang w:val="es-MX"/>
        </w:rPr>
        <w:t>veintidós</w:t>
      </w:r>
      <w:r w:rsidRPr="00A657DC">
        <w:rPr>
          <w:rFonts w:ascii="Palatino Linotype" w:hAnsi="Palatino Linotype"/>
          <w:lang w:val="es-MX"/>
        </w:rPr>
        <w:t>.</w:t>
      </w:r>
    </w:p>
    <w:p w14:paraId="7D53FE2D" w14:textId="206A12A3" w:rsidR="008E7698" w:rsidRPr="00A657DC" w:rsidRDefault="008E7698" w:rsidP="00147CBD">
      <w:pPr>
        <w:spacing w:line="360" w:lineRule="auto"/>
        <w:jc w:val="both"/>
        <w:rPr>
          <w:rFonts w:ascii="Palatino Linotype" w:hAnsi="Palatino Linotype"/>
          <w:b/>
          <w:sz w:val="22"/>
          <w:szCs w:val="22"/>
          <w:lang w:val="es-ES_tradnl"/>
        </w:rPr>
      </w:pPr>
      <w:r w:rsidRPr="00A657DC">
        <w:rPr>
          <w:rFonts w:ascii="Palatino Linotype" w:hAnsi="Palatino Linotype" w:cs="Arial"/>
          <w:b/>
          <w:szCs w:val="28"/>
          <w:lang w:val="es-MX"/>
        </w:rPr>
        <w:t>Visto</w:t>
      </w:r>
      <w:r w:rsidRPr="00A657DC">
        <w:rPr>
          <w:rFonts w:ascii="Palatino Linotype" w:hAnsi="Palatino Linotype" w:cs="Arial"/>
          <w:lang w:val="es-MX"/>
        </w:rPr>
        <w:t xml:space="preserve"> el expediente relativo al recurso de revisión </w:t>
      </w:r>
      <w:r w:rsidR="00CE2CFF" w:rsidRPr="00A657DC">
        <w:rPr>
          <w:rFonts w:ascii="Palatino Linotype" w:eastAsiaTheme="minorEastAsia" w:hAnsi="Palatino Linotype" w:cs="Arial"/>
          <w:b/>
          <w:bCs/>
          <w:sz w:val="22"/>
          <w:szCs w:val="22"/>
          <w:lang w:val="es-MX"/>
        </w:rPr>
        <w:t>04419</w:t>
      </w:r>
      <w:r w:rsidR="00147CBD" w:rsidRPr="00A657DC">
        <w:rPr>
          <w:rFonts w:ascii="Palatino Linotype" w:eastAsiaTheme="minorEastAsia" w:hAnsi="Palatino Linotype" w:cs="Arial"/>
          <w:b/>
          <w:bCs/>
          <w:sz w:val="22"/>
          <w:szCs w:val="22"/>
          <w:lang w:val="es-MX"/>
        </w:rPr>
        <w:t>/INFOEM/IP/RR/2021</w:t>
      </w:r>
      <w:r w:rsidR="000E1C85" w:rsidRPr="00A657DC">
        <w:rPr>
          <w:rFonts w:ascii="Palatino Linotype" w:hAnsi="Palatino Linotype" w:cs="Arial"/>
          <w:lang w:val="es-MX"/>
        </w:rPr>
        <w:t xml:space="preserve">, interpuesto por </w:t>
      </w:r>
      <w:r w:rsidR="00CE2CFF" w:rsidRPr="00A657DC">
        <w:rPr>
          <w:rFonts w:ascii="Palatino Linotype" w:hAnsi="Palatino Linotype" w:cs="Arial"/>
          <w:b/>
          <w:lang w:val="es-MX"/>
        </w:rPr>
        <w:t xml:space="preserve"> el</w:t>
      </w:r>
      <w:r w:rsidR="00147CBD" w:rsidRPr="00A657DC">
        <w:rPr>
          <w:rFonts w:ascii="Palatino Linotype" w:hAnsi="Palatino Linotype" w:cs="Arial"/>
          <w:b/>
          <w:lang w:val="es-MX"/>
        </w:rPr>
        <w:t xml:space="preserve"> C. </w:t>
      </w:r>
      <w:r w:rsidR="00FD12BF">
        <w:rPr>
          <w:rFonts w:ascii="Palatino Linotype" w:hAnsi="Palatino Linotype"/>
          <w:b/>
          <w:sz w:val="22"/>
          <w:szCs w:val="22"/>
          <w:lang w:val="es-ES_tradnl"/>
        </w:rPr>
        <w:t xml:space="preserve">XXXXXX XXXXX </w:t>
      </w:r>
      <w:proofErr w:type="spellStart"/>
      <w:r w:rsidR="00FD12BF">
        <w:rPr>
          <w:rFonts w:ascii="Palatino Linotype" w:hAnsi="Palatino Linotype"/>
          <w:b/>
          <w:sz w:val="22"/>
          <w:szCs w:val="22"/>
          <w:lang w:val="es-ES_tradnl"/>
        </w:rPr>
        <w:t>XXXXX</w:t>
      </w:r>
      <w:proofErr w:type="spellEnd"/>
      <w:r w:rsidR="00BA38A4" w:rsidRPr="00A657DC">
        <w:rPr>
          <w:rFonts w:ascii="Palatino Linotype" w:hAnsi="Palatino Linotype" w:cs="Arial"/>
          <w:b/>
          <w:lang w:val="es-MX"/>
        </w:rPr>
        <w:t>,</w:t>
      </w:r>
      <w:r w:rsidR="004440AC" w:rsidRPr="00A657DC">
        <w:rPr>
          <w:rFonts w:ascii="Palatino Linotype" w:hAnsi="Palatino Linotype" w:cs="Arial"/>
          <w:lang w:val="es-MX"/>
        </w:rPr>
        <w:t xml:space="preserve"> </w:t>
      </w:r>
      <w:r w:rsidR="007E64E0" w:rsidRPr="00A657DC">
        <w:rPr>
          <w:rFonts w:ascii="Palatino Linotype" w:hAnsi="Palatino Linotype" w:cs="Arial"/>
          <w:lang w:val="es-MX"/>
        </w:rPr>
        <w:t>a q</w:t>
      </w:r>
      <w:r w:rsidR="004440AC" w:rsidRPr="00A657DC">
        <w:rPr>
          <w:rFonts w:ascii="Palatino Linotype" w:hAnsi="Palatino Linotype" w:cs="Arial"/>
          <w:lang w:val="es-MX"/>
        </w:rPr>
        <w:t>uien</w:t>
      </w:r>
      <w:r w:rsidRPr="00A657DC">
        <w:rPr>
          <w:rFonts w:ascii="Palatino Linotype" w:hAnsi="Palatino Linotype" w:cs="Arial"/>
          <w:lang w:val="es-MX"/>
        </w:rPr>
        <w:t xml:space="preserve"> en lo sucesivo se le denominará </w:t>
      </w:r>
      <w:r w:rsidR="005E131F" w:rsidRPr="00A657DC">
        <w:rPr>
          <w:rFonts w:ascii="Palatino Linotype" w:hAnsi="Palatino Linotype" w:cs="Arial"/>
          <w:b/>
          <w:lang w:val="es-MX"/>
        </w:rPr>
        <w:t>la parte</w:t>
      </w:r>
      <w:r w:rsidR="00E81BCB" w:rsidRPr="00A657DC">
        <w:rPr>
          <w:rFonts w:ascii="Palatino Linotype" w:hAnsi="Palatino Linotype" w:cs="Arial"/>
          <w:b/>
          <w:i/>
          <w:lang w:val="es-MX"/>
        </w:rPr>
        <w:t xml:space="preserve"> </w:t>
      </w:r>
      <w:r w:rsidR="00CE2CFF" w:rsidRPr="00A657DC">
        <w:rPr>
          <w:rFonts w:ascii="Palatino Linotype" w:hAnsi="Palatino Linotype" w:cs="Arial"/>
          <w:b/>
          <w:lang w:val="es-MX"/>
        </w:rPr>
        <w:t>r</w:t>
      </w:r>
      <w:r w:rsidR="00E81BCB" w:rsidRPr="00A657DC">
        <w:rPr>
          <w:rFonts w:ascii="Palatino Linotype" w:hAnsi="Palatino Linotype" w:cs="Arial"/>
          <w:b/>
          <w:lang w:val="es-MX"/>
        </w:rPr>
        <w:t>ecurrente</w:t>
      </w:r>
      <w:r w:rsidRPr="00A657DC">
        <w:rPr>
          <w:rFonts w:ascii="Palatino Linotype" w:hAnsi="Palatino Linotype" w:cs="Arial"/>
          <w:b/>
          <w:i/>
          <w:lang w:val="es-MX"/>
        </w:rPr>
        <w:t xml:space="preserve"> </w:t>
      </w:r>
      <w:r w:rsidRPr="00A657DC">
        <w:rPr>
          <w:rFonts w:ascii="Palatino Linotype" w:hAnsi="Palatino Linotype" w:cs="Arial"/>
          <w:lang w:val="es-MX"/>
        </w:rPr>
        <w:t>en contra de la respuesta</w:t>
      </w:r>
      <w:r w:rsidR="00E66AC9" w:rsidRPr="00A657DC">
        <w:rPr>
          <w:rFonts w:ascii="Palatino Linotype" w:hAnsi="Palatino Linotype" w:cs="Arial"/>
          <w:lang w:val="es-MX"/>
        </w:rPr>
        <w:t xml:space="preserve"> a</w:t>
      </w:r>
      <w:r w:rsidRPr="00A657DC">
        <w:rPr>
          <w:rFonts w:ascii="Palatino Linotype" w:hAnsi="Palatino Linotype" w:cs="Arial"/>
          <w:lang w:val="es-MX"/>
        </w:rPr>
        <w:t xml:space="preserve"> su solicitud de in</w:t>
      </w:r>
      <w:r w:rsidR="004440AC" w:rsidRPr="00A657DC">
        <w:rPr>
          <w:rFonts w:ascii="Palatino Linotype" w:hAnsi="Palatino Linotype" w:cs="Arial"/>
          <w:lang w:val="es-MX"/>
        </w:rPr>
        <w:t>formación con número de folio</w:t>
      </w:r>
      <w:r w:rsidR="00DA09D7" w:rsidRPr="00A657DC">
        <w:rPr>
          <w:rFonts w:ascii="Verdana" w:hAnsi="Verdana"/>
          <w:b/>
          <w:bCs/>
          <w:color w:val="FF0000"/>
          <w:lang w:val="es-MX"/>
        </w:rPr>
        <w:t> </w:t>
      </w:r>
      <w:r w:rsidR="00CE2CFF" w:rsidRPr="00A657DC">
        <w:rPr>
          <w:rFonts w:ascii="Palatino Linotype" w:hAnsi="Palatino Linotype" w:cs="Arial"/>
          <w:b/>
          <w:bCs/>
          <w:sz w:val="22"/>
          <w:lang w:val="es-MX"/>
        </w:rPr>
        <w:t>00113/SCTUR/IP/2021</w:t>
      </w:r>
      <w:r w:rsidRPr="00A657DC">
        <w:rPr>
          <w:rFonts w:ascii="Palatino Linotype" w:hAnsi="Palatino Linotype" w:cs="Arial"/>
          <w:b/>
          <w:lang w:val="es-MX"/>
        </w:rPr>
        <w:t>,</w:t>
      </w:r>
      <w:r w:rsidRPr="00A657DC">
        <w:rPr>
          <w:rFonts w:ascii="Palatino Linotype" w:hAnsi="Palatino Linotype" w:cs="Arial"/>
          <w:lang w:val="es-MX"/>
        </w:rPr>
        <w:t xml:space="preserve"> </w:t>
      </w:r>
      <w:r w:rsidR="004440AC" w:rsidRPr="00A657DC">
        <w:rPr>
          <w:rFonts w:ascii="Palatino Linotype" w:hAnsi="Palatino Linotype" w:cs="Arial"/>
          <w:lang w:val="es-MX"/>
        </w:rPr>
        <w:t xml:space="preserve">otorgada </w:t>
      </w:r>
      <w:r w:rsidRPr="00A657DC">
        <w:rPr>
          <w:rFonts w:ascii="Palatino Linotype" w:hAnsi="Palatino Linotype" w:cs="Arial"/>
          <w:lang w:val="es-MX"/>
        </w:rPr>
        <w:t xml:space="preserve">por </w:t>
      </w:r>
      <w:r w:rsidR="00032FDC" w:rsidRPr="00A657DC">
        <w:rPr>
          <w:rFonts w:ascii="Palatino Linotype" w:hAnsi="Palatino Linotype" w:cs="Arial"/>
          <w:lang w:val="es-MX"/>
        </w:rPr>
        <w:t>el</w:t>
      </w:r>
      <w:r w:rsidR="008F355E" w:rsidRPr="00A657DC">
        <w:rPr>
          <w:rFonts w:ascii="Palatino Linotype" w:hAnsi="Palatino Linotype" w:cs="Arial"/>
          <w:lang w:val="es-MX"/>
        </w:rPr>
        <w:t xml:space="preserve"> </w:t>
      </w:r>
      <w:r w:rsidR="00CE2CFF" w:rsidRPr="00A657DC">
        <w:rPr>
          <w:rFonts w:ascii="Palatino Linotype" w:hAnsi="Palatino Linotype" w:cs="Arial"/>
          <w:b/>
          <w:lang w:val="es-MX"/>
        </w:rPr>
        <w:t>Secretaría de Cultura y Turismo</w:t>
      </w:r>
      <w:r w:rsidR="008F355E" w:rsidRPr="00A657DC">
        <w:rPr>
          <w:rFonts w:ascii="Palatino Linotype" w:hAnsi="Palatino Linotype" w:cs="Arial"/>
          <w:lang w:val="es-MX"/>
        </w:rPr>
        <w:t>,</w:t>
      </w:r>
      <w:r w:rsidRPr="00A657DC">
        <w:rPr>
          <w:rFonts w:ascii="Palatino Linotype" w:hAnsi="Palatino Linotype" w:cs="Arial"/>
          <w:lang w:val="es-MX"/>
        </w:rPr>
        <w:t xml:space="preserve"> en lo sucesivo el </w:t>
      </w:r>
      <w:r w:rsidR="00CE2CFF" w:rsidRPr="00A657DC">
        <w:rPr>
          <w:rFonts w:ascii="Palatino Linotype" w:hAnsi="Palatino Linotype" w:cs="Arial"/>
          <w:b/>
          <w:lang w:val="es-MX"/>
        </w:rPr>
        <w:t>SUJETO OBLIGADO</w:t>
      </w:r>
      <w:r w:rsidR="00CC7823" w:rsidRPr="00A657DC">
        <w:rPr>
          <w:rFonts w:ascii="Palatino Linotype" w:hAnsi="Palatino Linotype" w:cs="Arial"/>
          <w:lang w:val="es-MX"/>
        </w:rPr>
        <w:t>,</w:t>
      </w:r>
      <w:r w:rsidRPr="00A657DC">
        <w:rPr>
          <w:rFonts w:ascii="Palatino Linotype" w:hAnsi="Palatino Linotype" w:cs="Arial"/>
          <w:b/>
          <w:lang w:val="es-MX"/>
        </w:rPr>
        <w:t xml:space="preserve"> </w:t>
      </w:r>
      <w:r w:rsidRPr="00A657DC">
        <w:rPr>
          <w:rFonts w:ascii="Palatino Linotype" w:hAnsi="Palatino Linotype" w:cs="Arial"/>
          <w:lang w:val="es-MX"/>
        </w:rPr>
        <w:t>se procede a dictar la presente resolución, con base en lo siguiente.</w:t>
      </w:r>
      <w:r w:rsidR="009403CB" w:rsidRPr="00A657DC">
        <w:rPr>
          <w:rFonts w:ascii="Palatino Linotype" w:hAnsi="Palatino Linotype" w:cs="Arial"/>
          <w:lang w:val="es-MX"/>
        </w:rPr>
        <w:t xml:space="preserve"> </w:t>
      </w:r>
    </w:p>
    <w:p w14:paraId="1A4B04B4" w14:textId="6FE3E403" w:rsidR="008E7698" w:rsidRPr="00A657DC" w:rsidRDefault="004A6EFE" w:rsidP="004A6EFE">
      <w:pPr>
        <w:pStyle w:val="Ttulo2"/>
        <w:jc w:val="center"/>
        <w:rPr>
          <w:rFonts w:ascii="Palatino Linotype" w:hAnsi="Palatino Linotype"/>
          <w:b/>
          <w:color w:val="auto"/>
          <w:sz w:val="24"/>
          <w:szCs w:val="24"/>
          <w:lang w:val="es-MX"/>
        </w:rPr>
      </w:pPr>
      <w:r w:rsidRPr="00A657DC">
        <w:rPr>
          <w:rFonts w:ascii="Palatino Linotype" w:hAnsi="Palatino Linotype"/>
          <w:b/>
          <w:color w:val="auto"/>
          <w:sz w:val="24"/>
          <w:szCs w:val="24"/>
          <w:lang w:val="es-MX"/>
        </w:rPr>
        <w:t xml:space="preserve">I. </w:t>
      </w:r>
      <w:r w:rsidR="008E7698" w:rsidRPr="00A657DC">
        <w:rPr>
          <w:rFonts w:ascii="Palatino Linotype" w:hAnsi="Palatino Linotype"/>
          <w:b/>
          <w:color w:val="auto"/>
          <w:sz w:val="24"/>
          <w:szCs w:val="24"/>
          <w:lang w:val="es-MX"/>
        </w:rPr>
        <w:t>A N T E C E D E N T E S:</w:t>
      </w:r>
    </w:p>
    <w:p w14:paraId="4B0026B6" w14:textId="5164D7F6" w:rsidR="008E7698" w:rsidRPr="00A657DC" w:rsidRDefault="008E7698" w:rsidP="008E7698">
      <w:pPr>
        <w:spacing w:before="240" w:after="240" w:line="360" w:lineRule="auto"/>
        <w:jc w:val="both"/>
        <w:rPr>
          <w:rFonts w:ascii="Palatino Linotype" w:hAnsi="Palatino Linotype" w:cs="Arial"/>
          <w:lang w:val="es-MX"/>
        </w:rPr>
      </w:pPr>
      <w:r w:rsidRPr="00A657DC">
        <w:rPr>
          <w:rFonts w:ascii="Palatino Linotype" w:hAnsi="Palatino Linotype" w:cs="Arial"/>
          <w:b/>
          <w:szCs w:val="28"/>
          <w:lang w:val="es-MX"/>
        </w:rPr>
        <w:t>1. Solicitud de acceso a la información.</w:t>
      </w:r>
      <w:r w:rsidRPr="00A657DC">
        <w:rPr>
          <w:rFonts w:ascii="Palatino Linotype" w:hAnsi="Palatino Linotype" w:cs="Arial"/>
          <w:b/>
          <w:sz w:val="22"/>
          <w:lang w:val="es-MX"/>
        </w:rPr>
        <w:t xml:space="preserve"> </w:t>
      </w:r>
      <w:r w:rsidRPr="00A657DC">
        <w:rPr>
          <w:rFonts w:ascii="Palatino Linotype" w:hAnsi="Palatino Linotype" w:cs="Arial"/>
          <w:lang w:val="es-MX"/>
        </w:rPr>
        <w:t>Con</w:t>
      </w:r>
      <w:r w:rsidR="004440AC" w:rsidRPr="00A657DC">
        <w:rPr>
          <w:rFonts w:ascii="Palatino Linotype" w:hAnsi="Palatino Linotype" w:cs="Arial"/>
          <w:lang w:val="es-MX"/>
        </w:rPr>
        <w:t xml:space="preserve"> fecha</w:t>
      </w:r>
      <w:r w:rsidR="00325E4F" w:rsidRPr="00A657DC">
        <w:rPr>
          <w:rFonts w:ascii="Palatino Linotype" w:hAnsi="Palatino Linotype" w:cs="Arial"/>
          <w:lang w:val="es-MX"/>
        </w:rPr>
        <w:t xml:space="preserve"> </w:t>
      </w:r>
      <w:r w:rsidR="00CE2CFF" w:rsidRPr="00A657DC">
        <w:rPr>
          <w:rFonts w:ascii="Palatino Linotype" w:hAnsi="Palatino Linotype" w:cs="Arial"/>
          <w:lang w:val="es-MX"/>
        </w:rPr>
        <w:t>dieciséis</w:t>
      </w:r>
      <w:r w:rsidR="00147CBD" w:rsidRPr="00A657DC">
        <w:rPr>
          <w:rFonts w:ascii="Palatino Linotype" w:hAnsi="Palatino Linotype" w:cs="Arial"/>
          <w:b/>
          <w:lang w:val="es-MX"/>
        </w:rPr>
        <w:t xml:space="preserve"> de agosto</w:t>
      </w:r>
      <w:r w:rsidR="00D64A87" w:rsidRPr="00A657DC">
        <w:rPr>
          <w:rFonts w:ascii="Palatino Linotype" w:hAnsi="Palatino Linotype" w:cs="Arial"/>
          <w:b/>
          <w:lang w:val="es-MX"/>
        </w:rPr>
        <w:t xml:space="preserve"> </w:t>
      </w:r>
      <w:r w:rsidR="00487B0B" w:rsidRPr="00A657DC">
        <w:rPr>
          <w:rFonts w:ascii="Palatino Linotype" w:hAnsi="Palatino Linotype" w:cs="Arial"/>
          <w:b/>
          <w:lang w:val="es-MX"/>
        </w:rPr>
        <w:t xml:space="preserve">del </w:t>
      </w:r>
      <w:r w:rsidRPr="00A657DC">
        <w:rPr>
          <w:rFonts w:ascii="Palatino Linotype" w:hAnsi="Palatino Linotype" w:cs="Arial"/>
          <w:b/>
          <w:lang w:val="es-MX"/>
        </w:rPr>
        <w:t xml:space="preserve">dos mil </w:t>
      </w:r>
      <w:r w:rsidR="00E81BCB" w:rsidRPr="00A657DC">
        <w:rPr>
          <w:rFonts w:ascii="Palatino Linotype" w:hAnsi="Palatino Linotype" w:cs="Arial"/>
          <w:b/>
          <w:lang w:val="es-MX"/>
        </w:rPr>
        <w:t>veintiuno</w:t>
      </w:r>
      <w:r w:rsidR="00682656" w:rsidRPr="00A657DC">
        <w:rPr>
          <w:rFonts w:ascii="Palatino Linotype" w:hAnsi="Palatino Linotype" w:cs="Arial"/>
          <w:b/>
          <w:lang w:val="es-MX"/>
        </w:rPr>
        <w:t>,</w:t>
      </w:r>
      <w:r w:rsidR="00682656" w:rsidRPr="00A657DC">
        <w:rPr>
          <w:rFonts w:ascii="Palatino Linotype" w:hAnsi="Palatino Linotype" w:cs="Arial"/>
          <w:lang w:val="es-MX"/>
        </w:rPr>
        <w:t xml:space="preserve"> </w:t>
      </w:r>
      <w:r w:rsidR="006562E3" w:rsidRPr="00A657DC">
        <w:rPr>
          <w:rFonts w:ascii="Palatino Linotype" w:hAnsi="Palatino Linotype" w:cs="Arial"/>
          <w:lang w:val="es-MX"/>
        </w:rPr>
        <w:t>el</w:t>
      </w:r>
      <w:r w:rsidRPr="00A657DC">
        <w:rPr>
          <w:rFonts w:ascii="Palatino Linotype" w:hAnsi="Palatino Linotype" w:cs="Arial"/>
          <w:lang w:val="es-MX"/>
        </w:rPr>
        <w:t xml:space="preserve"> ahora </w:t>
      </w:r>
      <w:r w:rsidR="005E131F" w:rsidRPr="00A657DC">
        <w:rPr>
          <w:rFonts w:ascii="Palatino Linotype" w:hAnsi="Palatino Linotype" w:cs="Arial"/>
          <w:lang w:val="es-MX"/>
        </w:rPr>
        <w:t xml:space="preserve">parte </w:t>
      </w:r>
      <w:r w:rsidR="00DE7F9A" w:rsidRPr="00A657DC">
        <w:rPr>
          <w:rFonts w:ascii="Palatino Linotype" w:hAnsi="Palatino Linotype" w:cs="Arial"/>
          <w:b/>
          <w:lang w:val="es-MX"/>
        </w:rPr>
        <w:t>Recurrente</w:t>
      </w:r>
      <w:r w:rsidRPr="00A657DC">
        <w:rPr>
          <w:rFonts w:ascii="Palatino Linotype" w:hAnsi="Palatino Linotype" w:cs="Arial"/>
          <w:lang w:val="es-MX"/>
        </w:rPr>
        <w:t xml:space="preserve"> formuló solicitud de acceso a </w:t>
      </w:r>
      <w:r w:rsidR="00DF1223" w:rsidRPr="00A657DC">
        <w:rPr>
          <w:rFonts w:ascii="Palatino Linotype" w:hAnsi="Palatino Linotype" w:cs="Arial"/>
          <w:lang w:val="es-MX"/>
        </w:rPr>
        <w:t xml:space="preserve">la </w:t>
      </w:r>
      <w:r w:rsidRPr="00A657DC">
        <w:rPr>
          <w:rFonts w:ascii="Palatino Linotype" w:hAnsi="Palatino Linotype" w:cs="Arial"/>
          <w:lang w:val="es-MX"/>
        </w:rPr>
        <w:t xml:space="preserve">información pública al </w:t>
      </w:r>
      <w:r w:rsidRPr="00A657DC">
        <w:rPr>
          <w:rFonts w:ascii="Palatino Linotype" w:hAnsi="Palatino Linotype" w:cs="Arial"/>
          <w:b/>
          <w:lang w:val="es-MX"/>
        </w:rPr>
        <w:t>Sujeto Obligado</w:t>
      </w:r>
      <w:r w:rsidRPr="00A657DC">
        <w:rPr>
          <w:rFonts w:ascii="Palatino Linotype" w:hAnsi="Palatino Linotype" w:cs="Arial"/>
          <w:lang w:val="es-MX"/>
        </w:rPr>
        <w:t xml:space="preserve"> a través </w:t>
      </w:r>
      <w:r w:rsidR="00CE2CFF" w:rsidRPr="00A657DC">
        <w:rPr>
          <w:rFonts w:ascii="Palatino Linotype" w:hAnsi="Palatino Linotype" w:cs="Arial"/>
          <w:lang w:val="es-MX"/>
        </w:rPr>
        <w:t xml:space="preserve"> de la Plataforma Nacional de Transparencia la cual se vincula al </w:t>
      </w:r>
      <w:r w:rsidRPr="00A657DC">
        <w:rPr>
          <w:rFonts w:ascii="Palatino Linotype" w:hAnsi="Palatino Linotype" w:cs="Arial"/>
          <w:lang w:val="es-MX"/>
        </w:rPr>
        <w:t xml:space="preserve"> Sistema de Acceso a la Información Mexiquense, en adelante </w:t>
      </w:r>
      <w:r w:rsidRPr="00A657DC">
        <w:rPr>
          <w:rFonts w:ascii="Palatino Linotype" w:hAnsi="Palatino Linotype" w:cs="Arial"/>
          <w:b/>
          <w:lang w:val="es-MX"/>
        </w:rPr>
        <w:t>SAIMEX,</w:t>
      </w:r>
      <w:r w:rsidRPr="00A657DC">
        <w:rPr>
          <w:rFonts w:ascii="Palatino Linotype" w:hAnsi="Palatino Linotype" w:cs="Arial"/>
          <w:lang w:val="es-MX"/>
        </w:rPr>
        <w:t xml:space="preserve"> </w:t>
      </w:r>
      <w:r w:rsidR="00126F04" w:rsidRPr="00A657DC">
        <w:rPr>
          <w:rFonts w:ascii="Palatino Linotype" w:hAnsi="Palatino Linotype" w:cs="Arial"/>
          <w:lang w:val="es-MX"/>
        </w:rPr>
        <w:t>requiriendo</w:t>
      </w:r>
      <w:r w:rsidRPr="00A657DC">
        <w:rPr>
          <w:rFonts w:ascii="Palatino Linotype" w:hAnsi="Palatino Linotype" w:cs="Arial"/>
          <w:lang w:val="es-MX"/>
        </w:rPr>
        <w:t xml:space="preserve"> lo siguiente:</w:t>
      </w:r>
    </w:p>
    <w:p w14:paraId="3F4E6C5F" w14:textId="741C4D18" w:rsidR="00293DE5" w:rsidRPr="00A657DC" w:rsidRDefault="00293DE5" w:rsidP="00C52CF0">
      <w:pPr>
        <w:spacing w:before="240" w:after="240"/>
        <w:ind w:left="851" w:right="902"/>
        <w:contextualSpacing/>
        <w:jc w:val="both"/>
        <w:rPr>
          <w:rFonts w:ascii="Palatino Linotype" w:hAnsi="Palatino Linotype" w:cs="Arial"/>
          <w:i/>
          <w:sz w:val="22"/>
          <w:szCs w:val="22"/>
          <w:lang w:val="es-MX"/>
        </w:rPr>
      </w:pPr>
      <w:r w:rsidRPr="00A657DC">
        <w:rPr>
          <w:rFonts w:ascii="Palatino Linotype" w:hAnsi="Palatino Linotype" w:cs="Arial"/>
          <w:i/>
          <w:sz w:val="22"/>
          <w:szCs w:val="22"/>
          <w:lang w:val="es-MX"/>
        </w:rPr>
        <w:t>“</w:t>
      </w:r>
      <w:r w:rsidR="00CE2CFF" w:rsidRPr="00A657DC">
        <w:rPr>
          <w:rFonts w:ascii="Palatino Linotype" w:hAnsi="Palatino Linotype" w:cs="Arial"/>
          <w:i/>
          <w:sz w:val="22"/>
          <w:szCs w:val="22"/>
          <w:lang w:val="es-MX"/>
        </w:rPr>
        <w:t xml:space="preserve">¿Qué es la COVATE, quién la integra, cuáles son sus funciones, desde cuándo funciona, qué programas y actividades realiza? ¿Quién aprueba los </w:t>
      </w:r>
      <w:proofErr w:type="spellStart"/>
      <w:r w:rsidR="00CE2CFF" w:rsidRPr="00A657DC">
        <w:rPr>
          <w:rFonts w:ascii="Palatino Linotype" w:hAnsi="Palatino Linotype" w:cs="Arial"/>
          <w:i/>
          <w:sz w:val="22"/>
          <w:szCs w:val="22"/>
          <w:lang w:val="es-MX"/>
        </w:rPr>
        <w:t>globopuertos</w:t>
      </w:r>
      <w:proofErr w:type="spellEnd"/>
      <w:r w:rsidR="00CE2CFF" w:rsidRPr="00A657DC">
        <w:rPr>
          <w:rFonts w:ascii="Palatino Linotype" w:hAnsi="Palatino Linotype" w:cs="Arial"/>
          <w:i/>
          <w:sz w:val="22"/>
          <w:szCs w:val="22"/>
          <w:lang w:val="es-MX"/>
        </w:rPr>
        <w:t xml:space="preserve"> en Teotihuacán y cuánto dinero </w:t>
      </w:r>
      <w:proofErr w:type="gramStart"/>
      <w:r w:rsidR="00CE2CFF" w:rsidRPr="00A657DC">
        <w:rPr>
          <w:rFonts w:ascii="Palatino Linotype" w:hAnsi="Palatino Linotype" w:cs="Arial"/>
          <w:i/>
          <w:sz w:val="22"/>
          <w:szCs w:val="22"/>
          <w:lang w:val="es-MX"/>
        </w:rPr>
        <w:t>perciben</w:t>
      </w:r>
      <w:proofErr w:type="gramEnd"/>
      <w:r w:rsidR="00CE2CFF" w:rsidRPr="00A657DC">
        <w:rPr>
          <w:rFonts w:ascii="Palatino Linotype" w:hAnsi="Palatino Linotype" w:cs="Arial"/>
          <w:i/>
          <w:sz w:val="22"/>
          <w:szCs w:val="22"/>
          <w:lang w:val="es-MX"/>
        </w:rPr>
        <w:t xml:space="preserve"> los Ayuntamientos y/o COVATE por este concepto? ¿Cuáles son los requisitos para instalar un nuevo </w:t>
      </w:r>
      <w:proofErr w:type="spellStart"/>
      <w:r w:rsidR="00CE2CFF" w:rsidRPr="00A657DC">
        <w:rPr>
          <w:rFonts w:ascii="Palatino Linotype" w:hAnsi="Palatino Linotype" w:cs="Arial"/>
          <w:i/>
          <w:sz w:val="22"/>
          <w:szCs w:val="22"/>
          <w:lang w:val="es-MX"/>
        </w:rPr>
        <w:t>globopuerto</w:t>
      </w:r>
      <w:proofErr w:type="spellEnd"/>
      <w:r w:rsidR="00CE2CFF" w:rsidRPr="00A657DC">
        <w:rPr>
          <w:rFonts w:ascii="Palatino Linotype" w:hAnsi="Palatino Linotype" w:cs="Arial"/>
          <w:i/>
          <w:sz w:val="22"/>
          <w:szCs w:val="22"/>
          <w:lang w:val="es-MX"/>
        </w:rPr>
        <w:t xml:space="preserve">? ¿Cuánto ha percibido el gobierno (tanto del Estado como de los ayuntamientos) por el proyecto Experiencia nocturna en Teotihuacán) hasta la fecha? esto considerando el convenio de colaboración con el INAH firmado el 19 de octubre del 2019 ¿Cuánto se invierte en la organización y logística del evento Experiencia nocturna en Teotihuacán? ¿Quién realizó el audiovisual del evento Experiencia nocturna en Teotihuacán y qué empresa se encarga de proveer la tecnología? </w:t>
      </w:r>
      <w:r w:rsidR="00CE2CFF" w:rsidRPr="00A657DC">
        <w:rPr>
          <w:rFonts w:ascii="Palatino Linotype" w:hAnsi="Palatino Linotype" w:cs="Arial"/>
          <w:i/>
          <w:sz w:val="22"/>
          <w:szCs w:val="22"/>
          <w:lang w:val="es-MX"/>
        </w:rPr>
        <w:lastRenderedPageBreak/>
        <w:t>Incluir cuánto se ha pagado por dicho concepto y detalles sobre dichos contratos ¿Se han realizado convenios adicionales con tour operadoras y otros agentes privados para la provisión de servicios relativos a la Experiencia nocturna en Teotihuacán?</w:t>
      </w:r>
      <w:r w:rsidR="00297F13" w:rsidRPr="00A657DC">
        <w:rPr>
          <w:rFonts w:ascii="Palatino Linotype" w:hAnsi="Palatino Linotype" w:cs="Arial"/>
          <w:i/>
          <w:sz w:val="22"/>
          <w:szCs w:val="22"/>
          <w:lang w:val="es-MX"/>
        </w:rPr>
        <w:t>”</w:t>
      </w:r>
      <w:r w:rsidR="00147CBD" w:rsidRPr="00A657DC">
        <w:rPr>
          <w:rFonts w:ascii="Palatino Linotype" w:hAnsi="Palatino Linotype" w:cs="Arial"/>
          <w:i/>
          <w:sz w:val="22"/>
          <w:szCs w:val="22"/>
          <w:lang w:val="es-MX"/>
        </w:rPr>
        <w:t xml:space="preserve"> </w:t>
      </w:r>
      <w:r w:rsidR="00C52CF0" w:rsidRPr="00A657DC">
        <w:rPr>
          <w:rFonts w:ascii="Palatino Linotype" w:hAnsi="Palatino Linotype" w:cs="Arial"/>
          <w:i/>
          <w:sz w:val="22"/>
          <w:szCs w:val="22"/>
          <w:lang w:val="es-MX"/>
        </w:rPr>
        <w:t>(</w:t>
      </w:r>
      <w:r w:rsidR="00BD0BA2" w:rsidRPr="00A657DC">
        <w:rPr>
          <w:rFonts w:ascii="Palatino Linotype" w:hAnsi="Palatino Linotype" w:cs="Arial"/>
          <w:i/>
          <w:sz w:val="22"/>
          <w:szCs w:val="22"/>
          <w:lang w:val="es-MX"/>
        </w:rPr>
        <w:t>S</w:t>
      </w:r>
      <w:r w:rsidR="00C673D1" w:rsidRPr="00A657DC">
        <w:rPr>
          <w:rFonts w:ascii="Palatino Linotype" w:hAnsi="Palatino Linotype" w:cs="Arial"/>
          <w:i/>
          <w:sz w:val="22"/>
          <w:szCs w:val="22"/>
          <w:lang w:val="es-MX"/>
        </w:rPr>
        <w:t>ic)</w:t>
      </w:r>
    </w:p>
    <w:p w14:paraId="33D1C169" w14:textId="4466CF7C" w:rsidR="00C82F0D" w:rsidRPr="00A657DC" w:rsidRDefault="00C82F0D" w:rsidP="008E7698">
      <w:pPr>
        <w:spacing w:before="240" w:after="240" w:line="360" w:lineRule="auto"/>
        <w:jc w:val="both"/>
        <w:rPr>
          <w:rFonts w:ascii="Palatino Linotype" w:hAnsi="Palatino Linotype" w:cs="Arial"/>
          <w:lang w:val="es-MX"/>
        </w:rPr>
      </w:pPr>
    </w:p>
    <w:p w14:paraId="649BFEDD" w14:textId="50D4B005" w:rsidR="00293DE5" w:rsidRPr="00A657DC" w:rsidRDefault="00CC7823" w:rsidP="008E7698">
      <w:pPr>
        <w:spacing w:before="240" w:after="240" w:line="360" w:lineRule="auto"/>
        <w:jc w:val="both"/>
        <w:rPr>
          <w:rFonts w:ascii="Palatino Linotype" w:hAnsi="Palatino Linotype" w:cs="Arial"/>
          <w:b/>
          <w:lang w:val="es-MX"/>
        </w:rPr>
      </w:pPr>
      <w:r w:rsidRPr="00A657DC">
        <w:rPr>
          <w:rFonts w:ascii="Palatino Linotype" w:hAnsi="Palatino Linotype" w:cs="Arial"/>
          <w:b/>
          <w:lang w:val="es-MX"/>
        </w:rPr>
        <w:t>Modalidad de entrega de la información</w:t>
      </w:r>
      <w:r w:rsidRPr="00A657DC">
        <w:rPr>
          <w:rFonts w:ascii="Palatino Linotype" w:hAnsi="Palatino Linotype" w:cs="Arial"/>
          <w:lang w:val="es-MX"/>
        </w:rPr>
        <w:t xml:space="preserve">: vía </w:t>
      </w:r>
      <w:r w:rsidR="00293DE5" w:rsidRPr="00A657DC">
        <w:rPr>
          <w:rFonts w:ascii="Palatino Linotype" w:hAnsi="Palatino Linotype" w:cs="Arial"/>
          <w:b/>
          <w:lang w:val="es-MX"/>
        </w:rPr>
        <w:t>SAIMEX</w:t>
      </w:r>
      <w:r w:rsidR="00451F5B" w:rsidRPr="00A657DC">
        <w:rPr>
          <w:rFonts w:ascii="Palatino Linotype" w:hAnsi="Palatino Linotype" w:cs="Arial"/>
          <w:b/>
          <w:lang w:val="es-MX"/>
        </w:rPr>
        <w:t>.</w:t>
      </w:r>
    </w:p>
    <w:p w14:paraId="29FC47D5" w14:textId="53EFD452" w:rsidR="00D64A87" w:rsidRPr="00A657DC" w:rsidRDefault="009509CF" w:rsidP="00D64A87">
      <w:pPr>
        <w:spacing w:before="240" w:after="240" w:line="360" w:lineRule="auto"/>
        <w:jc w:val="both"/>
        <w:rPr>
          <w:rFonts w:ascii="Palatino Linotype" w:hAnsi="Palatino Linotype" w:cs="Arial"/>
          <w:lang w:val="es-MX"/>
        </w:rPr>
      </w:pPr>
      <w:r w:rsidRPr="00A657DC">
        <w:rPr>
          <w:rFonts w:ascii="Palatino Linotype" w:hAnsi="Palatino Linotype" w:cs="Arial"/>
          <w:b/>
          <w:szCs w:val="28"/>
          <w:lang w:val="es-MX"/>
        </w:rPr>
        <w:t>2</w:t>
      </w:r>
      <w:r w:rsidR="008E7698" w:rsidRPr="00A657DC">
        <w:rPr>
          <w:rFonts w:ascii="Palatino Linotype" w:hAnsi="Palatino Linotype" w:cs="Arial"/>
          <w:b/>
          <w:szCs w:val="28"/>
          <w:lang w:val="es-MX"/>
        </w:rPr>
        <w:t xml:space="preserve">. </w:t>
      </w:r>
      <w:r w:rsidR="00D64A87" w:rsidRPr="00A657DC">
        <w:rPr>
          <w:rFonts w:ascii="Palatino Linotype" w:hAnsi="Palatino Linotype" w:cs="Arial"/>
          <w:b/>
          <w:szCs w:val="28"/>
          <w:lang w:val="es-MX"/>
        </w:rPr>
        <w:t>Respuesta</w:t>
      </w:r>
      <w:r w:rsidR="00E747D5" w:rsidRPr="00A657DC">
        <w:rPr>
          <w:rFonts w:ascii="Palatino Linotype" w:hAnsi="Palatino Linotype" w:cs="Arial"/>
          <w:b/>
          <w:szCs w:val="28"/>
          <w:lang w:val="es-MX"/>
        </w:rPr>
        <w:t xml:space="preserve">. </w:t>
      </w:r>
      <w:r w:rsidR="00D64A87" w:rsidRPr="00A657DC">
        <w:rPr>
          <w:rFonts w:ascii="Palatino Linotype" w:hAnsi="Palatino Linotype" w:cs="Arial"/>
          <w:lang w:val="es-MX"/>
        </w:rPr>
        <w:t xml:space="preserve">Con fecha </w:t>
      </w:r>
      <w:r w:rsidR="00CE2CFF" w:rsidRPr="00A657DC">
        <w:rPr>
          <w:rFonts w:ascii="Palatino Linotype" w:hAnsi="Palatino Linotype" w:cs="Arial"/>
          <w:b/>
          <w:lang w:val="es-MX"/>
        </w:rPr>
        <w:t>primero de septiembre</w:t>
      </w:r>
      <w:r w:rsidR="00D64A87" w:rsidRPr="00A657DC">
        <w:rPr>
          <w:rFonts w:ascii="Palatino Linotype" w:hAnsi="Palatino Linotype" w:cs="Arial"/>
          <w:b/>
          <w:lang w:val="es-MX"/>
        </w:rPr>
        <w:t xml:space="preserve"> de</w:t>
      </w:r>
      <w:r w:rsidR="00487B0B" w:rsidRPr="00A657DC">
        <w:rPr>
          <w:rFonts w:ascii="Palatino Linotype" w:hAnsi="Palatino Linotype" w:cs="Arial"/>
          <w:b/>
          <w:lang w:val="es-MX"/>
        </w:rPr>
        <w:t>l</w:t>
      </w:r>
      <w:r w:rsidR="00C52CF0" w:rsidRPr="00A657DC">
        <w:rPr>
          <w:rFonts w:ascii="Palatino Linotype" w:hAnsi="Palatino Linotype" w:cs="Arial"/>
          <w:b/>
          <w:lang w:val="es-MX"/>
        </w:rPr>
        <w:t xml:space="preserve"> </w:t>
      </w:r>
      <w:r w:rsidR="00E81BCB" w:rsidRPr="00A657DC">
        <w:rPr>
          <w:rFonts w:ascii="Palatino Linotype" w:hAnsi="Palatino Linotype" w:cs="Arial"/>
          <w:b/>
          <w:lang w:val="es-MX"/>
        </w:rPr>
        <w:t>dos mil veintiuno</w:t>
      </w:r>
      <w:r w:rsidR="00D64A87" w:rsidRPr="00A657DC">
        <w:rPr>
          <w:rFonts w:ascii="Palatino Linotype" w:hAnsi="Palatino Linotype" w:cs="Arial"/>
          <w:lang w:val="es-MX"/>
        </w:rPr>
        <w:t xml:space="preserve">, el </w:t>
      </w:r>
      <w:r w:rsidR="00D64A87" w:rsidRPr="00A657DC">
        <w:rPr>
          <w:rFonts w:ascii="Palatino Linotype" w:hAnsi="Palatino Linotype" w:cs="Arial"/>
          <w:b/>
          <w:lang w:val="es-MX"/>
        </w:rPr>
        <w:t>Sujeto Obligado</w:t>
      </w:r>
      <w:r w:rsidR="00D64A87" w:rsidRPr="00A657DC">
        <w:rPr>
          <w:rFonts w:ascii="Palatino Linotype" w:hAnsi="Palatino Linotype" w:cs="Arial"/>
          <w:lang w:val="es-MX"/>
        </w:rPr>
        <w:t xml:space="preserve"> otorgó, a través del </w:t>
      </w:r>
      <w:r w:rsidR="00D64A87" w:rsidRPr="00A657DC">
        <w:rPr>
          <w:rFonts w:ascii="Palatino Linotype" w:hAnsi="Palatino Linotype" w:cs="Arial"/>
          <w:b/>
          <w:lang w:val="es-MX"/>
        </w:rPr>
        <w:t>SAIMEX</w:t>
      </w:r>
      <w:r w:rsidR="00D64A87" w:rsidRPr="00A657DC">
        <w:rPr>
          <w:rFonts w:ascii="Palatino Linotype" w:hAnsi="Palatino Linotype" w:cs="Arial"/>
          <w:lang w:val="es-MX"/>
        </w:rPr>
        <w:t>, respuesta a la solicitud de acceso a la i</w:t>
      </w:r>
      <w:r w:rsidR="00550D2B" w:rsidRPr="00A657DC">
        <w:rPr>
          <w:rFonts w:ascii="Palatino Linotype" w:hAnsi="Palatino Linotype" w:cs="Arial"/>
          <w:lang w:val="es-MX"/>
        </w:rPr>
        <w:t>nformación de la siguiente manera</w:t>
      </w:r>
      <w:r w:rsidR="00D64A87" w:rsidRPr="00A657DC">
        <w:rPr>
          <w:rFonts w:ascii="Palatino Linotype" w:hAnsi="Palatino Linotype" w:cs="Arial"/>
          <w:lang w:val="es-MX"/>
        </w:rPr>
        <w:t>:</w:t>
      </w:r>
    </w:p>
    <w:p w14:paraId="2866C200" w14:textId="2241AFD4" w:rsidR="00D64A87" w:rsidRPr="00A657DC" w:rsidRDefault="00D64A87" w:rsidP="00CE2CFF">
      <w:pPr>
        <w:spacing w:before="240" w:after="240"/>
        <w:ind w:left="851" w:right="902"/>
        <w:contextualSpacing/>
        <w:jc w:val="both"/>
        <w:rPr>
          <w:rFonts w:ascii="Palatino Linotype" w:hAnsi="Palatino Linotype" w:cs="Arial"/>
          <w:i/>
          <w:sz w:val="22"/>
          <w:szCs w:val="22"/>
          <w:lang w:val="es-MX"/>
        </w:rPr>
      </w:pPr>
      <w:r w:rsidRPr="00A657DC">
        <w:rPr>
          <w:rFonts w:ascii="Palatino Linotype" w:hAnsi="Palatino Linotype" w:cs="Arial"/>
          <w:i/>
          <w:sz w:val="22"/>
          <w:szCs w:val="22"/>
          <w:lang w:val="es-MX"/>
        </w:rPr>
        <w:t>“</w:t>
      </w:r>
      <w:r w:rsidR="00CE2CFF" w:rsidRPr="00A657DC">
        <w:rPr>
          <w:rFonts w:ascii="Palatino Linotype" w:hAnsi="Palatino Linotype" w:cs="Arial"/>
          <w:i/>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 PREGUNTA: “¿Qué es la COVATE, quién la integra, cuáles son sus funciones, desde cuándo funciona, qué programas y actividades realiza?” (</w:t>
      </w:r>
      <w:proofErr w:type="gramStart"/>
      <w:r w:rsidR="00CE2CFF" w:rsidRPr="00A657DC">
        <w:rPr>
          <w:rFonts w:ascii="Palatino Linotype" w:hAnsi="Palatino Linotype" w:cs="Arial"/>
          <w:i/>
          <w:sz w:val="22"/>
          <w:szCs w:val="22"/>
          <w:lang w:val="es-MX"/>
        </w:rPr>
        <w:t>sic</w:t>
      </w:r>
      <w:proofErr w:type="gramEnd"/>
      <w:r w:rsidR="00CE2CFF" w:rsidRPr="00A657DC">
        <w:rPr>
          <w:rFonts w:ascii="Palatino Linotype" w:hAnsi="Palatino Linotype" w:cs="Arial"/>
          <w:i/>
          <w:sz w:val="22"/>
          <w:szCs w:val="22"/>
          <w:lang w:val="es-MX"/>
        </w:rPr>
        <w:t xml:space="preserve">) RESPUESTA: La COVATE es la extinta Comisión para el Desarrollo Turístico del Valle de Teotihuacán, toda vez que mediante Decreto del Ejecutivo publicado en el Periódico Oficial “Gaceta del Gobierno” Sección Primera, el 11 de diciembre de 2020, se abrogó el diverso por el que se creó el organismo público descentralizado de carácter estatal, información que se puede consultar en la siguiente liga (https://legislacion.edomex.gob.mx/sites/legislacion.edomex.gob.mx/files/files/pdf/gct/2020/dic111.pdf, pág. 5). Ahora bien, la Comisión para el Desarrollo Turístico del Valle de </w:t>
      </w:r>
      <w:proofErr w:type="spellStart"/>
      <w:r w:rsidR="00CE2CFF" w:rsidRPr="00A657DC">
        <w:rPr>
          <w:rFonts w:ascii="Palatino Linotype" w:hAnsi="Palatino Linotype" w:cs="Arial"/>
          <w:i/>
          <w:sz w:val="22"/>
          <w:szCs w:val="22"/>
          <w:lang w:val="es-MX"/>
        </w:rPr>
        <w:t>Teotihuacan</w:t>
      </w:r>
      <w:proofErr w:type="spellEnd"/>
      <w:r w:rsidR="00CE2CFF" w:rsidRPr="00A657DC">
        <w:rPr>
          <w:rFonts w:ascii="Palatino Linotype" w:hAnsi="Palatino Linotype" w:cs="Arial"/>
          <w:i/>
          <w:sz w:val="22"/>
          <w:szCs w:val="22"/>
          <w:lang w:val="es-MX"/>
        </w:rPr>
        <w:t xml:space="preserve"> estuvo integrada por las unidades administrativas descritas en el artículo 13 del Reglamento Interior de la Comisión, mismo que se puede consultar en la siguiente liga.(https://legislacion.edomex.gob.mx/sites/legislacion.edomex.gob.mx/files/files/pdf/rgl/vig/rglvig324.pdf), cuyas funciones se establecieron en los artículos 16, 17 y 18 del propio Reglamento y en el Manual General de Organización publicado en el Periódico Oficial “Gaceta del Gobierno” de fecha 20 de noviembre de 2008, lo que consta en la siguiente página web (https://legislacion.edomex.gob.mx/sites/legislacion.edomex.gob.mx/files/files/pdf/gct/2008/nov204.pdf) La Comisión estuvo en operación a partir del día siguiente a la publicación del Decreto de su creación en el Periódico Oficial “Gaceta del Gobierno” del 6 de agosto de 2008, tal y como se observa en el sitio </w:t>
      </w:r>
      <w:r w:rsidR="00CE2CFF" w:rsidRPr="00A657DC">
        <w:rPr>
          <w:rFonts w:ascii="Palatino Linotype" w:hAnsi="Palatino Linotype" w:cs="Arial"/>
          <w:i/>
          <w:sz w:val="22"/>
          <w:szCs w:val="22"/>
          <w:lang w:val="es-MX"/>
        </w:rPr>
        <w:lastRenderedPageBreak/>
        <w:t xml:space="preserve">web (https://legislacion.edomex.gob.mx/sites/legislacion.edomex.gob.mx/files/files/pdf/gct/2008/ago063.pdf), y hasta el 11 de diciembre de 2020. Las actividades que en su momento realizaba la Comisión para el Desarrollo Turístico del Valle de </w:t>
      </w:r>
      <w:proofErr w:type="spellStart"/>
      <w:r w:rsidR="00CE2CFF" w:rsidRPr="00A657DC">
        <w:rPr>
          <w:rFonts w:ascii="Palatino Linotype" w:hAnsi="Palatino Linotype" w:cs="Arial"/>
          <w:i/>
          <w:sz w:val="22"/>
          <w:szCs w:val="22"/>
          <w:lang w:val="es-MX"/>
        </w:rPr>
        <w:t>Teotihuacan</w:t>
      </w:r>
      <w:proofErr w:type="spellEnd"/>
      <w:r w:rsidR="00CE2CFF" w:rsidRPr="00A657DC">
        <w:rPr>
          <w:rFonts w:ascii="Palatino Linotype" w:hAnsi="Palatino Linotype" w:cs="Arial"/>
          <w:i/>
          <w:sz w:val="22"/>
          <w:szCs w:val="22"/>
          <w:lang w:val="es-MX"/>
        </w:rPr>
        <w:t>, pueden consultarse en el link https://www.ipomex.org.mx/ipo3/lgt/indice/COVATE/art_92_iv/2.web. PREGUNTA: “¿Cuánto ha percibido el gobierno (tanto del Estado …) por el proyecto Experiencia nocturna en Teotihuacán) hasta la fecha? esto considerando el convenio de colaboración con el INAH firmado el 19 de octubre del 2019” (sic) RESPUESTA: derivado del “ACUERDO POR EL QUE SE ESTABLECEN LAS MEDIDAS PREVENTIVAS Y DE SEGURIDAD EN MATERIA SANITARIA, PARA EVITAR UN POSIBLE CONTAGIO DEL CORONAVIRUS (COVID-19), EN EL ESTADO DE MÉXICO.”, emitido por la Comisión para la Protección contra Riesgos Sanitarios del Estado de México el 23 de marzo de 2020, no se han percibido ingresos por el proyecto en comento. PREGUNTA: “¿Cuánto se invierte en la organización y logística del evento Experiencia nocturna en Teotihuacán?” (</w:t>
      </w:r>
      <w:proofErr w:type="gramStart"/>
      <w:r w:rsidR="00CE2CFF" w:rsidRPr="00A657DC">
        <w:rPr>
          <w:rFonts w:ascii="Palatino Linotype" w:hAnsi="Palatino Linotype" w:cs="Arial"/>
          <w:i/>
          <w:sz w:val="22"/>
          <w:szCs w:val="22"/>
          <w:lang w:val="es-MX"/>
        </w:rPr>
        <w:t>sic</w:t>
      </w:r>
      <w:proofErr w:type="gramEnd"/>
      <w:r w:rsidR="00CE2CFF" w:rsidRPr="00A657DC">
        <w:rPr>
          <w:rFonts w:ascii="Palatino Linotype" w:hAnsi="Palatino Linotype" w:cs="Arial"/>
          <w:i/>
          <w:sz w:val="22"/>
          <w:szCs w:val="22"/>
          <w:lang w:val="es-MX"/>
        </w:rPr>
        <w:t xml:space="preserve">) RESPUESTA: En este sentido, por la pandemia, el evento fue suspendido por lo que no se invierte nada en la organización y logística del evento Experiencia Nocturna en </w:t>
      </w:r>
      <w:proofErr w:type="spellStart"/>
      <w:r w:rsidR="00CE2CFF" w:rsidRPr="00A657DC">
        <w:rPr>
          <w:rFonts w:ascii="Palatino Linotype" w:hAnsi="Palatino Linotype" w:cs="Arial"/>
          <w:i/>
          <w:sz w:val="22"/>
          <w:szCs w:val="22"/>
          <w:lang w:val="es-MX"/>
        </w:rPr>
        <w:t>Teotihuacan</w:t>
      </w:r>
      <w:proofErr w:type="spellEnd"/>
      <w:r w:rsidR="00CE2CFF" w:rsidRPr="00A657DC">
        <w:rPr>
          <w:rFonts w:ascii="Palatino Linotype" w:hAnsi="Palatino Linotype" w:cs="Arial"/>
          <w:i/>
          <w:sz w:val="22"/>
          <w:szCs w:val="22"/>
          <w:lang w:val="es-MX"/>
        </w:rPr>
        <w:t xml:space="preserve">. PREGUNTA: “¿Quién realizó el audiovisual del evento Experiencia nocturna en Teotihuacán y qué empresa se encarga de proveer la tecnología? Incluir cuánto se ha pagado por dicho concepto y detalles sobre dichos contratos” (sic) RESPUESTA: La información relativa a quien realizó el audiovisual del evento Experiencia Nocturna en </w:t>
      </w:r>
      <w:proofErr w:type="spellStart"/>
      <w:r w:rsidR="00CE2CFF" w:rsidRPr="00A657DC">
        <w:rPr>
          <w:rFonts w:ascii="Palatino Linotype" w:hAnsi="Palatino Linotype" w:cs="Arial"/>
          <w:i/>
          <w:sz w:val="22"/>
          <w:szCs w:val="22"/>
          <w:lang w:val="es-MX"/>
        </w:rPr>
        <w:t>Teotihuacan</w:t>
      </w:r>
      <w:proofErr w:type="spellEnd"/>
      <w:r w:rsidR="00CE2CFF" w:rsidRPr="00A657DC">
        <w:rPr>
          <w:rFonts w:ascii="Palatino Linotype" w:hAnsi="Palatino Linotype" w:cs="Arial"/>
          <w:i/>
          <w:sz w:val="22"/>
          <w:szCs w:val="22"/>
          <w:lang w:val="es-MX"/>
        </w:rPr>
        <w:t xml:space="preserve"> y lo pagado por dicho concepto, se encuentra disponible en la liga (https://www.ipomex.org.mx/ipo/lgt/indice/turismo/licitaciones/0/0/1.web, fracción XXIXA). PREGUNTA: “¿Se han realizado convenios adicionales con tour operadoras y otros agentes privados para la provisión de servicios relativos a la Experiencia nocturna en Teotihuacán?” (</w:t>
      </w:r>
      <w:proofErr w:type="gramStart"/>
      <w:r w:rsidR="00CE2CFF" w:rsidRPr="00A657DC">
        <w:rPr>
          <w:rFonts w:ascii="Palatino Linotype" w:hAnsi="Palatino Linotype" w:cs="Arial"/>
          <w:i/>
          <w:sz w:val="22"/>
          <w:szCs w:val="22"/>
          <w:lang w:val="es-MX"/>
        </w:rPr>
        <w:t>sic</w:t>
      </w:r>
      <w:proofErr w:type="gramEnd"/>
      <w:r w:rsidR="00CE2CFF" w:rsidRPr="00A657DC">
        <w:rPr>
          <w:rFonts w:ascii="Palatino Linotype" w:hAnsi="Palatino Linotype" w:cs="Arial"/>
          <w:i/>
          <w:sz w:val="22"/>
          <w:szCs w:val="22"/>
          <w:lang w:val="es-MX"/>
        </w:rPr>
        <w:t xml:space="preserve">) RESPUESTA: Toda vez que la Comisión se extinguió en fecha 11 de diciembre de 2020, no se han realizado convenios adicionales con tour operadoras u otros entes privados para la provisión de servicios relativos al evento de Experiencia Nocturna en </w:t>
      </w:r>
      <w:proofErr w:type="spellStart"/>
      <w:r w:rsidR="00CE2CFF" w:rsidRPr="00A657DC">
        <w:rPr>
          <w:rFonts w:ascii="Palatino Linotype" w:hAnsi="Palatino Linotype" w:cs="Arial"/>
          <w:i/>
          <w:sz w:val="22"/>
          <w:szCs w:val="22"/>
          <w:lang w:val="es-MX"/>
        </w:rPr>
        <w:t>Teotihuacan</w:t>
      </w:r>
      <w:proofErr w:type="spellEnd"/>
      <w:r w:rsidR="00CE2CFF" w:rsidRPr="00A657DC">
        <w:rPr>
          <w:rFonts w:ascii="Palatino Linotype" w:hAnsi="Palatino Linotype" w:cs="Arial"/>
          <w:i/>
          <w:sz w:val="22"/>
          <w:szCs w:val="22"/>
          <w:lang w:val="es-MX"/>
        </w:rPr>
        <w:t xml:space="preserve">. En cuanto a los siguientes requerimientos “¿Quién aprueba los </w:t>
      </w:r>
      <w:proofErr w:type="spellStart"/>
      <w:r w:rsidR="00CE2CFF" w:rsidRPr="00A657DC">
        <w:rPr>
          <w:rFonts w:ascii="Palatino Linotype" w:hAnsi="Palatino Linotype" w:cs="Arial"/>
          <w:i/>
          <w:sz w:val="22"/>
          <w:szCs w:val="22"/>
          <w:lang w:val="es-MX"/>
        </w:rPr>
        <w:t>globopuertos</w:t>
      </w:r>
      <w:proofErr w:type="spellEnd"/>
      <w:r w:rsidR="00CE2CFF" w:rsidRPr="00A657DC">
        <w:rPr>
          <w:rFonts w:ascii="Palatino Linotype" w:hAnsi="Palatino Linotype" w:cs="Arial"/>
          <w:i/>
          <w:sz w:val="22"/>
          <w:szCs w:val="22"/>
          <w:lang w:val="es-MX"/>
        </w:rPr>
        <w:t xml:space="preserve"> en Teotihuacán y cuánto dinero perciben los Ayuntamientos y/o COVATE por este concepto?” (</w:t>
      </w:r>
      <w:proofErr w:type="gramStart"/>
      <w:r w:rsidR="00CE2CFF" w:rsidRPr="00A657DC">
        <w:rPr>
          <w:rFonts w:ascii="Palatino Linotype" w:hAnsi="Palatino Linotype" w:cs="Arial"/>
          <w:i/>
          <w:sz w:val="22"/>
          <w:szCs w:val="22"/>
          <w:lang w:val="es-MX"/>
        </w:rPr>
        <w:t>sic</w:t>
      </w:r>
      <w:proofErr w:type="gramEnd"/>
      <w:r w:rsidR="00CE2CFF" w:rsidRPr="00A657DC">
        <w:rPr>
          <w:rFonts w:ascii="Palatino Linotype" w:hAnsi="Palatino Linotype" w:cs="Arial"/>
          <w:i/>
          <w:sz w:val="22"/>
          <w:szCs w:val="22"/>
          <w:lang w:val="es-MX"/>
        </w:rPr>
        <w:t xml:space="preserve">), “¿Cuáles son los requisitos para instalar un nuevo </w:t>
      </w:r>
      <w:proofErr w:type="spellStart"/>
      <w:r w:rsidR="00CE2CFF" w:rsidRPr="00A657DC">
        <w:rPr>
          <w:rFonts w:ascii="Palatino Linotype" w:hAnsi="Palatino Linotype" w:cs="Arial"/>
          <w:i/>
          <w:sz w:val="22"/>
          <w:szCs w:val="22"/>
          <w:lang w:val="es-MX"/>
        </w:rPr>
        <w:t>globopuerto</w:t>
      </w:r>
      <w:proofErr w:type="spellEnd"/>
      <w:r w:rsidR="00CE2CFF" w:rsidRPr="00A657DC">
        <w:rPr>
          <w:rFonts w:ascii="Palatino Linotype" w:hAnsi="Palatino Linotype" w:cs="Arial"/>
          <w:i/>
          <w:sz w:val="22"/>
          <w:szCs w:val="22"/>
          <w:lang w:val="es-MX"/>
        </w:rPr>
        <w:t xml:space="preserve">?” (sic), y “¿Cuánto ha percibido el gobierno (…los ayuntamientos) por el proyecto Experiencia nocturna en Teotihuacán) hasta la fecha? esto considerando el convenio de colaboración con el INAH firmado el 19 de octubre del 2019”, se tiene la obligación de orientar al solicitante en el caso que </w:t>
      </w:r>
      <w:r w:rsidR="00CE2CFF" w:rsidRPr="00A657DC">
        <w:rPr>
          <w:rFonts w:ascii="Palatino Linotype" w:hAnsi="Palatino Linotype" w:cs="Arial"/>
          <w:i/>
          <w:sz w:val="22"/>
          <w:szCs w:val="22"/>
          <w:lang w:val="es-MX"/>
        </w:rPr>
        <w:lastRenderedPageBreak/>
        <w:t>una Entidad o Dependencia Pública ajena sea la Titular de la información solicitada, para que esta atienda su solicitud, como es el caso que nos ocupa, y sea el solicitante quién realice su requerimiento a la Dependencia o Unidad correspondiente. Por lo que se le sugiere remita dichos requerimientos al Ayuntamiento de Teotihuacán, cuya dirección, número telefónico oficial y correo electrónico oficial para recibir solicitudes de información pública, se pueden consultar en el siguiente link: https://www.ipomex.org.mx/ipo3/lgt/indice/TEOTIHUACAN/art_92_xvi/3.web</w:t>
      </w:r>
      <w:r w:rsidR="00147CBD" w:rsidRPr="00A657DC">
        <w:rPr>
          <w:rFonts w:ascii="Palatino Linotype" w:hAnsi="Palatino Linotype" w:cs="Arial"/>
          <w:i/>
          <w:sz w:val="22"/>
          <w:szCs w:val="22"/>
          <w:lang w:val="es-MX"/>
        </w:rPr>
        <w:t>”</w:t>
      </w:r>
      <w:r w:rsidR="00325E4F" w:rsidRPr="00A657DC">
        <w:rPr>
          <w:rFonts w:ascii="Palatino Linotype" w:hAnsi="Palatino Linotype" w:cs="Arial"/>
          <w:i/>
          <w:sz w:val="22"/>
          <w:szCs w:val="22"/>
          <w:lang w:val="es-MX"/>
        </w:rPr>
        <w:t xml:space="preserve"> </w:t>
      </w:r>
      <w:r w:rsidRPr="00A657DC">
        <w:rPr>
          <w:rFonts w:ascii="Palatino Linotype" w:hAnsi="Palatino Linotype" w:cs="Arial"/>
          <w:i/>
          <w:sz w:val="22"/>
          <w:szCs w:val="22"/>
          <w:lang w:val="es-MX"/>
        </w:rPr>
        <w:t>(</w:t>
      </w:r>
      <w:r w:rsidR="00C52CF0" w:rsidRPr="00A657DC">
        <w:rPr>
          <w:rFonts w:ascii="Palatino Linotype" w:hAnsi="Palatino Linotype" w:cs="Arial"/>
          <w:i/>
          <w:sz w:val="22"/>
          <w:szCs w:val="22"/>
          <w:lang w:val="es-MX"/>
        </w:rPr>
        <w:t>S</w:t>
      </w:r>
      <w:r w:rsidRPr="00A657DC">
        <w:rPr>
          <w:rFonts w:ascii="Palatino Linotype" w:hAnsi="Palatino Linotype" w:cs="Arial"/>
          <w:i/>
          <w:sz w:val="22"/>
          <w:szCs w:val="22"/>
          <w:lang w:val="es-MX"/>
        </w:rPr>
        <w:t>ic)</w:t>
      </w:r>
    </w:p>
    <w:p w14:paraId="08A1B707" w14:textId="77777777" w:rsidR="009509CF" w:rsidRPr="00A657DC" w:rsidRDefault="009509CF" w:rsidP="009509CF">
      <w:pPr>
        <w:spacing w:before="240" w:after="240"/>
        <w:ind w:left="851" w:right="902"/>
        <w:contextualSpacing/>
        <w:jc w:val="both"/>
        <w:rPr>
          <w:rFonts w:ascii="Palatino Linotype" w:hAnsi="Palatino Linotype" w:cs="Arial"/>
          <w:i/>
          <w:sz w:val="22"/>
          <w:szCs w:val="22"/>
          <w:lang w:val="es-MX"/>
        </w:rPr>
      </w:pPr>
    </w:p>
    <w:p w14:paraId="3EF74A9B" w14:textId="52687C27" w:rsidR="009509CF" w:rsidRPr="00A657DC" w:rsidRDefault="009509CF" w:rsidP="009509CF">
      <w:pPr>
        <w:spacing w:before="240" w:after="240"/>
        <w:ind w:left="851" w:right="902"/>
        <w:contextualSpacing/>
        <w:jc w:val="both"/>
        <w:rPr>
          <w:rFonts w:ascii="Palatino Linotype" w:hAnsi="Palatino Linotype" w:cs="Arial"/>
          <w:i/>
          <w:sz w:val="22"/>
          <w:szCs w:val="22"/>
          <w:lang w:val="es-MX"/>
        </w:rPr>
      </w:pPr>
      <w:r w:rsidRPr="00A657DC">
        <w:rPr>
          <w:rFonts w:ascii="Palatino Linotype" w:hAnsi="Palatino Linotype" w:cs="Arial"/>
          <w:i/>
          <w:sz w:val="22"/>
          <w:szCs w:val="22"/>
          <w:lang w:val="es-MX"/>
        </w:rPr>
        <w:t>(Énfasis añadido)</w:t>
      </w:r>
    </w:p>
    <w:p w14:paraId="42102EF4" w14:textId="7DC68440" w:rsidR="00297F13" w:rsidRPr="00A657DC" w:rsidRDefault="00297F13" w:rsidP="00CE2CFF">
      <w:pPr>
        <w:spacing w:before="240" w:after="240" w:line="360" w:lineRule="auto"/>
        <w:ind w:right="902"/>
        <w:contextualSpacing/>
        <w:jc w:val="both"/>
        <w:rPr>
          <w:rFonts w:ascii="Palatino Linotype" w:hAnsi="Palatino Linotype" w:cs="Arial"/>
          <w:b/>
          <w:bCs/>
          <w:iCs/>
          <w:lang w:val="es-MX"/>
        </w:rPr>
      </w:pPr>
    </w:p>
    <w:p w14:paraId="01E61432" w14:textId="77777777" w:rsidR="00297F13" w:rsidRPr="00A657DC" w:rsidRDefault="00297F13" w:rsidP="00550D2B">
      <w:pPr>
        <w:spacing w:before="240" w:after="240" w:line="360" w:lineRule="auto"/>
        <w:contextualSpacing/>
        <w:jc w:val="both"/>
        <w:rPr>
          <w:rFonts w:ascii="Palatino Linotype" w:hAnsi="Palatino Linotype" w:cs="Arial"/>
          <w:b/>
          <w:szCs w:val="28"/>
          <w:lang w:val="es-MX"/>
        </w:rPr>
      </w:pPr>
    </w:p>
    <w:p w14:paraId="57C759C6" w14:textId="3F6D74E3" w:rsidR="00683278" w:rsidRPr="00A657DC" w:rsidRDefault="009509CF" w:rsidP="00550D2B">
      <w:pPr>
        <w:spacing w:before="240" w:after="240" w:line="360" w:lineRule="auto"/>
        <w:contextualSpacing/>
        <w:jc w:val="both"/>
        <w:rPr>
          <w:rFonts w:ascii="Palatino Linotype" w:hAnsi="Palatino Linotype" w:cs="Arial"/>
          <w:lang w:val="es-MX"/>
        </w:rPr>
      </w:pPr>
      <w:r w:rsidRPr="00A657DC">
        <w:rPr>
          <w:rFonts w:ascii="Palatino Linotype" w:hAnsi="Palatino Linotype" w:cs="Arial"/>
          <w:b/>
          <w:szCs w:val="28"/>
          <w:lang w:val="es-MX"/>
        </w:rPr>
        <w:t>3</w:t>
      </w:r>
      <w:r w:rsidR="008E7698" w:rsidRPr="00A657DC">
        <w:rPr>
          <w:rFonts w:ascii="Palatino Linotype" w:hAnsi="Palatino Linotype" w:cs="Arial"/>
          <w:b/>
          <w:szCs w:val="28"/>
          <w:lang w:val="es-MX"/>
        </w:rPr>
        <w:t>. Recurso de revisión.</w:t>
      </w:r>
      <w:r w:rsidR="00550D2B" w:rsidRPr="00A657DC">
        <w:rPr>
          <w:rFonts w:ascii="Palatino Linotype" w:hAnsi="Palatino Linotype" w:cs="Arial"/>
          <w:b/>
          <w:sz w:val="22"/>
          <w:lang w:val="es-MX"/>
        </w:rPr>
        <w:t xml:space="preserve"> </w:t>
      </w:r>
      <w:r w:rsidR="00550D2B" w:rsidRPr="00A657DC">
        <w:rPr>
          <w:rFonts w:ascii="Palatino Linotype" w:hAnsi="Palatino Linotype" w:cs="Arial"/>
          <w:lang w:val="es-MX"/>
        </w:rPr>
        <w:t>Inconforme con la respuesta recibida, el Recurrente interpuso en</w:t>
      </w:r>
      <w:r w:rsidR="008E7698" w:rsidRPr="00A657DC">
        <w:rPr>
          <w:rFonts w:ascii="Palatino Linotype" w:hAnsi="Palatino Linotype" w:cs="Arial"/>
          <w:lang w:val="es-MX"/>
        </w:rPr>
        <w:t xml:space="preserve"> fecha</w:t>
      </w:r>
      <w:r w:rsidR="00FC3695" w:rsidRPr="00A657DC">
        <w:rPr>
          <w:rFonts w:ascii="Palatino Linotype" w:hAnsi="Palatino Linotype" w:cs="Arial"/>
          <w:lang w:val="es-MX"/>
        </w:rPr>
        <w:t xml:space="preserve"> </w:t>
      </w:r>
      <w:r w:rsidR="00C657B4" w:rsidRPr="00A657DC">
        <w:rPr>
          <w:rFonts w:ascii="Palatino Linotype" w:hAnsi="Palatino Linotype" w:cs="Arial"/>
          <w:b/>
          <w:lang w:val="es-MX"/>
        </w:rPr>
        <w:t>primero</w:t>
      </w:r>
      <w:r w:rsidR="00221AF3" w:rsidRPr="00A657DC">
        <w:rPr>
          <w:rFonts w:ascii="Palatino Linotype" w:hAnsi="Palatino Linotype" w:cs="Arial"/>
          <w:b/>
          <w:lang w:val="es-MX"/>
        </w:rPr>
        <w:t xml:space="preserve"> de </w:t>
      </w:r>
      <w:r w:rsidR="00297F13" w:rsidRPr="00A657DC">
        <w:rPr>
          <w:rFonts w:ascii="Palatino Linotype" w:hAnsi="Palatino Linotype" w:cs="Arial"/>
          <w:b/>
          <w:lang w:val="es-MX"/>
        </w:rPr>
        <w:t>septiembre</w:t>
      </w:r>
      <w:r w:rsidR="005B3D93" w:rsidRPr="00A657DC">
        <w:rPr>
          <w:rFonts w:ascii="Palatino Linotype" w:hAnsi="Palatino Linotype" w:cs="Arial"/>
          <w:b/>
          <w:lang w:val="es-MX"/>
        </w:rPr>
        <w:t xml:space="preserve"> del </w:t>
      </w:r>
      <w:r w:rsidR="00C6053C" w:rsidRPr="00A657DC">
        <w:rPr>
          <w:rFonts w:ascii="Palatino Linotype" w:hAnsi="Palatino Linotype" w:cs="Arial"/>
          <w:b/>
          <w:lang w:val="es-MX"/>
        </w:rPr>
        <w:t>año dos mil veintiuno</w:t>
      </w:r>
      <w:r w:rsidR="00437D10" w:rsidRPr="00A657DC">
        <w:rPr>
          <w:rFonts w:ascii="Palatino Linotype" w:hAnsi="Palatino Linotype" w:cs="Arial"/>
          <w:lang w:val="es-MX"/>
        </w:rPr>
        <w:t xml:space="preserve">, </w:t>
      </w:r>
      <w:r w:rsidR="00550D2B" w:rsidRPr="00A657DC">
        <w:rPr>
          <w:rFonts w:ascii="Palatino Linotype" w:hAnsi="Palatino Linotype" w:cs="Arial"/>
          <w:lang w:val="es-MX"/>
        </w:rPr>
        <w:t>el presente medio de impugnación expresando</w:t>
      </w:r>
      <w:r w:rsidR="008E7698" w:rsidRPr="00A657DC">
        <w:rPr>
          <w:rFonts w:ascii="Palatino Linotype" w:hAnsi="Palatino Linotype" w:cs="Arial"/>
          <w:lang w:val="es-MX"/>
        </w:rPr>
        <w:t xml:space="preserve"> las siguientes manifestaciones:</w:t>
      </w:r>
    </w:p>
    <w:p w14:paraId="0ECEB7CA" w14:textId="77777777" w:rsidR="00550D2B" w:rsidRPr="00A657DC" w:rsidRDefault="00550D2B" w:rsidP="00550D2B">
      <w:pPr>
        <w:spacing w:before="240" w:after="240" w:line="360" w:lineRule="auto"/>
        <w:contextualSpacing/>
        <w:jc w:val="both"/>
        <w:rPr>
          <w:rFonts w:ascii="Palatino Linotype" w:hAnsi="Palatino Linotype" w:cs="Arial"/>
          <w:lang w:val="es-MX"/>
        </w:rPr>
      </w:pPr>
    </w:p>
    <w:p w14:paraId="4BB47E28" w14:textId="3408FC64" w:rsidR="008E7698" w:rsidRPr="00A657DC" w:rsidRDefault="008E7698" w:rsidP="00AF299E">
      <w:pPr>
        <w:spacing w:before="240" w:after="240" w:line="360" w:lineRule="auto"/>
        <w:ind w:left="567"/>
        <w:contextualSpacing/>
        <w:rPr>
          <w:rFonts w:ascii="Palatino Linotype" w:hAnsi="Palatino Linotype" w:cs="Arial"/>
          <w:b/>
          <w:lang w:val="es-MX"/>
        </w:rPr>
      </w:pPr>
      <w:r w:rsidRPr="00A657DC">
        <w:rPr>
          <w:rFonts w:ascii="Palatino Linotype" w:hAnsi="Palatino Linotype" w:cs="Arial"/>
          <w:b/>
          <w:lang w:val="es-MX"/>
        </w:rPr>
        <w:t>a) Acto impugnado.</w:t>
      </w:r>
    </w:p>
    <w:p w14:paraId="76F6E0F5" w14:textId="0DF4A2F2" w:rsidR="00C6053C" w:rsidRPr="00A657DC" w:rsidRDefault="009B08DD" w:rsidP="00C657B4">
      <w:pPr>
        <w:spacing w:before="240" w:after="240"/>
        <w:ind w:left="851" w:right="902"/>
        <w:contextualSpacing/>
        <w:jc w:val="both"/>
        <w:rPr>
          <w:rFonts w:ascii="Palatino Linotype" w:hAnsi="Palatino Linotype" w:cs="Arial"/>
          <w:i/>
          <w:sz w:val="22"/>
          <w:szCs w:val="22"/>
          <w:lang w:val="es-MX"/>
        </w:rPr>
      </w:pPr>
      <w:r w:rsidRPr="00A657DC">
        <w:rPr>
          <w:rFonts w:ascii="Palatino Linotype" w:hAnsi="Palatino Linotype" w:cs="Arial"/>
          <w:i/>
          <w:sz w:val="22"/>
          <w:szCs w:val="22"/>
          <w:lang w:val="es-MX"/>
        </w:rPr>
        <w:t>“</w:t>
      </w:r>
      <w:r w:rsidR="00C657B4" w:rsidRPr="00A657DC">
        <w:rPr>
          <w:rFonts w:ascii="Palatino Linotype" w:hAnsi="Palatino Linotype" w:cs="Arial"/>
          <w:i/>
          <w:sz w:val="22"/>
          <w:szCs w:val="22"/>
          <w:lang w:val="es-MX"/>
        </w:rPr>
        <w:t xml:space="preserve">Como se observa, en la solicitud se pidieron los ingresos que el gobierno del Estado -a través de la Secretaría de Cultura y Turismo- han percibido por la Experiencia nocturna en Teotihuacán a partir de su inicio, a raíz del convenio de colaboración con el INAH: la respuesta solamente afirma que a partir de la pandemia no se han recibido ingresos pero se omite mencionar de los años anteriores. Hace falta agregar esa información, como también la proporcionó a su vez el INAH a través de la Zona arqueológica de Teotihuacán. </w:t>
      </w:r>
      <w:proofErr w:type="spellStart"/>
      <w:proofErr w:type="gramStart"/>
      <w:r w:rsidR="00297F13" w:rsidRPr="00A657DC">
        <w:rPr>
          <w:rFonts w:ascii="Palatino Linotype" w:hAnsi="Palatino Linotype" w:cs="Arial"/>
          <w:i/>
          <w:sz w:val="22"/>
          <w:szCs w:val="22"/>
          <w:lang w:val="es-MX"/>
        </w:rPr>
        <w:t>etc</w:t>
      </w:r>
      <w:proofErr w:type="spellEnd"/>
      <w:proofErr w:type="gramEnd"/>
      <w:r w:rsidR="00297F13" w:rsidRPr="00A657DC">
        <w:rPr>
          <w:rFonts w:ascii="Palatino Linotype" w:hAnsi="Palatino Linotype" w:cs="Arial"/>
          <w:i/>
          <w:sz w:val="22"/>
          <w:szCs w:val="22"/>
          <w:lang w:val="es-MX"/>
        </w:rPr>
        <w:t>)”</w:t>
      </w:r>
    </w:p>
    <w:p w14:paraId="14438B67" w14:textId="77777777" w:rsidR="00550D2B" w:rsidRPr="00A657DC" w:rsidRDefault="00550D2B" w:rsidP="00550D2B">
      <w:pPr>
        <w:spacing w:before="240" w:after="240" w:line="360" w:lineRule="auto"/>
        <w:ind w:left="567"/>
        <w:jc w:val="both"/>
        <w:rPr>
          <w:rFonts w:ascii="Palatino Linotype" w:hAnsi="Palatino Linotype" w:cs="Arial"/>
          <w:b/>
          <w:lang w:val="es-MX"/>
        </w:rPr>
      </w:pPr>
      <w:r w:rsidRPr="00A657DC">
        <w:rPr>
          <w:rFonts w:ascii="Palatino Linotype" w:hAnsi="Palatino Linotype" w:cs="Arial"/>
          <w:b/>
          <w:lang w:val="es-MX"/>
        </w:rPr>
        <w:t>b) Razones o motivos de inconformidad.</w:t>
      </w:r>
    </w:p>
    <w:p w14:paraId="07A25EE7" w14:textId="6D8B45F4" w:rsidR="00186B63" w:rsidRPr="00A657DC" w:rsidRDefault="009B08DD" w:rsidP="00C657B4">
      <w:pPr>
        <w:spacing w:before="240" w:after="240"/>
        <w:ind w:left="708"/>
        <w:jc w:val="both"/>
        <w:rPr>
          <w:rFonts w:ascii="Palatino Linotype" w:hAnsi="Palatino Linotype" w:cs="Arial"/>
          <w:b/>
          <w:lang w:val="es-MX"/>
        </w:rPr>
      </w:pPr>
      <w:r w:rsidRPr="00A657DC">
        <w:rPr>
          <w:rFonts w:ascii="Palatino Linotype" w:hAnsi="Palatino Linotype" w:cs="Arial"/>
          <w:i/>
          <w:sz w:val="22"/>
          <w:szCs w:val="22"/>
          <w:lang w:val="es-MX"/>
        </w:rPr>
        <w:t>“</w:t>
      </w:r>
      <w:r w:rsidR="00C657B4" w:rsidRPr="00A657DC">
        <w:rPr>
          <w:rFonts w:ascii="Palatino Linotype" w:hAnsi="Palatino Linotype" w:cs="Arial"/>
          <w:i/>
          <w:sz w:val="22"/>
          <w:szCs w:val="22"/>
          <w:lang w:val="es-MX"/>
        </w:rPr>
        <w:t xml:space="preserve">Como se observa, en la solicitud se pidieron los ingresos que el gobierno del Estado -a través de la Secretaría de Cultura y Turismo- </w:t>
      </w:r>
      <w:r w:rsidR="00C657B4" w:rsidRPr="00A657DC">
        <w:rPr>
          <w:rFonts w:ascii="Palatino Linotype" w:hAnsi="Palatino Linotype" w:cs="Arial"/>
          <w:b/>
          <w:i/>
          <w:sz w:val="22"/>
          <w:szCs w:val="22"/>
          <w:lang w:val="es-MX"/>
        </w:rPr>
        <w:t>han percibido por la Experiencia nocturna en Teotihuacán a partir de su inicio</w:t>
      </w:r>
      <w:r w:rsidR="00C657B4" w:rsidRPr="00A657DC">
        <w:rPr>
          <w:rFonts w:ascii="Palatino Linotype" w:hAnsi="Palatino Linotype" w:cs="Arial"/>
          <w:i/>
          <w:sz w:val="22"/>
          <w:szCs w:val="22"/>
          <w:lang w:val="es-MX"/>
        </w:rPr>
        <w:t>, a raíz del convenio de colaboración con el INAH: la respuesta solamente afirma que a partir de la pandemia no se han recibido ingresos pero se omite mencionar de los años anteriores. Hace falta agregar esa información, como también la proporcionó a su vez el INAH a través de la Zona arqueológica de Teotihuacán. “</w:t>
      </w:r>
      <w:r w:rsidR="00BD0BA2" w:rsidRPr="00A657DC">
        <w:rPr>
          <w:rFonts w:ascii="Palatino Linotype" w:hAnsi="Palatino Linotype" w:cs="Arial"/>
          <w:i/>
          <w:sz w:val="22"/>
          <w:szCs w:val="22"/>
          <w:lang w:val="es-MX"/>
        </w:rPr>
        <w:t>(</w:t>
      </w:r>
      <w:r w:rsidR="00683278" w:rsidRPr="00A657DC">
        <w:rPr>
          <w:rFonts w:ascii="Palatino Linotype" w:hAnsi="Palatino Linotype" w:cs="Arial"/>
          <w:i/>
          <w:sz w:val="22"/>
          <w:szCs w:val="22"/>
          <w:lang w:val="es-MX"/>
        </w:rPr>
        <w:t>S</w:t>
      </w:r>
      <w:r w:rsidR="009F704F" w:rsidRPr="00A657DC">
        <w:rPr>
          <w:rFonts w:ascii="Palatino Linotype" w:hAnsi="Palatino Linotype" w:cs="Arial"/>
          <w:i/>
          <w:sz w:val="22"/>
          <w:szCs w:val="22"/>
          <w:lang w:val="es-MX"/>
        </w:rPr>
        <w:t>ic)</w:t>
      </w:r>
    </w:p>
    <w:p w14:paraId="1D62F603" w14:textId="53BD4756" w:rsidR="00D41D70" w:rsidRPr="00A657DC" w:rsidRDefault="009509CF" w:rsidP="00AF299E">
      <w:pPr>
        <w:spacing w:before="240" w:after="240" w:line="360" w:lineRule="auto"/>
        <w:jc w:val="both"/>
        <w:rPr>
          <w:rFonts w:ascii="Palatino Linotype" w:eastAsia="Calibri" w:hAnsi="Palatino Linotype" w:cs="Arial"/>
          <w:lang w:val="es-MX"/>
        </w:rPr>
      </w:pPr>
      <w:r w:rsidRPr="00A657DC">
        <w:rPr>
          <w:rFonts w:ascii="Palatino Linotype" w:hAnsi="Palatino Linotype" w:cs="Arial"/>
          <w:b/>
          <w:szCs w:val="28"/>
          <w:lang w:val="es-MX"/>
        </w:rPr>
        <w:lastRenderedPageBreak/>
        <w:t>4</w:t>
      </w:r>
      <w:r w:rsidR="008E7698" w:rsidRPr="00A657DC">
        <w:rPr>
          <w:rFonts w:ascii="Palatino Linotype" w:hAnsi="Palatino Linotype" w:cs="Arial"/>
          <w:b/>
          <w:szCs w:val="28"/>
          <w:lang w:val="es-MX"/>
        </w:rPr>
        <w:t xml:space="preserve">. </w:t>
      </w:r>
      <w:r w:rsidR="00D41D70" w:rsidRPr="00A657DC">
        <w:rPr>
          <w:rFonts w:ascii="Palatino Linotype" w:eastAsia="Calibri" w:hAnsi="Palatino Linotype" w:cs="Arial"/>
          <w:b/>
          <w:szCs w:val="28"/>
          <w:lang w:val="es-MX"/>
        </w:rPr>
        <w:t xml:space="preserve">Turno. </w:t>
      </w:r>
      <w:r w:rsidR="00D41D70" w:rsidRPr="00A657DC">
        <w:rPr>
          <w:rFonts w:ascii="Palatino Linotype" w:eastAsia="Calibri" w:hAnsi="Palatino Linotype" w:cs="Arial"/>
          <w:lang w:val="es-MX"/>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A657DC">
        <w:rPr>
          <w:rFonts w:ascii="Palatino Linotype" w:hAnsi="Palatino Linotype" w:cs="Arial"/>
          <w:lang w:val="es-MX"/>
        </w:rPr>
        <w:t>p</w:t>
      </w:r>
      <w:r w:rsidR="000454C1" w:rsidRPr="00A657DC">
        <w:rPr>
          <w:rFonts w:ascii="Palatino Linotype" w:hAnsi="Palatino Linotype" w:cs="Arial"/>
          <w:lang w:val="es-MX"/>
        </w:rPr>
        <w:t>or r</w:t>
      </w:r>
      <w:r w:rsidR="00325E4F" w:rsidRPr="00A657DC">
        <w:rPr>
          <w:rFonts w:ascii="Palatino Linotype" w:hAnsi="Palatino Linotype" w:cs="Arial"/>
          <w:lang w:val="es-MX"/>
        </w:rPr>
        <w:t xml:space="preserve">azón de turno fue asignado  a la </w:t>
      </w:r>
      <w:r w:rsidR="000454C1" w:rsidRPr="00A657DC">
        <w:rPr>
          <w:rFonts w:ascii="Palatino Linotype" w:hAnsi="Palatino Linotype" w:cs="Arial"/>
          <w:lang w:val="es-MX"/>
        </w:rPr>
        <w:t xml:space="preserve"> </w:t>
      </w:r>
      <w:r w:rsidR="00C56BA8" w:rsidRPr="00A657DC">
        <w:rPr>
          <w:rFonts w:ascii="Palatino Linotype" w:hAnsi="Palatino Linotype" w:cs="Arial"/>
          <w:lang w:val="es-MX"/>
        </w:rPr>
        <w:t xml:space="preserve"> </w:t>
      </w:r>
      <w:r w:rsidR="00D41D70" w:rsidRPr="00A657DC">
        <w:rPr>
          <w:rFonts w:ascii="Palatino Linotype" w:eastAsia="Calibri" w:hAnsi="Palatino Linotype" w:cs="Arial"/>
          <w:lang w:val="es-MX"/>
        </w:rPr>
        <w:t xml:space="preserve"> </w:t>
      </w:r>
      <w:r w:rsidR="00D41D70" w:rsidRPr="00A657DC">
        <w:rPr>
          <w:rFonts w:ascii="Palatino Linotype" w:eastAsia="Calibri" w:hAnsi="Palatino Linotype" w:cs="Arial"/>
          <w:b/>
          <w:lang w:val="es-MX"/>
        </w:rPr>
        <w:t>Comisionad</w:t>
      </w:r>
      <w:r w:rsidR="00325E4F" w:rsidRPr="00A657DC">
        <w:rPr>
          <w:rFonts w:ascii="Palatino Linotype" w:eastAsia="Calibri" w:hAnsi="Palatino Linotype" w:cs="Arial"/>
          <w:b/>
          <w:lang w:val="es-MX"/>
        </w:rPr>
        <w:t>a</w:t>
      </w:r>
      <w:r w:rsidR="00D41D70" w:rsidRPr="00A657DC">
        <w:rPr>
          <w:rFonts w:ascii="Palatino Linotype" w:eastAsia="Calibri" w:hAnsi="Palatino Linotype" w:cs="Arial"/>
          <w:lang w:val="es-MX"/>
        </w:rPr>
        <w:t xml:space="preserve"> </w:t>
      </w:r>
      <w:r w:rsidR="00325E4F" w:rsidRPr="00A657DC">
        <w:rPr>
          <w:rFonts w:ascii="Palatino Linotype" w:eastAsia="Calibri" w:hAnsi="Palatino Linotype" w:cs="Arial"/>
          <w:b/>
          <w:lang w:val="es-MX"/>
        </w:rPr>
        <w:t>Guadalupe Ramírez Peña</w:t>
      </w:r>
      <w:r w:rsidR="00C56BA8" w:rsidRPr="00A657DC">
        <w:rPr>
          <w:rFonts w:ascii="Palatino Linotype" w:hAnsi="Palatino Linotype" w:cs="Arial"/>
          <w:lang w:val="es-MX"/>
        </w:rPr>
        <w:t xml:space="preserve"> </w:t>
      </w:r>
      <w:r w:rsidR="00D41D70" w:rsidRPr="00A657DC">
        <w:rPr>
          <w:rFonts w:ascii="Palatino Linotype" w:hAnsi="Palatino Linotype" w:cs="Arial"/>
          <w:lang w:val="es-MX"/>
        </w:rPr>
        <w:t xml:space="preserve">a su análisis, estudio, elaboración del proyecto y </w:t>
      </w:r>
      <w:r w:rsidR="00D41D70" w:rsidRPr="00A657DC">
        <w:rPr>
          <w:rFonts w:ascii="Palatino Linotype" w:eastAsia="Calibri" w:hAnsi="Palatino Linotype" w:cs="Arial"/>
          <w:lang w:val="es-MX"/>
        </w:rPr>
        <w:t>presentación ante el Pleno de este Instituto.</w:t>
      </w:r>
    </w:p>
    <w:p w14:paraId="386D05F8" w14:textId="0A307340" w:rsidR="00282559" w:rsidRPr="00A657DC" w:rsidRDefault="009509CF" w:rsidP="00184FBA">
      <w:pPr>
        <w:spacing w:before="240" w:after="240" w:line="360" w:lineRule="auto"/>
        <w:jc w:val="both"/>
        <w:rPr>
          <w:rFonts w:ascii="Palatino Linotype" w:hAnsi="Palatino Linotype" w:cs="Arial"/>
          <w:lang w:val="es-MX"/>
        </w:rPr>
      </w:pPr>
      <w:r w:rsidRPr="00A657DC">
        <w:rPr>
          <w:rFonts w:ascii="Palatino Linotype" w:hAnsi="Palatino Linotype" w:cs="Arial"/>
          <w:b/>
          <w:szCs w:val="28"/>
          <w:lang w:val="es-MX"/>
        </w:rPr>
        <w:t>5</w:t>
      </w:r>
      <w:r w:rsidR="00D41D70" w:rsidRPr="00A657DC">
        <w:rPr>
          <w:rFonts w:ascii="Palatino Linotype" w:hAnsi="Palatino Linotype" w:cs="Arial"/>
          <w:b/>
          <w:szCs w:val="28"/>
          <w:lang w:val="es-MX"/>
        </w:rPr>
        <w:t xml:space="preserve">. Admisión. </w:t>
      </w:r>
      <w:r w:rsidR="00D41D70" w:rsidRPr="00A657DC">
        <w:rPr>
          <w:rFonts w:ascii="Palatino Linotype" w:hAnsi="Palatino Linotype" w:cs="Arial"/>
          <w:lang w:val="es-MX"/>
        </w:rPr>
        <w:t>Mediante auto de fecha</w:t>
      </w:r>
      <w:r w:rsidR="004E75F4" w:rsidRPr="00A657DC">
        <w:rPr>
          <w:rFonts w:ascii="Palatino Linotype" w:hAnsi="Palatino Linotype" w:cs="Arial"/>
          <w:lang w:val="es-MX"/>
        </w:rPr>
        <w:t xml:space="preserve"> diecisiete</w:t>
      </w:r>
      <w:r w:rsidR="00221AF3" w:rsidRPr="00A657DC">
        <w:rPr>
          <w:rFonts w:ascii="Palatino Linotype" w:hAnsi="Palatino Linotype" w:cs="Arial"/>
          <w:b/>
          <w:lang w:val="es-MX"/>
        </w:rPr>
        <w:t xml:space="preserve"> de </w:t>
      </w:r>
      <w:r w:rsidR="004E75F4" w:rsidRPr="00A657DC">
        <w:rPr>
          <w:rFonts w:ascii="Palatino Linotype" w:hAnsi="Palatino Linotype" w:cs="Arial"/>
          <w:b/>
          <w:lang w:val="es-MX"/>
        </w:rPr>
        <w:t>septiembre</w:t>
      </w:r>
      <w:r w:rsidR="005B3D93" w:rsidRPr="00A657DC">
        <w:rPr>
          <w:rFonts w:ascii="Palatino Linotype" w:hAnsi="Palatino Linotype" w:cs="Arial"/>
          <w:b/>
          <w:lang w:val="es-MX"/>
        </w:rPr>
        <w:t xml:space="preserve"> </w:t>
      </w:r>
      <w:r w:rsidR="00D41D70" w:rsidRPr="00A657DC">
        <w:rPr>
          <w:rFonts w:ascii="Palatino Linotype" w:hAnsi="Palatino Linotype" w:cs="Arial"/>
          <w:b/>
          <w:lang w:val="es-MX"/>
        </w:rPr>
        <w:t>de</w:t>
      </w:r>
      <w:r w:rsidR="00047F41" w:rsidRPr="00A657DC">
        <w:rPr>
          <w:rFonts w:ascii="Palatino Linotype" w:hAnsi="Palatino Linotype" w:cs="Arial"/>
          <w:b/>
          <w:lang w:val="es-MX"/>
        </w:rPr>
        <w:t>l</w:t>
      </w:r>
      <w:r w:rsidR="00D41D70" w:rsidRPr="00A657DC">
        <w:rPr>
          <w:rFonts w:ascii="Palatino Linotype" w:hAnsi="Palatino Linotype" w:cs="Arial"/>
          <w:b/>
          <w:lang w:val="es-MX"/>
        </w:rPr>
        <w:t xml:space="preserve"> dos mil </w:t>
      </w:r>
      <w:r w:rsidR="00C6053C" w:rsidRPr="00A657DC">
        <w:rPr>
          <w:rFonts w:ascii="Palatino Linotype" w:hAnsi="Palatino Linotype" w:cs="Arial"/>
          <w:b/>
          <w:lang w:val="es-MX"/>
        </w:rPr>
        <w:t>veintiuno</w:t>
      </w:r>
      <w:r w:rsidR="00D41D70" w:rsidRPr="00A657DC">
        <w:rPr>
          <w:rFonts w:ascii="Palatino Linotype" w:hAnsi="Palatino Linotype" w:cs="Arial"/>
          <w:lang w:val="es-MX"/>
        </w:rPr>
        <w:t xml:space="preserve">, este Órgano Garante, admitió a trámite el recurso de revisión respectivo, </w:t>
      </w:r>
      <w:r w:rsidR="00BD000E" w:rsidRPr="00A657DC">
        <w:rPr>
          <w:rFonts w:ascii="Palatino Linotype" w:hAnsi="Palatino Linotype" w:cs="Arial"/>
          <w:lang w:val="es-MX"/>
        </w:rPr>
        <w:t xml:space="preserve">poniéndose </w:t>
      </w:r>
      <w:r w:rsidR="00D41D70" w:rsidRPr="00A657DC">
        <w:rPr>
          <w:rFonts w:ascii="Palatino Linotype" w:hAnsi="Palatino Linotype" w:cs="Arial"/>
          <w:lang w:val="es-MX"/>
        </w:rPr>
        <w:t xml:space="preserve">a disposición de las partes, para que </w:t>
      </w:r>
      <w:r w:rsidR="00C71A66" w:rsidRPr="00A657DC">
        <w:rPr>
          <w:rFonts w:ascii="Palatino Linotype" w:hAnsi="Palatino Linotype" w:cs="Arial"/>
          <w:lang w:val="es-MX"/>
        </w:rPr>
        <w:t>un plazo no mayor a siete días hábiles manifestase</w:t>
      </w:r>
      <w:r w:rsidR="00D41D70" w:rsidRPr="00A657DC">
        <w:rPr>
          <w:rFonts w:ascii="Palatino Linotype" w:hAnsi="Palatino Linotype" w:cs="Arial"/>
          <w:lang w:val="es-MX"/>
        </w:rPr>
        <w:t xml:space="preserve"> lo que a su derecho corresponda</w:t>
      </w:r>
      <w:r w:rsidR="00BD000E" w:rsidRPr="00A657DC">
        <w:rPr>
          <w:rFonts w:ascii="Palatino Linotype" w:hAnsi="Palatino Linotype" w:cs="Arial"/>
          <w:lang w:val="es-MX"/>
        </w:rPr>
        <w:t xml:space="preserve">, a efecto de ofrecer pruebas, informe justificado y alegatos, lo anterior con fundamento en el artículo 185 fracciones I, II y IV de la Ley de Transparencia y Acceso a la Información </w:t>
      </w:r>
      <w:r w:rsidR="00D50580" w:rsidRPr="00A657DC">
        <w:rPr>
          <w:rFonts w:ascii="Palatino Linotype" w:hAnsi="Palatino Linotype" w:cs="Arial"/>
          <w:lang w:val="es-MX"/>
        </w:rPr>
        <w:t>Pública</w:t>
      </w:r>
      <w:r w:rsidR="00BD000E" w:rsidRPr="00A657DC">
        <w:rPr>
          <w:rFonts w:ascii="Palatino Linotype" w:hAnsi="Palatino Linotype" w:cs="Arial"/>
          <w:lang w:val="es-MX"/>
        </w:rPr>
        <w:t xml:space="preserve"> del </w:t>
      </w:r>
      <w:r w:rsidR="00104E08" w:rsidRPr="00A657DC">
        <w:rPr>
          <w:rFonts w:ascii="Palatino Linotype" w:hAnsi="Palatino Linotype" w:cs="Arial"/>
          <w:lang w:val="es-MX"/>
        </w:rPr>
        <w:t>E</w:t>
      </w:r>
      <w:r w:rsidR="00BD000E" w:rsidRPr="00A657DC">
        <w:rPr>
          <w:rFonts w:ascii="Palatino Linotype" w:hAnsi="Palatino Linotype" w:cs="Arial"/>
          <w:lang w:val="es-MX"/>
        </w:rPr>
        <w:t>stado de México y Municipios.</w:t>
      </w:r>
      <w:r w:rsidR="00D41D70" w:rsidRPr="00A657DC">
        <w:rPr>
          <w:rFonts w:ascii="Palatino Linotype" w:hAnsi="Palatino Linotype" w:cs="Arial"/>
          <w:lang w:val="es-MX"/>
        </w:rPr>
        <w:t xml:space="preserve"> </w:t>
      </w:r>
    </w:p>
    <w:p w14:paraId="71B9FF61" w14:textId="520C581D" w:rsidR="00460895" w:rsidRPr="00A657DC" w:rsidRDefault="005B3D93"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A657DC">
        <w:rPr>
          <w:rFonts w:ascii="Palatino Linotype" w:hAnsi="Palatino Linotype" w:cs="Arial"/>
          <w:b/>
          <w:szCs w:val="28"/>
          <w:lang w:val="es-MX"/>
        </w:rPr>
        <w:t>6</w:t>
      </w:r>
      <w:r w:rsidR="00221AF3" w:rsidRPr="00A657DC">
        <w:rPr>
          <w:rFonts w:ascii="Palatino Linotype" w:hAnsi="Palatino Linotype" w:cs="Arial"/>
          <w:b/>
          <w:szCs w:val="28"/>
          <w:lang w:val="es-MX"/>
        </w:rPr>
        <w:t>.</w:t>
      </w:r>
      <w:r w:rsidR="00550D2B" w:rsidRPr="00A657DC">
        <w:rPr>
          <w:rFonts w:ascii="Palatino Linotype" w:hAnsi="Palatino Linotype" w:cs="Arial"/>
          <w:b/>
          <w:szCs w:val="28"/>
          <w:lang w:val="es-MX"/>
        </w:rPr>
        <w:t xml:space="preserve"> Manifestaciones.</w:t>
      </w:r>
      <w:r w:rsidR="00550D2B" w:rsidRPr="00A657DC">
        <w:rPr>
          <w:rFonts w:ascii="Palatino Linotype" w:hAnsi="Palatino Linotype" w:cs="Arial"/>
          <w:b/>
          <w:sz w:val="28"/>
          <w:szCs w:val="28"/>
          <w:lang w:val="es-MX"/>
        </w:rPr>
        <w:t xml:space="preserve"> </w:t>
      </w:r>
      <w:r w:rsidR="00CF3CCD" w:rsidRPr="00A657DC">
        <w:rPr>
          <w:rFonts w:ascii="Palatino Linotype" w:hAnsi="Palatino Linotype" w:cs="Arial"/>
          <w:lang w:val="es-MX"/>
        </w:rPr>
        <w:t xml:space="preserve">De las constancias que integran el expediente en que se actúan se advierte que </w:t>
      </w:r>
      <w:r w:rsidR="00C657B4" w:rsidRPr="00A657DC">
        <w:rPr>
          <w:rFonts w:ascii="Palatino Linotype" w:hAnsi="Palatino Linotype" w:cs="Arial"/>
          <w:lang w:val="es-MX"/>
        </w:rPr>
        <w:t>el SUJETO OBLIGADO  en fecha veinticuatro de septiembre de la presente anualidad remitió en vía de su informe justificado el archivo denominado “recurso 441924-09-2021-131319.pdf” en cuyo contenido se observa la Balanza de Comprobación Detallada del 01 de enero de 2016 al 31 de diciembre de mismo año.</w:t>
      </w:r>
    </w:p>
    <w:p w14:paraId="3E9D2774" w14:textId="45EE63A2" w:rsidR="00C657B4" w:rsidRPr="00A657DC" w:rsidRDefault="00C657B4"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A657DC">
        <w:rPr>
          <w:rFonts w:ascii="Palatino Linotype" w:hAnsi="Palatino Linotype" w:cs="Arial"/>
          <w:lang w:val="es-MX"/>
        </w:rPr>
        <w:t xml:space="preserve">Información anterior que fue puesta a la vista del particular en fecha 03 de diciembre de la presente anualidad, en términos de lo previsto en la fracción III del numeral 185 de la ley  local en la materia. </w:t>
      </w:r>
    </w:p>
    <w:p w14:paraId="65710734" w14:textId="2AFA4EE6" w:rsidR="00C657B4" w:rsidRPr="00A657DC" w:rsidRDefault="00C657B4"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A657DC">
        <w:rPr>
          <w:rFonts w:ascii="Palatino Linotype" w:hAnsi="Palatino Linotype" w:cs="Arial"/>
          <w:lang w:val="es-MX"/>
        </w:rPr>
        <w:lastRenderedPageBreak/>
        <w:t xml:space="preserve">Así mismo, de las constancias que integran el expediente electrónico formado en el SAIMEX con motivo del recurso de revisión se advierte el silencio por parte del ahora recurrente,  en este sentido y agotado el término para efectos de pronunciarse al respecto se determina que se tiene por precluido el derecho del particular en este aspecto. </w:t>
      </w:r>
    </w:p>
    <w:p w14:paraId="4F0F0ADE" w14:textId="77777777" w:rsidR="00C657B4" w:rsidRPr="00A657DC" w:rsidRDefault="00C657B4"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p>
    <w:p w14:paraId="776C2D84" w14:textId="1C0E6C7A" w:rsidR="00A87549" w:rsidRPr="00A657DC" w:rsidRDefault="00A87549"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A657DC">
        <w:rPr>
          <w:rFonts w:ascii="Palatino Linotype" w:hAnsi="Palatino Linotype" w:cs="Arial"/>
          <w:lang w:val="es-MX"/>
        </w:rPr>
        <w:t xml:space="preserve">7. </w:t>
      </w:r>
      <w:r w:rsidRPr="00A657DC">
        <w:rPr>
          <w:rFonts w:ascii="Palatino Linotype" w:hAnsi="Palatino Linotype" w:cs="Arial"/>
          <w:b/>
        </w:rPr>
        <w:t>Ampliación de plazo.</w:t>
      </w:r>
      <w:r w:rsidR="00112DDD" w:rsidRPr="00A657DC">
        <w:rPr>
          <w:rFonts w:ascii="Palatino Linotype" w:hAnsi="Palatino Linotype" w:cs="Arial"/>
        </w:rPr>
        <w:t xml:space="preserve"> En fecha dieciséis</w:t>
      </w:r>
      <w:r w:rsidRPr="00A657DC">
        <w:rPr>
          <w:rFonts w:ascii="Palatino Linotype" w:hAnsi="Palatino Linotype" w:cs="Arial"/>
        </w:rPr>
        <w:t xml:space="preserve"> de diciembre de dos mil veintiuno con fundamento en el artículo 181, párrafo tercero de la Ley de Transparencia y Acceso a la Información Pública del Estado de México y Municipios, se acordó la aplicación del plazo para su resolución.</w:t>
      </w:r>
    </w:p>
    <w:p w14:paraId="5126E0CC" w14:textId="1242139B" w:rsidR="006031FE" w:rsidRPr="00A657DC" w:rsidRDefault="00A87549" w:rsidP="00F0165C">
      <w:pPr>
        <w:widowControl w:val="0"/>
        <w:autoSpaceDE w:val="0"/>
        <w:autoSpaceDN w:val="0"/>
        <w:adjustRightInd w:val="0"/>
        <w:spacing w:line="360" w:lineRule="auto"/>
        <w:jc w:val="both"/>
        <w:rPr>
          <w:rFonts w:ascii="Palatino Linotype" w:hAnsi="Palatino Linotype" w:cs="Arial"/>
          <w:b/>
          <w:lang w:val="es-MX"/>
        </w:rPr>
      </w:pPr>
      <w:r w:rsidRPr="00A657DC">
        <w:rPr>
          <w:rFonts w:ascii="Palatino Linotype" w:hAnsi="Palatino Linotype" w:cs="Arial"/>
          <w:b/>
          <w:lang w:val="es-MX"/>
        </w:rPr>
        <w:t>8</w:t>
      </w:r>
      <w:r w:rsidR="00460895" w:rsidRPr="00A657DC">
        <w:rPr>
          <w:rFonts w:ascii="Palatino Linotype" w:hAnsi="Palatino Linotype" w:cs="Arial"/>
          <w:b/>
          <w:lang w:val="es-MX"/>
        </w:rPr>
        <w:t xml:space="preserve">. </w:t>
      </w:r>
      <w:r w:rsidR="006747B5" w:rsidRPr="00A657DC">
        <w:rPr>
          <w:rFonts w:ascii="Palatino Linotype" w:eastAsia="Calibri" w:hAnsi="Palatino Linotype" w:cs="Arial"/>
          <w:b/>
          <w:szCs w:val="28"/>
          <w:lang w:val="es-MX"/>
        </w:rPr>
        <w:t xml:space="preserve">Cierre de Instrucción. </w:t>
      </w:r>
      <w:r w:rsidR="00C77FCC" w:rsidRPr="00A657DC">
        <w:rPr>
          <w:rFonts w:ascii="Palatino Linotype" w:eastAsia="Calibri" w:hAnsi="Palatino Linotype" w:cs="Arial"/>
          <w:szCs w:val="28"/>
          <w:lang w:val="es-MX"/>
        </w:rPr>
        <w:t xml:space="preserve">En </w:t>
      </w:r>
      <w:r w:rsidR="009509CF" w:rsidRPr="00A657DC">
        <w:rPr>
          <w:rFonts w:ascii="Palatino Linotype" w:eastAsia="Calibri" w:hAnsi="Palatino Linotype" w:cs="Arial"/>
          <w:szCs w:val="28"/>
          <w:lang w:val="es-MX"/>
        </w:rPr>
        <w:t xml:space="preserve">fecha </w:t>
      </w:r>
      <w:r w:rsidR="00112DDD" w:rsidRPr="00A657DC">
        <w:rPr>
          <w:rFonts w:ascii="Palatino Linotype" w:eastAsia="Calibri" w:hAnsi="Palatino Linotype" w:cs="Arial"/>
          <w:szCs w:val="28"/>
          <w:lang w:val="es-MX"/>
        </w:rPr>
        <w:t>dieciséis</w:t>
      </w:r>
      <w:r w:rsidR="002F7C94" w:rsidRPr="00A657DC">
        <w:rPr>
          <w:rFonts w:ascii="Palatino Linotype" w:eastAsia="Calibri" w:hAnsi="Palatino Linotype" w:cs="Arial"/>
          <w:szCs w:val="28"/>
          <w:lang w:val="es-MX"/>
        </w:rPr>
        <w:t xml:space="preserve"> de </w:t>
      </w:r>
      <w:r w:rsidR="00AE3115" w:rsidRPr="00A657DC">
        <w:rPr>
          <w:rFonts w:ascii="Palatino Linotype" w:eastAsia="Calibri" w:hAnsi="Palatino Linotype" w:cs="Arial"/>
          <w:szCs w:val="28"/>
          <w:lang w:val="es-MX"/>
        </w:rPr>
        <w:t>diciembre</w:t>
      </w:r>
      <w:r w:rsidR="00C11F89" w:rsidRPr="00A657DC">
        <w:rPr>
          <w:rFonts w:ascii="Palatino Linotype" w:eastAsia="Calibri" w:hAnsi="Palatino Linotype" w:cs="Arial"/>
          <w:szCs w:val="28"/>
          <w:lang w:val="es-MX"/>
        </w:rPr>
        <w:t xml:space="preserve"> de</w:t>
      </w:r>
      <w:r w:rsidR="00683278" w:rsidRPr="00A657DC">
        <w:rPr>
          <w:rFonts w:ascii="Palatino Linotype" w:eastAsia="Calibri" w:hAnsi="Palatino Linotype" w:cs="Arial"/>
          <w:szCs w:val="28"/>
          <w:lang w:val="es-MX"/>
        </w:rPr>
        <w:t xml:space="preserve">l año </w:t>
      </w:r>
      <w:r w:rsidR="00D91D87" w:rsidRPr="00A657DC">
        <w:rPr>
          <w:rFonts w:ascii="Palatino Linotype" w:eastAsia="Calibri" w:hAnsi="Palatino Linotype" w:cs="Arial"/>
          <w:szCs w:val="28"/>
          <w:lang w:val="es-MX"/>
        </w:rPr>
        <w:t>dos mil veintiuno</w:t>
      </w:r>
      <w:r w:rsidR="00DA0B77" w:rsidRPr="00A657DC">
        <w:rPr>
          <w:rFonts w:ascii="Palatino Linotype" w:hAnsi="Palatino Linotype"/>
          <w:lang w:val="es-MX"/>
        </w:rPr>
        <w:t xml:space="preserve">, se emitió el acuerdo por medio del cual se declaró cerrada la instrucción, pasando el expediente a resolución, </w:t>
      </w:r>
      <w:r w:rsidR="00C71A66" w:rsidRPr="00A657DC">
        <w:rPr>
          <w:rFonts w:ascii="Palatino Linotype" w:hAnsi="Palatino Linotype"/>
          <w:lang w:val="es-MX"/>
        </w:rPr>
        <w:t>debido a</w:t>
      </w:r>
      <w:r w:rsidR="00D65DA3" w:rsidRPr="00A657DC">
        <w:rPr>
          <w:rFonts w:ascii="Palatino Linotype" w:hAnsi="Palatino Linotype"/>
          <w:lang w:val="es-MX"/>
        </w:rPr>
        <w:t xml:space="preserve"> que fue debidamente substanciado el expediente y no existiendo diligencia pendiente de desahogo, </w:t>
      </w:r>
      <w:r w:rsidR="00DA0B77" w:rsidRPr="00A657DC">
        <w:rPr>
          <w:rFonts w:ascii="Palatino Linotype" w:hAnsi="Palatino Linotype"/>
          <w:lang w:val="es-MX"/>
        </w:rPr>
        <w:t xml:space="preserve">en términos del </w:t>
      </w:r>
      <w:r w:rsidR="006031FE" w:rsidRPr="00A657DC">
        <w:rPr>
          <w:rFonts w:ascii="Palatino Linotype" w:hAnsi="Palatino Linotype"/>
          <w:lang w:val="es-MX"/>
        </w:rPr>
        <w:t>artículo 185 fracci</w:t>
      </w:r>
      <w:r w:rsidR="00DA0B77" w:rsidRPr="00A657DC">
        <w:rPr>
          <w:rFonts w:ascii="Palatino Linotype" w:hAnsi="Palatino Linotype"/>
          <w:lang w:val="es-MX"/>
        </w:rPr>
        <w:t>ones</w:t>
      </w:r>
      <w:r w:rsidR="006031FE" w:rsidRPr="00A657DC">
        <w:rPr>
          <w:rFonts w:ascii="Palatino Linotype" w:hAnsi="Palatino Linotype"/>
          <w:lang w:val="es-MX"/>
        </w:rPr>
        <w:t xml:space="preserve"> VI</w:t>
      </w:r>
      <w:r w:rsidR="00DA0B77" w:rsidRPr="00A657DC">
        <w:rPr>
          <w:rFonts w:ascii="Palatino Linotype" w:hAnsi="Palatino Linotype"/>
          <w:lang w:val="es-MX"/>
        </w:rPr>
        <w:t xml:space="preserve"> y VIII</w:t>
      </w:r>
      <w:r w:rsidR="006031FE" w:rsidRPr="00A657DC">
        <w:rPr>
          <w:rFonts w:ascii="Palatino Linotype" w:hAnsi="Palatino Linotype"/>
          <w:lang w:val="es-MX"/>
        </w:rPr>
        <w:t xml:space="preserve"> de la Ley de Transparencia y Acceso a la Información Pública del Estado de México y Municipios</w:t>
      </w:r>
      <w:r w:rsidR="009F19E6" w:rsidRPr="00A657DC">
        <w:rPr>
          <w:rFonts w:ascii="Palatino Linotype" w:hAnsi="Palatino Linotype"/>
          <w:lang w:val="es-MX"/>
        </w:rPr>
        <w:t>,</w:t>
      </w:r>
      <w:r w:rsidR="006031FE" w:rsidRPr="00A657DC">
        <w:rPr>
          <w:rFonts w:ascii="Palatino Linotype" w:hAnsi="Palatino Linotype"/>
          <w:lang w:val="es-MX"/>
        </w:rPr>
        <w:t xml:space="preserve"> </w:t>
      </w:r>
      <w:r w:rsidR="00DA0B77" w:rsidRPr="00A657DC">
        <w:rPr>
          <w:rFonts w:ascii="Palatino Linotype" w:hAnsi="Palatino Linotype"/>
          <w:lang w:val="es-MX"/>
        </w:rPr>
        <w:t>el cual fue notificado a las partes en la misma fecha</w:t>
      </w:r>
      <w:r w:rsidR="006031FE" w:rsidRPr="00A657DC">
        <w:rPr>
          <w:rFonts w:ascii="Palatino Linotype" w:hAnsi="Palatino Linotype"/>
          <w:lang w:val="es-MX"/>
        </w:rPr>
        <w:t xml:space="preserve">. </w:t>
      </w:r>
      <w:r w:rsidR="006031FE" w:rsidRPr="00A657DC">
        <w:rPr>
          <w:rFonts w:ascii="Palatino Linotype" w:eastAsia="Calibri" w:hAnsi="Palatino Linotype" w:cs="Arial"/>
          <w:b/>
          <w:sz w:val="28"/>
          <w:szCs w:val="28"/>
          <w:lang w:val="es-MX"/>
        </w:rPr>
        <w:t xml:space="preserve"> </w:t>
      </w:r>
    </w:p>
    <w:p w14:paraId="7CD5D137" w14:textId="10283084" w:rsidR="008E7698" w:rsidRPr="00A657DC" w:rsidRDefault="004A6EFE" w:rsidP="004A6EFE">
      <w:pPr>
        <w:pStyle w:val="Ttulo2"/>
        <w:jc w:val="center"/>
        <w:rPr>
          <w:rFonts w:ascii="Palatino Linotype" w:hAnsi="Palatino Linotype"/>
          <w:b/>
          <w:color w:val="auto"/>
          <w:sz w:val="24"/>
          <w:szCs w:val="24"/>
          <w:lang w:val="es-MX"/>
        </w:rPr>
      </w:pPr>
      <w:r w:rsidRPr="00A657DC">
        <w:rPr>
          <w:rFonts w:ascii="Palatino Linotype" w:hAnsi="Palatino Linotype"/>
          <w:b/>
          <w:color w:val="auto"/>
          <w:sz w:val="24"/>
          <w:szCs w:val="24"/>
          <w:lang w:val="es-MX"/>
        </w:rPr>
        <w:t xml:space="preserve">II. </w:t>
      </w:r>
      <w:r w:rsidR="008E7698" w:rsidRPr="00A657DC">
        <w:rPr>
          <w:rFonts w:ascii="Palatino Linotype" w:hAnsi="Palatino Linotype"/>
          <w:b/>
          <w:color w:val="auto"/>
          <w:sz w:val="24"/>
          <w:szCs w:val="24"/>
          <w:lang w:val="es-MX"/>
        </w:rPr>
        <w:t>C O N S I D E R A N D O</w:t>
      </w:r>
      <w:r w:rsidR="00DA0B77" w:rsidRPr="00A657DC">
        <w:rPr>
          <w:rFonts w:ascii="Palatino Linotype" w:hAnsi="Palatino Linotype"/>
          <w:b/>
          <w:color w:val="auto"/>
          <w:sz w:val="24"/>
          <w:szCs w:val="24"/>
          <w:lang w:val="es-MX"/>
        </w:rPr>
        <w:t xml:space="preserve"> S</w:t>
      </w:r>
      <w:r w:rsidR="008E7698" w:rsidRPr="00A657DC">
        <w:rPr>
          <w:rFonts w:ascii="Palatino Linotype" w:hAnsi="Palatino Linotype"/>
          <w:b/>
          <w:color w:val="auto"/>
          <w:sz w:val="24"/>
          <w:szCs w:val="24"/>
          <w:lang w:val="es-MX"/>
        </w:rPr>
        <w:t>:</w:t>
      </w:r>
    </w:p>
    <w:p w14:paraId="0B1FAD6B" w14:textId="0B6A2ED8" w:rsidR="00A5404F" w:rsidRPr="00A657DC" w:rsidRDefault="00516E6A" w:rsidP="008E7698">
      <w:pPr>
        <w:spacing w:before="240" w:after="240" w:line="360" w:lineRule="auto"/>
        <w:jc w:val="both"/>
        <w:rPr>
          <w:rFonts w:ascii="Palatino Linotype" w:hAnsi="Palatino Linotype" w:cs="Arial"/>
          <w:b/>
          <w:lang w:val="es-MX"/>
        </w:rPr>
      </w:pPr>
      <w:r w:rsidRPr="00A657DC">
        <w:rPr>
          <w:rFonts w:ascii="Palatino Linotype" w:hAnsi="Palatino Linotype" w:cs="Arial"/>
          <w:b/>
          <w:szCs w:val="28"/>
          <w:lang w:val="es-MX"/>
        </w:rPr>
        <w:t>PRIMERO</w:t>
      </w:r>
      <w:r w:rsidR="008E7698" w:rsidRPr="00A657DC">
        <w:rPr>
          <w:rFonts w:ascii="Palatino Linotype" w:hAnsi="Palatino Linotype" w:cs="Arial"/>
          <w:b/>
          <w:szCs w:val="28"/>
          <w:lang w:val="es-MX"/>
        </w:rPr>
        <w:t>. Competencia</w:t>
      </w:r>
      <w:r w:rsidR="008E7698" w:rsidRPr="00A657DC">
        <w:rPr>
          <w:rFonts w:ascii="Palatino Linotype" w:hAnsi="Palatino Linotype" w:cs="Arial"/>
          <w:b/>
          <w:sz w:val="22"/>
          <w:lang w:val="es-MX"/>
        </w:rPr>
        <w:t xml:space="preserve">. </w:t>
      </w:r>
      <w:r w:rsidR="00A5404F" w:rsidRPr="00A657DC">
        <w:rPr>
          <w:rFonts w:ascii="Palatino Linotype" w:hAnsi="Palatino Linotype"/>
          <w:shd w:val="clear" w:color="auto" w:fill="FFFFFF"/>
          <w:lang w:val="es-MX"/>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A657DC">
        <w:rPr>
          <w:rFonts w:ascii="Palatino Linotype" w:hAnsi="Palatino Linotype"/>
          <w:shd w:val="clear" w:color="auto" w:fill="FFFFFF"/>
          <w:lang w:val="es-MX"/>
        </w:rPr>
        <w:t>Recurrente</w:t>
      </w:r>
      <w:r w:rsidR="00A5404F" w:rsidRPr="00A657DC">
        <w:rPr>
          <w:rFonts w:ascii="Palatino Linotype" w:hAnsi="Palatino Linotype"/>
          <w:shd w:val="clear" w:color="auto" w:fill="FFFFFF"/>
          <w:lang w:val="es-MX"/>
        </w:rPr>
        <w:t>, conforme a lo dispuesto en los artículos 6, apartado A de la Constitución Política de los Estados Unidos Mexican</w:t>
      </w:r>
      <w:r w:rsidR="00326DF2" w:rsidRPr="00A657DC">
        <w:rPr>
          <w:rFonts w:ascii="Palatino Linotype" w:hAnsi="Palatino Linotype"/>
          <w:shd w:val="clear" w:color="auto" w:fill="FFFFFF"/>
          <w:lang w:val="es-MX"/>
        </w:rPr>
        <w:t>os; 5, párrafos</w:t>
      </w:r>
      <w:r w:rsidR="00BE40EB" w:rsidRPr="00A657DC">
        <w:rPr>
          <w:rFonts w:ascii="Palatino Linotype" w:hAnsi="Palatino Linotype"/>
          <w:shd w:val="clear" w:color="auto" w:fill="FFFFFF"/>
          <w:lang w:val="es-MX"/>
        </w:rPr>
        <w:t xml:space="preserve"> </w:t>
      </w:r>
      <w:r w:rsidR="00AF54D4" w:rsidRPr="00A657DC">
        <w:rPr>
          <w:rFonts w:ascii="Palatino Linotype" w:hAnsi="Palatino Linotype"/>
          <w:shd w:val="clear" w:color="auto" w:fill="FFFFFF"/>
          <w:lang w:val="es-MX"/>
        </w:rPr>
        <w:t>trigésimo</w:t>
      </w:r>
      <w:r w:rsidR="00BE40EB" w:rsidRPr="00A657DC">
        <w:rPr>
          <w:rFonts w:ascii="Palatino Linotype" w:hAnsi="Palatino Linotype"/>
          <w:shd w:val="clear" w:color="auto" w:fill="FFFFFF"/>
          <w:lang w:val="es-MX"/>
        </w:rPr>
        <w:t xml:space="preserve">, </w:t>
      </w:r>
      <w:r w:rsidR="00AF54D4" w:rsidRPr="00A657DC">
        <w:rPr>
          <w:rFonts w:ascii="Palatino Linotype" w:hAnsi="Palatino Linotype"/>
          <w:shd w:val="clear" w:color="auto" w:fill="FFFFFF"/>
          <w:lang w:val="es-MX"/>
        </w:rPr>
        <w:t xml:space="preserve"> </w:t>
      </w:r>
      <w:r w:rsidR="00AF54D4" w:rsidRPr="00A657DC">
        <w:rPr>
          <w:rFonts w:ascii="Palatino Linotype" w:hAnsi="Palatino Linotype"/>
          <w:shd w:val="clear" w:color="auto" w:fill="FFFFFF"/>
          <w:lang w:val="es-MX"/>
        </w:rPr>
        <w:lastRenderedPageBreak/>
        <w:t>trigésimo primero</w:t>
      </w:r>
      <w:r w:rsidR="00BE40EB" w:rsidRPr="00A657DC">
        <w:rPr>
          <w:rFonts w:ascii="Palatino Linotype" w:hAnsi="Palatino Linotype"/>
          <w:shd w:val="clear" w:color="auto" w:fill="FFFFFF"/>
          <w:lang w:val="es-MX"/>
        </w:rPr>
        <w:t>, y trigésimo segundo</w:t>
      </w:r>
      <w:r w:rsidR="00AF54D4" w:rsidRPr="00A657DC">
        <w:rPr>
          <w:rFonts w:ascii="Palatino Linotype" w:hAnsi="Palatino Linotype"/>
          <w:shd w:val="clear" w:color="auto" w:fill="FFFFFF"/>
          <w:lang w:val="es-MX"/>
        </w:rPr>
        <w:t xml:space="preserve"> </w:t>
      </w:r>
      <w:r w:rsidR="00D371C6" w:rsidRPr="00A657DC">
        <w:rPr>
          <w:rFonts w:ascii="Palatino Linotype" w:hAnsi="Palatino Linotype"/>
          <w:shd w:val="clear" w:color="auto" w:fill="FFFFFF"/>
          <w:lang w:val="es-MX"/>
        </w:rPr>
        <w:t xml:space="preserve">fracción IV y V </w:t>
      </w:r>
      <w:r w:rsidR="00A5404F" w:rsidRPr="00A657DC">
        <w:rPr>
          <w:rFonts w:ascii="Palatino Linotype" w:hAnsi="Palatino Linotype"/>
          <w:shd w:val="clear" w:color="auto" w:fill="FFFFFF"/>
          <w:lang w:val="es-MX"/>
        </w:rPr>
        <w:t>de la Constitución Política del Estado Libre y Soberano de México; 1,</w:t>
      </w:r>
      <w:r w:rsidR="00551BA4" w:rsidRPr="00A657DC">
        <w:rPr>
          <w:rFonts w:ascii="Palatino Linotype" w:hAnsi="Palatino Linotype"/>
          <w:shd w:val="clear" w:color="auto" w:fill="FFFFFF"/>
          <w:lang w:val="es-MX"/>
        </w:rPr>
        <w:t xml:space="preserve"> </w:t>
      </w:r>
      <w:r w:rsidR="00E34890" w:rsidRPr="00A657DC">
        <w:rPr>
          <w:rFonts w:ascii="Palatino Linotype" w:hAnsi="Palatino Linotype"/>
          <w:shd w:val="clear" w:color="auto" w:fill="FFFFFF"/>
          <w:lang w:val="es-MX"/>
        </w:rPr>
        <w:t>2, fracción II</w:t>
      </w:r>
      <w:r w:rsidR="00551BA4" w:rsidRPr="00A657DC">
        <w:rPr>
          <w:rFonts w:ascii="Palatino Linotype" w:hAnsi="Palatino Linotype"/>
          <w:shd w:val="clear" w:color="auto" w:fill="FFFFFF"/>
          <w:lang w:val="es-MX"/>
        </w:rPr>
        <w:t>;</w:t>
      </w:r>
      <w:r w:rsidR="00E34890" w:rsidRPr="00A657DC">
        <w:rPr>
          <w:rFonts w:ascii="Palatino Linotype" w:hAnsi="Palatino Linotype"/>
          <w:shd w:val="clear" w:color="auto" w:fill="FFFFFF"/>
          <w:lang w:val="es-MX"/>
        </w:rPr>
        <w:t xml:space="preserve"> 13, </w:t>
      </w:r>
      <w:r w:rsidR="00A5404F" w:rsidRPr="00A657DC">
        <w:rPr>
          <w:rFonts w:ascii="Palatino Linotype" w:hAnsi="Palatino Linotype"/>
          <w:shd w:val="clear" w:color="auto" w:fill="FFFFFF"/>
          <w:lang w:val="es-MX"/>
        </w:rPr>
        <w:t xml:space="preserve"> 29, 36, fracciones I</w:t>
      </w:r>
      <w:r w:rsidR="005A232E" w:rsidRPr="00A657DC">
        <w:rPr>
          <w:rFonts w:ascii="Palatino Linotype" w:hAnsi="Palatino Linotype"/>
          <w:shd w:val="clear" w:color="auto" w:fill="FFFFFF"/>
          <w:lang w:val="es-MX"/>
        </w:rPr>
        <w:t xml:space="preserve"> y II;</w:t>
      </w:r>
      <w:r w:rsidR="00A5404F" w:rsidRPr="00A657DC">
        <w:rPr>
          <w:rFonts w:ascii="Palatino Linotype" w:hAnsi="Palatino Linotype"/>
          <w:shd w:val="clear" w:color="auto" w:fill="FFFFFF"/>
          <w:lang w:val="es-MX"/>
        </w:rPr>
        <w:t xml:space="preserve"> 176,</w:t>
      </w:r>
      <w:r w:rsidR="004D5FEF" w:rsidRPr="00A657DC">
        <w:rPr>
          <w:rFonts w:ascii="Palatino Linotype" w:hAnsi="Palatino Linotype"/>
          <w:shd w:val="clear" w:color="auto" w:fill="FFFFFF"/>
          <w:lang w:val="es-MX"/>
        </w:rPr>
        <w:t xml:space="preserve"> 178,</w:t>
      </w:r>
      <w:r w:rsidR="00A5404F" w:rsidRPr="00A657DC">
        <w:rPr>
          <w:rFonts w:ascii="Palatino Linotype" w:hAnsi="Palatino Linotype"/>
          <w:shd w:val="clear" w:color="auto" w:fill="FFFFFF"/>
          <w:lang w:val="es-MX"/>
        </w:rPr>
        <w:t xml:space="preserve"> 179, </w:t>
      </w:r>
      <w:r w:rsidR="004D5FEF" w:rsidRPr="00A657DC">
        <w:rPr>
          <w:rFonts w:ascii="Palatino Linotype" w:hAnsi="Palatino Linotype"/>
          <w:shd w:val="clear" w:color="auto" w:fill="FFFFFF"/>
          <w:lang w:val="es-MX"/>
        </w:rPr>
        <w:t xml:space="preserve">181 párrafo 3 y </w:t>
      </w:r>
      <w:r w:rsidR="00A5404F" w:rsidRPr="00A657DC">
        <w:rPr>
          <w:rFonts w:ascii="Palatino Linotype" w:hAnsi="Palatino Linotype"/>
          <w:shd w:val="clear" w:color="auto" w:fill="FFFFFF"/>
          <w:lang w:val="es-MX"/>
        </w:rPr>
        <w:t>185</w:t>
      </w:r>
      <w:r w:rsidR="004D5FEF" w:rsidRPr="00A657DC">
        <w:rPr>
          <w:rFonts w:ascii="Palatino Linotype" w:hAnsi="Palatino Linotype"/>
          <w:shd w:val="clear" w:color="auto" w:fill="FFFFFF"/>
          <w:lang w:val="es-MX"/>
        </w:rPr>
        <w:t xml:space="preserve"> </w:t>
      </w:r>
      <w:r w:rsidR="00A5404F" w:rsidRPr="00A657DC">
        <w:rPr>
          <w:rFonts w:ascii="Palatino Linotype" w:hAnsi="Palatino Linotype"/>
          <w:shd w:val="clear" w:color="auto" w:fill="FFFFFF"/>
          <w:lang w:val="es-MX"/>
        </w:rPr>
        <w:t xml:space="preserve">de la Ley Transparencia y Acceso a la Información Pública </w:t>
      </w:r>
      <w:r w:rsidR="0010152C" w:rsidRPr="00A657DC">
        <w:rPr>
          <w:rFonts w:ascii="Palatino Linotype" w:hAnsi="Palatino Linotype"/>
          <w:shd w:val="clear" w:color="auto" w:fill="FFFFFF"/>
          <w:lang w:val="es-MX"/>
        </w:rPr>
        <w:t>del Estado de México y Municipios</w:t>
      </w:r>
      <w:r w:rsidR="002C7992" w:rsidRPr="00A657DC">
        <w:rPr>
          <w:rFonts w:ascii="Palatino Linotype" w:hAnsi="Palatino Linotype"/>
          <w:shd w:val="clear" w:color="auto" w:fill="FFFFFF"/>
          <w:lang w:val="es-MX"/>
        </w:rPr>
        <w:t>;</w:t>
      </w:r>
      <w:r w:rsidR="00A5404F" w:rsidRPr="00A657DC">
        <w:rPr>
          <w:rFonts w:ascii="Palatino Linotype" w:hAnsi="Palatino Linotype"/>
          <w:shd w:val="clear" w:color="auto" w:fill="FFFFFF"/>
          <w:lang w:val="es-MX"/>
        </w:rPr>
        <w:t xml:space="preserve"> </w:t>
      </w:r>
      <w:r w:rsidR="00E54F16" w:rsidRPr="00A657DC">
        <w:rPr>
          <w:rFonts w:ascii="Palatino Linotype" w:hAnsi="Palatino Linotype" w:cs="Arial"/>
          <w:lang w:val="es-MX"/>
        </w:rPr>
        <w:t xml:space="preserve">9 fracciones I, XXIV y 11 </w:t>
      </w:r>
      <w:r w:rsidR="00A5404F" w:rsidRPr="00A657DC">
        <w:rPr>
          <w:rFonts w:ascii="Palatino Linotype" w:hAnsi="Palatino Linotype"/>
          <w:shd w:val="clear" w:color="auto" w:fill="FFFFFF"/>
          <w:lang w:val="es-MX"/>
        </w:rPr>
        <w:t>del Reglamento Interior del Instituto de Transparencia, Acceso a la Información Pública y Protección de Datos Personales del Estado de México y Municipios.</w:t>
      </w:r>
    </w:p>
    <w:p w14:paraId="12541B47" w14:textId="0F841732" w:rsidR="00D65DA3" w:rsidRPr="00A657DC" w:rsidRDefault="00D65DA3" w:rsidP="00D65DA3">
      <w:pPr>
        <w:spacing w:before="240" w:after="240" w:line="360" w:lineRule="auto"/>
        <w:jc w:val="both"/>
        <w:rPr>
          <w:rFonts w:ascii="Palatino Linotype" w:hAnsi="Palatino Linotype" w:cs="Arial"/>
          <w:lang w:val="es-MX"/>
        </w:rPr>
      </w:pPr>
      <w:r w:rsidRPr="00A657DC">
        <w:rPr>
          <w:rFonts w:ascii="Palatino Linotype" w:hAnsi="Palatino Linotype" w:cs="Arial"/>
          <w:b/>
          <w:szCs w:val="28"/>
          <w:lang w:val="es-MX"/>
        </w:rPr>
        <w:t xml:space="preserve">SEGUNDO. Oportunidad y </w:t>
      </w:r>
      <w:r w:rsidR="00D91D87" w:rsidRPr="00A657DC">
        <w:rPr>
          <w:rFonts w:ascii="Palatino Linotype" w:hAnsi="Palatino Linotype" w:cs="Arial"/>
          <w:b/>
          <w:szCs w:val="28"/>
          <w:lang w:val="es-MX"/>
        </w:rPr>
        <w:t>Procedibilidad</w:t>
      </w:r>
      <w:r w:rsidRPr="00A657DC">
        <w:rPr>
          <w:rFonts w:ascii="Palatino Linotype" w:hAnsi="Palatino Linotype" w:cs="Arial"/>
          <w:b/>
          <w:szCs w:val="28"/>
          <w:lang w:val="es-MX"/>
        </w:rPr>
        <w:t xml:space="preserve"> del Recurso de Revisión.</w:t>
      </w:r>
      <w:r w:rsidRPr="00A657DC">
        <w:rPr>
          <w:rFonts w:ascii="Palatino Linotype" w:hAnsi="Palatino Linotype" w:cs="Arial"/>
          <w:b/>
          <w:sz w:val="22"/>
          <w:lang w:val="es-MX"/>
        </w:rPr>
        <w:t xml:space="preserve"> </w:t>
      </w:r>
      <w:r w:rsidRPr="00A657DC">
        <w:rPr>
          <w:rFonts w:ascii="Palatino Linotype" w:hAnsi="Palatino Linotype" w:cs="Arial"/>
          <w:lang w:val="es-MX"/>
        </w:rPr>
        <w:t>Previo al estudio del fondo del asunto, se procede a analizar los requisitos de oportunidad y procedibilidad que debe reunir el recurso de revisión</w:t>
      </w:r>
      <w:bookmarkStart w:id="0" w:name="_GoBack"/>
      <w:bookmarkEnd w:id="0"/>
      <w:r w:rsidRPr="00A657DC">
        <w:rPr>
          <w:rFonts w:ascii="Palatino Linotype" w:hAnsi="Palatino Linotype" w:cs="Arial"/>
          <w:lang w:val="es-MX"/>
        </w:rPr>
        <w:t xml:space="preserve"> interpuesto, previstos en los artículos 178 y 180 de la Ley de Transparencia y Acceso a la Información Pública del Estado de México y Municipios</w:t>
      </w:r>
      <w:r w:rsidRPr="00A657DC">
        <w:rPr>
          <w:rFonts w:ascii="Palatino Linotype" w:hAnsi="Palatino Linotype" w:cs="Arial"/>
          <w:lang w:val="es-MX" w:eastAsia="es-MX"/>
        </w:rPr>
        <w:t xml:space="preserve">. </w:t>
      </w:r>
    </w:p>
    <w:p w14:paraId="5F116868" w14:textId="734C3935" w:rsidR="00651E05" w:rsidRPr="00A657DC" w:rsidRDefault="009C7FF9" w:rsidP="009C7FF9">
      <w:pPr>
        <w:spacing w:before="240" w:after="240" w:line="360" w:lineRule="auto"/>
        <w:jc w:val="both"/>
        <w:rPr>
          <w:rFonts w:ascii="Palatino Linotype" w:hAnsi="Palatino Linotype"/>
          <w:lang w:val="es-MX"/>
        </w:rPr>
      </w:pPr>
      <w:r w:rsidRPr="00A657DC">
        <w:rPr>
          <w:rFonts w:ascii="Palatino Linotype" w:hAnsi="Palatino Linotype" w:cs="Arial"/>
          <w:lang w:val="es-MX" w:eastAsia="es-MX"/>
        </w:rPr>
        <w:t xml:space="preserve">En este sentido, </w:t>
      </w:r>
      <w:r w:rsidRPr="00A657DC">
        <w:rPr>
          <w:rFonts w:ascii="Palatino Linotype" w:hAnsi="Palatino Linotype"/>
          <w:lang w:val="es-MX"/>
        </w:rPr>
        <w:t xml:space="preserve">al considerar la fecha en que se formuló la solicitud y la fecha en que respondió a ésta el Sujeto Obligado; así como la fecha en que se interpuso el </w:t>
      </w:r>
      <w:r w:rsidR="00651E05" w:rsidRPr="00A657DC">
        <w:rPr>
          <w:rFonts w:ascii="Palatino Linotype" w:hAnsi="Palatino Linotype"/>
          <w:lang w:val="es-MX"/>
        </w:rPr>
        <w:t>recurso de revisión, se concluye que el recurso de revisión fue ingresado en la misma fecha que el SUJETO OBLIGADO entregó su respuesta</w:t>
      </w:r>
      <w:r w:rsidR="00651E05" w:rsidRPr="00A657DC">
        <w:rPr>
          <w:rFonts w:ascii="Palatino Linotype" w:hAnsi="Palatino Linotype" w:cs="Arial"/>
        </w:rPr>
        <w:t xml:space="preserve">, circunstancia que no es determinante para declararlo extemporáneo, toda vez que el tiempo concedido es para delimitar el término en que puede impugnarse la respuesta, lo cual no impide  que se presente antes de iniciado el plazo previsto. Criterio de este Órgano garante que se robustece con la jurisprudencia número 1a./J. 41/2015 (10a.), Décima época, sustentada por la Primera Sala de la Suprema Corte de Justicia de la Nación, visible </w:t>
      </w:r>
      <w:r w:rsidR="00651E05" w:rsidRPr="00A657DC">
        <w:rPr>
          <w:rFonts w:ascii="Palatino Linotype" w:hAnsi="Palatino Linotype" w:cs="Arial"/>
        </w:rPr>
        <w:lastRenderedPageBreak/>
        <w:t>en la página 569, libro 19, tomo I, de la Gaceta del Semanario Judicial de la Federación, del mes de junio de 2015</w:t>
      </w:r>
      <w:r w:rsidR="00651E05" w:rsidRPr="00A657DC">
        <w:rPr>
          <w:rStyle w:val="Refdenotaalpie"/>
          <w:rFonts w:ascii="Palatino Linotype" w:hAnsi="Palatino Linotype" w:cs="Arial"/>
        </w:rPr>
        <w:footnoteReference w:id="1"/>
      </w:r>
      <w:r w:rsidR="00651E05" w:rsidRPr="00A657DC">
        <w:rPr>
          <w:rFonts w:ascii="Palatino Linotype" w:hAnsi="Palatino Linotype"/>
        </w:rPr>
        <w:t xml:space="preserve">. </w:t>
      </w:r>
    </w:p>
    <w:p w14:paraId="692F9B25" w14:textId="790900FF" w:rsidR="006F1DED" w:rsidRPr="00A657DC"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A657DC">
        <w:rPr>
          <w:rFonts w:ascii="Palatino Linotype" w:eastAsia="Palatino Linotype" w:hAnsi="Palatino Linotype" w:cs="Palatino Linotype"/>
          <w:lang w:val="es-MX"/>
        </w:rPr>
        <w:lastRenderedPageBreak/>
        <w:t xml:space="preserve">Ahora bien, resulta procedente la interposición del recurso, según lo aducido por el recurrente en sus razones o </w:t>
      </w:r>
      <w:r w:rsidRPr="00A657DC">
        <w:rPr>
          <w:rFonts w:ascii="Palatino Linotype" w:eastAsia="Palatino Linotype" w:hAnsi="Palatino Linotype" w:cs="Palatino Linotype"/>
          <w:color w:val="000000"/>
          <w:lang w:val="es-MX"/>
        </w:rPr>
        <w:t>motivos de i</w:t>
      </w:r>
      <w:r w:rsidR="00EE79FB" w:rsidRPr="00A657DC">
        <w:rPr>
          <w:rFonts w:ascii="Palatino Linotype" w:eastAsia="Palatino Linotype" w:hAnsi="Palatino Linotype" w:cs="Palatino Linotype"/>
          <w:color w:val="000000"/>
          <w:lang w:val="es-MX"/>
        </w:rPr>
        <w:t>nconformidad, de acuerdo a los</w:t>
      </w:r>
      <w:r w:rsidRPr="00A657DC">
        <w:rPr>
          <w:rFonts w:ascii="Palatino Linotype" w:eastAsia="Palatino Linotype" w:hAnsi="Palatino Linotype" w:cs="Palatino Linotype"/>
          <w:color w:val="000000"/>
          <w:lang w:val="es-MX"/>
        </w:rPr>
        <w:t xml:space="preserve"> artículo</w:t>
      </w:r>
      <w:r w:rsidR="00EE79FB" w:rsidRPr="00A657DC">
        <w:rPr>
          <w:rFonts w:ascii="Palatino Linotype" w:eastAsia="Palatino Linotype" w:hAnsi="Palatino Linotype" w:cs="Palatino Linotype"/>
          <w:color w:val="000000"/>
          <w:lang w:val="es-MX"/>
        </w:rPr>
        <w:t xml:space="preserve">s 176 y </w:t>
      </w:r>
      <w:r w:rsidRPr="00A657DC">
        <w:rPr>
          <w:rFonts w:ascii="Palatino Linotype" w:eastAsia="Palatino Linotype" w:hAnsi="Palatino Linotype" w:cs="Palatino Linotype"/>
          <w:color w:val="000000"/>
          <w:lang w:val="es-MX"/>
        </w:rPr>
        <w:t xml:space="preserve"> 179, fracción </w:t>
      </w:r>
      <w:r w:rsidR="00F0165C" w:rsidRPr="00A657DC">
        <w:rPr>
          <w:rFonts w:ascii="Palatino Linotype" w:eastAsia="Palatino Linotype" w:hAnsi="Palatino Linotype" w:cs="Palatino Linotype"/>
          <w:color w:val="000000"/>
          <w:lang w:val="es-MX"/>
        </w:rPr>
        <w:t>V</w:t>
      </w:r>
      <w:r w:rsidRPr="00A657DC">
        <w:rPr>
          <w:rFonts w:ascii="Palatino Linotype" w:eastAsia="Palatino Linotype" w:hAnsi="Palatino Linotype" w:cs="Palatino Linotype"/>
          <w:color w:val="000000"/>
          <w:lang w:val="es-MX"/>
        </w:rPr>
        <w:t xml:space="preserve"> de la Ley de Transparencia y Acceso a la Información Pública del Estado de México y Municipios; que a la letra dice:</w:t>
      </w:r>
    </w:p>
    <w:p w14:paraId="625FCEE1" w14:textId="77777777" w:rsidR="006F1DED" w:rsidRPr="00A657DC"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14:paraId="40322F27" w14:textId="53D40630" w:rsidR="00D65DA3" w:rsidRPr="00A657DC"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lang w:val="es-MX"/>
        </w:rPr>
      </w:pPr>
      <w:r w:rsidRPr="00A657DC">
        <w:rPr>
          <w:rStyle w:val="normaltextrun"/>
          <w:rFonts w:ascii="Palatino Linotype" w:hAnsi="Palatino Linotype" w:cs="Segoe UI"/>
          <w:b/>
          <w:bCs/>
          <w:i/>
          <w:iCs/>
          <w:sz w:val="22"/>
          <w:szCs w:val="22"/>
          <w:lang w:val="es-MX"/>
        </w:rPr>
        <w:t xml:space="preserve"> </w:t>
      </w:r>
      <w:r w:rsidR="00D65DA3" w:rsidRPr="00A657DC">
        <w:rPr>
          <w:rStyle w:val="normaltextrun"/>
          <w:rFonts w:ascii="Palatino Linotype" w:hAnsi="Palatino Linotype" w:cs="Segoe UI"/>
          <w:b/>
          <w:bCs/>
          <w:i/>
          <w:iCs/>
          <w:sz w:val="22"/>
          <w:szCs w:val="22"/>
          <w:lang w:val="es-MX"/>
        </w:rPr>
        <w:t>“</w:t>
      </w:r>
      <w:r w:rsidR="00D65DA3" w:rsidRPr="00A657DC">
        <w:rPr>
          <w:rStyle w:val="normaltextrun"/>
          <w:rFonts w:ascii="Palatino Linotype" w:hAnsi="Palatino Linotype" w:cs="Segoe UI"/>
          <w:b/>
          <w:bCs/>
          <w:i/>
          <w:sz w:val="22"/>
          <w:szCs w:val="22"/>
          <w:lang w:val="es-MX"/>
        </w:rPr>
        <w:t xml:space="preserve">Artículo 176. </w:t>
      </w:r>
      <w:r w:rsidR="00D65DA3" w:rsidRPr="00A657DC">
        <w:rPr>
          <w:rStyle w:val="normaltextrun"/>
          <w:rFonts w:ascii="Palatino Linotype" w:hAnsi="Palatino Linotype" w:cs="Segoe UI"/>
          <w:bCs/>
          <w:i/>
          <w:sz w:val="22"/>
          <w:szCs w:val="22"/>
          <w:lang w:val="es-MX"/>
        </w:rPr>
        <w:t xml:space="preserve">El recurso de </w:t>
      </w:r>
      <w:r w:rsidR="00C71A66" w:rsidRPr="00A657DC">
        <w:rPr>
          <w:rStyle w:val="normaltextrun"/>
          <w:rFonts w:ascii="Palatino Linotype" w:hAnsi="Palatino Linotype" w:cs="Segoe UI"/>
          <w:bCs/>
          <w:i/>
          <w:sz w:val="22"/>
          <w:szCs w:val="22"/>
          <w:lang w:val="es-MX"/>
        </w:rPr>
        <w:t>revisión es</w:t>
      </w:r>
      <w:r w:rsidR="00D65DA3" w:rsidRPr="00A657DC">
        <w:rPr>
          <w:rStyle w:val="normaltextrun"/>
          <w:rFonts w:ascii="Palatino Linotype" w:hAnsi="Palatino Linotype" w:cs="Segoe UI"/>
          <w:bCs/>
          <w:i/>
          <w:sz w:val="22"/>
          <w:szCs w:val="22"/>
          <w:lang w:val="es-MX"/>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A657DC"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A657DC">
        <w:rPr>
          <w:rStyle w:val="normaltextrun"/>
          <w:rFonts w:ascii="Palatino Linotype" w:hAnsi="Palatino Linotype" w:cs="Segoe UI"/>
          <w:b/>
          <w:bCs/>
          <w:i/>
          <w:sz w:val="22"/>
          <w:szCs w:val="22"/>
          <w:lang w:val="es-MX"/>
        </w:rPr>
        <w:t>Artículo 179</w:t>
      </w:r>
      <w:r w:rsidRPr="00A657DC">
        <w:rPr>
          <w:rStyle w:val="normaltextrun"/>
          <w:rFonts w:ascii="Palatino Linotype" w:hAnsi="Palatino Linotype" w:cs="Segoe UI"/>
          <w:b/>
          <w:bCs/>
          <w:sz w:val="22"/>
          <w:szCs w:val="22"/>
          <w:lang w:val="es-MX"/>
        </w:rPr>
        <w:t>.-</w:t>
      </w:r>
      <w:r w:rsidRPr="00A657DC">
        <w:rPr>
          <w:rFonts w:ascii="Palatino Linotype" w:eastAsiaTheme="minorEastAsia" w:hAnsi="Palatino Linotype" w:cs="Bookman Old Style"/>
          <w:sz w:val="22"/>
          <w:szCs w:val="22"/>
          <w:lang w:val="es-MX"/>
        </w:rPr>
        <w:t xml:space="preserve"> </w:t>
      </w:r>
      <w:r w:rsidRPr="00A657DC">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23D1891A" w:rsidR="0006676F" w:rsidRPr="00A657DC" w:rsidRDefault="0006676F" w:rsidP="00D65DA3">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A657DC">
        <w:rPr>
          <w:rFonts w:ascii="Palatino Linotype" w:eastAsiaTheme="minorEastAsia" w:hAnsi="Palatino Linotype" w:cs="Bookman Old Style"/>
          <w:sz w:val="22"/>
          <w:szCs w:val="22"/>
          <w:lang w:val="es-MX"/>
        </w:rPr>
        <w:t>…</w:t>
      </w:r>
    </w:p>
    <w:p w14:paraId="38857047" w14:textId="77777777" w:rsidR="00E324F2" w:rsidRPr="00A657DC" w:rsidRDefault="00E324F2"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14:paraId="6F92260D" w14:textId="799CD6B8" w:rsidR="009509CF" w:rsidRPr="00A657DC" w:rsidRDefault="00EE79FB" w:rsidP="003F14B9">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A657DC">
        <w:rPr>
          <w:rFonts w:ascii="Palatino Linotype" w:eastAsiaTheme="minorEastAsia" w:hAnsi="Palatino Linotype" w:cs="Bookman Old Style"/>
          <w:b/>
          <w:i/>
          <w:sz w:val="22"/>
          <w:szCs w:val="22"/>
          <w:lang w:val="es-MX"/>
        </w:rPr>
        <w:t>V. La entrega de información incompleta;</w:t>
      </w:r>
      <w:r w:rsidR="00651E05" w:rsidRPr="00A657DC">
        <w:rPr>
          <w:rFonts w:ascii="Palatino Linotype" w:eastAsiaTheme="minorEastAsia" w:hAnsi="Palatino Linotype" w:cs="Bookman Old Style"/>
          <w:b/>
          <w:i/>
          <w:sz w:val="22"/>
          <w:szCs w:val="22"/>
          <w:lang w:val="es-MX"/>
        </w:rPr>
        <w:t xml:space="preserve"> </w:t>
      </w:r>
      <w:r w:rsidR="00F0165C" w:rsidRPr="00A657DC">
        <w:rPr>
          <w:rFonts w:ascii="Palatino Linotype" w:eastAsiaTheme="minorEastAsia" w:hAnsi="Palatino Linotype" w:cs="Bookman Old Style"/>
          <w:b/>
          <w:i/>
          <w:sz w:val="22"/>
          <w:szCs w:val="22"/>
          <w:lang w:val="es-MX"/>
        </w:rPr>
        <w:cr/>
      </w:r>
    </w:p>
    <w:p w14:paraId="5FC276A7" w14:textId="7A19B39D" w:rsidR="00D65DA3" w:rsidRPr="00A657DC" w:rsidRDefault="009509CF" w:rsidP="009509CF">
      <w:pPr>
        <w:autoSpaceDE w:val="0"/>
        <w:autoSpaceDN w:val="0"/>
        <w:adjustRightInd w:val="0"/>
        <w:spacing w:after="120"/>
        <w:ind w:right="902"/>
        <w:jc w:val="both"/>
        <w:rPr>
          <w:rFonts w:ascii="Palatino Linotype" w:eastAsiaTheme="minorEastAsia" w:hAnsi="Palatino Linotype" w:cs="Bookman Old Style"/>
          <w:i/>
          <w:sz w:val="22"/>
          <w:szCs w:val="22"/>
          <w:lang w:val="es-MX"/>
        </w:rPr>
      </w:pPr>
      <w:r w:rsidRPr="00A657DC">
        <w:rPr>
          <w:rFonts w:ascii="Palatino Linotype" w:eastAsiaTheme="minorEastAsia" w:hAnsi="Palatino Linotype" w:cs="Bookman Old Style"/>
          <w:i/>
          <w:sz w:val="22"/>
          <w:szCs w:val="22"/>
          <w:lang w:val="es-MX"/>
        </w:rPr>
        <w:t xml:space="preserve">        </w:t>
      </w:r>
      <w:r w:rsidR="00D43F0F" w:rsidRPr="00A657DC">
        <w:rPr>
          <w:rFonts w:ascii="Palatino Linotype" w:eastAsiaTheme="minorEastAsia" w:hAnsi="Palatino Linotype" w:cs="Bookman Old Style"/>
          <w:i/>
          <w:sz w:val="22"/>
          <w:szCs w:val="22"/>
          <w:lang w:val="es-MX"/>
        </w:rPr>
        <w:t>…” (Sic)</w:t>
      </w:r>
      <w:r w:rsidR="00D91D87" w:rsidRPr="00A657DC">
        <w:rPr>
          <w:rFonts w:ascii="Palatino Linotype" w:eastAsiaTheme="minorEastAsia" w:hAnsi="Palatino Linotype" w:cs="Bookman Old Style,Bold"/>
          <w:b/>
          <w:bCs/>
          <w:i/>
          <w:sz w:val="22"/>
          <w:szCs w:val="22"/>
          <w:lang w:val="es-MX"/>
        </w:rPr>
        <w:t xml:space="preserve">              </w:t>
      </w:r>
    </w:p>
    <w:p w14:paraId="2E0BFFBC" w14:textId="2745B5D7" w:rsidR="00BF72DB" w:rsidRPr="00A657DC" w:rsidRDefault="00D65DA3" w:rsidP="00D65DA3">
      <w:pPr>
        <w:spacing w:before="240" w:after="240" w:line="360" w:lineRule="auto"/>
        <w:jc w:val="both"/>
        <w:rPr>
          <w:rFonts w:ascii="Palatino Linotype" w:hAnsi="Palatino Linotype" w:cs="Arial"/>
          <w:lang w:val="es-MX"/>
        </w:rPr>
      </w:pPr>
      <w:r w:rsidRPr="00A657DC">
        <w:rPr>
          <w:rFonts w:ascii="Palatino Linotype" w:hAnsi="Palatino Linotype" w:cs="Arial"/>
          <w:lang w:val="es-MX"/>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50E999FA" w14:textId="5EE74125" w:rsidR="00B04DE2" w:rsidRPr="00A657DC" w:rsidRDefault="00B315CA" w:rsidP="00250870">
      <w:pPr>
        <w:spacing w:before="100" w:beforeAutospacing="1" w:after="100" w:afterAutospacing="1" w:line="360" w:lineRule="auto"/>
        <w:jc w:val="both"/>
        <w:rPr>
          <w:rFonts w:ascii="Palatino Linotype" w:hAnsi="Palatino Linotype" w:cs="Arial"/>
          <w:lang w:val="es-MX"/>
        </w:rPr>
      </w:pPr>
      <w:r w:rsidRPr="00A657DC">
        <w:rPr>
          <w:rFonts w:ascii="Palatino Linotype" w:hAnsi="Palatino Linotype" w:cs="Arial"/>
          <w:b/>
          <w:lang w:val="es-MX"/>
        </w:rPr>
        <w:t xml:space="preserve">Tercero. </w:t>
      </w:r>
      <w:r w:rsidR="00250870" w:rsidRPr="00A657DC">
        <w:rPr>
          <w:rFonts w:ascii="Palatino Linotype" w:hAnsi="Palatino Linotype" w:cs="Arial"/>
          <w:b/>
          <w:lang w:val="es-MX"/>
        </w:rPr>
        <w:t>Causales de sobreseimiento</w:t>
      </w:r>
      <w:r w:rsidR="00012043" w:rsidRPr="00A657DC">
        <w:rPr>
          <w:rFonts w:ascii="Palatino Linotype" w:hAnsi="Palatino Linotype" w:cs="Arial"/>
          <w:b/>
          <w:lang w:val="es-MX"/>
        </w:rPr>
        <w:t xml:space="preserve">.  </w:t>
      </w:r>
      <w:r w:rsidR="00012043" w:rsidRPr="00A657DC">
        <w:rPr>
          <w:rFonts w:ascii="Palatino Linotype" w:hAnsi="Palatino Linotype"/>
          <w:lang w:val="es-MX"/>
        </w:rPr>
        <w:t xml:space="preserve">Es pertinente señalar que el </w:t>
      </w:r>
      <w:r w:rsidR="00012043" w:rsidRPr="00A657DC">
        <w:rPr>
          <w:rFonts w:ascii="Palatino Linotype" w:hAnsi="Palatino Linotype"/>
          <w:b/>
          <w:lang w:val="es-MX"/>
        </w:rPr>
        <w:t>recurrente</w:t>
      </w:r>
      <w:r w:rsidR="00012043" w:rsidRPr="00A657DC">
        <w:rPr>
          <w:rFonts w:ascii="Palatino Linotype" w:hAnsi="Palatino Linotype"/>
          <w:lang w:val="es-MX"/>
        </w:rPr>
        <w:t xml:space="preserve"> </w:t>
      </w:r>
      <w:r w:rsidR="00F0165C" w:rsidRPr="00A657DC">
        <w:rPr>
          <w:rFonts w:ascii="Palatino Linotype" w:hAnsi="Palatino Linotype"/>
          <w:lang w:val="es-MX"/>
        </w:rPr>
        <w:t>solicitó  a</w:t>
      </w:r>
      <w:r w:rsidR="00012043" w:rsidRPr="00A657DC">
        <w:rPr>
          <w:rFonts w:ascii="Palatino Linotype" w:hAnsi="Palatino Linotype"/>
          <w:lang w:val="es-MX"/>
        </w:rPr>
        <w:t xml:space="preserve"> la</w:t>
      </w:r>
      <w:r w:rsidR="00F0165C" w:rsidRPr="00A657DC">
        <w:rPr>
          <w:rFonts w:ascii="Palatino Linotype" w:hAnsi="Palatino Linotype"/>
          <w:lang w:val="es-MX"/>
        </w:rPr>
        <w:t xml:space="preserve"> </w:t>
      </w:r>
      <w:r w:rsidR="00012043" w:rsidRPr="00A657DC">
        <w:rPr>
          <w:rFonts w:ascii="Palatino Linotype" w:hAnsi="Palatino Linotype"/>
          <w:lang w:val="es-ES_tradnl"/>
        </w:rPr>
        <w:t xml:space="preserve">Secretaría de Cultura y Turismo </w:t>
      </w:r>
      <w:r w:rsidR="00FA02A2" w:rsidRPr="00A657DC">
        <w:rPr>
          <w:rFonts w:ascii="Palatino Linotype" w:hAnsi="Palatino Linotype"/>
          <w:lang w:val="es-MX"/>
        </w:rPr>
        <w:t xml:space="preserve">como </w:t>
      </w:r>
      <w:r w:rsidR="001B2BB7" w:rsidRPr="00A657DC">
        <w:rPr>
          <w:rFonts w:ascii="Palatino Linotype" w:hAnsi="Palatino Linotype"/>
          <w:lang w:val="es-MX"/>
        </w:rPr>
        <w:t>SUJETO OBLIGADO</w:t>
      </w:r>
      <w:r w:rsidR="00F0165C" w:rsidRPr="00A657DC">
        <w:rPr>
          <w:rFonts w:ascii="Palatino Linotype" w:hAnsi="Palatino Linotype"/>
          <w:lang w:val="es-MX"/>
        </w:rPr>
        <w:t>,</w:t>
      </w:r>
      <w:r w:rsidR="00FA02A2" w:rsidRPr="00A657DC">
        <w:rPr>
          <w:rFonts w:ascii="Palatino Linotype" w:hAnsi="Palatino Linotype"/>
          <w:lang w:val="es-MX"/>
        </w:rPr>
        <w:t xml:space="preserve"> los requerimientos señalados en la solicitud de información, </w:t>
      </w:r>
      <w:r w:rsidR="00AD6E6E" w:rsidRPr="00A657DC">
        <w:rPr>
          <w:rFonts w:ascii="Palatino Linotype" w:hAnsi="Palatino Linotype"/>
          <w:lang w:val="es-MX"/>
        </w:rPr>
        <w:t>consistentes en</w:t>
      </w:r>
      <w:r w:rsidR="00AD6E6E" w:rsidRPr="00A657DC">
        <w:rPr>
          <w:rFonts w:ascii="Palatino Linotype" w:hAnsi="Palatino Linotype"/>
          <w:b/>
          <w:lang w:val="es-MX"/>
        </w:rPr>
        <w:t>:</w:t>
      </w:r>
    </w:p>
    <w:p w14:paraId="3C19130E" w14:textId="05B34AF1" w:rsidR="00402FD7" w:rsidRPr="00A657DC" w:rsidRDefault="00623508" w:rsidP="00B04DE2">
      <w:pPr>
        <w:spacing w:before="240" w:after="240"/>
        <w:ind w:left="708"/>
        <w:jc w:val="both"/>
        <w:rPr>
          <w:rFonts w:ascii="Palatino Linotype" w:hAnsi="Palatino Linotype"/>
          <w:b/>
          <w:i/>
          <w:lang w:val="es-MX"/>
        </w:rPr>
      </w:pPr>
      <w:r w:rsidRPr="00A657DC">
        <w:rPr>
          <w:rFonts w:ascii="Palatino Linotype" w:hAnsi="Palatino Linotype"/>
          <w:b/>
          <w:lang w:val="es-MX"/>
        </w:rPr>
        <w:t xml:space="preserve"> </w:t>
      </w:r>
      <w:r w:rsidRPr="00A657DC">
        <w:rPr>
          <w:rFonts w:ascii="Palatino Linotype" w:hAnsi="Palatino Linotype"/>
          <w:b/>
          <w:i/>
          <w:lang w:val="es-MX"/>
        </w:rPr>
        <w:t>“</w:t>
      </w:r>
      <w:r w:rsidR="00012043" w:rsidRPr="00A657DC">
        <w:rPr>
          <w:rFonts w:ascii="Palatino Linotype" w:hAnsi="Palatino Linotype"/>
          <w:i/>
          <w:color w:val="000000"/>
        </w:rPr>
        <w:t xml:space="preserve">¿Qué es la COVATE, quién la integra, cuáles son sus funciones, desde cuándo funciona, qué programas y actividades realiza? ¿Quién aprueba los </w:t>
      </w:r>
      <w:proofErr w:type="spellStart"/>
      <w:r w:rsidR="00012043" w:rsidRPr="00A657DC">
        <w:rPr>
          <w:rFonts w:ascii="Palatino Linotype" w:hAnsi="Palatino Linotype"/>
          <w:i/>
          <w:color w:val="000000"/>
        </w:rPr>
        <w:t>globopuertos</w:t>
      </w:r>
      <w:proofErr w:type="spellEnd"/>
      <w:r w:rsidR="00012043" w:rsidRPr="00A657DC">
        <w:rPr>
          <w:rFonts w:ascii="Palatino Linotype" w:hAnsi="Palatino Linotype"/>
          <w:i/>
          <w:color w:val="000000"/>
        </w:rPr>
        <w:t xml:space="preserve"> en Teotihuacán y cuánto dinero </w:t>
      </w:r>
      <w:proofErr w:type="gramStart"/>
      <w:r w:rsidR="00012043" w:rsidRPr="00A657DC">
        <w:rPr>
          <w:rFonts w:ascii="Palatino Linotype" w:hAnsi="Palatino Linotype"/>
          <w:i/>
          <w:color w:val="000000"/>
        </w:rPr>
        <w:t>perciben</w:t>
      </w:r>
      <w:proofErr w:type="gramEnd"/>
      <w:r w:rsidR="00012043" w:rsidRPr="00A657DC">
        <w:rPr>
          <w:rFonts w:ascii="Palatino Linotype" w:hAnsi="Palatino Linotype"/>
          <w:i/>
          <w:color w:val="000000"/>
        </w:rPr>
        <w:t xml:space="preserve"> los Ayuntamientos y/o COVATE por este </w:t>
      </w:r>
      <w:r w:rsidR="00012043" w:rsidRPr="00A657DC">
        <w:rPr>
          <w:rFonts w:ascii="Palatino Linotype" w:hAnsi="Palatino Linotype"/>
          <w:i/>
          <w:color w:val="000000"/>
        </w:rPr>
        <w:lastRenderedPageBreak/>
        <w:t xml:space="preserve">concepto? ¿Cuáles son los requisitos para instalar un nuevo </w:t>
      </w:r>
      <w:proofErr w:type="spellStart"/>
      <w:r w:rsidR="00012043" w:rsidRPr="00A657DC">
        <w:rPr>
          <w:rFonts w:ascii="Palatino Linotype" w:hAnsi="Palatino Linotype"/>
          <w:i/>
          <w:color w:val="000000"/>
        </w:rPr>
        <w:t>globopuerto</w:t>
      </w:r>
      <w:proofErr w:type="spellEnd"/>
      <w:r w:rsidR="00012043" w:rsidRPr="00A657DC">
        <w:rPr>
          <w:rFonts w:ascii="Palatino Linotype" w:hAnsi="Palatino Linotype"/>
          <w:i/>
          <w:color w:val="000000"/>
        </w:rPr>
        <w:t>? ¿Cuánto ha percibido el gobierno (tanto del Estado como de los ayuntamientos) por el proyecto Experiencia nocturna en Teotihuacán) hasta la fecha? esto considerando el convenio de colaboración con el INAH firmado el 19 de octubre del 2019 ¿Cuánto se invierte en la organización y logística del evento Experiencia nocturna en Teotihuacán? ¿Quién realizó el audiovisual del evento Experiencia nocturna en Teotihuacán y qué empresa se encarga de proveer la tecnología? Incluir cuánto se ha pagado por dicho concepto y detalles sobre dichos contratos ¿Se han realizado convenios adicionales con tour operadoras y otros agentes privados para la provisión de servicios relativos a la Experiencia nocturna en Teotihuacán?</w:t>
      </w:r>
      <w:r w:rsidRPr="00A657DC">
        <w:rPr>
          <w:rFonts w:ascii="Palatino Linotype" w:hAnsi="Palatino Linotype"/>
          <w:i/>
          <w:color w:val="000000"/>
        </w:rPr>
        <w:t>)</w:t>
      </w:r>
      <w:r w:rsidRPr="00A657DC">
        <w:rPr>
          <w:rFonts w:ascii="Palatino Linotype" w:hAnsi="Palatino Linotype"/>
          <w:b/>
          <w:i/>
          <w:lang w:val="es-MX"/>
        </w:rPr>
        <w:t>”</w:t>
      </w:r>
    </w:p>
    <w:p w14:paraId="54C073B4" w14:textId="77777777" w:rsidR="00AD6E6E" w:rsidRPr="00A657DC" w:rsidRDefault="00AD6E6E" w:rsidP="00AD6E6E">
      <w:pPr>
        <w:spacing w:before="240" w:after="240"/>
        <w:ind w:right="902"/>
        <w:contextualSpacing/>
        <w:jc w:val="both"/>
        <w:rPr>
          <w:rFonts w:ascii="Palatino Linotype" w:hAnsi="Palatino Linotype"/>
          <w:lang w:val="es-MX"/>
        </w:rPr>
      </w:pPr>
    </w:p>
    <w:p w14:paraId="65885707" w14:textId="0DFE59C4" w:rsidR="00623508" w:rsidRPr="00A657DC" w:rsidRDefault="00AD6E6E" w:rsidP="00396005">
      <w:pPr>
        <w:spacing w:before="240" w:after="240" w:line="360" w:lineRule="auto"/>
        <w:ind w:right="49"/>
        <w:contextualSpacing/>
        <w:jc w:val="both"/>
        <w:rPr>
          <w:rFonts w:ascii="Palatino Linotype" w:hAnsi="Palatino Linotype" w:cs="Arial"/>
          <w:iCs/>
          <w:color w:val="000000" w:themeColor="text1"/>
          <w:lang w:val="es-MX"/>
        </w:rPr>
      </w:pPr>
      <w:r w:rsidRPr="00A657DC">
        <w:rPr>
          <w:rFonts w:ascii="Palatino Linotype" w:eastAsia="Calibri" w:hAnsi="Palatino Linotype" w:cs="Tahoma"/>
          <w:iCs/>
          <w:color w:val="FF0000"/>
          <w:lang w:val="es-MX" w:eastAsia="es-ES_tradnl"/>
        </w:rPr>
        <w:t xml:space="preserve"> </w:t>
      </w:r>
      <w:r w:rsidRPr="00A657DC">
        <w:rPr>
          <w:rFonts w:ascii="Palatino Linotype" w:eastAsia="Calibri" w:hAnsi="Palatino Linotype" w:cs="Tahoma"/>
          <w:iCs/>
          <w:color w:val="000000" w:themeColor="text1"/>
          <w:lang w:val="es-MX" w:eastAsia="es-ES_tradnl"/>
        </w:rPr>
        <w:t xml:space="preserve">Con el motivo de dar atención a la solicitud de información y a los requerimientos que la integran, </w:t>
      </w:r>
      <w:r w:rsidRPr="00A657DC">
        <w:rPr>
          <w:rFonts w:ascii="Palatino Linotype" w:hAnsi="Palatino Linotype" w:cs="Arial"/>
          <w:iCs/>
          <w:color w:val="000000" w:themeColor="text1"/>
          <w:lang w:val="es-MX"/>
        </w:rPr>
        <w:t xml:space="preserve">el SUJETO OBLIGADO </w:t>
      </w:r>
      <w:r w:rsidR="00AE3115" w:rsidRPr="00A657DC">
        <w:rPr>
          <w:rFonts w:ascii="Palatino Linotype" w:hAnsi="Palatino Linotype" w:cs="Arial"/>
          <w:iCs/>
          <w:color w:val="000000" w:themeColor="text1"/>
          <w:lang w:val="es-MX"/>
        </w:rPr>
        <w:t xml:space="preserve"> señaló</w:t>
      </w:r>
      <w:r w:rsidR="00012043" w:rsidRPr="00A657DC">
        <w:rPr>
          <w:rFonts w:ascii="Palatino Linotype" w:hAnsi="Palatino Linotype" w:cs="Arial"/>
          <w:iCs/>
          <w:color w:val="000000" w:themeColor="text1"/>
          <w:lang w:val="es-MX"/>
        </w:rPr>
        <w:t>:</w:t>
      </w:r>
    </w:p>
    <w:p w14:paraId="16250566" w14:textId="77777777" w:rsidR="00012043" w:rsidRPr="00A657DC" w:rsidRDefault="00012043" w:rsidP="00396005">
      <w:pPr>
        <w:spacing w:before="240" w:after="240" w:line="360" w:lineRule="auto"/>
        <w:ind w:right="49"/>
        <w:contextualSpacing/>
        <w:jc w:val="both"/>
        <w:rPr>
          <w:rFonts w:ascii="Palatino Linotype" w:hAnsi="Palatino Linotype" w:cs="Arial"/>
          <w:iCs/>
          <w:color w:val="000000" w:themeColor="text1"/>
          <w:lang w:val="es-MX"/>
        </w:rPr>
      </w:pPr>
    </w:p>
    <w:p w14:paraId="0E411766" w14:textId="612774BA"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r w:rsidRPr="00A657DC">
        <w:rPr>
          <w:rFonts w:ascii="Palatino Linotype" w:hAnsi="Palatino Linotype" w:cs="Arial"/>
          <w:iCs/>
          <w:color w:val="000000" w:themeColor="text1"/>
          <w:lang w:val="es-MX"/>
        </w:rPr>
        <w:t xml:space="preserve">Que la COVATE es la extinta Comisión para el Desarrollo Turístico del Valle de Teotihuacán; </w:t>
      </w:r>
    </w:p>
    <w:p w14:paraId="020C4221" w14:textId="77777777" w:rsidR="00012043" w:rsidRPr="00A657DC" w:rsidRDefault="00012043" w:rsidP="00012043">
      <w:pPr>
        <w:spacing w:before="240" w:after="240" w:line="360" w:lineRule="auto"/>
        <w:ind w:right="49"/>
        <w:contextualSpacing/>
        <w:jc w:val="both"/>
        <w:rPr>
          <w:rFonts w:ascii="Palatino Linotype" w:hAnsi="Palatino Linotype" w:cs="Arial"/>
          <w:iCs/>
          <w:color w:val="000000" w:themeColor="text1"/>
          <w:lang w:val="es-MX"/>
        </w:rPr>
      </w:pPr>
    </w:p>
    <w:p w14:paraId="41D5CD0E" w14:textId="6E365F68"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n-US"/>
        </w:rPr>
      </w:pPr>
      <w:r w:rsidRPr="00A657DC">
        <w:rPr>
          <w:rFonts w:ascii="Palatino Linotype" w:hAnsi="Palatino Linotype" w:cs="Arial"/>
          <w:iCs/>
          <w:color w:val="000000" w:themeColor="text1"/>
          <w:lang w:val="es-MX"/>
        </w:rPr>
        <w:t xml:space="preserve">Que  la Comisión para el Desarrollo Turístico del Valle de </w:t>
      </w:r>
      <w:proofErr w:type="spellStart"/>
      <w:r w:rsidRPr="00A657DC">
        <w:rPr>
          <w:rFonts w:ascii="Palatino Linotype" w:hAnsi="Palatino Linotype" w:cs="Arial"/>
          <w:iCs/>
          <w:color w:val="000000" w:themeColor="text1"/>
          <w:lang w:val="es-MX"/>
        </w:rPr>
        <w:t>Teotihuacan</w:t>
      </w:r>
      <w:proofErr w:type="spellEnd"/>
      <w:r w:rsidRPr="00A657DC">
        <w:rPr>
          <w:rFonts w:ascii="Palatino Linotype" w:hAnsi="Palatino Linotype" w:cs="Arial"/>
          <w:iCs/>
          <w:color w:val="000000" w:themeColor="text1"/>
          <w:lang w:val="es-MX"/>
        </w:rPr>
        <w:t xml:space="preserve"> estuvo integrada por las unidades administrativas descritas en el artículo 13 del Reglamento Interior de la Comisión, mismo que se puede consultar en la siguiente liga. </w:t>
      </w:r>
      <w:r w:rsidRPr="00A657DC">
        <w:rPr>
          <w:rFonts w:ascii="Palatino Linotype" w:hAnsi="Palatino Linotype" w:cs="Arial"/>
          <w:iCs/>
          <w:color w:val="000000" w:themeColor="text1"/>
          <w:lang w:val="en-US"/>
        </w:rPr>
        <w:t>(</w:t>
      </w:r>
      <w:hyperlink r:id="rId8" w:history="1">
        <w:r w:rsidRPr="00A657DC">
          <w:rPr>
            <w:rStyle w:val="Hipervnculo"/>
            <w:rFonts w:ascii="Palatino Linotype" w:hAnsi="Palatino Linotype" w:cs="Arial"/>
            <w:iCs/>
            <w:sz w:val="20"/>
            <w:lang w:val="en-US"/>
          </w:rPr>
          <w:t>https://legislacion.edomex.gob.mx/sites/legislacion.edomex.gob.mx/files /files/pdf/</w:t>
        </w:r>
        <w:proofErr w:type="spellStart"/>
        <w:r w:rsidRPr="00A657DC">
          <w:rPr>
            <w:rStyle w:val="Hipervnculo"/>
            <w:rFonts w:ascii="Palatino Linotype" w:hAnsi="Palatino Linotype" w:cs="Arial"/>
            <w:iCs/>
            <w:sz w:val="20"/>
            <w:lang w:val="en-US"/>
          </w:rPr>
          <w:t>rgl</w:t>
        </w:r>
        <w:proofErr w:type="spellEnd"/>
        <w:r w:rsidRPr="00A657DC">
          <w:rPr>
            <w:rStyle w:val="Hipervnculo"/>
            <w:rFonts w:ascii="Palatino Linotype" w:hAnsi="Palatino Linotype" w:cs="Arial"/>
            <w:iCs/>
            <w:sz w:val="20"/>
            <w:lang w:val="en-US"/>
          </w:rPr>
          <w:t>/</w:t>
        </w:r>
        <w:proofErr w:type="spellStart"/>
        <w:r w:rsidRPr="00A657DC">
          <w:rPr>
            <w:rStyle w:val="Hipervnculo"/>
            <w:rFonts w:ascii="Palatino Linotype" w:hAnsi="Palatino Linotype" w:cs="Arial"/>
            <w:iCs/>
            <w:sz w:val="20"/>
            <w:lang w:val="en-US"/>
          </w:rPr>
          <w:t>vig</w:t>
        </w:r>
        <w:proofErr w:type="spellEnd"/>
        <w:r w:rsidRPr="00A657DC">
          <w:rPr>
            <w:rStyle w:val="Hipervnculo"/>
            <w:rFonts w:ascii="Palatino Linotype" w:hAnsi="Palatino Linotype" w:cs="Arial"/>
            <w:iCs/>
            <w:sz w:val="20"/>
            <w:lang w:val="en-US"/>
          </w:rPr>
          <w:t>/rglvig324.pdf</w:t>
        </w:r>
      </w:hyperlink>
      <w:r w:rsidRPr="00A657DC">
        <w:rPr>
          <w:rFonts w:ascii="Palatino Linotype" w:hAnsi="Palatino Linotype" w:cs="Arial"/>
          <w:iCs/>
          <w:color w:val="000000" w:themeColor="text1"/>
          <w:sz w:val="20"/>
          <w:lang w:val="en-US"/>
        </w:rPr>
        <w:t xml:space="preserve">); </w:t>
      </w:r>
    </w:p>
    <w:p w14:paraId="27B510D0" w14:textId="77777777" w:rsidR="00012043" w:rsidRPr="00A657DC" w:rsidRDefault="00012043" w:rsidP="00012043">
      <w:pPr>
        <w:spacing w:before="240" w:after="240" w:line="360" w:lineRule="auto"/>
        <w:ind w:right="49"/>
        <w:contextualSpacing/>
        <w:jc w:val="both"/>
        <w:rPr>
          <w:rFonts w:ascii="Palatino Linotype" w:hAnsi="Palatino Linotype" w:cs="Arial"/>
          <w:iCs/>
          <w:color w:val="000000" w:themeColor="text1"/>
          <w:lang w:val="en-US"/>
        </w:rPr>
      </w:pPr>
    </w:p>
    <w:p w14:paraId="455E8995" w14:textId="6821B1E1"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r w:rsidRPr="00A657DC">
        <w:rPr>
          <w:rFonts w:ascii="Palatino Linotype" w:hAnsi="Palatino Linotype" w:cs="Arial"/>
          <w:iCs/>
          <w:color w:val="000000" w:themeColor="text1"/>
          <w:lang w:val="es-MX"/>
        </w:rPr>
        <w:t xml:space="preserve">Que  sus funciones se establecieron en los artículos 16, 17 y 18 del propio Reglamento y en el Manual General de Organización publicado en el Periódico Oficial “Gaceta del Gobierno” de fecha 20 de noviembre de 2008, lo que consta en la siguiente página web </w:t>
      </w:r>
      <w:r w:rsidRPr="00A657DC">
        <w:rPr>
          <w:rFonts w:ascii="Palatino Linotype" w:hAnsi="Palatino Linotype" w:cs="Arial"/>
          <w:iCs/>
          <w:color w:val="000000" w:themeColor="text1"/>
          <w:lang w:val="es-MX"/>
        </w:rPr>
        <w:lastRenderedPageBreak/>
        <w:t>(</w:t>
      </w:r>
      <w:hyperlink r:id="rId9" w:history="1">
        <w:r w:rsidRPr="00A657DC">
          <w:rPr>
            <w:rStyle w:val="Hipervnculo"/>
            <w:rFonts w:ascii="Palatino Linotype" w:hAnsi="Palatino Linotype" w:cs="Arial"/>
            <w:iCs/>
            <w:sz w:val="20"/>
            <w:lang w:val="es-MX"/>
          </w:rPr>
          <w:t>https://legislacion.edomex.gob.mx/sites/legislacion.edomex.gob.mx/files/files/pdf/gct/2008/nov204.pdf</w:t>
        </w:r>
      </w:hyperlink>
      <w:r w:rsidRPr="00A657DC">
        <w:rPr>
          <w:rFonts w:ascii="Palatino Linotype" w:hAnsi="Palatino Linotype" w:cs="Arial"/>
          <w:iCs/>
          <w:color w:val="000000" w:themeColor="text1"/>
          <w:sz w:val="20"/>
          <w:lang w:val="es-MX"/>
        </w:rPr>
        <w:t xml:space="preserve">) </w:t>
      </w:r>
    </w:p>
    <w:p w14:paraId="19553691" w14:textId="3C09F2B6"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proofErr w:type="spellStart"/>
      <w:r w:rsidRPr="00A657DC">
        <w:rPr>
          <w:rFonts w:ascii="Palatino Linotype" w:hAnsi="Palatino Linotype" w:cs="Arial"/>
          <w:iCs/>
          <w:color w:val="000000" w:themeColor="text1"/>
          <w:lang w:val="es-MX"/>
        </w:rPr>
        <w:t>Que</w:t>
      </w:r>
      <w:proofErr w:type="spellEnd"/>
      <w:r w:rsidRPr="00A657DC">
        <w:rPr>
          <w:rFonts w:ascii="Palatino Linotype" w:hAnsi="Palatino Linotype" w:cs="Arial"/>
          <w:iCs/>
          <w:color w:val="000000" w:themeColor="text1"/>
          <w:lang w:val="es-MX"/>
        </w:rPr>
        <w:t xml:space="preserve"> Comisión estuvo en operación a partir del día siguiente a la publicación del Decreto de su creación en el Periódico Oficial “Gaceta del Gobierno” del 6 de agosto de 2008, tal y como se observa en el sitio web (</w:t>
      </w:r>
      <w:hyperlink r:id="rId10" w:history="1">
        <w:r w:rsidRPr="00A657DC">
          <w:rPr>
            <w:rStyle w:val="Hipervnculo"/>
            <w:rFonts w:ascii="Palatino Linotype" w:hAnsi="Palatino Linotype" w:cs="Arial"/>
            <w:iCs/>
            <w:lang w:val="es-MX"/>
          </w:rPr>
          <w:t>https://legislacion.edomex.gob.mx/sites/legislacion.edomex.gob.mx/files/files/pdf/gct/2008/ago063.pdf</w:t>
        </w:r>
      </w:hyperlink>
      <w:r w:rsidRPr="00A657DC">
        <w:rPr>
          <w:rFonts w:ascii="Palatino Linotype" w:hAnsi="Palatino Linotype" w:cs="Arial"/>
          <w:iCs/>
          <w:color w:val="000000" w:themeColor="text1"/>
          <w:lang w:val="es-MX"/>
        </w:rPr>
        <w:t xml:space="preserve">)  y hasta el 11 de diciembre de 2020. </w:t>
      </w:r>
    </w:p>
    <w:p w14:paraId="751B14C4" w14:textId="77777777"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p>
    <w:p w14:paraId="26F0251C" w14:textId="39B02F41"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r w:rsidRPr="00A657DC">
        <w:rPr>
          <w:rFonts w:ascii="Palatino Linotype" w:hAnsi="Palatino Linotype" w:cs="Arial"/>
          <w:iCs/>
          <w:color w:val="000000" w:themeColor="text1"/>
          <w:lang w:val="es-MX"/>
        </w:rPr>
        <w:t xml:space="preserve">Finalmente, refiere que las  actividades que en su momento realizaba la Comisión para el Desarrollo Turístico del Valle de </w:t>
      </w:r>
      <w:proofErr w:type="spellStart"/>
      <w:r w:rsidRPr="00A657DC">
        <w:rPr>
          <w:rFonts w:ascii="Palatino Linotype" w:hAnsi="Palatino Linotype" w:cs="Arial"/>
          <w:iCs/>
          <w:color w:val="000000" w:themeColor="text1"/>
          <w:lang w:val="es-MX"/>
        </w:rPr>
        <w:t>Teotihuacan</w:t>
      </w:r>
      <w:proofErr w:type="spellEnd"/>
      <w:r w:rsidRPr="00A657DC">
        <w:rPr>
          <w:rFonts w:ascii="Palatino Linotype" w:hAnsi="Palatino Linotype" w:cs="Arial"/>
          <w:iCs/>
          <w:color w:val="000000" w:themeColor="text1"/>
          <w:lang w:val="es-MX"/>
        </w:rPr>
        <w:t xml:space="preserve">, pueden consultarse en el link </w:t>
      </w:r>
      <w:hyperlink r:id="rId11" w:history="1">
        <w:r w:rsidRPr="00A657DC">
          <w:rPr>
            <w:rStyle w:val="Hipervnculo"/>
            <w:rFonts w:ascii="Palatino Linotype" w:hAnsi="Palatino Linotype" w:cs="Arial"/>
            <w:iCs/>
            <w:lang w:val="es-MX"/>
          </w:rPr>
          <w:t>https://www.ipomex.org.mx/ipo3/lgt/indice/COVATE/art_92_iv/2.web</w:t>
        </w:r>
      </w:hyperlink>
      <w:r w:rsidRPr="00A657DC">
        <w:rPr>
          <w:rFonts w:ascii="Palatino Linotype" w:hAnsi="Palatino Linotype" w:cs="Arial"/>
          <w:iCs/>
          <w:color w:val="000000" w:themeColor="text1"/>
          <w:lang w:val="es-MX"/>
        </w:rPr>
        <w:t xml:space="preserve">. </w:t>
      </w:r>
    </w:p>
    <w:p w14:paraId="3711AC40" w14:textId="77777777"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p>
    <w:p w14:paraId="64B0F353" w14:textId="77777777"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r w:rsidRPr="00A657DC">
        <w:rPr>
          <w:rFonts w:ascii="Palatino Linotype" w:hAnsi="Palatino Linotype" w:cs="Arial"/>
          <w:iCs/>
          <w:color w:val="000000" w:themeColor="text1"/>
          <w:lang w:val="es-MX"/>
        </w:rPr>
        <w:t xml:space="preserve">PREGUNTA: “¿Cuánto ha percibido el gobierno (tanto del Estado …) por el proyecto Experiencia nocturna en Teotihuacán) hasta la fecha? esto considerando el convenio de colaboración con el INAH firmado el 19 de octubre del 2019” (sic) RESPUESTA: derivado del “ACUERDO POR EL QUE SE ESTABLECEN LAS MEDIDAS PREVENTIVAS Y DE SEGURIDAD EN MATERIA SANITARIA, PARA EVITAR UN POSIBLE CONTAGIO DEL CORONAVIRUS (COVID-19), EN EL ESTADO DE MÉXICO.”, emitido por la Comisión para la Protección contra Riesgos Sanitarios del Estado de México el 23 de marzo de 2020, no se han percibido ingresos por el proyecto en comento. </w:t>
      </w:r>
    </w:p>
    <w:p w14:paraId="38E95442" w14:textId="77777777"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p>
    <w:p w14:paraId="6A523839" w14:textId="77777777"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r w:rsidRPr="00A657DC">
        <w:rPr>
          <w:rFonts w:ascii="Palatino Linotype" w:hAnsi="Palatino Linotype" w:cs="Arial"/>
          <w:iCs/>
          <w:color w:val="000000" w:themeColor="text1"/>
          <w:lang w:val="es-MX"/>
        </w:rPr>
        <w:lastRenderedPageBreak/>
        <w:t>PREGUNTA: “¿Cuánto se invierte en la organización y logística del evento Experiencia nocturna en Teotihuacán?” (</w:t>
      </w:r>
      <w:proofErr w:type="gramStart"/>
      <w:r w:rsidRPr="00A657DC">
        <w:rPr>
          <w:rFonts w:ascii="Palatino Linotype" w:hAnsi="Palatino Linotype" w:cs="Arial"/>
          <w:iCs/>
          <w:color w:val="000000" w:themeColor="text1"/>
          <w:lang w:val="es-MX"/>
        </w:rPr>
        <w:t>sic</w:t>
      </w:r>
      <w:proofErr w:type="gramEnd"/>
      <w:r w:rsidRPr="00A657DC">
        <w:rPr>
          <w:rFonts w:ascii="Palatino Linotype" w:hAnsi="Palatino Linotype" w:cs="Arial"/>
          <w:iCs/>
          <w:color w:val="000000" w:themeColor="text1"/>
          <w:lang w:val="es-MX"/>
        </w:rPr>
        <w:t xml:space="preserve">) RESPUESTA: En este sentido, por la pandemia, el evento fue suspendido por lo que no se invierte nada en la organización y logística del evento Experiencia Nocturna en </w:t>
      </w:r>
      <w:proofErr w:type="spellStart"/>
      <w:r w:rsidRPr="00A657DC">
        <w:rPr>
          <w:rFonts w:ascii="Palatino Linotype" w:hAnsi="Palatino Linotype" w:cs="Arial"/>
          <w:iCs/>
          <w:color w:val="000000" w:themeColor="text1"/>
          <w:lang w:val="es-MX"/>
        </w:rPr>
        <w:t>Teotihuacan</w:t>
      </w:r>
      <w:proofErr w:type="spellEnd"/>
      <w:r w:rsidRPr="00A657DC">
        <w:rPr>
          <w:rFonts w:ascii="Palatino Linotype" w:hAnsi="Palatino Linotype" w:cs="Arial"/>
          <w:iCs/>
          <w:color w:val="000000" w:themeColor="text1"/>
          <w:lang w:val="es-MX"/>
        </w:rPr>
        <w:t xml:space="preserve">. </w:t>
      </w:r>
    </w:p>
    <w:p w14:paraId="17BB94F8" w14:textId="77777777"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p>
    <w:p w14:paraId="124EB2CE" w14:textId="77777777" w:rsidR="00012043"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r w:rsidRPr="00A657DC">
        <w:rPr>
          <w:rFonts w:ascii="Palatino Linotype" w:hAnsi="Palatino Linotype" w:cs="Arial"/>
          <w:iCs/>
          <w:color w:val="000000" w:themeColor="text1"/>
          <w:lang w:val="es-MX"/>
        </w:rPr>
        <w:t xml:space="preserve">PREGUNTA: “¿Quién realizó el audiovisual del evento Experiencia nocturna en Teotihuacán y qué empresa se encarga de proveer la tecnología? Incluir cuánto se ha pagado por dicho concepto y detalles sobre dichos contratos” (sic) RESPUESTA: La información relativa a quien realizó el audiovisual del evento Experiencia Nocturna en </w:t>
      </w:r>
      <w:proofErr w:type="spellStart"/>
      <w:r w:rsidRPr="00A657DC">
        <w:rPr>
          <w:rFonts w:ascii="Palatino Linotype" w:hAnsi="Palatino Linotype" w:cs="Arial"/>
          <w:iCs/>
          <w:color w:val="000000" w:themeColor="text1"/>
          <w:lang w:val="es-MX"/>
        </w:rPr>
        <w:t>Teotihuacan</w:t>
      </w:r>
      <w:proofErr w:type="spellEnd"/>
      <w:r w:rsidRPr="00A657DC">
        <w:rPr>
          <w:rFonts w:ascii="Palatino Linotype" w:hAnsi="Palatino Linotype" w:cs="Arial"/>
          <w:iCs/>
          <w:color w:val="000000" w:themeColor="text1"/>
          <w:lang w:val="es-MX"/>
        </w:rPr>
        <w:t xml:space="preserve"> y lo pagado por dicho concepto, se encuentra disponible en la liga (https://www.ipomex.org.mx/ipo/lgt/indice/turismo/licitaciones/0/0/1.web, fracción XXIXA). </w:t>
      </w:r>
    </w:p>
    <w:p w14:paraId="155F7CA6" w14:textId="3C0B555C" w:rsidR="00623508" w:rsidRPr="00A657DC" w:rsidRDefault="00012043" w:rsidP="00012043">
      <w:pPr>
        <w:spacing w:before="240" w:after="240" w:line="360" w:lineRule="auto"/>
        <w:ind w:left="708" w:right="49"/>
        <w:contextualSpacing/>
        <w:jc w:val="both"/>
        <w:rPr>
          <w:rFonts w:ascii="Palatino Linotype" w:hAnsi="Palatino Linotype" w:cs="Arial"/>
          <w:iCs/>
          <w:color w:val="000000" w:themeColor="text1"/>
          <w:lang w:val="es-MX"/>
        </w:rPr>
      </w:pPr>
      <w:r w:rsidRPr="00A657DC">
        <w:rPr>
          <w:rFonts w:ascii="Palatino Linotype" w:hAnsi="Palatino Linotype" w:cs="Arial"/>
          <w:iCs/>
          <w:color w:val="000000" w:themeColor="text1"/>
          <w:lang w:val="es-MX"/>
        </w:rPr>
        <w:t>PREGUNTA: “¿Se han realizado convenios adicionales con tour operadoras y otros agentes privados para la provisión de servicios relativos a la Experiencia nocturna en Teotihuacán?” (</w:t>
      </w:r>
      <w:proofErr w:type="gramStart"/>
      <w:r w:rsidRPr="00A657DC">
        <w:rPr>
          <w:rFonts w:ascii="Palatino Linotype" w:hAnsi="Palatino Linotype" w:cs="Arial"/>
          <w:iCs/>
          <w:color w:val="000000" w:themeColor="text1"/>
          <w:lang w:val="es-MX"/>
        </w:rPr>
        <w:t>sic</w:t>
      </w:r>
      <w:proofErr w:type="gramEnd"/>
      <w:r w:rsidRPr="00A657DC">
        <w:rPr>
          <w:rFonts w:ascii="Palatino Linotype" w:hAnsi="Palatino Linotype" w:cs="Arial"/>
          <w:iCs/>
          <w:color w:val="000000" w:themeColor="text1"/>
          <w:lang w:val="es-MX"/>
        </w:rPr>
        <w:t xml:space="preserve">) RESPUESTA: Toda vez que la Comisión se extinguió en fecha 11 de diciembre de 2020, no se han realizado convenios adicionales con tour operadoras u otros entes privados para la provisión de servicios relativos al evento de Experiencia Nocturna en </w:t>
      </w:r>
      <w:proofErr w:type="spellStart"/>
      <w:r w:rsidRPr="00A657DC">
        <w:rPr>
          <w:rFonts w:ascii="Palatino Linotype" w:hAnsi="Palatino Linotype" w:cs="Arial"/>
          <w:iCs/>
          <w:color w:val="000000" w:themeColor="text1"/>
          <w:lang w:val="es-MX"/>
        </w:rPr>
        <w:t>Teotihuacan</w:t>
      </w:r>
      <w:proofErr w:type="spellEnd"/>
      <w:r w:rsidRPr="00A657DC">
        <w:rPr>
          <w:rFonts w:ascii="Palatino Linotype" w:hAnsi="Palatino Linotype" w:cs="Arial"/>
          <w:iCs/>
          <w:color w:val="000000" w:themeColor="text1"/>
          <w:lang w:val="es-MX"/>
        </w:rPr>
        <w:t xml:space="preserve">. En cuanto a los siguientes requerimientos “¿Quién aprueba los </w:t>
      </w:r>
      <w:proofErr w:type="spellStart"/>
      <w:r w:rsidRPr="00A657DC">
        <w:rPr>
          <w:rFonts w:ascii="Palatino Linotype" w:hAnsi="Palatino Linotype" w:cs="Arial"/>
          <w:iCs/>
          <w:color w:val="000000" w:themeColor="text1"/>
          <w:lang w:val="es-MX"/>
        </w:rPr>
        <w:t>globopuertos</w:t>
      </w:r>
      <w:proofErr w:type="spellEnd"/>
      <w:r w:rsidRPr="00A657DC">
        <w:rPr>
          <w:rFonts w:ascii="Palatino Linotype" w:hAnsi="Palatino Linotype" w:cs="Arial"/>
          <w:iCs/>
          <w:color w:val="000000" w:themeColor="text1"/>
          <w:lang w:val="es-MX"/>
        </w:rPr>
        <w:t xml:space="preserve"> en Teotihuacán y cuánto dinero perciben los Ayuntamientos y/o COVATE por este concepto?” (</w:t>
      </w:r>
      <w:proofErr w:type="gramStart"/>
      <w:r w:rsidRPr="00A657DC">
        <w:rPr>
          <w:rFonts w:ascii="Palatino Linotype" w:hAnsi="Palatino Linotype" w:cs="Arial"/>
          <w:iCs/>
          <w:color w:val="000000" w:themeColor="text1"/>
          <w:lang w:val="es-MX"/>
        </w:rPr>
        <w:t>sic</w:t>
      </w:r>
      <w:proofErr w:type="gramEnd"/>
      <w:r w:rsidRPr="00A657DC">
        <w:rPr>
          <w:rFonts w:ascii="Palatino Linotype" w:hAnsi="Palatino Linotype" w:cs="Arial"/>
          <w:iCs/>
          <w:color w:val="000000" w:themeColor="text1"/>
          <w:lang w:val="es-MX"/>
        </w:rPr>
        <w:t xml:space="preserve">), “¿Cuáles son los requisitos para instalar un nuevo </w:t>
      </w:r>
      <w:proofErr w:type="spellStart"/>
      <w:r w:rsidRPr="00A657DC">
        <w:rPr>
          <w:rFonts w:ascii="Palatino Linotype" w:hAnsi="Palatino Linotype" w:cs="Arial"/>
          <w:iCs/>
          <w:color w:val="000000" w:themeColor="text1"/>
          <w:lang w:val="es-MX"/>
        </w:rPr>
        <w:t>globopuerto</w:t>
      </w:r>
      <w:proofErr w:type="spellEnd"/>
      <w:r w:rsidRPr="00A657DC">
        <w:rPr>
          <w:rFonts w:ascii="Palatino Linotype" w:hAnsi="Palatino Linotype" w:cs="Arial"/>
          <w:iCs/>
          <w:color w:val="000000" w:themeColor="text1"/>
          <w:lang w:val="es-MX"/>
        </w:rPr>
        <w:t xml:space="preserve">?” (sic), y “¿Cuánto ha percibido el gobierno (…los ayuntamientos) por el proyecto Experiencia nocturna en Teotihuacán) </w:t>
      </w:r>
      <w:r w:rsidRPr="00A657DC">
        <w:rPr>
          <w:rFonts w:ascii="Palatino Linotype" w:hAnsi="Palatino Linotype" w:cs="Arial"/>
          <w:iCs/>
          <w:color w:val="000000" w:themeColor="text1"/>
          <w:lang w:val="es-MX"/>
        </w:rPr>
        <w:lastRenderedPageBreak/>
        <w:t>hasta la fecha? esto considerando el convenio de colaboración con el INAH firmado el 19 de octubre del 2019”, se tiene la obligación de orientar al solicitante en el caso que una Entidad o Dependencia Pública ajena sea la Titular de la información solicitada, para que esta atienda su solicitud, como es el caso que nos ocupa, y sea el solicitante quién realice su requerimiento a la Dependencia o Unidad correspondiente. Por lo que se le sugiere remita dichos requerimientos al Ayuntamiento de Teotihuacán, cuya dirección, número telefónico oficial y correo electrónico oficial para recibir solicitudes de información pública, se pueden consultar en el siguiente link: https://www.ipomex.org.mx/ipo3/lgt/indice/TEOTIHUACAN/art_92_xvi/3.web</w:t>
      </w:r>
    </w:p>
    <w:p w14:paraId="72F253E8" w14:textId="77777777" w:rsidR="00012043" w:rsidRPr="00A657DC" w:rsidRDefault="00012043" w:rsidP="00FA02A2">
      <w:pPr>
        <w:spacing w:line="360" w:lineRule="auto"/>
        <w:ind w:right="-93"/>
        <w:jc w:val="both"/>
        <w:rPr>
          <w:rFonts w:ascii="Palatino Linotype" w:hAnsi="Palatino Linotype"/>
        </w:rPr>
      </w:pPr>
    </w:p>
    <w:p w14:paraId="73482E29" w14:textId="18F2929B" w:rsidR="00AF2EF3" w:rsidRPr="00A657DC" w:rsidRDefault="00AD6E6E" w:rsidP="00FA02A2">
      <w:pPr>
        <w:spacing w:line="360" w:lineRule="auto"/>
        <w:ind w:right="-93"/>
        <w:jc w:val="both"/>
        <w:rPr>
          <w:rFonts w:ascii="Palatino Linotype" w:eastAsia="Calibri" w:hAnsi="Palatino Linotype" w:cs="Tahoma"/>
          <w:b/>
          <w:iCs/>
          <w:lang w:val="es-MX" w:eastAsia="es-ES_tradnl"/>
        </w:rPr>
      </w:pPr>
      <w:r w:rsidRPr="00A657DC">
        <w:rPr>
          <w:rFonts w:ascii="Palatino Linotype" w:hAnsi="Palatino Linotype"/>
        </w:rPr>
        <w:t xml:space="preserve">Del recurso de revisión, se obtiene que </w:t>
      </w:r>
      <w:r w:rsidRPr="00A657DC">
        <w:rPr>
          <w:rFonts w:ascii="Palatino Linotype" w:hAnsi="Palatino Linotype" w:cs="Arial"/>
          <w:color w:val="000000"/>
        </w:rPr>
        <w:t xml:space="preserve">EL RECURRENTE, </w:t>
      </w:r>
      <w:r w:rsidRPr="00A657DC">
        <w:rPr>
          <w:rFonts w:ascii="Palatino Linotype" w:hAnsi="Palatino Linotype"/>
        </w:rPr>
        <w:t xml:space="preserve">adujo como motivo de inconformidad que: </w:t>
      </w:r>
      <w:r w:rsidR="00402FD7" w:rsidRPr="00A657DC">
        <w:rPr>
          <w:rFonts w:ascii="Palatino Linotype" w:hAnsi="Palatino Linotype"/>
          <w:i/>
        </w:rPr>
        <w:t>“</w:t>
      </w:r>
      <w:r w:rsidR="00012043" w:rsidRPr="00A657DC">
        <w:rPr>
          <w:rFonts w:ascii="Palatino Linotype" w:hAnsi="Palatino Linotype"/>
          <w:i/>
        </w:rPr>
        <w:t xml:space="preserve">Como se observa, en la solicitud </w:t>
      </w:r>
      <w:r w:rsidR="00012043" w:rsidRPr="00A657DC">
        <w:rPr>
          <w:rFonts w:ascii="Palatino Linotype" w:hAnsi="Palatino Linotype"/>
          <w:b/>
          <w:i/>
        </w:rPr>
        <w:t xml:space="preserve">se pidieron los ingresos que el gobierno del Estado -a través de la Secretaría de Cultura y Turismo- han percibido por la </w:t>
      </w:r>
      <w:r w:rsidR="00012043" w:rsidRPr="00A657DC">
        <w:rPr>
          <w:rFonts w:ascii="Palatino Linotype" w:hAnsi="Palatino Linotype"/>
          <w:b/>
          <w:i/>
          <w:u w:val="single"/>
        </w:rPr>
        <w:t>Experiencia nocturna</w:t>
      </w:r>
      <w:r w:rsidR="00012043" w:rsidRPr="00A657DC">
        <w:rPr>
          <w:rFonts w:ascii="Palatino Linotype" w:hAnsi="Palatino Linotype"/>
          <w:b/>
          <w:i/>
        </w:rPr>
        <w:t xml:space="preserve"> en Teotihuacán a partir de su inicio</w:t>
      </w:r>
      <w:r w:rsidR="00012043" w:rsidRPr="00A657DC">
        <w:rPr>
          <w:rFonts w:ascii="Palatino Linotype" w:hAnsi="Palatino Linotype"/>
          <w:i/>
        </w:rPr>
        <w:t>, a raíz del convenio de colaboración con el INAH: la respuesta solamente afirma que a partir de la pandemia no se han recibido ingresos pero se omite mencionar de los años anteriores. Hace falta agregar esa información…</w:t>
      </w:r>
      <w:r w:rsidR="00402FD7" w:rsidRPr="00A657DC">
        <w:rPr>
          <w:rFonts w:ascii="Palatino Linotype" w:hAnsi="Palatino Linotype"/>
          <w:i/>
        </w:rPr>
        <w:t>”</w:t>
      </w:r>
    </w:p>
    <w:p w14:paraId="67FBABB3" w14:textId="77777777" w:rsidR="00AD6E6E" w:rsidRPr="00A657DC" w:rsidRDefault="00AD6E6E" w:rsidP="00FA02A2">
      <w:pPr>
        <w:spacing w:line="360" w:lineRule="auto"/>
        <w:ind w:right="-93"/>
        <w:jc w:val="both"/>
        <w:rPr>
          <w:rFonts w:ascii="Palatino Linotype" w:eastAsia="Calibri" w:hAnsi="Palatino Linotype" w:cs="Tahoma"/>
          <w:b/>
          <w:iCs/>
          <w:lang w:eastAsia="es-ES_tradnl"/>
        </w:rPr>
      </w:pPr>
    </w:p>
    <w:p w14:paraId="04E34AFC" w14:textId="0FF6A0CA" w:rsidR="00FA02A2" w:rsidRPr="00A657DC" w:rsidRDefault="00FA02A2" w:rsidP="00FA02A2">
      <w:pPr>
        <w:spacing w:line="360" w:lineRule="auto"/>
        <w:ind w:right="-93"/>
        <w:jc w:val="both"/>
        <w:rPr>
          <w:rFonts w:ascii="Palatino Linotype" w:hAnsi="Palatino Linotype" w:cs="Tahoma"/>
          <w:b/>
          <w:lang w:val="es-MX"/>
        </w:rPr>
      </w:pPr>
      <w:r w:rsidRPr="00A657DC">
        <w:rPr>
          <w:rFonts w:ascii="Palatino Linotype" w:eastAsia="Calibri" w:hAnsi="Palatino Linotype" w:cs="Tahoma"/>
          <w:b/>
          <w:iCs/>
          <w:lang w:val="es-MX" w:eastAsia="es-ES_tradnl"/>
        </w:rPr>
        <w:t xml:space="preserve">Agotado lo </w:t>
      </w:r>
      <w:r w:rsidR="008A7E48" w:rsidRPr="00A657DC">
        <w:rPr>
          <w:rFonts w:ascii="Palatino Linotype" w:eastAsia="Calibri" w:hAnsi="Palatino Linotype" w:cs="Tahoma"/>
          <w:b/>
          <w:iCs/>
          <w:lang w:val="es-MX" w:eastAsia="es-ES_tradnl"/>
        </w:rPr>
        <w:t>anterior, tenemos</w:t>
      </w:r>
      <w:r w:rsidRPr="00A657DC">
        <w:rPr>
          <w:rFonts w:ascii="Palatino Linotype" w:eastAsia="Calibri" w:hAnsi="Palatino Linotype" w:cs="Tahoma"/>
          <w:iCs/>
          <w:lang w:val="es-MX" w:eastAsia="es-ES_tradnl"/>
        </w:rPr>
        <w:t xml:space="preserve"> que </w:t>
      </w:r>
      <w:r w:rsidRPr="00A657DC">
        <w:rPr>
          <w:rFonts w:ascii="Palatino Linotype" w:hAnsi="Palatino Linotype" w:cs="Tahoma"/>
          <w:lang w:val="es-MX"/>
        </w:rPr>
        <w:t xml:space="preserve"> 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1EC04BFD" w14:textId="77777777" w:rsidR="00FA02A2" w:rsidRPr="00A657DC" w:rsidRDefault="00FA02A2" w:rsidP="00FA02A2">
      <w:pPr>
        <w:spacing w:line="360" w:lineRule="auto"/>
        <w:jc w:val="both"/>
        <w:rPr>
          <w:rFonts w:ascii="Palatino Linotype" w:hAnsi="Palatino Linotype" w:cs="Tahoma"/>
          <w:color w:val="FF0000"/>
          <w:lang w:val="es-MX"/>
        </w:rPr>
      </w:pPr>
    </w:p>
    <w:p w14:paraId="522FE35A" w14:textId="77777777" w:rsidR="00FA02A2" w:rsidRPr="00A657DC" w:rsidRDefault="00FA02A2" w:rsidP="00FA02A2">
      <w:pPr>
        <w:spacing w:line="360" w:lineRule="auto"/>
        <w:jc w:val="both"/>
        <w:rPr>
          <w:rFonts w:ascii="Palatino Linotype" w:hAnsi="Palatino Linotype" w:cs="Tahoma"/>
          <w:lang w:val="es-MX"/>
        </w:rPr>
      </w:pPr>
      <w:r w:rsidRPr="00A657DC">
        <w:rPr>
          <w:rFonts w:ascii="Palatino Linotype" w:hAnsi="Palatino Linotype" w:cs="Tahoma"/>
          <w:lang w:val="es-MX"/>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31E79D" w14:textId="77777777" w:rsidR="00FA02A2" w:rsidRPr="00A657DC" w:rsidRDefault="00FA02A2" w:rsidP="00FA02A2">
      <w:pPr>
        <w:spacing w:line="360" w:lineRule="auto"/>
        <w:jc w:val="both"/>
        <w:rPr>
          <w:rFonts w:ascii="Palatino Linotype" w:hAnsi="Palatino Linotype" w:cs="Tahoma"/>
          <w:lang w:val="es-MX"/>
        </w:rPr>
      </w:pPr>
    </w:p>
    <w:p w14:paraId="1F8F2570" w14:textId="77777777" w:rsidR="00FA02A2" w:rsidRPr="00A657DC" w:rsidRDefault="00FA02A2" w:rsidP="00FA02A2">
      <w:pPr>
        <w:spacing w:line="360" w:lineRule="auto"/>
        <w:jc w:val="both"/>
        <w:rPr>
          <w:rFonts w:ascii="Palatino Linotype" w:hAnsi="Palatino Linotype" w:cs="Tahoma"/>
          <w:lang w:val="es-MX"/>
        </w:rPr>
      </w:pPr>
      <w:r w:rsidRPr="00A657DC">
        <w:rPr>
          <w:rFonts w:ascii="Palatino Linotype" w:hAnsi="Palatino Linotype" w:cs="Tahoma"/>
          <w:lang w:val="es-MX"/>
        </w:rPr>
        <w:t>Por su parte, la Ley de Transparencia y Acceso a la Información Pública del Estado de México y Municipios (Reglamentaria del artículo 5° de la Constitución Local), establece lo siguiente:</w:t>
      </w:r>
    </w:p>
    <w:p w14:paraId="519C0464" w14:textId="77777777" w:rsidR="00FA02A2" w:rsidRPr="00A657DC" w:rsidRDefault="00FA02A2" w:rsidP="00FA02A2">
      <w:pPr>
        <w:spacing w:line="360" w:lineRule="auto"/>
        <w:jc w:val="both"/>
        <w:rPr>
          <w:rFonts w:ascii="Palatino Linotype" w:hAnsi="Palatino Linotype" w:cs="Tahoma"/>
          <w:lang w:val="es-MX"/>
        </w:rPr>
      </w:pPr>
    </w:p>
    <w:p w14:paraId="69614DD6" w14:textId="77777777" w:rsidR="00FA02A2" w:rsidRPr="00A657DC" w:rsidRDefault="00FA02A2" w:rsidP="00FA02A2">
      <w:pPr>
        <w:pStyle w:val="Prrafodelista"/>
        <w:numPr>
          <w:ilvl w:val="0"/>
          <w:numId w:val="17"/>
        </w:numPr>
        <w:spacing w:line="360" w:lineRule="auto"/>
        <w:contextualSpacing/>
        <w:jc w:val="both"/>
        <w:rPr>
          <w:rFonts w:ascii="Palatino Linotype" w:hAnsi="Palatino Linotype" w:cs="Tahoma"/>
          <w:lang w:val="es-MX"/>
        </w:rPr>
      </w:pPr>
      <w:r w:rsidRPr="00A657DC">
        <w:rPr>
          <w:rFonts w:ascii="Palatino Linotype" w:hAnsi="Palatino Linotype" w:cs="Tahoma"/>
          <w:lang w:val="es-MX"/>
        </w:rPr>
        <w:t>El artículo 12, que, quienes generen, recopilen, administren, manejen, procesen, archiven o conserven información pública serán responsables de la misma.</w:t>
      </w:r>
    </w:p>
    <w:p w14:paraId="54F3FEF4" w14:textId="77777777" w:rsidR="00FA02A2" w:rsidRPr="00A657DC" w:rsidRDefault="00FA02A2" w:rsidP="00FA02A2">
      <w:pPr>
        <w:spacing w:line="360" w:lineRule="auto"/>
        <w:jc w:val="both"/>
        <w:rPr>
          <w:rFonts w:ascii="Palatino Linotype" w:hAnsi="Palatino Linotype" w:cs="Tahoma"/>
          <w:lang w:val="es-MX"/>
        </w:rPr>
      </w:pPr>
    </w:p>
    <w:p w14:paraId="2F88CC48" w14:textId="77777777" w:rsidR="00FA02A2" w:rsidRPr="00A657DC" w:rsidRDefault="00FA02A2" w:rsidP="00FA02A2">
      <w:pPr>
        <w:pStyle w:val="Prrafodelista"/>
        <w:numPr>
          <w:ilvl w:val="0"/>
          <w:numId w:val="17"/>
        </w:numPr>
        <w:spacing w:line="360" w:lineRule="auto"/>
        <w:contextualSpacing/>
        <w:jc w:val="both"/>
        <w:rPr>
          <w:rFonts w:ascii="Palatino Linotype" w:hAnsi="Palatino Linotype" w:cs="Tahoma"/>
          <w:lang w:val="es-MX"/>
        </w:rPr>
      </w:pPr>
      <w:r w:rsidRPr="00A657DC">
        <w:rPr>
          <w:rFonts w:ascii="Palatino Linotype" w:hAnsi="Palatino Linotype" w:cs="Tahoma"/>
          <w:lang w:val="es-MX"/>
        </w:rPr>
        <w:t>El artículo 18, que, los Sujetos Obligados deberán documentar todo acto que derive del ejercicio de sus facultades, competencias o funciones, considerando desde su origen la eventual publicidad y reutilización de la información que generen.</w:t>
      </w:r>
    </w:p>
    <w:p w14:paraId="2E11A061" w14:textId="77777777" w:rsidR="00FA02A2" w:rsidRPr="00A657DC" w:rsidRDefault="00FA02A2" w:rsidP="00FA02A2">
      <w:pPr>
        <w:spacing w:line="360" w:lineRule="auto"/>
        <w:jc w:val="both"/>
        <w:rPr>
          <w:rFonts w:ascii="Palatino Linotype" w:hAnsi="Palatino Linotype" w:cs="Tahoma"/>
          <w:lang w:val="es-MX"/>
        </w:rPr>
      </w:pPr>
    </w:p>
    <w:p w14:paraId="754261E2" w14:textId="77777777" w:rsidR="00FA02A2" w:rsidRPr="00A657DC" w:rsidRDefault="00FA02A2" w:rsidP="00FA02A2">
      <w:pPr>
        <w:pStyle w:val="Prrafodelista"/>
        <w:numPr>
          <w:ilvl w:val="0"/>
          <w:numId w:val="17"/>
        </w:numPr>
        <w:spacing w:line="360" w:lineRule="auto"/>
        <w:contextualSpacing/>
        <w:jc w:val="both"/>
        <w:rPr>
          <w:rFonts w:ascii="Palatino Linotype" w:hAnsi="Palatino Linotype" w:cs="Tahoma"/>
          <w:lang w:val="es-MX"/>
        </w:rPr>
      </w:pPr>
      <w:r w:rsidRPr="00A657DC">
        <w:rPr>
          <w:rFonts w:ascii="Palatino Linotype" w:hAnsi="Palatino Linotype" w:cs="Tahoma"/>
          <w:lang w:val="es-MX"/>
        </w:rPr>
        <w:t xml:space="preserve">El artículo 19, que, se presume que la información debe existir si se refiere a las facultades, competencias y funciones que los ordenamientos jurídicos aplicables otorgan a los sujetos Obligados y en caso de que dichas facultades </w:t>
      </w:r>
      <w:r w:rsidRPr="00A657DC">
        <w:rPr>
          <w:rFonts w:ascii="Palatino Linotype" w:hAnsi="Palatino Linotype" w:cs="Tahoma"/>
          <w:lang w:val="es-MX"/>
        </w:rPr>
        <w:lastRenderedPageBreak/>
        <w:t>no se hayan ejercido, se deberá motivar la respuesta en función de las causas que motivaron tal circunstancia.</w:t>
      </w:r>
    </w:p>
    <w:p w14:paraId="5DE5FE16" w14:textId="77777777" w:rsidR="00FA02A2" w:rsidRPr="00A657DC" w:rsidRDefault="00FA02A2" w:rsidP="00FA02A2">
      <w:pPr>
        <w:spacing w:line="360" w:lineRule="auto"/>
        <w:ind w:right="-93"/>
        <w:jc w:val="both"/>
        <w:rPr>
          <w:rFonts w:ascii="Palatino Linotype" w:eastAsia="Calibri" w:hAnsi="Palatino Linotype" w:cs="Tahoma"/>
          <w:bCs/>
          <w:color w:val="FF0000"/>
          <w:lang w:val="es-MX" w:eastAsia="en-US"/>
        </w:rPr>
      </w:pPr>
    </w:p>
    <w:p w14:paraId="0C0604DB" w14:textId="5CC69B4F" w:rsidR="008A7E48" w:rsidRPr="00A657DC" w:rsidRDefault="008A7E48" w:rsidP="008A7E48">
      <w:pPr>
        <w:spacing w:line="360" w:lineRule="auto"/>
        <w:jc w:val="both"/>
        <w:rPr>
          <w:rFonts w:ascii="Palatino Linotype" w:hAnsi="Palatino Linotype" w:cs="Arial"/>
          <w:lang w:val="es-MX"/>
        </w:rPr>
      </w:pPr>
      <w:r w:rsidRPr="00A657DC">
        <w:rPr>
          <w:rFonts w:ascii="Palatino Linotype" w:hAnsi="Palatino Linotype" w:cs="Arial"/>
          <w:lang w:val="es-MX"/>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F4FA15" w14:textId="77777777" w:rsidR="008A7E48" w:rsidRPr="00A657DC" w:rsidRDefault="008A7E48" w:rsidP="008A7E48">
      <w:pPr>
        <w:ind w:left="851" w:right="899"/>
        <w:jc w:val="both"/>
        <w:rPr>
          <w:rFonts w:ascii="Palatino Linotype" w:hAnsi="Palatino Linotype" w:cs="Arial"/>
          <w:i/>
          <w:sz w:val="22"/>
          <w:szCs w:val="22"/>
          <w:lang w:val="es-MX"/>
        </w:rPr>
      </w:pPr>
    </w:p>
    <w:p w14:paraId="1A2ADE22" w14:textId="77777777" w:rsidR="008A7E48" w:rsidRPr="00A657DC" w:rsidRDefault="008A7E48" w:rsidP="008A7E48">
      <w:pPr>
        <w:ind w:left="851" w:right="899"/>
        <w:jc w:val="both"/>
        <w:rPr>
          <w:rFonts w:ascii="Palatino Linotype" w:hAnsi="Palatino Linotype" w:cs="Arial"/>
          <w:i/>
          <w:sz w:val="22"/>
          <w:szCs w:val="22"/>
          <w:lang w:val="es-MX"/>
        </w:rPr>
      </w:pPr>
      <w:r w:rsidRPr="00A657DC">
        <w:rPr>
          <w:rFonts w:ascii="Palatino Linotype" w:hAnsi="Palatino Linotype" w:cs="Arial"/>
          <w:i/>
          <w:sz w:val="22"/>
          <w:szCs w:val="22"/>
          <w:lang w:val="es-MX"/>
        </w:rPr>
        <w:t>“</w:t>
      </w:r>
      <w:r w:rsidRPr="00A657DC">
        <w:rPr>
          <w:rFonts w:ascii="Palatino Linotype" w:hAnsi="Palatino Linotype" w:cs="Arial"/>
          <w:b/>
          <w:i/>
          <w:sz w:val="22"/>
          <w:szCs w:val="22"/>
          <w:lang w:val="es-MX"/>
        </w:rPr>
        <w:t xml:space="preserve">Artículo 3. </w:t>
      </w:r>
      <w:r w:rsidRPr="00A657DC">
        <w:rPr>
          <w:rFonts w:ascii="Palatino Linotype" w:hAnsi="Palatino Linotype" w:cs="Arial"/>
          <w:i/>
          <w:sz w:val="22"/>
          <w:szCs w:val="22"/>
          <w:lang w:val="es-MX"/>
        </w:rPr>
        <w:t>Para los efectos de la presente Ley se entenderá por:</w:t>
      </w:r>
    </w:p>
    <w:p w14:paraId="79988468" w14:textId="77777777" w:rsidR="008A7E48" w:rsidRPr="00A657DC" w:rsidRDefault="008A7E48" w:rsidP="008A7E48">
      <w:pPr>
        <w:ind w:left="851" w:right="899"/>
        <w:jc w:val="both"/>
        <w:rPr>
          <w:rFonts w:ascii="Palatino Linotype" w:hAnsi="Palatino Linotype" w:cs="Arial"/>
          <w:i/>
          <w:sz w:val="22"/>
          <w:szCs w:val="22"/>
          <w:lang w:val="es-MX"/>
        </w:rPr>
      </w:pPr>
      <w:r w:rsidRPr="00A657DC">
        <w:rPr>
          <w:rFonts w:ascii="Palatino Linotype" w:hAnsi="Palatino Linotype" w:cs="Arial"/>
          <w:i/>
          <w:sz w:val="22"/>
          <w:szCs w:val="22"/>
          <w:lang w:val="es-MX"/>
        </w:rPr>
        <w:t>…</w:t>
      </w:r>
    </w:p>
    <w:p w14:paraId="6B1C839D" w14:textId="77777777" w:rsidR="008A7E48" w:rsidRPr="00A657DC" w:rsidRDefault="008A7E48" w:rsidP="008A7E48">
      <w:pPr>
        <w:ind w:left="851" w:right="899"/>
        <w:jc w:val="both"/>
        <w:rPr>
          <w:rFonts w:ascii="Palatino Linotype" w:hAnsi="Palatino Linotype" w:cs="Arial"/>
          <w:i/>
          <w:color w:val="000000"/>
          <w:sz w:val="22"/>
          <w:szCs w:val="22"/>
          <w:lang w:val="es-MX"/>
        </w:rPr>
      </w:pPr>
      <w:r w:rsidRPr="00A657DC">
        <w:rPr>
          <w:rFonts w:ascii="Palatino Linotype" w:hAnsi="Palatino Linotype" w:cs="Arial"/>
          <w:b/>
          <w:i/>
          <w:color w:val="000000"/>
          <w:sz w:val="22"/>
          <w:szCs w:val="22"/>
          <w:lang w:val="es-MX"/>
        </w:rPr>
        <w:t>XI. Documento:</w:t>
      </w:r>
      <w:r w:rsidRPr="00A657DC">
        <w:rPr>
          <w:rFonts w:ascii="Palatino Linotype" w:hAnsi="Palatino Linotype" w:cs="Arial"/>
          <w:i/>
          <w:color w:val="000000"/>
          <w:sz w:val="22"/>
          <w:szCs w:val="22"/>
          <w:lang w:val="es-MX"/>
        </w:rPr>
        <w:t xml:space="preserve"> Los expedientes, reportes, estudios, actas</w:t>
      </w:r>
      <w:r w:rsidRPr="00A657DC">
        <w:rPr>
          <w:rFonts w:ascii="Palatino Linotype" w:hAnsi="Palatino Linotype" w:cs="Arial"/>
          <w:b/>
          <w:i/>
          <w:color w:val="000000"/>
          <w:sz w:val="22"/>
          <w:szCs w:val="22"/>
          <w:lang w:val="es-MX"/>
        </w:rPr>
        <w:t>,</w:t>
      </w:r>
      <w:r w:rsidRPr="00A657DC">
        <w:rPr>
          <w:rFonts w:ascii="Palatino Linotype" w:hAnsi="Palatino Linotype" w:cs="Arial"/>
          <w:i/>
          <w:color w:val="000000"/>
          <w:sz w:val="22"/>
          <w:szCs w:val="22"/>
          <w:lang w:val="es-MX"/>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FF2055D" w14:textId="77777777" w:rsidR="008A7E48" w:rsidRPr="00A657DC" w:rsidRDefault="008A7E48" w:rsidP="008A7E48">
      <w:pPr>
        <w:ind w:left="851" w:right="899"/>
        <w:jc w:val="both"/>
        <w:rPr>
          <w:rFonts w:ascii="Palatino Linotype" w:hAnsi="Palatino Linotype" w:cs="Arial"/>
          <w:sz w:val="22"/>
          <w:szCs w:val="22"/>
          <w:lang w:val="es-MX"/>
        </w:rPr>
      </w:pPr>
    </w:p>
    <w:p w14:paraId="42C486D8" w14:textId="77777777" w:rsidR="008A7E48" w:rsidRPr="00A657DC" w:rsidRDefault="008A7E48" w:rsidP="008A7E48">
      <w:pPr>
        <w:autoSpaceDE w:val="0"/>
        <w:autoSpaceDN w:val="0"/>
        <w:adjustRightInd w:val="0"/>
        <w:spacing w:line="360" w:lineRule="auto"/>
        <w:jc w:val="both"/>
        <w:rPr>
          <w:rFonts w:ascii="Palatino Linotype" w:hAnsi="Palatino Linotype" w:cs="Arial"/>
          <w:lang w:val="es-MX"/>
        </w:rPr>
      </w:pPr>
      <w:r w:rsidRPr="00A657DC">
        <w:rPr>
          <w:rFonts w:ascii="Palatino Linotype" w:hAnsi="Palatino Linotype" w:cs="Arial"/>
          <w:lang w:val="es-MX"/>
        </w:rPr>
        <w:t xml:space="preserve">Siendo aplicable, el Criterio </w:t>
      </w:r>
      <w:r w:rsidRPr="00A657DC">
        <w:rPr>
          <w:rFonts w:ascii="Palatino Linotype" w:hAnsi="Palatino Linotype" w:cs="Arial"/>
          <w:bCs/>
          <w:lang w:val="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657DC">
        <w:rPr>
          <w:rFonts w:ascii="Palatino Linotype" w:hAnsi="Palatino Linotype" w:cs="Arial"/>
          <w:lang w:val="es-MX"/>
        </w:rPr>
        <w:t>cuyo rubro y texto refieren lo siguiente:</w:t>
      </w:r>
    </w:p>
    <w:p w14:paraId="0875DFF1" w14:textId="77777777" w:rsidR="008A7E48" w:rsidRPr="00A657DC" w:rsidRDefault="008A7E48" w:rsidP="008A7E48">
      <w:pPr>
        <w:ind w:right="899"/>
        <w:jc w:val="both"/>
        <w:rPr>
          <w:rFonts w:ascii="Palatino Linotype" w:hAnsi="Palatino Linotype" w:cs="Arial"/>
          <w:lang w:val="es-MX"/>
        </w:rPr>
      </w:pPr>
    </w:p>
    <w:p w14:paraId="2D1CE15E" w14:textId="77777777" w:rsidR="008A7E48" w:rsidRPr="00A657DC" w:rsidRDefault="008A7E48" w:rsidP="008A7E48">
      <w:pPr>
        <w:ind w:left="851" w:right="899"/>
        <w:jc w:val="both"/>
        <w:rPr>
          <w:rFonts w:ascii="Palatino Linotype" w:hAnsi="Palatino Linotype" w:cs="Arial"/>
          <w:b/>
          <w:i/>
          <w:sz w:val="22"/>
          <w:szCs w:val="22"/>
          <w:lang w:val="es-MX"/>
        </w:rPr>
      </w:pPr>
      <w:r w:rsidRPr="00A657DC">
        <w:rPr>
          <w:rFonts w:ascii="Palatino Linotype" w:hAnsi="Palatino Linotype" w:cs="Arial"/>
          <w:b/>
          <w:sz w:val="22"/>
          <w:szCs w:val="22"/>
          <w:lang w:val="es-MX"/>
        </w:rPr>
        <w:lastRenderedPageBreak/>
        <w:t>“</w:t>
      </w:r>
      <w:r w:rsidRPr="00A657DC">
        <w:rPr>
          <w:rFonts w:ascii="Palatino Linotype" w:hAnsi="Palatino Linotype" w:cs="Arial"/>
          <w:b/>
          <w:i/>
          <w:sz w:val="22"/>
          <w:szCs w:val="22"/>
          <w:lang w:val="es-MX"/>
        </w:rPr>
        <w:t>CRITERIO 0002-11</w:t>
      </w:r>
    </w:p>
    <w:p w14:paraId="47FE8B32" w14:textId="77777777" w:rsidR="008A7E48" w:rsidRPr="00A657DC" w:rsidRDefault="008A7E48" w:rsidP="008A7E48">
      <w:pPr>
        <w:ind w:left="851" w:right="899"/>
        <w:jc w:val="both"/>
        <w:rPr>
          <w:rFonts w:ascii="Palatino Linotype" w:hAnsi="Palatino Linotype" w:cs="Arial"/>
          <w:i/>
          <w:sz w:val="22"/>
          <w:szCs w:val="22"/>
          <w:lang w:val="es-MX"/>
        </w:rPr>
      </w:pPr>
      <w:r w:rsidRPr="00A657DC">
        <w:rPr>
          <w:rFonts w:ascii="Palatino Linotype" w:hAnsi="Palatino Linotype" w:cs="Arial"/>
          <w:b/>
          <w:i/>
          <w:sz w:val="22"/>
          <w:szCs w:val="22"/>
          <w:lang w:val="es-MX"/>
        </w:rPr>
        <w:t xml:space="preserve">INFORMACIÓN PÚBLICA, CONCEPTO DE, EN MATERIA DE TRANSPARENCIA. INTERPRETACIÓN SISTEMÁTICA DE LOS ARTÍCULOS 2°, FRACCIÓN </w:t>
      </w:r>
      <w:r w:rsidRPr="00A657DC">
        <w:rPr>
          <w:rFonts w:ascii="Palatino Linotype" w:hAnsi="Palatino Linotype" w:cs="Arial"/>
          <w:b/>
          <w:bCs/>
          <w:i/>
          <w:sz w:val="22"/>
          <w:szCs w:val="22"/>
          <w:lang w:val="es-MX"/>
        </w:rPr>
        <w:t xml:space="preserve">V, XV, Y XVI, </w:t>
      </w:r>
      <w:r w:rsidRPr="00A657DC">
        <w:rPr>
          <w:rFonts w:ascii="Palatino Linotype" w:hAnsi="Palatino Linotype" w:cs="Arial"/>
          <w:b/>
          <w:i/>
          <w:sz w:val="22"/>
          <w:szCs w:val="22"/>
          <w:lang w:val="es-MX"/>
        </w:rPr>
        <w:t>3°, 4°, 11 Y 41.</w:t>
      </w:r>
      <w:r w:rsidRPr="00A657DC">
        <w:rPr>
          <w:rFonts w:ascii="Palatino Linotype"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2ED1E9" w14:textId="77777777" w:rsidR="008A7E48" w:rsidRPr="00A657DC" w:rsidRDefault="008A7E48" w:rsidP="008A7E48">
      <w:pPr>
        <w:ind w:left="851" w:right="899"/>
        <w:jc w:val="both"/>
        <w:rPr>
          <w:rFonts w:ascii="Palatino Linotype" w:hAnsi="Palatino Linotype" w:cs="Arial"/>
          <w:i/>
          <w:sz w:val="22"/>
          <w:szCs w:val="22"/>
          <w:lang w:val="es-MX"/>
        </w:rPr>
      </w:pPr>
      <w:r w:rsidRPr="00A657DC">
        <w:rPr>
          <w:rFonts w:ascii="Palatino Linotype" w:hAnsi="Palatino Linotype" w:cs="Arial"/>
          <w:i/>
          <w:sz w:val="22"/>
          <w:szCs w:val="22"/>
          <w:lang w:val="es-MX"/>
        </w:rPr>
        <w:t>En consecuencia el acceso a la información se refiere a que se cumplan cualquiera de los siguientes tres supuestos:</w:t>
      </w:r>
    </w:p>
    <w:p w14:paraId="1E379BD5" w14:textId="77777777" w:rsidR="008A7E48" w:rsidRPr="00A657DC" w:rsidRDefault="008A7E48" w:rsidP="008A7E48">
      <w:pPr>
        <w:ind w:left="851" w:right="899"/>
        <w:jc w:val="both"/>
        <w:rPr>
          <w:rFonts w:ascii="Palatino Linotype" w:hAnsi="Palatino Linotype" w:cs="Arial"/>
          <w:i/>
          <w:sz w:val="22"/>
          <w:szCs w:val="22"/>
          <w:lang w:val="es-MX"/>
        </w:rPr>
      </w:pPr>
      <w:r w:rsidRPr="00A657DC">
        <w:rPr>
          <w:rFonts w:ascii="Palatino Linotype" w:hAnsi="Palatino Linotype" w:cs="Arial"/>
          <w:i/>
          <w:sz w:val="22"/>
          <w:szCs w:val="22"/>
          <w:lang w:val="es-MX"/>
        </w:rPr>
        <w:t xml:space="preserve">1) </w:t>
      </w:r>
      <w:r w:rsidRPr="00A657DC">
        <w:rPr>
          <w:rFonts w:ascii="Palatino Linotype" w:hAnsi="Palatino Linotype" w:cs="Arial"/>
          <w:b/>
          <w:i/>
          <w:sz w:val="22"/>
          <w:szCs w:val="22"/>
          <w:lang w:val="es-MX"/>
        </w:rPr>
        <w:t>Que se trate de información registrada en cualquier soporte documental, que en ejercicio de las atribuciones conferidas, sea generada por los Sujetos Obligados;</w:t>
      </w:r>
    </w:p>
    <w:p w14:paraId="5661F918" w14:textId="77777777" w:rsidR="008A7E48" w:rsidRPr="00A657DC" w:rsidRDefault="008A7E48" w:rsidP="008A7E48">
      <w:pPr>
        <w:ind w:left="851" w:right="899"/>
        <w:jc w:val="both"/>
        <w:rPr>
          <w:rFonts w:ascii="Palatino Linotype" w:hAnsi="Palatino Linotype" w:cs="Arial"/>
          <w:b/>
          <w:i/>
          <w:sz w:val="22"/>
          <w:szCs w:val="22"/>
          <w:lang w:val="es-MX"/>
        </w:rPr>
      </w:pPr>
      <w:r w:rsidRPr="00A657DC">
        <w:rPr>
          <w:rFonts w:ascii="Palatino Linotype" w:hAnsi="Palatino Linotype" w:cs="Arial"/>
          <w:b/>
          <w:i/>
          <w:sz w:val="22"/>
          <w:szCs w:val="22"/>
          <w:lang w:val="es-MX"/>
        </w:rPr>
        <w:t>2) Que se trate de información registrada en cualquier soporte documental, que en ejercicio de las atribuciones conferidas, sea administrada por los Sujetos Obligados, y</w:t>
      </w:r>
    </w:p>
    <w:p w14:paraId="7EA4AC05" w14:textId="0B86B5BE" w:rsidR="00623508" w:rsidRPr="00A657DC" w:rsidRDefault="008A7E48" w:rsidP="007C6AE4">
      <w:pPr>
        <w:ind w:left="851" w:right="899"/>
        <w:jc w:val="both"/>
        <w:rPr>
          <w:rFonts w:ascii="Palatino Linotype" w:hAnsi="Palatino Linotype" w:cs="Arial"/>
          <w:b/>
          <w:i/>
          <w:sz w:val="22"/>
          <w:szCs w:val="22"/>
          <w:lang w:val="es-MX"/>
        </w:rPr>
      </w:pPr>
      <w:r w:rsidRPr="00A657DC">
        <w:rPr>
          <w:rFonts w:ascii="Palatino Linotype" w:hAnsi="Palatino Linotype" w:cs="Arial"/>
          <w:b/>
          <w:i/>
          <w:sz w:val="22"/>
          <w:szCs w:val="22"/>
          <w:lang w:val="es-MX"/>
        </w:rPr>
        <w:t xml:space="preserve">3) Que se trate de información registrada en cualquier soporte documental, que en ejercicio de las atribuciones conferidas, se encuentre en posesión de los Sujetos Obligados.” </w:t>
      </w:r>
    </w:p>
    <w:p w14:paraId="0E684A55" w14:textId="77777777" w:rsidR="00623508" w:rsidRPr="00A657DC" w:rsidRDefault="00623508" w:rsidP="00A45C93">
      <w:pPr>
        <w:spacing w:before="240" w:after="360" w:line="360" w:lineRule="auto"/>
        <w:jc w:val="both"/>
        <w:rPr>
          <w:rFonts w:ascii="Palatino Linotype" w:hAnsi="Palatino Linotype"/>
          <w:lang w:val="es-MX"/>
        </w:rPr>
      </w:pPr>
    </w:p>
    <w:p w14:paraId="1DEF09CD" w14:textId="2757583B" w:rsidR="007C6AE4" w:rsidRPr="00A657DC" w:rsidRDefault="005C2CFB" w:rsidP="00A45C93">
      <w:pPr>
        <w:spacing w:before="240" w:after="360" w:line="360" w:lineRule="auto"/>
        <w:jc w:val="both"/>
        <w:rPr>
          <w:rFonts w:ascii="Palatino Linotype" w:hAnsi="Palatino Linotype"/>
          <w:lang w:val="es-MX"/>
        </w:rPr>
      </w:pPr>
      <w:r w:rsidRPr="00A657DC">
        <w:rPr>
          <w:rFonts w:ascii="Palatino Linotype" w:hAnsi="Palatino Linotype"/>
          <w:lang w:val="es-MX"/>
        </w:rPr>
        <w:t>Bajo ese contexto, esta Autoridad analizó la totalidad de constancias que integran el expediente electrónico de actuación y advirtió en primer lugar que la parte recurrente, previo trámite del procedimiento de acceso a la información, se duele med</w:t>
      </w:r>
      <w:r w:rsidR="007C6AE4" w:rsidRPr="00A657DC">
        <w:rPr>
          <w:rFonts w:ascii="Palatino Linotype" w:hAnsi="Palatino Linotype"/>
          <w:lang w:val="es-MX"/>
        </w:rPr>
        <w:t>ularmente señalando que no cuenta con elementos de emisión de respuesta de los requerimientos relacionados con:</w:t>
      </w:r>
    </w:p>
    <w:p w14:paraId="5EBBD839" w14:textId="766EAD4B" w:rsidR="008C4560" w:rsidRPr="00A657DC" w:rsidRDefault="006E7534" w:rsidP="00EE6AD1">
      <w:pPr>
        <w:pStyle w:val="Prrafodelista"/>
        <w:numPr>
          <w:ilvl w:val="0"/>
          <w:numId w:val="26"/>
        </w:numPr>
        <w:spacing w:before="240" w:after="360"/>
        <w:jc w:val="both"/>
        <w:rPr>
          <w:rFonts w:ascii="Palatino Linotype" w:hAnsi="Palatino Linotype"/>
          <w:b/>
          <w:lang w:val="es-MX"/>
        </w:rPr>
      </w:pPr>
      <w:r w:rsidRPr="00A657DC">
        <w:rPr>
          <w:rFonts w:ascii="Palatino Linotype" w:hAnsi="Palatino Linotype"/>
          <w:b/>
        </w:rPr>
        <w:t xml:space="preserve">Los </w:t>
      </w:r>
      <w:r w:rsidR="00EE6AD1" w:rsidRPr="00A657DC">
        <w:rPr>
          <w:rFonts w:ascii="Palatino Linotype" w:hAnsi="Palatino Linotype"/>
          <w:b/>
        </w:rPr>
        <w:t>ingresos obtenidos con motivo de</w:t>
      </w:r>
      <w:r w:rsidR="003042EE" w:rsidRPr="00A657DC">
        <w:rPr>
          <w:rFonts w:ascii="Palatino Linotype" w:hAnsi="Palatino Linotype"/>
          <w:b/>
        </w:rPr>
        <w:t>l proyecto</w:t>
      </w:r>
      <w:r w:rsidR="00EE6AD1" w:rsidRPr="00A657DC">
        <w:rPr>
          <w:rFonts w:ascii="Palatino Linotype" w:hAnsi="Palatino Linotype"/>
          <w:b/>
        </w:rPr>
        <w:t xml:space="preserve"> “</w:t>
      </w:r>
      <w:r w:rsidR="00EE6AD1" w:rsidRPr="00A657DC">
        <w:rPr>
          <w:rFonts w:ascii="Palatino Linotype" w:hAnsi="Palatino Linotype"/>
          <w:b/>
          <w:i/>
        </w:rPr>
        <w:t>Experiencia Nocturna</w:t>
      </w:r>
      <w:r w:rsidR="00EE6AD1" w:rsidRPr="00A657DC">
        <w:rPr>
          <w:rFonts w:ascii="Palatino Linotype" w:hAnsi="Palatino Linotype"/>
          <w:b/>
        </w:rPr>
        <w:t>”</w:t>
      </w:r>
      <w:r w:rsidR="008C4560" w:rsidRPr="00A657DC">
        <w:rPr>
          <w:rFonts w:ascii="Palatino Linotype" w:hAnsi="Palatino Linotype"/>
          <w:b/>
        </w:rPr>
        <w:t xml:space="preserve"> en Teotihuacán desde a partir de su inicio.</w:t>
      </w:r>
    </w:p>
    <w:p w14:paraId="58D617CC" w14:textId="4C6F2233" w:rsidR="005C2CFB" w:rsidRPr="00A657DC" w:rsidRDefault="007C3D95" w:rsidP="007C3D95">
      <w:pPr>
        <w:spacing w:before="240" w:after="360" w:line="360" w:lineRule="auto"/>
        <w:jc w:val="both"/>
        <w:rPr>
          <w:rFonts w:ascii="Palatino Linotype" w:hAnsi="Palatino Linotype"/>
          <w:lang w:val="es-MX"/>
        </w:rPr>
      </w:pPr>
      <w:r w:rsidRPr="00A657DC">
        <w:rPr>
          <w:rFonts w:ascii="Palatino Linotype" w:hAnsi="Palatino Linotype"/>
          <w:lang w:val="es-MX"/>
        </w:rPr>
        <w:t xml:space="preserve">De lo anterior, </w:t>
      </w:r>
      <w:r w:rsidR="00AE3115" w:rsidRPr="00A657DC">
        <w:rPr>
          <w:rFonts w:ascii="Palatino Linotype" w:hAnsi="Palatino Linotype"/>
          <w:lang w:val="es-MX"/>
        </w:rPr>
        <w:t>la</w:t>
      </w:r>
      <w:r w:rsidR="00E902CC" w:rsidRPr="00A657DC">
        <w:rPr>
          <w:rFonts w:ascii="Palatino Linotype" w:hAnsi="Palatino Linotype"/>
          <w:lang w:val="es-MX"/>
        </w:rPr>
        <w:t xml:space="preserve"> solicitante se encuentra conforme </w:t>
      </w:r>
      <w:r w:rsidRPr="00A657DC">
        <w:rPr>
          <w:rFonts w:ascii="Palatino Linotype" w:hAnsi="Palatino Linotype"/>
          <w:lang w:val="es-MX"/>
        </w:rPr>
        <w:t>con las documentales entregadas</w:t>
      </w:r>
      <w:r w:rsidR="000F6975" w:rsidRPr="00A657DC">
        <w:rPr>
          <w:rFonts w:ascii="Palatino Linotype" w:hAnsi="Palatino Linotype"/>
          <w:lang w:val="es-MX"/>
        </w:rPr>
        <w:t xml:space="preserve"> a los requerimientos restantes</w:t>
      </w:r>
      <w:r w:rsidR="005C2CFB" w:rsidRPr="00A657DC">
        <w:rPr>
          <w:rFonts w:ascii="Palatino Linotype" w:hAnsi="Palatino Linotype"/>
          <w:lang w:val="es-MX"/>
        </w:rPr>
        <w:t xml:space="preserve">, debido a que cuando el recurrente impugna la </w:t>
      </w:r>
      <w:r w:rsidR="005C2CFB" w:rsidRPr="00A657DC">
        <w:rPr>
          <w:rFonts w:ascii="Palatino Linotype" w:hAnsi="Palatino Linotype"/>
          <w:lang w:val="es-MX"/>
        </w:rPr>
        <w:lastRenderedPageBreak/>
        <w:t xml:space="preserve">respuesta del </w:t>
      </w:r>
      <w:r w:rsidR="00C52ECA" w:rsidRPr="00A657DC">
        <w:rPr>
          <w:rFonts w:ascii="Palatino Linotype" w:hAnsi="Palatino Linotype"/>
          <w:b/>
          <w:lang w:val="es-MX"/>
        </w:rPr>
        <w:t>SUJETO OBLIGADO</w:t>
      </w:r>
      <w:r w:rsidR="005C2CFB" w:rsidRPr="00A657DC">
        <w:rPr>
          <w:rFonts w:ascii="Palatino Linotype" w:hAnsi="Palatino Linotype"/>
          <w:lang w:val="es-MX"/>
        </w:rPr>
        <w:t>, y éste no expresa Razón o Motivo de Inconformidad en contra de todos los rubros solicitados, dichos rubros deben declararse atendidos, pues se entiende que el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85BE359" w14:textId="77777777" w:rsidR="005C2CFB" w:rsidRPr="00A657DC" w:rsidRDefault="005C2CFB" w:rsidP="005C2CFB">
      <w:pPr>
        <w:spacing w:before="240" w:after="240"/>
        <w:ind w:left="993" w:right="1326"/>
        <w:jc w:val="both"/>
        <w:rPr>
          <w:rFonts w:ascii="Palatino Linotype" w:hAnsi="Palatino Linotype"/>
          <w:i/>
          <w:sz w:val="22"/>
          <w:szCs w:val="22"/>
          <w:lang w:val="es-MX"/>
        </w:rPr>
      </w:pPr>
      <w:r w:rsidRPr="00A657DC">
        <w:rPr>
          <w:rFonts w:ascii="Palatino Linotype" w:hAnsi="Palatino Linotype"/>
          <w:lang w:val="es-MX"/>
        </w:rPr>
        <w:t>“</w:t>
      </w:r>
      <w:r w:rsidRPr="00A657DC">
        <w:rPr>
          <w:rFonts w:ascii="Palatino Linotype" w:hAnsi="Palatino Linotype"/>
          <w:i/>
          <w:sz w:val="22"/>
          <w:szCs w:val="22"/>
          <w:lang w:val="es-MX"/>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682D98EF" w14:textId="3DCC2C62" w:rsidR="005C2CFB" w:rsidRPr="00A657DC" w:rsidRDefault="005C2CFB" w:rsidP="005C2CFB">
      <w:pPr>
        <w:spacing w:before="240" w:after="240" w:line="360" w:lineRule="auto"/>
        <w:ind w:right="51"/>
        <w:jc w:val="both"/>
        <w:rPr>
          <w:rFonts w:ascii="Palatino Linotype" w:hAnsi="Palatino Linotype"/>
          <w:lang w:val="es-MX"/>
        </w:rPr>
      </w:pPr>
      <w:r w:rsidRPr="00A657DC">
        <w:rPr>
          <w:rFonts w:ascii="Palatino Linotype" w:hAnsi="Palatino Linotype"/>
          <w:lang w:val="es-MX"/>
        </w:rPr>
        <w:t>Consecuentemente, la parte de la solicitud que no fue impugnada d</w:t>
      </w:r>
      <w:r w:rsidR="00EE6AD1" w:rsidRPr="00A657DC">
        <w:rPr>
          <w:rFonts w:ascii="Palatino Linotype" w:hAnsi="Palatino Linotype"/>
          <w:lang w:val="es-MX"/>
        </w:rPr>
        <w:t>ebe declararse consentida por la parte</w:t>
      </w:r>
      <w:r w:rsidRPr="00A657DC">
        <w:rPr>
          <w:rFonts w:ascii="Palatino Linotype" w:hAnsi="Palatino Linotype"/>
          <w:lang w:val="es-MX"/>
        </w:rPr>
        <w:t xml:space="preserve"> recurrente, toda vez que no se realizaron manifestaciones de inconformidad, por lo que no pueden producirse efectos jurídicos tendentes a revocar, confirmar o modificar el acto reclamado ya que </w:t>
      </w:r>
      <w:r w:rsidR="00AE3115" w:rsidRPr="00A657DC">
        <w:rPr>
          <w:rFonts w:ascii="Palatino Linotype" w:hAnsi="Palatino Linotype"/>
          <w:lang w:val="es-MX"/>
        </w:rPr>
        <w:t>se infiere un consentimiento de la</w:t>
      </w:r>
      <w:r w:rsidRPr="00A657DC">
        <w:rPr>
          <w:rFonts w:ascii="Palatino Linotype" w:hAnsi="Palatino Linotype"/>
          <w:lang w:val="es-MX"/>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14:paraId="5AD124FC" w14:textId="257E734C" w:rsidR="000F6975" w:rsidRPr="00A657DC" w:rsidRDefault="005C2CFB" w:rsidP="00396005">
      <w:pPr>
        <w:spacing w:before="240" w:after="240"/>
        <w:ind w:left="993" w:right="1326"/>
        <w:jc w:val="both"/>
        <w:rPr>
          <w:rFonts w:ascii="Palatino Linotype" w:eastAsiaTheme="minorHAnsi" w:hAnsi="Palatino Linotype" w:cs="Arial"/>
          <w:i/>
          <w:sz w:val="22"/>
          <w:szCs w:val="22"/>
          <w:lang w:val="es-MX" w:eastAsia="en-US"/>
        </w:rPr>
      </w:pPr>
      <w:r w:rsidRPr="00A657DC">
        <w:rPr>
          <w:rFonts w:ascii="Palatino Linotype" w:hAnsi="Palatino Linotype"/>
          <w:i/>
          <w:sz w:val="22"/>
          <w:szCs w:val="22"/>
          <w:lang w:val="es-MX"/>
        </w:rPr>
        <w:t xml:space="preserve">“ACTOS CONSENTIDOS. SON LOS QUE NO SE IMPUGNAN MEDIANTE EL RECURSO IDÓNEO. Debe reputarse como consentido </w:t>
      </w:r>
      <w:r w:rsidRPr="00A657DC">
        <w:rPr>
          <w:rFonts w:ascii="Palatino Linotype" w:hAnsi="Palatino Linotype"/>
          <w:i/>
          <w:sz w:val="22"/>
          <w:szCs w:val="22"/>
          <w:lang w:val="es-MX"/>
        </w:rPr>
        <w:lastRenderedPageBreak/>
        <w:t>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09A9B4D9" w14:textId="2224A232" w:rsidR="00F153AF" w:rsidRPr="00A657DC" w:rsidRDefault="00BA38A4" w:rsidP="0052334A">
      <w:pPr>
        <w:pStyle w:val="NormalWeb"/>
        <w:spacing w:line="360" w:lineRule="auto"/>
        <w:ind w:right="-28"/>
        <w:jc w:val="both"/>
        <w:rPr>
          <w:rFonts w:ascii="Palatino Linotype" w:hAnsi="Palatino Linotype" w:cs="Arial"/>
          <w:iCs/>
          <w:color w:val="000000" w:themeColor="text1"/>
        </w:rPr>
      </w:pPr>
      <w:r w:rsidRPr="00A657DC">
        <w:rPr>
          <w:rFonts w:ascii="Palatino Linotype" w:hAnsi="Palatino Linotype" w:cs="Tahoma"/>
        </w:rPr>
        <w:t>Ahora bien</w:t>
      </w:r>
      <w:r w:rsidR="0052334A" w:rsidRPr="00A657DC">
        <w:rPr>
          <w:rFonts w:ascii="Palatino Linotype" w:hAnsi="Palatino Linotype" w:cs="Tahoma"/>
        </w:rPr>
        <w:t>,</w:t>
      </w:r>
      <w:r w:rsidR="00D261FA" w:rsidRPr="00A657DC">
        <w:rPr>
          <w:rFonts w:ascii="Palatino Linotype" w:hAnsi="Palatino Linotype" w:cs="Tahoma"/>
        </w:rPr>
        <w:t xml:space="preserve"> entrando al motivo d</w:t>
      </w:r>
      <w:r w:rsidR="006562E3" w:rsidRPr="00A657DC">
        <w:rPr>
          <w:rFonts w:ascii="Palatino Linotype" w:hAnsi="Palatino Linotype" w:cs="Tahoma"/>
        </w:rPr>
        <w:t>e inconformidad planteado por el</w:t>
      </w:r>
      <w:r w:rsidR="00D261FA" w:rsidRPr="00A657DC">
        <w:rPr>
          <w:rFonts w:ascii="Palatino Linotype" w:hAnsi="Palatino Linotype" w:cs="Tahoma"/>
        </w:rPr>
        <w:t xml:space="preserve"> recurrente</w:t>
      </w:r>
      <w:r w:rsidR="00F153AF" w:rsidRPr="00A657DC">
        <w:rPr>
          <w:rFonts w:ascii="Palatino Linotype" w:hAnsi="Palatino Linotype"/>
          <w:color w:val="000000"/>
        </w:rPr>
        <w:t>,</w:t>
      </w:r>
      <w:r w:rsidR="008709E2" w:rsidRPr="00A657DC">
        <w:rPr>
          <w:rFonts w:ascii="Palatino Linotype" w:hAnsi="Palatino Linotype"/>
          <w:color w:val="000000"/>
        </w:rPr>
        <w:t xml:space="preserve"> tenemos que en principio de cuantas </w:t>
      </w:r>
      <w:r w:rsidR="00F153AF" w:rsidRPr="00A657DC">
        <w:rPr>
          <w:rFonts w:ascii="Palatino Linotype" w:hAnsi="Palatino Linotype"/>
          <w:color w:val="000000"/>
        </w:rPr>
        <w:t xml:space="preserve"> </w:t>
      </w:r>
      <w:r w:rsidR="00F153AF" w:rsidRPr="00A657DC">
        <w:rPr>
          <w:rFonts w:ascii="Palatino Linotype" w:hAnsi="Palatino Linotype"/>
        </w:rPr>
        <w:t xml:space="preserve">mediante Decreto del Ejecutivo del Estado, publicado en el periódico oficial “Gaceta del Gobierno” el 6 de agosto de 2008, se creó el organismo público descentralizado de carácter estatal, denominado Comisión para el Desarrollo Turístico del Valle de </w:t>
      </w:r>
      <w:r w:rsidR="008709E2" w:rsidRPr="00A657DC">
        <w:rPr>
          <w:rFonts w:ascii="Palatino Linotype" w:hAnsi="Palatino Linotype"/>
        </w:rPr>
        <w:t>Teotihuacán</w:t>
      </w:r>
      <w:r w:rsidR="00F153AF" w:rsidRPr="00A657DC">
        <w:rPr>
          <w:rFonts w:ascii="Palatino Linotype" w:hAnsi="Palatino Linotype"/>
        </w:rPr>
        <w:t xml:space="preserve">, con personalidad jurídica y patrimonio propios, coordinado sectorialmente por la Secretaría </w:t>
      </w:r>
      <w:r w:rsidR="008709E2" w:rsidRPr="00A657DC">
        <w:rPr>
          <w:rFonts w:ascii="Palatino Linotype" w:hAnsi="Palatino Linotype"/>
        </w:rPr>
        <w:t>de Turismo. Dicha Comisión tenía</w:t>
      </w:r>
      <w:r w:rsidR="00F153AF" w:rsidRPr="00A657DC">
        <w:rPr>
          <w:rFonts w:ascii="Palatino Linotype" w:hAnsi="Palatino Linotype"/>
        </w:rPr>
        <w:t xml:space="preserve"> por </w:t>
      </w:r>
      <w:r w:rsidR="00F153AF" w:rsidRPr="00A657DC">
        <w:rPr>
          <w:rFonts w:ascii="Palatino Linotype" w:hAnsi="Palatino Linotype"/>
          <w:b/>
        </w:rPr>
        <w:t xml:space="preserve">objeto promover el aprovechamiento turístico del Valle de </w:t>
      </w:r>
      <w:r w:rsidR="008709E2" w:rsidRPr="00A657DC">
        <w:rPr>
          <w:rFonts w:ascii="Palatino Linotype" w:hAnsi="Palatino Linotype"/>
          <w:b/>
        </w:rPr>
        <w:t>Teotihuacán</w:t>
      </w:r>
      <w:r w:rsidR="00F153AF" w:rsidRPr="00A657DC">
        <w:rPr>
          <w:rFonts w:ascii="Palatino Linotype" w:hAnsi="Palatino Linotype"/>
        </w:rPr>
        <w:t xml:space="preserve"> y propiciar la creación de una </w:t>
      </w:r>
      <w:r w:rsidR="008709E2" w:rsidRPr="00A657DC">
        <w:rPr>
          <w:rFonts w:ascii="Palatino Linotype" w:hAnsi="Palatino Linotype"/>
        </w:rPr>
        <w:t>oferta de servicios que coadyuvaran</w:t>
      </w:r>
      <w:r w:rsidR="00F153AF" w:rsidRPr="00A657DC">
        <w:rPr>
          <w:rFonts w:ascii="Palatino Linotype" w:hAnsi="Palatino Linotype"/>
        </w:rPr>
        <w:t xml:space="preserve"> en el desarrollo turístico del mismo.</w:t>
      </w:r>
    </w:p>
    <w:p w14:paraId="495F0F6D" w14:textId="09CCAF79" w:rsidR="00F153AF" w:rsidRPr="00A657DC" w:rsidRDefault="00F153AF" w:rsidP="0052334A">
      <w:pPr>
        <w:pStyle w:val="NormalWeb"/>
        <w:spacing w:line="360" w:lineRule="auto"/>
        <w:ind w:right="-28"/>
        <w:jc w:val="both"/>
        <w:rPr>
          <w:rFonts w:ascii="Palatino Linotype" w:hAnsi="Palatino Linotype"/>
        </w:rPr>
      </w:pPr>
      <w:r w:rsidRPr="00A657DC">
        <w:rPr>
          <w:rFonts w:ascii="Palatino Linotype" w:hAnsi="Palatino Linotype"/>
        </w:rPr>
        <w:t>En este sentido,</w:t>
      </w:r>
      <w:r w:rsidR="008709E2" w:rsidRPr="00A657DC">
        <w:rPr>
          <w:rFonts w:ascii="Palatino Linotype" w:hAnsi="Palatino Linotype"/>
        </w:rPr>
        <w:t xml:space="preserve"> de acuerdo con el Reglamento Interior de la Comisión para el Desarrollo Turístico del Valle de Teotihuacán, la Comisión </w:t>
      </w:r>
      <w:r w:rsidRPr="00A657DC">
        <w:rPr>
          <w:rFonts w:ascii="Palatino Linotype" w:hAnsi="Palatino Linotype"/>
        </w:rPr>
        <w:t xml:space="preserve">contaba  con una estructura de organización, en la cual se </w:t>
      </w:r>
      <w:r w:rsidR="008709E2" w:rsidRPr="00A657DC">
        <w:rPr>
          <w:rFonts w:ascii="Palatino Linotype" w:hAnsi="Palatino Linotype"/>
        </w:rPr>
        <w:t>contaban con</w:t>
      </w:r>
      <w:r w:rsidRPr="00A657DC">
        <w:rPr>
          <w:rFonts w:ascii="Palatino Linotype" w:hAnsi="Palatino Linotype"/>
        </w:rPr>
        <w:t xml:space="preserve">  unidades administrativas que daban cumplimiento al objeto y a las atribuciones asignadas.</w:t>
      </w:r>
    </w:p>
    <w:p w14:paraId="0C747686" w14:textId="46652D1B" w:rsidR="008709E2" w:rsidRPr="00A657DC" w:rsidRDefault="008709E2" w:rsidP="0052334A">
      <w:pPr>
        <w:pStyle w:val="NormalWeb"/>
        <w:spacing w:line="360" w:lineRule="auto"/>
        <w:ind w:right="-28"/>
        <w:jc w:val="both"/>
        <w:rPr>
          <w:rFonts w:ascii="Palatino Linotype" w:hAnsi="Palatino Linotype"/>
        </w:rPr>
      </w:pPr>
      <w:r w:rsidRPr="00A657DC">
        <w:rPr>
          <w:rFonts w:ascii="Palatino Linotype" w:hAnsi="Palatino Linotype"/>
        </w:rPr>
        <w:t xml:space="preserve">Así, el artículo 13 del citado Reglamento dispone que para el estudio, planeación, despacho, control y evaluación de los asuntos de su competencia, el Director General de la Comisión para el Desarrollo Turístico del Valle de </w:t>
      </w:r>
      <w:proofErr w:type="spellStart"/>
      <w:r w:rsidRPr="00A657DC">
        <w:rPr>
          <w:rFonts w:ascii="Palatino Linotype" w:hAnsi="Palatino Linotype"/>
        </w:rPr>
        <w:t>Teotihuacan</w:t>
      </w:r>
      <w:proofErr w:type="spellEnd"/>
      <w:r w:rsidRPr="00A657DC">
        <w:rPr>
          <w:rFonts w:ascii="Palatino Linotype" w:hAnsi="Palatino Linotype"/>
        </w:rPr>
        <w:t xml:space="preserve"> se auxiliará de las unidades administrativas, tales como : Subdirección de Promoción;  Subdirección de Logística; y,  Subdirección de Administración y Finanzas.</w:t>
      </w:r>
    </w:p>
    <w:p w14:paraId="07686EB2" w14:textId="41C4BFF8" w:rsidR="008709E2" w:rsidRPr="00A657DC" w:rsidRDefault="006C6B94" w:rsidP="0052334A">
      <w:pPr>
        <w:pStyle w:val="NormalWeb"/>
        <w:spacing w:line="360" w:lineRule="auto"/>
        <w:ind w:right="-28"/>
        <w:jc w:val="both"/>
        <w:rPr>
          <w:rFonts w:ascii="Palatino Linotype" w:hAnsi="Palatino Linotype"/>
        </w:rPr>
      </w:pPr>
      <w:r w:rsidRPr="00A657DC">
        <w:rPr>
          <w:rFonts w:ascii="Palatino Linotype" w:hAnsi="Palatino Linotype"/>
        </w:rPr>
        <w:lastRenderedPageBreak/>
        <w:t xml:space="preserve">En este sentido, </w:t>
      </w:r>
      <w:r w:rsidR="008709E2" w:rsidRPr="00A657DC">
        <w:rPr>
          <w:rFonts w:ascii="Palatino Linotype" w:hAnsi="Palatino Linotype"/>
        </w:rPr>
        <w:t xml:space="preserve"> se precisa en el artículo 16 que corresponde a la Subdirección de Promoción, entre otras atribuciones, formular y proponer al Director General estrategias y acciones para la promoción turística de los municipios que integran el Valle de Teotihuacán y llevar a cabo su ejecución, en el ámbito de su competencia, además de identificar segmentos de mercados turísticos potenciales para el Valle de Teotihuacán y promover la prestación de servicios y productos turísticos.</w:t>
      </w:r>
    </w:p>
    <w:p w14:paraId="00C8C5ED" w14:textId="0C61283D" w:rsidR="008709E2" w:rsidRPr="00A657DC" w:rsidRDefault="00201129" w:rsidP="0052334A">
      <w:pPr>
        <w:pStyle w:val="NormalWeb"/>
        <w:spacing w:line="360" w:lineRule="auto"/>
        <w:ind w:right="-28"/>
        <w:jc w:val="both"/>
        <w:rPr>
          <w:rFonts w:ascii="Palatino Linotype" w:hAnsi="Palatino Linotype"/>
          <w:b/>
        </w:rPr>
      </w:pPr>
      <w:r w:rsidRPr="00A657DC">
        <w:rPr>
          <w:rFonts w:ascii="Palatino Linotype" w:hAnsi="Palatino Linotype"/>
        </w:rPr>
        <w:t>Por su parte</w:t>
      </w:r>
      <w:r w:rsidR="008709E2" w:rsidRPr="00A657DC">
        <w:rPr>
          <w:rFonts w:ascii="Palatino Linotype" w:hAnsi="Palatino Linotype"/>
        </w:rPr>
        <w:t xml:space="preserve">, en el artículo 18 del </w:t>
      </w:r>
      <w:r w:rsidRPr="00A657DC">
        <w:rPr>
          <w:rFonts w:ascii="Palatino Linotype" w:hAnsi="Palatino Linotype"/>
        </w:rPr>
        <w:t>citado</w:t>
      </w:r>
      <w:r w:rsidR="008709E2" w:rsidRPr="00A657DC">
        <w:rPr>
          <w:rFonts w:ascii="Palatino Linotype" w:hAnsi="Palatino Linotype"/>
        </w:rPr>
        <w:t xml:space="preserve"> Reglamento </w:t>
      </w:r>
      <w:r w:rsidRPr="00A657DC">
        <w:rPr>
          <w:rFonts w:ascii="Palatino Linotype" w:hAnsi="Palatino Linotype"/>
        </w:rPr>
        <w:t xml:space="preserve">se </w:t>
      </w:r>
      <w:r w:rsidR="008709E2" w:rsidRPr="00A657DC">
        <w:rPr>
          <w:rFonts w:ascii="Palatino Linotype" w:hAnsi="Palatino Linotype"/>
        </w:rPr>
        <w:t xml:space="preserve">dispone que corresponde a la Subdirección de Administración y Finanzas, entre otras funciones el </w:t>
      </w:r>
      <w:r w:rsidR="006C6B94" w:rsidRPr="00A657DC">
        <w:rPr>
          <w:rFonts w:ascii="Palatino Linotype" w:hAnsi="Palatino Linotype"/>
        </w:rPr>
        <w:t>p</w:t>
      </w:r>
      <w:r w:rsidR="008709E2" w:rsidRPr="00A657DC">
        <w:rPr>
          <w:rFonts w:ascii="Palatino Linotype" w:hAnsi="Palatino Linotype"/>
        </w:rPr>
        <w:t xml:space="preserve">lanear, organizar y controlar el suministro, administración y aplicación de los recursos humanos, materiales, financieros y técnicos, así como los servicios generales necesarios para el funcionamiento de las unidades administrativas de la Comisión, en términos de la normatividad en la materia; así como, </w:t>
      </w:r>
      <w:r w:rsidR="008709E2" w:rsidRPr="00A657DC">
        <w:rPr>
          <w:rFonts w:ascii="Palatino Linotype" w:hAnsi="Palatino Linotype"/>
          <w:b/>
        </w:rPr>
        <w:t>consolidar y controlar la información sobre la captación de ingresos e informar al Director General sobre el comportamiento del mismo.</w:t>
      </w:r>
    </w:p>
    <w:p w14:paraId="5A067E46" w14:textId="1100AEEF" w:rsidR="006C6B94" w:rsidRPr="00A657DC" w:rsidRDefault="006C6B94" w:rsidP="0052334A">
      <w:pPr>
        <w:pStyle w:val="NormalWeb"/>
        <w:spacing w:line="360" w:lineRule="auto"/>
        <w:ind w:right="-28"/>
        <w:jc w:val="both"/>
        <w:rPr>
          <w:rFonts w:ascii="Palatino Linotype" w:hAnsi="Palatino Linotype"/>
          <w:lang w:val="es-ES"/>
        </w:rPr>
      </w:pPr>
      <w:r w:rsidRPr="00A657DC">
        <w:rPr>
          <w:rFonts w:ascii="Palatino Linotype" w:hAnsi="Palatino Linotype"/>
        </w:rPr>
        <w:t xml:space="preserve">En el mismo sentido, en el Manual General de Organización correspondiente a la </w:t>
      </w:r>
      <w:r w:rsidRPr="00A657DC">
        <w:rPr>
          <w:rFonts w:ascii="Palatino Linotype" w:hAnsi="Palatino Linotype"/>
          <w:lang w:val="es-ES"/>
        </w:rPr>
        <w:t xml:space="preserve">Comisión para el Desarrollo Turístico del Valle de Teotihuacán, se </w:t>
      </w:r>
      <w:r w:rsidR="001913E0" w:rsidRPr="00A657DC">
        <w:rPr>
          <w:rFonts w:ascii="Palatino Linotype" w:hAnsi="Palatino Linotype"/>
          <w:lang w:val="es-ES"/>
        </w:rPr>
        <w:t>dispone</w:t>
      </w:r>
      <w:r w:rsidRPr="00A657DC">
        <w:rPr>
          <w:rFonts w:ascii="Palatino Linotype" w:hAnsi="Palatino Linotype"/>
          <w:lang w:val="es-ES"/>
        </w:rPr>
        <w:t xml:space="preserve"> que </w:t>
      </w:r>
      <w:r w:rsidR="001913E0" w:rsidRPr="00A657DC">
        <w:rPr>
          <w:rFonts w:ascii="Palatino Linotype" w:hAnsi="Palatino Linotype"/>
          <w:lang w:val="es-ES"/>
        </w:rPr>
        <w:t>corresponde</w:t>
      </w:r>
      <w:r w:rsidRPr="00A657DC">
        <w:rPr>
          <w:rFonts w:ascii="Palatino Linotype" w:hAnsi="Palatino Linotype"/>
          <w:lang w:val="es-ES"/>
        </w:rPr>
        <w:t xml:space="preserve">  a  la Dirección de Administración y Finanzas, lo siguiente:</w:t>
      </w:r>
    </w:p>
    <w:p w14:paraId="3CFF7590" w14:textId="1A4546FD" w:rsidR="006C6B94" w:rsidRPr="00A657DC" w:rsidRDefault="006C6B94" w:rsidP="0052334A">
      <w:pPr>
        <w:pStyle w:val="NormalWeb"/>
        <w:spacing w:line="360" w:lineRule="auto"/>
        <w:ind w:right="-28"/>
        <w:jc w:val="both"/>
        <w:rPr>
          <w:rFonts w:ascii="Palatino Linotype" w:hAnsi="Palatino Linotype"/>
        </w:rPr>
      </w:pPr>
      <w:r w:rsidRPr="00A657DC">
        <w:rPr>
          <w:rFonts w:ascii="Palatino Linotype" w:hAnsi="Palatino Linotype"/>
          <w:noProof/>
        </w:rPr>
        <w:lastRenderedPageBreak/>
        <w:drawing>
          <wp:inline distT="0" distB="0" distL="0" distR="0" wp14:anchorId="77002DD6" wp14:editId="7FC3EC18">
            <wp:extent cx="5614670" cy="377634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3776345"/>
                    </a:xfrm>
                    <a:prstGeom prst="rect">
                      <a:avLst/>
                    </a:prstGeom>
                    <a:noFill/>
                    <a:ln>
                      <a:noFill/>
                    </a:ln>
                  </pic:spPr>
                </pic:pic>
              </a:graphicData>
            </a:graphic>
          </wp:inline>
        </w:drawing>
      </w:r>
    </w:p>
    <w:p w14:paraId="626C09B5" w14:textId="4344887D" w:rsidR="00201129" w:rsidRPr="00A657DC" w:rsidRDefault="00201129" w:rsidP="00201129">
      <w:pPr>
        <w:pStyle w:val="NormalWeb"/>
        <w:spacing w:line="360" w:lineRule="auto"/>
        <w:ind w:right="-28"/>
        <w:jc w:val="both"/>
        <w:rPr>
          <w:rFonts w:ascii="Palatino Linotype" w:hAnsi="Palatino Linotype" w:cs="Arial"/>
          <w:iCs/>
          <w:color w:val="000000" w:themeColor="text1"/>
        </w:rPr>
      </w:pPr>
      <w:r w:rsidRPr="00A657DC">
        <w:rPr>
          <w:rFonts w:ascii="Palatino Linotype" w:hAnsi="Palatino Linotype" w:cs="Arial"/>
          <w:iCs/>
          <w:color w:val="000000" w:themeColor="text1"/>
        </w:rPr>
        <w:t>Ahora bien, resulta de importancia señalar que como una de las activ</w:t>
      </w:r>
      <w:r w:rsidR="00AC15EE">
        <w:rPr>
          <w:rFonts w:ascii="Palatino Linotype" w:hAnsi="Palatino Linotype" w:cs="Arial"/>
          <w:iCs/>
          <w:color w:val="000000" w:themeColor="text1"/>
        </w:rPr>
        <w:t>idades que desarrollaba la otr</w:t>
      </w:r>
      <w:r w:rsidRPr="00A657DC">
        <w:rPr>
          <w:rFonts w:ascii="Palatino Linotype" w:hAnsi="Palatino Linotype" w:cs="Arial"/>
          <w:iCs/>
          <w:color w:val="000000" w:themeColor="text1"/>
        </w:rPr>
        <w:t xml:space="preserve">a </w:t>
      </w:r>
      <w:r w:rsidRPr="00A657DC">
        <w:rPr>
          <w:rFonts w:ascii="Palatino Linotype" w:hAnsi="Palatino Linotype"/>
        </w:rPr>
        <w:t>Comisión para el Desarrollo Turístico del Valle de Teotihuacán lo era precisamente el proyecto denominado “</w:t>
      </w:r>
      <w:r w:rsidRPr="00A657DC">
        <w:rPr>
          <w:rFonts w:ascii="Palatino Linotype" w:hAnsi="Palatino Linotype"/>
          <w:i/>
        </w:rPr>
        <w:t>Experiencia Nocturna</w:t>
      </w:r>
      <w:r w:rsidRPr="00A657DC">
        <w:rPr>
          <w:rFonts w:ascii="Palatino Linotype" w:hAnsi="Palatino Linotype"/>
        </w:rPr>
        <w:t xml:space="preserve">” tal y como se puede observar en la siguiente imagen: </w:t>
      </w:r>
    </w:p>
    <w:p w14:paraId="65BD5A17" w14:textId="77777777" w:rsidR="00201129" w:rsidRPr="00A657DC" w:rsidRDefault="00201129" w:rsidP="00201129">
      <w:pPr>
        <w:pStyle w:val="NormalWeb"/>
        <w:spacing w:line="360" w:lineRule="auto"/>
        <w:ind w:right="-28"/>
        <w:jc w:val="both"/>
      </w:pPr>
      <w:r w:rsidRPr="00A657DC">
        <w:rPr>
          <w:rFonts w:ascii="Palatino Linotype" w:hAnsi="Palatino Linotype"/>
          <w:noProof/>
        </w:rPr>
        <w:lastRenderedPageBreak/>
        <mc:AlternateContent>
          <mc:Choice Requires="wps">
            <w:drawing>
              <wp:anchor distT="0" distB="0" distL="114300" distR="114300" simplePos="0" relativeHeight="251659264" behindDoc="0" locked="0" layoutInCell="1" allowOverlap="1" wp14:anchorId="75707262" wp14:editId="75E11DC6">
                <wp:simplePos x="0" y="0"/>
                <wp:positionH relativeFrom="column">
                  <wp:posOffset>110490</wp:posOffset>
                </wp:positionH>
                <wp:positionV relativeFrom="paragraph">
                  <wp:posOffset>3322955</wp:posOffset>
                </wp:positionV>
                <wp:extent cx="5463540" cy="516255"/>
                <wp:effectExtent l="76200" t="38100" r="80010" b="112395"/>
                <wp:wrapNone/>
                <wp:docPr id="1" name="Rectángulo 1"/>
                <wp:cNvGraphicFramePr/>
                <a:graphic xmlns:a="http://schemas.openxmlformats.org/drawingml/2006/main">
                  <a:graphicData uri="http://schemas.microsoft.com/office/word/2010/wordprocessingShape">
                    <wps:wsp>
                      <wps:cNvSpPr/>
                      <wps:spPr>
                        <a:xfrm>
                          <a:off x="0" y="0"/>
                          <a:ext cx="5463540" cy="516255"/>
                        </a:xfrm>
                        <a:prstGeom prst="rect">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5D54C" id="Rectángulo 1" o:spid="_x0000_s1026" style="position:absolute;margin-left:8.7pt;margin-top:261.65pt;width:430.2pt;height:4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" filled="f" strokecolor="#c00000" strokeweight="4.5pt">
                <v:shadow on="t" color="black" opacity="22937f" origin=",.5" offset="0,.63889mm"/>
              </v:rect>
            </w:pict>
          </mc:Fallback>
        </mc:AlternateContent>
      </w:r>
      <w:r w:rsidRPr="00A657DC">
        <w:rPr>
          <w:rFonts w:ascii="Palatino Linotype" w:hAnsi="Palatino Linotype"/>
          <w:noProof/>
        </w:rPr>
        <w:drawing>
          <wp:inline distT="0" distB="0" distL="0" distR="0" wp14:anchorId="58401EA7" wp14:editId="2EE4D1E6">
            <wp:extent cx="5577840" cy="3840480"/>
            <wp:effectExtent l="0" t="0" r="381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3840480"/>
                    </a:xfrm>
                    <a:prstGeom prst="rect">
                      <a:avLst/>
                    </a:prstGeom>
                    <a:noFill/>
                    <a:ln>
                      <a:noFill/>
                    </a:ln>
                  </pic:spPr>
                </pic:pic>
              </a:graphicData>
            </a:graphic>
          </wp:inline>
        </w:drawing>
      </w:r>
    </w:p>
    <w:p w14:paraId="2C360F6E" w14:textId="77777777" w:rsidR="00201129" w:rsidRPr="00A657DC" w:rsidRDefault="00201129" w:rsidP="00201129">
      <w:pPr>
        <w:pStyle w:val="NormalWeb"/>
        <w:spacing w:line="360" w:lineRule="auto"/>
        <w:ind w:right="-28"/>
        <w:jc w:val="both"/>
        <w:rPr>
          <w:rFonts w:ascii="Palatino Linotype" w:hAnsi="Palatino Linotype"/>
        </w:rPr>
      </w:pPr>
    </w:p>
    <w:p w14:paraId="30FAB818" w14:textId="7E2D0174" w:rsidR="00201129" w:rsidRPr="00A657DC" w:rsidRDefault="00201129" w:rsidP="00201129">
      <w:pPr>
        <w:pStyle w:val="NormalWeb"/>
        <w:spacing w:line="360" w:lineRule="auto"/>
        <w:ind w:right="-28"/>
        <w:jc w:val="both"/>
        <w:rPr>
          <w:rFonts w:ascii="Palatino Linotype" w:hAnsi="Palatino Linotype"/>
        </w:rPr>
      </w:pPr>
      <w:r w:rsidRPr="00A657DC">
        <w:rPr>
          <w:rFonts w:ascii="Palatino Linotype" w:hAnsi="Palatino Linotype"/>
        </w:rPr>
        <w:t xml:space="preserve">Así mismo, </w:t>
      </w:r>
      <w:r w:rsidR="008C4560" w:rsidRPr="00A657DC">
        <w:rPr>
          <w:rFonts w:ascii="Palatino Linotype" w:hAnsi="Palatino Linotype"/>
        </w:rPr>
        <w:t xml:space="preserve">de acuerdo al contenido de la Cuenta Pública del Gobierno, Organismos Auxiliares y Autónomos del Estado de México 2016 referente a la Comisión para el Desarrollo Turístico del Valle de Teotihuacán,  se precisa que se destinaron recursos públicos para la puesta en marcha del proyecto denominado </w:t>
      </w:r>
      <w:r w:rsidR="008C4560" w:rsidRPr="00A657DC">
        <w:rPr>
          <w:rFonts w:ascii="Palatino Linotype" w:hAnsi="Palatino Linotype"/>
          <w:i/>
        </w:rPr>
        <w:t xml:space="preserve"> “Experiencia Nocturna</w:t>
      </w:r>
      <w:r w:rsidR="008C4560" w:rsidRPr="00A657DC">
        <w:rPr>
          <w:rFonts w:ascii="Palatino Linotype" w:hAnsi="Palatino Linotype"/>
        </w:rPr>
        <w:t>” “</w:t>
      </w:r>
      <w:r w:rsidR="008C4560" w:rsidRPr="00A657DC">
        <w:rPr>
          <w:rFonts w:ascii="Palatino Linotype" w:hAnsi="Palatino Linotype"/>
          <w:i/>
        </w:rPr>
        <w:t>PANORAMA ECONÓMICO FINANCIERO En el ejercicio 2016 las principales fuentes de financiamiento del organismo provienen de las transferencias que recibe del Gobierno del Estado de México para la ejecución de sus operaciones, programas y proyectos a cargo del Organismo como los eventos de “Experiencia Nocturna” “Cultura Teotihuacana” y de disponibilidades financieras del ejercicio anterior.”</w:t>
      </w:r>
    </w:p>
    <w:p w14:paraId="70454061" w14:textId="684D8F58" w:rsidR="00201129" w:rsidRPr="00A657DC" w:rsidRDefault="008C4560" w:rsidP="0052334A">
      <w:pPr>
        <w:pStyle w:val="NormalWeb"/>
        <w:spacing w:line="360" w:lineRule="auto"/>
        <w:ind w:right="-28"/>
        <w:jc w:val="both"/>
        <w:rPr>
          <w:rFonts w:ascii="Palatino Linotype" w:hAnsi="Palatino Linotype"/>
        </w:rPr>
      </w:pPr>
      <w:r w:rsidRPr="00A657DC">
        <w:rPr>
          <w:rFonts w:ascii="Palatino Linotype" w:hAnsi="Palatino Linotype"/>
        </w:rPr>
        <w:lastRenderedPageBreak/>
        <w:t>Por lo anterior, queda en evidencia que atendiendo a las atribuciones conferidas  a la entonces Comisión para el Desarrollo Turístico del Valle de Teotihuacán, como lo eran  formular y proponer estrategias y acciones para la promoción turística de los municipios que integran el Valle de Teotihuacán y llevar a cabo su ejecución, en el ámbito de su competencia, se desarrolló a partir de ejercicio fiscal 2016 el proyecto denominado “</w:t>
      </w:r>
      <w:r w:rsidRPr="00A657DC">
        <w:rPr>
          <w:rFonts w:ascii="Palatino Linotype" w:hAnsi="Palatino Linotype"/>
          <w:i/>
        </w:rPr>
        <w:t>Experiencia Nocturna</w:t>
      </w:r>
      <w:r w:rsidRPr="00A657DC">
        <w:rPr>
          <w:rFonts w:ascii="Palatino Linotype" w:hAnsi="Palatino Linotype"/>
        </w:rPr>
        <w:t xml:space="preserve">” Teotihuacán. </w:t>
      </w:r>
    </w:p>
    <w:p w14:paraId="5917BC41" w14:textId="24C49A05" w:rsidR="00201129" w:rsidRPr="00A657DC" w:rsidRDefault="00201129" w:rsidP="00201129">
      <w:pPr>
        <w:pStyle w:val="NormalWeb"/>
        <w:spacing w:line="360" w:lineRule="auto"/>
        <w:ind w:right="-28"/>
        <w:jc w:val="both"/>
        <w:rPr>
          <w:rFonts w:ascii="Palatino Linotype" w:hAnsi="Palatino Linotype"/>
        </w:rPr>
      </w:pPr>
      <w:r w:rsidRPr="00A657DC">
        <w:rPr>
          <w:rFonts w:ascii="Palatino Linotype" w:hAnsi="Palatino Linotype"/>
        </w:rPr>
        <w:t xml:space="preserve">Ahora bien, en fecha once de diciembre de dos mil veinte se emite </w:t>
      </w:r>
      <w:r w:rsidR="006065F7" w:rsidRPr="00A657DC">
        <w:rPr>
          <w:rFonts w:ascii="Palatino Linotype" w:hAnsi="Palatino Linotype"/>
        </w:rPr>
        <w:t xml:space="preserve">decreto del ejecutivo del estado por el que se abroga el diverso por el que se crea el organismo público descentralizado de carácter estatal denominado Comisión para el Desarrollo Turístico del Valle de Teotihuacán, </w:t>
      </w:r>
      <w:r w:rsidRPr="00A657DC">
        <w:rPr>
          <w:rFonts w:ascii="Palatino Linotype" w:hAnsi="Palatino Linotype"/>
        </w:rPr>
        <w:t xml:space="preserve">de cuyo contenido en su artículo único refiere: </w:t>
      </w:r>
    </w:p>
    <w:p w14:paraId="7E9DF01D" w14:textId="77777777" w:rsidR="00201129" w:rsidRPr="00A657DC" w:rsidRDefault="00201129" w:rsidP="00201129">
      <w:pPr>
        <w:pStyle w:val="NormalWeb"/>
        <w:ind w:left="708" w:right="-28"/>
        <w:jc w:val="both"/>
        <w:rPr>
          <w:rFonts w:ascii="Palatino Linotype" w:hAnsi="Palatino Linotype"/>
          <w:i/>
        </w:rPr>
      </w:pPr>
      <w:r w:rsidRPr="00A657DC">
        <w:rPr>
          <w:rFonts w:ascii="Palatino Linotype" w:hAnsi="Palatino Linotype"/>
          <w:i/>
        </w:rPr>
        <w:t>“</w:t>
      </w:r>
      <w:r w:rsidRPr="00A657DC">
        <w:rPr>
          <w:rFonts w:ascii="Palatino Linotype" w:hAnsi="Palatino Linotype"/>
          <w:i/>
          <w:sz w:val="22"/>
        </w:rPr>
        <w:t>ARTÍCULO ÚNICO. Se abroga el Decreto del Ejecutivo del Estado por el que se crea el Organismo Público Descentralizado de carácter estatal denominado Comisión para el Desarrollo Turístico del Valle de Teotihuacán, publicado en el Periódico Oficial “Gaceta del Gobierno” el 6 de agosto del 2008.”</w:t>
      </w:r>
    </w:p>
    <w:p w14:paraId="14C0AE8D" w14:textId="0DEE5764" w:rsidR="00201129" w:rsidRPr="00A657DC" w:rsidRDefault="00201129" w:rsidP="00201129">
      <w:pPr>
        <w:pStyle w:val="NormalWeb"/>
        <w:spacing w:line="360" w:lineRule="auto"/>
        <w:ind w:right="-28"/>
        <w:jc w:val="both"/>
        <w:rPr>
          <w:rFonts w:ascii="Palatino Linotype" w:hAnsi="Palatino Linotype"/>
        </w:rPr>
      </w:pPr>
      <w:r w:rsidRPr="00A657DC">
        <w:rPr>
          <w:rFonts w:ascii="Palatino Linotype" w:hAnsi="Palatino Linotype"/>
        </w:rPr>
        <w:t xml:space="preserve">Así mismo,  en los transitorios TERCERO Y CUARTO </w:t>
      </w:r>
      <w:r w:rsidR="006065F7" w:rsidRPr="00A657DC">
        <w:rPr>
          <w:rFonts w:ascii="Palatino Linotype" w:hAnsi="Palatino Linotype"/>
        </w:rPr>
        <w:t xml:space="preserve">del citado decreto </w:t>
      </w:r>
      <w:r w:rsidRPr="00A657DC">
        <w:rPr>
          <w:rFonts w:ascii="Palatino Linotype" w:hAnsi="Palatino Linotype"/>
        </w:rPr>
        <w:t xml:space="preserve">se señala que los recursos materiales, financieros y humanos de la Comisión para el Desarrollo Turístico del Valle de Teotihuacán se transferirán a la Secretaría de Cultura y Turismo, asimismo que los asuntos, actos, procedimientos, programas o proyectos que se encuentren en trámite o curso serán atendidos por la Secretaría de Cultura y Turismo, a </w:t>
      </w:r>
      <w:r w:rsidRPr="00A657DC">
        <w:rPr>
          <w:rFonts w:ascii="Palatino Linotype" w:hAnsi="Palatino Linotype"/>
          <w:b/>
          <w:u w:val="single"/>
        </w:rPr>
        <w:t>través de la unidad administrativa que determine su titular.</w:t>
      </w:r>
      <w:r w:rsidRPr="00A657DC">
        <w:rPr>
          <w:rFonts w:ascii="Palatino Linotype" w:hAnsi="Palatino Linotype"/>
        </w:rPr>
        <w:t xml:space="preserve"> </w:t>
      </w:r>
    </w:p>
    <w:p w14:paraId="2431E338" w14:textId="5F842B66" w:rsidR="006065F7" w:rsidRPr="00A657DC" w:rsidRDefault="00210DC5" w:rsidP="0052334A">
      <w:pPr>
        <w:pStyle w:val="NormalWeb"/>
        <w:spacing w:line="360" w:lineRule="auto"/>
        <w:ind w:right="-28"/>
        <w:jc w:val="both"/>
      </w:pPr>
      <w:r w:rsidRPr="00A657DC">
        <w:rPr>
          <w:rFonts w:ascii="Palatino Linotype" w:hAnsi="Palatino Linotype"/>
        </w:rPr>
        <w:t xml:space="preserve">De lo anterior, </w:t>
      </w:r>
      <w:r w:rsidR="00A34F87" w:rsidRPr="00A657DC">
        <w:rPr>
          <w:rFonts w:ascii="Palatino Linotype" w:hAnsi="Palatino Linotype"/>
        </w:rPr>
        <w:t xml:space="preserve">no se tienen certeza de cuál fue el área dentro de la </w:t>
      </w:r>
      <w:r w:rsidR="00A34F87" w:rsidRPr="00A657DC">
        <w:rPr>
          <w:rFonts w:ascii="Palatino Linotype" w:hAnsi="Palatino Linotype"/>
          <w:b/>
          <w:lang w:val="es-ES_tradnl"/>
        </w:rPr>
        <w:t xml:space="preserve">Secretaría de Cultura y Turismo que fue designada para los efectos de atender y recibir  </w:t>
      </w:r>
      <w:r w:rsidR="00A34F87" w:rsidRPr="00A657DC">
        <w:rPr>
          <w:rFonts w:ascii="Palatino Linotype" w:hAnsi="Palatino Linotype"/>
        </w:rPr>
        <w:t xml:space="preserve">los </w:t>
      </w:r>
      <w:r w:rsidR="00A34F87" w:rsidRPr="00A657DC">
        <w:rPr>
          <w:rFonts w:ascii="Palatino Linotype" w:hAnsi="Palatino Linotype"/>
        </w:rPr>
        <w:lastRenderedPageBreak/>
        <w:t>recursos materiales, financieros y humanos de la Comisión para el Desarrollo Turístico del Valle de Teotihuacán.</w:t>
      </w:r>
    </w:p>
    <w:p w14:paraId="0D4946C8" w14:textId="7E2612AA" w:rsidR="00A204B1" w:rsidRPr="00A657DC" w:rsidRDefault="00395E06" w:rsidP="00D83EDC">
      <w:pPr>
        <w:pStyle w:val="NormalWeb"/>
        <w:spacing w:line="360" w:lineRule="auto"/>
        <w:ind w:right="-28"/>
        <w:jc w:val="both"/>
        <w:rPr>
          <w:rFonts w:ascii="Palatino Linotype" w:hAnsi="Palatino Linotype"/>
        </w:rPr>
      </w:pPr>
      <w:r w:rsidRPr="00A657DC">
        <w:rPr>
          <w:rFonts w:ascii="Palatino Linotype" w:hAnsi="Palatino Linotype"/>
        </w:rPr>
        <w:t xml:space="preserve">En este sentido, </w:t>
      </w:r>
      <w:r w:rsidR="006065F7" w:rsidRPr="00A657DC">
        <w:rPr>
          <w:rFonts w:ascii="Palatino Linotype" w:hAnsi="Palatino Linotype" w:cs="Arial"/>
          <w:iCs/>
          <w:color w:val="000000" w:themeColor="text1"/>
        </w:rPr>
        <w:t>resulta de importancia verificar si en la entre</w:t>
      </w:r>
      <w:r w:rsidR="006562E3" w:rsidRPr="00A657DC">
        <w:rPr>
          <w:rFonts w:ascii="Palatino Linotype" w:hAnsi="Palatino Linotype" w:cs="Arial"/>
          <w:iCs/>
          <w:color w:val="000000" w:themeColor="text1"/>
        </w:rPr>
        <w:t>ga de su respuesta  la Secretarí</w:t>
      </w:r>
      <w:r w:rsidR="006065F7" w:rsidRPr="00A657DC">
        <w:rPr>
          <w:rFonts w:ascii="Palatino Linotype" w:hAnsi="Palatino Linotype" w:cs="Arial"/>
          <w:iCs/>
          <w:color w:val="000000" w:themeColor="text1"/>
        </w:rPr>
        <w:t>a de Cultura y Turismo siguió el procedimiento previamente establecido en la legislación local para efectos de realizar el trámite correspondiente  a las solicitudes de información</w:t>
      </w:r>
      <w:r w:rsidR="006065F7" w:rsidRPr="00A657DC">
        <w:rPr>
          <w:rFonts w:ascii="Palatino Linotype" w:hAnsi="Palatino Linotype"/>
        </w:rPr>
        <w:t>,</w:t>
      </w:r>
      <w:r w:rsidRPr="00A657DC">
        <w:rPr>
          <w:rFonts w:ascii="Palatino Linotype" w:hAnsi="Palatino Linotype" w:cs="Tahoma"/>
        </w:rPr>
        <w:t xml:space="preserve">  se advierte</w:t>
      </w:r>
      <w:r w:rsidR="006065F7" w:rsidRPr="00A657DC">
        <w:rPr>
          <w:rFonts w:ascii="Palatino Linotype" w:hAnsi="Palatino Linotype" w:cs="Tahoma"/>
        </w:rPr>
        <w:t xml:space="preserve"> entonces </w:t>
      </w:r>
      <w:r w:rsidRPr="00A657DC">
        <w:rPr>
          <w:rFonts w:ascii="Palatino Linotype" w:hAnsi="Palatino Linotype" w:cs="Tahoma"/>
        </w:rPr>
        <w:t xml:space="preserve"> que el SUJETO OBLIGADO únicamente se pronuncia por parte del Titular de la </w:t>
      </w:r>
      <w:r w:rsidR="00A204B1" w:rsidRPr="00A657DC">
        <w:rPr>
          <w:rFonts w:ascii="Palatino Linotype" w:hAnsi="Palatino Linotype" w:cs="Tahoma"/>
        </w:rPr>
        <w:t>U</w:t>
      </w:r>
      <w:r w:rsidRPr="00A657DC">
        <w:rPr>
          <w:rFonts w:ascii="Palatino Linotype" w:hAnsi="Palatino Linotype" w:cs="Tahoma"/>
        </w:rPr>
        <w:t>nidad de Transparencia señalando q</w:t>
      </w:r>
      <w:r w:rsidRPr="00A657DC">
        <w:rPr>
          <w:rFonts w:ascii="Palatino Linotype" w:hAnsi="Palatino Linotype" w:cs="Arial"/>
          <w:iCs/>
          <w:color w:val="000000" w:themeColor="text1"/>
        </w:rPr>
        <w:t>ue derivado del “ACUERDO POR EL QUE SE ESTABLECEN LAS MEDIDAS PREVENTIVAS Y DE SEGURIDAD EN MATERIA SANITARIA, PARA EVITAR UN POSIBLE CONTAGIO DEL CORONAVIRUS (COVID-19), EN EL ESTADO DE MÉXICO.”, emitido por la Comisión para la Protección contra Riesgos Sanitarios del Estado de México el 23 de marzo de 2020, no se han percibido ingresos por el proyecto en comento.</w:t>
      </w:r>
    </w:p>
    <w:p w14:paraId="619767B5" w14:textId="77777777" w:rsidR="00D83EDC" w:rsidRPr="00A657DC" w:rsidRDefault="00D83EDC" w:rsidP="00D83EDC">
      <w:pPr>
        <w:widowControl w:val="0"/>
        <w:spacing w:line="360" w:lineRule="auto"/>
        <w:ind w:right="-91"/>
        <w:jc w:val="both"/>
        <w:rPr>
          <w:rFonts w:ascii="Palatino Linotype" w:hAnsi="Palatino Linotype" w:cs="Tahoma"/>
        </w:rPr>
      </w:pPr>
      <w:r w:rsidRPr="00A657DC">
        <w:rPr>
          <w:rFonts w:ascii="Palatino Linotype" w:hAnsi="Palatino Linotype" w:cs="Tahoma"/>
          <w:bCs/>
        </w:rPr>
        <w:t xml:space="preserve">Establecida dicha circunstancia, </w:t>
      </w:r>
      <w:r w:rsidRPr="00A657DC">
        <w:rPr>
          <w:rFonts w:ascii="Palatino Linotype" w:hAnsi="Palatino Linotype" w:cs="Tahoma"/>
        </w:rPr>
        <w:t>es necesario, traer a colación la Ley Orgánica de la Administración Pública del Estado de México, reformada el veintinueve de septiembre de dos mil veinte, que establece lo siguiente:</w:t>
      </w:r>
    </w:p>
    <w:p w14:paraId="0872869D" w14:textId="77777777" w:rsidR="00D83EDC" w:rsidRPr="00A657DC" w:rsidRDefault="00D83EDC" w:rsidP="00D83EDC">
      <w:pPr>
        <w:autoSpaceDE w:val="0"/>
        <w:autoSpaceDN w:val="0"/>
        <w:adjustRightInd w:val="0"/>
        <w:spacing w:line="360" w:lineRule="auto"/>
        <w:rPr>
          <w:rFonts w:cs="Tahoma"/>
          <w:bCs/>
        </w:rPr>
      </w:pPr>
    </w:p>
    <w:p w14:paraId="2CA2F22E" w14:textId="77777777" w:rsidR="00D83EDC" w:rsidRPr="00A657DC" w:rsidRDefault="00D83EDC" w:rsidP="004521FB">
      <w:pPr>
        <w:spacing w:line="360" w:lineRule="auto"/>
        <w:ind w:left="567" w:right="567"/>
        <w:jc w:val="both"/>
        <w:rPr>
          <w:rFonts w:ascii="Palatino Linotype" w:hAnsi="Palatino Linotype" w:cs="Tahoma"/>
          <w:i/>
          <w:sz w:val="22"/>
        </w:rPr>
      </w:pPr>
      <w:r w:rsidRPr="00A657DC">
        <w:rPr>
          <w:rFonts w:cs="Tahoma"/>
          <w:b/>
          <w:i/>
          <w:sz w:val="20"/>
        </w:rPr>
        <w:t>“</w:t>
      </w:r>
      <w:r w:rsidRPr="00A657DC">
        <w:rPr>
          <w:rFonts w:ascii="Palatino Linotype" w:hAnsi="Palatino Linotype" w:cs="Tahoma"/>
          <w:b/>
          <w:i/>
          <w:sz w:val="22"/>
        </w:rPr>
        <w:t>Artículo 19.-</w:t>
      </w:r>
      <w:r w:rsidRPr="00A657DC">
        <w:rPr>
          <w:rFonts w:ascii="Palatino Linotype" w:hAnsi="Palatino Linotype" w:cs="Tahoma"/>
          <w:i/>
          <w:sz w:val="22"/>
        </w:rPr>
        <w:t xml:space="preserve"> Para el estudio, planeación y despacho de los asuntos, en los diversos ramos de la Administración Pública del Estado, auxiliarán al Titular del Ejecutivo, las siguientes dependencias:</w:t>
      </w:r>
    </w:p>
    <w:p w14:paraId="02318A95" w14:textId="77777777" w:rsidR="00D83EDC" w:rsidRPr="00A657DC" w:rsidRDefault="00D83EDC" w:rsidP="00D83EDC">
      <w:pPr>
        <w:spacing w:line="360" w:lineRule="auto"/>
        <w:ind w:left="567" w:right="567"/>
        <w:rPr>
          <w:rFonts w:ascii="Palatino Linotype" w:hAnsi="Palatino Linotype" w:cs="Tahoma"/>
          <w:i/>
          <w:sz w:val="22"/>
        </w:rPr>
      </w:pPr>
      <w:r w:rsidRPr="00A657DC">
        <w:rPr>
          <w:rFonts w:ascii="Palatino Linotype" w:hAnsi="Palatino Linotype" w:cs="Tahoma"/>
          <w:i/>
          <w:sz w:val="22"/>
        </w:rPr>
        <w:t>…</w:t>
      </w:r>
    </w:p>
    <w:p w14:paraId="419E2EA0" w14:textId="77777777" w:rsidR="00D83EDC" w:rsidRPr="00A657DC" w:rsidRDefault="00D83EDC" w:rsidP="00D83EDC">
      <w:pPr>
        <w:spacing w:line="360" w:lineRule="auto"/>
        <w:ind w:left="567" w:right="567"/>
        <w:rPr>
          <w:rFonts w:ascii="Palatino Linotype" w:hAnsi="Palatino Linotype" w:cs="Tahoma"/>
          <w:i/>
          <w:sz w:val="22"/>
        </w:rPr>
      </w:pPr>
      <w:r w:rsidRPr="00A657DC">
        <w:rPr>
          <w:rFonts w:ascii="Palatino Linotype" w:hAnsi="Palatino Linotype" w:cs="Tahoma"/>
          <w:i/>
          <w:sz w:val="22"/>
        </w:rPr>
        <w:t>XII. Secretaría de Cultura y Turismo;</w:t>
      </w:r>
    </w:p>
    <w:p w14:paraId="6C6F8851" w14:textId="77777777" w:rsidR="00D83EDC" w:rsidRPr="00A657DC" w:rsidRDefault="00D83EDC" w:rsidP="00D83EDC">
      <w:pPr>
        <w:spacing w:line="360" w:lineRule="auto"/>
        <w:ind w:left="567" w:right="567"/>
        <w:rPr>
          <w:rFonts w:ascii="Palatino Linotype" w:hAnsi="Palatino Linotype" w:cs="Tahoma"/>
          <w:i/>
          <w:sz w:val="22"/>
        </w:rPr>
      </w:pPr>
      <w:r w:rsidRPr="00A657DC">
        <w:rPr>
          <w:rFonts w:ascii="Palatino Linotype" w:hAnsi="Palatino Linotype" w:cs="Tahoma"/>
          <w:i/>
          <w:sz w:val="22"/>
        </w:rPr>
        <w:t>…</w:t>
      </w:r>
    </w:p>
    <w:p w14:paraId="0DCD7441" w14:textId="77777777" w:rsidR="00D83EDC" w:rsidRPr="00A657DC" w:rsidRDefault="00D83EDC" w:rsidP="004521FB">
      <w:pPr>
        <w:spacing w:line="360" w:lineRule="auto"/>
        <w:ind w:left="567" w:right="567"/>
        <w:jc w:val="both"/>
        <w:rPr>
          <w:rFonts w:ascii="Palatino Linotype" w:hAnsi="Palatino Linotype" w:cs="Tahoma"/>
          <w:i/>
          <w:sz w:val="22"/>
        </w:rPr>
      </w:pPr>
      <w:r w:rsidRPr="00A657DC">
        <w:rPr>
          <w:rFonts w:ascii="Palatino Linotype" w:hAnsi="Palatino Linotype" w:cs="Tahoma"/>
          <w:b/>
          <w:bCs/>
          <w:i/>
          <w:sz w:val="22"/>
        </w:rPr>
        <w:lastRenderedPageBreak/>
        <w:t>Artículo 37.-</w:t>
      </w:r>
      <w:r w:rsidRPr="00A657DC">
        <w:rPr>
          <w:rFonts w:ascii="Palatino Linotype" w:hAnsi="Palatino Linotype" w:cs="Tahoma"/>
          <w:i/>
          <w:sz w:val="22"/>
        </w:rPr>
        <w:t xml:space="preserve"> La Secretaría de Cultura y Turismo tiene por objeto vincular a la sociedad con el quehacer cultural, turístico y artesanal de la entidad, así como planear, organizar, coordinar, promover, ejecutar y evaluar las políticas, programas y acciones necesarias para desarrollar la cultura, la cultura física, el deporte, y el fomento al turismo y desarrollo artesanal en el Estado de México. </w:t>
      </w:r>
    </w:p>
    <w:p w14:paraId="1DF19996" w14:textId="77777777" w:rsidR="00D83EDC" w:rsidRPr="00A657DC" w:rsidRDefault="00D83EDC" w:rsidP="00D83EDC">
      <w:pPr>
        <w:spacing w:line="360" w:lineRule="auto"/>
        <w:ind w:left="567" w:right="567"/>
        <w:rPr>
          <w:rFonts w:ascii="Palatino Linotype" w:hAnsi="Palatino Linotype" w:cs="Tahoma"/>
          <w:i/>
          <w:sz w:val="22"/>
        </w:rPr>
      </w:pPr>
    </w:p>
    <w:p w14:paraId="589DDD44" w14:textId="77777777" w:rsidR="00D83EDC" w:rsidRPr="00A657DC" w:rsidRDefault="00D83EDC" w:rsidP="00D83EDC">
      <w:pPr>
        <w:spacing w:line="360" w:lineRule="auto"/>
        <w:ind w:left="567" w:right="567"/>
        <w:rPr>
          <w:rFonts w:ascii="Palatino Linotype" w:hAnsi="Palatino Linotype" w:cs="Tahoma"/>
          <w:i/>
          <w:sz w:val="22"/>
        </w:rPr>
      </w:pPr>
      <w:r w:rsidRPr="00A657DC">
        <w:rPr>
          <w:rFonts w:ascii="Palatino Linotype" w:hAnsi="Palatino Linotype" w:cs="Tahoma"/>
          <w:b/>
          <w:bCs/>
          <w:i/>
          <w:sz w:val="22"/>
        </w:rPr>
        <w:t>Artículo 38.-</w:t>
      </w:r>
      <w:r w:rsidRPr="00A657DC">
        <w:rPr>
          <w:rFonts w:ascii="Palatino Linotype" w:hAnsi="Palatino Linotype" w:cs="Tahoma"/>
          <w:i/>
          <w:sz w:val="22"/>
        </w:rPr>
        <w:t xml:space="preserve"> La Secretaría de Cultura y Turismo tiene las siguientes atribuciones:</w:t>
      </w:r>
    </w:p>
    <w:p w14:paraId="3B3E685F" w14:textId="77777777" w:rsidR="00D83EDC" w:rsidRPr="00A657DC" w:rsidRDefault="00D83EDC" w:rsidP="00D83EDC">
      <w:pPr>
        <w:spacing w:line="360" w:lineRule="auto"/>
        <w:ind w:left="567" w:right="567"/>
        <w:rPr>
          <w:rFonts w:ascii="Palatino Linotype" w:hAnsi="Palatino Linotype" w:cs="Tahoma"/>
          <w:i/>
          <w:sz w:val="22"/>
        </w:rPr>
      </w:pPr>
      <w:r w:rsidRPr="00A657DC">
        <w:rPr>
          <w:rFonts w:ascii="Palatino Linotype" w:hAnsi="Palatino Linotype" w:cs="Tahoma"/>
          <w:i/>
          <w:sz w:val="22"/>
        </w:rPr>
        <w:t>…</w:t>
      </w:r>
    </w:p>
    <w:p w14:paraId="6436E937" w14:textId="77777777" w:rsidR="00D83EDC" w:rsidRPr="00A657DC" w:rsidRDefault="00D83EDC" w:rsidP="00D83EDC">
      <w:pPr>
        <w:spacing w:line="360" w:lineRule="auto"/>
        <w:ind w:left="567" w:right="567"/>
        <w:rPr>
          <w:rFonts w:ascii="Palatino Linotype" w:hAnsi="Palatino Linotype" w:cs="Tahoma"/>
          <w:i/>
          <w:sz w:val="22"/>
        </w:rPr>
      </w:pPr>
      <w:r w:rsidRPr="00A657DC">
        <w:rPr>
          <w:rFonts w:ascii="Palatino Linotype" w:hAnsi="Palatino Linotype" w:cs="Tahoma"/>
          <w:i/>
          <w:sz w:val="22"/>
        </w:rPr>
        <w:t>IX. Crear, fomentar, coordinar, organizar y dirigir bibliotecas, hemerotecas, casas de cultura y museos, y orientar sus actividades;</w:t>
      </w:r>
    </w:p>
    <w:p w14:paraId="299DC19E" w14:textId="77777777" w:rsidR="00D83EDC" w:rsidRPr="00A657DC" w:rsidRDefault="00D83EDC" w:rsidP="00D83EDC">
      <w:pPr>
        <w:spacing w:line="360" w:lineRule="auto"/>
        <w:ind w:left="567" w:right="567"/>
        <w:rPr>
          <w:rFonts w:ascii="Palatino Linotype" w:hAnsi="Palatino Linotype" w:cs="Tahoma"/>
          <w:i/>
          <w:sz w:val="22"/>
        </w:rPr>
      </w:pPr>
      <w:r w:rsidRPr="00A657DC">
        <w:rPr>
          <w:rFonts w:ascii="Palatino Linotype" w:hAnsi="Palatino Linotype" w:cs="Tahoma"/>
          <w:i/>
          <w:sz w:val="22"/>
        </w:rPr>
        <w:t>…</w:t>
      </w:r>
    </w:p>
    <w:p w14:paraId="24198DB0" w14:textId="77777777" w:rsidR="00D83EDC" w:rsidRPr="00A657DC" w:rsidRDefault="00D83EDC" w:rsidP="00D83EDC">
      <w:pPr>
        <w:spacing w:line="360" w:lineRule="auto"/>
        <w:ind w:left="567" w:right="567"/>
        <w:rPr>
          <w:rFonts w:ascii="Palatino Linotype" w:hAnsi="Palatino Linotype" w:cs="Tahoma"/>
          <w:i/>
          <w:sz w:val="22"/>
        </w:rPr>
      </w:pPr>
      <w:r w:rsidRPr="00A657DC">
        <w:rPr>
          <w:rFonts w:ascii="Palatino Linotype" w:hAnsi="Palatino Linotype" w:cs="Tahoma"/>
          <w:i/>
          <w:sz w:val="22"/>
        </w:rPr>
        <w:t>XIII. Mantener actualizado el inventario de bienes que constituyen el patrimonio arqueológico, histórico, artístico y cultural de la entidad, el inventario de atractivos turísticos y el directorio de servicios que se prestan en este ramo en el Estado; …”</w:t>
      </w:r>
    </w:p>
    <w:p w14:paraId="035D50C3" w14:textId="77777777" w:rsidR="00D83EDC" w:rsidRPr="00A657DC" w:rsidRDefault="00D83EDC" w:rsidP="00D83EDC">
      <w:pPr>
        <w:autoSpaceDE w:val="0"/>
        <w:autoSpaceDN w:val="0"/>
        <w:adjustRightInd w:val="0"/>
        <w:spacing w:line="360" w:lineRule="auto"/>
        <w:rPr>
          <w:rFonts w:cs="Tahoma"/>
          <w:bCs/>
        </w:rPr>
      </w:pPr>
    </w:p>
    <w:p w14:paraId="2DF008AE" w14:textId="77777777" w:rsidR="00D83EDC" w:rsidRPr="00A657DC" w:rsidRDefault="00D83EDC" w:rsidP="004521FB">
      <w:pPr>
        <w:autoSpaceDE w:val="0"/>
        <w:autoSpaceDN w:val="0"/>
        <w:adjustRightInd w:val="0"/>
        <w:spacing w:line="360" w:lineRule="auto"/>
        <w:jc w:val="both"/>
        <w:rPr>
          <w:rFonts w:ascii="Palatino Linotype" w:hAnsi="Palatino Linotype" w:cs="Tahoma"/>
          <w:iCs/>
        </w:rPr>
      </w:pPr>
      <w:r w:rsidRPr="00A657DC">
        <w:rPr>
          <w:rFonts w:ascii="Palatino Linotype" w:hAnsi="Palatino Linotype" w:cs="Tahoma"/>
        </w:rPr>
        <w:t>De los artículos citados, se desprende que la Secretaría de Cultura y Turismo, es la encargada, entre otras cosas, planear, organizar, coordinar, promover, ejecutar y evaluar las políticas, programas y acciones necesarias para desarrollar la cultura; c</w:t>
      </w:r>
      <w:r w:rsidRPr="00A657DC">
        <w:rPr>
          <w:rFonts w:ascii="Palatino Linotype" w:hAnsi="Palatino Linotype" w:cs="Tahoma"/>
          <w:iCs/>
        </w:rPr>
        <w:t>rear, fomentar, coordinar, organizar y dirigir las casas de cultura (que incluye los centros regionales de cultura), y mantener actualizado el inventario de bienes que constituyen el patrimonio arqueológico, histórico, artístico y cultural de la entidad.</w:t>
      </w:r>
    </w:p>
    <w:p w14:paraId="1C0A48E8" w14:textId="77777777" w:rsidR="00A204B1" w:rsidRPr="00A657DC" w:rsidRDefault="00A204B1" w:rsidP="00A204B1">
      <w:pPr>
        <w:spacing w:line="360" w:lineRule="auto"/>
        <w:ind w:right="-93"/>
        <w:jc w:val="both"/>
        <w:rPr>
          <w:rFonts w:ascii="Palatino Linotype" w:hAnsi="Palatino Linotype" w:cs="Tahoma"/>
          <w:szCs w:val="22"/>
        </w:rPr>
      </w:pPr>
    </w:p>
    <w:p w14:paraId="76EC7A9D" w14:textId="6247E750" w:rsidR="00BB1990" w:rsidRPr="00A657DC" w:rsidRDefault="00BB1990" w:rsidP="00BB1990">
      <w:pPr>
        <w:autoSpaceDE w:val="0"/>
        <w:autoSpaceDN w:val="0"/>
        <w:adjustRightInd w:val="0"/>
        <w:spacing w:line="360" w:lineRule="auto"/>
        <w:jc w:val="both"/>
        <w:rPr>
          <w:rFonts w:ascii="Palatino Linotype" w:hAnsi="Palatino Linotype" w:cs="Tahoma"/>
          <w:iCs/>
        </w:rPr>
      </w:pPr>
      <w:r w:rsidRPr="00A657DC">
        <w:rPr>
          <w:rFonts w:ascii="Palatino Linotype" w:hAnsi="Palatino Linotype" w:cs="Tahoma"/>
          <w:iCs/>
        </w:rPr>
        <w:t>Además, en la fracción II</w:t>
      </w:r>
      <w:r w:rsidR="006562E3" w:rsidRPr="00A657DC">
        <w:rPr>
          <w:rFonts w:ascii="Palatino Linotype" w:hAnsi="Palatino Linotype" w:cs="Tahoma"/>
          <w:iCs/>
        </w:rPr>
        <w:t>,</w:t>
      </w:r>
      <w:r w:rsidRPr="00A657DC">
        <w:rPr>
          <w:rFonts w:ascii="Palatino Linotype" w:hAnsi="Palatino Linotype" w:cs="Tahoma"/>
          <w:iCs/>
        </w:rPr>
        <w:t xml:space="preserve"> A</w:t>
      </w:r>
      <w:r w:rsidR="006562E3" w:rsidRPr="00A657DC">
        <w:rPr>
          <w:rFonts w:ascii="Palatino Linotype" w:hAnsi="Palatino Linotype" w:cs="Tahoma"/>
          <w:iCs/>
        </w:rPr>
        <w:t>,</w:t>
      </w:r>
      <w:r w:rsidRPr="00A657DC">
        <w:rPr>
          <w:rFonts w:ascii="Palatino Linotype" w:hAnsi="Palatino Linotype" w:cs="Tahoma"/>
          <w:iCs/>
        </w:rPr>
        <w:t xml:space="preserve"> Estructura Orgánica, del Portal de Información Pública de Oficio Mexiquense</w:t>
      </w:r>
      <w:r w:rsidR="006562E3" w:rsidRPr="00A657DC">
        <w:rPr>
          <w:rFonts w:ascii="Palatino Linotype" w:hAnsi="Palatino Linotype" w:cs="Tahoma"/>
          <w:iCs/>
        </w:rPr>
        <w:t>,</w:t>
      </w:r>
      <w:r w:rsidRPr="00A657DC">
        <w:rPr>
          <w:rFonts w:ascii="Palatino Linotype" w:hAnsi="Palatino Linotype" w:cs="Tahoma"/>
          <w:iCs/>
        </w:rPr>
        <w:t xml:space="preserve"> de la Secretaría de Cultura y Turismo en la liga </w:t>
      </w:r>
      <w:hyperlink r:id="rId14" w:history="1">
        <w:r w:rsidRPr="00A657DC">
          <w:rPr>
            <w:rStyle w:val="Hipervnculo"/>
            <w:rFonts w:ascii="Palatino Linotype" w:hAnsi="Palatino Linotype" w:cs="Tahoma"/>
            <w:iCs/>
            <w:sz w:val="20"/>
          </w:rPr>
          <w:t>https://www.ipomex.org.mx/ipo3/lgt/indice /SCTUR/</w:t>
        </w:r>
        <w:proofErr w:type="spellStart"/>
        <w:r w:rsidRPr="00A657DC">
          <w:rPr>
            <w:rStyle w:val="Hipervnculo"/>
            <w:rFonts w:ascii="Palatino Linotype" w:hAnsi="Palatino Linotype" w:cs="Tahoma"/>
            <w:iCs/>
            <w:sz w:val="20"/>
          </w:rPr>
          <w:t>organigramas.web</w:t>
        </w:r>
        <w:proofErr w:type="spellEnd"/>
      </w:hyperlink>
      <w:r w:rsidRPr="00A657DC">
        <w:rPr>
          <w:rFonts w:ascii="Palatino Linotype" w:hAnsi="Palatino Linotype" w:cs="Tahoma"/>
          <w:iCs/>
        </w:rPr>
        <w:t xml:space="preserve">, establece que el Sujeto Obligado cuenta con diversas unidades administrativas entre las cuales se </w:t>
      </w:r>
      <w:r w:rsidRPr="00A657DC">
        <w:rPr>
          <w:rFonts w:ascii="Palatino Linotype" w:hAnsi="Palatino Linotype" w:cs="Tahoma"/>
          <w:iCs/>
        </w:rPr>
        <w:lastRenderedPageBreak/>
        <w:t>encuentran la Coordinación Administrativa,  la cual entre sus atribuciones en términos del artículo 16 del Reglamento Interior de la propia secretar</w:t>
      </w:r>
      <w:r w:rsidRPr="00A657DC">
        <w:rPr>
          <w:rFonts w:ascii="Palatino Linotype" w:hAnsi="Palatino Linotype" w:cs="Tahoma"/>
          <w:iCs/>
          <w:lang w:val="es-MX"/>
        </w:rPr>
        <w:t>í</w:t>
      </w:r>
      <w:r w:rsidRPr="00A657DC">
        <w:rPr>
          <w:rFonts w:ascii="Palatino Linotype" w:hAnsi="Palatino Linotype" w:cs="Tahoma"/>
          <w:iCs/>
        </w:rPr>
        <w:t xml:space="preserve">a, corresponde a esta: </w:t>
      </w:r>
    </w:p>
    <w:p w14:paraId="267197EB" w14:textId="473196CE" w:rsidR="00BB1990" w:rsidRPr="00A657DC" w:rsidRDefault="00BB1990" w:rsidP="00BB1990">
      <w:pPr>
        <w:autoSpaceDE w:val="0"/>
        <w:autoSpaceDN w:val="0"/>
        <w:adjustRightInd w:val="0"/>
        <w:ind w:left="708"/>
        <w:jc w:val="both"/>
        <w:rPr>
          <w:rFonts w:ascii="Palatino Linotype" w:hAnsi="Palatino Linotype"/>
          <w:i/>
        </w:rPr>
      </w:pPr>
      <w:r w:rsidRPr="00A657DC">
        <w:rPr>
          <w:rFonts w:ascii="Palatino Linotype" w:hAnsi="Palatino Linotype"/>
          <w:i/>
        </w:rPr>
        <w:t xml:space="preserve">“Artículo 16. El Coordinador Administrativo tendrá las siguientes atribuciones: </w:t>
      </w:r>
    </w:p>
    <w:p w14:paraId="4DD93D8C" w14:textId="77777777" w:rsidR="00BB1990" w:rsidRPr="00A657DC" w:rsidRDefault="00BB1990" w:rsidP="00BB1990">
      <w:pPr>
        <w:autoSpaceDE w:val="0"/>
        <w:autoSpaceDN w:val="0"/>
        <w:adjustRightInd w:val="0"/>
        <w:ind w:left="708"/>
        <w:jc w:val="both"/>
        <w:rPr>
          <w:rFonts w:ascii="Palatino Linotype" w:hAnsi="Palatino Linotype"/>
          <w:i/>
        </w:rPr>
      </w:pPr>
    </w:p>
    <w:p w14:paraId="12479D74" w14:textId="6EDDCB9D" w:rsidR="00BB1990" w:rsidRPr="00A657DC" w:rsidRDefault="00BB1990" w:rsidP="00BB1990">
      <w:pPr>
        <w:autoSpaceDE w:val="0"/>
        <w:autoSpaceDN w:val="0"/>
        <w:adjustRightInd w:val="0"/>
        <w:ind w:left="708"/>
        <w:jc w:val="both"/>
        <w:rPr>
          <w:rFonts w:ascii="Palatino Linotype" w:hAnsi="Palatino Linotype"/>
          <w:i/>
        </w:rPr>
      </w:pPr>
      <w:r w:rsidRPr="00A657DC">
        <w:rPr>
          <w:rFonts w:ascii="Palatino Linotype" w:hAnsi="Palatino Linotype"/>
          <w:i/>
        </w:rPr>
        <w:t>I. Programar, organizar y controlar el suministro y aplicación de los recursos humanos, materiales, financieros y técnicos, así como los servicios generales necesarios para el funcionamiento de las unidades administrativas de la Secretaría.</w:t>
      </w:r>
    </w:p>
    <w:p w14:paraId="2DE2DA78" w14:textId="787FAE99" w:rsidR="00BB1990" w:rsidRPr="00A657DC" w:rsidRDefault="00BB1990" w:rsidP="00BB1990">
      <w:pPr>
        <w:autoSpaceDE w:val="0"/>
        <w:autoSpaceDN w:val="0"/>
        <w:adjustRightInd w:val="0"/>
        <w:ind w:left="708"/>
        <w:jc w:val="both"/>
        <w:rPr>
          <w:rFonts w:ascii="Palatino Linotype" w:hAnsi="Palatino Linotype"/>
          <w:i/>
        </w:rPr>
      </w:pPr>
      <w:r w:rsidRPr="00A657DC">
        <w:rPr>
          <w:rFonts w:ascii="Palatino Linotype" w:hAnsi="Palatino Linotype"/>
          <w:i/>
        </w:rPr>
        <w:t>…</w:t>
      </w:r>
    </w:p>
    <w:p w14:paraId="262517B8" w14:textId="0A267351" w:rsidR="00BB1990" w:rsidRPr="00A657DC" w:rsidRDefault="00BB1990" w:rsidP="00BB1990">
      <w:pPr>
        <w:autoSpaceDE w:val="0"/>
        <w:autoSpaceDN w:val="0"/>
        <w:adjustRightInd w:val="0"/>
        <w:ind w:left="708"/>
        <w:jc w:val="both"/>
        <w:rPr>
          <w:rFonts w:ascii="Palatino Linotype" w:hAnsi="Palatino Linotype"/>
          <w:i/>
        </w:rPr>
      </w:pPr>
      <w:r w:rsidRPr="00A657DC">
        <w:rPr>
          <w:rFonts w:ascii="Palatino Linotype" w:hAnsi="Palatino Linotype"/>
          <w:i/>
        </w:rPr>
        <w:t>III. Cumplir y hacer cumplir las normas y políticas aplicables en materia de administración de recursos hu</w:t>
      </w:r>
      <w:r w:rsidR="006561B1">
        <w:rPr>
          <w:rFonts w:ascii="Palatino Linotype" w:hAnsi="Palatino Linotype"/>
          <w:i/>
        </w:rPr>
        <w:t>manos, materiales y financieros</w:t>
      </w:r>
      <w:r w:rsidRPr="00A657DC">
        <w:rPr>
          <w:rFonts w:ascii="Palatino Linotype" w:hAnsi="Palatino Linotype"/>
          <w:i/>
        </w:rPr>
        <w:t>…</w:t>
      </w:r>
      <w:proofErr w:type="gramStart"/>
      <w:r w:rsidRPr="00A657DC">
        <w:rPr>
          <w:rFonts w:ascii="Palatino Linotype" w:hAnsi="Palatino Linotype"/>
          <w:i/>
        </w:rPr>
        <w:t>”(</w:t>
      </w:r>
      <w:proofErr w:type="gramEnd"/>
      <w:r w:rsidRPr="00A657DC">
        <w:rPr>
          <w:rFonts w:ascii="Palatino Linotype" w:hAnsi="Palatino Linotype"/>
          <w:i/>
        </w:rPr>
        <w:t>Sic)</w:t>
      </w:r>
    </w:p>
    <w:p w14:paraId="5E56B403" w14:textId="77777777" w:rsidR="00BB1990" w:rsidRPr="00A657DC" w:rsidRDefault="00BB1990" w:rsidP="00BB1990">
      <w:pPr>
        <w:autoSpaceDE w:val="0"/>
        <w:autoSpaceDN w:val="0"/>
        <w:adjustRightInd w:val="0"/>
        <w:spacing w:line="360" w:lineRule="auto"/>
        <w:jc w:val="both"/>
        <w:rPr>
          <w:rFonts w:ascii="Palatino Linotype" w:hAnsi="Palatino Linotype" w:cs="Tahoma"/>
          <w:iCs/>
        </w:rPr>
      </w:pPr>
    </w:p>
    <w:p w14:paraId="24991229" w14:textId="71F5258B" w:rsidR="00717DA9" w:rsidRPr="00A657DC" w:rsidRDefault="00717DA9" w:rsidP="00717DA9">
      <w:pPr>
        <w:spacing w:line="360" w:lineRule="auto"/>
        <w:jc w:val="both"/>
        <w:rPr>
          <w:rFonts w:ascii="Palatino Linotype" w:hAnsi="Palatino Linotype"/>
        </w:rPr>
      </w:pPr>
      <w:r w:rsidRPr="00A657DC">
        <w:rPr>
          <w:rFonts w:ascii="Palatino Linotype" w:hAnsi="Palatino Linotype"/>
        </w:rPr>
        <w:t xml:space="preserve">De la normatividad previamente plasmada se observa que dentro de la Coordinación Administrativa existen facultades para poder dar respuesta al requerimiento del particular, toda vez que llevan a actividades tendientes a cumplir con las normas y políticas en materia de recursos financieros. </w:t>
      </w:r>
    </w:p>
    <w:p w14:paraId="057E7F3A" w14:textId="77777777" w:rsidR="00717DA9" w:rsidRPr="00A657DC" w:rsidRDefault="00717DA9" w:rsidP="00717DA9">
      <w:pPr>
        <w:spacing w:line="360" w:lineRule="auto"/>
        <w:jc w:val="both"/>
        <w:rPr>
          <w:rFonts w:ascii="Palatino Linotype" w:hAnsi="Palatino Linotype" w:cs="Arial"/>
        </w:rPr>
      </w:pPr>
    </w:p>
    <w:p w14:paraId="6790FA3F" w14:textId="1C933699" w:rsidR="006C6B94" w:rsidRPr="00A657DC" w:rsidRDefault="00717DA9" w:rsidP="00717DA9">
      <w:pPr>
        <w:spacing w:line="360" w:lineRule="auto"/>
        <w:jc w:val="both"/>
        <w:rPr>
          <w:rFonts w:ascii="Palatino Linotype" w:hAnsi="Palatino Linotype" w:cs="Arial"/>
        </w:rPr>
      </w:pPr>
      <w:r w:rsidRPr="00A657DC">
        <w:rPr>
          <w:rFonts w:ascii="Palatino Linotype" w:hAnsi="Palatino Linotype" w:cs="Arial"/>
        </w:rPr>
        <w:t xml:space="preserve">Es así que, del </w:t>
      </w:r>
      <w:r w:rsidRPr="00A657DC">
        <w:rPr>
          <w:rFonts w:ascii="Palatino Linotype" w:hAnsi="Palatino Linotype" w:cs="Arial"/>
          <w:lang w:eastAsia="es-MX"/>
        </w:rPr>
        <w:t xml:space="preserve">análisis a </w:t>
      </w:r>
      <w:r w:rsidRPr="00A657DC">
        <w:rPr>
          <w:rFonts w:ascii="Palatino Linotype" w:hAnsi="Palatino Linotype" w:cs="Arial"/>
          <w:color w:val="000000" w:themeColor="text1"/>
        </w:rPr>
        <w:t xml:space="preserve">las constancias que obran en el expediente electrónico denominado </w:t>
      </w:r>
      <w:r w:rsidRPr="00A657DC">
        <w:rPr>
          <w:rFonts w:ascii="Palatino Linotype" w:hAnsi="Palatino Linotype" w:cs="Arial"/>
          <w:b/>
          <w:color w:val="000000" w:themeColor="text1"/>
        </w:rPr>
        <w:t>SAIMEX</w:t>
      </w:r>
      <w:r w:rsidRPr="00A657DC">
        <w:rPr>
          <w:rFonts w:ascii="Palatino Linotype" w:hAnsi="Palatino Linotype" w:cs="Arial"/>
          <w:color w:val="000000" w:themeColor="text1"/>
        </w:rPr>
        <w:t xml:space="preserve">, se advierte que </w:t>
      </w:r>
      <w:r w:rsidRPr="00A657DC">
        <w:rPr>
          <w:rFonts w:ascii="Palatino Linotype" w:hAnsi="Palatino Linotype" w:cs="Arial"/>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realicen una búsqueda exhaustiva y razonable de la información solicitada, ya que de manera unilateral se limitó a referir que </w:t>
      </w:r>
      <w:r w:rsidRPr="00A657DC">
        <w:rPr>
          <w:rFonts w:ascii="Palatino Linotype" w:hAnsi="Palatino Linotype" w:cs="Arial"/>
          <w:iCs/>
          <w:color w:val="000000" w:themeColor="text1"/>
        </w:rPr>
        <w:t xml:space="preserve">derivado del acuerdo por el que se establecen las medidas preventivas y de seguridad en materia sanitaria, para evitar un posible contagio del coronavirus (covid-19), en el </w:t>
      </w:r>
      <w:r w:rsidRPr="00A657DC">
        <w:rPr>
          <w:rFonts w:ascii="Palatino Linotype" w:hAnsi="Palatino Linotype" w:cs="Arial"/>
          <w:iCs/>
          <w:color w:val="000000" w:themeColor="text1"/>
        </w:rPr>
        <w:lastRenderedPageBreak/>
        <w:t>Estado de México, emitido por la Comisión para la Protección contra Riesgos Sanitarios del Estado de México el 23 de marzo de 2020, no se han percibido ingresos por el proyecto en comento.</w:t>
      </w:r>
    </w:p>
    <w:p w14:paraId="755239AD" w14:textId="77777777" w:rsidR="00BE4112" w:rsidRPr="00A657DC" w:rsidRDefault="00BE4112" w:rsidP="007D0B5C">
      <w:pPr>
        <w:spacing w:line="360" w:lineRule="auto"/>
        <w:jc w:val="both"/>
        <w:rPr>
          <w:rFonts w:ascii="Palatino Linotype" w:hAnsi="Palatino Linotype" w:cs="Arial"/>
          <w:color w:val="000000" w:themeColor="text1"/>
        </w:rPr>
      </w:pPr>
    </w:p>
    <w:p w14:paraId="634D1AAF" w14:textId="0022AC84" w:rsidR="00BE4112" w:rsidRDefault="00BE4112" w:rsidP="00BE4112">
      <w:pPr>
        <w:spacing w:line="360" w:lineRule="auto"/>
        <w:jc w:val="both"/>
        <w:rPr>
          <w:rFonts w:ascii="Palatino Linotype" w:hAnsi="Palatino Linotype" w:cs="Arial"/>
          <w:color w:val="000000" w:themeColor="text1"/>
        </w:rPr>
      </w:pPr>
      <w:r w:rsidRPr="00A657DC">
        <w:rPr>
          <w:rFonts w:ascii="Palatino Linotype" w:hAnsi="Palatino Linotype" w:cs="Arial"/>
          <w:color w:val="000000" w:themeColor="text1"/>
        </w:rPr>
        <w:t xml:space="preserve">Ahora bien, mediante informe justificado el SUJETO OBLIGADO </w:t>
      </w:r>
      <w:r w:rsidR="006040AE" w:rsidRPr="00A657DC">
        <w:rPr>
          <w:rFonts w:ascii="Palatino Linotype" w:hAnsi="Palatino Linotype" w:cs="Arial"/>
          <w:color w:val="000000" w:themeColor="text1"/>
        </w:rPr>
        <w:t xml:space="preserve"> intenta subsanar su actuar adjuntando a la </w:t>
      </w:r>
      <w:r w:rsidRPr="00A657DC">
        <w:rPr>
          <w:rFonts w:ascii="Palatino Linotype" w:hAnsi="Palatino Linotype" w:cs="Arial"/>
          <w:color w:val="000000" w:themeColor="text1"/>
        </w:rPr>
        <w:t xml:space="preserve">particular </w:t>
      </w:r>
      <w:r w:rsidR="006040AE" w:rsidRPr="00A657DC">
        <w:rPr>
          <w:rFonts w:ascii="Palatino Linotype" w:hAnsi="Palatino Linotype" w:cs="Arial"/>
          <w:color w:val="000000" w:themeColor="text1"/>
        </w:rPr>
        <w:t xml:space="preserve">el oficio 226001A00/088/2021 suscrito por </w:t>
      </w:r>
      <w:r w:rsidR="00323355" w:rsidRPr="00A657DC">
        <w:rPr>
          <w:rFonts w:ascii="Palatino Linotype" w:hAnsi="Palatino Linotype" w:cs="Arial"/>
          <w:color w:val="000000" w:themeColor="text1"/>
        </w:rPr>
        <w:t>la Subsecretaria de Turismo, a través del cual proporciona:</w:t>
      </w:r>
    </w:p>
    <w:p w14:paraId="7B30D32C" w14:textId="77777777" w:rsidR="00F04C2F" w:rsidRPr="00A657DC" w:rsidRDefault="00F04C2F" w:rsidP="00BE4112">
      <w:pPr>
        <w:spacing w:line="360" w:lineRule="auto"/>
        <w:jc w:val="both"/>
        <w:rPr>
          <w:rFonts w:ascii="Palatino Linotype" w:hAnsi="Palatino Linotype" w:cs="Arial"/>
          <w:color w:val="000000" w:themeColor="text1"/>
        </w:rPr>
      </w:pPr>
    </w:p>
    <w:p w14:paraId="2C6B8AD4" w14:textId="5191BAED" w:rsidR="00323355" w:rsidRPr="00A657DC" w:rsidRDefault="00323355" w:rsidP="00323355">
      <w:pPr>
        <w:pStyle w:val="Prrafodelista"/>
        <w:numPr>
          <w:ilvl w:val="0"/>
          <w:numId w:val="39"/>
        </w:numPr>
        <w:spacing w:line="360" w:lineRule="auto"/>
        <w:jc w:val="both"/>
        <w:rPr>
          <w:rFonts w:ascii="Palatino Linotype" w:hAnsi="Palatino Linotype" w:cs="Arial"/>
          <w:color w:val="000000" w:themeColor="text1"/>
        </w:rPr>
      </w:pPr>
      <w:r w:rsidRPr="00A657DC">
        <w:rPr>
          <w:rFonts w:ascii="Palatino Linotype" w:hAnsi="Palatino Linotype" w:cs="Arial"/>
          <w:color w:val="000000" w:themeColor="text1"/>
        </w:rPr>
        <w:t>La Cuenta Pública de los ejercicios fiscales del periodo 2016 a 2020 de la extinta Comisión para el Desarrollo Tur</w:t>
      </w:r>
      <w:r w:rsidR="006561B1">
        <w:rPr>
          <w:rFonts w:ascii="Palatino Linotype" w:hAnsi="Palatino Linotype" w:cs="Arial"/>
          <w:color w:val="000000" w:themeColor="text1"/>
        </w:rPr>
        <w:t>ístico del Valle de Teotihuacán</w:t>
      </w:r>
      <w:r w:rsidRPr="00A657DC">
        <w:rPr>
          <w:rFonts w:ascii="Palatino Linotype" w:hAnsi="Palatino Linotype" w:cs="Arial"/>
          <w:color w:val="000000" w:themeColor="text1"/>
        </w:rPr>
        <w:t>;</w:t>
      </w:r>
    </w:p>
    <w:p w14:paraId="424FFD2A" w14:textId="77777777" w:rsidR="00323355" w:rsidRPr="00A657DC" w:rsidRDefault="00323355" w:rsidP="00323355">
      <w:pPr>
        <w:pStyle w:val="Prrafodelista"/>
        <w:numPr>
          <w:ilvl w:val="0"/>
          <w:numId w:val="39"/>
        </w:numPr>
        <w:spacing w:line="360" w:lineRule="auto"/>
        <w:jc w:val="both"/>
        <w:rPr>
          <w:rFonts w:ascii="Palatino Linotype" w:hAnsi="Palatino Linotype" w:cs="Arial"/>
          <w:color w:val="000000" w:themeColor="text1"/>
        </w:rPr>
      </w:pPr>
      <w:r w:rsidRPr="00A657DC">
        <w:rPr>
          <w:rFonts w:ascii="Palatino Linotype" w:hAnsi="Palatino Linotype" w:cs="Arial"/>
          <w:color w:val="000000" w:themeColor="text1"/>
        </w:rPr>
        <w:t xml:space="preserve">En cuatro archivos en formato </w:t>
      </w:r>
      <w:proofErr w:type="spellStart"/>
      <w:r w:rsidRPr="00A657DC">
        <w:rPr>
          <w:rFonts w:ascii="Palatino Linotype" w:hAnsi="Palatino Linotype" w:cs="Arial"/>
          <w:color w:val="000000" w:themeColor="text1"/>
        </w:rPr>
        <w:t>pdf</w:t>
      </w:r>
      <w:proofErr w:type="spellEnd"/>
      <w:r w:rsidRPr="00A657DC">
        <w:rPr>
          <w:rFonts w:ascii="Palatino Linotype" w:hAnsi="Palatino Linotype" w:cs="Arial"/>
          <w:color w:val="000000" w:themeColor="text1"/>
        </w:rPr>
        <w:t>, que contiene información financiera de la extinta Comisión para el Desarrollo Turístico del Valle de Teotihuacán en específico del proyecto experiencia nocturna.</w:t>
      </w:r>
    </w:p>
    <w:p w14:paraId="5153C796" w14:textId="7A573AB9" w:rsidR="00BE4112" w:rsidRPr="006A46DF" w:rsidRDefault="00323355" w:rsidP="00E24EC2">
      <w:pPr>
        <w:pStyle w:val="Prrafodelista"/>
        <w:numPr>
          <w:ilvl w:val="0"/>
          <w:numId w:val="40"/>
        </w:numPr>
        <w:spacing w:line="360" w:lineRule="auto"/>
        <w:jc w:val="both"/>
        <w:rPr>
          <w:rFonts w:ascii="Palatino Linotype" w:hAnsi="Palatino Linotype" w:cs="Arial"/>
          <w:color w:val="000000" w:themeColor="text1"/>
        </w:rPr>
      </w:pPr>
      <w:r w:rsidRPr="006A46DF">
        <w:rPr>
          <w:rFonts w:ascii="Palatino Linotype" w:hAnsi="Palatino Linotype" w:cs="Arial"/>
          <w:color w:val="000000" w:themeColor="text1"/>
        </w:rPr>
        <w:t xml:space="preserve">Balanza de Comprobación Detallada de los ejercicios 2016, 2017, 2018, 2019 y del 01 de enero al 30 de septiembre de 2020. </w:t>
      </w:r>
    </w:p>
    <w:p w14:paraId="161CA0AF" w14:textId="0F0ED6B6" w:rsidR="00BE4112" w:rsidRPr="00A657DC" w:rsidRDefault="00A74555" w:rsidP="007D0B5C">
      <w:pPr>
        <w:spacing w:line="360" w:lineRule="auto"/>
        <w:jc w:val="both"/>
        <w:rPr>
          <w:rFonts w:ascii="Palatino Linotype" w:hAnsi="Palatino Linotype" w:cs="Arial"/>
          <w:color w:val="000000" w:themeColor="text1"/>
        </w:rPr>
      </w:pPr>
      <w:r w:rsidRPr="00A657DC">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6432" behindDoc="0" locked="0" layoutInCell="1" allowOverlap="1" wp14:anchorId="73A8783F" wp14:editId="4340C2AA">
                <wp:simplePos x="0" y="0"/>
                <wp:positionH relativeFrom="column">
                  <wp:posOffset>3491865</wp:posOffset>
                </wp:positionH>
                <wp:positionV relativeFrom="paragraph">
                  <wp:posOffset>4867910</wp:posOffset>
                </wp:positionV>
                <wp:extent cx="914400" cy="238125"/>
                <wp:effectExtent l="76200" t="38100" r="76200" b="123825"/>
                <wp:wrapNone/>
                <wp:docPr id="4" name="Rectángulo 4"/>
                <wp:cNvGraphicFramePr/>
                <a:graphic xmlns:a="http://schemas.openxmlformats.org/drawingml/2006/main">
                  <a:graphicData uri="http://schemas.microsoft.com/office/word/2010/wordprocessingShape">
                    <wps:wsp>
                      <wps:cNvSpPr/>
                      <wps:spPr>
                        <a:xfrm>
                          <a:off x="0" y="0"/>
                          <a:ext cx="91440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14CAE" id="Rectángulo 4" o:spid="_x0000_s1026" style="position:absolute;margin-left:274.95pt;margin-top:383.3pt;width:1in;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" filled="f" strokecolor="red" strokeweight="4.5pt">
                <v:shadow on="t" color="black" opacity="22937f" origin=",.5" offset="0,.63889mm"/>
              </v:rect>
            </w:pict>
          </mc:Fallback>
        </mc:AlternateContent>
      </w:r>
      <w:r w:rsidRPr="00A657DC">
        <w:rPr>
          <w:rFonts w:ascii="Palatino Linotype" w:hAnsi="Palatino Linotype" w:cs="Arial"/>
          <w:noProof/>
          <w:color w:val="000000" w:themeColor="text1"/>
          <w:lang w:val="es-MX" w:eastAsia="es-MX"/>
        </w:rPr>
        <mc:AlternateContent>
          <mc:Choice Requires="wps">
            <w:drawing>
              <wp:anchor distT="0" distB="0" distL="114300" distR="114300" simplePos="0" relativeHeight="251672576" behindDoc="0" locked="0" layoutInCell="1" allowOverlap="1" wp14:anchorId="4E5CB479" wp14:editId="474FAC5B">
                <wp:simplePos x="0" y="0"/>
                <wp:positionH relativeFrom="column">
                  <wp:posOffset>53340</wp:posOffset>
                </wp:positionH>
                <wp:positionV relativeFrom="paragraph">
                  <wp:posOffset>4544060</wp:posOffset>
                </wp:positionV>
                <wp:extent cx="2867025" cy="209550"/>
                <wp:effectExtent l="76200" t="38100" r="85725" b="114300"/>
                <wp:wrapNone/>
                <wp:docPr id="15" name="Rectángulo 15"/>
                <wp:cNvGraphicFramePr/>
                <a:graphic xmlns:a="http://schemas.openxmlformats.org/drawingml/2006/main">
                  <a:graphicData uri="http://schemas.microsoft.com/office/word/2010/wordprocessingShape">
                    <wps:wsp>
                      <wps:cNvSpPr/>
                      <wps:spPr>
                        <a:xfrm>
                          <a:off x="0" y="0"/>
                          <a:ext cx="2867025" cy="2095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2F4C7" id="Rectángulo 15" o:spid="_x0000_s1026" style="position:absolute;margin-left:4.2pt;margin-top:357.8pt;width:225.7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" filled="f" strokecolor="red" strokeweight="4.5pt">
                <v:shadow on="t" color="black" opacity="22937f" origin=",.5" offset="0,.63889mm"/>
              </v:rect>
            </w:pict>
          </mc:Fallback>
        </mc:AlternateContent>
      </w:r>
      <w:r w:rsidR="00250870" w:rsidRPr="00A657DC">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7B91A973" wp14:editId="2EF50FB0">
                <wp:simplePos x="0" y="0"/>
                <wp:positionH relativeFrom="column">
                  <wp:posOffset>120015</wp:posOffset>
                </wp:positionH>
                <wp:positionV relativeFrom="paragraph">
                  <wp:posOffset>4896485</wp:posOffset>
                </wp:positionV>
                <wp:extent cx="2867025" cy="209550"/>
                <wp:effectExtent l="76200" t="38100" r="85725" b="114300"/>
                <wp:wrapNone/>
                <wp:docPr id="7" name="Rectángulo 7"/>
                <wp:cNvGraphicFramePr/>
                <a:graphic xmlns:a="http://schemas.openxmlformats.org/drawingml/2006/main">
                  <a:graphicData uri="http://schemas.microsoft.com/office/word/2010/wordprocessingShape">
                    <wps:wsp>
                      <wps:cNvSpPr/>
                      <wps:spPr>
                        <a:xfrm>
                          <a:off x="0" y="0"/>
                          <a:ext cx="2867025" cy="2095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3B42A" id="Rectángulo 7" o:spid="_x0000_s1026" style="position:absolute;margin-left:9.45pt;margin-top:385.55pt;width:225.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" filled="f" strokecolor="red" strokeweight="4.5pt">
                <v:shadow on="t" color="black" opacity="22937f" origin=",.5" offset="0,.63889mm"/>
              </v:rect>
            </w:pict>
          </mc:Fallback>
        </mc:AlternateContent>
      </w:r>
      <w:r w:rsidR="00250870" w:rsidRPr="00A657DC">
        <w:rPr>
          <w:rFonts w:ascii="Palatino Linotype" w:hAnsi="Palatino Linotype" w:cs="Arial"/>
          <w:noProof/>
          <w:color w:val="000000" w:themeColor="text1"/>
          <w:lang w:val="es-MX" w:eastAsia="es-MX"/>
        </w:rPr>
        <w:drawing>
          <wp:inline distT="0" distB="0" distL="0" distR="0" wp14:anchorId="0249EE07" wp14:editId="74C27FF1">
            <wp:extent cx="5581650" cy="5153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69"/>
                    <a:stretch/>
                  </pic:blipFill>
                  <pic:spPr bwMode="auto">
                    <a:xfrm>
                      <a:off x="0" y="0"/>
                      <a:ext cx="5581650" cy="5153025"/>
                    </a:xfrm>
                    <a:prstGeom prst="rect">
                      <a:avLst/>
                    </a:prstGeom>
                    <a:noFill/>
                    <a:ln>
                      <a:noFill/>
                    </a:ln>
                    <a:extLst>
                      <a:ext uri="{53640926-AAD7-44D8-BBD7-CCE9431645EC}">
                        <a14:shadowObscured xmlns:a14="http://schemas.microsoft.com/office/drawing/2010/main"/>
                      </a:ext>
                    </a:extLst>
                  </pic:spPr>
                </pic:pic>
              </a:graphicData>
            </a:graphic>
          </wp:inline>
        </w:drawing>
      </w:r>
    </w:p>
    <w:p w14:paraId="79D58E9B" w14:textId="6DBBEA8D" w:rsidR="007D0B5C" w:rsidRPr="00A657DC" w:rsidRDefault="007D0B5C" w:rsidP="007D0B5C">
      <w:pPr>
        <w:jc w:val="both"/>
        <w:rPr>
          <w:rFonts w:ascii="Palatino Linotype" w:hAnsi="Palatino Linotype" w:cs="Arial"/>
          <w:color w:val="000000" w:themeColor="text1"/>
        </w:rPr>
      </w:pPr>
    </w:p>
    <w:p w14:paraId="7B7DD10E" w14:textId="77777777" w:rsidR="00250870" w:rsidRPr="00A657DC" w:rsidRDefault="00250870" w:rsidP="00C31F30">
      <w:pPr>
        <w:spacing w:before="240" w:after="240" w:line="360" w:lineRule="auto"/>
        <w:jc w:val="both"/>
        <w:rPr>
          <w:rFonts w:ascii="Palatino Linotype" w:hAnsi="Palatino Linotype" w:cs="Arial"/>
        </w:rPr>
      </w:pPr>
    </w:p>
    <w:p w14:paraId="24CA0072" w14:textId="78DB7AF2" w:rsidR="00250870" w:rsidRPr="00A657DC" w:rsidRDefault="00A74555" w:rsidP="00A74555">
      <w:pPr>
        <w:spacing w:before="240" w:after="240" w:line="360" w:lineRule="auto"/>
        <w:jc w:val="center"/>
        <w:rPr>
          <w:rFonts w:ascii="Palatino Linotype" w:hAnsi="Palatino Linotype" w:cs="Arial"/>
        </w:rPr>
      </w:pPr>
      <w:r w:rsidRPr="00A657DC">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70528" behindDoc="0" locked="0" layoutInCell="1" allowOverlap="1" wp14:anchorId="6B187136" wp14:editId="4C49CCA6">
                <wp:simplePos x="0" y="0"/>
                <wp:positionH relativeFrom="column">
                  <wp:posOffset>4063365</wp:posOffset>
                </wp:positionH>
                <wp:positionV relativeFrom="paragraph">
                  <wp:posOffset>3886835</wp:posOffset>
                </wp:positionV>
                <wp:extent cx="847725" cy="200025"/>
                <wp:effectExtent l="76200" t="38100" r="85725" b="123825"/>
                <wp:wrapNone/>
                <wp:docPr id="14" name="Rectángulo 14"/>
                <wp:cNvGraphicFramePr/>
                <a:graphic xmlns:a="http://schemas.openxmlformats.org/drawingml/2006/main">
                  <a:graphicData uri="http://schemas.microsoft.com/office/word/2010/wordprocessingShape">
                    <wps:wsp>
                      <wps:cNvSpPr/>
                      <wps:spPr>
                        <a:xfrm>
                          <a:off x="0" y="0"/>
                          <a:ext cx="847725"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1716" id="Rectángulo 14" o:spid="_x0000_s1026" style="position:absolute;margin-left:319.95pt;margin-top:306.05pt;width:66.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" filled="f" strokecolor="red" strokeweight="4.5pt">
                <v:shadow on="t" color="black" opacity="22937f" origin=",.5" offset="0,.63889mm"/>
              </v:rect>
            </w:pict>
          </mc:Fallback>
        </mc:AlternateContent>
      </w:r>
      <w:r w:rsidRPr="00A657DC">
        <w:rPr>
          <w:rFonts w:ascii="Palatino Linotype"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7543A7CA" wp14:editId="6CC08F7B">
                <wp:simplePos x="0" y="0"/>
                <wp:positionH relativeFrom="column">
                  <wp:posOffset>691515</wp:posOffset>
                </wp:positionH>
                <wp:positionV relativeFrom="paragraph">
                  <wp:posOffset>3886835</wp:posOffset>
                </wp:positionV>
                <wp:extent cx="3114675" cy="200025"/>
                <wp:effectExtent l="76200" t="38100" r="85725" b="123825"/>
                <wp:wrapNone/>
                <wp:docPr id="9" name="Rectángulo 9"/>
                <wp:cNvGraphicFramePr/>
                <a:graphic xmlns:a="http://schemas.openxmlformats.org/drawingml/2006/main">
                  <a:graphicData uri="http://schemas.microsoft.com/office/word/2010/wordprocessingShape">
                    <wps:wsp>
                      <wps:cNvSpPr/>
                      <wps:spPr>
                        <a:xfrm>
                          <a:off x="0" y="0"/>
                          <a:ext cx="3114675"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91DDE" id="Rectángulo 9" o:spid="_x0000_s1026" style="position:absolute;margin-left:54.45pt;margin-top:306.05pt;width:245.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" filled="f" strokecolor="red" strokeweight="4.5pt">
                <v:shadow on="t" color="black" opacity="22937f" origin=",.5" offset="0,.63889mm"/>
              </v:rect>
            </w:pict>
          </mc:Fallback>
        </mc:AlternateContent>
      </w:r>
      <w:r w:rsidR="00250870" w:rsidRPr="00A657DC">
        <w:rPr>
          <w:rFonts w:ascii="Palatino Linotype" w:hAnsi="Palatino Linotype" w:cs="Arial"/>
          <w:noProof/>
          <w:lang w:val="es-MX" w:eastAsia="es-MX"/>
        </w:rPr>
        <w:drawing>
          <wp:inline distT="0" distB="0" distL="0" distR="0" wp14:anchorId="79849261" wp14:editId="17089BD0">
            <wp:extent cx="5591175" cy="4105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239"/>
                    <a:stretch/>
                  </pic:blipFill>
                  <pic:spPr bwMode="auto">
                    <a:xfrm>
                      <a:off x="0" y="0"/>
                      <a:ext cx="5591175" cy="4105275"/>
                    </a:xfrm>
                    <a:prstGeom prst="rect">
                      <a:avLst/>
                    </a:prstGeom>
                    <a:noFill/>
                    <a:ln>
                      <a:noFill/>
                    </a:ln>
                    <a:extLst>
                      <a:ext uri="{53640926-AAD7-44D8-BBD7-CCE9431645EC}">
                        <a14:shadowObscured xmlns:a14="http://schemas.microsoft.com/office/drawing/2010/main"/>
                      </a:ext>
                    </a:extLst>
                  </pic:spPr>
                </pic:pic>
              </a:graphicData>
            </a:graphic>
          </wp:inline>
        </w:drawing>
      </w:r>
    </w:p>
    <w:p w14:paraId="747FE0B7" w14:textId="29EDAB0A" w:rsidR="00250870" w:rsidRPr="00A657DC" w:rsidRDefault="00A74555" w:rsidP="00A74555">
      <w:pPr>
        <w:spacing w:before="240" w:after="240" w:line="360" w:lineRule="auto"/>
        <w:jc w:val="center"/>
        <w:rPr>
          <w:rFonts w:ascii="Palatino Linotype" w:hAnsi="Palatino Linotype" w:cs="Arial"/>
        </w:rPr>
      </w:pPr>
      <w:r w:rsidRPr="00A657DC">
        <w:rPr>
          <w:rFonts w:ascii="Palatino Linotype" w:hAnsi="Palatino Linotype" w:cs="Arial"/>
          <w:noProof/>
          <w:color w:val="000000" w:themeColor="text1"/>
          <w:lang w:val="es-MX" w:eastAsia="es-MX"/>
        </w:rPr>
        <mc:AlternateContent>
          <mc:Choice Requires="wps">
            <w:drawing>
              <wp:anchor distT="0" distB="0" distL="114300" distR="114300" simplePos="0" relativeHeight="251676672" behindDoc="0" locked="0" layoutInCell="1" allowOverlap="1" wp14:anchorId="46CF47E0" wp14:editId="00892F71">
                <wp:simplePos x="0" y="0"/>
                <wp:positionH relativeFrom="column">
                  <wp:posOffset>1129665</wp:posOffset>
                </wp:positionH>
                <wp:positionV relativeFrom="paragraph">
                  <wp:posOffset>1726565</wp:posOffset>
                </wp:positionV>
                <wp:extent cx="2590800" cy="190500"/>
                <wp:effectExtent l="76200" t="38100" r="76200" b="114300"/>
                <wp:wrapNone/>
                <wp:docPr id="17" name="Rectángulo 17"/>
                <wp:cNvGraphicFramePr/>
                <a:graphic xmlns:a="http://schemas.openxmlformats.org/drawingml/2006/main">
                  <a:graphicData uri="http://schemas.microsoft.com/office/word/2010/wordprocessingShape">
                    <wps:wsp>
                      <wps:cNvSpPr/>
                      <wps:spPr>
                        <a:xfrm>
                          <a:off x="0" y="0"/>
                          <a:ext cx="259080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0E71D" id="Rectángulo 17" o:spid="_x0000_s1026" style="position:absolute;margin-left:88.95pt;margin-top:135.95pt;width:204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" filled="f" strokecolor="red" strokeweight="4.5pt">
                <v:shadow on="t" color="black" opacity="22937f" origin=",.5" offset="0,.63889mm"/>
              </v:rect>
            </w:pict>
          </mc:Fallback>
        </mc:AlternateContent>
      </w:r>
      <w:r w:rsidR="00250870" w:rsidRPr="00A657DC">
        <w:rPr>
          <w:rFonts w:ascii="Palatino Linotype" w:hAnsi="Palatino Linotype" w:cs="Arial"/>
          <w:noProof/>
          <w:lang w:val="es-MX" w:eastAsia="es-MX"/>
        </w:rPr>
        <w:drawing>
          <wp:inline distT="0" distB="0" distL="0" distR="0" wp14:anchorId="577EA3A5" wp14:editId="1DC75FD3">
            <wp:extent cx="5629275" cy="20574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922"/>
                    <a:stretch/>
                  </pic:blipFill>
                  <pic:spPr bwMode="auto">
                    <a:xfrm>
                      <a:off x="0" y="0"/>
                      <a:ext cx="5629275"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68DCBB5F" w14:textId="77777777" w:rsidR="00250870" w:rsidRPr="00A657DC" w:rsidRDefault="00250870" w:rsidP="00C31F30">
      <w:pPr>
        <w:spacing w:before="240" w:after="240" w:line="360" w:lineRule="auto"/>
        <w:jc w:val="both"/>
        <w:rPr>
          <w:rFonts w:ascii="Palatino Linotype" w:hAnsi="Palatino Linotype" w:cs="Arial"/>
        </w:rPr>
      </w:pPr>
    </w:p>
    <w:p w14:paraId="770D251E" w14:textId="77777777" w:rsidR="00250870" w:rsidRPr="00A657DC" w:rsidRDefault="00250870" w:rsidP="00C31F30">
      <w:pPr>
        <w:spacing w:before="240" w:after="240" w:line="360" w:lineRule="auto"/>
        <w:jc w:val="both"/>
        <w:rPr>
          <w:rFonts w:ascii="Palatino Linotype" w:hAnsi="Palatino Linotype" w:cs="Arial"/>
        </w:rPr>
      </w:pPr>
    </w:p>
    <w:p w14:paraId="734009B1" w14:textId="77777777" w:rsidR="000343A1" w:rsidRPr="00A657DC" w:rsidRDefault="000343A1" w:rsidP="000343A1">
      <w:pPr>
        <w:spacing w:before="240" w:after="240" w:line="360" w:lineRule="auto"/>
        <w:jc w:val="both"/>
      </w:pPr>
      <w:r w:rsidRPr="00A657DC">
        <w:rPr>
          <w:rFonts w:ascii="Palatino Linotype" w:hAnsi="Palatino Linotype"/>
        </w:rPr>
        <w:lastRenderedPageBreak/>
        <w:t xml:space="preserve">Por lo anterior, tenemos que de acuerdo con lo previsto por el Diccionario de Contabilidad y Sistemas de Información, publicado por el  Centro Universitario de Ciencias Económico Administrativas de la Universidad de Guadalajara, (consultado en el link </w:t>
      </w:r>
      <w:hyperlink r:id="rId18" w:history="1">
        <w:r w:rsidRPr="00A657DC">
          <w:rPr>
            <w:rStyle w:val="Hipervnculo"/>
            <w:rFonts w:ascii="Palatino Linotype" w:hAnsi="Palatino Linotype"/>
            <w:sz w:val="20"/>
          </w:rPr>
          <w:t>http://www.cucea.udg.mx/include/publicaciones_drupal/pdfs/diccionariocontaysist.pd</w:t>
        </w:r>
        <w:r w:rsidRPr="00A657DC">
          <w:rPr>
            <w:rStyle w:val="Hipervnculo"/>
            <w:rFonts w:ascii="Palatino Linotype" w:hAnsi="Palatino Linotype"/>
          </w:rPr>
          <w:t>f</w:t>
        </w:r>
      </w:hyperlink>
      <w:r w:rsidRPr="00A657DC">
        <w:rPr>
          <w:rFonts w:ascii="Palatino Linotype" w:hAnsi="Palatino Linotype"/>
        </w:rPr>
        <w:t xml:space="preserve"> se entiende por  Balanza de Comprobación  al  estado financiero auxiliar de la contabilidad, por virtud del cual se presentan los movimientos y saldos de cada periodo.</w:t>
      </w:r>
    </w:p>
    <w:p w14:paraId="4E6B4EB1" w14:textId="4F11111A" w:rsidR="000343A1" w:rsidRPr="00A657DC" w:rsidRDefault="00E211A1" w:rsidP="000343A1">
      <w:pPr>
        <w:spacing w:before="240" w:after="240" w:line="360" w:lineRule="auto"/>
        <w:jc w:val="both"/>
        <w:rPr>
          <w:rFonts w:ascii="Palatino Linotype" w:hAnsi="Palatino Linotype"/>
        </w:rPr>
      </w:pPr>
      <w:r w:rsidRPr="00A657DC">
        <w:rPr>
          <w:rFonts w:ascii="Palatino Linotype" w:hAnsi="Palatino Linotype"/>
        </w:rPr>
        <w:t>Además</w:t>
      </w:r>
      <w:r w:rsidR="000343A1" w:rsidRPr="00A657DC">
        <w:rPr>
          <w:rFonts w:ascii="Palatino Linotype" w:hAnsi="Palatino Linotype"/>
        </w:rPr>
        <w:t xml:space="preserve">, del mismo documento se precisa que se entiende por </w:t>
      </w:r>
      <w:r w:rsidR="000343A1" w:rsidRPr="00A657DC">
        <w:rPr>
          <w:rFonts w:ascii="Palatino Linotype" w:hAnsi="Palatino Linotype"/>
          <w:b/>
          <w:u w:val="single"/>
        </w:rPr>
        <w:t>“debe” una salida</w:t>
      </w:r>
      <w:r w:rsidR="000343A1" w:rsidRPr="00A657DC">
        <w:rPr>
          <w:rFonts w:ascii="Palatino Linotype" w:hAnsi="Palatino Linotype"/>
        </w:rPr>
        <w:t xml:space="preserve">, que se carga al titular de la cuenta como una deuda. Se asienta a la izquierda del </w:t>
      </w:r>
      <w:r w:rsidR="000343A1" w:rsidRPr="00A657DC">
        <w:rPr>
          <w:rFonts w:ascii="Palatino Linotype" w:hAnsi="Palatino Linotype"/>
          <w:b/>
          <w:u w:val="single"/>
        </w:rPr>
        <w:t>haber. En él se anotan las entradas</w:t>
      </w:r>
      <w:r w:rsidR="000343A1" w:rsidRPr="00A657DC">
        <w:rPr>
          <w:rFonts w:ascii="Palatino Linotype" w:hAnsi="Palatino Linotype"/>
        </w:rPr>
        <w:t>, si la cuenta es de activo; las disminuciones, si es de pasivo; y los gastos y pérdidas, si es de pérdidas y ganancias.</w:t>
      </w:r>
    </w:p>
    <w:p w14:paraId="5E3E067B" w14:textId="3A42A9BC" w:rsidR="000343A1" w:rsidRPr="00A657DC" w:rsidRDefault="000343A1" w:rsidP="000343A1">
      <w:pPr>
        <w:spacing w:before="240" w:after="240" w:line="360" w:lineRule="auto"/>
        <w:jc w:val="both"/>
        <w:rPr>
          <w:rFonts w:ascii="Palatino Linotype" w:hAnsi="Palatino Linotype" w:cs="Arial"/>
        </w:rPr>
      </w:pPr>
      <w:r w:rsidRPr="00A657DC">
        <w:rPr>
          <w:rFonts w:ascii="Palatino Linotype" w:hAnsi="Palatino Linotype" w:cs="Arial"/>
        </w:rPr>
        <w:t xml:space="preserve">De lo anterior, se precisa que dentro de los soportes documentales entregados por el SUJETO OBLIGADO  se contiene el </w:t>
      </w:r>
      <w:r w:rsidRPr="00A657DC">
        <w:rPr>
          <w:rFonts w:ascii="Palatino Linotype" w:hAnsi="Palatino Linotype" w:cs="Arial"/>
          <w:b/>
          <w:i/>
        </w:rPr>
        <w:t xml:space="preserve">haber </w:t>
      </w:r>
      <w:r w:rsidRPr="00A657DC">
        <w:rPr>
          <w:rFonts w:ascii="Palatino Linotype" w:hAnsi="Palatino Linotype" w:cs="Arial"/>
        </w:rPr>
        <w:t xml:space="preserve"> con motivo </w:t>
      </w:r>
      <w:r w:rsidRPr="00A657DC">
        <w:rPr>
          <w:rFonts w:ascii="Palatino Linotype" w:hAnsi="Palatino Linotype" w:cs="Arial"/>
          <w:color w:val="000000" w:themeColor="text1"/>
        </w:rPr>
        <w:t>proyecto denominado “</w:t>
      </w:r>
      <w:r w:rsidRPr="00A657DC">
        <w:rPr>
          <w:rFonts w:ascii="Palatino Linotype" w:hAnsi="Palatino Linotype" w:cs="Arial"/>
          <w:i/>
          <w:color w:val="000000" w:themeColor="text1"/>
        </w:rPr>
        <w:t>Experiencia Nocturna</w:t>
      </w:r>
      <w:r w:rsidRPr="00A657DC">
        <w:rPr>
          <w:rFonts w:ascii="Palatino Linotype" w:hAnsi="Palatino Linotype" w:cs="Arial"/>
          <w:color w:val="000000" w:themeColor="text1"/>
        </w:rPr>
        <w:t xml:space="preserve">”  </w:t>
      </w:r>
      <w:r w:rsidRPr="00A657DC">
        <w:rPr>
          <w:rFonts w:ascii="Palatino Linotype" w:hAnsi="Palatino Linotype" w:cs="Arial"/>
          <w:b/>
          <w:color w:val="000000" w:themeColor="text1"/>
          <w:u w:val="single"/>
        </w:rPr>
        <w:t>sin embargo no se tiene precisión de cuál es la cantidad de ingresos con motivo de la ejecución de dicho proyecto en consideración  a que dentro del documento se contienen tres conceptos denominados “haber”</w:t>
      </w:r>
      <w:r w:rsidRPr="00A657DC">
        <w:rPr>
          <w:rFonts w:ascii="Palatino Linotype" w:hAnsi="Palatino Linotype" w:cs="Arial"/>
          <w:color w:val="000000" w:themeColor="text1"/>
        </w:rPr>
        <w:t xml:space="preserve"> sin que se tenga claridad cuál de los mismos hacen referencia al requerimi</w:t>
      </w:r>
      <w:r w:rsidR="006561B1">
        <w:rPr>
          <w:rFonts w:ascii="Palatino Linotype" w:hAnsi="Palatino Linotype" w:cs="Arial"/>
          <w:color w:val="000000" w:themeColor="text1"/>
        </w:rPr>
        <w:t>ento aludido por el particular; de ahí que con las balanzas de comprobación detalladas enviadas en informe justificado no se tiene colmando el derecho de acceso a la información del particular, en cuanto a este punto.</w:t>
      </w:r>
    </w:p>
    <w:p w14:paraId="4FF86688" w14:textId="77777777" w:rsidR="006561B1" w:rsidRDefault="006561B1" w:rsidP="00C31F30">
      <w:pPr>
        <w:spacing w:before="240" w:after="240" w:line="360" w:lineRule="auto"/>
        <w:jc w:val="both"/>
        <w:rPr>
          <w:rFonts w:ascii="Palatino Linotype" w:hAnsi="Palatino Linotype" w:cs="Arial"/>
          <w:color w:val="000000" w:themeColor="text1"/>
        </w:rPr>
      </w:pPr>
      <w:r>
        <w:rPr>
          <w:rFonts w:ascii="Palatino Linotype" w:hAnsi="Palatino Linotype" w:cs="Arial"/>
        </w:rPr>
        <w:t>No obstante</w:t>
      </w:r>
      <w:r w:rsidR="00DB3631" w:rsidRPr="00A657DC">
        <w:rPr>
          <w:rFonts w:ascii="Palatino Linotype" w:hAnsi="Palatino Linotype" w:cs="Arial"/>
        </w:rPr>
        <w:t>, de las ligas electrónicas donde se contiene l</w:t>
      </w:r>
      <w:r w:rsidR="00DB3631" w:rsidRPr="00A657DC">
        <w:rPr>
          <w:rFonts w:ascii="Palatino Linotype" w:hAnsi="Palatino Linotype" w:cs="Arial"/>
          <w:color w:val="000000" w:themeColor="text1"/>
        </w:rPr>
        <w:t xml:space="preserve">a Cuenta Pública de los ejercicios fiscales del periodo 2016 a 2020 de la extinta Comisión para el Desarrollo Turístico del Valle de Teotihuacán, </w:t>
      </w:r>
      <w:r>
        <w:rPr>
          <w:rFonts w:ascii="Palatino Linotype" w:hAnsi="Palatino Linotype" w:cs="Arial"/>
          <w:color w:val="000000" w:themeColor="text1"/>
        </w:rPr>
        <w:t>se advirtió lo siguiente:</w:t>
      </w:r>
    </w:p>
    <w:p w14:paraId="024DA9EA" w14:textId="1B212780" w:rsidR="00F04C2F" w:rsidRDefault="00F04C2F" w:rsidP="00C31F30">
      <w:p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Año 2016:</w:t>
      </w:r>
    </w:p>
    <w:p w14:paraId="2BF32B0D" w14:textId="22325A57" w:rsidR="006561B1" w:rsidRDefault="00F04C2F" w:rsidP="00C31F30">
      <w:pPr>
        <w:spacing w:before="240" w:after="240" w:line="360" w:lineRule="auto"/>
        <w:jc w:val="both"/>
        <w:rPr>
          <w:rFonts w:ascii="Palatino Linotype" w:hAnsi="Palatino Linotype" w:cs="Arial"/>
          <w:color w:val="000000" w:themeColor="text1"/>
        </w:rPr>
      </w:pPr>
      <w:r>
        <w:rPr>
          <w:noProof/>
          <w:lang w:val="es-MX" w:eastAsia="es-MX"/>
        </w:rPr>
        <mc:AlternateContent>
          <mc:Choice Requires="wps">
            <w:drawing>
              <wp:anchor distT="0" distB="0" distL="114300" distR="114300" simplePos="0" relativeHeight="251677696" behindDoc="0" locked="0" layoutInCell="1" allowOverlap="1" wp14:anchorId="00C086C3" wp14:editId="3FF379BB">
                <wp:simplePos x="0" y="0"/>
                <wp:positionH relativeFrom="column">
                  <wp:posOffset>148936</wp:posOffset>
                </wp:positionH>
                <wp:positionV relativeFrom="paragraph">
                  <wp:posOffset>2396779</wp:posOffset>
                </wp:positionV>
                <wp:extent cx="320634" cy="279071"/>
                <wp:effectExtent l="57150" t="38100" r="22860" b="102235"/>
                <wp:wrapNone/>
                <wp:docPr id="18" name="Flecha derecha 18"/>
                <wp:cNvGraphicFramePr/>
                <a:graphic xmlns:a="http://schemas.openxmlformats.org/drawingml/2006/main">
                  <a:graphicData uri="http://schemas.microsoft.com/office/word/2010/wordprocessingShape">
                    <wps:wsp>
                      <wps:cNvSpPr/>
                      <wps:spPr>
                        <a:xfrm>
                          <a:off x="0" y="0"/>
                          <a:ext cx="320634" cy="27907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DCA4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6" type="#_x0000_t13" style="position:absolute;margin-left:11.75pt;margin-top:188.7pt;width:25.25pt;height:2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" adj="12200"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eastAsia="es-MX"/>
        </w:rPr>
        <w:drawing>
          <wp:inline distT="0" distB="0" distL="0" distR="0" wp14:anchorId="4D28B71B" wp14:editId="4BB92DEC">
            <wp:extent cx="5686864" cy="3081646"/>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406" t="29156" r="24339" b="23796"/>
                    <a:stretch/>
                  </pic:blipFill>
                  <pic:spPr bwMode="auto">
                    <a:xfrm>
                      <a:off x="0" y="0"/>
                      <a:ext cx="5722131" cy="3100757"/>
                    </a:xfrm>
                    <a:prstGeom prst="rect">
                      <a:avLst/>
                    </a:prstGeom>
                    <a:ln>
                      <a:noFill/>
                    </a:ln>
                    <a:extLst>
                      <a:ext uri="{53640926-AAD7-44D8-BBD7-CCE9431645EC}">
                        <a14:shadowObscured xmlns:a14="http://schemas.microsoft.com/office/drawing/2010/main"/>
                      </a:ext>
                    </a:extLst>
                  </pic:spPr>
                </pic:pic>
              </a:graphicData>
            </a:graphic>
          </wp:inline>
        </w:drawing>
      </w:r>
    </w:p>
    <w:p w14:paraId="1C9CCBBB" w14:textId="531150A6" w:rsidR="00F04C2F" w:rsidRDefault="00F04C2F" w:rsidP="00C31F30">
      <w:p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Año 2017:</w:t>
      </w:r>
    </w:p>
    <w:p w14:paraId="5A4FC6FF" w14:textId="0BBD3D5E" w:rsidR="00F04C2F" w:rsidRDefault="00F04C2F" w:rsidP="00C31F30">
      <w:pPr>
        <w:spacing w:before="240" w:after="240" w:line="360" w:lineRule="auto"/>
        <w:jc w:val="both"/>
        <w:rPr>
          <w:rFonts w:ascii="Palatino Linotype" w:hAnsi="Palatino Linotype" w:cs="Arial"/>
          <w:color w:val="000000" w:themeColor="text1"/>
        </w:rPr>
      </w:pPr>
      <w:r>
        <w:rPr>
          <w:noProof/>
          <w:lang w:val="es-MX" w:eastAsia="es-MX"/>
        </w:rPr>
        <mc:AlternateContent>
          <mc:Choice Requires="wps">
            <w:drawing>
              <wp:anchor distT="0" distB="0" distL="114300" distR="114300" simplePos="0" relativeHeight="251679744" behindDoc="0" locked="0" layoutInCell="1" allowOverlap="1" wp14:anchorId="1409AC0A" wp14:editId="2DAAFDF0">
                <wp:simplePos x="0" y="0"/>
                <wp:positionH relativeFrom="column">
                  <wp:posOffset>213550</wp:posOffset>
                </wp:positionH>
                <wp:positionV relativeFrom="paragraph">
                  <wp:posOffset>2382141</wp:posOffset>
                </wp:positionV>
                <wp:extent cx="320634" cy="279071"/>
                <wp:effectExtent l="57150" t="38100" r="22860" b="102235"/>
                <wp:wrapNone/>
                <wp:docPr id="19" name="Flecha derecha 19"/>
                <wp:cNvGraphicFramePr/>
                <a:graphic xmlns:a="http://schemas.openxmlformats.org/drawingml/2006/main">
                  <a:graphicData uri="http://schemas.microsoft.com/office/word/2010/wordprocessingShape">
                    <wps:wsp>
                      <wps:cNvSpPr/>
                      <wps:spPr>
                        <a:xfrm>
                          <a:off x="0" y="0"/>
                          <a:ext cx="320634" cy="27907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37F2D3" id="Flecha derecha 19" o:spid="_x0000_s1026" type="#_x0000_t13" style="position:absolute;margin-left:16.8pt;margin-top:187.55pt;width:25.25pt;height:2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" adj="12200"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eastAsia="es-MX"/>
        </w:rPr>
        <w:drawing>
          <wp:inline distT="0" distB="0" distL="0" distR="0" wp14:anchorId="321608F5" wp14:editId="431E3903">
            <wp:extent cx="5663139" cy="2986644"/>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777" t="19751" r="25513" b="40730"/>
                    <a:stretch/>
                  </pic:blipFill>
                  <pic:spPr bwMode="auto">
                    <a:xfrm>
                      <a:off x="0" y="0"/>
                      <a:ext cx="5697709" cy="3004875"/>
                    </a:xfrm>
                    <a:prstGeom prst="rect">
                      <a:avLst/>
                    </a:prstGeom>
                    <a:ln>
                      <a:noFill/>
                    </a:ln>
                    <a:extLst>
                      <a:ext uri="{53640926-AAD7-44D8-BBD7-CCE9431645EC}">
                        <a14:shadowObscured xmlns:a14="http://schemas.microsoft.com/office/drawing/2010/main"/>
                      </a:ext>
                    </a:extLst>
                  </pic:spPr>
                </pic:pic>
              </a:graphicData>
            </a:graphic>
          </wp:inline>
        </w:drawing>
      </w:r>
    </w:p>
    <w:p w14:paraId="13DCB0E3" w14:textId="26E13F52" w:rsidR="00F04C2F" w:rsidRPr="00F04C2F" w:rsidRDefault="00F04C2F" w:rsidP="00C31F30">
      <w:pPr>
        <w:spacing w:before="240" w:after="240" w:line="360" w:lineRule="auto"/>
        <w:jc w:val="both"/>
        <w:rPr>
          <w:rFonts w:ascii="Palatino Linotype" w:hAnsi="Palatino Linotype" w:cs="Arial"/>
        </w:rPr>
      </w:pPr>
      <w:r w:rsidRPr="00F04C2F">
        <w:rPr>
          <w:rFonts w:ascii="Palatino Linotype" w:hAnsi="Palatino Linotype" w:cs="Arial"/>
        </w:rPr>
        <w:lastRenderedPageBreak/>
        <w:t xml:space="preserve">Año 2018: </w:t>
      </w:r>
    </w:p>
    <w:p w14:paraId="05465017" w14:textId="2A46F0C0" w:rsidR="00F04C2F" w:rsidRDefault="00F04C2F" w:rsidP="00C31F30">
      <w:pPr>
        <w:spacing w:before="240" w:after="240" w:line="360" w:lineRule="auto"/>
        <w:jc w:val="both"/>
        <w:rPr>
          <w:rFonts w:ascii="Palatino Linotype" w:hAnsi="Palatino Linotype" w:cs="Arial"/>
          <w:color w:val="FF0000"/>
        </w:rPr>
      </w:pPr>
      <w:r>
        <w:rPr>
          <w:noProof/>
          <w:lang w:val="es-MX" w:eastAsia="es-MX"/>
        </w:rPr>
        <mc:AlternateContent>
          <mc:Choice Requires="wps">
            <w:drawing>
              <wp:anchor distT="0" distB="0" distL="114300" distR="114300" simplePos="0" relativeHeight="251681792" behindDoc="0" locked="0" layoutInCell="1" allowOverlap="1" wp14:anchorId="456CA204" wp14:editId="2BE9197A">
                <wp:simplePos x="0" y="0"/>
                <wp:positionH relativeFrom="column">
                  <wp:posOffset>219520</wp:posOffset>
                </wp:positionH>
                <wp:positionV relativeFrom="paragraph">
                  <wp:posOffset>2124001</wp:posOffset>
                </wp:positionV>
                <wp:extent cx="320634" cy="279071"/>
                <wp:effectExtent l="57150" t="38100" r="22860" b="102235"/>
                <wp:wrapNone/>
                <wp:docPr id="22" name="Flecha derecha 22"/>
                <wp:cNvGraphicFramePr/>
                <a:graphic xmlns:a="http://schemas.openxmlformats.org/drawingml/2006/main">
                  <a:graphicData uri="http://schemas.microsoft.com/office/word/2010/wordprocessingShape">
                    <wps:wsp>
                      <wps:cNvSpPr/>
                      <wps:spPr>
                        <a:xfrm>
                          <a:off x="0" y="0"/>
                          <a:ext cx="320634" cy="27907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D5879" id="Flecha derecha 22" o:spid="_x0000_s1026" type="#_x0000_t13" style="position:absolute;margin-left:17.3pt;margin-top:167.25pt;width:25.25pt;height:2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" adj="12200"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eastAsia="es-MX"/>
        </w:rPr>
        <w:drawing>
          <wp:inline distT="0" distB="0" distL="0" distR="0" wp14:anchorId="2C2A0521" wp14:editId="676E324C">
            <wp:extent cx="5740558" cy="2683823"/>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093" t="27464" r="16822" b="17583"/>
                    <a:stretch/>
                  </pic:blipFill>
                  <pic:spPr bwMode="auto">
                    <a:xfrm>
                      <a:off x="0" y="0"/>
                      <a:ext cx="5757162" cy="2691586"/>
                    </a:xfrm>
                    <a:prstGeom prst="rect">
                      <a:avLst/>
                    </a:prstGeom>
                    <a:ln>
                      <a:noFill/>
                    </a:ln>
                    <a:extLst>
                      <a:ext uri="{53640926-AAD7-44D8-BBD7-CCE9431645EC}">
                        <a14:shadowObscured xmlns:a14="http://schemas.microsoft.com/office/drawing/2010/main"/>
                      </a:ext>
                    </a:extLst>
                  </pic:spPr>
                </pic:pic>
              </a:graphicData>
            </a:graphic>
          </wp:inline>
        </w:drawing>
      </w:r>
    </w:p>
    <w:p w14:paraId="147ABFFF" w14:textId="653B3E73" w:rsidR="00F04C2F" w:rsidRDefault="00F04C2F" w:rsidP="00C31F30">
      <w:pPr>
        <w:spacing w:before="240" w:after="240" w:line="360" w:lineRule="auto"/>
        <w:jc w:val="both"/>
        <w:rPr>
          <w:rFonts w:ascii="Palatino Linotype" w:hAnsi="Palatino Linotype" w:cs="Arial"/>
        </w:rPr>
      </w:pPr>
      <w:r w:rsidRPr="00F04C2F">
        <w:rPr>
          <w:rFonts w:ascii="Palatino Linotype" w:hAnsi="Palatino Linotype" w:cs="Arial"/>
        </w:rPr>
        <w:t>Año 2019:</w:t>
      </w:r>
      <w:r w:rsidRPr="00F04C2F">
        <w:rPr>
          <w:noProof/>
          <w:lang w:val="es-MX" w:eastAsia="es-MX"/>
        </w:rPr>
        <w:t xml:space="preserve"> </w:t>
      </w:r>
    </w:p>
    <w:p w14:paraId="28DBA50C" w14:textId="77777777" w:rsidR="006A46DF" w:rsidRDefault="00F04C2F" w:rsidP="00C31F30">
      <w:pPr>
        <w:spacing w:before="240" w:after="240"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83840" behindDoc="0" locked="0" layoutInCell="1" allowOverlap="1" wp14:anchorId="571F78E9" wp14:editId="007985BE">
                <wp:simplePos x="0" y="0"/>
                <wp:positionH relativeFrom="column">
                  <wp:posOffset>148268</wp:posOffset>
                </wp:positionH>
                <wp:positionV relativeFrom="paragraph">
                  <wp:posOffset>2628595</wp:posOffset>
                </wp:positionV>
                <wp:extent cx="320634" cy="279071"/>
                <wp:effectExtent l="57150" t="38100" r="22860" b="102235"/>
                <wp:wrapNone/>
                <wp:docPr id="23" name="Flecha derecha 23"/>
                <wp:cNvGraphicFramePr/>
                <a:graphic xmlns:a="http://schemas.openxmlformats.org/drawingml/2006/main">
                  <a:graphicData uri="http://schemas.microsoft.com/office/word/2010/wordprocessingShape">
                    <wps:wsp>
                      <wps:cNvSpPr/>
                      <wps:spPr>
                        <a:xfrm>
                          <a:off x="0" y="0"/>
                          <a:ext cx="320634" cy="27907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913FB" id="Flecha derecha 23" o:spid="_x0000_s1026" type="#_x0000_t13" style="position:absolute;margin-left:11.65pt;margin-top:207pt;width:25.25pt;height:2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" adj="12200"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eastAsia="es-MX"/>
        </w:rPr>
        <w:drawing>
          <wp:inline distT="0" distB="0" distL="0" distR="0" wp14:anchorId="2CF937E9" wp14:editId="3EDCB73F">
            <wp:extent cx="5622469" cy="3420093"/>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558" t="21444" r="16840" b="20980"/>
                    <a:stretch/>
                  </pic:blipFill>
                  <pic:spPr bwMode="auto">
                    <a:xfrm>
                      <a:off x="0" y="0"/>
                      <a:ext cx="5636876" cy="3428857"/>
                    </a:xfrm>
                    <a:prstGeom prst="rect">
                      <a:avLst/>
                    </a:prstGeom>
                    <a:ln>
                      <a:noFill/>
                    </a:ln>
                    <a:extLst>
                      <a:ext uri="{53640926-AAD7-44D8-BBD7-CCE9431645EC}">
                        <a14:shadowObscured xmlns:a14="http://schemas.microsoft.com/office/drawing/2010/main"/>
                      </a:ext>
                    </a:extLst>
                  </pic:spPr>
                </pic:pic>
              </a:graphicData>
            </a:graphic>
          </wp:inline>
        </w:drawing>
      </w:r>
    </w:p>
    <w:p w14:paraId="71B56F33" w14:textId="2C1FB797" w:rsidR="006A46DF" w:rsidRDefault="006A46DF" w:rsidP="00C31F30">
      <w:pPr>
        <w:spacing w:before="240" w:after="240" w:line="360" w:lineRule="auto"/>
        <w:jc w:val="both"/>
        <w:rPr>
          <w:rFonts w:ascii="Palatino Linotype" w:hAnsi="Palatino Linotype"/>
        </w:rPr>
      </w:pPr>
      <w:r>
        <w:rPr>
          <w:rFonts w:ascii="Palatino Linotype" w:hAnsi="Palatino Linotype" w:cs="Arial"/>
        </w:rPr>
        <w:lastRenderedPageBreak/>
        <w:t xml:space="preserve">En donde se advierten los ingresos obtenidos en los años 2016, 2017, 2018 y 2019, respecto </w:t>
      </w:r>
      <w:r w:rsidRPr="00A657DC">
        <w:rPr>
          <w:rFonts w:ascii="Palatino Linotype" w:hAnsi="Palatino Linotype" w:cs="Arial"/>
          <w:iCs/>
          <w:color w:val="000000" w:themeColor="text1"/>
        </w:rPr>
        <w:t>de las activ</w:t>
      </w:r>
      <w:r>
        <w:rPr>
          <w:rFonts w:ascii="Palatino Linotype" w:hAnsi="Palatino Linotype" w:cs="Arial"/>
          <w:iCs/>
          <w:color w:val="000000" w:themeColor="text1"/>
        </w:rPr>
        <w:t>idades que desarrollaba la</w:t>
      </w:r>
      <w:r w:rsidRPr="00A657DC">
        <w:rPr>
          <w:rFonts w:ascii="Palatino Linotype" w:hAnsi="Palatino Linotype" w:cs="Arial"/>
          <w:iCs/>
          <w:color w:val="000000" w:themeColor="text1"/>
        </w:rPr>
        <w:t xml:space="preserve"> </w:t>
      </w:r>
      <w:r w:rsidRPr="00A657DC">
        <w:rPr>
          <w:rFonts w:ascii="Palatino Linotype" w:hAnsi="Palatino Linotype"/>
        </w:rPr>
        <w:t xml:space="preserve">Comisión para el Desarrollo Turístico del Valle de Teotihuacán </w:t>
      </w:r>
      <w:r>
        <w:rPr>
          <w:rFonts w:ascii="Palatino Linotype" w:hAnsi="Palatino Linotype"/>
        </w:rPr>
        <w:t>respecto del</w:t>
      </w:r>
      <w:r w:rsidRPr="00A657DC">
        <w:rPr>
          <w:rFonts w:ascii="Palatino Linotype" w:hAnsi="Palatino Linotype"/>
        </w:rPr>
        <w:t xml:space="preserve"> proyecto denominado “</w:t>
      </w:r>
      <w:r w:rsidRPr="00A657DC">
        <w:rPr>
          <w:rFonts w:ascii="Palatino Linotype" w:hAnsi="Palatino Linotype"/>
          <w:i/>
        </w:rPr>
        <w:t>Experiencia Nocturna</w:t>
      </w:r>
      <w:r w:rsidRPr="00A657DC">
        <w:rPr>
          <w:rFonts w:ascii="Palatino Linotype" w:hAnsi="Palatino Linotype"/>
        </w:rPr>
        <w:t>”</w:t>
      </w:r>
      <w:r>
        <w:rPr>
          <w:rFonts w:ascii="Palatino Linotype" w:hAnsi="Palatino Linotype"/>
        </w:rPr>
        <w:t>, colmando así el derecho de acceso a la información pública del recurrente.</w:t>
      </w:r>
    </w:p>
    <w:p w14:paraId="633343F9" w14:textId="0E7BDE9C" w:rsidR="00A24E75" w:rsidRDefault="006A46DF" w:rsidP="006A46DF">
      <w:pPr>
        <w:autoSpaceDE w:val="0"/>
        <w:autoSpaceDN w:val="0"/>
        <w:adjustRightInd w:val="0"/>
        <w:spacing w:before="240" w:after="240" w:line="360" w:lineRule="auto"/>
        <w:jc w:val="both"/>
        <w:rPr>
          <w:rFonts w:ascii="Palatino Linotype" w:hAnsi="Palatino Linotype" w:cs="Arial"/>
          <w:i/>
          <w:sz w:val="22"/>
          <w:szCs w:val="22"/>
        </w:rPr>
      </w:pPr>
      <w:r>
        <w:rPr>
          <w:rFonts w:ascii="Palatino Linotype" w:hAnsi="Palatino Linotype"/>
        </w:rPr>
        <w:t>De ahí que</w:t>
      </w:r>
      <w:r w:rsidRPr="00A3483A">
        <w:rPr>
          <w:rFonts w:ascii="Palatino Linotype" w:hAnsi="Palatino Linotype"/>
        </w:rPr>
        <w:t xml:space="preserve">, con </w:t>
      </w:r>
      <w:r>
        <w:rPr>
          <w:rFonts w:ascii="Palatino Linotype" w:hAnsi="Palatino Linotype"/>
        </w:rPr>
        <w:t>el</w:t>
      </w:r>
      <w:r w:rsidRPr="00A3483A">
        <w:rPr>
          <w:rFonts w:ascii="Palatino Linotype" w:hAnsi="Palatino Linotype"/>
        </w:rPr>
        <w:t xml:space="preserve"> archivo electrónico enviado por el Sujeto Obligado en el apartado de manifestaciones del Sistema de Acceso a la Información Mexiquense</w:t>
      </w:r>
      <w:r w:rsidRPr="00513B76">
        <w:rPr>
          <w:rFonts w:ascii="Palatino Linotype" w:hAnsi="Palatino Linotype"/>
        </w:rPr>
        <w:t xml:space="preserve">, </w:t>
      </w:r>
      <w:r w:rsidR="00A24E75">
        <w:rPr>
          <w:rFonts w:ascii="Palatino Linotype" w:eastAsia="Calibri" w:hAnsi="Palatino Linotype" w:cs="Arial"/>
        </w:rPr>
        <w:t>modifica</w:t>
      </w:r>
      <w:r>
        <w:rPr>
          <w:rFonts w:ascii="Palatino Linotype" w:eastAsia="Calibri" w:hAnsi="Palatino Linotype" w:cs="Arial"/>
        </w:rPr>
        <w:t xml:space="preserve"> respuesta, al remitir el documento, en donde consta </w:t>
      </w:r>
      <w:r w:rsidR="00A24E75">
        <w:rPr>
          <w:rFonts w:ascii="Palatino Linotype" w:eastAsia="Calibri" w:hAnsi="Palatino Linotype" w:cs="Arial"/>
        </w:rPr>
        <w:t>l</w:t>
      </w:r>
      <w:r w:rsidR="00A24E75" w:rsidRPr="00A24E75">
        <w:rPr>
          <w:rFonts w:ascii="Palatino Linotype" w:eastAsia="Calibri" w:hAnsi="Palatino Linotype" w:cs="Arial"/>
        </w:rPr>
        <w:t>os ingresos obtenidos con motivo del proyecto “Experiencia Nocturna” en Teotihuacán desde a partir de su inicio.</w:t>
      </w:r>
    </w:p>
    <w:p w14:paraId="4E8B147D" w14:textId="77777777" w:rsidR="006A46DF" w:rsidRDefault="006A46DF" w:rsidP="006A46DF">
      <w:pPr>
        <w:autoSpaceDE w:val="0"/>
        <w:autoSpaceDN w:val="0"/>
        <w:adjustRightInd w:val="0"/>
        <w:spacing w:before="240" w:after="240" w:line="360" w:lineRule="auto"/>
        <w:jc w:val="both"/>
        <w:rPr>
          <w:rFonts w:ascii="Palatino Linotype" w:hAnsi="Palatino Linotype"/>
          <w:lang w:eastAsia="es-MX"/>
        </w:rPr>
      </w:pPr>
      <w:r>
        <w:rPr>
          <w:rFonts w:ascii="Palatino Linotype" w:hAnsi="Palatino Linotype"/>
        </w:rPr>
        <w:t xml:space="preserve">Además, debe mencionarse que, al </w:t>
      </w:r>
      <w:r>
        <w:rPr>
          <w:rFonts w:ascii="Palatino Linotype" w:hAnsi="Palatino Linotype"/>
          <w:lang w:eastAsia="es-MX"/>
        </w:rPr>
        <w:t xml:space="preserve">haber un pronunciamiento por parte del </w:t>
      </w:r>
      <w:r>
        <w:rPr>
          <w:rFonts w:ascii="Palatino Linotype" w:hAnsi="Palatino Linotype"/>
          <w:b/>
          <w:lang w:eastAsia="es-MX"/>
        </w:rPr>
        <w:t>Sujeto Obligado</w:t>
      </w:r>
      <w:r>
        <w:rPr>
          <w:rFonts w:ascii="Palatino Linotype" w:hAnsi="Palatino Linotype"/>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489DDE92" w14:textId="77777777" w:rsidR="006A46DF" w:rsidRDefault="006A46DF" w:rsidP="006A46DF">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w:t>
      </w:r>
      <w:r>
        <w:rPr>
          <w:rFonts w:ascii="Palatino Linotype" w:hAnsi="Palatino Linotype"/>
          <w:i/>
          <w:sz w:val="22"/>
          <w:szCs w:val="22"/>
        </w:rPr>
        <w:lastRenderedPageBreak/>
        <w:t>49 y 50 de la Ley Federal de Transparencia y Acceso a la Información Pública Gubernamental no se prevé una causal que permita al Instituto Federal de Acceso a la Información y Protección de Datos conocer, vía recurso revisión, al respecto.”</w:t>
      </w:r>
    </w:p>
    <w:p w14:paraId="6B7054BD" w14:textId="77777777" w:rsidR="006A46DF" w:rsidRDefault="006A46DF" w:rsidP="006A46DF">
      <w:pPr>
        <w:pStyle w:val="Prrafodelista"/>
        <w:autoSpaceDE w:val="0"/>
        <w:autoSpaceDN w:val="0"/>
        <w:adjustRightInd w:val="0"/>
        <w:spacing w:line="360" w:lineRule="auto"/>
        <w:ind w:left="0"/>
        <w:jc w:val="both"/>
        <w:rPr>
          <w:rFonts w:ascii="Palatino Linotype" w:hAnsi="Palatino Linotype" w:cs="Arial"/>
        </w:rPr>
      </w:pPr>
    </w:p>
    <w:p w14:paraId="4F6FBE5C" w14:textId="77777777" w:rsidR="006A46DF" w:rsidRDefault="006A46DF" w:rsidP="006A46DF">
      <w:pPr>
        <w:pStyle w:val="Prrafodelista"/>
        <w:autoSpaceDE w:val="0"/>
        <w:autoSpaceDN w:val="0"/>
        <w:adjustRightInd w:val="0"/>
        <w:spacing w:line="360" w:lineRule="auto"/>
        <w:ind w:left="0"/>
        <w:jc w:val="both"/>
        <w:rPr>
          <w:rFonts w:ascii="Palatino Linotype" w:hAnsi="Palatino Linotype" w:cs="Arial"/>
        </w:rPr>
      </w:pPr>
      <w:r w:rsidRPr="00D53C9E">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4117C96F" w14:textId="77777777" w:rsidR="00A24E75" w:rsidRDefault="00A24E75" w:rsidP="006A46DF">
      <w:pPr>
        <w:pStyle w:val="Prrafodelista"/>
        <w:autoSpaceDE w:val="0"/>
        <w:autoSpaceDN w:val="0"/>
        <w:adjustRightInd w:val="0"/>
        <w:spacing w:line="360" w:lineRule="auto"/>
        <w:ind w:left="0"/>
        <w:jc w:val="both"/>
        <w:rPr>
          <w:rFonts w:ascii="Palatino Linotype" w:hAnsi="Palatino Linotype" w:cs="Arial"/>
        </w:rPr>
      </w:pPr>
    </w:p>
    <w:p w14:paraId="72086CC6" w14:textId="70414D18" w:rsidR="00A24E75" w:rsidRDefault="00A24E75" w:rsidP="00A24E75">
      <w:pPr>
        <w:spacing w:line="360" w:lineRule="auto"/>
        <w:jc w:val="both"/>
        <w:rPr>
          <w:rFonts w:ascii="Palatino Linotype" w:hAnsi="Palatino Linotype" w:cs="Arial"/>
          <w:iCs/>
          <w:color w:val="000000" w:themeColor="text1"/>
        </w:rPr>
      </w:pPr>
      <w:r>
        <w:rPr>
          <w:rFonts w:ascii="Palatino Linotype" w:hAnsi="Palatino Linotype" w:cs="Arial"/>
        </w:rPr>
        <w:t xml:space="preserve">En pertinente aclarar que respecto de los ingresos </w:t>
      </w:r>
      <w:r w:rsidRPr="00A24E75">
        <w:rPr>
          <w:rFonts w:ascii="Palatino Linotype" w:eastAsia="Calibri" w:hAnsi="Palatino Linotype" w:cs="Arial"/>
        </w:rPr>
        <w:t>obtenidos con motivo del proyecto “Experiencia Nocturna” en Teotihuacán</w:t>
      </w:r>
      <w:r>
        <w:rPr>
          <w:rFonts w:ascii="Palatino Linotype" w:eastAsia="Calibri" w:hAnsi="Palatino Linotype" w:cs="Arial"/>
        </w:rPr>
        <w:t xml:space="preserve">, en el año 2020, en respuesta el Sujeto Obligado señaló que derivado del acuerdo de </w:t>
      </w:r>
      <w:r w:rsidRPr="00A657DC">
        <w:rPr>
          <w:rFonts w:ascii="Palatino Linotype" w:hAnsi="Palatino Linotype" w:cs="Arial"/>
          <w:iCs/>
          <w:color w:val="000000" w:themeColor="text1"/>
        </w:rPr>
        <w:t>las medidas preventivas y de seguridad en materia sanitaria, para evitar un posible contagio del coronavirus (covid-19), en el Estado de México, emitido por la Comisión para la Protección contra Riesgos Sanitarios del Estado de México el 23 de marzo de 2020, no se han percibido ingr</w:t>
      </w:r>
      <w:r>
        <w:rPr>
          <w:rFonts w:ascii="Palatino Linotype" w:hAnsi="Palatino Linotype" w:cs="Arial"/>
          <w:iCs/>
          <w:color w:val="000000" w:themeColor="text1"/>
        </w:rPr>
        <w:t>esos por el proyecto en comento, lo que se robustece con la liga electrónica proporcionada por el Sujeto Obligado en informe justificado (</w:t>
      </w:r>
      <w:hyperlink r:id="rId23" w:history="1">
        <w:r w:rsidRPr="00AC78BC">
          <w:rPr>
            <w:rStyle w:val="Hipervnculo"/>
            <w:rFonts w:ascii="Palatino Linotype" w:hAnsi="Palatino Linotype" w:cs="Arial"/>
            <w:iCs/>
          </w:rPr>
          <w:t>https://transparenciafiscal.edomex.gob.mx/sites/transparenciafiscal.edomex.gob.mx/files/files/pdf/rendicion-cuentas/cuenta-publica-2020/TomoX/COVATE.pdf</w:t>
        </w:r>
      </w:hyperlink>
      <w:r>
        <w:rPr>
          <w:rFonts w:ascii="Palatino Linotype" w:hAnsi="Palatino Linotype" w:cs="Arial"/>
          <w:iCs/>
          <w:color w:val="000000" w:themeColor="text1"/>
        </w:rPr>
        <w:t>), consistente en la cuenta pública de la Comisión para el Desarrollo Turístico d</w:t>
      </w:r>
      <w:r w:rsidR="00970D81">
        <w:rPr>
          <w:rFonts w:ascii="Palatino Linotype" w:hAnsi="Palatino Linotype" w:cs="Arial"/>
          <w:iCs/>
          <w:color w:val="000000" w:themeColor="text1"/>
        </w:rPr>
        <w:t>el Valle d</w:t>
      </w:r>
      <w:r w:rsidRPr="00A24E75">
        <w:rPr>
          <w:rFonts w:ascii="Palatino Linotype" w:hAnsi="Palatino Linotype" w:cs="Arial"/>
          <w:iCs/>
          <w:color w:val="000000" w:themeColor="text1"/>
        </w:rPr>
        <w:t>e Teotihuacán</w:t>
      </w:r>
      <w:r>
        <w:rPr>
          <w:rFonts w:ascii="Palatino Linotype" w:hAnsi="Palatino Linotype" w:cs="Arial"/>
          <w:iCs/>
          <w:color w:val="000000" w:themeColor="text1"/>
        </w:rPr>
        <w:t xml:space="preserve"> para el ejercicio fiscal 2020, en la  en donde se localizó en su página 44 último párrafo lo siguiente:</w:t>
      </w:r>
    </w:p>
    <w:p w14:paraId="6112BF6B" w14:textId="77777777" w:rsidR="00A24E75" w:rsidRDefault="00A24E75" w:rsidP="00A24E75">
      <w:pPr>
        <w:spacing w:line="360" w:lineRule="auto"/>
        <w:jc w:val="both"/>
        <w:rPr>
          <w:rFonts w:ascii="Palatino Linotype" w:hAnsi="Palatino Linotype" w:cs="Arial"/>
          <w:iCs/>
          <w:color w:val="000000" w:themeColor="text1"/>
        </w:rPr>
      </w:pPr>
    </w:p>
    <w:p w14:paraId="27464CFB" w14:textId="77777777" w:rsidR="00A24E75" w:rsidRDefault="00A24E75" w:rsidP="00A24E75">
      <w:pPr>
        <w:spacing w:line="360" w:lineRule="auto"/>
        <w:jc w:val="both"/>
        <w:rPr>
          <w:rFonts w:ascii="Palatino Linotype" w:hAnsi="Palatino Linotype" w:cs="Arial"/>
          <w:iCs/>
          <w:color w:val="000000" w:themeColor="text1"/>
        </w:rPr>
      </w:pPr>
    </w:p>
    <w:p w14:paraId="4F03FC3E" w14:textId="2B256EE2" w:rsidR="00A24E75" w:rsidRPr="00A24E75" w:rsidRDefault="00A24E75" w:rsidP="00A24E75">
      <w:pPr>
        <w:spacing w:before="120" w:after="120"/>
        <w:ind w:left="851" w:right="851"/>
        <w:jc w:val="both"/>
        <w:rPr>
          <w:rFonts w:ascii="Palatino Linotype" w:hAnsi="Palatino Linotype"/>
          <w:i/>
          <w:sz w:val="22"/>
          <w:szCs w:val="22"/>
        </w:rPr>
      </w:pPr>
      <w:r>
        <w:rPr>
          <w:rFonts w:ascii="Palatino Linotype" w:hAnsi="Palatino Linotype"/>
          <w:i/>
          <w:sz w:val="22"/>
          <w:szCs w:val="22"/>
        </w:rPr>
        <w:lastRenderedPageBreak/>
        <w:t>“</w:t>
      </w:r>
      <w:r w:rsidRPr="00A24E75">
        <w:rPr>
          <w:rFonts w:ascii="Palatino Linotype" w:hAnsi="Palatino Linotype"/>
          <w:i/>
          <w:sz w:val="22"/>
          <w:szCs w:val="22"/>
        </w:rPr>
        <w:t xml:space="preserve">Con el evento de Experiencia Nocturna en </w:t>
      </w:r>
      <w:proofErr w:type="spellStart"/>
      <w:r w:rsidRPr="00A24E75">
        <w:rPr>
          <w:rFonts w:ascii="Palatino Linotype" w:hAnsi="Palatino Linotype"/>
          <w:i/>
          <w:sz w:val="22"/>
          <w:szCs w:val="22"/>
        </w:rPr>
        <w:t>Teotihuacan</w:t>
      </w:r>
      <w:proofErr w:type="spellEnd"/>
      <w:r w:rsidRPr="00A24E75">
        <w:rPr>
          <w:rFonts w:ascii="Palatino Linotype" w:hAnsi="Palatino Linotype"/>
          <w:i/>
          <w:sz w:val="22"/>
          <w:szCs w:val="22"/>
        </w:rPr>
        <w:t xml:space="preserve">, la derrama económica se ha ido incrementando, para los prestadores de Servicios Turísticos, la ocupación Hotelera en fines de semana se ha mantenido en su totalidad ocupada, los Restaurantes y pequeños comercios de Artesanías, incrementaron sus ventas y con ello se generaron fuentes de empleo sobre todo para los Estudiantes que laboran únicamente los fines de semana. Se tenían previstos realizar 133 eventos, logrando alcanzar la meta programada de 33 eventos, actualmente los eventos se realizan los días jueves, viernes, sábados y lunes y </w:t>
      </w:r>
      <w:r w:rsidRPr="00A24E75">
        <w:rPr>
          <w:rFonts w:ascii="Palatino Linotype" w:hAnsi="Palatino Linotype"/>
          <w:b/>
          <w:i/>
          <w:sz w:val="22"/>
          <w:szCs w:val="22"/>
        </w:rPr>
        <w:t>no se logró la meta debido a la Contingencia Sanitaria por Virus SARS-COV2 (covid-19)” (Sic)</w:t>
      </w:r>
    </w:p>
    <w:p w14:paraId="66F0C62A" w14:textId="77777777" w:rsidR="00A24E75" w:rsidRDefault="00A24E75" w:rsidP="00A24E75">
      <w:pPr>
        <w:spacing w:line="360" w:lineRule="auto"/>
        <w:jc w:val="both"/>
        <w:rPr>
          <w:rFonts w:ascii="Palatino Linotype" w:hAnsi="Palatino Linotype" w:cs="Arial"/>
          <w:iCs/>
          <w:color w:val="000000" w:themeColor="text1"/>
        </w:rPr>
      </w:pPr>
    </w:p>
    <w:p w14:paraId="15FEEB86" w14:textId="77777777" w:rsidR="00452EC7" w:rsidRPr="0080063A" w:rsidRDefault="003A2E73" w:rsidP="00452EC7">
      <w:pPr>
        <w:autoSpaceDE w:val="0"/>
        <w:autoSpaceDN w:val="0"/>
        <w:adjustRightInd w:val="0"/>
        <w:spacing w:line="360" w:lineRule="auto"/>
        <w:jc w:val="both"/>
        <w:rPr>
          <w:rFonts w:ascii="Palatino Linotype" w:hAnsi="Palatino Linotype" w:cs="Arial"/>
        </w:rPr>
      </w:pPr>
      <w:r>
        <w:rPr>
          <w:rFonts w:ascii="Palatino Linotype" w:hAnsi="Palatino Linotype" w:cs="Arial"/>
        </w:rPr>
        <w:t>Circunstancia q</w:t>
      </w:r>
      <w:r w:rsidR="00970D81">
        <w:rPr>
          <w:rFonts w:ascii="Palatino Linotype" w:hAnsi="Palatino Linotype" w:cs="Arial"/>
        </w:rPr>
        <w:t xml:space="preserve">ue se traduce en hecho negativo, </w:t>
      </w:r>
      <w:r w:rsidR="00452EC7" w:rsidRPr="0080063A">
        <w:rPr>
          <w:rFonts w:ascii="Palatino Linotype" w:hAnsi="Palatino Linotype" w:cs="Arial"/>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6F9E3C95" w14:textId="77777777" w:rsidR="00452EC7" w:rsidRPr="008F5FA7" w:rsidRDefault="00452EC7" w:rsidP="00452EC7">
      <w:pPr>
        <w:spacing w:before="120" w:after="120"/>
        <w:ind w:right="851"/>
        <w:jc w:val="center"/>
        <w:rPr>
          <w:rFonts w:ascii="Palatino Linotype" w:hAnsi="Palatino Linotype" w:cs="Arial"/>
          <w:i/>
          <w:sz w:val="22"/>
          <w:szCs w:val="22"/>
        </w:rPr>
      </w:pPr>
      <w:r>
        <w:rPr>
          <w:rFonts w:ascii="Palatino Linotype" w:hAnsi="Palatino Linotype" w:cs="Arial"/>
        </w:rPr>
        <w:t>“</w:t>
      </w:r>
      <w:r w:rsidRPr="008F5FA7">
        <w:rPr>
          <w:rFonts w:ascii="Palatino Linotype" w:hAnsi="Palatino Linotype" w:cs="Arial"/>
          <w:b/>
          <w:i/>
          <w:sz w:val="22"/>
          <w:szCs w:val="22"/>
        </w:rPr>
        <w:t>HECHOS NEGATIVOS, NO SON SUSCEPTIBLES DE DEMOSTRACIÓN</w:t>
      </w:r>
      <w:r w:rsidRPr="008F5FA7">
        <w:rPr>
          <w:rFonts w:ascii="Palatino Linotype" w:hAnsi="Palatino Linotype" w:cs="Arial"/>
          <w:i/>
          <w:sz w:val="22"/>
          <w:szCs w:val="22"/>
        </w:rPr>
        <w:t>.</w:t>
      </w:r>
    </w:p>
    <w:p w14:paraId="24871638" w14:textId="77777777" w:rsidR="00452EC7" w:rsidRPr="008F5FA7" w:rsidRDefault="00452EC7" w:rsidP="00452EC7">
      <w:pPr>
        <w:ind w:left="851" w:right="851"/>
        <w:jc w:val="both"/>
        <w:rPr>
          <w:rFonts w:ascii="Palatino Linotype" w:hAnsi="Palatino Linotype" w:cs="Arial"/>
          <w:i/>
          <w:sz w:val="22"/>
          <w:szCs w:val="22"/>
        </w:rPr>
      </w:pPr>
      <w:r w:rsidRPr="008F5FA7">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14:paraId="6D6C2002" w14:textId="77777777" w:rsidR="00452EC7" w:rsidRPr="008F5FA7" w:rsidRDefault="00452EC7" w:rsidP="00452EC7">
      <w:pPr>
        <w:ind w:left="851" w:right="851"/>
        <w:jc w:val="both"/>
        <w:rPr>
          <w:rFonts w:ascii="Palatino Linotype" w:hAnsi="Palatino Linotype" w:cs="Arial"/>
          <w:i/>
          <w:sz w:val="22"/>
          <w:szCs w:val="22"/>
        </w:rPr>
      </w:pPr>
    </w:p>
    <w:p w14:paraId="6814D95F" w14:textId="77777777" w:rsidR="00452EC7" w:rsidRPr="008F5FA7" w:rsidRDefault="00452EC7" w:rsidP="00452EC7">
      <w:pPr>
        <w:spacing w:before="120" w:after="120"/>
        <w:ind w:left="851" w:right="851"/>
        <w:jc w:val="both"/>
        <w:rPr>
          <w:rFonts w:ascii="Palatino Linotype" w:hAnsi="Palatino Linotype" w:cs="Arial"/>
          <w:i/>
          <w:sz w:val="22"/>
          <w:szCs w:val="22"/>
        </w:rPr>
      </w:pPr>
      <w:r w:rsidRPr="008F5FA7">
        <w:rPr>
          <w:rFonts w:ascii="Palatino Linotype" w:hAnsi="Palatino Linotype" w:cs="Arial"/>
          <w:i/>
          <w:sz w:val="22"/>
          <w:szCs w:val="22"/>
        </w:rPr>
        <w:t>Amparo en revisión 2022/61. José García Florín (Menor). 9 de octubre de 1961. Cinco votos. Ponente: José Rivera Pérez Campos.”</w:t>
      </w:r>
      <w:r>
        <w:rPr>
          <w:rFonts w:ascii="Palatino Linotype" w:hAnsi="Palatino Linotype" w:cs="Arial"/>
          <w:i/>
          <w:sz w:val="22"/>
          <w:szCs w:val="22"/>
        </w:rPr>
        <w:t xml:space="preserve"> (Sic)</w:t>
      </w:r>
    </w:p>
    <w:p w14:paraId="0CE6B840" w14:textId="77777777" w:rsidR="006A46DF" w:rsidRPr="00D26C76" w:rsidRDefault="006A46DF" w:rsidP="006A46DF">
      <w:pPr>
        <w:autoSpaceDE w:val="0"/>
        <w:autoSpaceDN w:val="0"/>
        <w:adjustRightInd w:val="0"/>
        <w:spacing w:before="240" w:after="240" w:line="360" w:lineRule="auto"/>
        <w:jc w:val="both"/>
        <w:rPr>
          <w:rFonts w:ascii="Palatino Linotype" w:eastAsia="Calibri" w:hAnsi="Palatino Linotype"/>
        </w:rPr>
      </w:pPr>
      <w:r>
        <w:rPr>
          <w:rFonts w:ascii="Palatino Linotype" w:eastAsia="Calibri" w:hAnsi="Palatino Linotype" w:cs="Arial"/>
        </w:rPr>
        <w:t>E</w:t>
      </w:r>
      <w:r w:rsidRPr="00513B76">
        <w:rPr>
          <w:rFonts w:ascii="Palatino Linotype" w:eastAsia="Calibri" w:hAnsi="Palatino Linotype"/>
        </w:rPr>
        <w:t>n consecuencia, se actualiza la causal de sobrese</w:t>
      </w:r>
      <w:r>
        <w:rPr>
          <w:rFonts w:ascii="Palatino Linotype" w:eastAsia="Calibri" w:hAnsi="Palatino Linotype"/>
        </w:rPr>
        <w:t>imiento prevista en la fracción III</w:t>
      </w:r>
      <w:r w:rsidRPr="00513B76">
        <w:rPr>
          <w:rFonts w:ascii="Palatino Linotype" w:eastAsia="Calibri" w:hAnsi="Palatino Linotype"/>
        </w:rPr>
        <w:t xml:space="preserve"> </w:t>
      </w:r>
      <w:r>
        <w:rPr>
          <w:rFonts w:ascii="Palatino Linotype" w:eastAsia="Calibri" w:hAnsi="Palatino Linotype"/>
        </w:rPr>
        <w:t xml:space="preserve">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14:paraId="0A372726" w14:textId="77777777" w:rsidR="006A46DF" w:rsidRDefault="006A46DF" w:rsidP="006A46DF">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14:paraId="00E5A39E" w14:textId="77777777" w:rsidR="006A46DF" w:rsidRPr="00B33B44" w:rsidRDefault="006A46DF" w:rsidP="006A46DF">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14:paraId="04C28A77" w14:textId="77777777" w:rsidR="006A46DF" w:rsidRPr="00B33B44" w:rsidRDefault="006A46DF" w:rsidP="006A46DF">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14:paraId="51A22CD1" w14:textId="77777777" w:rsidR="006A46DF" w:rsidRDefault="006A46DF" w:rsidP="006A46DF">
      <w:pPr>
        <w:spacing w:before="240" w:after="240" w:line="360" w:lineRule="auto"/>
        <w:jc w:val="both"/>
        <w:rPr>
          <w:rFonts w:ascii="Palatino Linotype" w:hAnsi="Palatino Linotype"/>
        </w:rPr>
      </w:pPr>
      <w:r>
        <w:rPr>
          <w:rFonts w:ascii="Palatino Linotype" w:hAnsi="Palatino Linotype"/>
        </w:rPr>
        <w:lastRenderedPageBreak/>
        <w:t>De lo establecido en el precepto legal citado se advierte que el sobreseimiento del recurso de revisión procede en los siguientes casos:</w:t>
      </w:r>
    </w:p>
    <w:p w14:paraId="559E2CDC" w14:textId="77777777" w:rsidR="006A46DF" w:rsidRDefault="006A46DF" w:rsidP="006A46DF">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14:paraId="302BD315" w14:textId="77777777" w:rsidR="006A46DF" w:rsidRDefault="006A46DF" w:rsidP="006A46DF">
      <w:pPr>
        <w:spacing w:before="240" w:after="240" w:line="360" w:lineRule="auto"/>
        <w:jc w:val="both"/>
        <w:rPr>
          <w:rFonts w:ascii="Palatino Linotype" w:hAnsi="Palatino Linotype"/>
        </w:rPr>
      </w:pPr>
      <w:r>
        <w:rPr>
          <w:rFonts w:ascii="Palatino Linotype" w:hAnsi="Palatino Linotype"/>
        </w:rPr>
        <w:t>b) Cuando el sujeto obligado revoque el acto impugnado.</w:t>
      </w:r>
    </w:p>
    <w:p w14:paraId="1C4D9A55" w14:textId="77777777" w:rsidR="006A46DF" w:rsidRDefault="006A46DF" w:rsidP="006A46DF">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14:paraId="68267037" w14:textId="77777777" w:rsidR="006A46DF" w:rsidRDefault="006A46DF" w:rsidP="006A46DF">
      <w:pPr>
        <w:spacing w:before="240" w:after="240" w:line="360" w:lineRule="auto"/>
        <w:jc w:val="both"/>
        <w:rPr>
          <w:rFonts w:ascii="Palatino Linotype" w:hAnsi="Palatino Linotype"/>
        </w:rPr>
      </w:pPr>
      <w:r>
        <w:rPr>
          <w:rFonts w:ascii="Palatino Linotype" w:hAnsi="Palatino Linotype"/>
        </w:rPr>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14:paraId="25ABD6CF" w14:textId="77777777" w:rsidR="006A46DF" w:rsidRDefault="006A46DF" w:rsidP="006A46DF">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14:paraId="4C5C7B18" w14:textId="77777777" w:rsidR="006A46DF" w:rsidRDefault="006A46DF" w:rsidP="006A46DF">
      <w:pPr>
        <w:spacing w:before="240" w:after="240" w:line="360" w:lineRule="auto"/>
        <w:contextualSpacing/>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14:paraId="7EFC1404" w14:textId="77777777" w:rsidR="00452EC7" w:rsidRDefault="00452EC7" w:rsidP="00452EC7">
      <w:pPr>
        <w:spacing w:before="240" w:after="240" w:line="360" w:lineRule="auto"/>
        <w:contextualSpacing/>
        <w:jc w:val="both"/>
        <w:rPr>
          <w:rFonts w:ascii="Palatino Linotype" w:hAnsi="Palatino Linotype"/>
        </w:rPr>
      </w:pPr>
    </w:p>
    <w:p w14:paraId="1FC681C1" w14:textId="77777777" w:rsidR="00452EC7" w:rsidRDefault="006A46DF" w:rsidP="00452EC7">
      <w:pPr>
        <w:autoSpaceDE w:val="0"/>
        <w:autoSpaceDN w:val="0"/>
        <w:adjustRightInd w:val="0"/>
        <w:spacing w:before="240" w:after="240" w:line="360" w:lineRule="auto"/>
        <w:jc w:val="both"/>
        <w:rPr>
          <w:rFonts w:ascii="Palatino Linotype" w:hAnsi="Palatino Linotype" w:cs="Arial"/>
          <w:i/>
          <w:sz w:val="22"/>
          <w:szCs w:val="22"/>
        </w:rPr>
      </w:pPr>
      <w:r>
        <w:rPr>
          <w:rFonts w:ascii="Palatino Linotype" w:hAnsi="Palatino Linotype"/>
        </w:rPr>
        <w:t xml:space="preserve">En tanto, en el presente caso queda sin materia toda vez que en el Informe Justificado </w:t>
      </w:r>
      <w:r w:rsidRPr="00850BC3">
        <w:rPr>
          <w:rFonts w:ascii="Palatino Linotype" w:hAnsi="Palatino Linotype"/>
        </w:rPr>
        <w:t xml:space="preserve">el Sujeto Obligado modificó la </w:t>
      </w:r>
      <w:r>
        <w:rPr>
          <w:rFonts w:ascii="Palatino Linotype" w:hAnsi="Palatino Linotype"/>
        </w:rPr>
        <w:t xml:space="preserve">respuesta al remitir </w:t>
      </w:r>
      <w:r w:rsidR="00452EC7">
        <w:rPr>
          <w:rFonts w:ascii="Palatino Linotype" w:hAnsi="Palatino Linotype"/>
        </w:rPr>
        <w:t xml:space="preserve">la cuenta pública en donde se advierte </w:t>
      </w:r>
      <w:r w:rsidR="00452EC7">
        <w:rPr>
          <w:rFonts w:ascii="Palatino Linotype" w:eastAsia="Calibri" w:hAnsi="Palatino Linotype" w:cs="Arial"/>
        </w:rPr>
        <w:t>l</w:t>
      </w:r>
      <w:r w:rsidR="00452EC7" w:rsidRPr="00A24E75">
        <w:rPr>
          <w:rFonts w:ascii="Palatino Linotype" w:eastAsia="Calibri" w:hAnsi="Palatino Linotype" w:cs="Arial"/>
        </w:rPr>
        <w:t>os ingresos obtenidos con motivo del proyecto “Experiencia Nocturna” en Teotihuacán desde a partir de su inicio.</w:t>
      </w:r>
    </w:p>
    <w:p w14:paraId="57A2FCCB" w14:textId="7F10F730" w:rsidR="006A46DF" w:rsidRPr="00452EC7" w:rsidRDefault="006A46DF" w:rsidP="00452EC7">
      <w:pPr>
        <w:autoSpaceDE w:val="0"/>
        <w:autoSpaceDN w:val="0"/>
        <w:adjustRightInd w:val="0"/>
        <w:spacing w:before="240" w:after="240" w:line="360" w:lineRule="auto"/>
        <w:jc w:val="both"/>
        <w:rPr>
          <w:rFonts w:ascii="Palatino Linotype" w:hAnsi="Palatino Linotype" w:cs="Arial"/>
          <w:i/>
          <w:sz w:val="22"/>
          <w:szCs w:val="22"/>
        </w:rPr>
      </w:pPr>
      <w:r>
        <w:rPr>
          <w:rFonts w:ascii="Palatino Linotype" w:hAnsi="Palatino Linotype"/>
        </w:rPr>
        <w:lastRenderedPageBreak/>
        <w:t xml:space="preserve">De tal manera, es evidente que con ello queda sin materia el presente recurso de revisión, </w:t>
      </w:r>
      <w:r w:rsidRPr="00850BC3">
        <w:rPr>
          <w:rFonts w:ascii="Palatino Linotype" w:hAnsi="Palatino Linotype"/>
        </w:rPr>
        <w:t xml:space="preserve">ya que la inconformidad </w:t>
      </w:r>
      <w:r w:rsidR="00452EC7">
        <w:rPr>
          <w:rFonts w:ascii="Palatino Linotype" w:hAnsi="Palatino Linotype"/>
        </w:rPr>
        <w:t>de la parte recurrente</w:t>
      </w:r>
      <w:r>
        <w:rPr>
          <w:rFonts w:ascii="Palatino Linotype" w:hAnsi="Palatino Linotype"/>
        </w:rPr>
        <w:t xml:space="preserve">, se subsano con la información </w:t>
      </w:r>
      <w:r w:rsidRPr="00F52682">
        <w:rPr>
          <w:rFonts w:ascii="Palatino Linotype" w:hAnsi="Palatino Linotype"/>
        </w:rPr>
        <w:t>entregada en el apartado de manifestaciones del SAIME</w:t>
      </w:r>
      <w:r>
        <w:rPr>
          <w:rFonts w:ascii="Palatino Linotype" w:hAnsi="Palatino Linotype"/>
        </w:rPr>
        <w:t>X, que fue puesta a la vista del recurrente</w:t>
      </w:r>
      <w:r w:rsidRPr="00F52682">
        <w:rPr>
          <w:rFonts w:ascii="Palatino Linotype" w:hAnsi="Palatino Linotype"/>
        </w:rPr>
        <w:t>, ya no cobraría sentido; y si respecto de la misma no formuló alegato alguno dentro del plazo concedido para tal efecto se entiende que se encuentra satisfecho.</w:t>
      </w:r>
    </w:p>
    <w:p w14:paraId="22C8DCFA" w14:textId="77777777" w:rsidR="006A46DF" w:rsidRDefault="006A46DF" w:rsidP="006A46DF">
      <w:pPr>
        <w:spacing w:before="240" w:after="240" w:line="360" w:lineRule="auto"/>
        <w:jc w:val="both"/>
        <w:rPr>
          <w:rFonts w:ascii="Palatino Linotype" w:hAnsi="Palatino Linotype"/>
        </w:rPr>
      </w:pPr>
      <w:r w:rsidRPr="00850BC3">
        <w:rPr>
          <w:rFonts w:ascii="Palatino Linotype" w:hAnsi="Palatino Linotype"/>
        </w:rPr>
        <w:t>En resumen, el Sujeto Obligado dio respuesta completa a la solicitud de acces</w:t>
      </w:r>
      <w:r>
        <w:rPr>
          <w:rFonts w:ascii="Palatino Linotype" w:hAnsi="Palatino Linotype"/>
        </w:rPr>
        <w:t>o a la información pública del</w:t>
      </w:r>
      <w:r w:rsidRPr="00850BC3">
        <w:rPr>
          <w:rFonts w:ascii="Palatino Linotype" w:hAnsi="Palatino Linotype"/>
        </w:rPr>
        <w:t xml:space="preserve"> ahora recurrente; aunque ello haya sido de manera posterior a su respuesta inicial; dejando con ello sin materia el presente recurso de revisión, actualizándose entonces la ca</w:t>
      </w:r>
      <w:r>
        <w:rPr>
          <w:rFonts w:ascii="Palatino Linotype" w:hAnsi="Palatino Linotype"/>
        </w:rPr>
        <w:t>usal prevista en la fracción III</w:t>
      </w:r>
      <w:r w:rsidRPr="00850BC3">
        <w:rPr>
          <w:rFonts w:ascii="Palatino Linotype" w:hAnsi="Palatino Linotype"/>
        </w:rPr>
        <w:t xml:space="preserve"> del artículo 192 de la Ley de la Materia vigente en la Entidad, antes transcrita. </w:t>
      </w:r>
    </w:p>
    <w:p w14:paraId="0ED22583" w14:textId="77777777" w:rsidR="006A46DF" w:rsidRDefault="006A46DF" w:rsidP="006A46DF">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2EF5B908" w14:textId="77777777" w:rsidR="006A46DF" w:rsidRDefault="006A46DF" w:rsidP="006A46DF">
      <w:pPr>
        <w:spacing w:before="240" w:after="240" w:line="360" w:lineRule="auto"/>
        <w:ind w:left="567" w:right="567"/>
        <w:jc w:val="both"/>
        <w:rPr>
          <w:rFonts w:ascii="Palatino Linotype" w:hAnsi="Palatino Linotype"/>
          <w:b/>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p>
    <w:p w14:paraId="23C8225A" w14:textId="77777777" w:rsidR="006A46DF" w:rsidRPr="00232C0E" w:rsidRDefault="006A46DF" w:rsidP="006A46DF">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Localización: 213609. II.2o.183 K. Tribunales Colegiados de Circuito. Octava Época. Semanario Judicial de la Federación. Tomo XIII, Febrero de 1994, Pág. 420</w:t>
      </w:r>
    </w:p>
    <w:p w14:paraId="4FDAA43F" w14:textId="77777777" w:rsidR="006A46DF" w:rsidRDefault="006A46DF" w:rsidP="006A46DF">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 xml:space="preserve">Cuerpo de tesis: No causa agravio la sentencia que no se ocupa de los razonamientos tendientes a demostrar la inconstitucionalidad de los actos reclamados de las autoridades </w:t>
      </w:r>
      <w:r w:rsidRPr="00232C0E">
        <w:rPr>
          <w:rFonts w:ascii="Palatino Linotype" w:hAnsi="Palatino Linotype"/>
          <w:i/>
          <w:sz w:val="22"/>
          <w:szCs w:val="22"/>
        </w:rPr>
        <w:lastRenderedPageBreak/>
        <w:t>responsables, que constituyen el problema de fondo, si se decreta el sobreseimiento del juicio.</w:t>
      </w:r>
      <w:r>
        <w:rPr>
          <w:rFonts w:ascii="Palatino Linotype" w:hAnsi="Palatino Linotype"/>
          <w:i/>
          <w:sz w:val="22"/>
          <w:szCs w:val="22"/>
        </w:rPr>
        <w:t>” (Sic)</w:t>
      </w:r>
    </w:p>
    <w:p w14:paraId="11DBDEA7" w14:textId="77777777" w:rsidR="006A46DF" w:rsidRPr="00232C0E" w:rsidRDefault="006A46DF" w:rsidP="006A46DF">
      <w:pPr>
        <w:spacing w:before="240" w:after="240"/>
        <w:ind w:left="567" w:right="567"/>
        <w:contextualSpacing/>
        <w:jc w:val="both"/>
        <w:rPr>
          <w:rFonts w:ascii="Palatino Linotype" w:hAnsi="Palatino Linotype"/>
          <w:i/>
          <w:sz w:val="22"/>
          <w:szCs w:val="22"/>
        </w:rPr>
      </w:pPr>
    </w:p>
    <w:p w14:paraId="3AF9775F" w14:textId="77777777" w:rsidR="006A46DF" w:rsidRDefault="006A46DF" w:rsidP="006A46DF">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r que la decisión de este órgano colegiado de sobreseer el recurso de revisión no implica una limitación o negación a la justicia, según lo ha establecido el Poder Judicial Federal, en el criterio que es aplicable por analogía, con rubro:</w:t>
      </w:r>
    </w:p>
    <w:p w14:paraId="0F655507" w14:textId="77777777" w:rsidR="006A46DF" w:rsidRPr="00232C0E" w:rsidRDefault="006A46DF" w:rsidP="006A46DF">
      <w:pPr>
        <w:spacing w:before="240" w:after="240"/>
        <w:ind w:left="567" w:right="567"/>
        <w:contextualSpacing/>
        <w:jc w:val="both"/>
        <w:rPr>
          <w:rFonts w:ascii="Palatino Linotype" w:hAnsi="Palatino Linotype"/>
          <w:i/>
          <w:sz w:val="22"/>
          <w:szCs w:val="22"/>
        </w:rPr>
      </w:pPr>
      <w:r>
        <w:rPr>
          <w:rFonts w:ascii="Palatino Linotype" w:hAnsi="Palatino Linotype" w:cs="Arial"/>
        </w:rPr>
        <w:t xml:space="preserve"> </w:t>
      </w:r>
      <w:r w:rsidRPr="00232C0E">
        <w:rPr>
          <w:rFonts w:ascii="Palatino Linotype" w:hAnsi="Palatino Linotype"/>
          <w:i/>
          <w:sz w:val="22"/>
          <w:szCs w:val="22"/>
        </w:rPr>
        <w:t>“DESECHAMIENTO O SOBRESEIMIENTO EN EL JUICIO DE AMPARO. NO IMPLICA DENEGACIÓN DE JUSTICIA NI GENERA INSEGURIDAD JURÍDICA”</w:t>
      </w:r>
    </w:p>
    <w:p w14:paraId="3D7B9508" w14:textId="77777777" w:rsidR="006A46DF" w:rsidRDefault="006A46DF" w:rsidP="006A46DF">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i/>
          <w:sz w:val="22"/>
          <w:szCs w:val="22"/>
        </w:rPr>
        <w:t>” (Sic)</w:t>
      </w:r>
    </w:p>
    <w:p w14:paraId="4911232E" w14:textId="77777777" w:rsidR="006A46DF" w:rsidRPr="00232C0E" w:rsidRDefault="006A46DF" w:rsidP="006A46DF">
      <w:pPr>
        <w:spacing w:before="240" w:after="240"/>
        <w:ind w:left="567" w:right="567"/>
        <w:contextualSpacing/>
        <w:jc w:val="both"/>
        <w:rPr>
          <w:rFonts w:ascii="Palatino Linotype" w:hAnsi="Palatino Linotype"/>
          <w:i/>
          <w:sz w:val="22"/>
          <w:szCs w:val="22"/>
        </w:rPr>
      </w:pPr>
    </w:p>
    <w:p w14:paraId="317F7C4B" w14:textId="77777777" w:rsidR="006A46DF" w:rsidRPr="00911351" w:rsidRDefault="006A46DF" w:rsidP="006A46DF">
      <w:pPr>
        <w:autoSpaceDE w:val="0"/>
        <w:autoSpaceDN w:val="0"/>
        <w:adjustRightInd w:val="0"/>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14:paraId="02D02842" w14:textId="77777777" w:rsidR="006A46DF" w:rsidRPr="00385EEC" w:rsidRDefault="006A46DF" w:rsidP="006A46DF">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Pr="00385EEC">
        <w:rPr>
          <w:rFonts w:ascii="Palatino Linotype" w:hAnsi="Palatino Linotype" w:cs="Arial"/>
          <w:b/>
        </w:rPr>
        <w:t>R E S U E L V E:</w:t>
      </w:r>
    </w:p>
    <w:p w14:paraId="06A52BBF" w14:textId="05AA531A" w:rsidR="006A46DF" w:rsidRDefault="006A46DF" w:rsidP="006A46DF">
      <w:pPr>
        <w:spacing w:before="240" w:after="240" w:line="360" w:lineRule="auto"/>
        <w:contextualSpacing/>
        <w:jc w:val="both"/>
        <w:rPr>
          <w:rFonts w:ascii="Palatino Linotype" w:hAnsi="Palatino Linotype"/>
        </w:rPr>
      </w:pPr>
      <w:r w:rsidRPr="006A2D4B">
        <w:rPr>
          <w:rFonts w:ascii="Palatino Linotype" w:hAnsi="Palatino Linotype" w:cs="Arial"/>
          <w:b/>
          <w:bCs/>
          <w:shd w:val="clear" w:color="auto" w:fill="FFFFFF"/>
        </w:rPr>
        <w:lastRenderedPageBreak/>
        <w:t>Primero</w:t>
      </w:r>
      <w:r w:rsidRPr="006A2D4B">
        <w:rPr>
          <w:rFonts w:ascii="Palatino Linotype" w:hAnsi="Palatino Linotype" w:cs="Arial"/>
          <w:bCs/>
          <w:shd w:val="clear" w:color="auto" w:fill="FFFFFF"/>
        </w:rPr>
        <w:t xml:space="preserve">. Se </w:t>
      </w:r>
      <w:r w:rsidRPr="006A2D4B">
        <w:rPr>
          <w:rFonts w:ascii="Palatino Linotype" w:hAnsi="Palatino Linotype" w:cs="Arial"/>
          <w:b/>
          <w:bCs/>
          <w:shd w:val="clear" w:color="auto" w:fill="FFFFFF"/>
        </w:rPr>
        <w:t>SOBRESEE</w:t>
      </w:r>
      <w:r w:rsidRPr="006A2D4B">
        <w:rPr>
          <w:rFonts w:ascii="Palatino Linotype" w:hAnsi="Palatino Linotype" w:cs="Arial"/>
          <w:bCs/>
          <w:shd w:val="clear" w:color="auto" w:fill="FFFFFF"/>
        </w:rPr>
        <w:t xml:space="preserve"> el recurso de revisión número </w:t>
      </w:r>
      <w:r w:rsidRPr="006A2D4B">
        <w:rPr>
          <w:rFonts w:ascii="Palatino Linotype" w:hAnsi="Palatino Linotype" w:cs="Arial"/>
          <w:b/>
          <w:bCs/>
          <w:shd w:val="clear" w:color="auto" w:fill="FFFFFF"/>
        </w:rPr>
        <w:t>0</w:t>
      </w:r>
      <w:r w:rsidR="00452EC7">
        <w:rPr>
          <w:rFonts w:ascii="Palatino Linotype" w:hAnsi="Palatino Linotype" w:cs="Arial"/>
          <w:b/>
          <w:bCs/>
          <w:shd w:val="clear" w:color="auto" w:fill="FFFFFF"/>
        </w:rPr>
        <w:t>4419</w:t>
      </w:r>
      <w:r>
        <w:rPr>
          <w:rFonts w:ascii="Palatino Linotype" w:hAnsi="Palatino Linotype" w:cs="Arial"/>
          <w:b/>
          <w:bCs/>
          <w:shd w:val="clear" w:color="auto" w:fill="FFFFFF"/>
        </w:rPr>
        <w:t>/INFOEM/IP/RR/2021</w:t>
      </w:r>
      <w:r w:rsidRPr="006A2D4B">
        <w:rPr>
          <w:rFonts w:ascii="Palatino Linotype" w:hAnsi="Palatino Linotype" w:cs="Arial"/>
          <w:b/>
        </w:rPr>
        <w:t>,</w:t>
      </w:r>
      <w:r w:rsidRPr="006A2D4B">
        <w:rPr>
          <w:rFonts w:ascii="Palatino Linotype" w:hAnsi="Palatino Linotype"/>
        </w:rPr>
        <w:t xml:space="preserve"> </w:t>
      </w:r>
      <w:r>
        <w:rPr>
          <w:rFonts w:ascii="Palatino Linotype" w:hAnsi="Palatino Linotype"/>
        </w:rPr>
        <w:t>porque al modificar la falta de respuesta el recurso de revisión quedó sin materia en términos del Considerando Tercero de la presente resolución.</w:t>
      </w:r>
    </w:p>
    <w:p w14:paraId="098BE19C" w14:textId="77777777" w:rsidR="006A46DF" w:rsidRDefault="006A46DF" w:rsidP="006A46DF">
      <w:pPr>
        <w:spacing w:before="240" w:after="240" w:line="360" w:lineRule="auto"/>
        <w:contextualSpacing/>
        <w:jc w:val="both"/>
        <w:rPr>
          <w:rFonts w:ascii="Palatino Linotype" w:hAnsi="Palatino Linotype"/>
          <w:b/>
          <w:sz w:val="20"/>
          <w:szCs w:val="20"/>
        </w:rPr>
      </w:pPr>
    </w:p>
    <w:p w14:paraId="565AD003" w14:textId="77777777" w:rsidR="006A46DF" w:rsidRPr="006A2D4B" w:rsidRDefault="006A46DF" w:rsidP="006A46DF">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 xml:space="preserve">Segundo. </w:t>
      </w:r>
      <w:r w:rsidRPr="00232C0E">
        <w:rPr>
          <w:rFonts w:ascii="Palatino Linotype" w:hAnsi="Palatino Linotype" w:cs="Arial"/>
          <w:b/>
          <w:bCs/>
          <w:shd w:val="clear" w:color="auto" w:fill="FFFFFF"/>
        </w:rPr>
        <w:t>Notifíquese</w:t>
      </w:r>
      <w:r w:rsidRPr="00232C0E">
        <w:rPr>
          <w:rStyle w:val="apple-converted-space"/>
          <w:rFonts w:ascii="Palatino Linotype" w:hAnsi="Palatino Linotype" w:cs="Arial"/>
          <w:b/>
          <w:bCs/>
          <w:iCs/>
          <w:shd w:val="clear" w:color="auto" w:fill="FFFFFF"/>
        </w:rPr>
        <w:t xml:space="preserve"> vía SAIMEX</w:t>
      </w:r>
      <w:r>
        <w:rPr>
          <w:rStyle w:val="apple-converted-space"/>
          <w:rFonts w:ascii="Palatino Linotype" w:hAnsi="Palatino Linotype" w:cs="Arial"/>
          <w:b/>
          <w:bCs/>
          <w:i/>
          <w:iCs/>
          <w:shd w:val="clear" w:color="auto" w:fill="FFFFFF"/>
        </w:rPr>
        <w:t xml:space="preserve">, </w:t>
      </w:r>
      <w:r w:rsidRPr="006A2D4B">
        <w:rPr>
          <w:rFonts w:ascii="Palatino Linotype" w:hAnsi="Palatino Linotype"/>
          <w:shd w:val="clear" w:color="auto" w:fill="FFFFFF"/>
        </w:rPr>
        <w:t>al Responsable de la Unidad de Transparencia del</w:t>
      </w:r>
      <w:r w:rsidRPr="006A2D4B">
        <w:rPr>
          <w:rStyle w:val="apple-converted-space"/>
          <w:rFonts w:ascii="Palatino Linotype" w:hAnsi="Palatino Linotype"/>
          <w:bCs/>
          <w:shd w:val="clear" w:color="auto" w:fill="FFFFFF"/>
        </w:rPr>
        <w:t xml:space="preserve"> </w:t>
      </w:r>
      <w:r w:rsidRPr="006A2D4B">
        <w:rPr>
          <w:rFonts w:ascii="Palatino Linotype" w:hAnsi="Palatino Linotype"/>
          <w:bCs/>
          <w:shd w:val="clear" w:color="auto" w:fill="FFFFFF"/>
        </w:rPr>
        <w:t>Sujeto Obligado la presente resolución, para su conocimiento</w:t>
      </w:r>
      <w:r w:rsidRPr="006A2D4B">
        <w:rPr>
          <w:rFonts w:ascii="Palatino Linotype" w:hAnsi="Palatino Linotype"/>
          <w:shd w:val="clear" w:color="auto" w:fill="FFFFFF"/>
        </w:rPr>
        <w:t xml:space="preserve">, lo anterior en términos del artículo 189 de la </w:t>
      </w:r>
      <w:r w:rsidRPr="006A2D4B">
        <w:rPr>
          <w:rFonts w:ascii="Palatino Linotype" w:hAnsi="Palatino Linotype" w:cs="Arial"/>
        </w:rPr>
        <w:t>Ley de Transparencia y Acceso a la Información Pública del Estado de México y Municipios.</w:t>
      </w:r>
    </w:p>
    <w:p w14:paraId="74EAF66E" w14:textId="77777777" w:rsidR="006A46DF" w:rsidRPr="006A2D4B" w:rsidRDefault="006A46DF" w:rsidP="006A46DF">
      <w:pPr>
        <w:spacing w:before="240" w:after="240" w:line="360" w:lineRule="auto"/>
        <w:contextualSpacing/>
        <w:jc w:val="both"/>
        <w:rPr>
          <w:rFonts w:ascii="Palatino Linotype" w:hAnsi="Palatino Linotype"/>
          <w:shd w:val="clear" w:color="auto" w:fill="FFFFFF"/>
        </w:rPr>
      </w:pPr>
    </w:p>
    <w:p w14:paraId="74FCD01F" w14:textId="77777777" w:rsidR="006A46DF" w:rsidRDefault="006A46DF" w:rsidP="006A46DF">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Tercero. Notifíquese a través </w:t>
      </w:r>
      <w:r>
        <w:rPr>
          <w:rFonts w:ascii="Palatino Linotype" w:hAnsi="Palatino Linotype" w:cs="Arial"/>
        </w:rPr>
        <w:t xml:space="preserve"> del Sistema de Acceso a la Información Mexiquense y correo electrónico, al recurrente</w:t>
      </w:r>
      <w:r w:rsidRPr="006A2D4B">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en la vía</w:t>
      </w:r>
      <w:r w:rsidRPr="006A2D4B">
        <w:rPr>
          <w:rFonts w:ascii="Palatino Linotype" w:eastAsia="Palatino Linotype" w:hAnsi="Palatino Linotype" w:cs="Palatino Linotype"/>
        </w:rPr>
        <w:t xml:space="preserve"> Juicio de Amparo en los términos de las leyes aplicables.</w:t>
      </w:r>
    </w:p>
    <w:p w14:paraId="02519E5D" w14:textId="7B4B517D" w:rsidR="00452DAF" w:rsidRDefault="00452EC7" w:rsidP="000343A1">
      <w:pPr>
        <w:spacing w:line="360" w:lineRule="auto"/>
        <w:ind w:right="49"/>
        <w:jc w:val="both"/>
        <w:rPr>
          <w:rFonts w:ascii="Palatino Linotype" w:hAnsi="Palatino Linotype"/>
          <w:lang w:val="es-MX"/>
        </w:rPr>
        <w:sectPr w:rsidR="00452DAF" w:rsidSect="009F07F4">
          <w:headerReference w:type="default" r:id="rId24"/>
          <w:footerReference w:type="default" r:id="rId25"/>
          <w:headerReference w:type="first" r:id="rId26"/>
          <w:footerReference w:type="first" r:id="rId27"/>
          <w:pgSz w:w="12240" w:h="15840" w:code="1"/>
          <w:pgMar w:top="1417" w:right="1701" w:bottom="1417" w:left="1701" w:header="709" w:footer="709" w:gutter="0"/>
          <w:cols w:space="708"/>
          <w:titlePg/>
          <w:docGrid w:linePitch="360"/>
        </w:sectPr>
      </w:pPr>
      <w:r>
        <w:rPr>
          <w:rFonts w:ascii="Palatino Linotype" w:hAnsi="Palatino Linotype"/>
          <w:lang w:val="es-MX"/>
        </w:rPr>
        <w:t>ASÍ LO RESUELVE, POR UNANIMIDAD</w:t>
      </w:r>
      <w:r w:rsidR="000343A1" w:rsidRPr="00A657DC">
        <w:rPr>
          <w:rFonts w:ascii="Palatino Linotype" w:hAnsi="Palatino Linotype"/>
          <w:lang w:val="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PRIMERA SESIÓN ORDINARIA CELEBRADA EL D</w:t>
      </w:r>
      <w:r w:rsidR="00452DAF">
        <w:rPr>
          <w:rFonts w:ascii="Palatino Linotype" w:hAnsi="Palatino Linotype"/>
          <w:lang w:val="es-MX"/>
        </w:rPr>
        <w:t>OCE DE ENERO DE DOS MIL VEINTIDÓ</w:t>
      </w:r>
      <w:r w:rsidR="000343A1" w:rsidRPr="00A657DC">
        <w:rPr>
          <w:rFonts w:ascii="Palatino Linotype" w:hAnsi="Palatino Linotype"/>
          <w:lang w:val="es-MX"/>
        </w:rPr>
        <w:t>S, ANTE EL SECRETARIO TÉCNICO DEL PLENO ALEXIS TAPIA RAMÍREZ.</w:t>
      </w:r>
    </w:p>
    <w:p w14:paraId="12A922C2" w14:textId="6A16A8AB" w:rsidR="000343A1" w:rsidRDefault="000343A1" w:rsidP="000343A1">
      <w:pPr>
        <w:spacing w:line="360" w:lineRule="auto"/>
        <w:ind w:right="49"/>
        <w:jc w:val="both"/>
        <w:rPr>
          <w:rFonts w:ascii="Palatino Linotype" w:hAnsi="Palatino Linotype"/>
          <w:lang w:val="es-MX"/>
        </w:rPr>
      </w:pPr>
    </w:p>
    <w:p w14:paraId="3031D0B1" w14:textId="77777777" w:rsidR="000343A1" w:rsidRDefault="000343A1" w:rsidP="00C31F30">
      <w:pPr>
        <w:spacing w:before="240" w:after="240" w:line="360" w:lineRule="auto"/>
        <w:jc w:val="both"/>
        <w:rPr>
          <w:rFonts w:ascii="Palatino Linotype" w:hAnsi="Palatino Linotype" w:cs="Arial"/>
          <w:lang w:val="es-MX"/>
        </w:rPr>
      </w:pPr>
    </w:p>
    <w:p w14:paraId="2BEFD49E" w14:textId="77777777" w:rsidR="0096124C" w:rsidRDefault="0096124C" w:rsidP="00C31F30">
      <w:pPr>
        <w:spacing w:before="240" w:after="240" w:line="360" w:lineRule="auto"/>
        <w:jc w:val="both"/>
        <w:rPr>
          <w:rFonts w:ascii="Palatino Linotype" w:hAnsi="Palatino Linotype" w:cs="Arial"/>
          <w:lang w:val="es-MX"/>
        </w:rPr>
      </w:pPr>
    </w:p>
    <w:p w14:paraId="2ABC7117" w14:textId="77777777" w:rsidR="0096124C" w:rsidRDefault="0096124C" w:rsidP="00C31F30">
      <w:pPr>
        <w:spacing w:before="240" w:after="240" w:line="360" w:lineRule="auto"/>
        <w:jc w:val="both"/>
        <w:rPr>
          <w:rFonts w:ascii="Palatino Linotype" w:hAnsi="Palatino Linotype" w:cs="Arial"/>
          <w:lang w:val="es-MX"/>
        </w:rPr>
      </w:pPr>
    </w:p>
    <w:p w14:paraId="1A4B41F8" w14:textId="77777777" w:rsidR="0096124C" w:rsidRDefault="0096124C" w:rsidP="00C31F30">
      <w:pPr>
        <w:spacing w:before="240" w:after="240" w:line="360" w:lineRule="auto"/>
        <w:jc w:val="both"/>
        <w:rPr>
          <w:rFonts w:ascii="Palatino Linotype" w:hAnsi="Palatino Linotype" w:cs="Arial"/>
          <w:lang w:val="es-MX"/>
        </w:rPr>
      </w:pPr>
    </w:p>
    <w:p w14:paraId="542E8CED" w14:textId="77777777" w:rsidR="0096124C" w:rsidRDefault="0096124C" w:rsidP="00C31F30">
      <w:pPr>
        <w:spacing w:before="240" w:after="240" w:line="360" w:lineRule="auto"/>
        <w:jc w:val="both"/>
        <w:rPr>
          <w:rFonts w:ascii="Palatino Linotype" w:hAnsi="Palatino Linotype" w:cs="Arial"/>
          <w:lang w:val="es-MX"/>
        </w:rPr>
      </w:pPr>
    </w:p>
    <w:p w14:paraId="18E14507" w14:textId="77777777" w:rsidR="0096124C" w:rsidRDefault="0096124C" w:rsidP="00C31F30">
      <w:pPr>
        <w:spacing w:before="240" w:after="240" w:line="360" w:lineRule="auto"/>
        <w:jc w:val="both"/>
        <w:rPr>
          <w:rFonts w:ascii="Palatino Linotype" w:hAnsi="Palatino Linotype" w:cs="Arial"/>
          <w:lang w:val="es-MX"/>
        </w:rPr>
      </w:pPr>
    </w:p>
    <w:p w14:paraId="1521EAB9" w14:textId="77777777" w:rsidR="0096124C" w:rsidRDefault="0096124C" w:rsidP="00C31F30">
      <w:pPr>
        <w:spacing w:before="240" w:after="240" w:line="360" w:lineRule="auto"/>
        <w:jc w:val="both"/>
        <w:rPr>
          <w:rFonts w:ascii="Palatino Linotype" w:hAnsi="Palatino Linotype" w:cs="Arial"/>
          <w:lang w:val="es-MX"/>
        </w:rPr>
      </w:pPr>
    </w:p>
    <w:p w14:paraId="51367221" w14:textId="77777777" w:rsidR="0096124C" w:rsidRDefault="0096124C" w:rsidP="00C31F30">
      <w:pPr>
        <w:spacing w:before="240" w:after="240" w:line="360" w:lineRule="auto"/>
        <w:jc w:val="both"/>
        <w:rPr>
          <w:rFonts w:ascii="Palatino Linotype" w:hAnsi="Palatino Linotype" w:cs="Arial"/>
          <w:lang w:val="es-MX"/>
        </w:rPr>
      </w:pPr>
    </w:p>
    <w:p w14:paraId="30C53B4C" w14:textId="77777777" w:rsidR="0096124C" w:rsidRDefault="0096124C" w:rsidP="00C31F30">
      <w:pPr>
        <w:spacing w:before="240" w:after="240" w:line="360" w:lineRule="auto"/>
        <w:jc w:val="both"/>
        <w:rPr>
          <w:rFonts w:ascii="Palatino Linotype" w:hAnsi="Palatino Linotype" w:cs="Arial"/>
          <w:lang w:val="es-MX"/>
        </w:rPr>
      </w:pPr>
    </w:p>
    <w:p w14:paraId="1980AE40" w14:textId="77777777" w:rsidR="0096124C" w:rsidRPr="001434BF" w:rsidRDefault="0096124C" w:rsidP="00C31F30">
      <w:pPr>
        <w:spacing w:before="240" w:after="240" w:line="360" w:lineRule="auto"/>
        <w:jc w:val="both"/>
        <w:rPr>
          <w:rFonts w:ascii="Palatino Linotype" w:hAnsi="Palatino Linotype" w:cs="Arial"/>
          <w:lang w:val="es-MX"/>
        </w:rPr>
      </w:pPr>
    </w:p>
    <w:sectPr w:rsidR="0096124C" w:rsidRPr="001434BF" w:rsidSect="009F07F4">
      <w:headerReference w:type="first" r:id="rId2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A0EEE" w14:textId="77777777" w:rsidR="00782CAC" w:rsidRDefault="00782CAC" w:rsidP="00C80F8C">
      <w:r>
        <w:separator/>
      </w:r>
    </w:p>
  </w:endnote>
  <w:endnote w:type="continuationSeparator" w:id="0">
    <w:p w14:paraId="5C8A4468" w14:textId="77777777" w:rsidR="00782CAC" w:rsidRDefault="00782CA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1"/>
    <w:family w:val="roman"/>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7D0B5C" w:rsidRDefault="007D0B5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D12BF">
      <w:rPr>
        <w:rFonts w:ascii="Arial" w:hAnsi="Arial" w:cs="Arial"/>
        <w:b/>
        <w:bCs/>
        <w:noProof/>
        <w:sz w:val="20"/>
        <w:szCs w:val="20"/>
      </w:rPr>
      <w:t>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D12BF">
      <w:rPr>
        <w:rFonts w:ascii="Arial" w:hAnsi="Arial" w:cs="Arial"/>
        <w:b/>
        <w:bCs/>
        <w:noProof/>
        <w:sz w:val="20"/>
        <w:szCs w:val="20"/>
      </w:rPr>
      <w:t>39</w:t>
    </w:r>
    <w:r>
      <w:rPr>
        <w:rFonts w:ascii="Arial" w:hAnsi="Arial" w:cs="Arial"/>
        <w:b/>
        <w:bCs/>
        <w:sz w:val="20"/>
        <w:szCs w:val="20"/>
      </w:rPr>
      <w:fldChar w:fldCharType="end"/>
    </w:r>
  </w:p>
  <w:p w14:paraId="1192A578" w14:textId="77777777" w:rsidR="007D0B5C" w:rsidRDefault="007D0B5C" w:rsidP="00935A0D">
    <w:pPr>
      <w:pStyle w:val="Piedepgina"/>
      <w:rPr>
        <w:rFonts w:ascii="Times New Roman" w:hAnsi="Times New Roman" w:cs="Times New Roman"/>
      </w:rPr>
    </w:pPr>
  </w:p>
  <w:p w14:paraId="14A770F8" w14:textId="77777777" w:rsidR="007D0B5C" w:rsidRDefault="007D0B5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7D0B5C" w:rsidRDefault="007D0B5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D12B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D12BF">
      <w:rPr>
        <w:rFonts w:ascii="Arial" w:hAnsi="Arial" w:cs="Arial"/>
        <w:b/>
        <w:bCs/>
        <w:noProof/>
        <w:sz w:val="20"/>
        <w:szCs w:val="20"/>
      </w:rPr>
      <w:t>39</w:t>
    </w:r>
    <w:r>
      <w:rPr>
        <w:rFonts w:ascii="Arial" w:hAnsi="Arial" w:cs="Arial"/>
        <w:b/>
        <w:bCs/>
        <w:sz w:val="20"/>
        <w:szCs w:val="20"/>
      </w:rPr>
      <w:fldChar w:fldCharType="end"/>
    </w:r>
  </w:p>
  <w:p w14:paraId="5D98ABD5" w14:textId="77777777" w:rsidR="007D0B5C" w:rsidRDefault="007D0B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22226" w14:textId="77777777" w:rsidR="00782CAC" w:rsidRDefault="00782CAC" w:rsidP="00C80F8C">
      <w:r>
        <w:separator/>
      </w:r>
    </w:p>
  </w:footnote>
  <w:footnote w:type="continuationSeparator" w:id="0">
    <w:p w14:paraId="1E11D076" w14:textId="77777777" w:rsidR="00782CAC" w:rsidRDefault="00782CAC" w:rsidP="00C80F8C">
      <w:r>
        <w:continuationSeparator/>
      </w:r>
    </w:p>
  </w:footnote>
  <w:footnote w:id="1">
    <w:p w14:paraId="1D9E943D" w14:textId="77777777" w:rsidR="007D0B5C" w:rsidRDefault="007D0B5C" w:rsidP="00651E05">
      <w:pPr>
        <w:pStyle w:val="Textonotapie"/>
        <w:jc w:val="both"/>
      </w:pPr>
      <w:r>
        <w:rPr>
          <w:rStyle w:val="Refdenotaalpie"/>
        </w:rPr>
        <w:footnoteRef/>
      </w:r>
      <w:r>
        <w:t xml:space="preserve"> RECURSO DE RECLAMACIÓN. SU INTERPOSICIÓN NO ES EXTEMPORÁNEA SI SE REALIZA ANTES DE QUE INICIE EL PLAZO PARA HACERLO.</w:t>
      </w:r>
    </w:p>
    <w:p w14:paraId="67A9B137" w14:textId="77777777" w:rsidR="007D0B5C" w:rsidRDefault="007D0B5C" w:rsidP="00651E05">
      <w:pPr>
        <w:pStyle w:val="Textonotapie"/>
        <w:jc w:val="both"/>
      </w:pPr>
    </w:p>
    <w:p w14:paraId="740068A3" w14:textId="77777777" w:rsidR="007D0B5C" w:rsidRDefault="007D0B5C" w:rsidP="00651E05">
      <w:pPr>
        <w:pStyle w:val="Textonotapie"/>
        <w:jc w:val="both"/>
      </w:pPr>
      <w: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w:t>
      </w:r>
    </w:p>
    <w:p w14:paraId="4EBB375D" w14:textId="77777777" w:rsidR="007D0B5C" w:rsidRDefault="007D0B5C" w:rsidP="00651E05">
      <w:pPr>
        <w:pStyle w:val="Textonotapie"/>
        <w:jc w:val="both"/>
      </w:pPr>
    </w:p>
    <w:p w14:paraId="7F47D840" w14:textId="77777777" w:rsidR="007D0B5C" w:rsidRDefault="007D0B5C" w:rsidP="00651E05">
      <w:pPr>
        <w:pStyle w:val="Textonotapie"/>
        <w:jc w:val="both"/>
      </w:pPr>
      <w:r>
        <w:t>De ahí que si dicho recurso se interpone antes de que inicie el plazo para hacerlo, su presentación no es extemporánea.</w:t>
      </w:r>
    </w:p>
    <w:p w14:paraId="02401DEB" w14:textId="77777777" w:rsidR="007D0B5C" w:rsidRDefault="007D0B5C" w:rsidP="00651E05">
      <w:pPr>
        <w:pStyle w:val="Textonotapie"/>
        <w:jc w:val="both"/>
      </w:pPr>
    </w:p>
    <w:p w14:paraId="70C86DDA" w14:textId="77777777" w:rsidR="007D0B5C" w:rsidRDefault="007D0B5C" w:rsidP="00651E05">
      <w:pPr>
        <w:pStyle w:val="Textonotapie"/>
        <w:jc w:val="both"/>
      </w:pPr>
      <w: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542B27DA" w14:textId="77777777" w:rsidR="007D0B5C" w:rsidRDefault="007D0B5C" w:rsidP="00651E05">
      <w:pPr>
        <w:pStyle w:val="Textonotapie"/>
        <w:jc w:val="both"/>
      </w:pPr>
    </w:p>
    <w:p w14:paraId="16A4B715" w14:textId="77777777" w:rsidR="007D0B5C" w:rsidRDefault="007D0B5C" w:rsidP="00651E05">
      <w:pPr>
        <w:pStyle w:val="Textonotapie"/>
        <w:jc w:val="both"/>
      </w:pPr>
      <w: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48104EC9" w14:textId="77777777" w:rsidR="007D0B5C" w:rsidRDefault="007D0B5C" w:rsidP="00651E05">
      <w:pPr>
        <w:pStyle w:val="Textonotapie"/>
        <w:jc w:val="both"/>
      </w:pPr>
    </w:p>
    <w:p w14:paraId="34AB4AAA" w14:textId="77777777" w:rsidR="007D0B5C" w:rsidRDefault="007D0B5C" w:rsidP="00651E05">
      <w:pPr>
        <w:pStyle w:val="Textonotapie"/>
        <w:jc w:val="both"/>
      </w:pPr>
      <w: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t>Arboleya</w:t>
      </w:r>
      <w:proofErr w:type="spellEnd"/>
      <w:r>
        <w:t>.</w:t>
      </w:r>
    </w:p>
    <w:p w14:paraId="2A5C26D6" w14:textId="77777777" w:rsidR="007D0B5C" w:rsidRDefault="007D0B5C" w:rsidP="00651E05">
      <w:pPr>
        <w:pStyle w:val="Textonotapie"/>
        <w:jc w:val="both"/>
      </w:pPr>
    </w:p>
    <w:p w14:paraId="2C4AB9BC" w14:textId="77777777" w:rsidR="007D0B5C" w:rsidRDefault="007D0B5C" w:rsidP="00651E05">
      <w:pPr>
        <w:pStyle w:val="Textonotapie"/>
        <w:jc w:val="both"/>
      </w:pPr>
      <w: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t>Goslinga</w:t>
      </w:r>
      <w:proofErr w:type="spellEnd"/>
      <w:r>
        <w:t xml:space="preserve"> </w:t>
      </w:r>
      <w:proofErr w:type="spellStart"/>
      <w:r>
        <w:t>Remírez</w:t>
      </w:r>
      <w:proofErr w:type="spellEnd"/>
      <w:r>
        <w:t>.</w:t>
      </w:r>
    </w:p>
    <w:p w14:paraId="49C41A8B" w14:textId="77777777" w:rsidR="007D0B5C" w:rsidRDefault="007D0B5C" w:rsidP="00651E05">
      <w:pPr>
        <w:pStyle w:val="Textonotapie"/>
        <w:jc w:val="both"/>
      </w:pPr>
    </w:p>
    <w:p w14:paraId="033B17A6" w14:textId="77777777" w:rsidR="007D0B5C" w:rsidRDefault="007D0B5C" w:rsidP="00651E05">
      <w:pPr>
        <w:pStyle w:val="Textonotapie"/>
        <w:jc w:val="both"/>
      </w:pPr>
      <w: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0D06E3EB" w14:textId="77777777" w:rsidR="007D0B5C" w:rsidRDefault="007D0B5C" w:rsidP="00651E05">
      <w:pPr>
        <w:pStyle w:val="Textonotapie"/>
        <w:jc w:val="both"/>
      </w:pPr>
      <w:r>
        <w:t>Tesis de jurisprudencia 41/2015 (10a.). Aprobada por la Primera Sala de este Alto Tribunal, en sesión privada de veintisiete de mayo de dos mil quince.</w:t>
      </w:r>
    </w:p>
    <w:p w14:paraId="5C627315" w14:textId="77777777" w:rsidR="007D0B5C" w:rsidRDefault="007D0B5C" w:rsidP="00651E05">
      <w:pPr>
        <w:pStyle w:val="Textonotapie"/>
        <w:jc w:val="both"/>
      </w:pPr>
    </w:p>
    <w:p w14:paraId="730CF36E" w14:textId="47E5CCC1" w:rsidR="007D0B5C" w:rsidRDefault="007D0B5C" w:rsidP="00651E05">
      <w:pPr>
        <w:pStyle w:val="Textonotapie"/>
        <w:jc w:val="both"/>
      </w:pPr>
      <w: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7D0B5C" w:rsidRPr="00095FB7" w14:paraId="6B4E3B81" w14:textId="77777777" w:rsidTr="009D4854">
      <w:tc>
        <w:tcPr>
          <w:tcW w:w="2553" w:type="dxa"/>
          <w:vAlign w:val="center"/>
          <w:hideMark/>
        </w:tcPr>
        <w:p w14:paraId="0ABBC6C0" w14:textId="56B6DC1A" w:rsidR="007D0B5C" w:rsidRPr="00095FB7" w:rsidRDefault="007D0B5C"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3F3689FD" w:rsidR="007D0B5C" w:rsidRPr="00095FB7" w:rsidRDefault="007D0B5C"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04419</w:t>
          </w:r>
          <w:r w:rsidRPr="00147CBD">
            <w:rPr>
              <w:rFonts w:ascii="Palatino Linotype" w:eastAsiaTheme="minorEastAsia" w:hAnsi="Palatino Linotype" w:cs="Arial"/>
              <w:b/>
              <w:bCs/>
              <w:sz w:val="22"/>
              <w:szCs w:val="22"/>
              <w:lang w:val="es-MX"/>
            </w:rPr>
            <w:t>/INFOEM/IP/RR/2021</w:t>
          </w:r>
        </w:p>
      </w:tc>
    </w:tr>
    <w:tr w:rsidR="007D0B5C" w:rsidRPr="00095FB7" w14:paraId="31CB780F" w14:textId="77777777" w:rsidTr="009D4854">
      <w:trPr>
        <w:trHeight w:val="228"/>
      </w:trPr>
      <w:tc>
        <w:tcPr>
          <w:tcW w:w="2553" w:type="dxa"/>
          <w:vAlign w:val="center"/>
          <w:hideMark/>
        </w:tcPr>
        <w:p w14:paraId="4F49CB4A" w14:textId="40575396" w:rsidR="007D0B5C" w:rsidRPr="00095FB7" w:rsidRDefault="007D0B5C"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79C0B9D6" w14:textId="77777777" w:rsidR="007D0B5C" w:rsidRPr="00147CBD" w:rsidRDefault="007D0B5C" w:rsidP="00147CBD">
          <w:pPr>
            <w:ind w:right="954"/>
            <w:jc w:val="both"/>
            <w:rPr>
              <w:rFonts w:ascii="Palatino Linotype" w:hAnsi="Palatino Linotype"/>
              <w:b/>
              <w:sz w:val="22"/>
              <w:szCs w:val="22"/>
              <w:lang w:val="es-ES_tradnl"/>
            </w:rPr>
          </w:pPr>
        </w:p>
        <w:p w14:paraId="5D08B318" w14:textId="4804B454" w:rsidR="007D0B5C" w:rsidRPr="00095FB7" w:rsidRDefault="007D0B5C" w:rsidP="00147CBD">
          <w:pPr>
            <w:ind w:right="954"/>
            <w:jc w:val="both"/>
            <w:rPr>
              <w:rFonts w:ascii="Palatino Linotype" w:hAnsi="Palatino Linotype"/>
              <w:b/>
              <w:sz w:val="22"/>
              <w:szCs w:val="22"/>
              <w:lang w:val="es-ES_tradnl"/>
            </w:rPr>
          </w:pPr>
          <w:r w:rsidRPr="00CE2CFF">
            <w:rPr>
              <w:rFonts w:ascii="Palatino Linotype" w:hAnsi="Palatino Linotype"/>
              <w:b/>
              <w:sz w:val="22"/>
              <w:szCs w:val="22"/>
              <w:lang w:val="es-ES_tradnl"/>
            </w:rPr>
            <w:t>Secretaría de Cultura y Turismo</w:t>
          </w:r>
        </w:p>
      </w:tc>
    </w:tr>
    <w:tr w:rsidR="007D0B5C" w:rsidRPr="00095FB7" w14:paraId="69050F56" w14:textId="77777777" w:rsidTr="009D4854">
      <w:tc>
        <w:tcPr>
          <w:tcW w:w="2553" w:type="dxa"/>
          <w:vAlign w:val="center"/>
          <w:hideMark/>
        </w:tcPr>
        <w:p w14:paraId="65C9B735" w14:textId="722CA8BD" w:rsidR="007D0B5C" w:rsidRPr="00095FB7" w:rsidRDefault="007D0B5C"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64A4B297" w:rsidR="007D0B5C" w:rsidRPr="00095FB7" w:rsidRDefault="007D0B5C"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7D0B5C" w:rsidRDefault="007D0B5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27D5F501">
          <wp:simplePos x="0" y="0"/>
          <wp:positionH relativeFrom="page">
            <wp:posOffset>97790</wp:posOffset>
          </wp:positionH>
          <wp:positionV relativeFrom="paragraph">
            <wp:posOffset>-1098550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7D0B5C" w:rsidRDefault="007D0B5C"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6F0B829E">
          <wp:simplePos x="0" y="0"/>
          <wp:positionH relativeFrom="page">
            <wp:posOffset>106680</wp:posOffset>
          </wp:positionH>
          <wp:positionV relativeFrom="paragraph">
            <wp:posOffset>-354965</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7D0B5C" w14:paraId="477E149B" w14:textId="77777777" w:rsidTr="00C47D1B">
      <w:tc>
        <w:tcPr>
          <w:tcW w:w="2553" w:type="dxa"/>
          <w:vAlign w:val="center"/>
          <w:hideMark/>
        </w:tcPr>
        <w:p w14:paraId="5C0586E4" w14:textId="3E77CCF0" w:rsidR="007D0B5C" w:rsidRDefault="007D0B5C"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3DFCDBE1" w:rsidR="007D0B5C" w:rsidRPr="004440AC" w:rsidRDefault="007D0B5C"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04419</w:t>
          </w:r>
          <w:r w:rsidRPr="00147CBD">
            <w:rPr>
              <w:rFonts w:ascii="Palatino Linotype" w:eastAsiaTheme="minorEastAsia" w:hAnsi="Palatino Linotype" w:cs="Arial"/>
              <w:b/>
              <w:bCs/>
              <w:sz w:val="22"/>
              <w:szCs w:val="22"/>
              <w:lang w:val="es-MX"/>
            </w:rPr>
            <w:t xml:space="preserve">/INFOEM/IP/RR/2021 </w:t>
          </w:r>
        </w:p>
      </w:tc>
    </w:tr>
    <w:tr w:rsidR="007D0B5C" w14:paraId="5B5BE21C" w14:textId="77777777" w:rsidTr="00C47D1B">
      <w:tc>
        <w:tcPr>
          <w:tcW w:w="2553" w:type="dxa"/>
          <w:vAlign w:val="center"/>
          <w:hideMark/>
        </w:tcPr>
        <w:p w14:paraId="4AE96902" w14:textId="4E063913" w:rsidR="007D0B5C" w:rsidRDefault="007D0B5C"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2F6EF2D5" w:rsidR="007D0B5C" w:rsidRPr="004440AC" w:rsidRDefault="00FD12BF" w:rsidP="00C47D1B">
          <w:pPr>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XXXXXX</w:t>
          </w:r>
        </w:p>
      </w:tc>
    </w:tr>
    <w:tr w:rsidR="007D0B5C" w14:paraId="22601A11" w14:textId="77777777" w:rsidTr="00C47D1B">
      <w:trPr>
        <w:trHeight w:val="228"/>
      </w:trPr>
      <w:tc>
        <w:tcPr>
          <w:tcW w:w="2553" w:type="dxa"/>
          <w:vAlign w:val="center"/>
          <w:hideMark/>
        </w:tcPr>
        <w:p w14:paraId="6EFE221D" w14:textId="49C5F800" w:rsidR="007D0B5C" w:rsidRDefault="007D0B5C"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568FDE81" w:rsidR="007D0B5C" w:rsidRPr="004440AC" w:rsidRDefault="007D0B5C" w:rsidP="00147CBD">
          <w:pPr>
            <w:ind w:right="596"/>
            <w:jc w:val="both"/>
            <w:rPr>
              <w:rFonts w:ascii="Palatino Linotype" w:hAnsi="Palatino Linotype"/>
              <w:b/>
              <w:sz w:val="22"/>
              <w:szCs w:val="22"/>
              <w:lang w:val="es-ES_tradnl"/>
            </w:rPr>
          </w:pPr>
          <w:r w:rsidRPr="00CE2CFF">
            <w:rPr>
              <w:rFonts w:ascii="Palatino Linotype" w:hAnsi="Palatino Linotype"/>
              <w:b/>
              <w:sz w:val="22"/>
              <w:szCs w:val="22"/>
              <w:lang w:val="es-ES_tradnl"/>
            </w:rPr>
            <w:t>Secretaría de Cultura y Turismo</w:t>
          </w:r>
        </w:p>
      </w:tc>
    </w:tr>
    <w:tr w:rsidR="007D0B5C" w14:paraId="2D6C630E" w14:textId="77777777" w:rsidTr="00C47D1B">
      <w:tc>
        <w:tcPr>
          <w:tcW w:w="2553" w:type="dxa"/>
          <w:vAlign w:val="center"/>
          <w:hideMark/>
        </w:tcPr>
        <w:p w14:paraId="5BD4C6DB" w14:textId="4E635FC6" w:rsidR="007D0B5C" w:rsidRDefault="007D0B5C"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5F0997C" w:rsidR="007D0B5C" w:rsidRPr="004440AC" w:rsidRDefault="007D0B5C"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7D0B5C" w:rsidRDefault="007D0B5C"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83387" w14:textId="3E042620" w:rsidR="00452DAF" w:rsidRDefault="00452DAF" w:rsidP="00C47D1B">
    <w:pPr>
      <w:pStyle w:val="Encabezado"/>
      <w:jc w:val="both"/>
    </w:pPr>
    <w:r>
      <w:t xml:space="preserve">                                  </w:t>
    </w:r>
  </w:p>
  <w:p w14:paraId="117DA066" w14:textId="77777777" w:rsidR="00452DAF" w:rsidRDefault="00452DA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53899"/>
    <w:multiLevelType w:val="hybridMultilevel"/>
    <w:tmpl w:val="3E8ABE0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6C5A2A"/>
    <w:multiLevelType w:val="hybridMultilevel"/>
    <w:tmpl w:val="CDEA34D4"/>
    <w:lvl w:ilvl="0" w:tplc="C04245A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AD96A5C"/>
    <w:multiLevelType w:val="hybridMultilevel"/>
    <w:tmpl w:val="3E8ABE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465701"/>
    <w:multiLevelType w:val="hybridMultilevel"/>
    <w:tmpl w:val="7C82240A"/>
    <w:lvl w:ilvl="0" w:tplc="EF9A759C">
      <w:start w:val="1"/>
      <w:numFmt w:val="upperRoman"/>
      <w:lvlText w:val="%1."/>
      <w:lvlJc w:val="left"/>
      <w:pPr>
        <w:ind w:left="3263" w:hanging="720"/>
      </w:pPr>
      <w:rPr>
        <w:rFonts w:hint="default"/>
      </w:rPr>
    </w:lvl>
    <w:lvl w:ilvl="1" w:tplc="080A0019" w:tentative="1">
      <w:start w:val="1"/>
      <w:numFmt w:val="lowerLetter"/>
      <w:lvlText w:val="%2."/>
      <w:lvlJc w:val="left"/>
      <w:pPr>
        <w:ind w:left="3623" w:hanging="360"/>
      </w:pPr>
    </w:lvl>
    <w:lvl w:ilvl="2" w:tplc="080A001B" w:tentative="1">
      <w:start w:val="1"/>
      <w:numFmt w:val="lowerRoman"/>
      <w:lvlText w:val="%3."/>
      <w:lvlJc w:val="right"/>
      <w:pPr>
        <w:ind w:left="4343" w:hanging="180"/>
      </w:pPr>
    </w:lvl>
    <w:lvl w:ilvl="3" w:tplc="080A000F" w:tentative="1">
      <w:start w:val="1"/>
      <w:numFmt w:val="decimal"/>
      <w:lvlText w:val="%4."/>
      <w:lvlJc w:val="left"/>
      <w:pPr>
        <w:ind w:left="5063" w:hanging="360"/>
      </w:pPr>
    </w:lvl>
    <w:lvl w:ilvl="4" w:tplc="080A0019" w:tentative="1">
      <w:start w:val="1"/>
      <w:numFmt w:val="lowerLetter"/>
      <w:lvlText w:val="%5."/>
      <w:lvlJc w:val="left"/>
      <w:pPr>
        <w:ind w:left="5783" w:hanging="360"/>
      </w:pPr>
    </w:lvl>
    <w:lvl w:ilvl="5" w:tplc="080A001B" w:tentative="1">
      <w:start w:val="1"/>
      <w:numFmt w:val="lowerRoman"/>
      <w:lvlText w:val="%6."/>
      <w:lvlJc w:val="right"/>
      <w:pPr>
        <w:ind w:left="6503" w:hanging="180"/>
      </w:pPr>
    </w:lvl>
    <w:lvl w:ilvl="6" w:tplc="080A000F" w:tentative="1">
      <w:start w:val="1"/>
      <w:numFmt w:val="decimal"/>
      <w:lvlText w:val="%7."/>
      <w:lvlJc w:val="left"/>
      <w:pPr>
        <w:ind w:left="7223" w:hanging="360"/>
      </w:pPr>
    </w:lvl>
    <w:lvl w:ilvl="7" w:tplc="080A0019" w:tentative="1">
      <w:start w:val="1"/>
      <w:numFmt w:val="lowerLetter"/>
      <w:lvlText w:val="%8."/>
      <w:lvlJc w:val="left"/>
      <w:pPr>
        <w:ind w:left="7943" w:hanging="360"/>
      </w:pPr>
    </w:lvl>
    <w:lvl w:ilvl="8" w:tplc="080A001B" w:tentative="1">
      <w:start w:val="1"/>
      <w:numFmt w:val="lowerRoman"/>
      <w:lvlText w:val="%9."/>
      <w:lvlJc w:val="right"/>
      <w:pPr>
        <w:ind w:left="8663" w:hanging="180"/>
      </w:pPr>
    </w:lvl>
  </w:abstractNum>
  <w:abstractNum w:abstractNumId="4" w15:restartNumberingAfterBreak="0">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AA3091"/>
    <w:multiLevelType w:val="hybridMultilevel"/>
    <w:tmpl w:val="809A392C"/>
    <w:lvl w:ilvl="0" w:tplc="4A3685A4">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130B361A"/>
    <w:multiLevelType w:val="hybridMultilevel"/>
    <w:tmpl w:val="C7BC112C"/>
    <w:lvl w:ilvl="0" w:tplc="D37268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8" w15:restartNumberingAfterBreak="0">
    <w:nsid w:val="21740601"/>
    <w:multiLevelType w:val="hybridMultilevel"/>
    <w:tmpl w:val="809A392C"/>
    <w:lvl w:ilvl="0" w:tplc="4A3685A4">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25B663C3"/>
    <w:multiLevelType w:val="hybridMultilevel"/>
    <w:tmpl w:val="D3E20DE0"/>
    <w:lvl w:ilvl="0" w:tplc="68A027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CB3D36"/>
    <w:multiLevelType w:val="hybridMultilevel"/>
    <w:tmpl w:val="0B4E1AF4"/>
    <w:lvl w:ilvl="0" w:tplc="080A0001">
      <w:start w:val="1"/>
      <w:numFmt w:val="bullet"/>
      <w:lvlText w:val=""/>
      <w:lvlJc w:val="left"/>
      <w:pPr>
        <w:ind w:left="1845" w:hanging="360"/>
      </w:pPr>
      <w:rPr>
        <w:rFonts w:ascii="Symbol" w:hAnsi="Symbol" w:hint="default"/>
      </w:rPr>
    </w:lvl>
    <w:lvl w:ilvl="1" w:tplc="080A0003" w:tentative="1">
      <w:start w:val="1"/>
      <w:numFmt w:val="bullet"/>
      <w:lvlText w:val="o"/>
      <w:lvlJc w:val="left"/>
      <w:pPr>
        <w:ind w:left="2565" w:hanging="360"/>
      </w:pPr>
      <w:rPr>
        <w:rFonts w:ascii="Courier New" w:hAnsi="Courier New" w:cs="Courier New" w:hint="default"/>
      </w:rPr>
    </w:lvl>
    <w:lvl w:ilvl="2" w:tplc="080A0005" w:tentative="1">
      <w:start w:val="1"/>
      <w:numFmt w:val="bullet"/>
      <w:lvlText w:val=""/>
      <w:lvlJc w:val="left"/>
      <w:pPr>
        <w:ind w:left="3285" w:hanging="360"/>
      </w:pPr>
      <w:rPr>
        <w:rFonts w:ascii="Wingdings" w:hAnsi="Wingdings" w:hint="default"/>
      </w:rPr>
    </w:lvl>
    <w:lvl w:ilvl="3" w:tplc="080A0001" w:tentative="1">
      <w:start w:val="1"/>
      <w:numFmt w:val="bullet"/>
      <w:lvlText w:val=""/>
      <w:lvlJc w:val="left"/>
      <w:pPr>
        <w:ind w:left="4005" w:hanging="360"/>
      </w:pPr>
      <w:rPr>
        <w:rFonts w:ascii="Symbol" w:hAnsi="Symbol" w:hint="default"/>
      </w:rPr>
    </w:lvl>
    <w:lvl w:ilvl="4" w:tplc="080A0003" w:tentative="1">
      <w:start w:val="1"/>
      <w:numFmt w:val="bullet"/>
      <w:lvlText w:val="o"/>
      <w:lvlJc w:val="left"/>
      <w:pPr>
        <w:ind w:left="4725" w:hanging="360"/>
      </w:pPr>
      <w:rPr>
        <w:rFonts w:ascii="Courier New" w:hAnsi="Courier New" w:cs="Courier New" w:hint="default"/>
      </w:rPr>
    </w:lvl>
    <w:lvl w:ilvl="5" w:tplc="080A0005" w:tentative="1">
      <w:start w:val="1"/>
      <w:numFmt w:val="bullet"/>
      <w:lvlText w:val=""/>
      <w:lvlJc w:val="left"/>
      <w:pPr>
        <w:ind w:left="5445" w:hanging="360"/>
      </w:pPr>
      <w:rPr>
        <w:rFonts w:ascii="Wingdings" w:hAnsi="Wingdings" w:hint="default"/>
      </w:rPr>
    </w:lvl>
    <w:lvl w:ilvl="6" w:tplc="080A0001" w:tentative="1">
      <w:start w:val="1"/>
      <w:numFmt w:val="bullet"/>
      <w:lvlText w:val=""/>
      <w:lvlJc w:val="left"/>
      <w:pPr>
        <w:ind w:left="6165" w:hanging="360"/>
      </w:pPr>
      <w:rPr>
        <w:rFonts w:ascii="Symbol" w:hAnsi="Symbol" w:hint="default"/>
      </w:rPr>
    </w:lvl>
    <w:lvl w:ilvl="7" w:tplc="080A0003" w:tentative="1">
      <w:start w:val="1"/>
      <w:numFmt w:val="bullet"/>
      <w:lvlText w:val="o"/>
      <w:lvlJc w:val="left"/>
      <w:pPr>
        <w:ind w:left="6885" w:hanging="360"/>
      </w:pPr>
      <w:rPr>
        <w:rFonts w:ascii="Courier New" w:hAnsi="Courier New" w:cs="Courier New" w:hint="default"/>
      </w:rPr>
    </w:lvl>
    <w:lvl w:ilvl="8" w:tplc="080A0005" w:tentative="1">
      <w:start w:val="1"/>
      <w:numFmt w:val="bullet"/>
      <w:lvlText w:val=""/>
      <w:lvlJc w:val="left"/>
      <w:pPr>
        <w:ind w:left="7605" w:hanging="360"/>
      </w:pPr>
      <w:rPr>
        <w:rFonts w:ascii="Wingdings" w:hAnsi="Wingdings" w:hint="default"/>
      </w:rPr>
    </w:lvl>
  </w:abstractNum>
  <w:abstractNum w:abstractNumId="11" w15:restartNumberingAfterBreak="0">
    <w:nsid w:val="296B2E4D"/>
    <w:multiLevelType w:val="hybridMultilevel"/>
    <w:tmpl w:val="3E8ABE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8E2722"/>
    <w:multiLevelType w:val="hybridMultilevel"/>
    <w:tmpl w:val="2F66C16C"/>
    <w:lvl w:ilvl="0" w:tplc="F8C67AAA">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CA1733"/>
    <w:multiLevelType w:val="hybridMultilevel"/>
    <w:tmpl w:val="67989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0856AF"/>
    <w:multiLevelType w:val="hybridMultilevel"/>
    <w:tmpl w:val="711CA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4B3963"/>
    <w:multiLevelType w:val="hybridMultilevel"/>
    <w:tmpl w:val="F9E43E5A"/>
    <w:lvl w:ilvl="0" w:tplc="570262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230494"/>
    <w:multiLevelType w:val="hybridMultilevel"/>
    <w:tmpl w:val="5ABEA79A"/>
    <w:lvl w:ilvl="0" w:tplc="520895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707B12"/>
    <w:multiLevelType w:val="hybridMultilevel"/>
    <w:tmpl w:val="646031E4"/>
    <w:lvl w:ilvl="0" w:tplc="B0901A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1546244"/>
    <w:multiLevelType w:val="hybridMultilevel"/>
    <w:tmpl w:val="D0E45652"/>
    <w:lvl w:ilvl="0" w:tplc="6846ACCE">
      <w:start w:val="5"/>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339253F"/>
    <w:multiLevelType w:val="hybridMultilevel"/>
    <w:tmpl w:val="19787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7651FB"/>
    <w:multiLevelType w:val="hybridMultilevel"/>
    <w:tmpl w:val="069AC644"/>
    <w:lvl w:ilvl="0" w:tplc="9086054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9545708"/>
    <w:multiLevelType w:val="hybridMultilevel"/>
    <w:tmpl w:val="2174E7DE"/>
    <w:lvl w:ilvl="0" w:tplc="9E861A5A">
      <w:start w:val="1"/>
      <w:numFmt w:val="decimal"/>
      <w:lvlText w:val="%1."/>
      <w:lvlJc w:val="left"/>
      <w:pPr>
        <w:ind w:left="6456"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C25C6D"/>
    <w:multiLevelType w:val="hybridMultilevel"/>
    <w:tmpl w:val="3E8ABE0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5E5D1C"/>
    <w:multiLevelType w:val="hybridMultilevel"/>
    <w:tmpl w:val="19C62AEA"/>
    <w:lvl w:ilvl="0" w:tplc="974494FE">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4F1642CD"/>
    <w:multiLevelType w:val="hybridMultilevel"/>
    <w:tmpl w:val="CF129CA2"/>
    <w:lvl w:ilvl="0" w:tplc="9F70FE4C">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F51F97"/>
    <w:multiLevelType w:val="hybridMultilevel"/>
    <w:tmpl w:val="A05A25BE"/>
    <w:lvl w:ilvl="0" w:tplc="5880987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57BE6898"/>
    <w:multiLevelType w:val="hybridMultilevel"/>
    <w:tmpl w:val="AF168B9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43518A3"/>
    <w:multiLevelType w:val="hybridMultilevel"/>
    <w:tmpl w:val="3E8ABE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0136A0"/>
    <w:multiLevelType w:val="hybridMultilevel"/>
    <w:tmpl w:val="D4266D18"/>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1A781F"/>
    <w:multiLevelType w:val="hybridMultilevel"/>
    <w:tmpl w:val="D3A28A4C"/>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78604BA4"/>
    <w:multiLevelType w:val="hybridMultilevel"/>
    <w:tmpl w:val="487E986C"/>
    <w:lvl w:ilvl="0" w:tplc="D0061EB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8" w15:restartNumberingAfterBreak="0">
    <w:nsid w:val="7B5F378E"/>
    <w:multiLevelType w:val="hybridMultilevel"/>
    <w:tmpl w:val="81169310"/>
    <w:lvl w:ilvl="0" w:tplc="B3BCA9EE">
      <w:start w:val="1"/>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363AB9"/>
    <w:multiLevelType w:val="hybridMultilevel"/>
    <w:tmpl w:val="390AA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3"/>
  </w:num>
  <w:num w:numId="3">
    <w:abstractNumId w:val="21"/>
  </w:num>
  <w:num w:numId="4">
    <w:abstractNumId w:val="37"/>
  </w:num>
  <w:num w:numId="5">
    <w:abstractNumId w:val="9"/>
  </w:num>
  <w:num w:numId="6">
    <w:abstractNumId w:val="30"/>
  </w:num>
  <w:num w:numId="7">
    <w:abstractNumId w:val="20"/>
  </w:num>
  <w:num w:numId="8">
    <w:abstractNumId w:val="23"/>
  </w:num>
  <w:num w:numId="9">
    <w:abstractNumId w:val="31"/>
  </w:num>
  <w:num w:numId="10">
    <w:abstractNumId w:val="19"/>
  </w:num>
  <w:num w:numId="11">
    <w:abstractNumId w:val="1"/>
  </w:num>
  <w:num w:numId="12">
    <w:abstractNumId w:val="29"/>
  </w:num>
  <w:num w:numId="13">
    <w:abstractNumId w:val="25"/>
  </w:num>
  <w:num w:numId="14">
    <w:abstractNumId w:val="17"/>
  </w:num>
  <w:num w:numId="15">
    <w:abstractNumId w:val="6"/>
  </w:num>
  <w:num w:numId="16">
    <w:abstractNumId w:val="32"/>
  </w:num>
  <w:num w:numId="17">
    <w:abstractNumId w:val="34"/>
  </w:num>
  <w:num w:numId="18">
    <w:abstractNumId w:val="38"/>
  </w:num>
  <w:num w:numId="19">
    <w:abstractNumId w:val="22"/>
  </w:num>
  <w:num w:numId="20">
    <w:abstractNumId w:val="18"/>
  </w:num>
  <w:num w:numId="21">
    <w:abstractNumId w:val="15"/>
  </w:num>
  <w:num w:numId="22">
    <w:abstractNumId w:val="13"/>
  </w:num>
  <w:num w:numId="23">
    <w:abstractNumId w:val="14"/>
  </w:num>
  <w:num w:numId="24">
    <w:abstractNumId w:val="40"/>
  </w:num>
  <w:num w:numId="25">
    <w:abstractNumId w:val="16"/>
  </w:num>
  <w:num w:numId="26">
    <w:abstractNumId w:val="33"/>
  </w:num>
  <w:num w:numId="27">
    <w:abstractNumId w:val="26"/>
  </w:num>
  <w:num w:numId="28">
    <w:abstractNumId w:val="4"/>
  </w:num>
  <w:num w:numId="29">
    <w:abstractNumId w:val="28"/>
  </w:num>
  <w:num w:numId="30">
    <w:abstractNumId w:val="7"/>
  </w:num>
  <w:num w:numId="31">
    <w:abstractNumId w:val="24"/>
  </w:num>
  <w:num w:numId="32">
    <w:abstractNumId w:val="12"/>
  </w:num>
  <w:num w:numId="33">
    <w:abstractNumId w:val="5"/>
  </w:num>
  <w:num w:numId="34">
    <w:abstractNumId w:val="8"/>
  </w:num>
  <w:num w:numId="35">
    <w:abstractNumId w:val="2"/>
  </w:num>
  <w:num w:numId="36">
    <w:abstractNumId w:val="35"/>
  </w:num>
  <w:num w:numId="37">
    <w:abstractNumId w:val="27"/>
  </w:num>
  <w:num w:numId="38">
    <w:abstractNumId w:val="0"/>
  </w:num>
  <w:num w:numId="39">
    <w:abstractNumId w:val="36"/>
  </w:num>
  <w:num w:numId="40">
    <w:abstractNumId w:val="10"/>
  </w:num>
  <w:num w:numId="4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B36"/>
    <w:rsid w:val="00003443"/>
    <w:rsid w:val="000035AE"/>
    <w:rsid w:val="000045A8"/>
    <w:rsid w:val="000061F4"/>
    <w:rsid w:val="0000625E"/>
    <w:rsid w:val="000064FC"/>
    <w:rsid w:val="0000746A"/>
    <w:rsid w:val="000115F7"/>
    <w:rsid w:val="00012043"/>
    <w:rsid w:val="00012A5F"/>
    <w:rsid w:val="00012D1B"/>
    <w:rsid w:val="00013819"/>
    <w:rsid w:val="000147FB"/>
    <w:rsid w:val="000151E0"/>
    <w:rsid w:val="000155EF"/>
    <w:rsid w:val="000163E2"/>
    <w:rsid w:val="00016D2D"/>
    <w:rsid w:val="00017BE1"/>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23E1"/>
    <w:rsid w:val="00032FDC"/>
    <w:rsid w:val="0003385D"/>
    <w:rsid w:val="00033F87"/>
    <w:rsid w:val="000343A1"/>
    <w:rsid w:val="00035413"/>
    <w:rsid w:val="000354B7"/>
    <w:rsid w:val="000359D8"/>
    <w:rsid w:val="00035B1B"/>
    <w:rsid w:val="00035F2E"/>
    <w:rsid w:val="00036575"/>
    <w:rsid w:val="00036B8A"/>
    <w:rsid w:val="00041464"/>
    <w:rsid w:val="00041731"/>
    <w:rsid w:val="00041BCD"/>
    <w:rsid w:val="000423C7"/>
    <w:rsid w:val="00042D0D"/>
    <w:rsid w:val="0004471E"/>
    <w:rsid w:val="00045165"/>
    <w:rsid w:val="000454C1"/>
    <w:rsid w:val="00045FD8"/>
    <w:rsid w:val="00046578"/>
    <w:rsid w:val="00047F41"/>
    <w:rsid w:val="00051773"/>
    <w:rsid w:val="0005205E"/>
    <w:rsid w:val="00053D74"/>
    <w:rsid w:val="00054676"/>
    <w:rsid w:val="00054EFE"/>
    <w:rsid w:val="00055938"/>
    <w:rsid w:val="00057073"/>
    <w:rsid w:val="00057CB0"/>
    <w:rsid w:val="00060CD1"/>
    <w:rsid w:val="000646E3"/>
    <w:rsid w:val="0006676F"/>
    <w:rsid w:val="000667E0"/>
    <w:rsid w:val="00070A81"/>
    <w:rsid w:val="00071462"/>
    <w:rsid w:val="00071A99"/>
    <w:rsid w:val="00072D06"/>
    <w:rsid w:val="00074010"/>
    <w:rsid w:val="000752EF"/>
    <w:rsid w:val="00075D7A"/>
    <w:rsid w:val="00076CAF"/>
    <w:rsid w:val="0007730D"/>
    <w:rsid w:val="00077347"/>
    <w:rsid w:val="00077788"/>
    <w:rsid w:val="00077C21"/>
    <w:rsid w:val="00080C54"/>
    <w:rsid w:val="00080FA4"/>
    <w:rsid w:val="0008195D"/>
    <w:rsid w:val="00083058"/>
    <w:rsid w:val="0008542A"/>
    <w:rsid w:val="00085C91"/>
    <w:rsid w:val="00086EAA"/>
    <w:rsid w:val="00087498"/>
    <w:rsid w:val="00087514"/>
    <w:rsid w:val="00090EBA"/>
    <w:rsid w:val="00091682"/>
    <w:rsid w:val="0009456A"/>
    <w:rsid w:val="00094E67"/>
    <w:rsid w:val="00095FB7"/>
    <w:rsid w:val="0009719D"/>
    <w:rsid w:val="00097C05"/>
    <w:rsid w:val="00097EF0"/>
    <w:rsid w:val="000A05A2"/>
    <w:rsid w:val="000A0D0B"/>
    <w:rsid w:val="000A1C9A"/>
    <w:rsid w:val="000A1E1F"/>
    <w:rsid w:val="000A206B"/>
    <w:rsid w:val="000A33C3"/>
    <w:rsid w:val="000A351A"/>
    <w:rsid w:val="000A3A51"/>
    <w:rsid w:val="000A4EC4"/>
    <w:rsid w:val="000A515A"/>
    <w:rsid w:val="000A577A"/>
    <w:rsid w:val="000A5B28"/>
    <w:rsid w:val="000A6651"/>
    <w:rsid w:val="000A6856"/>
    <w:rsid w:val="000A7B90"/>
    <w:rsid w:val="000A7C0E"/>
    <w:rsid w:val="000B0BF3"/>
    <w:rsid w:val="000B1437"/>
    <w:rsid w:val="000B2B61"/>
    <w:rsid w:val="000B2CE3"/>
    <w:rsid w:val="000B2FE2"/>
    <w:rsid w:val="000B3FFD"/>
    <w:rsid w:val="000B4E3D"/>
    <w:rsid w:val="000B5351"/>
    <w:rsid w:val="000B57CE"/>
    <w:rsid w:val="000B69A8"/>
    <w:rsid w:val="000B7101"/>
    <w:rsid w:val="000B7B5A"/>
    <w:rsid w:val="000C16AF"/>
    <w:rsid w:val="000C1B34"/>
    <w:rsid w:val="000C3D4F"/>
    <w:rsid w:val="000C4453"/>
    <w:rsid w:val="000C54A3"/>
    <w:rsid w:val="000C54B2"/>
    <w:rsid w:val="000C6204"/>
    <w:rsid w:val="000C72EB"/>
    <w:rsid w:val="000C7714"/>
    <w:rsid w:val="000C77C6"/>
    <w:rsid w:val="000C7C04"/>
    <w:rsid w:val="000D0395"/>
    <w:rsid w:val="000D07EC"/>
    <w:rsid w:val="000D4710"/>
    <w:rsid w:val="000D4D96"/>
    <w:rsid w:val="000D6B27"/>
    <w:rsid w:val="000D7676"/>
    <w:rsid w:val="000D7F38"/>
    <w:rsid w:val="000E08B8"/>
    <w:rsid w:val="000E1259"/>
    <w:rsid w:val="000E1C85"/>
    <w:rsid w:val="000E1CA1"/>
    <w:rsid w:val="000E263C"/>
    <w:rsid w:val="000E462D"/>
    <w:rsid w:val="000E48C2"/>
    <w:rsid w:val="000E5560"/>
    <w:rsid w:val="000E59A1"/>
    <w:rsid w:val="000E706A"/>
    <w:rsid w:val="000F1BBF"/>
    <w:rsid w:val="000F219C"/>
    <w:rsid w:val="000F2EB3"/>
    <w:rsid w:val="000F4598"/>
    <w:rsid w:val="000F4728"/>
    <w:rsid w:val="000F6975"/>
    <w:rsid w:val="000F6BCB"/>
    <w:rsid w:val="000F71B5"/>
    <w:rsid w:val="000F726E"/>
    <w:rsid w:val="000F7FE2"/>
    <w:rsid w:val="001002A8"/>
    <w:rsid w:val="0010152C"/>
    <w:rsid w:val="00101832"/>
    <w:rsid w:val="001021A2"/>
    <w:rsid w:val="00103E4C"/>
    <w:rsid w:val="00104E08"/>
    <w:rsid w:val="00106146"/>
    <w:rsid w:val="00106B32"/>
    <w:rsid w:val="00107249"/>
    <w:rsid w:val="001073CC"/>
    <w:rsid w:val="00107584"/>
    <w:rsid w:val="00107A49"/>
    <w:rsid w:val="00107BBC"/>
    <w:rsid w:val="00107FC5"/>
    <w:rsid w:val="00110202"/>
    <w:rsid w:val="001110FC"/>
    <w:rsid w:val="00111A41"/>
    <w:rsid w:val="00111D7F"/>
    <w:rsid w:val="00112892"/>
    <w:rsid w:val="00112DDD"/>
    <w:rsid w:val="00112FE1"/>
    <w:rsid w:val="00114C44"/>
    <w:rsid w:val="00114D4B"/>
    <w:rsid w:val="00114DDF"/>
    <w:rsid w:val="00115AAD"/>
    <w:rsid w:val="0012062D"/>
    <w:rsid w:val="00120D7C"/>
    <w:rsid w:val="001210A4"/>
    <w:rsid w:val="001219E7"/>
    <w:rsid w:val="00122FB5"/>
    <w:rsid w:val="00124762"/>
    <w:rsid w:val="00124D16"/>
    <w:rsid w:val="00126971"/>
    <w:rsid w:val="0012698C"/>
    <w:rsid w:val="00126994"/>
    <w:rsid w:val="00126E5D"/>
    <w:rsid w:val="00126F04"/>
    <w:rsid w:val="00127CCA"/>
    <w:rsid w:val="00130642"/>
    <w:rsid w:val="001306E4"/>
    <w:rsid w:val="00130BA7"/>
    <w:rsid w:val="00131E93"/>
    <w:rsid w:val="0013559B"/>
    <w:rsid w:val="00135D7C"/>
    <w:rsid w:val="00135D98"/>
    <w:rsid w:val="00136083"/>
    <w:rsid w:val="0013732A"/>
    <w:rsid w:val="00137C1F"/>
    <w:rsid w:val="00141F78"/>
    <w:rsid w:val="00143012"/>
    <w:rsid w:val="001434BF"/>
    <w:rsid w:val="00143967"/>
    <w:rsid w:val="00143BE8"/>
    <w:rsid w:val="001445AB"/>
    <w:rsid w:val="0014506E"/>
    <w:rsid w:val="00147CBD"/>
    <w:rsid w:val="00147E1D"/>
    <w:rsid w:val="00150789"/>
    <w:rsid w:val="00151885"/>
    <w:rsid w:val="00151D19"/>
    <w:rsid w:val="00152866"/>
    <w:rsid w:val="00153022"/>
    <w:rsid w:val="0015311F"/>
    <w:rsid w:val="001539B3"/>
    <w:rsid w:val="00153F8E"/>
    <w:rsid w:val="001543BC"/>
    <w:rsid w:val="0015502B"/>
    <w:rsid w:val="0015575F"/>
    <w:rsid w:val="00157364"/>
    <w:rsid w:val="00160156"/>
    <w:rsid w:val="00161160"/>
    <w:rsid w:val="00161B66"/>
    <w:rsid w:val="00161F64"/>
    <w:rsid w:val="00161FC4"/>
    <w:rsid w:val="00162CA1"/>
    <w:rsid w:val="00163B98"/>
    <w:rsid w:val="00164BD1"/>
    <w:rsid w:val="00166139"/>
    <w:rsid w:val="001667F0"/>
    <w:rsid w:val="00167F89"/>
    <w:rsid w:val="00167F8F"/>
    <w:rsid w:val="001701C4"/>
    <w:rsid w:val="001701D6"/>
    <w:rsid w:val="001703E9"/>
    <w:rsid w:val="00170444"/>
    <w:rsid w:val="00170D88"/>
    <w:rsid w:val="00170E0A"/>
    <w:rsid w:val="00172089"/>
    <w:rsid w:val="001723BF"/>
    <w:rsid w:val="0017530C"/>
    <w:rsid w:val="0017555E"/>
    <w:rsid w:val="00175974"/>
    <w:rsid w:val="00175A2B"/>
    <w:rsid w:val="0017655C"/>
    <w:rsid w:val="00177A27"/>
    <w:rsid w:val="00181594"/>
    <w:rsid w:val="00181791"/>
    <w:rsid w:val="00182E55"/>
    <w:rsid w:val="00183275"/>
    <w:rsid w:val="00184615"/>
    <w:rsid w:val="00184BC3"/>
    <w:rsid w:val="00184FBA"/>
    <w:rsid w:val="001852E0"/>
    <w:rsid w:val="00185769"/>
    <w:rsid w:val="001865EC"/>
    <w:rsid w:val="0018689B"/>
    <w:rsid w:val="00186B63"/>
    <w:rsid w:val="00186C88"/>
    <w:rsid w:val="001871B2"/>
    <w:rsid w:val="00190A74"/>
    <w:rsid w:val="001911CC"/>
    <w:rsid w:val="001913E0"/>
    <w:rsid w:val="001916C9"/>
    <w:rsid w:val="00191ACE"/>
    <w:rsid w:val="00193909"/>
    <w:rsid w:val="00193AFC"/>
    <w:rsid w:val="00196EF5"/>
    <w:rsid w:val="00197DA4"/>
    <w:rsid w:val="001A0542"/>
    <w:rsid w:val="001A05BA"/>
    <w:rsid w:val="001A063A"/>
    <w:rsid w:val="001A083E"/>
    <w:rsid w:val="001A0F86"/>
    <w:rsid w:val="001A1810"/>
    <w:rsid w:val="001A2131"/>
    <w:rsid w:val="001A2A37"/>
    <w:rsid w:val="001A2FF3"/>
    <w:rsid w:val="001A373A"/>
    <w:rsid w:val="001A4F68"/>
    <w:rsid w:val="001A7913"/>
    <w:rsid w:val="001B2379"/>
    <w:rsid w:val="001B2BB7"/>
    <w:rsid w:val="001B3256"/>
    <w:rsid w:val="001B3C02"/>
    <w:rsid w:val="001B3F3C"/>
    <w:rsid w:val="001B5099"/>
    <w:rsid w:val="001B6BDC"/>
    <w:rsid w:val="001B6E23"/>
    <w:rsid w:val="001C0335"/>
    <w:rsid w:val="001C085B"/>
    <w:rsid w:val="001C0C3F"/>
    <w:rsid w:val="001C0D1F"/>
    <w:rsid w:val="001C1CAE"/>
    <w:rsid w:val="001C1DC2"/>
    <w:rsid w:val="001C2C35"/>
    <w:rsid w:val="001C304B"/>
    <w:rsid w:val="001C51A0"/>
    <w:rsid w:val="001C592C"/>
    <w:rsid w:val="001C5CD3"/>
    <w:rsid w:val="001C5D08"/>
    <w:rsid w:val="001D0631"/>
    <w:rsid w:val="001D064E"/>
    <w:rsid w:val="001D19AB"/>
    <w:rsid w:val="001D54C7"/>
    <w:rsid w:val="001D63C6"/>
    <w:rsid w:val="001D76EA"/>
    <w:rsid w:val="001E0794"/>
    <w:rsid w:val="001E0ACB"/>
    <w:rsid w:val="001E1C02"/>
    <w:rsid w:val="001E1DC3"/>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56C5"/>
    <w:rsid w:val="001F5F92"/>
    <w:rsid w:val="001F6D50"/>
    <w:rsid w:val="0020054B"/>
    <w:rsid w:val="00201129"/>
    <w:rsid w:val="00201475"/>
    <w:rsid w:val="00201E21"/>
    <w:rsid w:val="002046CA"/>
    <w:rsid w:val="00204B9D"/>
    <w:rsid w:val="00204C2A"/>
    <w:rsid w:val="00205361"/>
    <w:rsid w:val="00205ADF"/>
    <w:rsid w:val="00205E8A"/>
    <w:rsid w:val="002065D1"/>
    <w:rsid w:val="002070E6"/>
    <w:rsid w:val="00210DC5"/>
    <w:rsid w:val="00212FE4"/>
    <w:rsid w:val="00213228"/>
    <w:rsid w:val="002138BC"/>
    <w:rsid w:val="00213CB0"/>
    <w:rsid w:val="0021442C"/>
    <w:rsid w:val="00214F48"/>
    <w:rsid w:val="002155B0"/>
    <w:rsid w:val="0021583F"/>
    <w:rsid w:val="00215922"/>
    <w:rsid w:val="00220958"/>
    <w:rsid w:val="00221545"/>
    <w:rsid w:val="00221AF3"/>
    <w:rsid w:val="00221D2C"/>
    <w:rsid w:val="0022285B"/>
    <w:rsid w:val="00222F65"/>
    <w:rsid w:val="00223D0B"/>
    <w:rsid w:val="002245E3"/>
    <w:rsid w:val="00225FCB"/>
    <w:rsid w:val="002278E9"/>
    <w:rsid w:val="00227FF6"/>
    <w:rsid w:val="00231269"/>
    <w:rsid w:val="0023264F"/>
    <w:rsid w:val="00233285"/>
    <w:rsid w:val="00233748"/>
    <w:rsid w:val="0023380E"/>
    <w:rsid w:val="002339A2"/>
    <w:rsid w:val="00233F88"/>
    <w:rsid w:val="00234370"/>
    <w:rsid w:val="00234DEF"/>
    <w:rsid w:val="00235FB4"/>
    <w:rsid w:val="00236E44"/>
    <w:rsid w:val="00242C4A"/>
    <w:rsid w:val="0024380A"/>
    <w:rsid w:val="0024404E"/>
    <w:rsid w:val="002440EB"/>
    <w:rsid w:val="002441D0"/>
    <w:rsid w:val="00244265"/>
    <w:rsid w:val="00244EEF"/>
    <w:rsid w:val="00247F5D"/>
    <w:rsid w:val="00250870"/>
    <w:rsid w:val="00251066"/>
    <w:rsid w:val="00251C63"/>
    <w:rsid w:val="002529ED"/>
    <w:rsid w:val="002530D5"/>
    <w:rsid w:val="0025386B"/>
    <w:rsid w:val="00253F03"/>
    <w:rsid w:val="00254EEB"/>
    <w:rsid w:val="002556CA"/>
    <w:rsid w:val="00255E4E"/>
    <w:rsid w:val="00256193"/>
    <w:rsid w:val="00257AA8"/>
    <w:rsid w:val="00260D05"/>
    <w:rsid w:val="0026142E"/>
    <w:rsid w:val="0026164E"/>
    <w:rsid w:val="0026271B"/>
    <w:rsid w:val="002629E7"/>
    <w:rsid w:val="002657BB"/>
    <w:rsid w:val="00265B86"/>
    <w:rsid w:val="0026683E"/>
    <w:rsid w:val="00266A60"/>
    <w:rsid w:val="002677C1"/>
    <w:rsid w:val="00267A6D"/>
    <w:rsid w:val="00270016"/>
    <w:rsid w:val="00271266"/>
    <w:rsid w:val="00271446"/>
    <w:rsid w:val="00275423"/>
    <w:rsid w:val="00276D8F"/>
    <w:rsid w:val="00276F2E"/>
    <w:rsid w:val="0027702B"/>
    <w:rsid w:val="00277F70"/>
    <w:rsid w:val="002817BA"/>
    <w:rsid w:val="00281EF2"/>
    <w:rsid w:val="00282135"/>
    <w:rsid w:val="00282559"/>
    <w:rsid w:val="00283308"/>
    <w:rsid w:val="002844B1"/>
    <w:rsid w:val="002856DC"/>
    <w:rsid w:val="002862B9"/>
    <w:rsid w:val="0028632C"/>
    <w:rsid w:val="002864D4"/>
    <w:rsid w:val="00286DC8"/>
    <w:rsid w:val="00290C42"/>
    <w:rsid w:val="00291435"/>
    <w:rsid w:val="00291A1A"/>
    <w:rsid w:val="00291ACA"/>
    <w:rsid w:val="00292786"/>
    <w:rsid w:val="002937C6"/>
    <w:rsid w:val="00293DE5"/>
    <w:rsid w:val="00293E07"/>
    <w:rsid w:val="00295078"/>
    <w:rsid w:val="00295960"/>
    <w:rsid w:val="00295C72"/>
    <w:rsid w:val="00295D44"/>
    <w:rsid w:val="00295DE7"/>
    <w:rsid w:val="00297AB0"/>
    <w:rsid w:val="00297F13"/>
    <w:rsid w:val="002A0448"/>
    <w:rsid w:val="002A28FE"/>
    <w:rsid w:val="002A3A7A"/>
    <w:rsid w:val="002A431E"/>
    <w:rsid w:val="002A43B0"/>
    <w:rsid w:val="002A482E"/>
    <w:rsid w:val="002A5EA5"/>
    <w:rsid w:val="002A6CC7"/>
    <w:rsid w:val="002B0A1D"/>
    <w:rsid w:val="002B0EF8"/>
    <w:rsid w:val="002B1708"/>
    <w:rsid w:val="002B2467"/>
    <w:rsid w:val="002B393B"/>
    <w:rsid w:val="002B42A2"/>
    <w:rsid w:val="002B45EF"/>
    <w:rsid w:val="002B45F2"/>
    <w:rsid w:val="002B4950"/>
    <w:rsid w:val="002B62AF"/>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112D"/>
    <w:rsid w:val="002D248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CAB"/>
    <w:rsid w:val="002F2FB4"/>
    <w:rsid w:val="002F3329"/>
    <w:rsid w:val="002F3910"/>
    <w:rsid w:val="002F3A84"/>
    <w:rsid w:val="002F411A"/>
    <w:rsid w:val="002F54A4"/>
    <w:rsid w:val="002F5A90"/>
    <w:rsid w:val="002F700E"/>
    <w:rsid w:val="002F772C"/>
    <w:rsid w:val="002F7750"/>
    <w:rsid w:val="002F78E8"/>
    <w:rsid w:val="002F7C94"/>
    <w:rsid w:val="003002F7"/>
    <w:rsid w:val="00302787"/>
    <w:rsid w:val="00302C06"/>
    <w:rsid w:val="00302FBC"/>
    <w:rsid w:val="00303BC7"/>
    <w:rsid w:val="00304058"/>
    <w:rsid w:val="003042EE"/>
    <w:rsid w:val="00305480"/>
    <w:rsid w:val="00305DF9"/>
    <w:rsid w:val="00306589"/>
    <w:rsid w:val="00306B09"/>
    <w:rsid w:val="00306D3D"/>
    <w:rsid w:val="0030711C"/>
    <w:rsid w:val="00307186"/>
    <w:rsid w:val="00307275"/>
    <w:rsid w:val="0031046F"/>
    <w:rsid w:val="0031090D"/>
    <w:rsid w:val="0031395E"/>
    <w:rsid w:val="00313AFB"/>
    <w:rsid w:val="00314023"/>
    <w:rsid w:val="00314587"/>
    <w:rsid w:val="003156AE"/>
    <w:rsid w:val="00315780"/>
    <w:rsid w:val="00315891"/>
    <w:rsid w:val="00316240"/>
    <w:rsid w:val="0032038B"/>
    <w:rsid w:val="00320B63"/>
    <w:rsid w:val="00321D72"/>
    <w:rsid w:val="00322AE2"/>
    <w:rsid w:val="003231A8"/>
    <w:rsid w:val="00323355"/>
    <w:rsid w:val="00323623"/>
    <w:rsid w:val="00323995"/>
    <w:rsid w:val="00323CFF"/>
    <w:rsid w:val="0032452A"/>
    <w:rsid w:val="00325E4F"/>
    <w:rsid w:val="00326AE6"/>
    <w:rsid w:val="00326DF2"/>
    <w:rsid w:val="00327357"/>
    <w:rsid w:val="0033030C"/>
    <w:rsid w:val="00330D81"/>
    <w:rsid w:val="003324DF"/>
    <w:rsid w:val="003339C3"/>
    <w:rsid w:val="00333C7C"/>
    <w:rsid w:val="003349F4"/>
    <w:rsid w:val="00335047"/>
    <w:rsid w:val="0033544E"/>
    <w:rsid w:val="0034048B"/>
    <w:rsid w:val="003404F0"/>
    <w:rsid w:val="00340B86"/>
    <w:rsid w:val="0034164E"/>
    <w:rsid w:val="00342AE7"/>
    <w:rsid w:val="00343A82"/>
    <w:rsid w:val="00345D3E"/>
    <w:rsid w:val="00347274"/>
    <w:rsid w:val="0034736C"/>
    <w:rsid w:val="003474C9"/>
    <w:rsid w:val="00347F1F"/>
    <w:rsid w:val="00351CB7"/>
    <w:rsid w:val="003529F6"/>
    <w:rsid w:val="00352FCD"/>
    <w:rsid w:val="00353094"/>
    <w:rsid w:val="003537DE"/>
    <w:rsid w:val="003541CA"/>
    <w:rsid w:val="003543B2"/>
    <w:rsid w:val="00355368"/>
    <w:rsid w:val="003553C5"/>
    <w:rsid w:val="003555AA"/>
    <w:rsid w:val="003557C1"/>
    <w:rsid w:val="00355B75"/>
    <w:rsid w:val="00355B91"/>
    <w:rsid w:val="00356202"/>
    <w:rsid w:val="0035716F"/>
    <w:rsid w:val="003606EF"/>
    <w:rsid w:val="0036086E"/>
    <w:rsid w:val="003615B3"/>
    <w:rsid w:val="00361B13"/>
    <w:rsid w:val="0036210E"/>
    <w:rsid w:val="003633DD"/>
    <w:rsid w:val="003655C3"/>
    <w:rsid w:val="00366C6B"/>
    <w:rsid w:val="00367BBB"/>
    <w:rsid w:val="00367CE5"/>
    <w:rsid w:val="00370944"/>
    <w:rsid w:val="0037225D"/>
    <w:rsid w:val="003729E8"/>
    <w:rsid w:val="00373579"/>
    <w:rsid w:val="00374C7D"/>
    <w:rsid w:val="00374F4D"/>
    <w:rsid w:val="003756E8"/>
    <w:rsid w:val="00375BB0"/>
    <w:rsid w:val="0037663F"/>
    <w:rsid w:val="00377B34"/>
    <w:rsid w:val="00382014"/>
    <w:rsid w:val="003841CE"/>
    <w:rsid w:val="00384CD8"/>
    <w:rsid w:val="00385CD9"/>
    <w:rsid w:val="00387128"/>
    <w:rsid w:val="00391FA0"/>
    <w:rsid w:val="003936BE"/>
    <w:rsid w:val="00395E06"/>
    <w:rsid w:val="00396005"/>
    <w:rsid w:val="003A0C73"/>
    <w:rsid w:val="003A11DD"/>
    <w:rsid w:val="003A19EE"/>
    <w:rsid w:val="003A2B96"/>
    <w:rsid w:val="003A2E73"/>
    <w:rsid w:val="003A5891"/>
    <w:rsid w:val="003A5A6E"/>
    <w:rsid w:val="003A5E0F"/>
    <w:rsid w:val="003A6186"/>
    <w:rsid w:val="003A6534"/>
    <w:rsid w:val="003A68B5"/>
    <w:rsid w:val="003A7A6D"/>
    <w:rsid w:val="003A7E31"/>
    <w:rsid w:val="003A7F01"/>
    <w:rsid w:val="003B048E"/>
    <w:rsid w:val="003B5CA9"/>
    <w:rsid w:val="003B614F"/>
    <w:rsid w:val="003B62A2"/>
    <w:rsid w:val="003B6A7C"/>
    <w:rsid w:val="003B72E9"/>
    <w:rsid w:val="003C375A"/>
    <w:rsid w:val="003C4A79"/>
    <w:rsid w:val="003C5222"/>
    <w:rsid w:val="003C5460"/>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5C7E"/>
    <w:rsid w:val="003E5DB7"/>
    <w:rsid w:val="003E5F18"/>
    <w:rsid w:val="003E6D0E"/>
    <w:rsid w:val="003F09F0"/>
    <w:rsid w:val="003F14B9"/>
    <w:rsid w:val="003F2BA9"/>
    <w:rsid w:val="003F3041"/>
    <w:rsid w:val="003F3A6C"/>
    <w:rsid w:val="003F3CB4"/>
    <w:rsid w:val="003F52C2"/>
    <w:rsid w:val="003F58C3"/>
    <w:rsid w:val="003F5CBA"/>
    <w:rsid w:val="003F5E52"/>
    <w:rsid w:val="003F61FF"/>
    <w:rsid w:val="003F6A1E"/>
    <w:rsid w:val="003F733C"/>
    <w:rsid w:val="003F7346"/>
    <w:rsid w:val="003F7844"/>
    <w:rsid w:val="0040160B"/>
    <w:rsid w:val="0040233B"/>
    <w:rsid w:val="00402FD7"/>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259"/>
    <w:rsid w:val="00422DF8"/>
    <w:rsid w:val="0042327C"/>
    <w:rsid w:val="00423786"/>
    <w:rsid w:val="00423D1D"/>
    <w:rsid w:val="00424241"/>
    <w:rsid w:val="00425620"/>
    <w:rsid w:val="0042744F"/>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0CFA"/>
    <w:rsid w:val="00441BF3"/>
    <w:rsid w:val="004436A9"/>
    <w:rsid w:val="004436ED"/>
    <w:rsid w:val="00443FE0"/>
    <w:rsid w:val="004440AC"/>
    <w:rsid w:val="004443A2"/>
    <w:rsid w:val="00444919"/>
    <w:rsid w:val="0044547C"/>
    <w:rsid w:val="00446BB3"/>
    <w:rsid w:val="00446C36"/>
    <w:rsid w:val="00446E01"/>
    <w:rsid w:val="004471D2"/>
    <w:rsid w:val="00450869"/>
    <w:rsid w:val="00450F57"/>
    <w:rsid w:val="00451E4C"/>
    <w:rsid w:val="00451F5B"/>
    <w:rsid w:val="004521FB"/>
    <w:rsid w:val="00452AF2"/>
    <w:rsid w:val="00452DAF"/>
    <w:rsid w:val="00452EC7"/>
    <w:rsid w:val="00453028"/>
    <w:rsid w:val="00453918"/>
    <w:rsid w:val="004553D4"/>
    <w:rsid w:val="00455768"/>
    <w:rsid w:val="00456E2C"/>
    <w:rsid w:val="00457077"/>
    <w:rsid w:val="00457726"/>
    <w:rsid w:val="00457FC7"/>
    <w:rsid w:val="00460895"/>
    <w:rsid w:val="00461796"/>
    <w:rsid w:val="004619C8"/>
    <w:rsid w:val="00461A0A"/>
    <w:rsid w:val="00461B3D"/>
    <w:rsid w:val="00462197"/>
    <w:rsid w:val="00462417"/>
    <w:rsid w:val="004645F5"/>
    <w:rsid w:val="00464624"/>
    <w:rsid w:val="00465E62"/>
    <w:rsid w:val="00467700"/>
    <w:rsid w:val="004677F9"/>
    <w:rsid w:val="00467874"/>
    <w:rsid w:val="004716B0"/>
    <w:rsid w:val="004716C4"/>
    <w:rsid w:val="00472460"/>
    <w:rsid w:val="004754E1"/>
    <w:rsid w:val="004763B5"/>
    <w:rsid w:val="00476A24"/>
    <w:rsid w:val="0047775E"/>
    <w:rsid w:val="00481ABD"/>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A0812"/>
    <w:rsid w:val="004A0EA8"/>
    <w:rsid w:val="004A14D9"/>
    <w:rsid w:val="004A21F6"/>
    <w:rsid w:val="004A4608"/>
    <w:rsid w:val="004A4B61"/>
    <w:rsid w:val="004A6E0B"/>
    <w:rsid w:val="004A6EFE"/>
    <w:rsid w:val="004A70A0"/>
    <w:rsid w:val="004A755A"/>
    <w:rsid w:val="004A79C5"/>
    <w:rsid w:val="004B0E8B"/>
    <w:rsid w:val="004B1858"/>
    <w:rsid w:val="004B1A4B"/>
    <w:rsid w:val="004B2540"/>
    <w:rsid w:val="004B3D11"/>
    <w:rsid w:val="004B455B"/>
    <w:rsid w:val="004B4987"/>
    <w:rsid w:val="004B4DC3"/>
    <w:rsid w:val="004B58C3"/>
    <w:rsid w:val="004B675F"/>
    <w:rsid w:val="004B72C5"/>
    <w:rsid w:val="004B7A1B"/>
    <w:rsid w:val="004C06C6"/>
    <w:rsid w:val="004C08BF"/>
    <w:rsid w:val="004C3804"/>
    <w:rsid w:val="004C3F96"/>
    <w:rsid w:val="004C41D8"/>
    <w:rsid w:val="004C45A2"/>
    <w:rsid w:val="004C56DE"/>
    <w:rsid w:val="004C6611"/>
    <w:rsid w:val="004C7629"/>
    <w:rsid w:val="004C7701"/>
    <w:rsid w:val="004D088F"/>
    <w:rsid w:val="004D0A26"/>
    <w:rsid w:val="004D0EE4"/>
    <w:rsid w:val="004D30E1"/>
    <w:rsid w:val="004D3494"/>
    <w:rsid w:val="004D482C"/>
    <w:rsid w:val="004D5AC0"/>
    <w:rsid w:val="004D5FEF"/>
    <w:rsid w:val="004D764F"/>
    <w:rsid w:val="004E1EBF"/>
    <w:rsid w:val="004E27AD"/>
    <w:rsid w:val="004E37B6"/>
    <w:rsid w:val="004E3AFD"/>
    <w:rsid w:val="004E44D0"/>
    <w:rsid w:val="004E4987"/>
    <w:rsid w:val="004E585B"/>
    <w:rsid w:val="004E75F4"/>
    <w:rsid w:val="004F227C"/>
    <w:rsid w:val="004F2CC0"/>
    <w:rsid w:val="004F3B64"/>
    <w:rsid w:val="004F5243"/>
    <w:rsid w:val="004F53BC"/>
    <w:rsid w:val="004F64AD"/>
    <w:rsid w:val="00501721"/>
    <w:rsid w:val="00503053"/>
    <w:rsid w:val="00503932"/>
    <w:rsid w:val="00505B26"/>
    <w:rsid w:val="0050606E"/>
    <w:rsid w:val="00507449"/>
    <w:rsid w:val="00511092"/>
    <w:rsid w:val="00511602"/>
    <w:rsid w:val="005119CD"/>
    <w:rsid w:val="00513D41"/>
    <w:rsid w:val="00513EAE"/>
    <w:rsid w:val="005164B6"/>
    <w:rsid w:val="00516E6A"/>
    <w:rsid w:val="005173C3"/>
    <w:rsid w:val="00520100"/>
    <w:rsid w:val="005206C8"/>
    <w:rsid w:val="005218EA"/>
    <w:rsid w:val="00521EE1"/>
    <w:rsid w:val="0052334A"/>
    <w:rsid w:val="00523390"/>
    <w:rsid w:val="00523435"/>
    <w:rsid w:val="0052414D"/>
    <w:rsid w:val="00525A5B"/>
    <w:rsid w:val="0052638D"/>
    <w:rsid w:val="0053002A"/>
    <w:rsid w:val="0053153A"/>
    <w:rsid w:val="00531ABD"/>
    <w:rsid w:val="005327DC"/>
    <w:rsid w:val="00535560"/>
    <w:rsid w:val="005356D8"/>
    <w:rsid w:val="00541397"/>
    <w:rsid w:val="005413A9"/>
    <w:rsid w:val="00542386"/>
    <w:rsid w:val="00542D8A"/>
    <w:rsid w:val="00544117"/>
    <w:rsid w:val="00544E0A"/>
    <w:rsid w:val="00550CA5"/>
    <w:rsid w:val="00550D2B"/>
    <w:rsid w:val="00551BA4"/>
    <w:rsid w:val="00552D59"/>
    <w:rsid w:val="00553835"/>
    <w:rsid w:val="0055461E"/>
    <w:rsid w:val="00555595"/>
    <w:rsid w:val="005556E4"/>
    <w:rsid w:val="00557314"/>
    <w:rsid w:val="00560C33"/>
    <w:rsid w:val="0056136A"/>
    <w:rsid w:val="00561B6E"/>
    <w:rsid w:val="005624EC"/>
    <w:rsid w:val="0056316F"/>
    <w:rsid w:val="00563BD5"/>
    <w:rsid w:val="00564711"/>
    <w:rsid w:val="0056479A"/>
    <w:rsid w:val="00564C3D"/>
    <w:rsid w:val="00565483"/>
    <w:rsid w:val="0056588E"/>
    <w:rsid w:val="00571391"/>
    <w:rsid w:val="005726F4"/>
    <w:rsid w:val="00573159"/>
    <w:rsid w:val="00573949"/>
    <w:rsid w:val="00573ECF"/>
    <w:rsid w:val="00573FF4"/>
    <w:rsid w:val="00574A45"/>
    <w:rsid w:val="00574A4F"/>
    <w:rsid w:val="00577287"/>
    <w:rsid w:val="00577553"/>
    <w:rsid w:val="005777E0"/>
    <w:rsid w:val="0058269D"/>
    <w:rsid w:val="0058439D"/>
    <w:rsid w:val="00585149"/>
    <w:rsid w:val="00585C24"/>
    <w:rsid w:val="00585F8F"/>
    <w:rsid w:val="0058743A"/>
    <w:rsid w:val="005875A9"/>
    <w:rsid w:val="00590D33"/>
    <w:rsid w:val="00591447"/>
    <w:rsid w:val="00591E30"/>
    <w:rsid w:val="005921E5"/>
    <w:rsid w:val="00592755"/>
    <w:rsid w:val="00592E7F"/>
    <w:rsid w:val="00593DB7"/>
    <w:rsid w:val="00594366"/>
    <w:rsid w:val="00594BC5"/>
    <w:rsid w:val="005954A5"/>
    <w:rsid w:val="005954E9"/>
    <w:rsid w:val="005A0040"/>
    <w:rsid w:val="005A119B"/>
    <w:rsid w:val="005A1564"/>
    <w:rsid w:val="005A232E"/>
    <w:rsid w:val="005A3328"/>
    <w:rsid w:val="005A4391"/>
    <w:rsid w:val="005A4F59"/>
    <w:rsid w:val="005A52D3"/>
    <w:rsid w:val="005A5544"/>
    <w:rsid w:val="005A6845"/>
    <w:rsid w:val="005A7138"/>
    <w:rsid w:val="005A7C3F"/>
    <w:rsid w:val="005B00B6"/>
    <w:rsid w:val="005B087C"/>
    <w:rsid w:val="005B112F"/>
    <w:rsid w:val="005B1FED"/>
    <w:rsid w:val="005B3671"/>
    <w:rsid w:val="005B3B62"/>
    <w:rsid w:val="005B3D93"/>
    <w:rsid w:val="005B49B8"/>
    <w:rsid w:val="005B6938"/>
    <w:rsid w:val="005B6F32"/>
    <w:rsid w:val="005B7350"/>
    <w:rsid w:val="005C0CEB"/>
    <w:rsid w:val="005C2CFB"/>
    <w:rsid w:val="005C33FB"/>
    <w:rsid w:val="005C3943"/>
    <w:rsid w:val="005C3950"/>
    <w:rsid w:val="005C3D2C"/>
    <w:rsid w:val="005C5799"/>
    <w:rsid w:val="005C5929"/>
    <w:rsid w:val="005C6B17"/>
    <w:rsid w:val="005D1DF5"/>
    <w:rsid w:val="005D45A0"/>
    <w:rsid w:val="005D6415"/>
    <w:rsid w:val="005D7248"/>
    <w:rsid w:val="005D7B7C"/>
    <w:rsid w:val="005D7CC4"/>
    <w:rsid w:val="005E0300"/>
    <w:rsid w:val="005E0424"/>
    <w:rsid w:val="005E0A7F"/>
    <w:rsid w:val="005E131F"/>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626"/>
    <w:rsid w:val="005F5725"/>
    <w:rsid w:val="0060026F"/>
    <w:rsid w:val="00600733"/>
    <w:rsid w:val="006010BF"/>
    <w:rsid w:val="0060127F"/>
    <w:rsid w:val="00601296"/>
    <w:rsid w:val="00601B42"/>
    <w:rsid w:val="006031FE"/>
    <w:rsid w:val="00603E10"/>
    <w:rsid w:val="006040AE"/>
    <w:rsid w:val="006047FC"/>
    <w:rsid w:val="006048D2"/>
    <w:rsid w:val="00604DB7"/>
    <w:rsid w:val="0060501E"/>
    <w:rsid w:val="00605233"/>
    <w:rsid w:val="006062A7"/>
    <w:rsid w:val="006065F7"/>
    <w:rsid w:val="00607550"/>
    <w:rsid w:val="00607726"/>
    <w:rsid w:val="006077EB"/>
    <w:rsid w:val="006079C9"/>
    <w:rsid w:val="006100A1"/>
    <w:rsid w:val="006104BE"/>
    <w:rsid w:val="0061110A"/>
    <w:rsid w:val="006112E3"/>
    <w:rsid w:val="00611F9E"/>
    <w:rsid w:val="006120C6"/>
    <w:rsid w:val="00612A22"/>
    <w:rsid w:val="00613D29"/>
    <w:rsid w:val="0061488D"/>
    <w:rsid w:val="0061663A"/>
    <w:rsid w:val="00616BD7"/>
    <w:rsid w:val="0062111F"/>
    <w:rsid w:val="00621BE7"/>
    <w:rsid w:val="00623508"/>
    <w:rsid w:val="00623DDC"/>
    <w:rsid w:val="00623EA3"/>
    <w:rsid w:val="00624BDB"/>
    <w:rsid w:val="00625AFD"/>
    <w:rsid w:val="00625E1B"/>
    <w:rsid w:val="00627B5D"/>
    <w:rsid w:val="00630221"/>
    <w:rsid w:val="006302FD"/>
    <w:rsid w:val="00631112"/>
    <w:rsid w:val="00631C13"/>
    <w:rsid w:val="006325BF"/>
    <w:rsid w:val="006331D9"/>
    <w:rsid w:val="0063373B"/>
    <w:rsid w:val="00633AB7"/>
    <w:rsid w:val="00634485"/>
    <w:rsid w:val="006345A0"/>
    <w:rsid w:val="006354DC"/>
    <w:rsid w:val="00635C98"/>
    <w:rsid w:val="00635D5A"/>
    <w:rsid w:val="00635EAF"/>
    <w:rsid w:val="00636313"/>
    <w:rsid w:val="00637C16"/>
    <w:rsid w:val="00637FDB"/>
    <w:rsid w:val="00641BB7"/>
    <w:rsid w:val="006445D2"/>
    <w:rsid w:val="00645887"/>
    <w:rsid w:val="0064661F"/>
    <w:rsid w:val="00647094"/>
    <w:rsid w:val="006505D9"/>
    <w:rsid w:val="00651E05"/>
    <w:rsid w:val="00653030"/>
    <w:rsid w:val="00655A19"/>
    <w:rsid w:val="00655B83"/>
    <w:rsid w:val="00655BCD"/>
    <w:rsid w:val="00655F33"/>
    <w:rsid w:val="006561B1"/>
    <w:rsid w:val="006562E3"/>
    <w:rsid w:val="00656AB0"/>
    <w:rsid w:val="00656C59"/>
    <w:rsid w:val="006578C2"/>
    <w:rsid w:val="00661AC2"/>
    <w:rsid w:val="00661B36"/>
    <w:rsid w:val="00664C9C"/>
    <w:rsid w:val="00665A40"/>
    <w:rsid w:val="00666655"/>
    <w:rsid w:val="00666C54"/>
    <w:rsid w:val="00667C8B"/>
    <w:rsid w:val="00667D3E"/>
    <w:rsid w:val="00673848"/>
    <w:rsid w:val="006742F8"/>
    <w:rsid w:val="006747B5"/>
    <w:rsid w:val="00674C1D"/>
    <w:rsid w:val="00675974"/>
    <w:rsid w:val="00676DA0"/>
    <w:rsid w:val="006803E8"/>
    <w:rsid w:val="006804B2"/>
    <w:rsid w:val="00681481"/>
    <w:rsid w:val="006825B9"/>
    <w:rsid w:val="00682656"/>
    <w:rsid w:val="00683278"/>
    <w:rsid w:val="00683722"/>
    <w:rsid w:val="00683EAC"/>
    <w:rsid w:val="00684EF6"/>
    <w:rsid w:val="00685755"/>
    <w:rsid w:val="00686279"/>
    <w:rsid w:val="00686A8A"/>
    <w:rsid w:val="006870C8"/>
    <w:rsid w:val="006871B3"/>
    <w:rsid w:val="006876F6"/>
    <w:rsid w:val="006878A4"/>
    <w:rsid w:val="00690415"/>
    <w:rsid w:val="006904CB"/>
    <w:rsid w:val="0069305F"/>
    <w:rsid w:val="00694CB5"/>
    <w:rsid w:val="006954F2"/>
    <w:rsid w:val="006957B8"/>
    <w:rsid w:val="0069692D"/>
    <w:rsid w:val="006A03CD"/>
    <w:rsid w:val="006A06FE"/>
    <w:rsid w:val="006A42D4"/>
    <w:rsid w:val="006A46DF"/>
    <w:rsid w:val="006A49F9"/>
    <w:rsid w:val="006A4E98"/>
    <w:rsid w:val="006A528E"/>
    <w:rsid w:val="006A737B"/>
    <w:rsid w:val="006A77F3"/>
    <w:rsid w:val="006A7829"/>
    <w:rsid w:val="006A7D53"/>
    <w:rsid w:val="006B2A9B"/>
    <w:rsid w:val="006B2BA6"/>
    <w:rsid w:val="006B2C5C"/>
    <w:rsid w:val="006B3E26"/>
    <w:rsid w:val="006B432D"/>
    <w:rsid w:val="006B4844"/>
    <w:rsid w:val="006B4A50"/>
    <w:rsid w:val="006B4B65"/>
    <w:rsid w:val="006B537E"/>
    <w:rsid w:val="006B5C6B"/>
    <w:rsid w:val="006B6198"/>
    <w:rsid w:val="006C1330"/>
    <w:rsid w:val="006C1711"/>
    <w:rsid w:val="006C24A5"/>
    <w:rsid w:val="006C24CD"/>
    <w:rsid w:val="006C3292"/>
    <w:rsid w:val="006C3F24"/>
    <w:rsid w:val="006C5263"/>
    <w:rsid w:val="006C5282"/>
    <w:rsid w:val="006C60B5"/>
    <w:rsid w:val="006C6B94"/>
    <w:rsid w:val="006C6EDA"/>
    <w:rsid w:val="006C7D68"/>
    <w:rsid w:val="006D07EA"/>
    <w:rsid w:val="006D16CB"/>
    <w:rsid w:val="006D1A5E"/>
    <w:rsid w:val="006D25FC"/>
    <w:rsid w:val="006D3F2C"/>
    <w:rsid w:val="006D5A0A"/>
    <w:rsid w:val="006D64F9"/>
    <w:rsid w:val="006D7A2C"/>
    <w:rsid w:val="006E13E8"/>
    <w:rsid w:val="006E1421"/>
    <w:rsid w:val="006E307D"/>
    <w:rsid w:val="006E34B6"/>
    <w:rsid w:val="006E38D5"/>
    <w:rsid w:val="006E5B3F"/>
    <w:rsid w:val="006E5FB5"/>
    <w:rsid w:val="006E60D7"/>
    <w:rsid w:val="006E6278"/>
    <w:rsid w:val="006E6389"/>
    <w:rsid w:val="006E65F1"/>
    <w:rsid w:val="006E662E"/>
    <w:rsid w:val="006E69AA"/>
    <w:rsid w:val="006E6EAC"/>
    <w:rsid w:val="006E7534"/>
    <w:rsid w:val="006F0E7D"/>
    <w:rsid w:val="006F1806"/>
    <w:rsid w:val="006F1C74"/>
    <w:rsid w:val="006F1DED"/>
    <w:rsid w:val="006F29C3"/>
    <w:rsid w:val="006F30F8"/>
    <w:rsid w:val="006F3144"/>
    <w:rsid w:val="006F363E"/>
    <w:rsid w:val="006F3CA9"/>
    <w:rsid w:val="006F48B0"/>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3C9C"/>
    <w:rsid w:val="0071427E"/>
    <w:rsid w:val="0071646D"/>
    <w:rsid w:val="00716CE1"/>
    <w:rsid w:val="00717DA9"/>
    <w:rsid w:val="007204AB"/>
    <w:rsid w:val="00722A32"/>
    <w:rsid w:val="007233E7"/>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41B9"/>
    <w:rsid w:val="007446D8"/>
    <w:rsid w:val="00744736"/>
    <w:rsid w:val="007449FA"/>
    <w:rsid w:val="00745E5B"/>
    <w:rsid w:val="007478B1"/>
    <w:rsid w:val="00747F78"/>
    <w:rsid w:val="00750F05"/>
    <w:rsid w:val="00751311"/>
    <w:rsid w:val="00751330"/>
    <w:rsid w:val="00751E19"/>
    <w:rsid w:val="0075239A"/>
    <w:rsid w:val="00755299"/>
    <w:rsid w:val="00755944"/>
    <w:rsid w:val="00756326"/>
    <w:rsid w:val="00757444"/>
    <w:rsid w:val="00757D2A"/>
    <w:rsid w:val="00757F23"/>
    <w:rsid w:val="00763A46"/>
    <w:rsid w:val="00764B6A"/>
    <w:rsid w:val="007669D0"/>
    <w:rsid w:val="00766B6B"/>
    <w:rsid w:val="00767857"/>
    <w:rsid w:val="00767912"/>
    <w:rsid w:val="00767C7B"/>
    <w:rsid w:val="00770E29"/>
    <w:rsid w:val="00771F5E"/>
    <w:rsid w:val="0077203A"/>
    <w:rsid w:val="0077266E"/>
    <w:rsid w:val="00773601"/>
    <w:rsid w:val="00773EA1"/>
    <w:rsid w:val="007753ED"/>
    <w:rsid w:val="00775CB2"/>
    <w:rsid w:val="0077689F"/>
    <w:rsid w:val="0078030F"/>
    <w:rsid w:val="00781658"/>
    <w:rsid w:val="00782370"/>
    <w:rsid w:val="00782CAC"/>
    <w:rsid w:val="00782DD9"/>
    <w:rsid w:val="007830E3"/>
    <w:rsid w:val="00787DB5"/>
    <w:rsid w:val="0079298A"/>
    <w:rsid w:val="0079361A"/>
    <w:rsid w:val="00794305"/>
    <w:rsid w:val="007966AC"/>
    <w:rsid w:val="0079736A"/>
    <w:rsid w:val="00797B91"/>
    <w:rsid w:val="007A0197"/>
    <w:rsid w:val="007A02EB"/>
    <w:rsid w:val="007A0327"/>
    <w:rsid w:val="007A11F1"/>
    <w:rsid w:val="007A1A5F"/>
    <w:rsid w:val="007A32BE"/>
    <w:rsid w:val="007A35F6"/>
    <w:rsid w:val="007A3D94"/>
    <w:rsid w:val="007A4E83"/>
    <w:rsid w:val="007A5F1A"/>
    <w:rsid w:val="007A7693"/>
    <w:rsid w:val="007B15EA"/>
    <w:rsid w:val="007B33CC"/>
    <w:rsid w:val="007B5B76"/>
    <w:rsid w:val="007B6765"/>
    <w:rsid w:val="007B70B3"/>
    <w:rsid w:val="007B7166"/>
    <w:rsid w:val="007B7314"/>
    <w:rsid w:val="007B755C"/>
    <w:rsid w:val="007C025F"/>
    <w:rsid w:val="007C09AA"/>
    <w:rsid w:val="007C0AFD"/>
    <w:rsid w:val="007C20AF"/>
    <w:rsid w:val="007C37F3"/>
    <w:rsid w:val="007C3D29"/>
    <w:rsid w:val="007C3D95"/>
    <w:rsid w:val="007C3E67"/>
    <w:rsid w:val="007C46DC"/>
    <w:rsid w:val="007C4965"/>
    <w:rsid w:val="007C52B5"/>
    <w:rsid w:val="007C6764"/>
    <w:rsid w:val="007C6783"/>
    <w:rsid w:val="007C68C7"/>
    <w:rsid w:val="007C6937"/>
    <w:rsid w:val="007C6AE4"/>
    <w:rsid w:val="007C6CAB"/>
    <w:rsid w:val="007C7E5A"/>
    <w:rsid w:val="007D0B5C"/>
    <w:rsid w:val="007D0C6E"/>
    <w:rsid w:val="007D112D"/>
    <w:rsid w:val="007D1598"/>
    <w:rsid w:val="007D1AB2"/>
    <w:rsid w:val="007D24C8"/>
    <w:rsid w:val="007D29DB"/>
    <w:rsid w:val="007D336B"/>
    <w:rsid w:val="007D5B23"/>
    <w:rsid w:val="007D7334"/>
    <w:rsid w:val="007E0323"/>
    <w:rsid w:val="007E07A7"/>
    <w:rsid w:val="007E16B7"/>
    <w:rsid w:val="007E24F8"/>
    <w:rsid w:val="007E2BDA"/>
    <w:rsid w:val="007E2D8C"/>
    <w:rsid w:val="007E3963"/>
    <w:rsid w:val="007E5CB2"/>
    <w:rsid w:val="007E5D37"/>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3CD"/>
    <w:rsid w:val="00807739"/>
    <w:rsid w:val="0080791A"/>
    <w:rsid w:val="008100C2"/>
    <w:rsid w:val="00810A48"/>
    <w:rsid w:val="00811637"/>
    <w:rsid w:val="008129BE"/>
    <w:rsid w:val="00814930"/>
    <w:rsid w:val="00815752"/>
    <w:rsid w:val="008175F9"/>
    <w:rsid w:val="00817C4E"/>
    <w:rsid w:val="008207CA"/>
    <w:rsid w:val="008223A5"/>
    <w:rsid w:val="008228A2"/>
    <w:rsid w:val="00823474"/>
    <w:rsid w:val="008235DE"/>
    <w:rsid w:val="008246C9"/>
    <w:rsid w:val="008254D3"/>
    <w:rsid w:val="00825CA4"/>
    <w:rsid w:val="00826018"/>
    <w:rsid w:val="008266BC"/>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0999"/>
    <w:rsid w:val="00841B13"/>
    <w:rsid w:val="008422A0"/>
    <w:rsid w:val="0084270E"/>
    <w:rsid w:val="00842C37"/>
    <w:rsid w:val="008437F2"/>
    <w:rsid w:val="00843AB9"/>
    <w:rsid w:val="00843C46"/>
    <w:rsid w:val="008442E6"/>
    <w:rsid w:val="00846339"/>
    <w:rsid w:val="00846E76"/>
    <w:rsid w:val="00850422"/>
    <w:rsid w:val="00850491"/>
    <w:rsid w:val="00851F8C"/>
    <w:rsid w:val="008531B2"/>
    <w:rsid w:val="00854A5B"/>
    <w:rsid w:val="0085526B"/>
    <w:rsid w:val="00856585"/>
    <w:rsid w:val="00856F7A"/>
    <w:rsid w:val="00857279"/>
    <w:rsid w:val="0085736B"/>
    <w:rsid w:val="0085795F"/>
    <w:rsid w:val="00857B52"/>
    <w:rsid w:val="00861B32"/>
    <w:rsid w:val="00861DD8"/>
    <w:rsid w:val="008665F8"/>
    <w:rsid w:val="00867111"/>
    <w:rsid w:val="00867C9A"/>
    <w:rsid w:val="008701A1"/>
    <w:rsid w:val="008709E2"/>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2B1"/>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A0C05"/>
    <w:rsid w:val="008A0CFD"/>
    <w:rsid w:val="008A2018"/>
    <w:rsid w:val="008A2372"/>
    <w:rsid w:val="008A4188"/>
    <w:rsid w:val="008A42B0"/>
    <w:rsid w:val="008A4982"/>
    <w:rsid w:val="008A6085"/>
    <w:rsid w:val="008A663F"/>
    <w:rsid w:val="008A7C97"/>
    <w:rsid w:val="008A7E48"/>
    <w:rsid w:val="008A7EBE"/>
    <w:rsid w:val="008B0803"/>
    <w:rsid w:val="008B1154"/>
    <w:rsid w:val="008B1273"/>
    <w:rsid w:val="008B18BC"/>
    <w:rsid w:val="008B1D10"/>
    <w:rsid w:val="008B2258"/>
    <w:rsid w:val="008B341E"/>
    <w:rsid w:val="008B36C5"/>
    <w:rsid w:val="008B542E"/>
    <w:rsid w:val="008B590E"/>
    <w:rsid w:val="008B5BE2"/>
    <w:rsid w:val="008B6E93"/>
    <w:rsid w:val="008B72E0"/>
    <w:rsid w:val="008C04B3"/>
    <w:rsid w:val="008C0694"/>
    <w:rsid w:val="008C06D5"/>
    <w:rsid w:val="008C1208"/>
    <w:rsid w:val="008C3158"/>
    <w:rsid w:val="008C3963"/>
    <w:rsid w:val="008C4415"/>
    <w:rsid w:val="008C4560"/>
    <w:rsid w:val="008C4CFE"/>
    <w:rsid w:val="008D033C"/>
    <w:rsid w:val="008D0725"/>
    <w:rsid w:val="008D0B33"/>
    <w:rsid w:val="008D0B48"/>
    <w:rsid w:val="008D0D25"/>
    <w:rsid w:val="008D1526"/>
    <w:rsid w:val="008D2273"/>
    <w:rsid w:val="008D38EE"/>
    <w:rsid w:val="008D4B2A"/>
    <w:rsid w:val="008D75E7"/>
    <w:rsid w:val="008E094D"/>
    <w:rsid w:val="008E16A8"/>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450"/>
    <w:rsid w:val="008F355E"/>
    <w:rsid w:val="008F4C62"/>
    <w:rsid w:val="008F5E3B"/>
    <w:rsid w:val="008F6B38"/>
    <w:rsid w:val="008F7CEB"/>
    <w:rsid w:val="008F7D25"/>
    <w:rsid w:val="00900226"/>
    <w:rsid w:val="00900229"/>
    <w:rsid w:val="00900C8D"/>
    <w:rsid w:val="009012C6"/>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19FA"/>
    <w:rsid w:val="009224C5"/>
    <w:rsid w:val="00923155"/>
    <w:rsid w:val="00923433"/>
    <w:rsid w:val="009239BB"/>
    <w:rsid w:val="0092433B"/>
    <w:rsid w:val="00925CD5"/>
    <w:rsid w:val="00925F22"/>
    <w:rsid w:val="00925F23"/>
    <w:rsid w:val="00926B57"/>
    <w:rsid w:val="009305FD"/>
    <w:rsid w:val="00930F79"/>
    <w:rsid w:val="0093143C"/>
    <w:rsid w:val="00931EE5"/>
    <w:rsid w:val="00931EF0"/>
    <w:rsid w:val="00932875"/>
    <w:rsid w:val="00932CFF"/>
    <w:rsid w:val="00932F08"/>
    <w:rsid w:val="00932F3E"/>
    <w:rsid w:val="00932FB2"/>
    <w:rsid w:val="009346F9"/>
    <w:rsid w:val="00935A0D"/>
    <w:rsid w:val="00936419"/>
    <w:rsid w:val="00937737"/>
    <w:rsid w:val="00937BEF"/>
    <w:rsid w:val="009403CB"/>
    <w:rsid w:val="00940B56"/>
    <w:rsid w:val="00940FFE"/>
    <w:rsid w:val="009411A0"/>
    <w:rsid w:val="00942B6C"/>
    <w:rsid w:val="00943B74"/>
    <w:rsid w:val="0094486F"/>
    <w:rsid w:val="00944B94"/>
    <w:rsid w:val="00944CA2"/>
    <w:rsid w:val="009450A8"/>
    <w:rsid w:val="009458C7"/>
    <w:rsid w:val="0094714C"/>
    <w:rsid w:val="009472B3"/>
    <w:rsid w:val="00947905"/>
    <w:rsid w:val="009479E8"/>
    <w:rsid w:val="00947F35"/>
    <w:rsid w:val="009500DD"/>
    <w:rsid w:val="009509CF"/>
    <w:rsid w:val="00951598"/>
    <w:rsid w:val="00952919"/>
    <w:rsid w:val="00952CA0"/>
    <w:rsid w:val="00954A59"/>
    <w:rsid w:val="009573BD"/>
    <w:rsid w:val="0095762B"/>
    <w:rsid w:val="0095770B"/>
    <w:rsid w:val="0096079C"/>
    <w:rsid w:val="0096089C"/>
    <w:rsid w:val="0096124C"/>
    <w:rsid w:val="0096146C"/>
    <w:rsid w:val="00962E4E"/>
    <w:rsid w:val="00964E79"/>
    <w:rsid w:val="00964F37"/>
    <w:rsid w:val="0096576D"/>
    <w:rsid w:val="0096577A"/>
    <w:rsid w:val="00966926"/>
    <w:rsid w:val="00966C2B"/>
    <w:rsid w:val="00967C2E"/>
    <w:rsid w:val="00970D81"/>
    <w:rsid w:val="00971134"/>
    <w:rsid w:val="00971434"/>
    <w:rsid w:val="009737A5"/>
    <w:rsid w:val="00974437"/>
    <w:rsid w:val="00974C3A"/>
    <w:rsid w:val="00975A2A"/>
    <w:rsid w:val="00975D23"/>
    <w:rsid w:val="00975EB9"/>
    <w:rsid w:val="009763B8"/>
    <w:rsid w:val="00977454"/>
    <w:rsid w:val="00981F51"/>
    <w:rsid w:val="0098269C"/>
    <w:rsid w:val="00983483"/>
    <w:rsid w:val="009837CB"/>
    <w:rsid w:val="00985240"/>
    <w:rsid w:val="009858EF"/>
    <w:rsid w:val="009872E2"/>
    <w:rsid w:val="00987532"/>
    <w:rsid w:val="00987BF6"/>
    <w:rsid w:val="0099065F"/>
    <w:rsid w:val="0099075B"/>
    <w:rsid w:val="00990E7A"/>
    <w:rsid w:val="00991EC7"/>
    <w:rsid w:val="00992009"/>
    <w:rsid w:val="009925EC"/>
    <w:rsid w:val="009969DF"/>
    <w:rsid w:val="009A00BC"/>
    <w:rsid w:val="009A07EA"/>
    <w:rsid w:val="009A0F6D"/>
    <w:rsid w:val="009A13F2"/>
    <w:rsid w:val="009A1902"/>
    <w:rsid w:val="009A1A3F"/>
    <w:rsid w:val="009A34EE"/>
    <w:rsid w:val="009A3ADA"/>
    <w:rsid w:val="009A4BD3"/>
    <w:rsid w:val="009A52D1"/>
    <w:rsid w:val="009A78A9"/>
    <w:rsid w:val="009B08DD"/>
    <w:rsid w:val="009B117B"/>
    <w:rsid w:val="009B299F"/>
    <w:rsid w:val="009B29BB"/>
    <w:rsid w:val="009B3BD2"/>
    <w:rsid w:val="009B5319"/>
    <w:rsid w:val="009B55C4"/>
    <w:rsid w:val="009B627D"/>
    <w:rsid w:val="009B6C33"/>
    <w:rsid w:val="009B6C5A"/>
    <w:rsid w:val="009B6EF8"/>
    <w:rsid w:val="009B7B7A"/>
    <w:rsid w:val="009C3731"/>
    <w:rsid w:val="009C4FE0"/>
    <w:rsid w:val="009C5252"/>
    <w:rsid w:val="009C64B7"/>
    <w:rsid w:val="009C6A35"/>
    <w:rsid w:val="009C7FF9"/>
    <w:rsid w:val="009D00FC"/>
    <w:rsid w:val="009D023A"/>
    <w:rsid w:val="009D050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553"/>
    <w:rsid w:val="009E1DC7"/>
    <w:rsid w:val="009E1E5F"/>
    <w:rsid w:val="009E2222"/>
    <w:rsid w:val="009E2235"/>
    <w:rsid w:val="009E25E5"/>
    <w:rsid w:val="009E260F"/>
    <w:rsid w:val="009E2747"/>
    <w:rsid w:val="009E2EEE"/>
    <w:rsid w:val="009E30D5"/>
    <w:rsid w:val="009E32DC"/>
    <w:rsid w:val="009E32EE"/>
    <w:rsid w:val="009E4D74"/>
    <w:rsid w:val="009E68BB"/>
    <w:rsid w:val="009E7036"/>
    <w:rsid w:val="009E7593"/>
    <w:rsid w:val="009E7B78"/>
    <w:rsid w:val="009F07F4"/>
    <w:rsid w:val="009F19E6"/>
    <w:rsid w:val="009F1F62"/>
    <w:rsid w:val="009F3CDA"/>
    <w:rsid w:val="009F4D23"/>
    <w:rsid w:val="009F69BA"/>
    <w:rsid w:val="009F704F"/>
    <w:rsid w:val="00A00110"/>
    <w:rsid w:val="00A00BC6"/>
    <w:rsid w:val="00A014EE"/>
    <w:rsid w:val="00A037CB"/>
    <w:rsid w:val="00A0469A"/>
    <w:rsid w:val="00A04B89"/>
    <w:rsid w:val="00A04EB0"/>
    <w:rsid w:val="00A05063"/>
    <w:rsid w:val="00A05B45"/>
    <w:rsid w:val="00A06720"/>
    <w:rsid w:val="00A071F3"/>
    <w:rsid w:val="00A075F7"/>
    <w:rsid w:val="00A11324"/>
    <w:rsid w:val="00A11355"/>
    <w:rsid w:val="00A13008"/>
    <w:rsid w:val="00A14237"/>
    <w:rsid w:val="00A1430D"/>
    <w:rsid w:val="00A14429"/>
    <w:rsid w:val="00A15FFD"/>
    <w:rsid w:val="00A16207"/>
    <w:rsid w:val="00A17875"/>
    <w:rsid w:val="00A17D0D"/>
    <w:rsid w:val="00A204B1"/>
    <w:rsid w:val="00A20C97"/>
    <w:rsid w:val="00A20F7B"/>
    <w:rsid w:val="00A2300C"/>
    <w:rsid w:val="00A234AD"/>
    <w:rsid w:val="00A24E75"/>
    <w:rsid w:val="00A25070"/>
    <w:rsid w:val="00A25AF8"/>
    <w:rsid w:val="00A27150"/>
    <w:rsid w:val="00A2788C"/>
    <w:rsid w:val="00A30ECA"/>
    <w:rsid w:val="00A31F2A"/>
    <w:rsid w:val="00A32A88"/>
    <w:rsid w:val="00A32DE9"/>
    <w:rsid w:val="00A34F87"/>
    <w:rsid w:val="00A35622"/>
    <w:rsid w:val="00A36ED5"/>
    <w:rsid w:val="00A41054"/>
    <w:rsid w:val="00A4197A"/>
    <w:rsid w:val="00A41E44"/>
    <w:rsid w:val="00A42D27"/>
    <w:rsid w:val="00A43472"/>
    <w:rsid w:val="00A43B64"/>
    <w:rsid w:val="00A45C93"/>
    <w:rsid w:val="00A4679F"/>
    <w:rsid w:val="00A47246"/>
    <w:rsid w:val="00A47C9E"/>
    <w:rsid w:val="00A51357"/>
    <w:rsid w:val="00A51D2C"/>
    <w:rsid w:val="00A52C18"/>
    <w:rsid w:val="00A536A0"/>
    <w:rsid w:val="00A5404F"/>
    <w:rsid w:val="00A55D42"/>
    <w:rsid w:val="00A55E21"/>
    <w:rsid w:val="00A57AFC"/>
    <w:rsid w:val="00A6004F"/>
    <w:rsid w:val="00A6220A"/>
    <w:rsid w:val="00A650DC"/>
    <w:rsid w:val="00A65124"/>
    <w:rsid w:val="00A657DC"/>
    <w:rsid w:val="00A67754"/>
    <w:rsid w:val="00A717E4"/>
    <w:rsid w:val="00A744CF"/>
    <w:rsid w:val="00A74555"/>
    <w:rsid w:val="00A757D4"/>
    <w:rsid w:val="00A767EF"/>
    <w:rsid w:val="00A76FB1"/>
    <w:rsid w:val="00A77111"/>
    <w:rsid w:val="00A81037"/>
    <w:rsid w:val="00A81140"/>
    <w:rsid w:val="00A84D48"/>
    <w:rsid w:val="00A85BED"/>
    <w:rsid w:val="00A86BD4"/>
    <w:rsid w:val="00A8711C"/>
    <w:rsid w:val="00A87549"/>
    <w:rsid w:val="00A900E2"/>
    <w:rsid w:val="00A92027"/>
    <w:rsid w:val="00A933EF"/>
    <w:rsid w:val="00A93B3D"/>
    <w:rsid w:val="00A94713"/>
    <w:rsid w:val="00A949F0"/>
    <w:rsid w:val="00A95947"/>
    <w:rsid w:val="00A963A4"/>
    <w:rsid w:val="00A96932"/>
    <w:rsid w:val="00A96BC3"/>
    <w:rsid w:val="00A96EE6"/>
    <w:rsid w:val="00A96FD2"/>
    <w:rsid w:val="00A97959"/>
    <w:rsid w:val="00AA09B3"/>
    <w:rsid w:val="00AA1182"/>
    <w:rsid w:val="00AA19A7"/>
    <w:rsid w:val="00AA2C2B"/>
    <w:rsid w:val="00AA37FC"/>
    <w:rsid w:val="00AA44B0"/>
    <w:rsid w:val="00AA4B65"/>
    <w:rsid w:val="00AA504D"/>
    <w:rsid w:val="00AA57EF"/>
    <w:rsid w:val="00AA5F5D"/>
    <w:rsid w:val="00AB3F5E"/>
    <w:rsid w:val="00AB4308"/>
    <w:rsid w:val="00AB4396"/>
    <w:rsid w:val="00AB45B4"/>
    <w:rsid w:val="00AB4698"/>
    <w:rsid w:val="00AB593B"/>
    <w:rsid w:val="00AB6036"/>
    <w:rsid w:val="00AB61CC"/>
    <w:rsid w:val="00AB66F0"/>
    <w:rsid w:val="00AB7491"/>
    <w:rsid w:val="00AC0BF7"/>
    <w:rsid w:val="00AC0CC1"/>
    <w:rsid w:val="00AC15EE"/>
    <w:rsid w:val="00AC161D"/>
    <w:rsid w:val="00AC17F2"/>
    <w:rsid w:val="00AC20D8"/>
    <w:rsid w:val="00AC2D4B"/>
    <w:rsid w:val="00AC3EA4"/>
    <w:rsid w:val="00AC46E5"/>
    <w:rsid w:val="00AC5B93"/>
    <w:rsid w:val="00AC6E31"/>
    <w:rsid w:val="00AC74AC"/>
    <w:rsid w:val="00AD1C3D"/>
    <w:rsid w:val="00AD1D3D"/>
    <w:rsid w:val="00AD5C04"/>
    <w:rsid w:val="00AD6E6E"/>
    <w:rsid w:val="00AE013D"/>
    <w:rsid w:val="00AE0BF9"/>
    <w:rsid w:val="00AE177B"/>
    <w:rsid w:val="00AE3115"/>
    <w:rsid w:val="00AE34E5"/>
    <w:rsid w:val="00AE4286"/>
    <w:rsid w:val="00AE45EA"/>
    <w:rsid w:val="00AE5719"/>
    <w:rsid w:val="00AE5B7C"/>
    <w:rsid w:val="00AE73E2"/>
    <w:rsid w:val="00AE7F92"/>
    <w:rsid w:val="00AF0927"/>
    <w:rsid w:val="00AF16F8"/>
    <w:rsid w:val="00AF200E"/>
    <w:rsid w:val="00AF203D"/>
    <w:rsid w:val="00AF299E"/>
    <w:rsid w:val="00AF2AD6"/>
    <w:rsid w:val="00AF2ADD"/>
    <w:rsid w:val="00AF2EF3"/>
    <w:rsid w:val="00AF32CA"/>
    <w:rsid w:val="00AF3B9F"/>
    <w:rsid w:val="00AF4A7E"/>
    <w:rsid w:val="00AF4BD7"/>
    <w:rsid w:val="00AF54D4"/>
    <w:rsid w:val="00AF55A6"/>
    <w:rsid w:val="00AF621D"/>
    <w:rsid w:val="00AF65A0"/>
    <w:rsid w:val="00B0060F"/>
    <w:rsid w:val="00B01275"/>
    <w:rsid w:val="00B03459"/>
    <w:rsid w:val="00B036A8"/>
    <w:rsid w:val="00B03CE2"/>
    <w:rsid w:val="00B04DE2"/>
    <w:rsid w:val="00B05E33"/>
    <w:rsid w:val="00B06BA1"/>
    <w:rsid w:val="00B10802"/>
    <w:rsid w:val="00B11E6A"/>
    <w:rsid w:val="00B125CC"/>
    <w:rsid w:val="00B13A91"/>
    <w:rsid w:val="00B13F95"/>
    <w:rsid w:val="00B14F97"/>
    <w:rsid w:val="00B1522A"/>
    <w:rsid w:val="00B1591E"/>
    <w:rsid w:val="00B169F5"/>
    <w:rsid w:val="00B16FF2"/>
    <w:rsid w:val="00B17A5B"/>
    <w:rsid w:val="00B17C93"/>
    <w:rsid w:val="00B21982"/>
    <w:rsid w:val="00B2362A"/>
    <w:rsid w:val="00B25866"/>
    <w:rsid w:val="00B25A6F"/>
    <w:rsid w:val="00B25BC6"/>
    <w:rsid w:val="00B270F3"/>
    <w:rsid w:val="00B27AF4"/>
    <w:rsid w:val="00B3145E"/>
    <w:rsid w:val="00B315CA"/>
    <w:rsid w:val="00B316E2"/>
    <w:rsid w:val="00B322FC"/>
    <w:rsid w:val="00B33C2F"/>
    <w:rsid w:val="00B35432"/>
    <w:rsid w:val="00B373AD"/>
    <w:rsid w:val="00B41343"/>
    <w:rsid w:val="00B4134E"/>
    <w:rsid w:val="00B41E61"/>
    <w:rsid w:val="00B42775"/>
    <w:rsid w:val="00B42B2D"/>
    <w:rsid w:val="00B441CE"/>
    <w:rsid w:val="00B44DA3"/>
    <w:rsid w:val="00B47EA7"/>
    <w:rsid w:val="00B5061D"/>
    <w:rsid w:val="00B509A3"/>
    <w:rsid w:val="00B5114C"/>
    <w:rsid w:val="00B518F7"/>
    <w:rsid w:val="00B51A2C"/>
    <w:rsid w:val="00B52026"/>
    <w:rsid w:val="00B524AE"/>
    <w:rsid w:val="00B5328A"/>
    <w:rsid w:val="00B54B9C"/>
    <w:rsid w:val="00B5510F"/>
    <w:rsid w:val="00B57587"/>
    <w:rsid w:val="00B61DD1"/>
    <w:rsid w:val="00B623CE"/>
    <w:rsid w:val="00B62CE7"/>
    <w:rsid w:val="00B62FC5"/>
    <w:rsid w:val="00B63188"/>
    <w:rsid w:val="00B64BB8"/>
    <w:rsid w:val="00B64BF6"/>
    <w:rsid w:val="00B65455"/>
    <w:rsid w:val="00B662AD"/>
    <w:rsid w:val="00B70AD5"/>
    <w:rsid w:val="00B70DDE"/>
    <w:rsid w:val="00B71871"/>
    <w:rsid w:val="00B722A7"/>
    <w:rsid w:val="00B72ACE"/>
    <w:rsid w:val="00B7332C"/>
    <w:rsid w:val="00B73BC0"/>
    <w:rsid w:val="00B7579E"/>
    <w:rsid w:val="00B76233"/>
    <w:rsid w:val="00B76358"/>
    <w:rsid w:val="00B8054C"/>
    <w:rsid w:val="00B81937"/>
    <w:rsid w:val="00B81C55"/>
    <w:rsid w:val="00B82000"/>
    <w:rsid w:val="00B82265"/>
    <w:rsid w:val="00B84265"/>
    <w:rsid w:val="00B8497B"/>
    <w:rsid w:val="00B85D36"/>
    <w:rsid w:val="00B864EC"/>
    <w:rsid w:val="00B86A4A"/>
    <w:rsid w:val="00B86DC2"/>
    <w:rsid w:val="00B86E05"/>
    <w:rsid w:val="00B90397"/>
    <w:rsid w:val="00B90CBE"/>
    <w:rsid w:val="00B91560"/>
    <w:rsid w:val="00B91A02"/>
    <w:rsid w:val="00B91C28"/>
    <w:rsid w:val="00B92B46"/>
    <w:rsid w:val="00B92E1C"/>
    <w:rsid w:val="00B94051"/>
    <w:rsid w:val="00B95A00"/>
    <w:rsid w:val="00B96729"/>
    <w:rsid w:val="00B97147"/>
    <w:rsid w:val="00BA00A9"/>
    <w:rsid w:val="00BA0426"/>
    <w:rsid w:val="00BA1854"/>
    <w:rsid w:val="00BA1B7A"/>
    <w:rsid w:val="00BA2EE9"/>
    <w:rsid w:val="00BA3674"/>
    <w:rsid w:val="00BA36A5"/>
    <w:rsid w:val="00BA38A4"/>
    <w:rsid w:val="00BA4B2C"/>
    <w:rsid w:val="00BA5A78"/>
    <w:rsid w:val="00BA69F4"/>
    <w:rsid w:val="00BA7F80"/>
    <w:rsid w:val="00BB0CC2"/>
    <w:rsid w:val="00BB13A5"/>
    <w:rsid w:val="00BB1990"/>
    <w:rsid w:val="00BB1A72"/>
    <w:rsid w:val="00BB1E4C"/>
    <w:rsid w:val="00BB2701"/>
    <w:rsid w:val="00BB2E4E"/>
    <w:rsid w:val="00BB37FC"/>
    <w:rsid w:val="00BB4A69"/>
    <w:rsid w:val="00BB4B26"/>
    <w:rsid w:val="00BB5AF2"/>
    <w:rsid w:val="00BB6202"/>
    <w:rsid w:val="00BB7698"/>
    <w:rsid w:val="00BB78FC"/>
    <w:rsid w:val="00BC15AB"/>
    <w:rsid w:val="00BC250E"/>
    <w:rsid w:val="00BC30AA"/>
    <w:rsid w:val="00BC3FE1"/>
    <w:rsid w:val="00BC50C9"/>
    <w:rsid w:val="00BC63BC"/>
    <w:rsid w:val="00BC6602"/>
    <w:rsid w:val="00BC6991"/>
    <w:rsid w:val="00BC7267"/>
    <w:rsid w:val="00BD000E"/>
    <w:rsid w:val="00BD06F1"/>
    <w:rsid w:val="00BD0947"/>
    <w:rsid w:val="00BD0BA2"/>
    <w:rsid w:val="00BD1191"/>
    <w:rsid w:val="00BD1625"/>
    <w:rsid w:val="00BD1943"/>
    <w:rsid w:val="00BD1BDB"/>
    <w:rsid w:val="00BD24F0"/>
    <w:rsid w:val="00BD2E7D"/>
    <w:rsid w:val="00BD3667"/>
    <w:rsid w:val="00BD3AD2"/>
    <w:rsid w:val="00BD4244"/>
    <w:rsid w:val="00BD428D"/>
    <w:rsid w:val="00BD495D"/>
    <w:rsid w:val="00BD6BED"/>
    <w:rsid w:val="00BD7483"/>
    <w:rsid w:val="00BE097D"/>
    <w:rsid w:val="00BE0E74"/>
    <w:rsid w:val="00BE226E"/>
    <w:rsid w:val="00BE3B2F"/>
    <w:rsid w:val="00BE40EB"/>
    <w:rsid w:val="00BE4112"/>
    <w:rsid w:val="00BE66D6"/>
    <w:rsid w:val="00BE67A1"/>
    <w:rsid w:val="00BE6C3F"/>
    <w:rsid w:val="00BE732D"/>
    <w:rsid w:val="00BF0540"/>
    <w:rsid w:val="00BF0748"/>
    <w:rsid w:val="00BF327B"/>
    <w:rsid w:val="00BF330A"/>
    <w:rsid w:val="00BF42CF"/>
    <w:rsid w:val="00BF469C"/>
    <w:rsid w:val="00BF4ADE"/>
    <w:rsid w:val="00BF685A"/>
    <w:rsid w:val="00BF6B39"/>
    <w:rsid w:val="00BF72DB"/>
    <w:rsid w:val="00BF7FAF"/>
    <w:rsid w:val="00C0130F"/>
    <w:rsid w:val="00C02932"/>
    <w:rsid w:val="00C0590E"/>
    <w:rsid w:val="00C06929"/>
    <w:rsid w:val="00C07FA9"/>
    <w:rsid w:val="00C10AEE"/>
    <w:rsid w:val="00C10DD6"/>
    <w:rsid w:val="00C10DEC"/>
    <w:rsid w:val="00C1122F"/>
    <w:rsid w:val="00C117A2"/>
    <w:rsid w:val="00C11F89"/>
    <w:rsid w:val="00C120C6"/>
    <w:rsid w:val="00C12634"/>
    <w:rsid w:val="00C12C0F"/>
    <w:rsid w:val="00C12D55"/>
    <w:rsid w:val="00C134E5"/>
    <w:rsid w:val="00C13832"/>
    <w:rsid w:val="00C1424D"/>
    <w:rsid w:val="00C143AE"/>
    <w:rsid w:val="00C14DA7"/>
    <w:rsid w:val="00C16490"/>
    <w:rsid w:val="00C16ECF"/>
    <w:rsid w:val="00C17535"/>
    <w:rsid w:val="00C1778D"/>
    <w:rsid w:val="00C200BA"/>
    <w:rsid w:val="00C20C43"/>
    <w:rsid w:val="00C20E42"/>
    <w:rsid w:val="00C22635"/>
    <w:rsid w:val="00C22842"/>
    <w:rsid w:val="00C23048"/>
    <w:rsid w:val="00C23621"/>
    <w:rsid w:val="00C23792"/>
    <w:rsid w:val="00C2482F"/>
    <w:rsid w:val="00C265CC"/>
    <w:rsid w:val="00C273AE"/>
    <w:rsid w:val="00C27C1C"/>
    <w:rsid w:val="00C27C61"/>
    <w:rsid w:val="00C27CEB"/>
    <w:rsid w:val="00C3109F"/>
    <w:rsid w:val="00C31F30"/>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2ECA"/>
    <w:rsid w:val="00C53782"/>
    <w:rsid w:val="00C53E72"/>
    <w:rsid w:val="00C546A6"/>
    <w:rsid w:val="00C54BE5"/>
    <w:rsid w:val="00C56625"/>
    <w:rsid w:val="00C56912"/>
    <w:rsid w:val="00C56A45"/>
    <w:rsid w:val="00C56BA8"/>
    <w:rsid w:val="00C57553"/>
    <w:rsid w:val="00C6012D"/>
    <w:rsid w:val="00C6053C"/>
    <w:rsid w:val="00C61018"/>
    <w:rsid w:val="00C61355"/>
    <w:rsid w:val="00C636D0"/>
    <w:rsid w:val="00C657B4"/>
    <w:rsid w:val="00C65FB0"/>
    <w:rsid w:val="00C66A62"/>
    <w:rsid w:val="00C66C9E"/>
    <w:rsid w:val="00C66CFB"/>
    <w:rsid w:val="00C66D99"/>
    <w:rsid w:val="00C673D1"/>
    <w:rsid w:val="00C716E5"/>
    <w:rsid w:val="00C71A66"/>
    <w:rsid w:val="00C731DC"/>
    <w:rsid w:val="00C7372B"/>
    <w:rsid w:val="00C73907"/>
    <w:rsid w:val="00C74AEF"/>
    <w:rsid w:val="00C74C5A"/>
    <w:rsid w:val="00C76800"/>
    <w:rsid w:val="00C77CD0"/>
    <w:rsid w:val="00C77FCC"/>
    <w:rsid w:val="00C80153"/>
    <w:rsid w:val="00C80160"/>
    <w:rsid w:val="00C8083C"/>
    <w:rsid w:val="00C80F64"/>
    <w:rsid w:val="00C80F8C"/>
    <w:rsid w:val="00C8162E"/>
    <w:rsid w:val="00C81998"/>
    <w:rsid w:val="00C81D68"/>
    <w:rsid w:val="00C828BE"/>
    <w:rsid w:val="00C82C57"/>
    <w:rsid w:val="00C82F0D"/>
    <w:rsid w:val="00C8343C"/>
    <w:rsid w:val="00C84585"/>
    <w:rsid w:val="00C8497C"/>
    <w:rsid w:val="00C8610B"/>
    <w:rsid w:val="00C866A8"/>
    <w:rsid w:val="00C869BE"/>
    <w:rsid w:val="00C87926"/>
    <w:rsid w:val="00C90A72"/>
    <w:rsid w:val="00C91A3F"/>
    <w:rsid w:val="00C92091"/>
    <w:rsid w:val="00C92094"/>
    <w:rsid w:val="00C92FA3"/>
    <w:rsid w:val="00C9414E"/>
    <w:rsid w:val="00C94EA7"/>
    <w:rsid w:val="00C95E47"/>
    <w:rsid w:val="00C963A0"/>
    <w:rsid w:val="00C9699D"/>
    <w:rsid w:val="00C96EB9"/>
    <w:rsid w:val="00C9775A"/>
    <w:rsid w:val="00C97E22"/>
    <w:rsid w:val="00CA08C0"/>
    <w:rsid w:val="00CA0F7D"/>
    <w:rsid w:val="00CA2219"/>
    <w:rsid w:val="00CA30DF"/>
    <w:rsid w:val="00CA456C"/>
    <w:rsid w:val="00CA460D"/>
    <w:rsid w:val="00CA4F33"/>
    <w:rsid w:val="00CA666E"/>
    <w:rsid w:val="00CA66DF"/>
    <w:rsid w:val="00CA69E7"/>
    <w:rsid w:val="00CA7476"/>
    <w:rsid w:val="00CA7C1E"/>
    <w:rsid w:val="00CA7E6D"/>
    <w:rsid w:val="00CA7FE3"/>
    <w:rsid w:val="00CB2A57"/>
    <w:rsid w:val="00CB2F98"/>
    <w:rsid w:val="00CB63FB"/>
    <w:rsid w:val="00CB6D69"/>
    <w:rsid w:val="00CC0C5D"/>
    <w:rsid w:val="00CC0EE1"/>
    <w:rsid w:val="00CC22DD"/>
    <w:rsid w:val="00CC2BF2"/>
    <w:rsid w:val="00CC30A8"/>
    <w:rsid w:val="00CC3C9F"/>
    <w:rsid w:val="00CC4A8B"/>
    <w:rsid w:val="00CC4F9C"/>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A45"/>
    <w:rsid w:val="00CE0B4A"/>
    <w:rsid w:val="00CE1592"/>
    <w:rsid w:val="00CE2CFF"/>
    <w:rsid w:val="00CE3433"/>
    <w:rsid w:val="00CE4301"/>
    <w:rsid w:val="00CE46FC"/>
    <w:rsid w:val="00CE481E"/>
    <w:rsid w:val="00CE4AA8"/>
    <w:rsid w:val="00CE5620"/>
    <w:rsid w:val="00CE657B"/>
    <w:rsid w:val="00CE72CD"/>
    <w:rsid w:val="00CE7B4D"/>
    <w:rsid w:val="00CF3292"/>
    <w:rsid w:val="00CF3A3D"/>
    <w:rsid w:val="00CF3CCD"/>
    <w:rsid w:val="00CF58CF"/>
    <w:rsid w:val="00CF67F8"/>
    <w:rsid w:val="00CF6971"/>
    <w:rsid w:val="00CF6B0F"/>
    <w:rsid w:val="00CF78DB"/>
    <w:rsid w:val="00D0097B"/>
    <w:rsid w:val="00D01EDC"/>
    <w:rsid w:val="00D0248E"/>
    <w:rsid w:val="00D027E3"/>
    <w:rsid w:val="00D035FA"/>
    <w:rsid w:val="00D049A0"/>
    <w:rsid w:val="00D07F0D"/>
    <w:rsid w:val="00D10A11"/>
    <w:rsid w:val="00D11533"/>
    <w:rsid w:val="00D11F5B"/>
    <w:rsid w:val="00D128A5"/>
    <w:rsid w:val="00D12E08"/>
    <w:rsid w:val="00D14D6E"/>
    <w:rsid w:val="00D15398"/>
    <w:rsid w:val="00D1585E"/>
    <w:rsid w:val="00D15EDB"/>
    <w:rsid w:val="00D16EAC"/>
    <w:rsid w:val="00D1755E"/>
    <w:rsid w:val="00D17B6A"/>
    <w:rsid w:val="00D17DCA"/>
    <w:rsid w:val="00D17E79"/>
    <w:rsid w:val="00D211C5"/>
    <w:rsid w:val="00D21482"/>
    <w:rsid w:val="00D236C3"/>
    <w:rsid w:val="00D23D0B"/>
    <w:rsid w:val="00D24764"/>
    <w:rsid w:val="00D24A5F"/>
    <w:rsid w:val="00D25A5C"/>
    <w:rsid w:val="00D261FA"/>
    <w:rsid w:val="00D269B7"/>
    <w:rsid w:val="00D2728D"/>
    <w:rsid w:val="00D278A7"/>
    <w:rsid w:val="00D30B08"/>
    <w:rsid w:val="00D31B06"/>
    <w:rsid w:val="00D31BFC"/>
    <w:rsid w:val="00D32B38"/>
    <w:rsid w:val="00D33B5C"/>
    <w:rsid w:val="00D35C16"/>
    <w:rsid w:val="00D371C6"/>
    <w:rsid w:val="00D372B2"/>
    <w:rsid w:val="00D37561"/>
    <w:rsid w:val="00D407D5"/>
    <w:rsid w:val="00D4136B"/>
    <w:rsid w:val="00D4182B"/>
    <w:rsid w:val="00D41D70"/>
    <w:rsid w:val="00D42123"/>
    <w:rsid w:val="00D42175"/>
    <w:rsid w:val="00D42497"/>
    <w:rsid w:val="00D426E4"/>
    <w:rsid w:val="00D43025"/>
    <w:rsid w:val="00D43F0F"/>
    <w:rsid w:val="00D443AF"/>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7217"/>
    <w:rsid w:val="00D5723A"/>
    <w:rsid w:val="00D61D8A"/>
    <w:rsid w:val="00D63904"/>
    <w:rsid w:val="00D649B8"/>
    <w:rsid w:val="00D64A87"/>
    <w:rsid w:val="00D65DA3"/>
    <w:rsid w:val="00D66740"/>
    <w:rsid w:val="00D67664"/>
    <w:rsid w:val="00D7015C"/>
    <w:rsid w:val="00D70B6F"/>
    <w:rsid w:val="00D71585"/>
    <w:rsid w:val="00D72B26"/>
    <w:rsid w:val="00D7492A"/>
    <w:rsid w:val="00D74B06"/>
    <w:rsid w:val="00D75214"/>
    <w:rsid w:val="00D77B71"/>
    <w:rsid w:val="00D83994"/>
    <w:rsid w:val="00D83CE5"/>
    <w:rsid w:val="00D83EDC"/>
    <w:rsid w:val="00D85008"/>
    <w:rsid w:val="00D87A49"/>
    <w:rsid w:val="00D90475"/>
    <w:rsid w:val="00D90CA0"/>
    <w:rsid w:val="00D9148A"/>
    <w:rsid w:val="00D91D87"/>
    <w:rsid w:val="00D91FB9"/>
    <w:rsid w:val="00D93E06"/>
    <w:rsid w:val="00D93F3C"/>
    <w:rsid w:val="00D94DEE"/>
    <w:rsid w:val="00D950A6"/>
    <w:rsid w:val="00D950EC"/>
    <w:rsid w:val="00D95636"/>
    <w:rsid w:val="00D956AA"/>
    <w:rsid w:val="00D95EF8"/>
    <w:rsid w:val="00DA09D7"/>
    <w:rsid w:val="00DA0B14"/>
    <w:rsid w:val="00DA0B77"/>
    <w:rsid w:val="00DA13FD"/>
    <w:rsid w:val="00DA1851"/>
    <w:rsid w:val="00DA1CE4"/>
    <w:rsid w:val="00DA299A"/>
    <w:rsid w:val="00DA2EE0"/>
    <w:rsid w:val="00DA31C0"/>
    <w:rsid w:val="00DA4C11"/>
    <w:rsid w:val="00DA5781"/>
    <w:rsid w:val="00DA63C9"/>
    <w:rsid w:val="00DA6B83"/>
    <w:rsid w:val="00DA6E68"/>
    <w:rsid w:val="00DB25BC"/>
    <w:rsid w:val="00DB2606"/>
    <w:rsid w:val="00DB3631"/>
    <w:rsid w:val="00DB43C8"/>
    <w:rsid w:val="00DB5812"/>
    <w:rsid w:val="00DB69DF"/>
    <w:rsid w:val="00DB7C2A"/>
    <w:rsid w:val="00DC0595"/>
    <w:rsid w:val="00DC10E2"/>
    <w:rsid w:val="00DC215D"/>
    <w:rsid w:val="00DC241A"/>
    <w:rsid w:val="00DC2975"/>
    <w:rsid w:val="00DC3E83"/>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739"/>
    <w:rsid w:val="00DE0BC1"/>
    <w:rsid w:val="00DE17E4"/>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6AC"/>
    <w:rsid w:val="00DF29FB"/>
    <w:rsid w:val="00DF3014"/>
    <w:rsid w:val="00DF3CE0"/>
    <w:rsid w:val="00DF578F"/>
    <w:rsid w:val="00DF5D79"/>
    <w:rsid w:val="00E01862"/>
    <w:rsid w:val="00E0197E"/>
    <w:rsid w:val="00E020A1"/>
    <w:rsid w:val="00E023C9"/>
    <w:rsid w:val="00E02A38"/>
    <w:rsid w:val="00E02B90"/>
    <w:rsid w:val="00E03758"/>
    <w:rsid w:val="00E04B3C"/>
    <w:rsid w:val="00E05C70"/>
    <w:rsid w:val="00E05C8E"/>
    <w:rsid w:val="00E07911"/>
    <w:rsid w:val="00E10D95"/>
    <w:rsid w:val="00E1303E"/>
    <w:rsid w:val="00E136DD"/>
    <w:rsid w:val="00E13E29"/>
    <w:rsid w:val="00E13EF6"/>
    <w:rsid w:val="00E14171"/>
    <w:rsid w:val="00E143B4"/>
    <w:rsid w:val="00E16244"/>
    <w:rsid w:val="00E162C7"/>
    <w:rsid w:val="00E16369"/>
    <w:rsid w:val="00E16AC1"/>
    <w:rsid w:val="00E2007F"/>
    <w:rsid w:val="00E20329"/>
    <w:rsid w:val="00E207FE"/>
    <w:rsid w:val="00E209C5"/>
    <w:rsid w:val="00E20B6F"/>
    <w:rsid w:val="00E21052"/>
    <w:rsid w:val="00E211A1"/>
    <w:rsid w:val="00E21313"/>
    <w:rsid w:val="00E21FB0"/>
    <w:rsid w:val="00E2306B"/>
    <w:rsid w:val="00E24E00"/>
    <w:rsid w:val="00E2538E"/>
    <w:rsid w:val="00E30119"/>
    <w:rsid w:val="00E324F2"/>
    <w:rsid w:val="00E33369"/>
    <w:rsid w:val="00E3370D"/>
    <w:rsid w:val="00E34890"/>
    <w:rsid w:val="00E35635"/>
    <w:rsid w:val="00E36C04"/>
    <w:rsid w:val="00E36E31"/>
    <w:rsid w:val="00E36F5E"/>
    <w:rsid w:val="00E378D7"/>
    <w:rsid w:val="00E4041D"/>
    <w:rsid w:val="00E41A85"/>
    <w:rsid w:val="00E420B1"/>
    <w:rsid w:val="00E423B1"/>
    <w:rsid w:val="00E430A9"/>
    <w:rsid w:val="00E43AEC"/>
    <w:rsid w:val="00E43B4A"/>
    <w:rsid w:val="00E45F6B"/>
    <w:rsid w:val="00E4656C"/>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28BC"/>
    <w:rsid w:val="00E733A6"/>
    <w:rsid w:val="00E7373D"/>
    <w:rsid w:val="00E747D5"/>
    <w:rsid w:val="00E74EB3"/>
    <w:rsid w:val="00E75D14"/>
    <w:rsid w:val="00E805C5"/>
    <w:rsid w:val="00E81221"/>
    <w:rsid w:val="00E8169E"/>
    <w:rsid w:val="00E81BCB"/>
    <w:rsid w:val="00E82030"/>
    <w:rsid w:val="00E82A53"/>
    <w:rsid w:val="00E83AF0"/>
    <w:rsid w:val="00E85072"/>
    <w:rsid w:val="00E85228"/>
    <w:rsid w:val="00E85BA8"/>
    <w:rsid w:val="00E86E4F"/>
    <w:rsid w:val="00E87ACA"/>
    <w:rsid w:val="00E902CC"/>
    <w:rsid w:val="00E906D5"/>
    <w:rsid w:val="00E94560"/>
    <w:rsid w:val="00E94E45"/>
    <w:rsid w:val="00E954B7"/>
    <w:rsid w:val="00E95D22"/>
    <w:rsid w:val="00EA1087"/>
    <w:rsid w:val="00EA4CD3"/>
    <w:rsid w:val="00EA56D6"/>
    <w:rsid w:val="00EA5FD5"/>
    <w:rsid w:val="00EA6925"/>
    <w:rsid w:val="00EA6A68"/>
    <w:rsid w:val="00EA6D71"/>
    <w:rsid w:val="00EA713A"/>
    <w:rsid w:val="00EA798B"/>
    <w:rsid w:val="00EB0D50"/>
    <w:rsid w:val="00EB1551"/>
    <w:rsid w:val="00EB1938"/>
    <w:rsid w:val="00EB1965"/>
    <w:rsid w:val="00EB29D3"/>
    <w:rsid w:val="00EB32A5"/>
    <w:rsid w:val="00EB3E96"/>
    <w:rsid w:val="00EB4AF6"/>
    <w:rsid w:val="00EB57EC"/>
    <w:rsid w:val="00EB5BD5"/>
    <w:rsid w:val="00EB60D2"/>
    <w:rsid w:val="00EB648C"/>
    <w:rsid w:val="00EC0103"/>
    <w:rsid w:val="00EC35B4"/>
    <w:rsid w:val="00EC692E"/>
    <w:rsid w:val="00ED05A8"/>
    <w:rsid w:val="00ED12AE"/>
    <w:rsid w:val="00ED3020"/>
    <w:rsid w:val="00ED3D76"/>
    <w:rsid w:val="00ED4629"/>
    <w:rsid w:val="00ED4E84"/>
    <w:rsid w:val="00ED6699"/>
    <w:rsid w:val="00ED6A67"/>
    <w:rsid w:val="00ED7CAF"/>
    <w:rsid w:val="00ED7D9E"/>
    <w:rsid w:val="00EE03B1"/>
    <w:rsid w:val="00EE1386"/>
    <w:rsid w:val="00EE1663"/>
    <w:rsid w:val="00EE16E2"/>
    <w:rsid w:val="00EE2C63"/>
    <w:rsid w:val="00EE3DDA"/>
    <w:rsid w:val="00EE3EA5"/>
    <w:rsid w:val="00EE4D23"/>
    <w:rsid w:val="00EE533B"/>
    <w:rsid w:val="00EE5B01"/>
    <w:rsid w:val="00EE6AD1"/>
    <w:rsid w:val="00EE6B49"/>
    <w:rsid w:val="00EE79FB"/>
    <w:rsid w:val="00EF00D9"/>
    <w:rsid w:val="00EF079E"/>
    <w:rsid w:val="00EF07E6"/>
    <w:rsid w:val="00EF0E89"/>
    <w:rsid w:val="00EF0E97"/>
    <w:rsid w:val="00EF35FA"/>
    <w:rsid w:val="00EF3FA7"/>
    <w:rsid w:val="00EF4435"/>
    <w:rsid w:val="00EF507D"/>
    <w:rsid w:val="00EF6D71"/>
    <w:rsid w:val="00F00AB6"/>
    <w:rsid w:val="00F00AF1"/>
    <w:rsid w:val="00F00CD5"/>
    <w:rsid w:val="00F00D29"/>
    <w:rsid w:val="00F01081"/>
    <w:rsid w:val="00F0165C"/>
    <w:rsid w:val="00F01C7E"/>
    <w:rsid w:val="00F02049"/>
    <w:rsid w:val="00F025D8"/>
    <w:rsid w:val="00F0338A"/>
    <w:rsid w:val="00F0373D"/>
    <w:rsid w:val="00F03747"/>
    <w:rsid w:val="00F04C2F"/>
    <w:rsid w:val="00F04F66"/>
    <w:rsid w:val="00F05283"/>
    <w:rsid w:val="00F06568"/>
    <w:rsid w:val="00F0662B"/>
    <w:rsid w:val="00F069F1"/>
    <w:rsid w:val="00F11950"/>
    <w:rsid w:val="00F12A0E"/>
    <w:rsid w:val="00F134AC"/>
    <w:rsid w:val="00F13EA4"/>
    <w:rsid w:val="00F153AF"/>
    <w:rsid w:val="00F16720"/>
    <w:rsid w:val="00F172EE"/>
    <w:rsid w:val="00F179D8"/>
    <w:rsid w:val="00F20045"/>
    <w:rsid w:val="00F20655"/>
    <w:rsid w:val="00F2098F"/>
    <w:rsid w:val="00F23DD7"/>
    <w:rsid w:val="00F2496F"/>
    <w:rsid w:val="00F249F6"/>
    <w:rsid w:val="00F252AC"/>
    <w:rsid w:val="00F25D1F"/>
    <w:rsid w:val="00F25EC1"/>
    <w:rsid w:val="00F26185"/>
    <w:rsid w:val="00F26DC3"/>
    <w:rsid w:val="00F300EF"/>
    <w:rsid w:val="00F301C6"/>
    <w:rsid w:val="00F30F7B"/>
    <w:rsid w:val="00F322EA"/>
    <w:rsid w:val="00F32BCB"/>
    <w:rsid w:val="00F3329C"/>
    <w:rsid w:val="00F332C5"/>
    <w:rsid w:val="00F35F1D"/>
    <w:rsid w:val="00F36631"/>
    <w:rsid w:val="00F37C44"/>
    <w:rsid w:val="00F41380"/>
    <w:rsid w:val="00F414B3"/>
    <w:rsid w:val="00F4347B"/>
    <w:rsid w:val="00F43FEC"/>
    <w:rsid w:val="00F44F2A"/>
    <w:rsid w:val="00F45839"/>
    <w:rsid w:val="00F4715B"/>
    <w:rsid w:val="00F47385"/>
    <w:rsid w:val="00F47EF8"/>
    <w:rsid w:val="00F5164C"/>
    <w:rsid w:val="00F5219E"/>
    <w:rsid w:val="00F533A1"/>
    <w:rsid w:val="00F539DF"/>
    <w:rsid w:val="00F552FA"/>
    <w:rsid w:val="00F567A8"/>
    <w:rsid w:val="00F574F8"/>
    <w:rsid w:val="00F576E4"/>
    <w:rsid w:val="00F600F2"/>
    <w:rsid w:val="00F6065B"/>
    <w:rsid w:val="00F63C1F"/>
    <w:rsid w:val="00F6662F"/>
    <w:rsid w:val="00F702B4"/>
    <w:rsid w:val="00F706F1"/>
    <w:rsid w:val="00F70E4A"/>
    <w:rsid w:val="00F732EB"/>
    <w:rsid w:val="00F743AF"/>
    <w:rsid w:val="00F75810"/>
    <w:rsid w:val="00F77745"/>
    <w:rsid w:val="00F80299"/>
    <w:rsid w:val="00F80496"/>
    <w:rsid w:val="00F80729"/>
    <w:rsid w:val="00F80996"/>
    <w:rsid w:val="00F81DCD"/>
    <w:rsid w:val="00F82380"/>
    <w:rsid w:val="00F82FE4"/>
    <w:rsid w:val="00F84BAA"/>
    <w:rsid w:val="00F84D35"/>
    <w:rsid w:val="00F85158"/>
    <w:rsid w:val="00F8725D"/>
    <w:rsid w:val="00F87384"/>
    <w:rsid w:val="00F901A7"/>
    <w:rsid w:val="00F907B2"/>
    <w:rsid w:val="00F90DE0"/>
    <w:rsid w:val="00F92058"/>
    <w:rsid w:val="00F923A7"/>
    <w:rsid w:val="00F93516"/>
    <w:rsid w:val="00F944D7"/>
    <w:rsid w:val="00F95C69"/>
    <w:rsid w:val="00F964FC"/>
    <w:rsid w:val="00F966B7"/>
    <w:rsid w:val="00F97F78"/>
    <w:rsid w:val="00FA02A2"/>
    <w:rsid w:val="00FA17C7"/>
    <w:rsid w:val="00FA2526"/>
    <w:rsid w:val="00FA296E"/>
    <w:rsid w:val="00FA43A4"/>
    <w:rsid w:val="00FA499D"/>
    <w:rsid w:val="00FA5129"/>
    <w:rsid w:val="00FA62D8"/>
    <w:rsid w:val="00FA7275"/>
    <w:rsid w:val="00FA7B5A"/>
    <w:rsid w:val="00FA7E7D"/>
    <w:rsid w:val="00FA7FF8"/>
    <w:rsid w:val="00FB1D01"/>
    <w:rsid w:val="00FB1D39"/>
    <w:rsid w:val="00FB3A38"/>
    <w:rsid w:val="00FB48D6"/>
    <w:rsid w:val="00FB4B04"/>
    <w:rsid w:val="00FB52E0"/>
    <w:rsid w:val="00FB59B6"/>
    <w:rsid w:val="00FB75C0"/>
    <w:rsid w:val="00FC12AD"/>
    <w:rsid w:val="00FC17E0"/>
    <w:rsid w:val="00FC21B4"/>
    <w:rsid w:val="00FC3122"/>
    <w:rsid w:val="00FC3695"/>
    <w:rsid w:val="00FC5BC3"/>
    <w:rsid w:val="00FC5F9B"/>
    <w:rsid w:val="00FC687B"/>
    <w:rsid w:val="00FC698F"/>
    <w:rsid w:val="00FD0471"/>
    <w:rsid w:val="00FD0A75"/>
    <w:rsid w:val="00FD12BF"/>
    <w:rsid w:val="00FD168C"/>
    <w:rsid w:val="00FD1BE6"/>
    <w:rsid w:val="00FD1DE6"/>
    <w:rsid w:val="00FD2092"/>
    <w:rsid w:val="00FD344E"/>
    <w:rsid w:val="00FD34DD"/>
    <w:rsid w:val="00FD3727"/>
    <w:rsid w:val="00FD66EF"/>
    <w:rsid w:val="00FD6E81"/>
    <w:rsid w:val="00FD6EAB"/>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8B0"/>
    <w:rsid w:val="00FF0FB1"/>
    <w:rsid w:val="00FF3F94"/>
    <w:rsid w:val="00FF4376"/>
    <w:rsid w:val="00FF47D9"/>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C1300CC2-0773-499C-AD4E-A1A22FD8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de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ipervnculovisitado">
    <w:name w:val="FollowedHyperlink"/>
    <w:basedOn w:val="Fuentedeprrafopredeter"/>
    <w:uiPriority w:val="99"/>
    <w:semiHidden/>
    <w:unhideWhenUsed/>
    <w:rsid w:val="000120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75694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8481039">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1062767">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428883">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952296">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20/files/pdf/rgl/vig/rglvig324.pdf" TargetMode="External"/><Relationship Id="rId13" Type="http://schemas.openxmlformats.org/officeDocument/2006/relationships/image" Target="media/image2.png"/><Relationship Id="rId18" Type="http://schemas.openxmlformats.org/officeDocument/2006/relationships/hyperlink" Target="http://www.cucea.udg.mx/include/publicaciones_drupal/pdfs/diccionariocontaysist.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OVATE/art_92_iv/2.web"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ransparenciafiscal.edomex.gob.mx/sites/transparenciafiscal.edomex.gob.mx/files/files/pdf/rendicion-cuentas/cuenta-publica-2020/TomoX/COVATE.pdf" TargetMode="External"/><Relationship Id="rId28" Type="http://schemas.openxmlformats.org/officeDocument/2006/relationships/header" Target="header3.xml"/><Relationship Id="rId10" Type="http://schemas.openxmlformats.org/officeDocument/2006/relationships/hyperlink" Target="https://legislacion.edomex.gob.mx/sites/legislacion.edomex.gob.mx/files/files/pdf/gct/2008/ago063.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08/nov204.pdf" TargetMode="External"/><Relationship Id="rId14" Type="http://schemas.openxmlformats.org/officeDocument/2006/relationships/hyperlink" Target="https://www.ipomex.org.mx/ipo3/lgt/indice%20/SCTUR/organigramas.web"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BA1EB-A8BC-43A4-9068-6CCCF3811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39</Pages>
  <Words>8404</Words>
  <Characters>46223</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2021-11-30T20:10:00Z</cp:lastPrinted>
  <dcterms:created xsi:type="dcterms:W3CDTF">2022-01-11T19:26:00Z</dcterms:created>
  <dcterms:modified xsi:type="dcterms:W3CDTF">2022-02-02T17:18:00Z</dcterms:modified>
</cp:coreProperties>
</file>