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0F9" w:rsidRDefault="005833F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veinte de abril de dos mil veintidós.</w:t>
      </w:r>
    </w:p>
    <w:p w:rsidR="006660F9" w:rsidRDefault="005833F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00734/INFOEM/IP/RR/2022</w:t>
      </w:r>
      <w:r>
        <w:rPr>
          <w:rFonts w:ascii="Palatino Linotype" w:eastAsia="Palatino Linotype" w:hAnsi="Palatino Linotype" w:cs="Palatino Linotype"/>
          <w:sz w:val="24"/>
          <w:szCs w:val="24"/>
        </w:rPr>
        <w:t xml:space="preserve">, interpuesto por </w:t>
      </w:r>
      <w:r w:rsidR="00852994" w:rsidRPr="00852994">
        <w:rPr>
          <w:rFonts w:ascii="Palatino Linotype" w:eastAsia="Palatino Linotype" w:hAnsi="Palatino Linotype" w:cs="Palatino Linotype"/>
          <w:color w:val="000000"/>
          <w:sz w:val="24"/>
        </w:rPr>
        <w:t>xxxxx  xxxxxx</w:t>
      </w:r>
      <w:r w:rsidR="00852994">
        <w:rPr>
          <w:rFonts w:ascii="Palatino Linotype" w:eastAsia="Palatino Linotype" w:hAnsi="Palatino Linotype" w:cs="Palatino Linotype"/>
          <w:color w:val="000000"/>
          <w:sz w:val="24"/>
        </w:rPr>
        <w:t xml:space="preserve"> </w:t>
      </w:r>
      <w:r w:rsidR="00852994">
        <w:rPr>
          <w:rFonts w:ascii="Palatino Linotype" w:eastAsia="Palatino Linotype" w:hAnsi="Palatino Linotype" w:cs="Palatino Linotype"/>
          <w:sz w:val="24"/>
          <w:szCs w:val="24"/>
        </w:rPr>
        <w:t>xxxxx</w:t>
      </w:r>
      <w:r>
        <w:rPr>
          <w:rFonts w:ascii="Palatino Linotype" w:eastAsia="Palatino Linotype" w:hAnsi="Palatino Linotype" w:cs="Palatino Linotype"/>
          <w:sz w:val="24"/>
          <w:szCs w:val="24"/>
        </w:rPr>
        <w:t xml:space="preserve">, al cual en lo sucesivo se le denominara </w:t>
      </w:r>
      <w:r>
        <w:rPr>
          <w:rFonts w:ascii="Palatino Linotype" w:eastAsia="Palatino Linotype" w:hAnsi="Palatino Linotype" w:cs="Palatino Linotype"/>
          <w:b/>
          <w:sz w:val="24"/>
          <w:szCs w:val="24"/>
        </w:rPr>
        <w:t>LA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00242/TOLUCA/IP/20</w:t>
      </w:r>
      <w:r>
        <w:rPr>
          <w:rFonts w:ascii="Palatino Linotype" w:eastAsia="Palatino Linotype" w:hAnsi="Palatino Linotype" w:cs="Palatino Linotype"/>
          <w:b/>
          <w:sz w:val="24"/>
          <w:szCs w:val="24"/>
        </w:rPr>
        <w:t>22,</w:t>
      </w:r>
      <w:r>
        <w:rPr>
          <w:rFonts w:ascii="Palatino Linotype" w:eastAsia="Palatino Linotype" w:hAnsi="Palatino Linotype" w:cs="Palatino Linotype"/>
          <w:sz w:val="24"/>
          <w:szCs w:val="24"/>
        </w:rPr>
        <w:t xml:space="preserve"> por parte del Ayuntamiento de Toluca,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rsidR="006660F9" w:rsidRDefault="005833F7">
      <w:pPr>
        <w:spacing w:before="240" w:after="24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AN T E C E D E N T E S   </w:t>
      </w:r>
    </w:p>
    <w:p w:rsidR="006660F9" w:rsidRDefault="005833F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 xml:space="preserve">Con fecha diecisiete de enero de dos mil veintidós, </w:t>
      </w:r>
      <w:r>
        <w:rPr>
          <w:rFonts w:ascii="Palatino Linotype" w:eastAsia="Palatino Linotype" w:hAnsi="Palatino Linotype" w:cs="Palatino Linotype"/>
          <w:b/>
          <w:sz w:val="24"/>
          <w:szCs w:val="24"/>
        </w:rPr>
        <w:t>LA</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Verdana" w:eastAsia="Verdana" w:hAnsi="Verdana" w:cs="Verdana"/>
          <w:b/>
          <w:color w:val="FF0000"/>
        </w:rPr>
        <w:t> </w:t>
      </w:r>
      <w:r>
        <w:rPr>
          <w:rFonts w:ascii="Palatino Linotype" w:eastAsia="Palatino Linotype" w:hAnsi="Palatino Linotype" w:cs="Palatino Linotype"/>
          <w:b/>
          <w:sz w:val="24"/>
          <w:szCs w:val="24"/>
        </w:rPr>
        <w:t>00242/TOLUCA/IP/2022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informa</w:t>
      </w:r>
      <w:r>
        <w:rPr>
          <w:rFonts w:ascii="Palatino Linotype" w:eastAsia="Palatino Linotype" w:hAnsi="Palatino Linotype" w:cs="Palatino Linotype"/>
          <w:sz w:val="24"/>
          <w:szCs w:val="24"/>
        </w:rPr>
        <w:t>ción en el tenor siguiente:</w:t>
      </w:r>
    </w:p>
    <w:p w:rsidR="006660F9" w:rsidRDefault="005833F7">
      <w:pPr>
        <w:spacing w:before="240" w:after="240" w:line="276"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“El alcalde Raymundo Martimez, acudió al partido de Futbol el día domingo 16 de enero del año 2022, por ser un evento masivo, solicito su prueba de Covid y su certificado completo de vacunación de Covid.” (Sic).</w:t>
      </w:r>
    </w:p>
    <w:p w:rsidR="006660F9" w:rsidRDefault="005833F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Modalidad de ent</w:t>
      </w:r>
      <w:r>
        <w:rPr>
          <w:rFonts w:ascii="Palatino Linotype" w:eastAsia="Palatino Linotype" w:hAnsi="Palatino Linotype" w:cs="Palatino Linotype"/>
          <w:sz w:val="24"/>
          <w:szCs w:val="24"/>
        </w:rPr>
        <w:t xml:space="preserve">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rsidR="006660F9" w:rsidRDefault="005833F7">
      <w:pPr>
        <w:spacing w:before="240" w:after="240" w:line="360" w:lineRule="auto"/>
        <w:jc w:val="both"/>
      </w:pPr>
      <w:r>
        <w:rPr>
          <w:rFonts w:ascii="Palatino Linotype" w:eastAsia="Palatino Linotype" w:hAnsi="Palatino Linotype" w:cs="Palatino Linotype"/>
          <w:b/>
          <w:sz w:val="24"/>
          <w:szCs w:val="24"/>
        </w:rPr>
        <w:lastRenderedPageBreak/>
        <w:t xml:space="preserve">2. RESPUESTA.  </w:t>
      </w:r>
      <w:r>
        <w:rPr>
          <w:rFonts w:ascii="Palatino Linotype" w:eastAsia="Palatino Linotype" w:hAnsi="Palatino Linotype" w:cs="Palatino Linotype"/>
          <w:sz w:val="24"/>
          <w:szCs w:val="24"/>
        </w:rPr>
        <w:t xml:space="preserve">Con fecha ocho de febrero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rsidR="006660F9" w:rsidRDefault="005833F7">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w:t>
      </w:r>
      <w:r>
        <w:rPr>
          <w:rFonts w:ascii="Palatino Linotype" w:eastAsia="Palatino Linotype" w:hAnsi="Palatino Linotype" w:cs="Palatino Linotype"/>
          <w:i/>
        </w:rPr>
        <w:t>s permitimos hacer de su conocimiento que con fundamento en el artículo 53, Fracciones: II, V y VI de la Ley de Transparencia y Acceso a la Información Pública del Estado de México y Municipios, le contestamos que:</w:t>
      </w:r>
    </w:p>
    <w:p w:rsidR="006660F9" w:rsidRDefault="005833F7">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atención a la solicitud de información número 00242/TOLUCA/IP/2022, me permito adjuntar al presente la respuesta correspondiente. Sin más por el momento, le envío un cordial saludo.</w:t>
      </w:r>
    </w:p>
    <w:p w:rsidR="006660F9" w:rsidRDefault="005833F7">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6660F9" w:rsidRDefault="005833F7">
      <w:pPr>
        <w:ind w:left="851" w:right="900"/>
        <w:jc w:val="both"/>
      </w:pPr>
      <w:r>
        <w:rPr>
          <w:rFonts w:ascii="Palatino Linotype" w:eastAsia="Palatino Linotype" w:hAnsi="Palatino Linotype" w:cs="Palatino Linotype"/>
          <w:i/>
        </w:rPr>
        <w:t>Lic. Norma Sofía Pérez Martínez</w:t>
      </w:r>
    </w:p>
    <w:p w:rsidR="006660F9" w:rsidRDefault="006660F9"/>
    <w:p w:rsidR="006660F9" w:rsidRDefault="005833F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adjuntó</w:t>
      </w:r>
      <w:r>
        <w:rPr>
          <w:rFonts w:ascii="Palatino Linotype" w:eastAsia="Palatino Linotype" w:hAnsi="Palatino Linotype" w:cs="Palatino Linotype"/>
          <w:sz w:val="24"/>
          <w:szCs w:val="24"/>
        </w:rPr>
        <w:t xml:space="preserve"> a su respuesta el archivo electrónico denominado “</w:t>
      </w:r>
      <w:hyperlink r:id="rId8">
        <w:r>
          <w:rPr>
            <w:rFonts w:ascii="Palatino Linotype" w:eastAsia="Palatino Linotype" w:hAnsi="Palatino Linotype" w:cs="Palatino Linotype"/>
            <w:b/>
            <w:color w:val="000000"/>
            <w:sz w:val="24"/>
            <w:szCs w:val="24"/>
            <w:u w:val="single"/>
          </w:rPr>
          <w:t>Resp. saimex 00242_2022.pdf</w:t>
        </w:r>
      </w:hyperlink>
      <w:r>
        <w:rPr>
          <w:rFonts w:ascii="Palatino Linotype" w:eastAsia="Palatino Linotype" w:hAnsi="Palatino Linotype" w:cs="Palatino Linotype"/>
          <w:sz w:val="24"/>
          <w:szCs w:val="24"/>
        </w:rPr>
        <w:t>” el cual contiene en su parte medular el oficio de fecha ocho de febrero de dos mil vei</w:t>
      </w:r>
      <w:r>
        <w:rPr>
          <w:rFonts w:ascii="Palatino Linotype" w:eastAsia="Palatino Linotype" w:hAnsi="Palatino Linotype" w:cs="Palatino Linotype"/>
          <w:sz w:val="24"/>
          <w:szCs w:val="24"/>
        </w:rPr>
        <w:t>ntidós, signado por la Lic. en D. Norma Sofía Pérez Martínez, Titular de la Unidad de Transparencia mediante el cual menciona que de acuerdo a lo manifestado por el servidor público habilitado de la Secretaría Particular de Presidencia, no se localizó la i</w:t>
      </w:r>
      <w:r>
        <w:rPr>
          <w:rFonts w:ascii="Palatino Linotype" w:eastAsia="Palatino Linotype" w:hAnsi="Palatino Linotype" w:cs="Palatino Linotype"/>
          <w:sz w:val="24"/>
          <w:szCs w:val="24"/>
        </w:rPr>
        <w:t>nformación solicitada, aunado que es un Dato personal sensible, por lo cual solo se genera documentación relativa a sus funciones y atribuciones que le confiere, tal como se observa a continuación:</w:t>
      </w:r>
    </w:p>
    <w:p w:rsidR="006660F9" w:rsidRDefault="00852994">
      <w:pPr>
        <w:spacing w:line="360" w:lineRule="auto"/>
        <w:rPr>
          <w:rFonts w:ascii="Palatino Linotype" w:eastAsia="Palatino Linotype" w:hAnsi="Palatino Linotype" w:cs="Palatino Linotype"/>
          <w:sz w:val="24"/>
          <w:szCs w:val="24"/>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367665</wp:posOffset>
                </wp:positionH>
                <wp:positionV relativeFrom="paragraph">
                  <wp:posOffset>1515745</wp:posOffset>
                </wp:positionV>
                <wp:extent cx="1733550" cy="228600"/>
                <wp:effectExtent l="0" t="0" r="0" b="0"/>
                <wp:wrapNone/>
                <wp:docPr id="1" name="Rectángulo 1"/>
                <wp:cNvGraphicFramePr/>
                <a:graphic xmlns:a="http://schemas.openxmlformats.org/drawingml/2006/main">
                  <a:graphicData uri="http://schemas.microsoft.com/office/word/2010/wordprocessingShape">
                    <wps:wsp>
                      <wps:cNvSpPr/>
                      <wps:spPr>
                        <a:xfrm>
                          <a:off x="0" y="0"/>
                          <a:ext cx="173355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2994" w:rsidRPr="00852994" w:rsidRDefault="00852994" w:rsidP="00852994">
                            <w:pPr>
                              <w:jc w:val="center"/>
                              <w:rPr>
                                <w:color w:val="000000" w:themeColor="text1"/>
                              </w:rPr>
                            </w:pPr>
                            <w:r>
                              <w:rPr>
                                <w:color w:val="000000" w:themeColor="text1"/>
                              </w:rPr>
                              <w:t>Xxxxxx xxxxx 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 o:spid="_x0000_s1026" style="position:absolute;margin-left:28.95pt;margin-top:119.35pt;width:136.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9ioQIAAJEFAAAOAAAAZHJzL2Uyb0RvYy54bWysVM1u2zAMvg/YOwi6r3bSpu2COkXQosOA&#10;oivaDj0rshQbkEVNUuJkb7Nn2YuNlH/SdcUOw3JQRJP8SH4ieXG5awzbKh9qsAWfHOWcKSuhrO26&#10;4F+fbj6ccxaisKUwYFXB9yrwy8X7dxetm6spVGBK5RmC2DBvXcGrGN08y4KsVCPCEThlUanBNyKi&#10;6NdZ6UWL6I3Jpnl+mrXgS+dBqhDw63Wn5IuEr7WS8YvWQUVmCo65xXT6dK7ozBYXYr72wlW17NMQ&#10;/5BFI2qLQUeoaxEF2/j6D6imlh4C6HgkoclA61qqVANWM8lfVfNYCadSLUhOcCNN4f/ByrvtvWd1&#10;iW/HmRUNPtEDkvbzh11vDLAJEdS6MEe7R3fveynglardad/QP9bBdonU/Uiq2kUm8ePk7Ph4NkPu&#10;Jeqm0/PTPLGeHbydD/GTgobRpeAe4ycuxfY2RIyIpoMJBQtg6vKmNiYJ1Cjqyni2FfjEq3XKGD1+&#10;szKWbC2QVwdIXzIqrCsl3eLeKLIz9kFp5ASTn6ZEUjcegggplY2TTlWJUnWxZzn+iC+KPqSVpARI&#10;yBrjj9g9wGDZgQzYHUxvT64qNfPonP8tsc559EiRwcbRuakt+LcADFbVR+7sB5I6aoiluFvt0ISu&#10;Kyj32DweuqkKTt7U+IK3IsR74XGM8NFxNcQveGgDbcGhv3FWgf/+1neyx+5GLWctjmXBw7eN8Ioz&#10;89li33+cnJzQHCfhZHY2RcG/1KxeauymuQJsC+xtzC5dyT6a4ao9NM+4QZYUFVXCSoxdcBn9IFzF&#10;bl3gDpJquUxmOLtOxFv76CSBE8HUoU+7Z+Fd38YRB+AOhhEW81fd3NmSp4XlJoKuU6sfeO2px7lP&#10;PdTvKFosL+Vkddiki18AAAD//wMAUEsDBBQABgAIAAAAIQDX9lKK4AAAAAoBAAAPAAAAZHJzL2Rv&#10;d25yZXYueG1sTI/BTsMwDIbvSLxDZCQuiKUsQEdpOgESEhcOjAlxzBrTVGucqsnajqfHnODo359+&#10;fy7Xs+/EiENsA2m4WmQgkOpgW2o0bN+fL1cgYjJkTRcINRwxwro6PSlNYcNEbzhuUiO4hGJhNLiU&#10;+kLKWDv0Ji5Cj8S7rzB4k3gcGmkHM3G57+Qyy26lNy3xBWd6fHJY7zcHr+H1qNTLeKH207ZVTfst&#10;Px8/XND6/Gx+uAeRcE5/MPzqszpU7LQLB7JRdBpu8jsmNSzVKgfBgFIZJztO8uscZFXK/y9UPwAA&#10;AP//AwBQSwECLQAUAAYACAAAACEAtoM4kv4AAADhAQAAEwAAAAAAAAAAAAAAAAAAAAAAW0NvbnRl&#10;bnRfVHlwZXNdLnhtbFBLAQItABQABgAIAAAAIQA4/SH/1gAAAJQBAAALAAAAAAAAAAAAAAAAAC8B&#10;AABfcmVscy8ucmVsc1BLAQItABQABgAIAAAAIQAKW79ioQIAAJEFAAAOAAAAAAAAAAAAAAAAAC4C&#10;AABkcnMvZTJvRG9jLnhtbFBLAQItABQABgAIAAAAIQDX9lKK4AAAAAoBAAAPAAAAAAAAAAAAAAAA&#10;APsEAABkcnMvZG93bnJldi54bWxQSwUGAAAAAAQABADzAAAACAYAAAAA&#10;" fillcolor="white [3212]" stroked="f" strokeweight="1pt">
                <v:textbox>
                  <w:txbxContent>
                    <w:p w:rsidR="00852994" w:rsidRPr="00852994" w:rsidRDefault="00852994" w:rsidP="00852994">
                      <w:pPr>
                        <w:jc w:val="center"/>
                        <w:rPr>
                          <w:color w:val="000000" w:themeColor="text1"/>
                        </w:rPr>
                      </w:pPr>
                      <w:r>
                        <w:rPr>
                          <w:color w:val="000000" w:themeColor="text1"/>
                        </w:rPr>
                        <w:t>Xxxxxx xxxxx xxxxx</w:t>
                      </w:r>
                    </w:p>
                  </w:txbxContent>
                </v:textbox>
              </v:rect>
            </w:pict>
          </mc:Fallback>
        </mc:AlternateContent>
      </w:r>
      <w:r w:rsidR="005833F7">
        <w:rPr>
          <w:noProof/>
        </w:rPr>
        <w:drawing>
          <wp:inline distT="0" distB="0" distL="0" distR="0">
            <wp:extent cx="5437355" cy="7542979"/>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43279" t="16898" r="28207" b="4345"/>
                    <a:stretch>
                      <a:fillRect/>
                    </a:stretch>
                  </pic:blipFill>
                  <pic:spPr>
                    <a:xfrm>
                      <a:off x="0" y="0"/>
                      <a:ext cx="5437355" cy="7542979"/>
                    </a:xfrm>
                    <a:prstGeom prst="rect">
                      <a:avLst/>
                    </a:prstGeom>
                    <a:ln/>
                  </pic:spPr>
                </pic:pic>
              </a:graphicData>
            </a:graphic>
          </wp:inline>
        </w:drawing>
      </w:r>
      <w:bookmarkStart w:id="0" w:name="_GoBack"/>
      <w:bookmarkEnd w:id="0"/>
    </w:p>
    <w:p w:rsidR="006660F9" w:rsidRDefault="005833F7">
      <w:pPr>
        <w:spacing w:line="360" w:lineRule="auto"/>
        <w:rPr>
          <w:rFonts w:ascii="Palatino Linotype" w:eastAsia="Palatino Linotype" w:hAnsi="Palatino Linotype" w:cs="Palatino Linotype"/>
          <w:sz w:val="24"/>
          <w:szCs w:val="24"/>
        </w:rPr>
      </w:pPr>
      <w:r>
        <w:rPr>
          <w:noProof/>
        </w:rPr>
        <w:lastRenderedPageBreak/>
        <w:drawing>
          <wp:inline distT="0" distB="0" distL="0" distR="0">
            <wp:extent cx="5942730" cy="7422998"/>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45146" t="20519" r="29565" b="9474"/>
                    <a:stretch>
                      <a:fillRect/>
                    </a:stretch>
                  </pic:blipFill>
                  <pic:spPr>
                    <a:xfrm>
                      <a:off x="0" y="0"/>
                      <a:ext cx="5942730" cy="7422998"/>
                    </a:xfrm>
                    <a:prstGeom prst="rect">
                      <a:avLst/>
                    </a:prstGeom>
                    <a:ln/>
                  </pic:spPr>
                </pic:pic>
              </a:graphicData>
            </a:graphic>
          </wp:inline>
        </w:drawing>
      </w:r>
    </w:p>
    <w:p w:rsidR="006660F9" w:rsidRDefault="005833F7">
      <w:pPr>
        <w:spacing w:line="360" w:lineRule="auto"/>
        <w:rPr>
          <w:rFonts w:ascii="Palatino Linotype" w:eastAsia="Palatino Linotype" w:hAnsi="Palatino Linotype" w:cs="Palatino Linotype"/>
          <w:sz w:val="24"/>
          <w:szCs w:val="24"/>
        </w:rPr>
      </w:pPr>
      <w:r>
        <w:rPr>
          <w:noProof/>
        </w:rPr>
        <w:lastRenderedPageBreak/>
        <w:drawing>
          <wp:inline distT="0" distB="0" distL="0" distR="0">
            <wp:extent cx="5489287" cy="7245565"/>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41753" t="21424" r="26710" b="4564"/>
                    <a:stretch>
                      <a:fillRect/>
                    </a:stretch>
                  </pic:blipFill>
                  <pic:spPr>
                    <a:xfrm>
                      <a:off x="0" y="0"/>
                      <a:ext cx="5489287" cy="7245565"/>
                    </a:xfrm>
                    <a:prstGeom prst="rect">
                      <a:avLst/>
                    </a:prstGeom>
                    <a:ln/>
                  </pic:spPr>
                </pic:pic>
              </a:graphicData>
            </a:graphic>
          </wp:inline>
        </w:drawing>
      </w:r>
    </w:p>
    <w:p w:rsidR="006660F9" w:rsidRDefault="005833F7">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3. DEL RECURSO DE REVISIÓN. </w:t>
      </w:r>
      <w:r>
        <w:rPr>
          <w:rFonts w:ascii="Palatino Linotype" w:eastAsia="Palatino Linotype" w:hAnsi="Palatino Linotype" w:cs="Palatino Linotype"/>
          <w:sz w:val="24"/>
          <w:szCs w:val="24"/>
        </w:rPr>
        <w:t>Inconforme con la respue</w:t>
      </w:r>
      <w:r>
        <w:rPr>
          <w:rFonts w:ascii="Palatino Linotype" w:eastAsia="Palatino Linotype" w:hAnsi="Palatino Linotype" w:cs="Palatino Linotype"/>
          <w:sz w:val="24"/>
          <w:szCs w:val="24"/>
        </w:rPr>
        <w:t>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once de febrero de dos mil veintidós</w:t>
      </w:r>
      <w:r>
        <w:rPr>
          <w:rFonts w:ascii="Palatino Linotype" w:eastAsia="Palatino Linotype" w:hAnsi="Palatino Linotype" w:cs="Palatino Linotype"/>
          <w:b/>
          <w:sz w:val="24"/>
          <w:szCs w:val="24"/>
        </w:rPr>
        <w:t xml:space="preserve">, LA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00734/INFOEM/IP/RR/2022</w:t>
      </w:r>
      <w:r>
        <w:rPr>
          <w:rFonts w:ascii="Palatino Linotype" w:eastAsia="Palatino Linotype" w:hAnsi="Palatino Linotype" w:cs="Palatino Linotype"/>
          <w:sz w:val="24"/>
          <w:szCs w:val="24"/>
        </w:rPr>
        <w:t>, en el cual manifiesta, lo siguiente:</w:t>
      </w:r>
    </w:p>
    <w:p w:rsidR="006660F9" w:rsidRDefault="005833F7">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rsidR="006660F9" w:rsidRDefault="005833F7">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LA RESPUESTA PROPORCIONADA.</w:t>
      </w:r>
      <w:r>
        <w:rPr>
          <w:rFonts w:ascii="Palatino Linotype" w:eastAsia="Palatino Linotype" w:hAnsi="Palatino Linotype" w:cs="Palatino Linotype"/>
          <w:i/>
        </w:rPr>
        <w:t>” [sic]</w:t>
      </w:r>
    </w:p>
    <w:p w:rsidR="006660F9" w:rsidRDefault="005833F7">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rsidR="006660F9" w:rsidRDefault="005833F7">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b/>
          <w:i/>
          <w:color w:val="000000"/>
          <w:u w:val="single"/>
        </w:rPr>
        <w:t>No me entregaron la información solicitada</w:t>
      </w:r>
      <w:r>
        <w:rPr>
          <w:rFonts w:ascii="Palatino Linotype" w:eastAsia="Palatino Linotype" w:hAnsi="Palatino Linotype" w:cs="Palatino Linotype"/>
          <w:i/>
          <w:color w:val="000000"/>
        </w:rPr>
        <w:t xml:space="preserve">, ni los oficios de respuesta de las áreas a las que fue turnada la solicitud, con esa respuesta no colma lo solicitado por no incluir la expresión documental.” </w:t>
      </w:r>
      <w:r>
        <w:rPr>
          <w:rFonts w:ascii="Palatino Linotype" w:eastAsia="Palatino Linotype" w:hAnsi="Palatino Linotype" w:cs="Palatino Linotype"/>
          <w:i/>
        </w:rPr>
        <w:t>[sic]</w:t>
      </w:r>
    </w:p>
    <w:p w:rsidR="006660F9" w:rsidRDefault="005833F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w:t>
      </w:r>
      <w:r>
        <w:rPr>
          <w:rFonts w:ascii="Palatino Linotype" w:eastAsia="Palatino Linotype" w:hAnsi="Palatino Linotype" w:cs="Palatino Linotype"/>
          <w:sz w:val="24"/>
          <w:szCs w:val="24"/>
          <w:highlight w:val="white"/>
        </w:rPr>
        <w:t>de la Ley Transparencia y Acceso</w:t>
      </w:r>
      <w:r>
        <w:rPr>
          <w:rFonts w:ascii="Palatino Linotype" w:eastAsia="Palatino Linotype" w:hAnsi="Palatino Linotype" w:cs="Palatino Linotype"/>
          <w:sz w:val="24"/>
          <w:szCs w:val="24"/>
          <w:highlight w:val="white"/>
        </w:rPr>
        <w:t xml:space="preserve"> a la Información Pública</w:t>
      </w:r>
      <w:r>
        <w:rPr>
          <w:rFonts w:ascii="Palatino Linotype" w:eastAsia="Palatino Linotype" w:hAnsi="Palatino Linotype" w:cs="Palatino Linotype"/>
          <w:sz w:val="24"/>
          <w:szCs w:val="24"/>
        </w:rPr>
        <w:t>, el recurso de revisión número</w:t>
      </w:r>
      <w:r>
        <w:rPr>
          <w:rFonts w:ascii="Palatino Linotype" w:eastAsia="Palatino Linotype" w:hAnsi="Palatino Linotype" w:cs="Palatino Linotype"/>
          <w:b/>
          <w:sz w:val="24"/>
          <w:szCs w:val="24"/>
        </w:rPr>
        <w:t xml:space="preserve"> 00734/INFOEM/IP/RR/2022 </w:t>
      </w:r>
      <w:r>
        <w:rPr>
          <w:rFonts w:ascii="Palatino Linotype" w:eastAsia="Palatino Linotype" w:hAnsi="Palatino Linotype" w:cs="Palatino Linotype"/>
          <w:sz w:val="24"/>
          <w:szCs w:val="24"/>
        </w:rPr>
        <w:t xml:space="preserve">fue turnado en fecha once de febrero de dos mil veintidós a la Comisionada Ponente </w:t>
      </w:r>
      <w:r>
        <w:rPr>
          <w:rFonts w:ascii="Palatino Linotype" w:eastAsia="Palatino Linotype" w:hAnsi="Palatino Linotype" w:cs="Palatino Linotype"/>
          <w:b/>
          <w:sz w:val="24"/>
          <w:szCs w:val="24"/>
        </w:rPr>
        <w:t>Guadalupe Ramírez Peña</w:t>
      </w:r>
      <w:r>
        <w:rPr>
          <w:rFonts w:ascii="Palatino Linotype" w:eastAsia="Palatino Linotype" w:hAnsi="Palatino Linotype" w:cs="Palatino Linotype"/>
          <w:sz w:val="24"/>
          <w:szCs w:val="24"/>
        </w:rPr>
        <w:t>; a efecto de presentar al Pleno el proyecto de resolución correspondi</w:t>
      </w:r>
      <w:r>
        <w:rPr>
          <w:rFonts w:ascii="Palatino Linotype" w:eastAsia="Palatino Linotype" w:hAnsi="Palatino Linotype" w:cs="Palatino Linotype"/>
          <w:sz w:val="24"/>
          <w:szCs w:val="24"/>
        </w:rPr>
        <w:t>ente.</w:t>
      </w:r>
    </w:p>
    <w:p w:rsidR="006660F9" w:rsidRDefault="005833F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5. ADMISIÓN. </w:t>
      </w:r>
      <w:r>
        <w:rPr>
          <w:rFonts w:ascii="Palatino Linotype" w:eastAsia="Palatino Linotype" w:hAnsi="Palatino Linotype" w:cs="Palatino Linotype"/>
          <w:sz w:val="24"/>
          <w:szCs w:val="24"/>
        </w:rPr>
        <w:t>En fecha dieciséis de febrero del año dos mil veintidós, en términos de lo dispuesto en el artículo 185 fracciones I, II y IV de la Ley de Transparencia y Acceso a la Información Pública del Estado de México y Municipios, se admitió a tr</w:t>
      </w:r>
      <w:r>
        <w:rPr>
          <w:rFonts w:ascii="Palatino Linotype" w:eastAsia="Palatino Linotype" w:hAnsi="Palatino Linotype" w:cs="Palatino Linotype"/>
          <w:sz w:val="24"/>
          <w:szCs w:val="24"/>
        </w:rPr>
        <w:t>ámite el recurso de revisión al rubro indicado.</w:t>
      </w:r>
    </w:p>
    <w:p w:rsidR="006660F9" w:rsidRDefault="005833F7">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6.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 xml:space="preserve">El veinticinco de febrero de dos mil veintidós, se recibió, a través del Sistema de Acceso a la Información </w:t>
      </w:r>
      <w:r>
        <w:rPr>
          <w:rFonts w:ascii="Palatino Linotype" w:eastAsia="Palatino Linotype" w:hAnsi="Palatino Linotype" w:cs="Palatino Linotype"/>
          <w:sz w:val="24"/>
          <w:szCs w:val="24"/>
        </w:rPr>
        <w:lastRenderedPageBreak/>
        <w:t xml:space="preserve">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del siguiente archivo electrónico: </w:t>
      </w:r>
    </w:p>
    <w:p w:rsidR="006660F9" w:rsidRDefault="005833F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sz w:val="24"/>
          <w:szCs w:val="24"/>
          <w:u w:val="single"/>
        </w:rPr>
        <w:t xml:space="preserve">Informe Justificado_00734_2022.pdf </w:t>
      </w:r>
      <w:r>
        <w:rPr>
          <w:rFonts w:ascii="Palatino Linotype" w:eastAsia="Palatino Linotype" w:hAnsi="Palatino Linotype" w:cs="Palatino Linotype"/>
          <w:color w:val="000000"/>
          <w:sz w:val="24"/>
          <w:szCs w:val="24"/>
        </w:rPr>
        <w:t xml:space="preserve">contiene el oficio número UT/RR/0033/2022 a través del cual la Titular de la Unidad de Transparencia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ratifica en términos generales su resp</w:t>
      </w:r>
      <w:r>
        <w:rPr>
          <w:rFonts w:ascii="Palatino Linotype" w:eastAsia="Palatino Linotype" w:hAnsi="Palatino Linotype" w:cs="Palatino Linotype"/>
          <w:color w:val="000000"/>
          <w:sz w:val="24"/>
          <w:szCs w:val="24"/>
        </w:rPr>
        <w:t xml:space="preserve">uesta original. </w:t>
      </w:r>
    </w:p>
    <w:p w:rsidR="006660F9" w:rsidRDefault="005833F7">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7. ALCANCE A LA ENTREGA DE LA INFORMACIÓN DEL RECURSO DE REVISIÓN.  </w:t>
      </w:r>
      <w:r>
        <w:rPr>
          <w:rFonts w:ascii="Palatino Linotype" w:eastAsia="Palatino Linotype" w:hAnsi="Palatino Linotype" w:cs="Palatino Linotype"/>
          <w:sz w:val="24"/>
          <w:szCs w:val="24"/>
        </w:rPr>
        <w:t xml:space="preserve">El dieciséis de marzo de dos mil veintidós se recibió, a través del Sistema de Acceso a la Información Mexiquense (SAIMEX), el alcance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a través del si</w:t>
      </w:r>
      <w:r>
        <w:rPr>
          <w:rFonts w:ascii="Palatino Linotype" w:eastAsia="Palatino Linotype" w:hAnsi="Palatino Linotype" w:cs="Palatino Linotype"/>
          <w:sz w:val="24"/>
          <w:szCs w:val="24"/>
        </w:rPr>
        <w:t xml:space="preserve">guiente archivo electrónico: </w:t>
      </w:r>
    </w:p>
    <w:p w:rsidR="006660F9" w:rsidRDefault="005833F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color w:val="000000"/>
          <w:sz w:val="24"/>
          <w:szCs w:val="24"/>
          <w:u w:val="single"/>
        </w:rPr>
        <w:t>242.pdf</w:t>
      </w:r>
      <w:r>
        <w:rPr>
          <w:rFonts w:ascii="Palatino Linotype" w:eastAsia="Palatino Linotype" w:hAnsi="Palatino Linotype" w:cs="Palatino Linotype"/>
          <w:color w:val="000000"/>
          <w:sz w:val="24"/>
          <w:szCs w:val="24"/>
        </w:rPr>
        <w:t xml:space="preserve"> el cual contiene el oficio SP/117/2022 a través del cual la Lic. Perla Edith Mandujano Rojas, Secretaria Particular de Presidencia precisa que no se localizó información relativa a la solicitud de información, toda vez</w:t>
      </w:r>
      <w:r>
        <w:rPr>
          <w:rFonts w:ascii="Palatino Linotype" w:eastAsia="Palatino Linotype" w:hAnsi="Palatino Linotype" w:cs="Palatino Linotype"/>
          <w:color w:val="000000"/>
          <w:sz w:val="24"/>
          <w:szCs w:val="24"/>
        </w:rPr>
        <w:t xml:space="preserve"> que la información relativa al estado de salud es considerada confidencial.</w:t>
      </w:r>
    </w:p>
    <w:p w:rsidR="006660F9" w:rsidRDefault="005833F7">
      <w:pP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8. CIERRE DE INSTRUCCIÓN. </w:t>
      </w:r>
      <w:r>
        <w:rPr>
          <w:rFonts w:ascii="Palatino Linotype" w:eastAsia="Palatino Linotype" w:hAnsi="Palatino Linotype" w:cs="Palatino Linotype"/>
          <w:color w:val="000000"/>
          <w:sz w:val="24"/>
          <w:szCs w:val="24"/>
        </w:rPr>
        <w:t>El veintitrés de marzo de dos mil veintidós, al no existir diligencias pendientes por desahogar, se emitió el acuerdo por medio del cual se declaró cerra</w:t>
      </w:r>
      <w:r>
        <w:rPr>
          <w:rFonts w:ascii="Palatino Linotype" w:eastAsia="Palatino Linotype" w:hAnsi="Palatino Linotype" w:cs="Palatino Linotype"/>
          <w:color w:val="000000"/>
          <w:sz w:val="24"/>
          <w:szCs w:val="24"/>
        </w:rPr>
        <w:t>da la instrucción y se determinó pasar el expediente a resolución, en términos del artículo 185 fracción VI y VIII de la Ley de Transparencia y Acceso a la Información Pública del Estado de México y Municipios, iniciando el término legal para dictar resolu</w:t>
      </w:r>
      <w:r>
        <w:rPr>
          <w:rFonts w:ascii="Palatino Linotype" w:eastAsia="Palatino Linotype" w:hAnsi="Palatino Linotype" w:cs="Palatino Linotype"/>
          <w:color w:val="000000"/>
          <w:sz w:val="24"/>
          <w:szCs w:val="24"/>
        </w:rPr>
        <w:t xml:space="preserve">ción definitiva del asunto. </w:t>
      </w:r>
    </w:p>
    <w:p w:rsidR="006660F9" w:rsidRDefault="005833F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9. DE LA AMPLIACIÓN DE PLAZO.</w:t>
      </w:r>
      <w:r>
        <w:rPr>
          <w:rFonts w:ascii="Palatino Linotype" w:eastAsia="Palatino Linotype" w:hAnsi="Palatino Linotype" w:cs="Palatino Linotype"/>
          <w:color w:val="202124"/>
          <w:highlight w:val="white"/>
        </w:rPr>
        <w:t xml:space="preserve"> </w:t>
      </w:r>
      <w:r>
        <w:rPr>
          <w:rFonts w:ascii="Palatino Linotype" w:eastAsia="Palatino Linotype" w:hAnsi="Palatino Linotype" w:cs="Palatino Linotype"/>
          <w:color w:val="202124"/>
          <w:sz w:val="24"/>
          <w:szCs w:val="24"/>
          <w:highlight w:val="white"/>
        </w:rPr>
        <w:t xml:space="preserve">En fecha </w:t>
      </w:r>
      <w:r>
        <w:rPr>
          <w:rFonts w:ascii="Palatino Linotype" w:eastAsia="Palatino Linotype" w:hAnsi="Palatino Linotype" w:cs="Palatino Linotype"/>
          <w:color w:val="000000"/>
          <w:sz w:val="24"/>
          <w:szCs w:val="24"/>
        </w:rPr>
        <w:t xml:space="preserve">siete de abril </w:t>
      </w:r>
      <w:r>
        <w:rPr>
          <w:rFonts w:ascii="Palatino Linotype" w:eastAsia="Palatino Linotype" w:hAnsi="Palatino Linotype" w:cs="Palatino Linotype"/>
          <w:color w:val="202124"/>
          <w:sz w:val="24"/>
          <w:szCs w:val="24"/>
          <w:highlight w:val="white"/>
        </w:rPr>
        <w:t xml:space="preserve">del dos mil veintidós, este Instituto con fundamento en el artículo 181, párrafo tercero de la Ley de </w:t>
      </w:r>
      <w:r>
        <w:rPr>
          <w:rFonts w:ascii="Palatino Linotype" w:eastAsia="Palatino Linotype" w:hAnsi="Palatino Linotype" w:cs="Palatino Linotype"/>
          <w:color w:val="202124"/>
          <w:sz w:val="24"/>
          <w:szCs w:val="24"/>
          <w:highlight w:val="white"/>
        </w:rPr>
        <w:lastRenderedPageBreak/>
        <w:t>Transparencia y Acceso a la Información Pública del Estado de México y Municipios, determinó mediante el acuerdo respectivo, ampliar por quince días hábil</w:t>
      </w:r>
      <w:r>
        <w:rPr>
          <w:rFonts w:ascii="Palatino Linotype" w:eastAsia="Palatino Linotype" w:hAnsi="Palatino Linotype" w:cs="Palatino Linotype"/>
          <w:color w:val="202124"/>
          <w:sz w:val="24"/>
          <w:szCs w:val="24"/>
          <w:highlight w:val="white"/>
        </w:rPr>
        <w:t>es adicionales el plazo para emitir la presente resolución a fin de realizar un mejor estudio del asunto.</w:t>
      </w:r>
    </w:p>
    <w:p w:rsidR="006660F9" w:rsidRDefault="005833F7">
      <w:pPr>
        <w:spacing w:before="240" w:after="12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CONSIDERANDOS:</w:t>
      </w:r>
    </w:p>
    <w:p w:rsidR="006660F9" w:rsidRDefault="005833F7">
      <w:pPr>
        <w:spacing w:before="240" w:after="12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COMPETENCIA. </w:t>
      </w:r>
      <w:r>
        <w:rPr>
          <w:rFonts w:ascii="Palatino Linotype" w:eastAsia="Palatino Linotype" w:hAnsi="Palatino Linotype" w:cs="Palatino Linotype"/>
          <w:sz w:val="24"/>
          <w:szCs w:val="24"/>
        </w:rPr>
        <w:t>Este Instituto de Transparencia, Acceso a la Información Pública y Protección de Datos Personales del Estado de M</w:t>
      </w:r>
      <w:r>
        <w:rPr>
          <w:rFonts w:ascii="Palatino Linotype" w:eastAsia="Palatino Linotype" w:hAnsi="Palatino Linotype" w:cs="Palatino Linotype"/>
          <w:sz w:val="24"/>
          <w:szCs w:val="24"/>
        </w:rPr>
        <w:t>éxico y Municipios, es competente para conocer y resolver el presente recurso de revisión, conforme a lo dispuesto en los artículos 6, apartado A, fracción IV, de la Constitución Política de los Estados Unidos Mexicanos; 5, párrafos trigésimo, trigésimo pr</w:t>
      </w:r>
      <w:r>
        <w:rPr>
          <w:rFonts w:ascii="Palatino Linotype" w:eastAsia="Palatino Linotype" w:hAnsi="Palatino Linotype" w:cs="Palatino Linotype"/>
          <w:sz w:val="24"/>
          <w:szCs w:val="24"/>
        </w:rPr>
        <w:t>imero y trigésimo segundo, fracciones IV y V, de la Constitución Política del Estado Libre y Soberano de México; artículos 1, 2 fracción II, 13, 29, 36 fracciones I y II, 176, 178, 179, 181 párrafo tercero y 185, 186 y 188 de la Ley de Transparencia y Acce</w:t>
      </w:r>
      <w:r>
        <w:rPr>
          <w:rFonts w:ascii="Palatino Linotype" w:eastAsia="Palatino Linotype" w:hAnsi="Palatino Linotype" w:cs="Palatino Linotype"/>
          <w:sz w:val="24"/>
          <w:szCs w:val="24"/>
        </w:rPr>
        <w:t>so a la Información Pública del Estado de México y Municipios; y 10, 7, 9 fracciones I y XXIV y 11, del Reglamento Interior del Instituto de Transparencia, Acceso a la Información Pública y Protección de Datos Personales del Estado de México y Municipios.</w:t>
      </w:r>
    </w:p>
    <w:p w:rsidR="006660F9" w:rsidRDefault="005833F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 xml:space="preserve">SEGUNDO. Oportunidad y Procedibilidad. </w:t>
      </w: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w:t>
      </w:r>
      <w:r>
        <w:rPr>
          <w:rFonts w:ascii="Palatino Linotype" w:eastAsia="Palatino Linotype" w:hAnsi="Palatino Linotype" w:cs="Palatino Linotype"/>
          <w:sz w:val="24"/>
          <w:szCs w:val="24"/>
        </w:rPr>
        <w:t>arencia y Acceso a la Información Pública del Estado de México y Municipios</w:t>
      </w:r>
    </w:p>
    <w:p w:rsidR="006660F9" w:rsidRDefault="005833F7">
      <w:pPr>
        <w:spacing w:before="120" w:after="12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El recurso de revisión fue interpuesto dentro del plazo de quince días hábiles previsto en el artículo 178 de la Ley de Transparencia y Acceso a la Información Pública del Estado d</w:t>
      </w:r>
      <w:r>
        <w:rPr>
          <w:rFonts w:ascii="Palatino Linotype" w:eastAsia="Palatino Linotype" w:hAnsi="Palatino Linotype" w:cs="Palatino Linotype"/>
          <w:sz w:val="24"/>
          <w:szCs w:val="24"/>
        </w:rPr>
        <w:t xml:space="preserve">e México y Municipios, contados a partir de la fecha en que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 xml:space="preserve">emitió la respuesta, toda vez que ésta fue pronunciada el día ocho de febrero de dos mil veintidós, mientras que la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el recurso de revisión el once de febrer</w:t>
      </w:r>
      <w:r>
        <w:rPr>
          <w:rFonts w:ascii="Palatino Linotype" w:eastAsia="Palatino Linotype" w:hAnsi="Palatino Linotype" w:cs="Palatino Linotype"/>
          <w:sz w:val="24"/>
          <w:szCs w:val="24"/>
        </w:rPr>
        <w:t xml:space="preserve">o de dos mil veintidós, esto es al tercer día hábil de haber recibido la respuesta. </w:t>
      </w:r>
    </w:p>
    <w:p w:rsidR="006660F9" w:rsidRDefault="005833F7">
      <w:pPr>
        <w:spacing w:before="120" w:after="12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al considerar la fecha en que se formuló la solicitud y la fecha en la que respondió a ésta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en la que se interpuso el recurso</w:t>
      </w:r>
      <w:r>
        <w:rPr>
          <w:rFonts w:ascii="Palatino Linotype" w:eastAsia="Palatino Linotype" w:hAnsi="Palatino Linotype" w:cs="Palatino Linotype"/>
          <w:sz w:val="24"/>
          <w:szCs w:val="24"/>
        </w:rPr>
        <w:t xml:space="preserve"> de revisión, éste se encuentra dentro de los márgenes temporales previstos en el citado precepto legal.</w:t>
      </w:r>
    </w:p>
    <w:p w:rsidR="006660F9" w:rsidRDefault="005833F7">
      <w:pPr>
        <w:spacing w:before="120" w:after="12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también, por cuanto hace a la procedibilidad del recurso de revisión, una vez realizado el análisis del formato de interposición del mismo, se conc</w:t>
      </w:r>
      <w:r>
        <w:rPr>
          <w:rFonts w:ascii="Palatino Linotype" w:eastAsia="Palatino Linotype" w:hAnsi="Palatino Linotype" w:cs="Palatino Linotype"/>
          <w:sz w:val="24"/>
          <w:szCs w:val="24"/>
        </w:rPr>
        <w:t>luye la acreditación plena de los elementos formales precisados por el artículo 180 de la Ley de Transparencia y Acceso a la Información Pública del Estado de México y Municipios, en atención a que fue presentado mediante el formato visible en el SAIMEX.</w:t>
      </w:r>
    </w:p>
    <w:p w:rsidR="006660F9" w:rsidRDefault="005833F7">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w:t>
      </w:r>
      <w:r>
        <w:rPr>
          <w:rFonts w:ascii="Palatino Linotype" w:eastAsia="Palatino Linotype" w:hAnsi="Palatino Linotype" w:cs="Palatino Linotype"/>
          <w:sz w:val="24"/>
          <w:szCs w:val="24"/>
        </w:rPr>
        <w:t>inalmente, resulta procedente la interposición del recurso, según lo aducido por la RECURRENTE en sus razones o motivos de inconformidad, de acuerdo al artículo 179, fracciones I y V de la Ley de Transparencia y Acceso a la Información Pública del Estado d</w:t>
      </w:r>
      <w:r>
        <w:rPr>
          <w:rFonts w:ascii="Palatino Linotype" w:eastAsia="Palatino Linotype" w:hAnsi="Palatino Linotype" w:cs="Palatino Linotype"/>
          <w:sz w:val="24"/>
          <w:szCs w:val="24"/>
        </w:rPr>
        <w:t>e México y Municipios; que a la letra dice:</w:t>
      </w:r>
    </w:p>
    <w:p w:rsidR="006660F9" w:rsidRDefault="006660F9">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6660F9" w:rsidRDefault="005833F7">
      <w:pPr>
        <w:pBdr>
          <w:top w:val="nil"/>
          <w:left w:val="nil"/>
          <w:bottom w:val="nil"/>
          <w:right w:val="nil"/>
          <w:between w:val="nil"/>
        </w:pBd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rsidR="006660F9" w:rsidRDefault="005833F7">
      <w:pPr>
        <w:pBdr>
          <w:top w:val="nil"/>
          <w:left w:val="nil"/>
          <w:bottom w:val="nil"/>
          <w:right w:val="nil"/>
          <w:between w:val="nil"/>
        </w:pBd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p>
    <w:p w:rsidR="006660F9" w:rsidRDefault="005833F7">
      <w:pPr>
        <w:pBdr>
          <w:top w:val="nil"/>
          <w:left w:val="nil"/>
          <w:bottom w:val="nil"/>
          <w:right w:val="nil"/>
          <w:between w:val="nil"/>
        </w:pBd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I. La negativa a la información solicitada;</w:t>
      </w:r>
    </w:p>
    <w:p w:rsidR="006660F9" w:rsidRDefault="005833F7">
      <w:pPr>
        <w:pBdr>
          <w:top w:val="nil"/>
          <w:left w:val="nil"/>
          <w:bottom w:val="nil"/>
          <w:right w:val="nil"/>
          <w:between w:val="nil"/>
        </w:pBd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rsidR="006660F9" w:rsidRDefault="005833F7">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 xml:space="preserve">TERCERO. Materia de la Revisión. </w:t>
      </w:r>
      <w:r>
        <w:rPr>
          <w:rFonts w:ascii="Palatino Linotype" w:eastAsia="Palatino Linotype" w:hAnsi="Palatino Linotype" w:cs="Palatino Linotype"/>
          <w:sz w:val="24"/>
          <w:szCs w:val="24"/>
        </w:rPr>
        <w:t xml:space="preserve">Una vez realizado el análisis de las constancias y documentos que obran en expediente electrónico, en que se actúa, se advierte que el tema sobre el que este Organismo Garante de Transparencia y Acceso a la Información se pronunciará será: verificar si la </w:t>
      </w:r>
      <w:r>
        <w:rPr>
          <w:rFonts w:ascii="Palatino Linotype" w:eastAsia="Palatino Linotype" w:hAnsi="Palatino Linotype" w:cs="Palatino Linotype"/>
          <w:sz w:val="24"/>
          <w:szCs w:val="24"/>
        </w:rPr>
        <w:t xml:space="preserve">respuesta otorgada por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es adecuada y suficiente para satisfacer el derecho de acceso a la información pública de la</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o en su defecto, en caso de ser procedente, ordenar la entrega de información oportuna.</w:t>
      </w:r>
    </w:p>
    <w:p w:rsidR="006660F9" w:rsidRDefault="005833F7">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8"/>
          <w:szCs w:val="28"/>
        </w:rPr>
        <w:t>CUARTO. Estudio y res</w:t>
      </w:r>
      <w:r>
        <w:rPr>
          <w:rFonts w:ascii="Palatino Linotype" w:eastAsia="Palatino Linotype" w:hAnsi="Palatino Linotype" w:cs="Palatino Linotype"/>
          <w:b/>
          <w:color w:val="000000"/>
          <w:sz w:val="28"/>
          <w:szCs w:val="28"/>
        </w:rPr>
        <w:t xml:space="preserve">olución del Asunto.  </w:t>
      </w:r>
      <w:r>
        <w:rPr>
          <w:rFonts w:ascii="Palatino Linotype" w:eastAsia="Palatino Linotype" w:hAnsi="Palatino Linotype" w:cs="Palatino Linotype"/>
          <w:sz w:val="24"/>
          <w:szCs w:val="24"/>
        </w:rPr>
        <w:t>En primera instancia, debe resaltarse que el derecho de acceso a información pública, es un derecho humano, mismo que en términos del artículo 1° de la Constitución Política de los Estados Unidos Mexicanos, toda autoridad tiene la inel</w:t>
      </w:r>
      <w:r>
        <w:rPr>
          <w:rFonts w:ascii="Palatino Linotype" w:eastAsia="Palatino Linotype" w:hAnsi="Palatino Linotype" w:cs="Palatino Linotype"/>
          <w:sz w:val="24"/>
          <w:szCs w:val="24"/>
        </w:rPr>
        <w:t>udible obligación de promoverlo, respetarlo, protegerlo y garantizarlo, lo que deriva en que se deben reparar las violaciones al derecho humano en cuestión, incluso se prevé que se deberán interpretar las normas favoreciendo en todo tiempo a las personas c</w:t>
      </w:r>
      <w:r>
        <w:rPr>
          <w:rFonts w:ascii="Palatino Linotype" w:eastAsia="Palatino Linotype" w:hAnsi="Palatino Linotype" w:cs="Palatino Linotype"/>
          <w:sz w:val="24"/>
          <w:szCs w:val="24"/>
        </w:rPr>
        <w:t xml:space="preserve">on la protección más amplia. </w:t>
      </w:r>
    </w:p>
    <w:p w:rsidR="006660F9" w:rsidRDefault="005833F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mismo, resulta indispensable referir que el derecho de acceso a la información pública implica que cualquier persona pueda acceder y conocer la información </w:t>
      </w:r>
      <w:r>
        <w:rPr>
          <w:rFonts w:ascii="Palatino Linotype" w:eastAsia="Palatino Linotype" w:hAnsi="Palatino Linotype" w:cs="Palatino Linotype"/>
          <w:sz w:val="24"/>
          <w:szCs w:val="24"/>
        </w:rPr>
        <w:lastRenderedPageBreak/>
        <w:t>contenida en los documentos que se encuentran en posesión de los S</w:t>
      </w:r>
      <w:r>
        <w:rPr>
          <w:rFonts w:ascii="Palatino Linotype" w:eastAsia="Palatino Linotype" w:hAnsi="Palatino Linotype" w:cs="Palatino Linotype"/>
          <w:sz w:val="24"/>
          <w:szCs w:val="24"/>
        </w:rPr>
        <w:t xml:space="preserve">ujetos Obligados. </w:t>
      </w:r>
    </w:p>
    <w:p w:rsidR="006660F9" w:rsidRDefault="005833F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manera que, la obligación de acceso a la información se tendrá por cumplida cuando el solicitante tenga a su disposición la información requerida, o cuando realice su consulta en el lugar que ésta se localice, conforme a los artículos</w:t>
      </w:r>
      <w:r>
        <w:rPr>
          <w:rFonts w:ascii="Palatino Linotype" w:eastAsia="Palatino Linotype" w:hAnsi="Palatino Linotype" w:cs="Palatino Linotype"/>
          <w:sz w:val="24"/>
          <w:szCs w:val="24"/>
        </w:rPr>
        <w:t xml:space="preserve"> 3 fracción XI, XII 4, 12 y 24 último párrafo de la Ley de Transparencia y Acceso a la Información Pública del Estado de México y Municipios:</w:t>
      </w:r>
    </w:p>
    <w:p w:rsidR="006660F9" w:rsidRDefault="005833F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rsidR="006660F9" w:rsidRDefault="005833F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6660F9" w:rsidRDefault="005833F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XI. Documento: </w:t>
      </w:r>
      <w:r>
        <w:rPr>
          <w:rFonts w:ascii="Palatino Linotype" w:eastAsia="Palatino Linotype" w:hAnsi="Palatino Linotype" w:cs="Palatino Linotype"/>
          <w:i/>
        </w:rPr>
        <w:t>Los expedientes, reportes, e</w:t>
      </w:r>
      <w:r>
        <w:rPr>
          <w:rFonts w:ascii="Palatino Linotype" w:eastAsia="Palatino Linotype" w:hAnsi="Palatino Linotype" w:cs="Palatino Linotype"/>
          <w:i/>
        </w:rPr>
        <w:t>studios, actas, resoluciones, oficios, correspondencia, acuerdos, directivas, directrices, circulares, contratos, convenios, instructivos, notas, memorandos, estadísticas o bien, cualquier otro registro que documente el ejercicio de las facultades, funcion</w:t>
      </w:r>
      <w:r>
        <w:rPr>
          <w:rFonts w:ascii="Palatino Linotype" w:eastAsia="Palatino Linotype" w:hAnsi="Palatino Linotype" w:cs="Palatino Linotype"/>
          <w:i/>
        </w:rPr>
        <w:t>es y competencias de los sujetos obligados, sus servidores públicos e integrantes, sin importar su fuente o fecha de elaboración. Los documentos podrán estar en cualquier medio, sea escrito, impreso, sonoro, visual, electrónico, informático u holográfico;</w:t>
      </w:r>
    </w:p>
    <w:p w:rsidR="006660F9" w:rsidRDefault="005833F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XII. Documento electrónico:</w:t>
      </w:r>
      <w:r>
        <w:rPr>
          <w:rFonts w:ascii="Palatino Linotype" w:eastAsia="Palatino Linotype" w:hAnsi="Palatino Linotype" w:cs="Palatino Linotype"/>
          <w:i/>
        </w:rPr>
        <w:t xml:space="preserve"> Al soporte escrito con caracteres alfanuméricos, archivo de imagen, video, audio o cualquier otro formato tecnológicamente disponible, que contenga información en lenguaje natural o convencional, intercambiado por medios electró</w:t>
      </w:r>
      <w:r>
        <w:rPr>
          <w:rFonts w:ascii="Palatino Linotype" w:eastAsia="Palatino Linotype" w:hAnsi="Palatino Linotype" w:cs="Palatino Linotype"/>
          <w:i/>
        </w:rPr>
        <w:t>nicos, con el que sea posible dar constancia de un hecho y que esté signado con la firma electrónica avanzada y/o en el que se encuentre plasmado el sello electrónico;</w:t>
      </w:r>
    </w:p>
    <w:p w:rsidR="006660F9" w:rsidRDefault="005833F7">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6660F9" w:rsidRDefault="005833F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4. El derecho humano de acceso a la información pública es la prerrogativa </w:t>
      </w:r>
      <w:r>
        <w:rPr>
          <w:rFonts w:ascii="Palatino Linotype" w:eastAsia="Palatino Linotype" w:hAnsi="Palatino Linotype" w:cs="Palatino Linotype"/>
          <w:b/>
          <w:i/>
        </w:rPr>
        <w:t xml:space="preserve">de las personas para buscar, difundir, investigar, recabar, </w:t>
      </w:r>
      <w:r>
        <w:rPr>
          <w:rFonts w:ascii="Palatino Linotype" w:eastAsia="Palatino Linotype" w:hAnsi="Palatino Linotype" w:cs="Palatino Linotype"/>
          <w:b/>
          <w:i/>
        </w:rPr>
        <w:lastRenderedPageBreak/>
        <w:t>recibir y solicitar información pública</w:t>
      </w:r>
      <w:r>
        <w:rPr>
          <w:rFonts w:ascii="Palatino Linotype" w:eastAsia="Palatino Linotype" w:hAnsi="Palatino Linotype" w:cs="Palatino Linotype"/>
          <w:i/>
        </w:rPr>
        <w:t>, sin necesidad de acreditar personalidad ni interés jurídico.</w:t>
      </w:r>
    </w:p>
    <w:p w:rsidR="006660F9" w:rsidRDefault="005833F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w:t>
      </w:r>
      <w:r>
        <w:rPr>
          <w:rFonts w:ascii="Palatino Linotype" w:eastAsia="Palatino Linotype" w:hAnsi="Palatino Linotype" w:cs="Palatino Linotype"/>
          <w:b/>
          <w:i/>
        </w:rPr>
        <w:t xml:space="preserve"> los sujetos obligados es pública y accesible de manera permanente a cualquier persona, en los términos y condiciones que se establezcan en los tratados internacionales de los que el Estado mexicano sea parte, en la Ley General, la presente Ley y demás dis</w:t>
      </w:r>
      <w:r>
        <w:rPr>
          <w:rFonts w:ascii="Palatino Linotype" w:eastAsia="Palatino Linotype" w:hAnsi="Palatino Linotype" w:cs="Palatino Linotype"/>
          <w:b/>
          <w:i/>
        </w:rPr>
        <w:t>posiciones de la materia, privilegiando el principio de máxima publicidad de la información.</w:t>
      </w:r>
      <w:r>
        <w:rPr>
          <w:rFonts w:ascii="Palatino Linotype" w:eastAsia="Palatino Linotype" w:hAnsi="Palatino Linotype" w:cs="Palatino Linotype"/>
          <w:i/>
        </w:rPr>
        <w:t xml:space="preserve"> Solo podrá ser clasificada excepcionalmente como reservada temporalmente por razones de interés público, en los términos de las causas legítimas y estrictamente ne</w:t>
      </w:r>
      <w:r>
        <w:rPr>
          <w:rFonts w:ascii="Palatino Linotype" w:eastAsia="Palatino Linotype" w:hAnsi="Palatino Linotype" w:cs="Palatino Linotype"/>
          <w:i/>
        </w:rPr>
        <w:t>cesarias previstas por esta Ley.</w:t>
      </w:r>
    </w:p>
    <w:p w:rsidR="006660F9" w:rsidRDefault="005833F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rsidR="006660F9" w:rsidRDefault="005833F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Art</w:t>
      </w:r>
      <w:r>
        <w:rPr>
          <w:rFonts w:ascii="Palatino Linotype" w:eastAsia="Palatino Linotype" w:hAnsi="Palatino Linotype" w:cs="Palatino Linotype"/>
          <w:b/>
          <w:i/>
        </w:rPr>
        <w:t xml:space="preserve">ículo 12. </w:t>
      </w:r>
      <w:r>
        <w:rPr>
          <w:rFonts w:ascii="Palatino Linotype" w:eastAsia="Palatino Linotype" w:hAnsi="Palatino Linotype" w:cs="Palatino Linotype"/>
          <w:i/>
        </w:rPr>
        <w:t>Quienes generen, recopilen, administren, manejen, procesen, archiven o conserven información pública serán responsables de la misma en los términos de las disposiciones jurídicas aplicables.</w:t>
      </w:r>
    </w:p>
    <w:p w:rsidR="006660F9" w:rsidRDefault="005833F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w:t>
      </w:r>
      <w:r>
        <w:rPr>
          <w:rFonts w:ascii="Palatino Linotype" w:eastAsia="Palatino Linotype" w:hAnsi="Palatino Linotype" w:cs="Palatino Linotype"/>
          <w:i/>
        </w:rPr>
        <w:t>n pública que se les requiera y que obre en sus archivos y en el estado en que ésta se encuentre</w:t>
      </w:r>
      <w:r>
        <w:rPr>
          <w:rFonts w:ascii="Palatino Linotype" w:eastAsia="Palatino Linotype" w:hAnsi="Palatino Linotype" w:cs="Palatino Linotype"/>
          <w:i/>
          <w:u w:val="single"/>
        </w:rPr>
        <w:t>.</w:t>
      </w:r>
      <w:r>
        <w:rPr>
          <w:rFonts w:ascii="Palatino Linotype" w:eastAsia="Palatino Linotype" w:hAnsi="Palatino Linotype" w:cs="Palatino Linotype"/>
          <w:i/>
        </w:rPr>
        <w:t xml:space="preserve"> La obligación de proporcionar información no comprende el procesamiento de la misma, ni el presentarla conforme al interés del solicitante; no estarán obligad</w:t>
      </w:r>
      <w:r>
        <w:rPr>
          <w:rFonts w:ascii="Palatino Linotype" w:eastAsia="Palatino Linotype" w:hAnsi="Palatino Linotype" w:cs="Palatino Linotype"/>
          <w:i/>
        </w:rPr>
        <w:t xml:space="preserve">os a generarla, resumirla, efectuar cálculos o practicar investigaciones. </w:t>
      </w:r>
    </w:p>
    <w:p w:rsidR="006660F9" w:rsidRDefault="005833F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6660F9" w:rsidRDefault="005833F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24. </w:t>
      </w:r>
      <w:r>
        <w:rPr>
          <w:rFonts w:ascii="Palatino Linotype" w:eastAsia="Palatino Linotype" w:hAnsi="Palatino Linotype" w:cs="Palatino Linotype"/>
          <w:i/>
        </w:rPr>
        <w:t>Para el cumplimiento de los objetivos de esta Ley, los sujetos obligados deberán cumplir con las siguientes obligaciones, según corresponda, de acuerdo a su naturaleza:</w:t>
      </w:r>
    </w:p>
    <w:p w:rsidR="006660F9" w:rsidRDefault="005833F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6660F9" w:rsidRDefault="005833F7">
      <w:pPr>
        <w:spacing w:before="240" w:after="240" w:line="276" w:lineRule="auto"/>
        <w:ind w:left="567" w:right="902"/>
        <w:jc w:val="both"/>
        <w:rPr>
          <w:rFonts w:ascii="Palatino Linotype" w:eastAsia="Palatino Linotype" w:hAnsi="Palatino Linotype" w:cs="Palatino Linotype"/>
          <w:i/>
          <w:u w:val="single"/>
        </w:rPr>
      </w:pPr>
      <w:r>
        <w:rPr>
          <w:rFonts w:ascii="Palatino Linotype" w:eastAsia="Palatino Linotype" w:hAnsi="Palatino Linotype" w:cs="Palatino Linotype"/>
          <w:b/>
          <w:i/>
        </w:rPr>
        <w:lastRenderedPageBreak/>
        <w:t>IX.</w:t>
      </w:r>
      <w:r>
        <w:rPr>
          <w:rFonts w:ascii="Palatino Linotype" w:eastAsia="Palatino Linotype" w:hAnsi="Palatino Linotype" w:cs="Palatino Linotype"/>
          <w:i/>
        </w:rPr>
        <w:t xml:space="preserve"> </w:t>
      </w:r>
      <w:r>
        <w:rPr>
          <w:rFonts w:ascii="Palatino Linotype" w:eastAsia="Palatino Linotype" w:hAnsi="Palatino Linotype" w:cs="Palatino Linotype"/>
          <w:i/>
          <w:u w:val="single"/>
        </w:rPr>
        <w:t>Fomentar el uso de tecnologías de la información para garantizar la transpare</w:t>
      </w:r>
      <w:r>
        <w:rPr>
          <w:rFonts w:ascii="Palatino Linotype" w:eastAsia="Palatino Linotype" w:hAnsi="Palatino Linotype" w:cs="Palatino Linotype"/>
          <w:i/>
          <w:u w:val="single"/>
        </w:rPr>
        <w:t>ncia, el derecho de acceso a la información y la accesibilidad a éstos;</w:t>
      </w:r>
    </w:p>
    <w:p w:rsidR="006660F9" w:rsidRDefault="005833F7">
      <w:pPr>
        <w:spacing w:before="240" w:after="240" w:line="276" w:lineRule="auto"/>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w:t>
      </w:r>
    </w:p>
    <w:p w:rsidR="006660F9" w:rsidRDefault="005833F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XI.</w:t>
      </w:r>
      <w:r>
        <w:rPr>
          <w:rFonts w:ascii="Palatino Linotype" w:eastAsia="Palatino Linotype" w:hAnsi="Palatino Linotype" w:cs="Palatino Linotype"/>
          <w:i/>
        </w:rPr>
        <w:t xml:space="preserve"> Dar acceso a la información pública que le sea requerida, en los términos de la Ley General, esta Ley y demás disposiciones jurídicas aplicables;</w:t>
      </w:r>
    </w:p>
    <w:p w:rsidR="006660F9" w:rsidRDefault="005833F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6660F9" w:rsidRDefault="005833F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En la administración, gest</w:t>
      </w:r>
      <w:r>
        <w:rPr>
          <w:rFonts w:ascii="Palatino Linotype" w:eastAsia="Palatino Linotype" w:hAnsi="Palatino Linotype" w:cs="Palatino Linotype"/>
          <w:i/>
        </w:rPr>
        <w:t>ión y custodia de los archivos de información pública, los sujetos obligados, los servidores públicos habilitados y los servidores públicos en general, se ajustarán a lo establecido por la normatividad aplicable.</w:t>
      </w:r>
    </w:p>
    <w:p w:rsidR="006660F9" w:rsidRDefault="005833F7">
      <w:pPr>
        <w:spacing w:before="240" w:after="240" w:line="276" w:lineRule="auto"/>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Los sujetos obligados solo proporcionarán l</w:t>
      </w:r>
      <w:r>
        <w:rPr>
          <w:rFonts w:ascii="Palatino Linotype" w:eastAsia="Palatino Linotype" w:hAnsi="Palatino Linotype" w:cs="Palatino Linotype"/>
          <w:b/>
          <w:i/>
        </w:rPr>
        <w:t>a información pública que generen, administren o posean en el ejercicio de sus atribuciones.”</w:t>
      </w:r>
    </w:p>
    <w:p w:rsidR="006660F9" w:rsidRDefault="005833F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el ejercicio del derecho de acceso a la información pública es la prerrogativa de las personas para buscar, difundir, investigar, recabar, recibir y so</w:t>
      </w:r>
      <w:r>
        <w:rPr>
          <w:rFonts w:ascii="Palatino Linotype" w:eastAsia="Palatino Linotype" w:hAnsi="Palatino Linotype" w:cs="Palatino Linotype"/>
          <w:sz w:val="24"/>
          <w:szCs w:val="24"/>
        </w:rPr>
        <w:t xml:space="preserve">licitar información pública, sin necesidad de acreditar personalidad ni interés jurídico. </w:t>
      </w:r>
    </w:p>
    <w:p w:rsidR="006660F9" w:rsidRDefault="005833F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Una vez precisado lo anterior conviene recordar que la parte solicitante requirió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lo siguiente:</w:t>
      </w:r>
    </w:p>
    <w:p w:rsidR="006660F9" w:rsidRDefault="005833F7">
      <w:pPr>
        <w:numPr>
          <w:ilvl w:val="0"/>
          <w:numId w:val="2"/>
        </w:numPr>
        <w:pBdr>
          <w:top w:val="nil"/>
          <w:left w:val="nil"/>
          <w:bottom w:val="nil"/>
          <w:right w:val="nil"/>
          <w:between w:val="nil"/>
        </w:pBdr>
        <w:spacing w:after="0"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Prueba de Covid-19 del Presidente Municipal.</w:t>
      </w:r>
    </w:p>
    <w:p w:rsidR="006660F9" w:rsidRDefault="005833F7">
      <w:pPr>
        <w:numPr>
          <w:ilvl w:val="0"/>
          <w:numId w:val="2"/>
        </w:numPr>
        <w:pBdr>
          <w:top w:val="nil"/>
          <w:left w:val="nil"/>
          <w:bottom w:val="nil"/>
          <w:right w:val="nil"/>
          <w:between w:val="nil"/>
        </w:pBdr>
        <w:spacing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Certificado completo de vacunación de Covid-19 del Presidente Municipal.</w:t>
      </w:r>
    </w:p>
    <w:p w:rsidR="006660F9" w:rsidRDefault="005833F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Al respecto,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u w:val="single"/>
        </w:rPr>
        <w:t>dio respuesta a la solicitud de información, en los siguientes términos</w:t>
      </w:r>
      <w:r>
        <w:rPr>
          <w:rFonts w:ascii="Palatino Linotype" w:eastAsia="Palatino Linotype" w:hAnsi="Palatino Linotype" w:cs="Palatino Linotype"/>
          <w:color w:val="000000"/>
          <w:sz w:val="24"/>
          <w:szCs w:val="24"/>
        </w:rPr>
        <w:t xml:space="preserve">: </w:t>
      </w:r>
    </w:p>
    <w:p w:rsidR="006660F9" w:rsidRDefault="005833F7">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hyperlink r:id="rId12">
        <w:r>
          <w:rPr>
            <w:rFonts w:ascii="Palatino Linotype" w:eastAsia="Palatino Linotype" w:hAnsi="Palatino Linotype" w:cs="Palatino Linotype"/>
            <w:b/>
            <w:color w:val="000000"/>
            <w:sz w:val="24"/>
            <w:szCs w:val="24"/>
            <w:u w:val="single"/>
          </w:rPr>
          <w:t>Resp. saimex 00242_2022.pdf</w:t>
        </w:r>
      </w:hyperlink>
      <w:r>
        <w:rPr>
          <w:rFonts w:ascii="Palatino Linotype" w:eastAsia="Palatino Linotype" w:hAnsi="Palatino Linotype" w:cs="Palatino Linotype"/>
          <w:color w:val="000000"/>
          <w:sz w:val="24"/>
          <w:szCs w:val="24"/>
        </w:rPr>
        <w:t>: O</w:t>
      </w:r>
      <w:r>
        <w:rPr>
          <w:rFonts w:ascii="Palatino Linotype" w:eastAsia="Palatino Linotype" w:hAnsi="Palatino Linotype" w:cs="Palatino Linotype"/>
          <w:sz w:val="24"/>
          <w:szCs w:val="24"/>
        </w:rPr>
        <w:t>ficio de fecha ocho de febrero de dos mil veintidós, signado por la Lic. en D. Norma Sofía Pérez Martínez, Titular de la Unidad de Transparencia mediante el cual menciona que la Secretaría Particular de Presidenci</w:t>
      </w:r>
      <w:r>
        <w:rPr>
          <w:rFonts w:ascii="Palatino Linotype" w:eastAsia="Palatino Linotype" w:hAnsi="Palatino Linotype" w:cs="Palatino Linotype"/>
          <w:sz w:val="24"/>
          <w:szCs w:val="24"/>
        </w:rPr>
        <w:t>a y Servidora Pública Habilitada informo mediante el oficio SP/117/2022, el cual señala que después de realizar una búsqueda exhaustiva, no se localizó la información solicitada, aunado que es un dato personal, por lo cual solo se genera documentación rela</w:t>
      </w:r>
      <w:r>
        <w:rPr>
          <w:rFonts w:ascii="Palatino Linotype" w:eastAsia="Palatino Linotype" w:hAnsi="Palatino Linotype" w:cs="Palatino Linotype"/>
          <w:sz w:val="24"/>
          <w:szCs w:val="24"/>
        </w:rPr>
        <w:t>tiva a sus funciones y atribuciones que le confiere, por lo que al recopilar, administrar, manejar, procesar, archivar o conservar los documentos solicitados no está en funciones de la Secretaria Particular de Presidencia, lo anterior derivado que el H. Ay</w:t>
      </w:r>
      <w:r>
        <w:rPr>
          <w:rFonts w:ascii="Palatino Linotype" w:eastAsia="Palatino Linotype" w:hAnsi="Palatino Linotype" w:cs="Palatino Linotype"/>
          <w:sz w:val="24"/>
          <w:szCs w:val="24"/>
        </w:rPr>
        <w:t>untamiento de Toluca no es autoridad en materia de salud. No obstante menciona que dentro del municipio se aplican y se siguen todas las medidas correspondientes a las medidas dictadas por el semáforo epidemiológico correspondiente, así como las medidas bá</w:t>
      </w:r>
      <w:r>
        <w:rPr>
          <w:rFonts w:ascii="Palatino Linotype" w:eastAsia="Palatino Linotype" w:hAnsi="Palatino Linotype" w:cs="Palatino Linotype"/>
          <w:sz w:val="24"/>
          <w:szCs w:val="24"/>
        </w:rPr>
        <w:t xml:space="preserve">sicas de prevención correspondientes. </w:t>
      </w:r>
    </w:p>
    <w:p w:rsidR="006660F9" w:rsidRDefault="005833F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Conocida la respuesta por la</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al no estar conforme con los términos de la misma, interpuso el recurso de revisión en cuestión en el cual menciona que en no le entregaron la información solicitada</w:t>
      </w:r>
      <w:r>
        <w:rPr>
          <w:rFonts w:ascii="Palatino Linotype" w:eastAsia="Palatino Linotype" w:hAnsi="Palatino Linotype" w:cs="Palatino Linotype"/>
          <w:color w:val="000000"/>
          <w:sz w:val="24"/>
          <w:szCs w:val="24"/>
        </w:rPr>
        <w:t>.</w:t>
      </w:r>
    </w:p>
    <w:p w:rsidR="006660F9" w:rsidRDefault="005833F7">
      <w:pPr>
        <w:tabs>
          <w:tab w:val="left" w:pos="8647"/>
        </w:tabs>
        <w:spacing w:before="240" w:after="120" w:line="360" w:lineRule="auto"/>
        <w:ind w:right="141"/>
        <w:jc w:val="both"/>
      </w:pPr>
      <w:r>
        <w:rPr>
          <w:rFonts w:ascii="Palatino Linotype" w:eastAsia="Palatino Linotype" w:hAnsi="Palatino Linotype" w:cs="Palatino Linotype"/>
          <w:color w:val="000000"/>
          <w:sz w:val="24"/>
          <w:szCs w:val="24"/>
        </w:rPr>
        <w:t>Durante l</w:t>
      </w:r>
      <w:r>
        <w:rPr>
          <w:rFonts w:ascii="Palatino Linotype" w:eastAsia="Palatino Linotype" w:hAnsi="Palatino Linotype" w:cs="Palatino Linotype"/>
          <w:color w:val="000000"/>
          <w:sz w:val="24"/>
          <w:szCs w:val="24"/>
        </w:rPr>
        <w:t>a etapa de manifestaciones la</w:t>
      </w:r>
      <w:r>
        <w:rPr>
          <w:rFonts w:ascii="Palatino Linotype" w:eastAsia="Palatino Linotype" w:hAnsi="Palatino Linotype" w:cs="Palatino Linotype"/>
          <w:b/>
          <w:color w:val="000000"/>
          <w:sz w:val="24"/>
          <w:szCs w:val="24"/>
        </w:rPr>
        <w:t xml:space="preserve"> RECURRENTE</w:t>
      </w:r>
      <w:r>
        <w:rPr>
          <w:rFonts w:ascii="Palatino Linotype" w:eastAsia="Palatino Linotype" w:hAnsi="Palatino Linotype" w:cs="Palatino Linotype"/>
          <w:color w:val="000000"/>
          <w:sz w:val="24"/>
          <w:szCs w:val="24"/>
        </w:rPr>
        <w:t xml:space="preserve"> fue omiso de rendir alegatos, por lo que respecta al</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b/>
          <w:sz w:val="24"/>
          <w:szCs w:val="24"/>
        </w:rPr>
        <w:t>SUJETO</w:t>
      </w:r>
      <w:r>
        <w:rPr>
          <w:rFonts w:ascii="Palatino Linotype" w:eastAsia="Palatino Linotype" w:hAnsi="Palatino Linotype" w:cs="Palatino Linotype"/>
          <w:b/>
          <w:color w:val="000000"/>
          <w:sz w:val="24"/>
          <w:szCs w:val="24"/>
        </w:rPr>
        <w:t xml:space="preserve"> OBLIGADO</w:t>
      </w:r>
      <w:r>
        <w:rPr>
          <w:rFonts w:ascii="Palatino Linotype" w:eastAsia="Palatino Linotype" w:hAnsi="Palatino Linotype" w:cs="Palatino Linotype"/>
          <w:color w:val="000000"/>
          <w:sz w:val="24"/>
          <w:szCs w:val="24"/>
        </w:rPr>
        <w:t xml:space="preserve"> remitió su informe justificado mediante el siguiente archivo:</w:t>
      </w:r>
      <w:r>
        <w:t xml:space="preserve"> </w:t>
      </w:r>
    </w:p>
    <w:p w:rsidR="006660F9" w:rsidRDefault="005833F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sz w:val="24"/>
          <w:szCs w:val="24"/>
          <w:u w:val="single"/>
        </w:rPr>
        <w:t xml:space="preserve">Informe Justificado_00734_2022.pdf </w:t>
      </w:r>
      <w:r>
        <w:rPr>
          <w:rFonts w:ascii="Palatino Linotype" w:eastAsia="Palatino Linotype" w:hAnsi="Palatino Linotype" w:cs="Palatino Linotype"/>
          <w:color w:val="000000"/>
          <w:sz w:val="24"/>
          <w:szCs w:val="24"/>
        </w:rPr>
        <w:t xml:space="preserve">contiene el oficio número UT/RR/0033/2022 a través del cual la Titular de la Unidad de Transparencia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mediante el cual ratifica en términos generales su respuesta original, así mismo </w:t>
      </w:r>
      <w:r>
        <w:rPr>
          <w:rFonts w:ascii="Palatino Linotype" w:eastAsia="Palatino Linotype" w:hAnsi="Palatino Linotype" w:cs="Palatino Linotype"/>
          <w:color w:val="000000"/>
          <w:sz w:val="24"/>
          <w:szCs w:val="24"/>
        </w:rPr>
        <w:lastRenderedPageBreak/>
        <w:t>describe cada una de las etapas registradas en el expe</w:t>
      </w:r>
      <w:r>
        <w:rPr>
          <w:rFonts w:ascii="Palatino Linotype" w:eastAsia="Palatino Linotype" w:hAnsi="Palatino Linotype" w:cs="Palatino Linotype"/>
          <w:color w:val="000000"/>
          <w:sz w:val="24"/>
          <w:szCs w:val="24"/>
        </w:rPr>
        <w:t>diente electrónico que conforma al presente recurso, de igual forma menciona  que se garantizó que la solicitud se turnara al área competente de acuerdo a sus facultades, competencias y funciones a efecto de que se realizará una búsqueda exhaustiva y razon</w:t>
      </w:r>
      <w:r>
        <w:rPr>
          <w:rFonts w:ascii="Palatino Linotype" w:eastAsia="Palatino Linotype" w:hAnsi="Palatino Linotype" w:cs="Palatino Linotype"/>
          <w:color w:val="000000"/>
          <w:sz w:val="24"/>
          <w:szCs w:val="24"/>
        </w:rPr>
        <w:t xml:space="preserve">able de la información solicitada, tal y como se observa en el apartado de requerimientos, mismo que es parte </w:t>
      </w:r>
      <w:r>
        <w:rPr>
          <w:rFonts w:ascii="Palatino Linotype" w:eastAsia="Palatino Linotype" w:hAnsi="Palatino Linotype" w:cs="Palatino Linotype"/>
          <w:sz w:val="24"/>
          <w:szCs w:val="24"/>
        </w:rPr>
        <w:t>íntegra</w:t>
      </w:r>
      <w:r>
        <w:rPr>
          <w:rFonts w:ascii="Palatino Linotype" w:eastAsia="Palatino Linotype" w:hAnsi="Palatino Linotype" w:cs="Palatino Linotype"/>
          <w:color w:val="000000"/>
          <w:sz w:val="24"/>
          <w:szCs w:val="24"/>
        </w:rPr>
        <w:t xml:space="preserve"> del expediente electrónico en cuestión, tal y como se observa a continuación: </w:t>
      </w:r>
    </w:p>
    <w:p w:rsidR="006660F9" w:rsidRDefault="005833F7">
      <w:pPr>
        <w:spacing w:before="240" w:after="240" w:line="360" w:lineRule="auto"/>
        <w:jc w:val="both"/>
        <w:rPr>
          <w:rFonts w:ascii="Palatino Linotype" w:eastAsia="Palatino Linotype" w:hAnsi="Palatino Linotype" w:cs="Palatino Linotype"/>
          <w:color w:val="000000"/>
          <w:sz w:val="24"/>
          <w:szCs w:val="24"/>
        </w:rPr>
      </w:pPr>
      <w:r>
        <w:rPr>
          <w:noProof/>
        </w:rPr>
        <w:drawing>
          <wp:inline distT="0" distB="0" distL="0" distR="0">
            <wp:extent cx="5780869" cy="812344"/>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24101" t="24441" r="23965" b="62583"/>
                    <a:stretch>
                      <a:fillRect/>
                    </a:stretch>
                  </pic:blipFill>
                  <pic:spPr>
                    <a:xfrm>
                      <a:off x="0" y="0"/>
                      <a:ext cx="5780869" cy="812344"/>
                    </a:xfrm>
                    <a:prstGeom prst="rect">
                      <a:avLst/>
                    </a:prstGeom>
                    <a:ln/>
                  </pic:spPr>
                </pic:pic>
              </a:graphicData>
            </a:graphic>
          </wp:inline>
        </w:drawing>
      </w:r>
    </w:p>
    <w:p w:rsidR="006660F9" w:rsidRDefault="005833F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donde se observa el documento denominado </w:t>
      </w:r>
      <w:r>
        <w:rPr>
          <w:rFonts w:ascii="Palatino Linotype" w:eastAsia="Palatino Linotype" w:hAnsi="Palatino Linotype" w:cs="Palatino Linotype"/>
          <w:i/>
          <w:color w:val="000000"/>
          <w:sz w:val="24"/>
          <w:szCs w:val="24"/>
          <w:u w:val="single"/>
        </w:rPr>
        <w:t xml:space="preserve">242.pdf, </w:t>
      </w:r>
      <w:r>
        <w:rPr>
          <w:rFonts w:ascii="Palatino Linotype" w:eastAsia="Palatino Linotype" w:hAnsi="Palatino Linotype" w:cs="Palatino Linotype"/>
          <w:color w:val="000000"/>
          <w:sz w:val="24"/>
          <w:szCs w:val="24"/>
        </w:rPr>
        <w:t>el c</w:t>
      </w:r>
      <w:r>
        <w:rPr>
          <w:rFonts w:ascii="Palatino Linotype" w:eastAsia="Palatino Linotype" w:hAnsi="Palatino Linotype" w:cs="Palatino Linotype"/>
          <w:color w:val="000000"/>
          <w:sz w:val="24"/>
          <w:szCs w:val="24"/>
        </w:rPr>
        <w:t xml:space="preserve">ual contiene el oficio SP/117/2022 a través del cual la Lic. Perla Edith Mandujano Rojas, Secretaria Particular de Presidencia precisa que no se localizó información relativa a la solicitud de información, toda vez que la información relativa al estado de </w:t>
      </w:r>
      <w:r>
        <w:rPr>
          <w:rFonts w:ascii="Palatino Linotype" w:eastAsia="Palatino Linotype" w:hAnsi="Palatino Linotype" w:cs="Palatino Linotype"/>
          <w:color w:val="000000"/>
          <w:sz w:val="24"/>
          <w:szCs w:val="24"/>
        </w:rPr>
        <w:t xml:space="preserve">salud es considerada confidencial, mismo que fue entregado mediante alcance por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el cual consiste en lo siguiente:</w:t>
      </w:r>
      <w:r>
        <w:rPr>
          <w:noProof/>
        </w:rPr>
        <mc:AlternateContent>
          <mc:Choice Requires="wpg">
            <w:drawing>
              <wp:anchor distT="0" distB="0" distL="114300" distR="114300" simplePos="0" relativeHeight="251658240" behindDoc="0" locked="0" layoutInCell="1" hidden="0" allowOverlap="1">
                <wp:simplePos x="0" y="0"/>
                <wp:positionH relativeFrom="column">
                  <wp:posOffset>-12699</wp:posOffset>
                </wp:positionH>
                <wp:positionV relativeFrom="paragraph">
                  <wp:posOffset>1828800</wp:posOffset>
                </wp:positionV>
                <wp:extent cx="5581650" cy="2019300"/>
                <wp:effectExtent l="0" t="0" r="0" b="0"/>
                <wp:wrapNone/>
                <wp:docPr id="14" name="Conector recto de flecha 14"/>
                <wp:cNvGraphicFramePr/>
                <a:graphic xmlns:a="http://schemas.openxmlformats.org/drawingml/2006/main">
                  <a:graphicData uri="http://schemas.microsoft.com/office/word/2010/wordprocessingShape">
                    <wps:wsp>
                      <wps:cNvCnPr/>
                      <wps:spPr>
                        <a:xfrm>
                          <a:off x="2574225" y="2789400"/>
                          <a:ext cx="5543550" cy="1981200"/>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1828800</wp:posOffset>
                </wp:positionV>
                <wp:extent cx="5581650" cy="2019300"/>
                <wp:effectExtent b="0" l="0" r="0" t="0"/>
                <wp:wrapNone/>
                <wp:docPr id="14"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5581650" cy="2019300"/>
                        </a:xfrm>
                        <a:prstGeom prst="rect"/>
                        <a:ln/>
                      </pic:spPr>
                    </pic:pic>
                  </a:graphicData>
                </a:graphic>
              </wp:anchor>
            </w:drawing>
          </mc:Fallback>
        </mc:AlternateContent>
      </w:r>
    </w:p>
    <w:p w:rsidR="006660F9" w:rsidRDefault="005833F7">
      <w:pPr>
        <w:spacing w:before="240" w:after="240" w:line="360" w:lineRule="auto"/>
        <w:jc w:val="center"/>
        <w:rPr>
          <w:rFonts w:ascii="Palatino Linotype" w:eastAsia="Palatino Linotype" w:hAnsi="Palatino Linotype" w:cs="Palatino Linotype"/>
          <w:b/>
          <w:color w:val="000000"/>
          <w:sz w:val="24"/>
          <w:szCs w:val="24"/>
        </w:rPr>
      </w:pPr>
      <w:r>
        <w:rPr>
          <w:noProof/>
        </w:rPr>
        <w:lastRenderedPageBreak/>
        <w:drawing>
          <wp:inline distT="0" distB="0" distL="0" distR="0">
            <wp:extent cx="5680668" cy="7203538"/>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41242" t="13277" r="28038" b="14000"/>
                    <a:stretch>
                      <a:fillRect/>
                    </a:stretch>
                  </pic:blipFill>
                  <pic:spPr>
                    <a:xfrm>
                      <a:off x="0" y="0"/>
                      <a:ext cx="5680668" cy="7203538"/>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609600</wp:posOffset>
                </wp:positionH>
                <wp:positionV relativeFrom="paragraph">
                  <wp:posOffset>4394200</wp:posOffset>
                </wp:positionV>
                <wp:extent cx="4914900" cy="2247900"/>
                <wp:effectExtent l="0" t="0" r="0" b="0"/>
                <wp:wrapNone/>
                <wp:docPr id="13" name="Rectángulo 13"/>
                <wp:cNvGraphicFramePr/>
                <a:graphic xmlns:a="http://schemas.openxmlformats.org/drawingml/2006/main">
                  <a:graphicData uri="http://schemas.microsoft.com/office/word/2010/wordprocessingShape">
                    <wps:wsp>
                      <wps:cNvSpPr/>
                      <wps:spPr>
                        <a:xfrm>
                          <a:off x="2907600" y="2675100"/>
                          <a:ext cx="4876800" cy="2209800"/>
                        </a:xfrm>
                        <a:prstGeom prst="rect">
                          <a:avLst/>
                        </a:prstGeom>
                        <a:noFill/>
                        <a:ln w="38100" cap="flat" cmpd="sng">
                          <a:solidFill>
                            <a:srgbClr val="FF0000"/>
                          </a:solidFill>
                          <a:prstDash val="solid"/>
                          <a:miter lim="800000"/>
                          <a:headEnd type="none" w="sm" len="sm"/>
                          <a:tailEnd type="none" w="sm" len="sm"/>
                        </a:ln>
                      </wps:spPr>
                      <wps:txbx>
                        <w:txbxContent>
                          <w:p w:rsidR="006660F9" w:rsidRDefault="006660F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609600</wp:posOffset>
                </wp:positionH>
                <wp:positionV relativeFrom="paragraph">
                  <wp:posOffset>4394200</wp:posOffset>
                </wp:positionV>
                <wp:extent cx="4914900" cy="2247900"/>
                <wp:effectExtent b="0" l="0" r="0" t="0"/>
                <wp:wrapNone/>
                <wp:docPr id="13"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4914900" cy="2247900"/>
                        </a:xfrm>
                        <a:prstGeom prst="rect"/>
                        <a:ln/>
                      </pic:spPr>
                    </pic:pic>
                  </a:graphicData>
                </a:graphic>
              </wp:anchor>
            </w:drawing>
          </mc:Fallback>
        </mc:AlternateContent>
      </w:r>
    </w:p>
    <w:p w:rsidR="006660F9" w:rsidRDefault="005833F7">
      <w:pPr>
        <w:spacing w:before="240" w:after="240" w:line="360" w:lineRule="auto"/>
        <w:rPr>
          <w:rFonts w:ascii="Palatino Linotype" w:eastAsia="Palatino Linotype" w:hAnsi="Palatino Linotype" w:cs="Palatino Linotype"/>
          <w:b/>
          <w:color w:val="000000"/>
          <w:sz w:val="24"/>
          <w:szCs w:val="24"/>
        </w:rPr>
      </w:pPr>
      <w:r>
        <w:rPr>
          <w:noProof/>
        </w:rPr>
        <w:lastRenderedPageBreak/>
        <w:drawing>
          <wp:inline distT="0" distB="0" distL="0" distR="0">
            <wp:extent cx="5005468" cy="6697788"/>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41581" t="15531" r="27529" b="10984"/>
                    <a:stretch>
                      <a:fillRect/>
                    </a:stretch>
                  </pic:blipFill>
                  <pic:spPr>
                    <a:xfrm>
                      <a:off x="0" y="0"/>
                      <a:ext cx="5005468" cy="6697788"/>
                    </a:xfrm>
                    <a:prstGeom prst="rect">
                      <a:avLst/>
                    </a:prstGeom>
                    <a:ln/>
                  </pic:spPr>
                </pic:pic>
              </a:graphicData>
            </a:graphic>
          </wp:inline>
        </w:drawing>
      </w:r>
    </w:p>
    <w:p w:rsidR="006660F9" w:rsidRDefault="006660F9">
      <w:pPr>
        <w:spacing w:before="240" w:after="240" w:line="360" w:lineRule="auto"/>
        <w:jc w:val="both"/>
        <w:rPr>
          <w:rFonts w:ascii="Palatino Linotype" w:eastAsia="Palatino Linotype" w:hAnsi="Palatino Linotype" w:cs="Palatino Linotype"/>
          <w:color w:val="000000"/>
          <w:sz w:val="24"/>
          <w:szCs w:val="24"/>
        </w:rPr>
      </w:pPr>
    </w:p>
    <w:p w:rsidR="006660F9" w:rsidRDefault="005833F7">
      <w:r>
        <w:rPr>
          <w:noProof/>
        </w:rPr>
        <w:lastRenderedPageBreak/>
        <w:drawing>
          <wp:inline distT="0" distB="0" distL="0" distR="0">
            <wp:extent cx="5513460" cy="7044129"/>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42261" t="20519" r="27359" b="6156"/>
                    <a:stretch>
                      <a:fillRect/>
                    </a:stretch>
                  </pic:blipFill>
                  <pic:spPr>
                    <a:xfrm>
                      <a:off x="0" y="0"/>
                      <a:ext cx="5513460" cy="7044129"/>
                    </a:xfrm>
                    <a:prstGeom prst="rect">
                      <a:avLst/>
                    </a:prstGeom>
                    <a:ln/>
                  </pic:spPr>
                </pic:pic>
              </a:graphicData>
            </a:graphic>
          </wp:inline>
        </w:drawing>
      </w:r>
    </w:p>
    <w:p w:rsidR="006660F9" w:rsidRDefault="006660F9"/>
    <w:p w:rsidR="006660F9" w:rsidRDefault="005833F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Luego entonces del análisis de la respuesta e informe justificado se concluye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no se encuentra en posibilidad de hacer entrega de la información específica que demanda el particular.</w:t>
      </w:r>
    </w:p>
    <w:p w:rsidR="006660F9" w:rsidRDefault="006660F9">
      <w:pPr>
        <w:spacing w:after="0" w:line="360" w:lineRule="auto"/>
        <w:jc w:val="both"/>
        <w:rPr>
          <w:rFonts w:ascii="Palatino Linotype" w:eastAsia="Palatino Linotype" w:hAnsi="Palatino Linotype" w:cs="Palatino Linotype"/>
          <w:sz w:val="24"/>
          <w:szCs w:val="24"/>
        </w:rPr>
      </w:pPr>
    </w:p>
    <w:p w:rsidR="006660F9" w:rsidRDefault="005833F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 efecto de verificar lo anterior este Organismo Garante procedió a revisar el marco normativo aplicable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del cual se puede advertir</w:t>
      </w:r>
      <w:r>
        <w:rPr>
          <w:rFonts w:ascii="Palatino Linotype" w:eastAsia="Palatino Linotype" w:hAnsi="Palatino Linotype" w:cs="Palatino Linotype"/>
          <w:sz w:val="24"/>
          <w:szCs w:val="24"/>
        </w:rPr>
        <w:t xml:space="preserve"> lo siguiente: </w:t>
      </w:r>
    </w:p>
    <w:p w:rsidR="006660F9" w:rsidRDefault="006660F9">
      <w:pPr>
        <w:spacing w:after="0" w:line="360" w:lineRule="auto"/>
        <w:jc w:val="both"/>
        <w:rPr>
          <w:rFonts w:ascii="Palatino Linotype" w:eastAsia="Palatino Linotype" w:hAnsi="Palatino Linotype" w:cs="Palatino Linotype"/>
          <w:sz w:val="24"/>
          <w:szCs w:val="24"/>
        </w:rPr>
      </w:pPr>
    </w:p>
    <w:p w:rsidR="006660F9" w:rsidRDefault="005833F7">
      <w:pPr>
        <w:spacing w:after="0" w:line="360" w:lineRule="auto"/>
        <w:ind w:left="851" w:right="90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MANUAL DE ORGANIZACIÓN DE LA PRESIDENCIA MUNICIPAL DE TOLUCA</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Funciones: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1. Planear, organizar, coordinar y controlar las actividades de las áreas que conforman la Secretaría Particular;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2. Conciliar, agendar y establecer fechas para la t</w:t>
      </w:r>
      <w:r>
        <w:rPr>
          <w:rFonts w:ascii="Palatino Linotype" w:eastAsia="Palatino Linotype" w:hAnsi="Palatino Linotype" w:cs="Palatino Linotype"/>
          <w:i/>
        </w:rPr>
        <w:t xml:space="preserve">oma de acuerdos con las y los titulares de las unidades administrativas que integran la administración pública municipal y darles seguimiento;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3. Analizar, supervisar y registrar las audiencias públicas y privadas que lleve a cabo el C. Presidente Municip</w:t>
      </w:r>
      <w:r>
        <w:rPr>
          <w:rFonts w:ascii="Palatino Linotype" w:eastAsia="Palatino Linotype" w:hAnsi="Palatino Linotype" w:cs="Palatino Linotype"/>
          <w:i/>
        </w:rPr>
        <w:t xml:space="preserve">al, canalizando las decisiones tomadas a las diferentes unidades administrativas de la administración pública municipal;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4. Recabar, comunicar, presentar y poner a consideración del C. Presidente Municipal, los documentos, requerimientos, audiencias y dem</w:t>
      </w:r>
      <w:r>
        <w:rPr>
          <w:rFonts w:ascii="Palatino Linotype" w:eastAsia="Palatino Linotype" w:hAnsi="Palatino Linotype" w:cs="Palatino Linotype"/>
          <w:i/>
        </w:rPr>
        <w:t xml:space="preserve">ás asuntos relacionados con sus funciones;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5. Organizar, analizar y controlar el archivo, la correspondencia y la documentación de la Presidencia Municipal; </w:t>
      </w:r>
    </w:p>
    <w:p w:rsidR="006660F9" w:rsidRDefault="006660F9">
      <w:pPr>
        <w:spacing w:after="0" w:line="360" w:lineRule="auto"/>
        <w:ind w:left="851" w:right="900"/>
        <w:jc w:val="both"/>
        <w:rPr>
          <w:rFonts w:ascii="Palatino Linotype" w:eastAsia="Palatino Linotype" w:hAnsi="Palatino Linotype" w:cs="Palatino Linotype"/>
          <w:i/>
        </w:rPr>
      </w:pPr>
    </w:p>
    <w:p w:rsidR="006660F9" w:rsidRDefault="006660F9">
      <w:pPr>
        <w:spacing w:after="0" w:line="360" w:lineRule="auto"/>
        <w:ind w:left="851" w:right="900"/>
        <w:jc w:val="both"/>
      </w:pPr>
    </w:p>
    <w:p w:rsidR="006660F9" w:rsidRDefault="006660F9">
      <w:pPr>
        <w:spacing w:after="0" w:line="360" w:lineRule="auto"/>
        <w:ind w:left="851" w:right="900"/>
        <w:jc w:val="both"/>
      </w:pP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6. Recabar, remitir, dar seguimiento e informar con oportunidad, las instrucciones que gire el C. Presidente Municipal a las y los titulares de las unidades administrativas que integran el Ayuntamiento de Toluca;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7. Concentrar y analizar la información y </w:t>
      </w:r>
      <w:r>
        <w:rPr>
          <w:rFonts w:ascii="Palatino Linotype" w:eastAsia="Palatino Linotype" w:hAnsi="Palatino Linotype" w:cs="Palatino Linotype"/>
          <w:i/>
        </w:rPr>
        <w:t xml:space="preserve">los asuntos a tratar en sesiones del gabinete e integrar la carpeta correspondiente para el desahogo de los temas;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8. Registrar, controlar y dar seguimiento a los acuerdos recaídos durante las sesiones del gabinete, con el objeto de fortalecer los resulta</w:t>
      </w:r>
      <w:r>
        <w:rPr>
          <w:rFonts w:ascii="Palatino Linotype" w:eastAsia="Palatino Linotype" w:hAnsi="Palatino Linotype" w:cs="Palatino Linotype"/>
          <w:i/>
        </w:rPr>
        <w:t xml:space="preserve">dos de la administración pública y traducirlos en beneficios tangibles para los habitantes del municipio de Toluca;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9. Integrar el registro, dar seguimiento y vigilar el cumplimiento de los acuerdos del Ayuntamiento que deban ser atendidos por las o los t</w:t>
      </w:r>
      <w:r>
        <w:rPr>
          <w:rFonts w:ascii="Palatino Linotype" w:eastAsia="Palatino Linotype" w:hAnsi="Palatino Linotype" w:cs="Palatino Linotype"/>
          <w:i/>
        </w:rPr>
        <w:t xml:space="preserve">itulares de las dependencias municipales que integran el gobierno municipal, así como proponer a la o el C. Presidente Municipal, la realización de reuniones del gabinete para abordar temas de interés institucional;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10. Representar al C. Presidente Munici</w:t>
      </w:r>
      <w:r>
        <w:rPr>
          <w:rFonts w:ascii="Palatino Linotype" w:eastAsia="Palatino Linotype" w:hAnsi="Palatino Linotype" w:cs="Palatino Linotype"/>
          <w:i/>
        </w:rPr>
        <w:t xml:space="preserve">pal, en los actos oficiales que éste instruya;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11. Dar seguimiento, en conjunto con la Secretaría del Ayuntamiento, a las peticiones del Cabildo; 12. Establecer y mantener mecanismos de vinculación con actores relevantes de la sociedad;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13. Coordinar los</w:t>
      </w:r>
      <w:r>
        <w:rPr>
          <w:rFonts w:ascii="Palatino Linotype" w:eastAsia="Palatino Linotype" w:hAnsi="Palatino Linotype" w:cs="Palatino Linotype"/>
          <w:i/>
        </w:rPr>
        <w:t xml:space="preserve"> proyectos estratégicos que, por su naturaleza, requieran la participación transversal de diferentes áreas del gobierno municipal;</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14. Revisar y analizar que la documentación que deba autorizar el ejecutivo municipal observe la debida integración; y </w:t>
      </w:r>
    </w:p>
    <w:p w:rsidR="006660F9" w:rsidRDefault="005833F7">
      <w:pPr>
        <w:spacing w:after="0" w:line="360" w:lineRule="auto"/>
        <w:ind w:left="851" w:right="900"/>
        <w:jc w:val="both"/>
        <w:rPr>
          <w:rFonts w:ascii="Palatino Linotype" w:eastAsia="Palatino Linotype" w:hAnsi="Palatino Linotype" w:cs="Palatino Linotype"/>
          <w:i/>
          <w:sz w:val="24"/>
          <w:szCs w:val="24"/>
        </w:rPr>
      </w:pPr>
      <w:r>
        <w:rPr>
          <w:rFonts w:ascii="Palatino Linotype" w:eastAsia="Palatino Linotype" w:hAnsi="Palatino Linotype" w:cs="Palatino Linotype"/>
          <w:i/>
        </w:rPr>
        <w:lastRenderedPageBreak/>
        <w:t>15. R</w:t>
      </w:r>
      <w:r>
        <w:rPr>
          <w:rFonts w:ascii="Palatino Linotype" w:eastAsia="Palatino Linotype" w:hAnsi="Palatino Linotype" w:cs="Palatino Linotype"/>
          <w:i/>
        </w:rPr>
        <w:t>ealizar todas aquellas actividades que sean inherentes y aplicables al área de su competencia, y las demás que le sean encomendadas por instrucción del C. Presidente Municipal.</w:t>
      </w:r>
    </w:p>
    <w:p w:rsidR="006660F9" w:rsidRDefault="005833F7">
      <w:pPr>
        <w:spacing w:after="0" w:line="360" w:lineRule="auto"/>
        <w:ind w:left="851" w:right="900"/>
        <w:jc w:val="both"/>
        <w:rPr>
          <w:rFonts w:ascii="Palatino Linotype" w:eastAsia="Palatino Linotype" w:hAnsi="Palatino Linotype" w:cs="Palatino Linotype"/>
          <w:b/>
          <w:i/>
        </w:rPr>
      </w:pPr>
      <w:r>
        <w:rPr>
          <w:rFonts w:ascii="Palatino Linotype" w:eastAsia="Palatino Linotype" w:hAnsi="Palatino Linotype" w:cs="Palatino Linotype"/>
          <w:b/>
          <w:i/>
        </w:rPr>
        <w:t>CÓDIGO REGLAMENTARIO MUNICIPAL DE TOLUCA</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3.45. La o el titular de la Dirección de Recursos Humanos cuenta con las siguientes atribuciones: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 Elaborar mecanismos de control para la selección, contratación, inducción, rotación, promoción y desarrollo del personal al servicio del Ayuntami</w:t>
      </w:r>
      <w:r>
        <w:rPr>
          <w:rFonts w:ascii="Palatino Linotype" w:eastAsia="Palatino Linotype" w:hAnsi="Palatino Linotype" w:cs="Palatino Linotype"/>
          <w:i/>
        </w:rPr>
        <w:t xml:space="preserve">ento;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II. Analizar y vigilar que se cumplan las disposiciones en materia de trabajo, seguridad e higiene, así como las demás normas vigentes en la institución, respecto de los derechos y obligaciones del personal;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III. Garantizar que no se soliciten prue</w:t>
      </w:r>
      <w:r>
        <w:rPr>
          <w:rFonts w:ascii="Palatino Linotype" w:eastAsia="Palatino Linotype" w:hAnsi="Palatino Linotype" w:cs="Palatino Linotype"/>
          <w:i/>
        </w:rPr>
        <w:t xml:space="preserve">bas de no gravidez o VIH como condicionantes para la contratación;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IV. Aplicar las disposiciones legales laborales que rigen al personal del Ayuntamiento;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V. Registrar las altas, bajas, cambios de categoría y adscripción, permisos y licencias por incapac</w:t>
      </w:r>
      <w:r>
        <w:rPr>
          <w:rFonts w:ascii="Palatino Linotype" w:eastAsia="Palatino Linotype" w:hAnsi="Palatino Linotype" w:cs="Palatino Linotype"/>
          <w:i/>
        </w:rPr>
        <w:t xml:space="preserve">idad, entre otras, del personal, y su correcta aplicación;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VI. Coadyuvar con Tesorería en la elaboración y distribución oportuna de la nómina para el pago al personal que labora en el Ayuntamiento, apegándose al presupuesto autorizado y aplicar los descue</w:t>
      </w:r>
      <w:r>
        <w:rPr>
          <w:rFonts w:ascii="Palatino Linotype" w:eastAsia="Palatino Linotype" w:hAnsi="Palatino Linotype" w:cs="Palatino Linotype"/>
          <w:i/>
        </w:rPr>
        <w:t xml:space="preserve">ntos procedentes;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VII. Elaborar programas de capacitación, adiestramiento y desarrollo del personal con el objeto de profesionalizar a los servidores públicos conforme a las necesidades institucionales y a las del mismo personal;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VIII. Verificar el cumpl</w:t>
      </w:r>
      <w:r>
        <w:rPr>
          <w:rFonts w:ascii="Palatino Linotype" w:eastAsia="Palatino Linotype" w:hAnsi="Palatino Linotype" w:cs="Palatino Linotype"/>
          <w:i/>
        </w:rPr>
        <w:t xml:space="preserve">imento de las cláusulas establecidas en los convenios sindicales suscritos con el gobierno municipal, así como de las condiciones generales de trabajo del personal sindicalizado;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IX. Derogada; y </w:t>
      </w:r>
    </w:p>
    <w:p w:rsidR="006660F9" w:rsidRDefault="005833F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X. Las demás que le asignen otros ordenamientos, la o el Pr</w:t>
      </w:r>
      <w:r>
        <w:rPr>
          <w:rFonts w:ascii="Palatino Linotype" w:eastAsia="Palatino Linotype" w:hAnsi="Palatino Linotype" w:cs="Palatino Linotype"/>
          <w:i/>
        </w:rPr>
        <w:t>esidente Municipal y la o el Director General correspondiente.</w:t>
      </w:r>
    </w:p>
    <w:p w:rsidR="006660F9" w:rsidRDefault="005833F7">
      <w:pPr>
        <w:spacing w:after="0" w:line="360" w:lineRule="auto"/>
        <w:ind w:left="851" w:right="90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highlight w:val="yellow"/>
        </w:rPr>
        <w:t xml:space="preserve"> </w:t>
      </w:r>
    </w:p>
    <w:p w:rsidR="006660F9" w:rsidRDefault="005833F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se puede colegir que en efecto no existe fuente obligacional que constriña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contar en sus archivos con los resultados de una prueba COVID, así como los certificados de vacunación requeridos. </w:t>
      </w:r>
    </w:p>
    <w:p w:rsidR="006660F9" w:rsidRDefault="005833F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Bajo lo previo, es evidente que el motivo de inconformidad, materia del presente medio de impugnación, es improcedente, al garantizarse l</w:t>
      </w:r>
      <w:r>
        <w:rPr>
          <w:rFonts w:ascii="Palatino Linotype" w:eastAsia="Palatino Linotype" w:hAnsi="Palatino Linotype" w:cs="Palatino Linotype"/>
          <w:sz w:val="24"/>
          <w:szCs w:val="24"/>
        </w:rPr>
        <w:t>o previsto en los artículos 4 y 12 de la Ley de Transparencia en la Entidad, que son de la literalidad siguiente:</w:t>
      </w:r>
    </w:p>
    <w:p w:rsidR="006660F9" w:rsidRDefault="005833F7">
      <w:pPr>
        <w:spacing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w:t>
      </w:r>
      <w:r>
        <w:rPr>
          <w:rFonts w:ascii="Palatino Linotype" w:eastAsia="Palatino Linotype" w:hAnsi="Palatino Linotype" w:cs="Palatino Linotype"/>
          <w:i/>
        </w:rPr>
        <w:t xml:space="preserve">r, recibir y solicitar información pública, sin necesidad de acreditar personalidad ni interés jurídico. </w:t>
      </w:r>
    </w:p>
    <w:p w:rsidR="006660F9" w:rsidRDefault="005833F7">
      <w:pPr>
        <w:spacing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Toda la información generada, obtenida, adquirida, transformada, administrada o en posesión de los sujetos obligados es pública y accesible de manera </w:t>
      </w:r>
      <w:r>
        <w:rPr>
          <w:rFonts w:ascii="Palatino Linotype" w:eastAsia="Palatino Linotype" w:hAnsi="Palatino Linotype" w:cs="Palatino Linotype"/>
          <w:i/>
        </w:rPr>
        <w:t xml:space="preserve">permanente a cualquier persona, en los términos y condiciones que se establezcan en los tratados internacionales de los que el Estado mexicano sea parte, en la Ley General, la presente Ley y demás disposiciones de la materia, privilegiando el principio de </w:t>
      </w:r>
      <w:r>
        <w:rPr>
          <w:rFonts w:ascii="Palatino Linotype" w:eastAsia="Palatino Linotype" w:hAnsi="Palatino Linotype" w:cs="Palatino Linotype"/>
          <w:i/>
        </w:rPr>
        <w:t xml:space="preserve">máxima publicidad de la información. Solo podrá ser clasificada excepcionalmente como reservada temporalmente por razones de interés público, en los términos de las causas legítimas y estrictamente necesarias previstas por esta Ley. </w:t>
      </w:r>
    </w:p>
    <w:p w:rsidR="006660F9" w:rsidRDefault="005833F7">
      <w:pPr>
        <w:spacing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Los sujetos obligados </w:t>
      </w:r>
      <w:r>
        <w:rPr>
          <w:rFonts w:ascii="Palatino Linotype" w:eastAsia="Palatino Linotype" w:hAnsi="Palatino Linotype" w:cs="Palatino Linotype"/>
          <w:i/>
        </w:rPr>
        <w:t>deben poner en práctica, políticas y programas de acceso a la información que se apeguen a criterios de publicidad, veracidad, oportunidad, precisión y suficiencia en beneficio de los solicitantes.</w:t>
      </w:r>
    </w:p>
    <w:p w:rsidR="006660F9" w:rsidRDefault="005833F7">
      <w:pPr>
        <w:spacing w:after="120"/>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w:t>
      </w:r>
    </w:p>
    <w:p w:rsidR="006660F9" w:rsidRDefault="005833F7">
      <w:pPr>
        <w:spacing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w:t>
      </w:r>
      <w:r>
        <w:rPr>
          <w:rFonts w:ascii="Palatino Linotype" w:eastAsia="Palatino Linotype" w:hAnsi="Palatino Linotype" w:cs="Palatino Linotype"/>
          <w:i/>
        </w:rPr>
        <w:t xml:space="preserve">manejen, procesen, archiven o conserven información pública serán responsables de la misma en los términos de las disposiciones jurídicas aplicables. </w:t>
      </w:r>
    </w:p>
    <w:p w:rsidR="006660F9" w:rsidRDefault="005833F7">
      <w:pPr>
        <w:spacing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w:t>
      </w:r>
      <w:r>
        <w:rPr>
          <w:rFonts w:ascii="Palatino Linotype" w:eastAsia="Palatino Linotype" w:hAnsi="Palatino Linotype" w:cs="Palatino Linotype"/>
          <w:i/>
        </w:rPr>
        <w:t>chivos y en el estado en que ésta se encuentre. La obligación de proporcionar información no comprende el procesamiento de la misma, ni el presentarla conforme al interés del solicitante; no estarán obligados a generarla, resumirla, efectuar cálculos o pra</w:t>
      </w:r>
      <w:r>
        <w:rPr>
          <w:rFonts w:ascii="Palatino Linotype" w:eastAsia="Palatino Linotype" w:hAnsi="Palatino Linotype" w:cs="Palatino Linotype"/>
          <w:i/>
        </w:rPr>
        <w:t>cticar investigaciones.”</w:t>
      </w:r>
    </w:p>
    <w:p w:rsidR="006660F9" w:rsidRDefault="005833F7">
      <w:pPr>
        <w:spacing w:after="120"/>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w:t>
      </w:r>
    </w:p>
    <w:p w:rsidR="006660F9" w:rsidRDefault="005833F7">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consiguiente es conveniente reiterar que los sujetos obligados en términos de los artículos antes mencionados únicamente están obligados a entregar información que tengan la obligación de generar, poseer o administrar, situación que en el caso particul</w:t>
      </w:r>
      <w:r>
        <w:rPr>
          <w:rFonts w:ascii="Palatino Linotype" w:eastAsia="Palatino Linotype" w:hAnsi="Palatino Linotype" w:cs="Palatino Linotype"/>
          <w:color w:val="000000"/>
          <w:sz w:val="24"/>
          <w:szCs w:val="24"/>
        </w:rPr>
        <w:t xml:space="preserve">ar no se actualiza. </w:t>
      </w:r>
    </w:p>
    <w:p w:rsidR="006660F9" w:rsidRDefault="005833F7">
      <w:pPr>
        <w:spacing w:before="240" w:after="240" w:line="360" w:lineRule="auto"/>
        <w:jc w:val="both"/>
        <w:rPr>
          <w:rFonts w:ascii="Palatino Linotype" w:eastAsia="Palatino Linotype" w:hAnsi="Palatino Linotype" w:cs="Palatino Linotype"/>
          <w:sz w:val="24"/>
          <w:szCs w:val="24"/>
        </w:rPr>
      </w:pPr>
      <w:bookmarkStart w:id="1" w:name="_heading=h.gjdgxs" w:colFirst="0" w:colLast="0"/>
      <w:bookmarkEnd w:id="1"/>
      <w:r>
        <w:rPr>
          <w:rFonts w:ascii="Palatino Linotype" w:eastAsia="Palatino Linotype" w:hAnsi="Palatino Linotype" w:cs="Palatino Linotype"/>
          <w:color w:val="000000"/>
          <w:sz w:val="24"/>
          <w:szCs w:val="24"/>
        </w:rPr>
        <w:t>Finalmente respecto a los motivos d</w:t>
      </w:r>
      <w:r>
        <w:rPr>
          <w:rFonts w:ascii="Palatino Linotype" w:eastAsia="Palatino Linotype" w:hAnsi="Palatino Linotype" w:cs="Palatino Linotype"/>
          <w:sz w:val="24"/>
          <w:szCs w:val="24"/>
        </w:rPr>
        <w:t>e inconformidad relativos que no se entregaron los oficios como parte de la respuesta, cabe señalar que de la confronta a la solicitud de información y el acto impugnado y las razones o motivos de inc</w:t>
      </w:r>
      <w:r>
        <w:rPr>
          <w:rFonts w:ascii="Palatino Linotype" w:eastAsia="Palatino Linotype" w:hAnsi="Palatino Linotype" w:cs="Palatino Linotype"/>
          <w:sz w:val="24"/>
          <w:szCs w:val="24"/>
        </w:rPr>
        <w:t xml:space="preserve">onformidad, dichos documentos no fueron solicitados, como se desprende del antecedente marcado con el numeral 1 de la presente resolución, por lo que constituyen nuevos requerimientos de información, configurándose así lo que se conoce como </w:t>
      </w:r>
      <w:r>
        <w:rPr>
          <w:rFonts w:ascii="Palatino Linotype" w:eastAsia="Palatino Linotype" w:hAnsi="Palatino Linotype" w:cs="Palatino Linotype"/>
          <w:i/>
          <w:sz w:val="24"/>
          <w:szCs w:val="24"/>
        </w:rPr>
        <w:t>plus petitio</w:t>
      </w:r>
      <w:r>
        <w:rPr>
          <w:rFonts w:ascii="Palatino Linotype" w:eastAsia="Palatino Linotype" w:hAnsi="Palatino Linotype" w:cs="Palatino Linotype"/>
          <w:b/>
          <w:i/>
          <w:sz w:val="24"/>
          <w:szCs w:val="24"/>
        </w:rPr>
        <w:t xml:space="preserve">, </w:t>
      </w:r>
      <w:r>
        <w:rPr>
          <w:rFonts w:ascii="Palatino Linotype" w:eastAsia="Palatino Linotype" w:hAnsi="Palatino Linotype" w:cs="Palatino Linotype"/>
          <w:sz w:val="24"/>
          <w:szCs w:val="24"/>
        </w:rPr>
        <w:t>q</w:t>
      </w:r>
      <w:r>
        <w:rPr>
          <w:rFonts w:ascii="Palatino Linotype" w:eastAsia="Palatino Linotype" w:hAnsi="Palatino Linotype" w:cs="Palatino Linotype"/>
          <w:sz w:val="24"/>
          <w:szCs w:val="24"/>
        </w:rPr>
        <w:t xml:space="preserve">ue consiste en una ampliación a su requerimiento informativo, argumentos que no son susceptibles de ser valorados en términos de la fracción VII del Artículo </w:t>
      </w:r>
      <w:r>
        <w:rPr>
          <w:rFonts w:ascii="Palatino Linotype" w:eastAsia="Palatino Linotype" w:hAnsi="Palatino Linotype" w:cs="Palatino Linotype"/>
          <w:sz w:val="24"/>
          <w:szCs w:val="24"/>
        </w:rPr>
        <w:lastRenderedPageBreak/>
        <w:t>191 de la Ley de Transparencia y Acceso a la Información Pública del Estado de México y Municipios</w:t>
      </w:r>
      <w:r>
        <w:rPr>
          <w:rFonts w:ascii="Palatino Linotype" w:eastAsia="Palatino Linotype" w:hAnsi="Palatino Linotype" w:cs="Palatino Linotype"/>
          <w:sz w:val="24"/>
          <w:szCs w:val="24"/>
        </w:rPr>
        <w:t xml:space="preserve">, el cual señala la improcedencia cuando el Recurrente amplíe su solicitud en el Recurso de Revisión, </w:t>
      </w:r>
      <w:r>
        <w:rPr>
          <w:rFonts w:ascii="Palatino Linotype" w:eastAsia="Palatino Linotype" w:hAnsi="Palatino Linotype" w:cs="Palatino Linotype"/>
          <w:b/>
          <w:sz w:val="24"/>
          <w:szCs w:val="24"/>
          <w:u w:val="single"/>
        </w:rPr>
        <w:t xml:space="preserve">únicamente respecto de los nuevos contenidos; </w:t>
      </w:r>
      <w:r>
        <w:rPr>
          <w:rFonts w:ascii="Palatino Linotype" w:eastAsia="Palatino Linotype" w:hAnsi="Palatino Linotype" w:cs="Palatino Linotype"/>
          <w:sz w:val="24"/>
          <w:szCs w:val="24"/>
        </w:rPr>
        <w:t xml:space="preserve">cuestión que tuvo lugar en el presente caso, pues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formuló nuevos cuestionamientos, en lo</w:t>
      </w:r>
      <w:r>
        <w:rPr>
          <w:rFonts w:ascii="Palatino Linotype" w:eastAsia="Palatino Linotype" w:hAnsi="Palatino Linotype" w:cs="Palatino Linotype"/>
          <w:sz w:val="24"/>
          <w:szCs w:val="24"/>
        </w:rPr>
        <w:t>s que solicitó información que no formó parte de su solicitud inicial y por lo tanto son inatendibles a través del recurso de revisión.</w:t>
      </w:r>
    </w:p>
    <w:p w:rsidR="006660F9" w:rsidRDefault="005833F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tenor, es posible determinar que para el caso que nos ocupa, estos argumentos formulados como motivos o razones </w:t>
      </w:r>
      <w:r>
        <w:rPr>
          <w:rFonts w:ascii="Palatino Linotype" w:eastAsia="Palatino Linotype" w:hAnsi="Palatino Linotype" w:cs="Palatino Linotype"/>
          <w:sz w:val="24"/>
          <w:szCs w:val="24"/>
        </w:rPr>
        <w:t xml:space="preserve">de inconformidad son una ampliación a la solicitud inicial y corresponden a nuevos requerimientos de información, que no se encuentran relacionados con lo solicitado en un primer momento. </w:t>
      </w:r>
    </w:p>
    <w:p w:rsidR="006660F9" w:rsidRDefault="005833F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este orden de ideas, una vez formulada su solicitud inicial,</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sz w:val="24"/>
          <w:szCs w:val="24"/>
        </w:rPr>
        <w:t>los</w:t>
      </w:r>
      <w:r>
        <w:rPr>
          <w:rFonts w:ascii="Palatino Linotype" w:eastAsia="Palatino Linotype" w:hAnsi="Palatino Linotype" w:cs="Palatino Linotype"/>
          <w:sz w:val="24"/>
          <w:szCs w:val="24"/>
        </w:rPr>
        <w:t xml:space="preserve"> particulares no pueden modificarla o ampliarla a través de posteriores promociones o en el momento de ingresar su recurso de revisión; por tanto, la materia de las solicitudes de información se circunscribe a que se permita el acceso a los documentos inic</w:t>
      </w:r>
      <w:r>
        <w:rPr>
          <w:rFonts w:ascii="Palatino Linotype" w:eastAsia="Palatino Linotype" w:hAnsi="Palatino Linotype" w:cs="Palatino Linotype"/>
          <w:sz w:val="24"/>
          <w:szCs w:val="24"/>
        </w:rPr>
        <w:t>ialmente solicitados y en su caso a los aclarados o corregidos.</w:t>
      </w:r>
    </w:p>
    <w:p w:rsidR="006660F9" w:rsidRDefault="005833F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Robustece lo anterior lo plasmado en el criterio orientador número 01/17 emitido por el Instituto Nacional de Transparencia, Acceso a la Información y Protección de Datos Personales, INAI, que</w:t>
      </w:r>
      <w:r>
        <w:rPr>
          <w:rFonts w:ascii="Palatino Linotype" w:eastAsia="Palatino Linotype" w:hAnsi="Palatino Linotype" w:cs="Palatino Linotype"/>
          <w:color w:val="000000"/>
          <w:sz w:val="24"/>
          <w:szCs w:val="24"/>
        </w:rPr>
        <w:t xml:space="preserve"> lleva por rubro y texto lo que a continuación se transcribe:</w:t>
      </w:r>
    </w:p>
    <w:p w:rsidR="006660F9" w:rsidRDefault="005833F7">
      <w:pPr>
        <w:spacing w:before="240" w:after="240"/>
        <w:ind w:left="851" w:right="900"/>
        <w:jc w:val="both"/>
        <w:rPr>
          <w:rFonts w:ascii="Palatino Linotype" w:eastAsia="Palatino Linotype" w:hAnsi="Palatino Linotype" w:cs="Palatino Linotype"/>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 xml:space="preserve">Es improcedente ampliar las solicitudes de acceso a información, a través de la interposición del recurso de revisión. </w:t>
      </w:r>
      <w:r>
        <w:rPr>
          <w:rFonts w:ascii="Palatino Linotype" w:eastAsia="Palatino Linotype" w:hAnsi="Palatino Linotype" w:cs="Palatino Linotype"/>
          <w:i/>
        </w:rPr>
        <w:t>En términos de los artículos 155, fracción VII de la Ley General de Transparencia y Acceso a la Información Pública, y 161, fracción VII de la Ley Federal de Transparencia y Acceso a la Información Pública, en aquellos casos en que los recurrentes, mediant</w:t>
      </w:r>
      <w:r>
        <w:rPr>
          <w:rFonts w:ascii="Palatino Linotype" w:eastAsia="Palatino Linotype" w:hAnsi="Palatino Linotype" w:cs="Palatino Linotype"/>
          <w:i/>
        </w:rPr>
        <w:t>e su recurso de revisión, amplíen los alcances de la solicitud de información inicial, los nuevos contenidos no podrán constituir materia del procedimiento a sustanciarse por el Instituto Nacional de Transparencia, Acceso a la Información y Protección de D</w:t>
      </w:r>
      <w:r>
        <w:rPr>
          <w:rFonts w:ascii="Palatino Linotype" w:eastAsia="Palatino Linotype" w:hAnsi="Palatino Linotype" w:cs="Palatino Linotype"/>
          <w:i/>
        </w:rPr>
        <w:t>atos Personales; actualizándose la hipótesis de improcedencia respectiva</w:t>
      </w:r>
      <w:r>
        <w:rPr>
          <w:rFonts w:ascii="Palatino Linotype" w:eastAsia="Palatino Linotype" w:hAnsi="Palatino Linotype" w:cs="Palatino Linotype"/>
          <w:b/>
          <w:i/>
        </w:rPr>
        <w:t>.</w:t>
      </w:r>
      <w:r>
        <w:rPr>
          <w:rFonts w:ascii="Palatino Linotype" w:eastAsia="Palatino Linotype" w:hAnsi="Palatino Linotype" w:cs="Palatino Linotype"/>
          <w:i/>
        </w:rPr>
        <w:t>”</w:t>
      </w:r>
    </w:p>
    <w:p w:rsidR="006660F9" w:rsidRDefault="005833F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sin contrariar lo anterior, es de señalar que la Unidad de Transparencia del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con la finalidad de garantizar el derecho humano de acceso a través la máxima</w:t>
      </w:r>
      <w:r>
        <w:rPr>
          <w:rFonts w:ascii="Palatino Linotype" w:eastAsia="Palatino Linotype" w:hAnsi="Palatino Linotype" w:cs="Palatino Linotype"/>
          <w:sz w:val="24"/>
          <w:szCs w:val="24"/>
        </w:rPr>
        <w:t xml:space="preserve"> publicidad de la información que obra en su poder, sin tener obligación de ello por las razones ya expuestas, en la etapa de manifestaciones acreditó de manera fehaciente que turnó la solicitud, a través del SAIMEX, a la Lic. Perla Edith Mandujano Rosas, </w:t>
      </w:r>
      <w:r>
        <w:rPr>
          <w:rFonts w:ascii="Palatino Linotype" w:eastAsia="Palatino Linotype" w:hAnsi="Palatino Linotype" w:cs="Palatino Linotype"/>
          <w:sz w:val="24"/>
          <w:szCs w:val="24"/>
        </w:rPr>
        <w:t>Servidor Público Habilitada, quien ostenta la Secretaría Particular de Presidencia quien de igual manera atendió el requerimiento vía SAIMEX, como se observa a continuación:</w:t>
      </w:r>
    </w:p>
    <w:p w:rsidR="006660F9" w:rsidRDefault="005833F7">
      <w:pPr>
        <w:shd w:val="clear" w:color="auto" w:fill="FFFFFF"/>
        <w:spacing w:before="360" w:after="240" w:line="360" w:lineRule="auto"/>
        <w:jc w:val="both"/>
        <w:rPr>
          <w:rFonts w:ascii="Times New Roman" w:eastAsia="Times New Roman" w:hAnsi="Times New Roman" w:cs="Times New Roman"/>
          <w:color w:val="222222"/>
        </w:rPr>
      </w:pPr>
      <w:r>
        <w:rPr>
          <w:noProof/>
        </w:rPr>
        <w:drawing>
          <wp:inline distT="0" distB="0" distL="0" distR="0">
            <wp:extent cx="5612130" cy="788655"/>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24101" t="24441" r="23965" b="62583"/>
                    <a:stretch>
                      <a:fillRect/>
                    </a:stretch>
                  </pic:blipFill>
                  <pic:spPr>
                    <a:xfrm>
                      <a:off x="0" y="0"/>
                      <a:ext cx="5612130" cy="788655"/>
                    </a:xfrm>
                    <a:prstGeom prst="rect">
                      <a:avLst/>
                    </a:prstGeom>
                    <a:ln/>
                  </pic:spPr>
                </pic:pic>
              </a:graphicData>
            </a:graphic>
          </wp:inline>
        </w:drawing>
      </w:r>
      <w:r>
        <w:rPr>
          <w:rFonts w:ascii="Palatino Linotype" w:eastAsia="Palatino Linotype" w:hAnsi="Palatino Linotype" w:cs="Palatino Linotype"/>
          <w:color w:val="222222"/>
          <w:sz w:val="24"/>
          <w:szCs w:val="24"/>
        </w:rPr>
        <w:t xml:space="preserve">En mérito de lo expuesto, esta Autoridad estima que las razones o motivos de inconformidad hechos valer por la </w:t>
      </w:r>
      <w:r>
        <w:rPr>
          <w:rFonts w:ascii="Palatino Linotype" w:eastAsia="Palatino Linotype" w:hAnsi="Palatino Linotype" w:cs="Palatino Linotype"/>
          <w:b/>
          <w:color w:val="222222"/>
          <w:sz w:val="24"/>
          <w:szCs w:val="24"/>
        </w:rPr>
        <w:t>RECURRENTE</w:t>
      </w:r>
      <w:r>
        <w:rPr>
          <w:rFonts w:ascii="Palatino Linotype" w:eastAsia="Palatino Linotype" w:hAnsi="Palatino Linotype" w:cs="Palatino Linotype"/>
          <w:color w:val="222222"/>
          <w:sz w:val="24"/>
          <w:szCs w:val="24"/>
        </w:rPr>
        <w:t xml:space="preserve"> devienen infundados; por lo que, lo procedente es </w:t>
      </w:r>
      <w:r>
        <w:rPr>
          <w:rFonts w:ascii="Palatino Linotype" w:eastAsia="Palatino Linotype" w:hAnsi="Palatino Linotype" w:cs="Palatino Linotype"/>
          <w:b/>
          <w:color w:val="222222"/>
          <w:sz w:val="24"/>
          <w:szCs w:val="24"/>
        </w:rPr>
        <w:t>CONFIRMAR</w:t>
      </w:r>
      <w:r>
        <w:rPr>
          <w:rFonts w:ascii="Palatino Linotype" w:eastAsia="Palatino Linotype" w:hAnsi="Palatino Linotype" w:cs="Palatino Linotype"/>
          <w:color w:val="222222"/>
          <w:sz w:val="24"/>
          <w:szCs w:val="24"/>
        </w:rPr>
        <w:t xml:space="preserve"> la respuesta del </w:t>
      </w:r>
      <w:r>
        <w:rPr>
          <w:rFonts w:ascii="Palatino Linotype" w:eastAsia="Palatino Linotype" w:hAnsi="Palatino Linotype" w:cs="Palatino Linotype"/>
          <w:b/>
          <w:color w:val="222222"/>
          <w:sz w:val="24"/>
          <w:szCs w:val="24"/>
        </w:rPr>
        <w:t>SUJETO OBLIGADO</w:t>
      </w:r>
      <w:r>
        <w:rPr>
          <w:rFonts w:ascii="Palatino Linotype" w:eastAsia="Palatino Linotype" w:hAnsi="Palatino Linotype" w:cs="Palatino Linotype"/>
          <w:color w:val="222222"/>
          <w:sz w:val="24"/>
          <w:szCs w:val="24"/>
        </w:rPr>
        <w:t>.</w:t>
      </w:r>
    </w:p>
    <w:p w:rsidR="006660F9" w:rsidRDefault="005833F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Así, con fundamento en lo prescrito en l</w:t>
      </w:r>
      <w:r>
        <w:rPr>
          <w:rFonts w:ascii="Palatino Linotype" w:eastAsia="Palatino Linotype" w:hAnsi="Palatino Linotype" w:cs="Palatino Linotype"/>
          <w:sz w:val="24"/>
          <w:szCs w:val="24"/>
        </w:rPr>
        <w:t xml:space="preserve">os artículos 5 </w:t>
      </w:r>
      <w:r>
        <w:rPr>
          <w:rFonts w:ascii="Palatino Linotype" w:eastAsia="Palatino Linotype" w:hAnsi="Palatino Linotype" w:cs="Palatino Linotype"/>
          <w:sz w:val="24"/>
          <w:szCs w:val="24"/>
          <w:highlight w:val="white"/>
        </w:rPr>
        <w:t xml:space="preserve">párrafos trigésimo, trigésimo primero y trigésimo segundo fracciones IV y V </w:t>
      </w:r>
      <w:r>
        <w:rPr>
          <w:rFonts w:ascii="Palatino Linotype" w:eastAsia="Palatino Linotype" w:hAnsi="Palatino Linotype" w:cs="Palatino Linotype"/>
          <w:sz w:val="24"/>
          <w:szCs w:val="24"/>
        </w:rPr>
        <w:t>de la Constitución Política del Estado Libre y Soberano de México; 2, fracción II; 29, 36 fracciones I y II; 176, 178, 181, 185 de la Ley de Transparencia y Acceso a</w:t>
      </w:r>
      <w:r>
        <w:rPr>
          <w:rFonts w:ascii="Palatino Linotype" w:eastAsia="Palatino Linotype" w:hAnsi="Palatino Linotype" w:cs="Palatino Linotype"/>
          <w:sz w:val="24"/>
          <w:szCs w:val="24"/>
        </w:rPr>
        <w:t xml:space="preserve"> la Información Pública del Estado de México y Municipios, este Pleno:</w:t>
      </w:r>
    </w:p>
    <w:p w:rsidR="006660F9" w:rsidRDefault="005833F7">
      <w:pPr>
        <w:spacing w:before="240" w:after="240" w:line="360" w:lineRule="auto"/>
        <w:ind w:right="-93"/>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 E S U E L V E:</w:t>
      </w:r>
    </w:p>
    <w:p w:rsidR="006660F9" w:rsidRDefault="005833F7">
      <w:pPr>
        <w:spacing w:before="240" w:after="240" w:line="360" w:lineRule="auto"/>
        <w:ind w:right="49"/>
        <w:jc w:val="both"/>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color w:val="222222"/>
          <w:sz w:val="24"/>
          <w:szCs w:val="24"/>
          <w:highlight w:val="white"/>
        </w:rPr>
        <w:t xml:space="preserve">Resultan infundados los motivos de inconformidad aducidos por la </w:t>
      </w:r>
      <w:r>
        <w:rPr>
          <w:rFonts w:ascii="Palatino Linotype" w:eastAsia="Palatino Linotype" w:hAnsi="Palatino Linotype" w:cs="Palatino Linotype"/>
          <w:b/>
          <w:color w:val="222222"/>
          <w:sz w:val="24"/>
          <w:szCs w:val="24"/>
          <w:highlight w:val="white"/>
        </w:rPr>
        <w:t>RECURRENTE</w:t>
      </w:r>
      <w:r>
        <w:rPr>
          <w:rFonts w:ascii="Palatino Linotype" w:eastAsia="Palatino Linotype" w:hAnsi="Palatino Linotype" w:cs="Palatino Linotype"/>
          <w:color w:val="222222"/>
          <w:sz w:val="24"/>
          <w:szCs w:val="24"/>
          <w:highlight w:val="white"/>
        </w:rPr>
        <w:t xml:space="preserve"> en el recurso de revisión </w:t>
      </w:r>
      <w:r>
        <w:rPr>
          <w:rFonts w:ascii="Palatino Linotype" w:eastAsia="Palatino Linotype" w:hAnsi="Palatino Linotype" w:cs="Palatino Linotype"/>
          <w:b/>
          <w:color w:val="222222"/>
          <w:sz w:val="24"/>
          <w:szCs w:val="24"/>
          <w:highlight w:val="white"/>
        </w:rPr>
        <w:t xml:space="preserve">00734/INFOEM/IP/RR/2022 </w:t>
      </w:r>
      <w:r>
        <w:rPr>
          <w:rFonts w:ascii="Palatino Linotype" w:eastAsia="Palatino Linotype" w:hAnsi="Palatino Linotype" w:cs="Palatino Linotype"/>
          <w:color w:val="222222"/>
          <w:sz w:val="24"/>
          <w:szCs w:val="24"/>
          <w:highlight w:val="white"/>
        </w:rPr>
        <w:t xml:space="preserve">por lo que, en términos del Considerando Cuarto de esta resolución, se </w:t>
      </w:r>
      <w:r>
        <w:rPr>
          <w:rFonts w:ascii="Palatino Linotype" w:eastAsia="Palatino Linotype" w:hAnsi="Palatino Linotype" w:cs="Palatino Linotype"/>
          <w:b/>
          <w:color w:val="222222"/>
          <w:sz w:val="24"/>
          <w:szCs w:val="24"/>
          <w:highlight w:val="white"/>
        </w:rPr>
        <w:t>CONFIRMA</w:t>
      </w:r>
      <w:r>
        <w:rPr>
          <w:rFonts w:ascii="Palatino Linotype" w:eastAsia="Palatino Linotype" w:hAnsi="Palatino Linotype" w:cs="Palatino Linotype"/>
          <w:color w:val="222222"/>
          <w:sz w:val="24"/>
          <w:szCs w:val="24"/>
          <w:highlight w:val="white"/>
        </w:rPr>
        <w:t xml:space="preserve"> la respuesta del </w:t>
      </w:r>
      <w:r>
        <w:rPr>
          <w:rFonts w:ascii="Palatino Linotype" w:eastAsia="Palatino Linotype" w:hAnsi="Palatino Linotype" w:cs="Palatino Linotype"/>
          <w:b/>
          <w:color w:val="222222"/>
          <w:sz w:val="24"/>
          <w:szCs w:val="24"/>
          <w:highlight w:val="white"/>
        </w:rPr>
        <w:t>SUJETO OBLIGADO.</w:t>
      </w:r>
    </w:p>
    <w:p w:rsidR="006660F9" w:rsidRDefault="005833F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w:t>
      </w:r>
      <w:r>
        <w:rPr>
          <w:rFonts w:ascii="Palatino Linotype" w:eastAsia="Palatino Linotype" w:hAnsi="Palatino Linotype" w:cs="Palatino Linotype"/>
          <w:b/>
          <w:sz w:val="24"/>
          <w:szCs w:val="24"/>
          <w:highlight w:val="white"/>
        </w:rPr>
        <w:t>. NOTIFÍQUESE </w:t>
      </w:r>
      <w:r>
        <w:rPr>
          <w:rFonts w:ascii="Palatino Linotype" w:eastAsia="Palatino Linotype" w:hAnsi="Palatino Linotype" w:cs="Palatino Linotype"/>
          <w:sz w:val="24"/>
          <w:szCs w:val="24"/>
        </w:rPr>
        <w:t xml:space="preserve">vía SAIMEX la presente resolución al Titular de la Unidad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para su conocimiento.</w:t>
      </w:r>
    </w:p>
    <w:p w:rsidR="006660F9" w:rsidRDefault="005833F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w:t>
      </w:r>
      <w:r>
        <w:rPr>
          <w:rFonts w:ascii="Palatino Linotype" w:eastAsia="Palatino Linotype" w:hAnsi="Palatino Linotype" w:cs="Palatino Linotype"/>
          <w:b/>
          <w:sz w:val="24"/>
          <w:szCs w:val="24"/>
        </w:rPr>
        <w:t>CERO. NOTIFÍQUESE</w:t>
      </w:r>
      <w:r>
        <w:rPr>
          <w:rFonts w:ascii="Palatino Linotype" w:eastAsia="Palatino Linotype" w:hAnsi="Palatino Linotype" w:cs="Palatino Linotype"/>
          <w:b/>
          <w:sz w:val="24"/>
          <w:szCs w:val="24"/>
          <w:highlight w:val="white"/>
        </w:rPr>
        <w:t> </w:t>
      </w:r>
      <w:r>
        <w:rPr>
          <w:rFonts w:ascii="Palatino Linotype" w:eastAsia="Palatino Linotype" w:hAnsi="Palatino Linotype" w:cs="Palatino Linotype"/>
          <w:sz w:val="24"/>
          <w:szCs w:val="24"/>
        </w:rPr>
        <w:t>vía SAIMEX</w:t>
      </w:r>
      <w:r>
        <w:rPr>
          <w:rFonts w:ascii="Palatino Linotype" w:eastAsia="Palatino Linotype" w:hAnsi="Palatino Linotype" w:cs="Palatino Linotype"/>
          <w:b/>
          <w:sz w:val="24"/>
          <w:szCs w:val="24"/>
        </w:rPr>
        <w:t xml:space="preserve"> a</w:t>
      </w:r>
      <w:r>
        <w:rPr>
          <w:rFonts w:ascii="Palatino Linotype" w:eastAsia="Palatino Linotype" w:hAnsi="Palatino Linotype" w:cs="Palatino Linotype"/>
          <w:b/>
          <w:color w:val="000000"/>
          <w:sz w:val="24"/>
          <w:szCs w:val="24"/>
        </w:rPr>
        <w:t>l</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xml:space="preserve">, la presente resolución, además que de conformidad con lo establecido en el artículo 196 de la Ley de Transparencia y Acceso a la Información Pública del Estado de México y Municipios, podrá impugnarla vía Juicio </w:t>
      </w:r>
      <w:r>
        <w:rPr>
          <w:rFonts w:ascii="Palatino Linotype" w:eastAsia="Palatino Linotype" w:hAnsi="Palatino Linotype" w:cs="Palatino Linotype"/>
          <w:sz w:val="24"/>
          <w:szCs w:val="24"/>
        </w:rPr>
        <w:t>de Amparo en los términos de las leyes aplicables.</w:t>
      </w:r>
    </w:p>
    <w:p w:rsidR="006660F9" w:rsidRDefault="005833F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w:t>
      </w:r>
      <w:r>
        <w:rPr>
          <w:rFonts w:ascii="Palatino Linotype" w:eastAsia="Palatino Linotype" w:hAnsi="Palatino Linotype" w:cs="Palatino Linotype"/>
          <w:sz w:val="24"/>
          <w:szCs w:val="24"/>
        </w:rPr>
        <w:t xml:space="preserve">ISIONADOS JOSÉ MARTÍNEZ </w:t>
      </w:r>
      <w:r>
        <w:rPr>
          <w:rFonts w:ascii="Palatino Linotype" w:eastAsia="Palatino Linotype" w:hAnsi="Palatino Linotype" w:cs="Palatino Linotype"/>
          <w:sz w:val="24"/>
          <w:szCs w:val="24"/>
        </w:rPr>
        <w:lastRenderedPageBreak/>
        <w:t>VILCHIS, MARÍA DEL ROSARIO MEJÍA AYALA, SHARON CRISTINA MORALES MARTÍNEZ, LUIS GUSTAVO PARRA NORIEGA Y GUADALUPE RAMÍREZ PEÑA; EN LA DÉCIMA CUARTA SESIÓN ORDINARIA CELEBRADA EL VEINTE DE ABRIL DE DOS MIL VEINTIDÓS, ANTE EL SECRETARI</w:t>
      </w:r>
      <w:r>
        <w:rPr>
          <w:rFonts w:ascii="Palatino Linotype" w:eastAsia="Palatino Linotype" w:hAnsi="Palatino Linotype" w:cs="Palatino Linotype"/>
          <w:sz w:val="24"/>
          <w:szCs w:val="24"/>
        </w:rPr>
        <w:t>O TÉCNICO DEL PLENO ALEXIS TAPIA RAMÍREZ.</w:t>
      </w:r>
    </w:p>
    <w:p w:rsidR="006660F9" w:rsidRDefault="006660F9">
      <w:pPr>
        <w:spacing w:before="240" w:after="240" w:line="360" w:lineRule="auto"/>
        <w:ind w:right="49"/>
        <w:jc w:val="both"/>
        <w:rPr>
          <w:rFonts w:ascii="Palatino Linotype" w:eastAsia="Palatino Linotype" w:hAnsi="Palatino Linotype" w:cs="Palatino Linotype"/>
          <w:sz w:val="24"/>
          <w:szCs w:val="24"/>
        </w:rPr>
      </w:pPr>
    </w:p>
    <w:p w:rsidR="006660F9" w:rsidRDefault="006660F9">
      <w:pPr>
        <w:spacing w:before="240" w:after="240" w:line="360" w:lineRule="auto"/>
        <w:ind w:left="-142" w:right="-93"/>
        <w:jc w:val="both"/>
      </w:pPr>
    </w:p>
    <w:p w:rsidR="006660F9" w:rsidRDefault="006660F9">
      <w:pPr>
        <w:rPr>
          <w:rFonts w:ascii="Palatino Linotype" w:eastAsia="Palatino Linotype" w:hAnsi="Palatino Linotype" w:cs="Palatino Linotype"/>
        </w:rPr>
      </w:pPr>
    </w:p>
    <w:sectPr w:rsidR="006660F9">
      <w:headerReference w:type="default" r:id="rId19"/>
      <w:footerReference w:type="default" r:id="rId20"/>
      <w:headerReference w:type="first" r:id="rId21"/>
      <w:footerReference w:type="first" r:id="rId22"/>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3F7" w:rsidRDefault="005833F7">
      <w:pPr>
        <w:spacing w:after="0" w:line="240" w:lineRule="auto"/>
      </w:pPr>
      <w:r>
        <w:separator/>
      </w:r>
    </w:p>
  </w:endnote>
  <w:endnote w:type="continuationSeparator" w:id="0">
    <w:p w:rsidR="005833F7" w:rsidRDefault="00583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0F9" w:rsidRDefault="005833F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sidR="00852994">
      <w:rPr>
        <w:rFonts w:ascii="Arial" w:eastAsia="Arial" w:hAnsi="Arial" w:cs="Arial"/>
        <w:b/>
        <w:color w:val="000000"/>
        <w:sz w:val="20"/>
        <w:szCs w:val="20"/>
      </w:rPr>
      <w:fldChar w:fldCharType="separate"/>
    </w:r>
    <w:r w:rsidR="00852994">
      <w:rPr>
        <w:rFonts w:ascii="Arial" w:eastAsia="Arial" w:hAnsi="Arial" w:cs="Arial"/>
        <w:b/>
        <w:noProof/>
        <w:color w:val="000000"/>
        <w:sz w:val="20"/>
        <w:szCs w:val="20"/>
      </w:rPr>
      <w:t>23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sidR="00852994">
      <w:rPr>
        <w:rFonts w:ascii="Arial" w:eastAsia="Arial" w:hAnsi="Arial" w:cs="Arial"/>
        <w:b/>
        <w:color w:val="000000"/>
        <w:sz w:val="20"/>
        <w:szCs w:val="20"/>
      </w:rPr>
      <w:fldChar w:fldCharType="separate"/>
    </w:r>
    <w:r w:rsidR="00852994">
      <w:rPr>
        <w:rFonts w:ascii="Arial" w:eastAsia="Arial" w:hAnsi="Arial" w:cs="Arial"/>
        <w:b/>
        <w:noProof/>
        <w:color w:val="000000"/>
        <w:sz w:val="20"/>
        <w:szCs w:val="20"/>
      </w:rPr>
      <w:t>27</w:t>
    </w:r>
    <w:r>
      <w:rPr>
        <w:rFonts w:ascii="Arial" w:eastAsia="Arial" w:hAnsi="Arial" w:cs="Arial"/>
        <w:b/>
        <w:color w:val="000000"/>
        <w:sz w:val="20"/>
        <w:szCs w:val="20"/>
      </w:rPr>
      <w:fldChar w:fldCharType="end"/>
    </w:r>
  </w:p>
  <w:p w:rsidR="006660F9" w:rsidRDefault="006660F9">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rPr>
    </w:pPr>
  </w:p>
  <w:p w:rsidR="006660F9" w:rsidRDefault="006660F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0F9" w:rsidRDefault="005833F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sidR="00852994">
      <w:rPr>
        <w:rFonts w:ascii="Arial" w:eastAsia="Arial" w:hAnsi="Arial" w:cs="Arial"/>
        <w:b/>
        <w:color w:val="000000"/>
        <w:sz w:val="20"/>
        <w:szCs w:val="20"/>
      </w:rPr>
      <w:fldChar w:fldCharType="separate"/>
    </w:r>
    <w:r w:rsidR="00852994">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sidR="00852994">
      <w:rPr>
        <w:rFonts w:ascii="Arial" w:eastAsia="Arial" w:hAnsi="Arial" w:cs="Arial"/>
        <w:b/>
        <w:color w:val="000000"/>
        <w:sz w:val="20"/>
        <w:szCs w:val="20"/>
      </w:rPr>
      <w:fldChar w:fldCharType="separate"/>
    </w:r>
    <w:r w:rsidR="00852994">
      <w:rPr>
        <w:rFonts w:ascii="Arial" w:eastAsia="Arial" w:hAnsi="Arial" w:cs="Arial"/>
        <w:b/>
        <w:noProof/>
        <w:color w:val="000000"/>
        <w:sz w:val="20"/>
        <w:szCs w:val="20"/>
      </w:rPr>
      <w:t>27</w:t>
    </w:r>
    <w:r>
      <w:rPr>
        <w:rFonts w:ascii="Arial" w:eastAsia="Arial" w:hAnsi="Arial" w:cs="Arial"/>
        <w:b/>
        <w:color w:val="000000"/>
        <w:sz w:val="20"/>
        <w:szCs w:val="20"/>
      </w:rPr>
      <w:fldChar w:fldCharType="end"/>
    </w:r>
  </w:p>
  <w:p w:rsidR="006660F9" w:rsidRDefault="006660F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3F7" w:rsidRDefault="005833F7">
      <w:pPr>
        <w:spacing w:after="0" w:line="240" w:lineRule="auto"/>
      </w:pPr>
      <w:r>
        <w:separator/>
      </w:r>
    </w:p>
  </w:footnote>
  <w:footnote w:type="continuationSeparator" w:id="0">
    <w:p w:rsidR="005833F7" w:rsidRDefault="005833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0F9" w:rsidRDefault="006660F9">
    <w:pPr>
      <w:widowControl w:val="0"/>
      <w:pBdr>
        <w:top w:val="nil"/>
        <w:left w:val="nil"/>
        <w:bottom w:val="nil"/>
        <w:right w:val="nil"/>
        <w:between w:val="nil"/>
      </w:pBdr>
      <w:spacing w:after="0" w:line="276" w:lineRule="auto"/>
      <w:rPr>
        <w:color w:val="000000"/>
      </w:rPr>
    </w:pPr>
  </w:p>
  <w:tbl>
    <w:tblPr>
      <w:tblStyle w:val="a0"/>
      <w:tblW w:w="10346" w:type="dxa"/>
      <w:tblInd w:w="-1281" w:type="dxa"/>
      <w:tblLayout w:type="fixed"/>
      <w:tblLook w:val="0400" w:firstRow="0" w:lastRow="0" w:firstColumn="0" w:lastColumn="0" w:noHBand="0" w:noVBand="1"/>
    </w:tblPr>
    <w:tblGrid>
      <w:gridCol w:w="5684"/>
      <w:gridCol w:w="4662"/>
    </w:tblGrid>
    <w:tr w:rsidR="006660F9">
      <w:trPr>
        <w:trHeight w:val="244"/>
      </w:trPr>
      <w:tc>
        <w:tcPr>
          <w:tcW w:w="5684" w:type="dxa"/>
        </w:tcPr>
        <w:p w:rsidR="006660F9" w:rsidRDefault="005833F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6660F9" w:rsidRDefault="005833F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00734/INFOEM/IP/RR/2022</w:t>
          </w:r>
        </w:p>
      </w:tc>
    </w:tr>
    <w:tr w:rsidR="006660F9">
      <w:trPr>
        <w:trHeight w:val="210"/>
      </w:trPr>
      <w:tc>
        <w:tcPr>
          <w:tcW w:w="5684" w:type="dxa"/>
        </w:tcPr>
        <w:p w:rsidR="006660F9" w:rsidRDefault="005833F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6660F9" w:rsidRDefault="006660F9">
          <w:pPr>
            <w:spacing w:after="120"/>
            <w:ind w:left="-486" w:right="214" w:firstLine="567"/>
            <w:jc w:val="right"/>
            <w:rPr>
              <w:rFonts w:ascii="Palatino Linotype" w:eastAsia="Palatino Linotype" w:hAnsi="Palatino Linotype" w:cs="Palatino Linotype"/>
              <w:sz w:val="24"/>
              <w:szCs w:val="24"/>
            </w:rPr>
          </w:pPr>
        </w:p>
      </w:tc>
    </w:tr>
    <w:tr w:rsidR="006660F9">
      <w:trPr>
        <w:trHeight w:val="261"/>
      </w:trPr>
      <w:tc>
        <w:tcPr>
          <w:tcW w:w="5684" w:type="dxa"/>
        </w:tcPr>
        <w:p w:rsidR="006660F9" w:rsidRDefault="005833F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6660F9" w:rsidRDefault="005833F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Toluca</w:t>
          </w:r>
        </w:p>
      </w:tc>
    </w:tr>
    <w:tr w:rsidR="006660F9">
      <w:trPr>
        <w:trHeight w:val="368"/>
      </w:trPr>
      <w:tc>
        <w:tcPr>
          <w:tcW w:w="5684" w:type="dxa"/>
        </w:tcPr>
        <w:p w:rsidR="006660F9" w:rsidRDefault="005833F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6660F9" w:rsidRDefault="005833F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6660F9" w:rsidRDefault="005833F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-1169669</wp:posOffset>
          </wp:positionH>
          <wp:positionV relativeFrom="paragraph">
            <wp:posOffset>-1673859</wp:posOffset>
          </wp:positionV>
          <wp:extent cx="7867650" cy="10133330"/>
          <wp:effectExtent l="0" t="0" r="0" b="0"/>
          <wp:wrapNone/>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0F9" w:rsidRDefault="006660F9">
    <w:pPr>
      <w:widowControl w:val="0"/>
      <w:pBdr>
        <w:top w:val="nil"/>
        <w:left w:val="nil"/>
        <w:bottom w:val="nil"/>
        <w:right w:val="nil"/>
        <w:between w:val="nil"/>
      </w:pBdr>
      <w:spacing w:after="0" w:line="276" w:lineRule="auto"/>
      <w:rPr>
        <w:rFonts w:ascii="Palatino Linotype" w:eastAsia="Palatino Linotype" w:hAnsi="Palatino Linotype" w:cs="Palatino Linotype"/>
      </w:rPr>
    </w:pPr>
  </w:p>
  <w:tbl>
    <w:tblPr>
      <w:tblStyle w:val="a"/>
      <w:tblW w:w="10346" w:type="dxa"/>
      <w:tblInd w:w="-1303" w:type="dxa"/>
      <w:tblLayout w:type="fixed"/>
      <w:tblLook w:val="0400" w:firstRow="0" w:lastRow="0" w:firstColumn="0" w:lastColumn="0" w:noHBand="0" w:noVBand="1"/>
    </w:tblPr>
    <w:tblGrid>
      <w:gridCol w:w="5684"/>
      <w:gridCol w:w="4662"/>
    </w:tblGrid>
    <w:tr w:rsidR="006660F9">
      <w:trPr>
        <w:trHeight w:val="244"/>
      </w:trPr>
      <w:tc>
        <w:tcPr>
          <w:tcW w:w="5684" w:type="dxa"/>
        </w:tcPr>
        <w:p w:rsidR="006660F9" w:rsidRDefault="005833F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6660F9" w:rsidRDefault="005833F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00734/INFOEM/IP/RR/2022</w:t>
          </w:r>
        </w:p>
      </w:tc>
    </w:tr>
    <w:tr w:rsidR="006660F9">
      <w:trPr>
        <w:trHeight w:val="210"/>
      </w:trPr>
      <w:tc>
        <w:tcPr>
          <w:tcW w:w="5684" w:type="dxa"/>
        </w:tcPr>
        <w:p w:rsidR="006660F9" w:rsidRDefault="005833F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6660F9" w:rsidRDefault="00852994" w:rsidP="00852994">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w:t>
          </w:r>
          <w:r w:rsidR="005833F7">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w:t>
          </w:r>
          <w:r w:rsidR="005833F7">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w:t>
          </w:r>
        </w:p>
      </w:tc>
    </w:tr>
    <w:tr w:rsidR="006660F9">
      <w:trPr>
        <w:trHeight w:val="261"/>
      </w:trPr>
      <w:tc>
        <w:tcPr>
          <w:tcW w:w="5684" w:type="dxa"/>
        </w:tcPr>
        <w:p w:rsidR="006660F9" w:rsidRDefault="005833F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r>
            <w:rPr>
              <w:noProof/>
            </w:rPr>
            <w:drawing>
              <wp:anchor distT="0" distB="0" distL="0" distR="0" simplePos="0" relativeHeight="251659264" behindDoc="1" locked="0" layoutInCell="1" hidden="0" allowOverlap="1">
                <wp:simplePos x="0" y="0"/>
                <wp:positionH relativeFrom="column">
                  <wp:posOffset>-1445894</wp:posOffset>
                </wp:positionH>
                <wp:positionV relativeFrom="paragraph">
                  <wp:posOffset>-1039494</wp:posOffset>
                </wp:positionV>
                <wp:extent cx="7867650" cy="10133330"/>
                <wp:effectExtent l="0" t="0" r="0" b="0"/>
                <wp:wrapNone/>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tc>
      <w:tc>
        <w:tcPr>
          <w:tcW w:w="4662" w:type="dxa"/>
        </w:tcPr>
        <w:p w:rsidR="006660F9" w:rsidRDefault="005833F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Toluca</w:t>
          </w:r>
        </w:p>
      </w:tc>
    </w:tr>
    <w:tr w:rsidR="006660F9">
      <w:trPr>
        <w:trHeight w:val="368"/>
      </w:trPr>
      <w:tc>
        <w:tcPr>
          <w:tcW w:w="5684" w:type="dxa"/>
        </w:tcPr>
        <w:p w:rsidR="006660F9" w:rsidRDefault="005833F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6660F9" w:rsidRDefault="005833F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6660F9" w:rsidRDefault="006660F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817A5B"/>
    <w:multiLevelType w:val="multilevel"/>
    <w:tmpl w:val="746EFFE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6960FAF"/>
    <w:multiLevelType w:val="multilevel"/>
    <w:tmpl w:val="AC84E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0F9"/>
    <w:rsid w:val="005833F7"/>
    <w:rsid w:val="006660F9"/>
    <w:rsid w:val="008529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35E484-D1DA-4120-A0FE-07F643592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617"/>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222199"/>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222199"/>
  </w:style>
  <w:style w:type="paragraph" w:styleId="Piedepgina">
    <w:name w:val="footer"/>
    <w:basedOn w:val="Normal"/>
    <w:link w:val="PiedepginaCar"/>
    <w:uiPriority w:val="99"/>
    <w:unhideWhenUsed/>
    <w:rsid w:val="00222199"/>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222199"/>
  </w:style>
  <w:style w:type="character" w:styleId="Hipervnculo">
    <w:name w:val="Hyperlink"/>
    <w:basedOn w:val="Fuentedeprrafopredeter"/>
    <w:uiPriority w:val="99"/>
    <w:unhideWhenUsed/>
    <w:rsid w:val="00942A1F"/>
    <w:rPr>
      <w:color w:val="0000FF"/>
      <w:u w:val="single"/>
    </w:rPr>
  </w:style>
  <w:style w:type="paragraph" w:styleId="Prrafodelista">
    <w:name w:val="List Paragraph"/>
    <w:basedOn w:val="Normal"/>
    <w:uiPriority w:val="34"/>
    <w:qFormat/>
    <w:rsid w:val="00EB563A"/>
    <w:pPr>
      <w:ind w:left="720"/>
      <w:contextualSpacing/>
    </w:pPr>
  </w:style>
  <w:style w:type="paragraph" w:styleId="NormalWeb">
    <w:name w:val="Normal (Web)"/>
    <w:basedOn w:val="Normal"/>
    <w:uiPriority w:val="99"/>
    <w:rsid w:val="00467C4B"/>
    <w:pPr>
      <w:spacing w:before="100" w:beforeAutospacing="1" w:after="100" w:afterAutospacing="1" w:line="240" w:lineRule="auto"/>
    </w:pPr>
    <w:rPr>
      <w:rFonts w:ascii="Times New Roman" w:eastAsia="Times New Roman" w:hAnsi="Times New Roman" w:cs="Times New Roman"/>
      <w:sz w:val="24"/>
      <w:szCs w:val="24"/>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25854.page"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1325854.page"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10.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QwQN/mPijEIUEB6fn1ZoocJtNQ==">AMUW2mURzcg4N8oS+V25je7kOJPkxGP9/HwN/jNDf5jG5KbQWXQVM7ztMghVd/RWqKvdmYGgsmQ+Xcflhsay/nzqLFnmQ1qoa+T275fsy2e1zkoASC74H35NIJkS+TT7dWYWdIsjxCfA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4598</Words>
  <Characters>25291</Characters>
  <Application>Microsoft Office Word</Application>
  <DocSecurity>0</DocSecurity>
  <Lines>210</Lines>
  <Paragraphs>59</Paragraphs>
  <ScaleCrop>false</ScaleCrop>
  <Company/>
  <LinksUpToDate>false</LinksUpToDate>
  <CharactersWithSpaces>29830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2022-04-07T00:09:00Z</dcterms:created>
  <dcterms:modified xsi:type="dcterms:W3CDTF">2022-05-12T17:03:00Z</dcterms:modified>
</cp:coreProperties>
</file>