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95A" w14:textId="290BEC01"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E92534">
        <w:rPr>
          <w:rFonts w:ascii="Palatino Linotype" w:eastAsia="Times New Roman" w:hAnsi="Palatino Linotype" w:cs="Arial"/>
          <w:color w:val="000000"/>
          <w:sz w:val="24"/>
          <w:szCs w:val="24"/>
          <w:lang w:eastAsia="es-MX"/>
        </w:rPr>
        <w:t>ocho de junio</w:t>
      </w:r>
      <w:r w:rsidR="00672B5A" w:rsidRPr="000F4043">
        <w:rPr>
          <w:rFonts w:ascii="Palatino Linotype" w:eastAsia="Times New Roman" w:hAnsi="Palatino Linotype" w:cs="Arial"/>
          <w:color w:val="000000"/>
          <w:sz w:val="24"/>
          <w:szCs w:val="24"/>
          <w:lang w:eastAsia="es-MX"/>
        </w:rPr>
        <w:t xml:space="preserve"> de dos mil veintidós.</w:t>
      </w:r>
      <w:r w:rsidR="00672B5A">
        <w:rPr>
          <w:rFonts w:ascii="Palatino Linotype" w:eastAsia="Times New Roman" w:hAnsi="Palatino Linotype" w:cs="Arial"/>
          <w:color w:val="000000"/>
          <w:sz w:val="24"/>
          <w:szCs w:val="24"/>
          <w:lang w:eastAsia="es-MX"/>
        </w:rPr>
        <w:t xml:space="preserve"> </w:t>
      </w:r>
      <w:r w:rsidR="00AB24E7">
        <w:rPr>
          <w:rFonts w:ascii="Palatino Linotype" w:eastAsia="Times New Roman" w:hAnsi="Palatino Linotype" w:cs="Arial"/>
          <w:color w:val="000000"/>
          <w:sz w:val="24"/>
          <w:szCs w:val="24"/>
          <w:lang w:eastAsia="es-MX"/>
        </w:rPr>
        <w:t xml:space="preserve"> </w:t>
      </w:r>
      <w:r w:rsidR="00682325">
        <w:rPr>
          <w:rFonts w:ascii="Palatino Linotype" w:eastAsia="Times New Roman" w:hAnsi="Palatino Linotype" w:cs="Arial"/>
          <w:color w:val="000000"/>
          <w:sz w:val="24"/>
          <w:szCs w:val="24"/>
          <w:lang w:eastAsia="es-MX"/>
        </w:rPr>
        <w:t xml:space="preserve"> </w:t>
      </w:r>
      <w:r w:rsidR="00F90F72">
        <w:rPr>
          <w:rFonts w:ascii="Palatino Linotype" w:eastAsia="Times New Roman" w:hAnsi="Palatino Linotype" w:cs="Arial"/>
          <w:color w:val="000000"/>
          <w:sz w:val="24"/>
          <w:szCs w:val="24"/>
          <w:lang w:eastAsia="es-MX"/>
        </w:rPr>
        <w:t xml:space="preserve"> </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71D9E4F5" w14:textId="5D794A48" w:rsidR="00F90F72" w:rsidRPr="00F90F72"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AB24E7">
        <w:rPr>
          <w:rFonts w:ascii="Palatino Linotype" w:hAnsi="Palatino Linotype" w:cs="Arial"/>
          <w:b/>
          <w:sz w:val="24"/>
        </w:rPr>
        <w:t>0</w:t>
      </w:r>
      <w:r w:rsidR="00710467">
        <w:rPr>
          <w:rFonts w:ascii="Palatino Linotype" w:hAnsi="Palatino Linotype" w:cs="Arial"/>
          <w:b/>
          <w:sz w:val="24"/>
        </w:rPr>
        <w:t>3645</w:t>
      </w:r>
      <w:r w:rsidR="00F90F72">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710467">
        <w:rPr>
          <w:rFonts w:ascii="Palatino Linotype" w:hAnsi="Palatino Linotype" w:cs="Arial"/>
          <w:sz w:val="24"/>
        </w:rPr>
        <w:t xml:space="preserve">el </w:t>
      </w:r>
      <w:r w:rsidR="002A59F9">
        <w:rPr>
          <w:rFonts w:ascii="Palatino Linotype" w:hAnsi="Palatino Linotype" w:cs="Arial"/>
          <w:b/>
          <w:sz w:val="24"/>
        </w:rPr>
        <w:t>xxxxxxxxxxx xxxxxxxxxx xxxxxxxxxxx</w:t>
      </w:r>
      <w:r w:rsidR="00682325">
        <w:rPr>
          <w:rFonts w:ascii="Palatino Linotype" w:hAnsi="Palatino Linotype" w:cs="Arial"/>
          <w:sz w:val="24"/>
        </w:rPr>
        <w:t xml:space="preserve">, en lo sucesivo </w:t>
      </w:r>
      <w:r w:rsidR="00682325">
        <w:rPr>
          <w:rFonts w:ascii="Palatino Linotype" w:hAnsi="Palatino Linotype" w:cs="Arial"/>
          <w:b/>
          <w:sz w:val="24"/>
        </w:rPr>
        <w:t xml:space="preserve">El Recurrente, </w:t>
      </w:r>
      <w:r w:rsidR="00682325">
        <w:rPr>
          <w:rFonts w:ascii="Palatino Linotype" w:hAnsi="Palatino Linotype" w:cs="Arial"/>
          <w:sz w:val="24"/>
        </w:rPr>
        <w:t xml:space="preserve">en contra de la falta de respuesta del </w:t>
      </w:r>
      <w:r w:rsidR="00710467" w:rsidRPr="00710467">
        <w:rPr>
          <w:rFonts w:ascii="Palatino Linotype" w:hAnsi="Palatino Linotype" w:cs="Arial"/>
          <w:b/>
          <w:sz w:val="24"/>
        </w:rPr>
        <w:t>Ayuntamiento de Acolman</w:t>
      </w:r>
      <w:r w:rsidR="00710467">
        <w:rPr>
          <w:rFonts w:ascii="Palatino Linotype" w:hAnsi="Palatino Linotype" w:cs="Arial"/>
          <w:b/>
          <w:sz w:val="24"/>
        </w:rPr>
        <w:t xml:space="preserve"> </w:t>
      </w:r>
      <w:r w:rsidR="00F90F72">
        <w:rPr>
          <w:rFonts w:ascii="Palatino Linotype" w:hAnsi="Palatino Linotype" w:cs="Arial"/>
          <w:sz w:val="24"/>
        </w:rPr>
        <w:t xml:space="preserve">en lo sucesivo </w:t>
      </w:r>
      <w:r w:rsidR="00F90F72">
        <w:rPr>
          <w:rFonts w:ascii="Palatino Linotype" w:hAnsi="Palatino Linotype" w:cs="Arial"/>
          <w:b/>
          <w:sz w:val="24"/>
        </w:rPr>
        <w:t xml:space="preserve">El Sujeto Obligado, </w:t>
      </w:r>
      <w:r w:rsidR="00F90F72">
        <w:rPr>
          <w:rFonts w:ascii="Palatino Linotype" w:hAnsi="Palatino Linotype" w:cs="Arial"/>
          <w:sz w:val="24"/>
        </w:rPr>
        <w:t xml:space="preserve">se procede a dictar la presente resolución. </w:t>
      </w:r>
    </w:p>
    <w:p w14:paraId="239B31CB" w14:textId="77777777" w:rsidR="006A563E" w:rsidRDefault="006A563E" w:rsidP="00DD45AF">
      <w:pPr>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2DE0608" w14:textId="6E01E3D5" w:rsidR="00BF4605" w:rsidRPr="00153BD4" w:rsidRDefault="006D5803" w:rsidP="00AB24E7">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BF4605">
        <w:rPr>
          <w:rFonts w:ascii="Palatino Linotype" w:hAnsi="Palatino Linotype" w:cs="Arial"/>
          <w:sz w:val="24"/>
        </w:rPr>
        <w:t xml:space="preserve">catorce de febrero de dos mil veintidós, </w:t>
      </w:r>
      <w:r w:rsidR="00BF4605">
        <w:rPr>
          <w:rFonts w:ascii="Palatino Linotype" w:hAnsi="Palatino Linotype" w:cs="Arial"/>
          <w:b/>
          <w:sz w:val="24"/>
        </w:rPr>
        <w:t xml:space="preserve">El Recurrente, </w:t>
      </w:r>
      <w:r w:rsidR="00BF4605">
        <w:rPr>
          <w:rFonts w:ascii="Palatino Linotype" w:hAnsi="Palatino Linotype" w:cs="Arial"/>
          <w:sz w:val="24"/>
        </w:rPr>
        <w:t>presentó a través del Sistema de Acceso de Información Mexiquense (</w:t>
      </w:r>
      <w:r w:rsidR="00BF4605">
        <w:rPr>
          <w:rFonts w:ascii="Palatino Linotype" w:hAnsi="Palatino Linotype" w:cs="Arial"/>
          <w:b/>
          <w:sz w:val="24"/>
        </w:rPr>
        <w:t>SAIMEX)</w:t>
      </w:r>
      <w:r w:rsidR="00BF4605">
        <w:rPr>
          <w:rFonts w:ascii="Palatino Linotype" w:hAnsi="Palatino Linotype" w:cs="Arial"/>
          <w:sz w:val="24"/>
        </w:rPr>
        <w:t xml:space="preserve"> ante </w:t>
      </w:r>
      <w:r w:rsidR="00BF4605">
        <w:rPr>
          <w:rFonts w:ascii="Palatino Linotype" w:hAnsi="Palatino Linotype" w:cs="Arial"/>
          <w:b/>
          <w:sz w:val="24"/>
        </w:rPr>
        <w:t>El Sujeto Obligado</w:t>
      </w:r>
      <w:r w:rsidR="00BF4605">
        <w:rPr>
          <w:rFonts w:ascii="Palatino Linotype" w:hAnsi="Palatino Linotype" w:cs="Arial"/>
          <w:sz w:val="24"/>
        </w:rPr>
        <w:t xml:space="preserve">, solicitud de acceso a la información pública, registrada bajo el número de expediente </w:t>
      </w:r>
      <w:r w:rsidR="00710467" w:rsidRPr="00710467">
        <w:rPr>
          <w:rFonts w:ascii="Palatino Linotype" w:hAnsi="Palatino Linotype" w:cs="Arial"/>
          <w:b/>
          <w:bCs/>
          <w:sz w:val="24"/>
        </w:rPr>
        <w:t>00025/ACOLMAN/IP/2022</w:t>
      </w:r>
      <w:r w:rsidR="00153BD4">
        <w:rPr>
          <w:rFonts w:ascii="Palatino Linotype" w:hAnsi="Palatino Linotype" w:cs="Arial"/>
          <w:b/>
          <w:bCs/>
          <w:sz w:val="24"/>
        </w:rPr>
        <w:t xml:space="preserve">, </w:t>
      </w:r>
      <w:r w:rsidR="00153BD4">
        <w:rPr>
          <w:rFonts w:ascii="Palatino Linotype" w:hAnsi="Palatino Linotype" w:cs="Arial"/>
          <w:sz w:val="24"/>
        </w:rPr>
        <w:t>mediante la cual solicitó información en el tenor siguiente:</w:t>
      </w:r>
    </w:p>
    <w:p w14:paraId="7922EAB0" w14:textId="7FB97957" w:rsidR="00BF4605" w:rsidRPr="00AF1ED7" w:rsidRDefault="00AF1ED7" w:rsidP="00AF1ED7">
      <w:pPr>
        <w:pStyle w:val="Citas"/>
        <w:rPr>
          <w:b/>
          <w:bCs/>
          <w:sz w:val="24"/>
        </w:rPr>
      </w:pPr>
      <w:r>
        <w:t>“</w:t>
      </w:r>
      <w:r w:rsidR="00710467" w:rsidRPr="00710467">
        <w:t>Solicito en versión pública, copia simple de los recibos de nomina de la Presidente Municipal, Sindico Municipal, Regidores, Secretario del Ayuntamiento, Contralor Municipal, Coordinadores, Titulares de Área, Directores, Subdirectores, Jefes de área, o sus equivalentes según corresponda, del periodo que comprende del 15 al 31 de diciembre del año 2021 así como del 01 al 31 de enero de 2022.</w:t>
      </w:r>
      <w:r>
        <w:t xml:space="preserve">” </w:t>
      </w:r>
      <w:r>
        <w:rPr>
          <w:b/>
          <w:bCs/>
        </w:rPr>
        <w:t>[Sic]</w:t>
      </w:r>
    </w:p>
    <w:p w14:paraId="7EF8EE63" w14:textId="43E0F6B9" w:rsidR="00AB24E7" w:rsidRPr="005477E0" w:rsidRDefault="00985AD2" w:rsidP="005477E0">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A21020">
        <w:rPr>
          <w:rFonts w:ascii="Palatino Linotype" w:eastAsia="Times New Roman" w:hAnsi="Palatino Linotype" w:cs="Times New Roman"/>
          <w:sz w:val="24"/>
          <w:szCs w:val="24"/>
          <w:lang w:val="es-ES_tradnl" w:eastAsia="es-ES"/>
        </w:rPr>
        <w:t>A través del SAIMEX</w:t>
      </w:r>
      <w:r w:rsidR="00F90F72">
        <w:rPr>
          <w:rFonts w:ascii="Palatino Linotype" w:eastAsia="Times New Roman" w:hAnsi="Palatino Linotype" w:cs="Times New Roman"/>
          <w:sz w:val="24"/>
          <w:szCs w:val="24"/>
          <w:lang w:val="es-ES_tradnl" w:eastAsia="es-ES"/>
        </w:rPr>
        <w:t xml:space="preserve">. </w:t>
      </w:r>
    </w:p>
    <w:p w14:paraId="7CD08A2D" w14:textId="69E82D44" w:rsidR="006D5803" w:rsidRPr="00523CF0" w:rsidRDefault="007B3469" w:rsidP="006D5803">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D5803" w:rsidRPr="00523CF0">
        <w:rPr>
          <w:rFonts w:ascii="Palatino Linotype" w:hAnsi="Palatino Linotype" w:cs="Arial"/>
          <w:b/>
          <w:sz w:val="28"/>
        </w:rPr>
        <w:t xml:space="preserve">. </w:t>
      </w:r>
      <w:r w:rsidR="006D5803"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49B114D0" w:rsidR="006D5803" w:rsidRPr="00523CF0" w:rsidRDefault="007B3469" w:rsidP="006D5803">
      <w:pPr>
        <w:spacing w:before="240" w:line="360" w:lineRule="auto"/>
        <w:jc w:val="both"/>
        <w:rPr>
          <w:rFonts w:ascii="Palatino Linotype" w:hAnsi="Palatino Linotype" w:cs="Arial"/>
          <w:b/>
          <w:sz w:val="28"/>
        </w:rPr>
      </w:pPr>
      <w:r>
        <w:rPr>
          <w:rFonts w:ascii="Palatino Linotype" w:hAnsi="Palatino Linotype" w:cs="Arial"/>
          <w:b/>
          <w:sz w:val="28"/>
        </w:rPr>
        <w:t>TERCERO</w:t>
      </w:r>
      <w:r w:rsidR="006D5803" w:rsidRPr="00523CF0">
        <w:rPr>
          <w:rFonts w:ascii="Palatino Linotype" w:hAnsi="Palatino Linotype" w:cs="Arial"/>
          <w:b/>
          <w:sz w:val="28"/>
        </w:rPr>
        <w:t xml:space="preserve">. </w:t>
      </w:r>
      <w:r w:rsidR="006D5803" w:rsidRPr="00523CF0">
        <w:rPr>
          <w:rFonts w:ascii="Palatino Linotype" w:hAnsi="Palatino Linotype"/>
          <w:b/>
          <w:sz w:val="28"/>
        </w:rPr>
        <w:t>Del recurso de revisión.</w:t>
      </w:r>
    </w:p>
    <w:p w14:paraId="0CE37242" w14:textId="3B8D8D1F" w:rsidR="00AF1ED7" w:rsidRPr="000E1C51"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710467">
        <w:rPr>
          <w:rFonts w:ascii="Palatino Linotype" w:hAnsi="Palatino Linotype" w:cs="Arial"/>
          <w:sz w:val="24"/>
          <w:szCs w:val="24"/>
        </w:rPr>
        <w:t>nueve</w:t>
      </w:r>
      <w:r w:rsidR="000E1C51">
        <w:rPr>
          <w:rFonts w:ascii="Palatino Linotype" w:hAnsi="Palatino Linotype" w:cs="Arial"/>
          <w:sz w:val="24"/>
          <w:szCs w:val="24"/>
        </w:rPr>
        <w:t xml:space="preserve"> de marzo de dos mil veintidós, el cual fue registrado con el expediente número </w:t>
      </w:r>
      <w:r w:rsidR="00710467">
        <w:rPr>
          <w:rFonts w:ascii="Palatino Linotype" w:hAnsi="Palatino Linotype" w:cs="Arial"/>
          <w:b/>
          <w:bCs/>
          <w:sz w:val="24"/>
          <w:szCs w:val="24"/>
        </w:rPr>
        <w:t>03645</w:t>
      </w:r>
      <w:r w:rsidR="000E1C51">
        <w:rPr>
          <w:rFonts w:ascii="Palatino Linotype" w:hAnsi="Palatino Linotype" w:cs="Arial"/>
          <w:b/>
          <w:bCs/>
          <w:sz w:val="24"/>
          <w:szCs w:val="24"/>
        </w:rPr>
        <w:t xml:space="preserve">/INFOEM/IP/RR/2022, </w:t>
      </w:r>
      <w:r w:rsidR="000E1C51">
        <w:rPr>
          <w:rFonts w:ascii="Palatino Linotype" w:hAnsi="Palatino Linotype" w:cs="Arial"/>
          <w:sz w:val="24"/>
          <w:szCs w:val="24"/>
        </w:rPr>
        <w:t>en el cual arguye las siguientes manifestaciones:</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77C17E41" w:rsidR="00315C28" w:rsidRPr="00315C28" w:rsidRDefault="00284441" w:rsidP="00315C28">
      <w:pPr>
        <w:pStyle w:val="Citas"/>
        <w:rPr>
          <w:b/>
          <w:sz w:val="24"/>
          <w:szCs w:val="24"/>
        </w:rPr>
      </w:pPr>
      <w:r w:rsidRPr="007D1A58">
        <w:t>“</w:t>
      </w:r>
      <w:r w:rsidR="00710467" w:rsidRPr="00710467">
        <w:t>FALTA DE RESPUESTA A MI SOLICITUD DE INFORMACIÓN PÚBLICA</w:t>
      </w:r>
      <w:r w:rsidR="00315C28" w:rsidRPr="007D1A58">
        <w:t>”</w:t>
      </w:r>
      <w:r w:rsidR="00315C28" w:rsidRPr="00B50E49">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43D6E477" w:rsidR="005C3CD1" w:rsidRDefault="00672112" w:rsidP="00792E0C">
      <w:pPr>
        <w:pStyle w:val="Citas"/>
        <w:rPr>
          <w:b/>
        </w:rPr>
      </w:pPr>
      <w:r w:rsidRPr="007D1A58">
        <w:t>“</w:t>
      </w:r>
      <w:r w:rsidR="00710467" w:rsidRPr="00710467">
        <w:t>LA FALTA E RESPUESTA A MI SOLICITUD DE INFORMACIÓN PÚBLICA, LOS PLAZOS ESTABLECIDOS EN LA LEY EN MATERIA YA FENECIERON.</w:t>
      </w:r>
      <w:r w:rsidRPr="007D1A58">
        <w:t>”</w:t>
      </w:r>
      <w:r w:rsidRPr="00F55016">
        <w:t xml:space="preserve"> </w:t>
      </w:r>
      <w:r>
        <w:rPr>
          <w:b/>
        </w:rPr>
        <w:t xml:space="preserve">[Sic] </w:t>
      </w:r>
    </w:p>
    <w:p w14:paraId="21BB27F2" w14:textId="77777777" w:rsidR="00672112" w:rsidRDefault="00672112" w:rsidP="00F55016">
      <w:pPr>
        <w:pStyle w:val="Citas"/>
        <w:ind w:left="0"/>
        <w:rPr>
          <w:b/>
        </w:rPr>
      </w:pPr>
    </w:p>
    <w:p w14:paraId="6B14606C" w14:textId="3CF4AAB0" w:rsidR="006D5803" w:rsidRDefault="00BD5110" w:rsidP="006D5803">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006D5803" w:rsidRPr="00F471AE">
        <w:rPr>
          <w:rFonts w:ascii="Palatino Linotype" w:hAnsi="Palatino Linotype" w:cs="Arial"/>
          <w:b/>
          <w:sz w:val="24"/>
          <w:szCs w:val="24"/>
        </w:rPr>
        <w:t xml:space="preserve">. </w:t>
      </w:r>
      <w:r w:rsidR="006D5803" w:rsidRPr="00F471AE">
        <w:rPr>
          <w:rFonts w:ascii="Palatino Linotype" w:hAnsi="Palatino Linotype" w:cs="Arial"/>
          <w:b/>
          <w:sz w:val="28"/>
          <w:szCs w:val="28"/>
        </w:rPr>
        <w:t>Del turno del recurso de revisión.</w:t>
      </w:r>
    </w:p>
    <w:p w14:paraId="75D9F572" w14:textId="52AC24F3" w:rsidR="00F90F72" w:rsidRDefault="006D5803" w:rsidP="00F90F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BD5110">
        <w:rPr>
          <w:rFonts w:ascii="Palatino Linotype" w:hAnsi="Palatino Linotype" w:cs="Arial"/>
          <w:sz w:val="24"/>
          <w:szCs w:val="24"/>
        </w:rPr>
        <w:t xml:space="preserve">Presidente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692B9C">
        <w:rPr>
          <w:rFonts w:ascii="Palatino Linotype" w:hAnsi="Palatino Linotype" w:cs="Arial"/>
          <w:sz w:val="24"/>
          <w:szCs w:val="24"/>
        </w:rPr>
        <w:t xml:space="preserve">catorce de marzo de dos mil </w:t>
      </w:r>
      <w:r w:rsidR="00A37DA9">
        <w:rPr>
          <w:rFonts w:ascii="Palatino Linotype" w:hAnsi="Palatino Linotype" w:cs="Arial"/>
          <w:sz w:val="24"/>
          <w:szCs w:val="24"/>
        </w:rPr>
        <w:t xml:space="preserve">veintidós </w:t>
      </w:r>
      <w:r w:rsidR="00AB24E7">
        <w:rPr>
          <w:rFonts w:ascii="Palatino Linotype" w:hAnsi="Palatino Linotype" w:cs="Arial"/>
          <w:sz w:val="24"/>
          <w:szCs w:val="24"/>
        </w:rPr>
        <w:t>d</w:t>
      </w:r>
      <w:r w:rsidR="00F90F72">
        <w:rPr>
          <w:rFonts w:ascii="Palatino Linotype" w:hAnsi="Palatino Linotype" w:cs="Arial"/>
          <w:sz w:val="24"/>
          <w:szCs w:val="24"/>
        </w:rPr>
        <w:t xml:space="preserve">eterminándose en él, un plazo de siete días para que las partes manifestaran lo que a su derecho corresponda en términos del numeral ya citado. </w:t>
      </w:r>
    </w:p>
    <w:p w14:paraId="7ED53971" w14:textId="68D43113" w:rsidR="00F90F72" w:rsidRDefault="00F90F72" w:rsidP="006D5803">
      <w:pPr>
        <w:spacing w:before="240" w:line="360" w:lineRule="auto"/>
        <w:jc w:val="both"/>
        <w:rPr>
          <w:rFonts w:ascii="Palatino Linotype" w:hAnsi="Palatino Linotype" w:cs="Arial"/>
          <w:sz w:val="24"/>
          <w:szCs w:val="24"/>
        </w:rPr>
      </w:pPr>
    </w:p>
    <w:p w14:paraId="04D96CBC" w14:textId="515CD3D0" w:rsidR="006D5803" w:rsidRDefault="00A37DA9" w:rsidP="006D5803">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D5803" w:rsidRPr="0080421D">
        <w:rPr>
          <w:rFonts w:ascii="Palatino Linotype" w:hAnsi="Palatino Linotype" w:cs="Arial"/>
          <w:b/>
          <w:sz w:val="24"/>
          <w:szCs w:val="24"/>
        </w:rPr>
        <w:t xml:space="preserve">. </w:t>
      </w:r>
      <w:r w:rsidR="006D5803"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260777FB" w:rsidR="00F55016"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A37DA9">
        <w:rPr>
          <w:rFonts w:ascii="Palatino Linotype" w:hAnsi="Palatino Linotype" w:cs="Arial"/>
          <w:b/>
          <w:sz w:val="24"/>
          <w:szCs w:val="24"/>
        </w:rPr>
        <w:t>treinta</w:t>
      </w:r>
      <w:r w:rsidR="00710467">
        <w:rPr>
          <w:rFonts w:ascii="Palatino Linotype" w:hAnsi="Palatino Linotype" w:cs="Arial"/>
          <w:b/>
          <w:sz w:val="24"/>
          <w:szCs w:val="24"/>
        </w:rPr>
        <w:t xml:space="preserve"> y uno</w:t>
      </w:r>
      <w:r w:rsidR="00A37DA9">
        <w:rPr>
          <w:rFonts w:ascii="Palatino Linotype" w:hAnsi="Palatino Linotype" w:cs="Arial"/>
          <w:b/>
          <w:sz w:val="24"/>
          <w:szCs w:val="24"/>
        </w:rPr>
        <w:t xml:space="preserve"> de marzo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3B3D90A" w14:textId="3EB3EE5C" w:rsidR="00423B36" w:rsidRDefault="00423B36" w:rsidP="00423B3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Pr>
          <w:rFonts w:ascii="Palatino Linotype" w:hAnsi="Palatino Linotype" w:cs="Arial"/>
          <w:b/>
          <w:bCs/>
          <w:sz w:val="24"/>
          <w:szCs w:val="24"/>
        </w:rPr>
        <w:t>cuatro de mayo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 xml:space="preserve">artículo 181 </w:t>
      </w:r>
      <w:r>
        <w:rPr>
          <w:rFonts w:ascii="Palatino Linotype" w:hAnsi="Palatino Linotype" w:cs="Arial"/>
          <w:sz w:val="24"/>
          <w:szCs w:val="24"/>
        </w:rPr>
        <w:lastRenderedPageBreak/>
        <w:t xml:space="preserve">de la Ley de Transparencia y Acceso a la Información del Estado de México y Municipios. </w:t>
      </w:r>
    </w:p>
    <w:p w14:paraId="664F1601" w14:textId="77777777" w:rsidR="00AB24E7" w:rsidRPr="00C12209" w:rsidRDefault="00AB24E7" w:rsidP="00F55016">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FBD91FA" w14:textId="77777777" w:rsidR="00BD0E26" w:rsidRDefault="00BD0E26" w:rsidP="006D580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FAE87B8" w14:textId="71A2DB22"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4E4F419" w14:textId="77777777" w:rsidR="00682325" w:rsidRDefault="00682325" w:rsidP="0068232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78A082DE" w14:textId="77777777" w:rsidR="00632B5D" w:rsidRDefault="00632B5D" w:rsidP="00710467">
      <w:pPr>
        <w:spacing w:after="0" w:line="360" w:lineRule="auto"/>
        <w:jc w:val="both"/>
        <w:rPr>
          <w:rFonts w:ascii="Palatino Linotype" w:eastAsia="Times New Roman" w:hAnsi="Palatino Linotype" w:cs="Times New Roman"/>
          <w:sz w:val="24"/>
          <w:szCs w:val="24"/>
          <w:lang w:eastAsia="es-ES"/>
        </w:rPr>
      </w:pPr>
    </w:p>
    <w:p w14:paraId="2D383371" w14:textId="0EBBA276"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r w:rsidRPr="00710467">
        <w:rPr>
          <w:rFonts w:ascii="Palatino Linotype" w:eastAsia="Times New Roman" w:hAnsi="Palatino Linotype" w:cs="Times New Roman"/>
          <w:sz w:val="24"/>
          <w:szCs w:val="24"/>
          <w:lang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081AB6">
        <w:rPr>
          <w:rFonts w:ascii="Palatino Linotype" w:eastAsia="Times New Roman" w:hAnsi="Palatino Linotype" w:cs="Times New Roman"/>
          <w:sz w:val="24"/>
          <w:szCs w:val="24"/>
          <w:lang w:eastAsia="es-ES"/>
        </w:rPr>
        <w:t>xxxxxxxxxxxxxxxxxxxxxxxxxxxxxxx</w:t>
      </w:r>
      <w:r w:rsidRPr="00710467">
        <w:rPr>
          <w:rFonts w:ascii="Palatino Linotype" w:eastAsia="Times New Roman" w:hAnsi="Palatino Linotype" w:cs="Times New Roman"/>
          <w:sz w:val="24"/>
          <w:szCs w:val="24"/>
          <w:lang w:eastAsia="es-ES"/>
        </w:rPr>
        <w:t>, del cual no se colige que corresponda al nombre de una persona.</w:t>
      </w:r>
    </w:p>
    <w:p w14:paraId="601A5462" w14:textId="77777777"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p>
    <w:p w14:paraId="6D2427BD" w14:textId="77777777"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r w:rsidRPr="00710467">
        <w:rPr>
          <w:rFonts w:ascii="Palatino Linotype" w:eastAsia="Times New Roman" w:hAnsi="Palatino Linotype" w:cs="Times New Roman"/>
          <w:sz w:val="24"/>
          <w:szCs w:val="24"/>
          <w:lang w:eastAsia="es-ES"/>
        </w:rPr>
        <w:t xml:space="preserve">Esta Ponencia considera importante abordar el análisis de los requisitos de procedibilidad de los recursos de revisión, así el artículo 180 de la Ley de </w:t>
      </w:r>
      <w:r w:rsidRPr="00710467">
        <w:rPr>
          <w:rFonts w:ascii="Palatino Linotype" w:eastAsia="Times New Roman" w:hAnsi="Palatino Linotype" w:cs="Times New Roman"/>
          <w:sz w:val="24"/>
          <w:szCs w:val="24"/>
          <w:lang w:eastAsia="es-ES"/>
        </w:rPr>
        <w:lastRenderedPageBreak/>
        <w:t>Transparencia y Acceso a la Información Pública del Estado de México y Municipios, que establece lo siguiente:</w:t>
      </w:r>
    </w:p>
    <w:p w14:paraId="1F156C55" w14:textId="77777777"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r w:rsidRPr="00710467">
        <w:rPr>
          <w:rFonts w:ascii="Palatino Linotype" w:eastAsia="Times New Roman" w:hAnsi="Palatino Linotype" w:cs="Times New Roman"/>
          <w:sz w:val="24"/>
          <w:szCs w:val="24"/>
          <w:lang w:eastAsia="es-ES"/>
        </w:rPr>
        <w:t xml:space="preserve">“Artículo 180. El recurso de revisión contendrá: </w:t>
      </w:r>
    </w:p>
    <w:p w14:paraId="13E9B74C" w14:textId="77777777"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r w:rsidRPr="00710467">
        <w:rPr>
          <w:rFonts w:ascii="Palatino Linotype" w:eastAsia="Times New Roman" w:hAnsi="Palatino Linotype" w:cs="Times New Roman"/>
          <w:sz w:val="24"/>
          <w:szCs w:val="24"/>
          <w:lang w:eastAsia="es-ES"/>
        </w:rPr>
        <w:t xml:space="preserve">I. El sujeto obligado ante la cual se presentó la solicitud; </w:t>
      </w:r>
    </w:p>
    <w:p w14:paraId="08299DDA" w14:textId="77777777"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r w:rsidRPr="00710467">
        <w:rPr>
          <w:rFonts w:ascii="Palatino Linotype" w:eastAsia="Times New Roman" w:hAnsi="Palatino Linotype" w:cs="Times New Roman"/>
          <w:sz w:val="24"/>
          <w:szCs w:val="24"/>
          <w:lang w:eastAsia="es-ES"/>
        </w:rPr>
        <w:t xml:space="preserve">II. El nombre del solicitante que recurre o de su representante y, en su caso, del tercero interesado, así como la dirección o medio que señale para recibir notificaciones; </w:t>
      </w:r>
    </w:p>
    <w:p w14:paraId="3F99735C" w14:textId="77777777"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r w:rsidRPr="00710467">
        <w:rPr>
          <w:rFonts w:ascii="Palatino Linotype" w:eastAsia="Times New Roman" w:hAnsi="Palatino Linotype" w:cs="Times New Roman"/>
          <w:sz w:val="24"/>
          <w:szCs w:val="24"/>
          <w:lang w:eastAsia="es-ES"/>
        </w:rPr>
        <w:t>(…)” [Sic]</w:t>
      </w:r>
    </w:p>
    <w:p w14:paraId="7CEB6EFA" w14:textId="77777777"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p>
    <w:p w14:paraId="6F0D75DD" w14:textId="77C4A4D6"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r w:rsidRPr="00710467">
        <w:rPr>
          <w:rFonts w:ascii="Palatino Linotype" w:eastAsia="Times New Roman" w:hAnsi="Palatino Linotype" w:cs="Times New Roman"/>
          <w:sz w:val="24"/>
          <w:szCs w:val="24"/>
          <w:lang w:eastAsia="es-E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nombre de  </w:t>
      </w:r>
      <w:r w:rsidR="00081AB6">
        <w:rPr>
          <w:rFonts w:ascii="Palatino Linotype" w:eastAsia="Times New Roman" w:hAnsi="Palatino Linotype" w:cs="Times New Roman"/>
          <w:sz w:val="24"/>
          <w:szCs w:val="24"/>
          <w:lang w:eastAsia="es-ES"/>
        </w:rPr>
        <w:t>xxxxxxxxxxxxxxxxxxxxxxxxxxxxx</w:t>
      </w:r>
      <w:r w:rsidRPr="00710467">
        <w:rPr>
          <w:rFonts w:ascii="Palatino Linotype" w:eastAsia="Times New Roman" w:hAnsi="Palatino Linotype" w:cs="Times New Roman"/>
          <w:sz w:val="24"/>
          <w:szCs w:val="24"/>
          <w:lang w:eastAsia="es-ES"/>
        </w:rPr>
        <w:t>; por lo que no tiene certeza sobre su identidad, lo que en estricto sentido, no se colmarían los requisitos establecidos en el citado artículo 180 de la Ley de Transparencia.</w:t>
      </w:r>
    </w:p>
    <w:p w14:paraId="726F81AA" w14:textId="77777777"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bookmarkStart w:id="0" w:name="_GoBack"/>
      <w:bookmarkEnd w:id="0"/>
    </w:p>
    <w:p w14:paraId="3ACE43A1" w14:textId="77777777"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r w:rsidRPr="00710467">
        <w:rPr>
          <w:rFonts w:ascii="Palatino Linotype" w:eastAsia="Times New Roman" w:hAnsi="Palatino Linotype" w:cs="Times New Roman"/>
          <w:sz w:val="24"/>
          <w:szCs w:val="24"/>
          <w:lang w:eastAsia="es-E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w:t>
      </w:r>
      <w:r w:rsidRPr="00710467">
        <w:rPr>
          <w:rFonts w:ascii="Palatino Linotype" w:eastAsia="Times New Roman" w:hAnsi="Palatino Linotype" w:cs="Times New Roman"/>
          <w:sz w:val="24"/>
          <w:szCs w:val="24"/>
          <w:lang w:eastAsia="es-ES"/>
        </w:rPr>
        <w:lastRenderedPageBreak/>
        <w:t>prevé en su artículo 155, párrafo segundo la posibilidad de que las solicitudes de información sean anónimas, con nombre incompleto o seudónimo.</w:t>
      </w:r>
    </w:p>
    <w:p w14:paraId="16054E7C" w14:textId="77777777" w:rsidR="00710467" w:rsidRPr="00710467" w:rsidRDefault="00710467" w:rsidP="00710467">
      <w:pPr>
        <w:spacing w:after="0" w:line="360" w:lineRule="auto"/>
        <w:jc w:val="both"/>
        <w:rPr>
          <w:rFonts w:ascii="Palatino Linotype" w:eastAsia="Times New Roman" w:hAnsi="Palatino Linotype" w:cs="Times New Roman"/>
          <w:sz w:val="24"/>
          <w:szCs w:val="24"/>
          <w:lang w:eastAsia="es-ES"/>
        </w:rPr>
      </w:pPr>
    </w:p>
    <w:p w14:paraId="649080C2" w14:textId="64A09A1A" w:rsidR="00682325" w:rsidRDefault="00710467" w:rsidP="00710467">
      <w:pPr>
        <w:spacing w:after="0" w:line="360" w:lineRule="auto"/>
        <w:jc w:val="both"/>
        <w:rPr>
          <w:rFonts w:ascii="Palatino Linotype" w:hAnsi="Palatino Linotype"/>
        </w:rPr>
      </w:pPr>
      <w:r w:rsidRPr="00710467">
        <w:rPr>
          <w:rFonts w:ascii="Palatino Linotype" w:eastAsia="Times New Roman" w:hAnsi="Palatino Linotype" w:cs="Times New Roman"/>
          <w:sz w:val="24"/>
          <w:szCs w:val="24"/>
          <w:lang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C9721D" w14:textId="77777777" w:rsidR="00632B5D" w:rsidRDefault="00632B5D" w:rsidP="006D5803">
      <w:pPr>
        <w:tabs>
          <w:tab w:val="left" w:pos="709"/>
        </w:tabs>
        <w:spacing w:before="240" w:line="360" w:lineRule="auto"/>
        <w:ind w:right="51"/>
        <w:jc w:val="both"/>
        <w:rPr>
          <w:rFonts w:ascii="Palatino Linotype" w:hAnsi="Palatino Linotype"/>
          <w:b/>
          <w:sz w:val="28"/>
          <w:szCs w:val="28"/>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9C5553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w:t>
      </w:r>
      <w:r w:rsidR="00E55C65">
        <w:rPr>
          <w:rFonts w:ascii="Palatino Linotype" w:eastAsia="Times New Roman" w:hAnsi="Palatino Linotype" w:cs="Times New Roman"/>
          <w:sz w:val="24"/>
          <w:szCs w:val="24"/>
          <w:lang w:eastAsia="es-ES"/>
        </w:rPr>
        <w:t xml:space="preserve">su solicitud, en 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584718">
        <w:rPr>
          <w:lang w:eastAsia="es-ES"/>
        </w:rPr>
        <w:lastRenderedPageBreak/>
        <w:t>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0BA4F54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125DFA">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lastRenderedPageBreak/>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lastRenderedPageBreak/>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 xml:space="preserve">los artículos, 7 y 23, </w:t>
      </w:r>
      <w:r w:rsidRPr="00584718">
        <w:rPr>
          <w:rFonts w:ascii="Palatino Linotype" w:hAnsi="Palatino Linotype" w:cs="Arial"/>
        </w:rPr>
        <w:lastRenderedPageBreak/>
        <w:t>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1CAA76A" w14:textId="77777777" w:rsidR="000C6D4F" w:rsidRDefault="000C6D4F" w:rsidP="000C6D4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091F8A11" w14:textId="090905D2" w:rsidR="009E311E" w:rsidRPr="00B01B48" w:rsidRDefault="00632B5D" w:rsidP="000C6D4F">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C</w:t>
      </w:r>
      <w:r w:rsidRPr="00632B5D">
        <w:rPr>
          <w:rFonts w:ascii="Palatino Linotype" w:hAnsi="Palatino Linotype" w:cs="Arial"/>
        </w:rPr>
        <w:t>opia simple de los recibos de nómina de la Presidente Municipal, Síndico Municipal, Regidores, Secretario del Ayuntamiento, Contralor Municipal, Coordinadores, Titulares de Área, Directores, Subdirectores, Jefes de área, o sus equivalentes según corresponda</w:t>
      </w:r>
      <w:r w:rsidR="00B01B48">
        <w:rPr>
          <w:rFonts w:ascii="Palatino Linotype" w:hAnsi="Palatino Linotype" w:cs="Arial"/>
        </w:rPr>
        <w:t>, del quince al treinta y uno de diciembre de dos mil veintiuno, así como del primero al treinta y uno de enero de dos mil veintidós.</w:t>
      </w:r>
    </w:p>
    <w:p w14:paraId="3FF42AB6" w14:textId="01B2F4D8" w:rsidR="00BE72AE" w:rsidRDefault="00AA0BCD" w:rsidP="000C6D4F">
      <w:pPr>
        <w:pStyle w:val="Sinespaciado"/>
        <w:spacing w:line="360" w:lineRule="auto"/>
        <w:jc w:val="both"/>
        <w:rPr>
          <w:rFonts w:ascii="Palatino Linotype" w:hAnsi="Palatino Linotype" w:cs="Arial"/>
        </w:rPr>
      </w:pPr>
      <w:r>
        <w:rPr>
          <w:rFonts w:ascii="Palatino Linotype" w:hAnsi="Palatino Linotype" w:cs="Arial"/>
        </w:rPr>
        <w:t xml:space="preserve">En este sentido, resulta oportuno traer a colación </w:t>
      </w:r>
      <w:r w:rsidR="00740F1A">
        <w:rPr>
          <w:rFonts w:ascii="Palatino Linotype" w:hAnsi="Palatino Linotype" w:cs="Arial"/>
        </w:rPr>
        <w:t xml:space="preserve">los numerales </w:t>
      </w:r>
      <w:r w:rsidR="002F61C8">
        <w:rPr>
          <w:rFonts w:ascii="Palatino Linotype" w:hAnsi="Palatino Linotype" w:cs="Arial"/>
        </w:rPr>
        <w:t>44, fracciones III, V, apartado A,</w:t>
      </w:r>
      <w:r w:rsidR="00352862">
        <w:rPr>
          <w:rFonts w:ascii="Palatino Linotype" w:hAnsi="Palatino Linotype" w:cs="Arial"/>
        </w:rPr>
        <w:t xml:space="preserve"> </w:t>
      </w:r>
      <w:r w:rsidR="002C5559">
        <w:rPr>
          <w:rFonts w:ascii="Palatino Linotype" w:hAnsi="Palatino Linotype" w:cs="Arial"/>
        </w:rPr>
        <w:t xml:space="preserve">48, </w:t>
      </w:r>
      <w:r w:rsidR="00352862">
        <w:rPr>
          <w:rFonts w:ascii="Palatino Linotype" w:hAnsi="Palatino Linotype" w:cs="Arial"/>
        </w:rPr>
        <w:t>50</w:t>
      </w:r>
      <w:r w:rsidR="002F61C8">
        <w:rPr>
          <w:rFonts w:ascii="Palatino Linotype" w:hAnsi="Palatino Linotype" w:cs="Arial"/>
        </w:rPr>
        <w:t xml:space="preserve"> del Bando Municipal de Acolman</w:t>
      </w:r>
      <w:r w:rsidR="00AF60D6">
        <w:rPr>
          <w:rFonts w:ascii="Palatino Linotype" w:hAnsi="Palatino Linotype" w:cs="Arial"/>
        </w:rPr>
        <w:t xml:space="preserve">, porciones normativas que disponen </w:t>
      </w:r>
      <w:r w:rsidR="003E015B">
        <w:rPr>
          <w:rFonts w:ascii="Palatino Linotype" w:hAnsi="Palatino Linotype" w:cs="Arial"/>
        </w:rPr>
        <w:t>a la literalidad lo siguiente:</w:t>
      </w:r>
    </w:p>
    <w:p w14:paraId="1780304B" w14:textId="590FA09D" w:rsidR="002F61C8" w:rsidRDefault="003E015B" w:rsidP="002F61C8">
      <w:pPr>
        <w:pStyle w:val="Citas"/>
      </w:pPr>
      <w:r>
        <w:t>“</w:t>
      </w:r>
      <w:r w:rsidR="002F61C8" w:rsidRPr="00352862">
        <w:rPr>
          <w:b/>
        </w:rPr>
        <w:t>Artículo 44.</w:t>
      </w:r>
      <w:r w:rsidR="002F61C8">
        <w:t xml:space="preserve"> La Administración Pública Centralizada, es una de las formas de organización de la Administración Pública del Municipio de Acolman, Estado de México, cuyos órganos integrantes dependen del Ayuntamiento y están subordinados jerárquicamente al Presidente Municipal.</w:t>
      </w:r>
    </w:p>
    <w:p w14:paraId="2BC96B10" w14:textId="77777777" w:rsidR="002F61C8" w:rsidRPr="00352862" w:rsidRDefault="002F61C8" w:rsidP="002F61C8">
      <w:pPr>
        <w:pStyle w:val="Citas"/>
        <w:rPr>
          <w:b/>
          <w:u w:val="single"/>
        </w:rPr>
      </w:pPr>
      <w:r w:rsidRPr="00352862">
        <w:rPr>
          <w:b/>
          <w:u w:val="single"/>
        </w:rPr>
        <w:t>La Administración Pública Centralizada se integra por:</w:t>
      </w:r>
    </w:p>
    <w:p w14:paraId="691D1908" w14:textId="77777777" w:rsidR="002F61C8" w:rsidRDefault="002F61C8" w:rsidP="00352862">
      <w:pPr>
        <w:pStyle w:val="Citas"/>
        <w:ind w:left="1276"/>
      </w:pPr>
      <w:r>
        <w:t>I. Presidencia Municipal;</w:t>
      </w:r>
    </w:p>
    <w:p w14:paraId="1C56280B" w14:textId="77777777" w:rsidR="002F61C8" w:rsidRDefault="002F61C8" w:rsidP="00352862">
      <w:pPr>
        <w:pStyle w:val="Citas"/>
        <w:ind w:left="1560"/>
      </w:pPr>
      <w:r>
        <w:t>. Jefe de la Oficina de Presidencia;</w:t>
      </w:r>
    </w:p>
    <w:p w14:paraId="3D328462" w14:textId="304AE332" w:rsidR="00BE72AE" w:rsidRDefault="002F61C8" w:rsidP="00352862">
      <w:pPr>
        <w:pStyle w:val="Citas"/>
        <w:ind w:left="1560"/>
      </w:pPr>
      <w:r>
        <w:t>. Coordinación de Comunicación Social</w:t>
      </w:r>
      <w:r w:rsidR="00224557">
        <w:t>.</w:t>
      </w:r>
    </w:p>
    <w:p w14:paraId="18A121DD" w14:textId="77777777" w:rsidR="00352862" w:rsidRPr="00352862" w:rsidRDefault="00352862" w:rsidP="00352862">
      <w:pPr>
        <w:pStyle w:val="Citas"/>
        <w:ind w:left="1276"/>
        <w:rPr>
          <w:b/>
          <w:u w:val="single"/>
        </w:rPr>
      </w:pPr>
      <w:r w:rsidRPr="00352862">
        <w:rPr>
          <w:b/>
          <w:u w:val="single"/>
        </w:rPr>
        <w:t>III. Tesorería Municipal</w:t>
      </w:r>
    </w:p>
    <w:p w14:paraId="789CECA7" w14:textId="77777777" w:rsidR="00352862" w:rsidRDefault="00352862" w:rsidP="00352862">
      <w:pPr>
        <w:pStyle w:val="Citas"/>
        <w:ind w:left="1276"/>
      </w:pPr>
      <w:r>
        <w:lastRenderedPageBreak/>
        <w:t>IV. Contraloría Interna</w:t>
      </w:r>
    </w:p>
    <w:p w14:paraId="372FCCE9" w14:textId="77777777" w:rsidR="00352862" w:rsidRDefault="00352862" w:rsidP="00352862">
      <w:pPr>
        <w:pStyle w:val="Citas"/>
        <w:ind w:left="1560"/>
      </w:pPr>
      <w:r>
        <w:t>. Unidad de Asuntos Internos.</w:t>
      </w:r>
    </w:p>
    <w:p w14:paraId="3FD4E56E" w14:textId="77777777" w:rsidR="00352862" w:rsidRPr="00352862" w:rsidRDefault="00352862" w:rsidP="00352862">
      <w:pPr>
        <w:pStyle w:val="Citas"/>
        <w:ind w:left="1276"/>
        <w:rPr>
          <w:b/>
          <w:u w:val="single"/>
        </w:rPr>
      </w:pPr>
      <w:r w:rsidRPr="00352862">
        <w:rPr>
          <w:b/>
          <w:u w:val="single"/>
        </w:rPr>
        <w:t>V. Direcciones Administrativas</w:t>
      </w:r>
    </w:p>
    <w:p w14:paraId="65727E2E" w14:textId="77777777" w:rsidR="00352862" w:rsidRPr="00352862" w:rsidRDefault="00352862" w:rsidP="00352862">
      <w:pPr>
        <w:pStyle w:val="Citas"/>
        <w:ind w:left="1418"/>
        <w:rPr>
          <w:b/>
          <w:u w:val="single"/>
        </w:rPr>
      </w:pPr>
      <w:r w:rsidRPr="00352862">
        <w:rPr>
          <w:b/>
          <w:u w:val="single"/>
        </w:rPr>
        <w:t>a. Dirección de Administración</w:t>
      </w:r>
    </w:p>
    <w:p w14:paraId="745FA704" w14:textId="77777777" w:rsidR="00352862" w:rsidRDefault="00352862" w:rsidP="00352862">
      <w:pPr>
        <w:pStyle w:val="Citas"/>
        <w:ind w:left="1560"/>
      </w:pPr>
      <w:r>
        <w:t xml:space="preserve"> . Jefatura de Recursos Humanos;</w:t>
      </w:r>
    </w:p>
    <w:p w14:paraId="14972B68" w14:textId="77777777" w:rsidR="00352862" w:rsidRDefault="00352862" w:rsidP="00352862">
      <w:pPr>
        <w:pStyle w:val="Citas"/>
        <w:ind w:left="1560"/>
      </w:pPr>
      <w:r>
        <w:t xml:space="preserve"> . Jefatura de Control Vehicular y Mantenimiento; y</w:t>
      </w:r>
    </w:p>
    <w:p w14:paraId="0668FE71" w14:textId="77777777" w:rsidR="00352862" w:rsidRDefault="00352862" w:rsidP="00352862">
      <w:pPr>
        <w:pStyle w:val="Citas"/>
        <w:ind w:left="1560"/>
      </w:pPr>
      <w:r>
        <w:t xml:space="preserve"> . Jefatura de Sistemas;</w:t>
      </w:r>
    </w:p>
    <w:p w14:paraId="1C5A572B" w14:textId="50CEDCA5" w:rsidR="00352862" w:rsidRDefault="00352862" w:rsidP="00352862">
      <w:pPr>
        <w:pStyle w:val="Citas"/>
        <w:ind w:left="1418"/>
        <w:rPr>
          <w:b/>
          <w:bCs/>
          <w:u w:val="single"/>
        </w:rPr>
      </w:pPr>
      <w:r>
        <w:t>b. Dirección de Gobierno</w:t>
      </w:r>
      <w:r w:rsidR="00920464" w:rsidRPr="008365DC">
        <w:rPr>
          <w:b/>
          <w:bCs/>
          <w:u w:val="single"/>
        </w:rPr>
        <w:t>;</w:t>
      </w:r>
    </w:p>
    <w:p w14:paraId="793889B3" w14:textId="09078CD8" w:rsidR="002C5559" w:rsidRPr="008365DC" w:rsidRDefault="002C5559" w:rsidP="00352862">
      <w:pPr>
        <w:pStyle w:val="Citas"/>
        <w:ind w:left="1418"/>
        <w:rPr>
          <w:b/>
          <w:bCs/>
          <w:u w:val="single"/>
        </w:rPr>
      </w:pPr>
      <w:r>
        <w:t>(…)</w:t>
      </w:r>
    </w:p>
    <w:p w14:paraId="65FAC781" w14:textId="77777777" w:rsidR="002C5559" w:rsidRPr="002C5559" w:rsidRDefault="002C5559" w:rsidP="002C5559">
      <w:pPr>
        <w:pStyle w:val="Citas"/>
        <w:jc w:val="center"/>
        <w:rPr>
          <w:b/>
        </w:rPr>
      </w:pPr>
      <w:r w:rsidRPr="002C5559">
        <w:rPr>
          <w:b/>
        </w:rPr>
        <w:t>CAPÍTULO II: TESORERÍA</w:t>
      </w:r>
    </w:p>
    <w:p w14:paraId="27D917D4" w14:textId="489E4119" w:rsidR="002C5559" w:rsidRDefault="002C5559" w:rsidP="002C5559">
      <w:pPr>
        <w:pStyle w:val="Citas"/>
        <w:rPr>
          <w:b/>
        </w:rPr>
      </w:pPr>
      <w:r w:rsidRPr="002C5559">
        <w:rPr>
          <w:b/>
        </w:rPr>
        <w:t xml:space="preserve">Artículo 48. </w:t>
      </w:r>
      <w:r w:rsidRPr="002C5559">
        <w:t>Órgano encargado de la obtención y aplicación del recurso financiero de acuerdo con la</w:t>
      </w:r>
      <w:r>
        <w:t xml:space="preserve"> </w:t>
      </w:r>
      <w:r w:rsidRPr="002C5559">
        <w:t>Ley de Ingresos, Código Financiero del Estado de México y Municipios y</w:t>
      </w:r>
      <w:r>
        <w:t xml:space="preserve"> demás disposiciones aplicables </w:t>
      </w:r>
      <w:r w:rsidRPr="002C5559">
        <w:t>vigentes. El tesorero Municipal se encargará de recibir la Hacienda Pública de acuerdo con las previsiones</w:t>
      </w:r>
      <w:r>
        <w:t xml:space="preserve"> </w:t>
      </w:r>
      <w:r w:rsidRPr="002C5559">
        <w:t>a que se refiere el art 19 de la Ley Orgánica Municipal</w:t>
      </w:r>
      <w:r w:rsidRPr="002C5559">
        <w:rPr>
          <w:b/>
        </w:rPr>
        <w:t>.</w:t>
      </w:r>
    </w:p>
    <w:p w14:paraId="0C444708" w14:textId="77777777" w:rsidR="00352862" w:rsidRPr="00352862" w:rsidRDefault="00352862" w:rsidP="00352862">
      <w:pPr>
        <w:pStyle w:val="Citas"/>
        <w:jc w:val="center"/>
        <w:rPr>
          <w:b/>
        </w:rPr>
      </w:pPr>
      <w:r w:rsidRPr="00352862">
        <w:rPr>
          <w:b/>
        </w:rPr>
        <w:t>CAPÍTULO IV: DIRECCIÓN DE ADMINISTRACIÓN</w:t>
      </w:r>
    </w:p>
    <w:p w14:paraId="2AF38AFC" w14:textId="76C621B8" w:rsidR="00352862" w:rsidRDefault="00352862" w:rsidP="00352862">
      <w:pPr>
        <w:pStyle w:val="Citas"/>
      </w:pPr>
      <w:r w:rsidRPr="002C5559">
        <w:rPr>
          <w:b/>
        </w:rPr>
        <w:t>Artículo 50.</w:t>
      </w:r>
      <w:r>
        <w:t xml:space="preserve"> Es el área responsable de sistematizar los procedimientos de adquisición, arrendamiento de</w:t>
      </w:r>
      <w:r w:rsidR="002C5559">
        <w:t xml:space="preserve"> </w:t>
      </w:r>
      <w:r>
        <w:t>bienes muebles e inmuebles así como la contratación de servicios, median</w:t>
      </w:r>
      <w:r w:rsidR="002C5559">
        <w:t xml:space="preserve">te la planeación, organización, </w:t>
      </w:r>
      <w:r>
        <w:t>dirección y control de los recursos humanos, materiales y financieros, encaminados a satisfacer las</w:t>
      </w:r>
      <w:r w:rsidR="002C5559">
        <w:t xml:space="preserve"> </w:t>
      </w:r>
      <w:r>
        <w:t xml:space="preserve">necesidades </w:t>
      </w:r>
      <w:r>
        <w:lastRenderedPageBreak/>
        <w:t>esenciales de las dependencias de la Administración Pública Municipal a fin de lograr el</w:t>
      </w:r>
      <w:r w:rsidR="002C5559">
        <w:t xml:space="preserve"> </w:t>
      </w:r>
      <w:r>
        <w:t>óptimo desempeño de sus funciones</w:t>
      </w:r>
    </w:p>
    <w:p w14:paraId="4C7EA4D1" w14:textId="3CB82249" w:rsidR="008365DC" w:rsidRPr="00FB7D9E" w:rsidRDefault="008365DC" w:rsidP="00383B90">
      <w:pPr>
        <w:pStyle w:val="Citas"/>
        <w:rPr>
          <w:b/>
          <w:bCs/>
        </w:rPr>
      </w:pPr>
      <w:r>
        <w:t>(…)</w:t>
      </w:r>
      <w:r w:rsidR="00FB7D9E">
        <w:t xml:space="preserve">” </w:t>
      </w:r>
      <w:r w:rsidR="00FB7D9E">
        <w:rPr>
          <w:b/>
          <w:bCs/>
        </w:rPr>
        <w:t>[Sic]</w:t>
      </w:r>
    </w:p>
    <w:p w14:paraId="7668B0B7" w14:textId="77777777" w:rsidR="00D84156" w:rsidRPr="002460D1" w:rsidRDefault="00D84156" w:rsidP="00D84156">
      <w:pPr>
        <w:widowControl w:val="0"/>
        <w:tabs>
          <w:tab w:val="left" w:pos="1276"/>
        </w:tabs>
        <w:spacing w:after="0" w:line="360" w:lineRule="auto"/>
        <w:jc w:val="both"/>
        <w:rPr>
          <w:rFonts w:ascii="Palatino Linotype" w:hAnsi="Palatino Linotype" w:cs="Arial"/>
          <w:sz w:val="24"/>
          <w:szCs w:val="24"/>
        </w:rPr>
      </w:pPr>
      <w:r w:rsidRPr="004D10D1">
        <w:rPr>
          <w:rFonts w:ascii="Palatino Linotype" w:eastAsia="Palatino Linotype" w:hAnsi="Palatino Linotype" w:cs="Palatino Linotype"/>
          <w:sz w:val="24"/>
          <w:szCs w:val="24"/>
        </w:rPr>
        <w:t xml:space="preserve">En ese sentido, </w:t>
      </w:r>
      <w:r w:rsidRPr="00614253">
        <w:rPr>
          <w:rFonts w:ascii="Palatino Linotype" w:eastAsia="Palatino Linotype" w:hAnsi="Palatino Linotype" w:cs="Palatino Linotype"/>
          <w:b/>
          <w:sz w:val="24"/>
          <w:szCs w:val="24"/>
          <w:u w:val="single"/>
        </w:rPr>
        <w:t xml:space="preserve">deberán </w:t>
      </w:r>
      <w:r w:rsidRPr="00614253">
        <w:rPr>
          <w:rFonts w:ascii="Palatino Linotype" w:hAnsi="Palatino Linotype" w:cs="Arial"/>
          <w:b/>
          <w:sz w:val="24"/>
          <w:szCs w:val="24"/>
          <w:u w:val="single"/>
        </w:rPr>
        <w:t>entregarse los recibos de nómina o nómina de la primera quincena de enero de 2021 a la primera quincena de enero de 2022</w:t>
      </w:r>
      <w:r>
        <w:rPr>
          <w:rFonts w:ascii="Palatino Linotype" w:hAnsi="Palatino Linotype" w:cs="Arial"/>
          <w:b/>
          <w:sz w:val="24"/>
          <w:szCs w:val="24"/>
          <w:u w:val="single"/>
        </w:rPr>
        <w:t xml:space="preserve"> del personal sindicalizado descrito en el listado que se proporcionó</w:t>
      </w:r>
      <w:r w:rsidRPr="002460D1">
        <w:rPr>
          <w:rFonts w:ascii="Palatino Linotype" w:hAnsi="Palatino Linotype" w:cs="Arial"/>
          <w:sz w:val="24"/>
          <w:szCs w:val="24"/>
          <w:lang w:eastAsia="es-MX"/>
        </w:rPr>
        <w:t>; el</w:t>
      </w:r>
      <w:r w:rsidRPr="002460D1">
        <w:rPr>
          <w:rFonts w:ascii="Palatino Linotype" w:hAnsi="Palatino Linotype" w:cs="Arial"/>
          <w:sz w:val="24"/>
          <w:szCs w:val="24"/>
        </w:rPr>
        <w:t xml:space="preserve"> artículo 127 de la </w:t>
      </w:r>
      <w:r w:rsidRPr="002460D1">
        <w:rPr>
          <w:rFonts w:ascii="Palatino Linotype" w:hAnsi="Palatino Linotype" w:cs="Arial"/>
          <w:b/>
          <w:sz w:val="24"/>
          <w:szCs w:val="24"/>
        </w:rPr>
        <w:t>Constitución Política de los Estados Unidos Mexicanos</w:t>
      </w:r>
      <w:r w:rsidRPr="002460D1">
        <w:rPr>
          <w:rFonts w:ascii="Palatino Linotype" w:hAnsi="Palatino Linotype" w:cs="Arial"/>
          <w:sz w:val="24"/>
          <w:szCs w:val="24"/>
        </w:rPr>
        <w:t xml:space="preserve"> establece:</w:t>
      </w:r>
    </w:p>
    <w:p w14:paraId="29506394" w14:textId="77777777" w:rsidR="00D84156" w:rsidRPr="002460D1" w:rsidRDefault="00D84156" w:rsidP="00D84156">
      <w:pPr>
        <w:spacing w:line="360" w:lineRule="auto"/>
        <w:jc w:val="both"/>
        <w:rPr>
          <w:rFonts w:ascii="Palatino Linotype" w:hAnsi="Palatino Linotype"/>
          <w:sz w:val="24"/>
          <w:szCs w:val="24"/>
        </w:rPr>
      </w:pPr>
    </w:p>
    <w:p w14:paraId="0C08EB6D" w14:textId="77777777" w:rsidR="00D84156" w:rsidRPr="009235AB" w:rsidRDefault="00D84156" w:rsidP="00D84156">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b/>
          <w:i/>
          <w:color w:val="000000"/>
          <w:sz w:val="24"/>
          <w:szCs w:val="24"/>
        </w:rPr>
        <w:t>Artículo 127.</w:t>
      </w:r>
      <w:r w:rsidRPr="009235AB">
        <w:rPr>
          <w:rFonts w:ascii="Palatino Linotype" w:hAnsi="Palatino Linotype"/>
          <w:i/>
          <w:color w:val="000000"/>
          <w:sz w:val="24"/>
          <w:szCs w:val="24"/>
        </w:rPr>
        <w:t xml:space="preserve"> Los servidores públicos de la Federación, de los Estados, del Distrito Federal </w:t>
      </w:r>
      <w:r w:rsidRPr="009235AB">
        <w:rPr>
          <w:rFonts w:ascii="Palatino Linotype" w:hAnsi="Palatino Linotype"/>
          <w:b/>
          <w:i/>
          <w:color w:val="000000"/>
          <w:sz w:val="24"/>
          <w:szCs w:val="24"/>
        </w:rPr>
        <w:t>y de los Municipios</w:t>
      </w:r>
      <w:r w:rsidRPr="009235AB">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4D3C7316" w14:textId="77777777" w:rsidR="00D84156" w:rsidRPr="009235AB" w:rsidRDefault="00D84156" w:rsidP="00D84156">
      <w:pPr>
        <w:pStyle w:val="Texto"/>
        <w:spacing w:after="0" w:line="240" w:lineRule="auto"/>
        <w:ind w:left="851" w:right="992" w:firstLine="0"/>
        <w:rPr>
          <w:rFonts w:ascii="Palatino Linotype" w:hAnsi="Palatino Linotype"/>
          <w:i/>
          <w:color w:val="000000"/>
          <w:sz w:val="24"/>
          <w:szCs w:val="24"/>
        </w:rPr>
      </w:pPr>
    </w:p>
    <w:p w14:paraId="2317FF91" w14:textId="77777777" w:rsidR="00D84156" w:rsidRPr="009235AB" w:rsidRDefault="00D84156" w:rsidP="00D84156">
      <w:pPr>
        <w:pStyle w:val="Texto"/>
        <w:spacing w:after="0" w:line="240" w:lineRule="auto"/>
        <w:ind w:left="851" w:right="992" w:firstLine="0"/>
        <w:rPr>
          <w:rFonts w:ascii="Palatino Linotype" w:hAnsi="Palatino Linotype"/>
          <w:i/>
          <w:color w:val="000000"/>
          <w:sz w:val="24"/>
          <w:szCs w:val="24"/>
        </w:rPr>
      </w:pPr>
      <w:r w:rsidRPr="009235AB">
        <w:rPr>
          <w:rFonts w:ascii="Palatino Linotype" w:hAnsi="Palatino Linotype"/>
          <w:i/>
          <w:color w:val="000000"/>
          <w:sz w:val="24"/>
          <w:szCs w:val="24"/>
        </w:rPr>
        <w:t xml:space="preserve">Dicha remuneración será determinada anual y equitativamente </w:t>
      </w:r>
      <w:r w:rsidRPr="009235AB">
        <w:rPr>
          <w:rFonts w:ascii="Palatino Linotype" w:hAnsi="Palatino Linotype"/>
          <w:b/>
          <w:i/>
          <w:color w:val="000000"/>
          <w:sz w:val="24"/>
          <w:szCs w:val="24"/>
          <w:u w:val="single"/>
        </w:rPr>
        <w:t>en los presupuestos de egresos</w:t>
      </w:r>
      <w:r w:rsidRPr="009235AB">
        <w:rPr>
          <w:rFonts w:ascii="Palatino Linotype" w:hAnsi="Palatino Linotype"/>
          <w:i/>
          <w:color w:val="000000"/>
          <w:sz w:val="24"/>
          <w:szCs w:val="24"/>
        </w:rPr>
        <w:t xml:space="preserve"> correspondientes, bajo las siguientes bases:</w:t>
      </w:r>
    </w:p>
    <w:p w14:paraId="6AB418B8" w14:textId="77777777" w:rsidR="00D84156" w:rsidRPr="009235AB" w:rsidRDefault="00D84156" w:rsidP="00D84156">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I.</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1A2529C8" w14:textId="77777777" w:rsidR="00D84156" w:rsidRPr="009235AB" w:rsidRDefault="00D84156" w:rsidP="00D84156">
      <w:pPr>
        <w:pStyle w:val="Texto"/>
        <w:spacing w:after="0" w:line="240" w:lineRule="auto"/>
        <w:ind w:left="851" w:right="992" w:firstLine="0"/>
        <w:rPr>
          <w:rFonts w:ascii="Palatino Linotype" w:hAnsi="Palatino Linotype"/>
          <w:i/>
          <w:sz w:val="24"/>
          <w:szCs w:val="24"/>
        </w:rPr>
      </w:pPr>
    </w:p>
    <w:p w14:paraId="1EC09674" w14:textId="77777777" w:rsidR="00D84156" w:rsidRPr="009235AB" w:rsidRDefault="00D84156" w:rsidP="00D84156">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b/>
          <w:i/>
          <w:sz w:val="24"/>
          <w:szCs w:val="24"/>
        </w:rPr>
        <w:t>(…)</w:t>
      </w:r>
    </w:p>
    <w:p w14:paraId="5D58ADD7" w14:textId="77777777" w:rsidR="00D84156" w:rsidRPr="009235AB" w:rsidRDefault="00D84156" w:rsidP="00D84156">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w:t>
      </w:r>
      <w:r w:rsidRPr="009235AB">
        <w:rPr>
          <w:rFonts w:ascii="Palatino Linotype" w:hAnsi="Palatino Linotype"/>
          <w:i/>
          <w:sz w:val="24"/>
          <w:szCs w:val="24"/>
        </w:rPr>
        <w:t xml:space="preserve"> </w:t>
      </w:r>
      <w:r w:rsidRPr="009235AB">
        <w:rPr>
          <w:rFonts w:ascii="Palatino Linotype" w:hAnsi="Palatino Linotype"/>
          <w:i/>
          <w:sz w:val="24"/>
          <w:szCs w:val="24"/>
        </w:rPr>
        <w:tab/>
      </w:r>
      <w:r w:rsidRPr="009235AB">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2E11F8CF" w14:textId="77777777" w:rsidR="00D84156" w:rsidRPr="009235AB" w:rsidRDefault="00D84156" w:rsidP="00D84156">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14:paraId="0282DFAA" w14:textId="77777777" w:rsidR="00D84156" w:rsidRDefault="00D84156" w:rsidP="00D84156">
      <w:pPr>
        <w:pStyle w:val="Prrafodelista"/>
        <w:spacing w:line="360" w:lineRule="auto"/>
        <w:ind w:left="0"/>
        <w:jc w:val="both"/>
        <w:rPr>
          <w:rFonts w:ascii="Palatino Linotype" w:hAnsi="Palatino Linotype" w:cs="Arial"/>
        </w:rPr>
      </w:pPr>
    </w:p>
    <w:p w14:paraId="71CB34A7" w14:textId="77777777" w:rsidR="00D84156" w:rsidRPr="009235AB" w:rsidRDefault="00D84156" w:rsidP="00D84156">
      <w:pPr>
        <w:pStyle w:val="Prrafodelista"/>
        <w:spacing w:line="360" w:lineRule="auto"/>
        <w:ind w:left="0"/>
        <w:jc w:val="both"/>
        <w:rPr>
          <w:rFonts w:ascii="Palatino Linotype" w:hAnsi="Palatino Linotype" w:cs="Arial"/>
        </w:rPr>
      </w:pPr>
      <w:r w:rsidRPr="009235AB">
        <w:rPr>
          <w:rFonts w:ascii="Palatino Linotype" w:hAnsi="Palatino Linotype" w:cs="Arial"/>
        </w:rPr>
        <w:lastRenderedPageBreak/>
        <w:t xml:space="preserve">Ahora bien, respecto al tema materia de la solicitud, conviene precisar la definición de “nómina”; </w:t>
      </w:r>
      <w:r w:rsidRPr="009235AB">
        <w:rPr>
          <w:rFonts w:ascii="Palatino Linotype" w:hAnsi="Palatino Linotype" w:cs="Arial"/>
          <w:lang w:eastAsia="es-MX"/>
        </w:rPr>
        <w:t xml:space="preserve">de acuerdo al </w:t>
      </w:r>
      <w:r w:rsidRPr="009235AB">
        <w:rPr>
          <w:rFonts w:ascii="Palatino Linotype" w:hAnsi="Palatino Linotype"/>
        </w:rPr>
        <w:t>“</w:t>
      </w:r>
      <w:r w:rsidRPr="009235AB">
        <w:rPr>
          <w:rFonts w:ascii="Palatino Linotype" w:hAnsi="Palatino Linotype"/>
          <w:i/>
        </w:rPr>
        <w:t>Glosario de Términos Administrativos</w:t>
      </w:r>
      <w:r w:rsidRPr="009235AB">
        <w:rPr>
          <w:rFonts w:ascii="Palatino Linotype" w:hAnsi="Palatino Linotype"/>
        </w:rPr>
        <w:t>”</w:t>
      </w:r>
      <w:r w:rsidRPr="009235AB">
        <w:rPr>
          <w:rStyle w:val="Refdenotaalpie"/>
          <w:rFonts w:ascii="Palatino Linotype" w:hAnsi="Palatino Linotype"/>
        </w:rPr>
        <w:footnoteReference w:id="1"/>
      </w:r>
      <w:r w:rsidRPr="009235AB">
        <w:rPr>
          <w:rFonts w:ascii="Palatino Linotype" w:hAnsi="Palatino Linotype"/>
        </w:rPr>
        <w:t>, mismo que señala las siguientes definiciones</w:t>
      </w:r>
      <w:r w:rsidRPr="009235AB">
        <w:rPr>
          <w:rFonts w:ascii="Palatino Linotype" w:hAnsi="Palatino Linotype" w:cs="Arial"/>
          <w:lang w:eastAsia="es-MX"/>
        </w:rPr>
        <w:t>:</w:t>
      </w:r>
    </w:p>
    <w:p w14:paraId="1BAFD7D8" w14:textId="77777777" w:rsidR="00D84156" w:rsidRPr="009235AB" w:rsidRDefault="00D84156" w:rsidP="00D84156">
      <w:pPr>
        <w:pStyle w:val="Prrafodelista"/>
        <w:spacing w:line="360" w:lineRule="auto"/>
        <w:ind w:left="851"/>
        <w:jc w:val="both"/>
        <w:rPr>
          <w:rFonts w:ascii="Palatino Linotype" w:hAnsi="Palatino Linotype" w:cs="Arial"/>
        </w:rPr>
      </w:pPr>
    </w:p>
    <w:p w14:paraId="43F83689" w14:textId="77777777" w:rsidR="00D84156" w:rsidRPr="009235AB" w:rsidRDefault="00D84156" w:rsidP="00D84156">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9235AB">
        <w:rPr>
          <w:rFonts w:ascii="Palatino Linotype" w:hAnsi="Palatino Linotype" w:cs="Arial"/>
          <w:b/>
          <w:bCs/>
          <w:i/>
          <w:lang w:val="es-MX" w:eastAsia="es-MX"/>
        </w:rPr>
        <w:t xml:space="preserve">NÓMINA. </w:t>
      </w:r>
      <w:r w:rsidRPr="009235AB">
        <w:rPr>
          <w:rFonts w:ascii="Palatino Linotype" w:hAnsi="Palatino Linotype" w:cs="Arial"/>
          <w:i/>
          <w:lang w:val="es-MX" w:eastAsia="es-MX"/>
        </w:rPr>
        <w:t>Listado general de los trabajadores de una institución, en</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el cual se asientan las percepciones brutas, deducciones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alcance neto de las mismas; la nómina es utilizada para</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efectuar los pagos periódicos (semanales, quincenales o</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mensuales) a los trabajadores por concepto de sueldos y</w:t>
      </w:r>
      <w:r w:rsidRPr="009235AB">
        <w:rPr>
          <w:rFonts w:ascii="Palatino Linotype" w:hAnsi="Palatino Linotype" w:cs="Arial"/>
          <w:b/>
          <w:bCs/>
          <w:i/>
          <w:lang w:val="es-MX" w:eastAsia="es-MX"/>
        </w:rPr>
        <w:t xml:space="preserve"> </w:t>
      </w:r>
      <w:r w:rsidRPr="009235AB">
        <w:rPr>
          <w:rFonts w:ascii="Palatino Linotype" w:hAnsi="Palatino Linotype" w:cs="Arial"/>
          <w:i/>
          <w:lang w:val="es-MX" w:eastAsia="es-MX"/>
        </w:rPr>
        <w:t>salarios.</w:t>
      </w:r>
    </w:p>
    <w:p w14:paraId="24510109" w14:textId="77777777" w:rsidR="00D84156" w:rsidRPr="009235AB" w:rsidRDefault="00D84156" w:rsidP="00D84156">
      <w:pPr>
        <w:pStyle w:val="Prrafodelista"/>
        <w:spacing w:line="360" w:lineRule="auto"/>
        <w:ind w:left="851"/>
        <w:jc w:val="both"/>
        <w:rPr>
          <w:rFonts w:ascii="Palatino Linotype" w:hAnsi="Palatino Linotype" w:cs="Arial"/>
        </w:rPr>
      </w:pPr>
    </w:p>
    <w:p w14:paraId="52A172E3" w14:textId="77777777" w:rsidR="00D84156" w:rsidRDefault="00D84156" w:rsidP="00D84156">
      <w:pPr>
        <w:pStyle w:val="Prrafodelista"/>
        <w:spacing w:line="360" w:lineRule="auto"/>
        <w:ind w:left="0"/>
        <w:jc w:val="both"/>
        <w:rPr>
          <w:rFonts w:ascii="Palatino Linotype" w:hAnsi="Palatino Linotype" w:cs="Arial"/>
          <w:lang w:eastAsia="es-MX"/>
        </w:rPr>
      </w:pPr>
      <w:r w:rsidRPr="009235AB">
        <w:rPr>
          <w:rFonts w:ascii="Palatino Linotype" w:hAnsi="Palatino Linotype" w:cs="Arial"/>
        </w:rPr>
        <w:t>Aunado a ello</w:t>
      </w:r>
      <w:r w:rsidRPr="009235AB">
        <w:rPr>
          <w:rFonts w:ascii="Palatino Linotype" w:hAnsi="Palatino Linotype" w:cs="Arial"/>
          <w:lang w:eastAsia="es-MX"/>
        </w:rPr>
        <w:t xml:space="preserve"> el artículo 804 fracción II de la </w:t>
      </w:r>
      <w:r w:rsidRPr="009235AB">
        <w:rPr>
          <w:rFonts w:ascii="Palatino Linotype" w:hAnsi="Palatino Linotype" w:cs="Arial"/>
          <w:b/>
          <w:lang w:eastAsia="es-MX"/>
        </w:rPr>
        <w:t>Ley Federal de Trabajo</w:t>
      </w:r>
      <w:r w:rsidRPr="009235AB">
        <w:rPr>
          <w:rFonts w:ascii="Palatino Linotype" w:hAnsi="Palatino Linotype" w:cs="Arial"/>
          <w:lang w:eastAsia="es-MX"/>
        </w:rPr>
        <w:t>, refiere la obligación que tiene el patrón de conservar y exhibir en juicio entre otros documentos la nómina o recibos de pagos de salarios.</w:t>
      </w:r>
    </w:p>
    <w:p w14:paraId="16C14649" w14:textId="77777777" w:rsidR="00D84156" w:rsidRPr="009235AB" w:rsidRDefault="00D84156" w:rsidP="00D84156">
      <w:pPr>
        <w:pStyle w:val="Prrafodelista"/>
        <w:spacing w:line="360" w:lineRule="auto"/>
        <w:ind w:left="0"/>
        <w:jc w:val="both"/>
        <w:rPr>
          <w:rFonts w:ascii="Palatino Linotype" w:hAnsi="Palatino Linotype" w:cs="Arial"/>
        </w:rPr>
      </w:pPr>
    </w:p>
    <w:p w14:paraId="0FB20D81" w14:textId="77777777" w:rsidR="00D84156" w:rsidRPr="009235AB" w:rsidRDefault="00D84156" w:rsidP="00D84156">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b/>
          <w:bCs/>
          <w:i/>
          <w:sz w:val="24"/>
          <w:szCs w:val="24"/>
        </w:rPr>
        <w:t>Artículo 804.-</w:t>
      </w:r>
      <w:r w:rsidRPr="009235AB">
        <w:rPr>
          <w:rFonts w:ascii="Palatino Linotype" w:eastAsia="MS Mincho" w:hAnsi="Palatino Linotype" w:cs="Arial"/>
          <w:i/>
          <w:sz w:val="24"/>
          <w:szCs w:val="24"/>
        </w:rPr>
        <w:t xml:space="preserve"> El patrón tiene obligación de conservar y exhibir en juicio los documentos que a continuación se precisan:</w:t>
      </w:r>
    </w:p>
    <w:p w14:paraId="3CBCBD12" w14:textId="77777777" w:rsidR="00D84156" w:rsidRPr="009235AB" w:rsidRDefault="00D84156" w:rsidP="00D84156">
      <w:pPr>
        <w:pStyle w:val="Textosinformato"/>
        <w:tabs>
          <w:tab w:val="right" w:leader="dot" w:pos="8828"/>
        </w:tabs>
        <w:ind w:left="851" w:right="992" w:hanging="142"/>
        <w:jc w:val="both"/>
        <w:rPr>
          <w:rFonts w:ascii="Palatino Linotype" w:eastAsia="MS Mincho" w:hAnsi="Palatino Linotype" w:cs="Arial"/>
          <w:i/>
          <w:sz w:val="24"/>
          <w:szCs w:val="24"/>
        </w:rPr>
      </w:pPr>
      <w:r w:rsidRPr="009235AB">
        <w:rPr>
          <w:rFonts w:ascii="Palatino Linotype" w:eastAsia="MS Mincho" w:hAnsi="Palatino Linotype" w:cs="Arial"/>
          <w:i/>
          <w:sz w:val="24"/>
          <w:szCs w:val="24"/>
        </w:rPr>
        <w:t>(…)</w:t>
      </w:r>
    </w:p>
    <w:p w14:paraId="2FAE1FA6" w14:textId="77777777" w:rsidR="00D84156" w:rsidRPr="009235AB" w:rsidRDefault="00D84156" w:rsidP="00D84156">
      <w:pPr>
        <w:pStyle w:val="Textosinformato"/>
        <w:numPr>
          <w:ilvl w:val="0"/>
          <w:numId w:val="16"/>
        </w:numPr>
        <w:tabs>
          <w:tab w:val="right" w:leader="dot" w:pos="8828"/>
        </w:tabs>
        <w:ind w:left="851" w:right="992" w:hanging="142"/>
        <w:jc w:val="both"/>
        <w:rPr>
          <w:rFonts w:ascii="Palatino Linotype" w:eastAsia="MS Mincho" w:hAnsi="Palatino Linotype" w:cs="Arial"/>
          <w:i/>
          <w:sz w:val="24"/>
          <w:szCs w:val="24"/>
        </w:rPr>
      </w:pPr>
      <w:r w:rsidRPr="00BB36C5">
        <w:rPr>
          <w:rFonts w:ascii="Palatino Linotype" w:eastAsia="MS Mincho" w:hAnsi="Palatino Linotype" w:cs="Arial"/>
          <w:b/>
          <w:i/>
          <w:sz w:val="24"/>
          <w:szCs w:val="24"/>
          <w:u w:val="single"/>
        </w:rPr>
        <w:t>Listas de raya</w:t>
      </w:r>
      <w:r w:rsidRPr="009235AB">
        <w:rPr>
          <w:rFonts w:ascii="Palatino Linotype" w:eastAsia="MS Mincho" w:hAnsi="Palatino Linotype" w:cs="Arial"/>
          <w:b/>
          <w:i/>
          <w:sz w:val="24"/>
          <w:szCs w:val="24"/>
        </w:rPr>
        <w:t xml:space="preserve"> o nómina de personal, cuando se lleven en el centro de trabajo; </w:t>
      </w:r>
      <w:r w:rsidRPr="00BB36C5">
        <w:rPr>
          <w:rFonts w:ascii="Palatino Linotype" w:eastAsia="MS Mincho" w:hAnsi="Palatino Linotype" w:cs="Arial"/>
          <w:b/>
          <w:i/>
          <w:sz w:val="24"/>
          <w:szCs w:val="24"/>
          <w:u w:val="single"/>
        </w:rPr>
        <w:t>o recibos de pagos de salarios</w:t>
      </w:r>
      <w:r w:rsidRPr="009235AB">
        <w:rPr>
          <w:rFonts w:ascii="Palatino Linotype" w:eastAsia="MS Mincho" w:hAnsi="Palatino Linotype" w:cs="Arial"/>
          <w:i/>
          <w:sz w:val="24"/>
          <w:szCs w:val="24"/>
        </w:rPr>
        <w:t>;</w:t>
      </w:r>
      <w:r>
        <w:rPr>
          <w:rFonts w:ascii="Palatino Linotype" w:eastAsia="MS Mincho" w:hAnsi="Palatino Linotype" w:cs="Arial"/>
          <w:i/>
          <w:sz w:val="24"/>
          <w:szCs w:val="24"/>
        </w:rPr>
        <w:t>”</w:t>
      </w:r>
    </w:p>
    <w:p w14:paraId="4601016A" w14:textId="77777777" w:rsidR="00D84156" w:rsidRPr="009235AB" w:rsidRDefault="00D84156" w:rsidP="00D84156">
      <w:pPr>
        <w:spacing w:line="360" w:lineRule="auto"/>
        <w:jc w:val="both"/>
        <w:rPr>
          <w:rFonts w:ascii="Palatino Linotype" w:hAnsi="Palatino Linotype" w:cs="Arial"/>
        </w:rPr>
      </w:pPr>
    </w:p>
    <w:p w14:paraId="2FA01EBE" w14:textId="77777777" w:rsidR="00D84156" w:rsidRDefault="00D84156" w:rsidP="00D84156">
      <w:pPr>
        <w:spacing w:line="360" w:lineRule="auto"/>
        <w:jc w:val="both"/>
        <w:rPr>
          <w:rFonts w:ascii="Palatino Linotype" w:hAnsi="Palatino Linotype" w:cs="Arial"/>
        </w:rPr>
      </w:pPr>
      <w:r w:rsidRPr="009235AB">
        <w:rPr>
          <w:rFonts w:ascii="Palatino Linotype" w:hAnsi="Palatino Linotype" w:cs="Arial"/>
        </w:rPr>
        <w:t xml:space="preserve">En el mismo sentido, el </w:t>
      </w:r>
      <w:r w:rsidRPr="009235AB">
        <w:rPr>
          <w:rFonts w:ascii="Palatino Linotype" w:hAnsi="Palatino Linotype" w:cs="Arial"/>
          <w:bCs/>
        </w:rPr>
        <w:t xml:space="preserve">penúltimo párrafo del artículo 125 de la </w:t>
      </w:r>
      <w:r w:rsidRPr="009235AB">
        <w:rPr>
          <w:rFonts w:ascii="Palatino Linotype" w:hAnsi="Palatino Linotype" w:cs="Arial"/>
          <w:b/>
        </w:rPr>
        <w:t>Constitución Política del Estado Libre y Soberano de México</w:t>
      </w:r>
      <w:r w:rsidRPr="009235AB">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2CC833B2" w14:textId="77777777" w:rsidR="00D84156" w:rsidRPr="009235AB" w:rsidRDefault="00D84156" w:rsidP="00D84156">
      <w:pPr>
        <w:spacing w:line="360" w:lineRule="auto"/>
        <w:jc w:val="both"/>
        <w:rPr>
          <w:rFonts w:ascii="Palatino Linotype" w:hAnsi="Palatino Linotype" w:cs="Arial"/>
        </w:rPr>
      </w:pPr>
    </w:p>
    <w:p w14:paraId="1773F0E2" w14:textId="77777777" w:rsidR="00D84156" w:rsidRDefault="00D84156" w:rsidP="00D84156">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su parte, el artículo 147 de la </w:t>
      </w:r>
      <w:r w:rsidRPr="009235AB">
        <w:rPr>
          <w:rFonts w:ascii="Palatino Linotype" w:hAnsi="Palatino Linotype" w:cs="Arial"/>
          <w:b/>
        </w:rPr>
        <w:t>Constitución Política del Estado Libre y Soberano de México</w:t>
      </w:r>
      <w:r w:rsidRPr="009235AB">
        <w:rPr>
          <w:rFonts w:ascii="Palatino Linotype" w:hAnsi="Palatino Linotype" w:cs="Arial"/>
        </w:rPr>
        <w:t xml:space="preserve"> dispone en lo relativo a las remuneraciones de los servidores públicos estatales y municipales lo siguiente:</w:t>
      </w:r>
    </w:p>
    <w:p w14:paraId="55ECD0F0" w14:textId="77777777" w:rsidR="00D84156" w:rsidRPr="009235AB" w:rsidRDefault="00D84156" w:rsidP="00D84156">
      <w:pPr>
        <w:pStyle w:val="Prrafodelista"/>
        <w:spacing w:line="360" w:lineRule="auto"/>
        <w:ind w:left="0"/>
        <w:jc w:val="both"/>
        <w:rPr>
          <w:rFonts w:ascii="Palatino Linotype" w:hAnsi="Palatino Linotype" w:cs="Arial"/>
        </w:rPr>
      </w:pPr>
    </w:p>
    <w:p w14:paraId="791861EC" w14:textId="77777777" w:rsidR="00D84156" w:rsidRPr="009235AB" w:rsidRDefault="00D84156" w:rsidP="00D84156">
      <w:pPr>
        <w:ind w:left="851" w:right="992"/>
        <w:jc w:val="both"/>
        <w:rPr>
          <w:rFonts w:ascii="Palatino Linotype" w:hAnsi="Palatino Linotype"/>
          <w:i/>
        </w:rPr>
      </w:pPr>
      <w:r w:rsidRPr="009235AB">
        <w:rPr>
          <w:rFonts w:ascii="Palatino Linotype" w:hAnsi="Palatino Linotype"/>
          <w:b/>
          <w:i/>
        </w:rPr>
        <w:t>Artículo 147</w:t>
      </w:r>
      <w:r w:rsidRPr="009235AB">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235AB">
        <w:rPr>
          <w:rFonts w:ascii="Palatino Linotype" w:hAnsi="Palatino Linotype"/>
          <w:b/>
          <w:i/>
          <w:u w:val="single"/>
        </w:rPr>
        <w:t>los miembros de los ayuntamientos</w:t>
      </w:r>
      <w:r w:rsidRPr="009235AB">
        <w:rPr>
          <w:rFonts w:ascii="Palatino Linotype" w:hAnsi="Palatino Linotype"/>
          <w:i/>
        </w:rPr>
        <w:t xml:space="preserve"> y demás servidores públicos municipales recibirán una retribución adecuada e irrenunciable por el desempeño de su empleo, cargo o comisión, que será determinada </w:t>
      </w:r>
      <w:r w:rsidRPr="009235AB">
        <w:rPr>
          <w:rFonts w:ascii="Palatino Linotype" w:hAnsi="Palatino Linotype"/>
          <w:b/>
          <w:i/>
          <w:u w:val="single"/>
        </w:rPr>
        <w:t>en el presupuesto de egresos</w:t>
      </w:r>
      <w:r w:rsidRPr="009235AB">
        <w:rPr>
          <w:rFonts w:ascii="Palatino Linotype" w:hAnsi="Palatino Linotype"/>
          <w:i/>
        </w:rPr>
        <w:t xml:space="preserve"> que corresponda. </w:t>
      </w:r>
      <w:r w:rsidRPr="009235AB">
        <w:rPr>
          <w:rFonts w:ascii="Palatino Linotype" w:hAnsi="Palatino Linotype"/>
          <w:b/>
          <w:i/>
        </w:rPr>
        <w:t>Las remuneraciones</w:t>
      </w:r>
      <w:r w:rsidRPr="009235AB">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9235AB">
        <w:rPr>
          <w:rFonts w:ascii="Palatino Linotype" w:hAnsi="Palatino Linotype"/>
          <w:b/>
          <w:i/>
        </w:rPr>
        <w:t>La remuneración será determinada anual y equitativamente</w:t>
      </w:r>
      <w:r w:rsidRPr="009235AB">
        <w:rPr>
          <w:rFonts w:ascii="Palatino Linotype" w:hAnsi="Palatino Linotype"/>
          <w:i/>
        </w:rPr>
        <w:t xml:space="preserve"> en el Presupuesto de Egresos correspondiente bajo las bases siguientes: </w:t>
      </w:r>
    </w:p>
    <w:p w14:paraId="377199AA" w14:textId="77777777" w:rsidR="00D84156" w:rsidRPr="009235AB" w:rsidRDefault="00D84156" w:rsidP="00D84156">
      <w:pPr>
        <w:pStyle w:val="Prrafodelista"/>
        <w:ind w:left="851" w:right="992"/>
        <w:jc w:val="both"/>
        <w:rPr>
          <w:rFonts w:ascii="Palatino Linotype" w:hAnsi="Palatino Linotype"/>
          <w:i/>
        </w:rPr>
      </w:pPr>
      <w:r w:rsidRPr="009235AB">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1C20DD36" w14:textId="77777777" w:rsidR="00D84156" w:rsidRPr="009235AB" w:rsidRDefault="00D84156" w:rsidP="00D84156">
      <w:pPr>
        <w:pStyle w:val="Prrafodelista"/>
        <w:ind w:left="851" w:right="992"/>
        <w:jc w:val="both"/>
        <w:rPr>
          <w:rFonts w:ascii="Palatino Linotype" w:hAnsi="Palatino Linotype" w:cs="Arial"/>
          <w:bCs/>
          <w:i/>
        </w:rPr>
      </w:pPr>
      <w:r w:rsidRPr="009235AB">
        <w:rPr>
          <w:rFonts w:ascii="Palatino Linotype" w:hAnsi="Palatino Linotype" w:cs="Arial"/>
          <w:bCs/>
          <w:i/>
        </w:rPr>
        <w:t>(…)</w:t>
      </w:r>
    </w:p>
    <w:p w14:paraId="33D31AEA" w14:textId="77777777" w:rsidR="00D84156" w:rsidRPr="009235AB" w:rsidRDefault="00D84156" w:rsidP="00D84156">
      <w:pPr>
        <w:pStyle w:val="Prrafodelista"/>
        <w:ind w:left="851" w:right="992"/>
        <w:rPr>
          <w:rFonts w:ascii="Palatino Linotype" w:hAnsi="Palatino Linotype" w:cs="Arial"/>
          <w:bCs/>
          <w:i/>
        </w:rPr>
      </w:pPr>
      <w:r w:rsidRPr="009235AB">
        <w:rPr>
          <w:rFonts w:ascii="Palatino Linotype" w:hAnsi="Palatino Linotype"/>
          <w:i/>
        </w:rPr>
        <w:t xml:space="preserve">V. Las remuneraciones y sus tabuladores </w:t>
      </w:r>
      <w:r w:rsidRPr="009235AB">
        <w:rPr>
          <w:rFonts w:ascii="Palatino Linotype" w:hAnsi="Palatino Linotype"/>
          <w:b/>
          <w:i/>
        </w:rPr>
        <w:t>serán públicos</w:t>
      </w:r>
      <w:r w:rsidRPr="009235AB">
        <w:rPr>
          <w:rFonts w:ascii="Palatino Linotype" w:hAnsi="Palatino Linotype"/>
          <w:i/>
        </w:rPr>
        <w:t>, y deberán especificar y diferenciar la totalidad de sus elementos fijos y variables tanto en efectivo como en especie.</w:t>
      </w:r>
    </w:p>
    <w:p w14:paraId="44BC429F" w14:textId="77777777" w:rsidR="00D84156" w:rsidRPr="009235AB" w:rsidRDefault="00D84156" w:rsidP="00D84156">
      <w:pPr>
        <w:pStyle w:val="Prrafodelista"/>
        <w:spacing w:line="360" w:lineRule="auto"/>
        <w:ind w:left="851"/>
        <w:jc w:val="both"/>
        <w:rPr>
          <w:rFonts w:ascii="Palatino Linotype" w:hAnsi="Palatino Linotype" w:cs="Arial"/>
        </w:rPr>
      </w:pPr>
    </w:p>
    <w:p w14:paraId="0554AFC6" w14:textId="77777777" w:rsidR="00D84156" w:rsidRPr="009235AB" w:rsidRDefault="00D84156" w:rsidP="00D84156">
      <w:pPr>
        <w:pStyle w:val="Prrafodelista"/>
        <w:spacing w:line="360" w:lineRule="auto"/>
        <w:ind w:left="0"/>
        <w:jc w:val="both"/>
        <w:rPr>
          <w:rFonts w:ascii="Palatino Linotype" w:hAnsi="Palatino Linotype" w:cs="Arial"/>
        </w:rPr>
      </w:pPr>
      <w:r w:rsidRPr="009235AB">
        <w:rPr>
          <w:rFonts w:ascii="Palatino Linotype" w:hAnsi="Palatino Linotype" w:cs="Arial"/>
          <w:bCs/>
        </w:rPr>
        <w:t xml:space="preserve">Al respecto, el </w:t>
      </w:r>
      <w:r w:rsidRPr="009235AB">
        <w:rPr>
          <w:rFonts w:ascii="Palatino Linotype" w:hAnsi="Palatino Linotype" w:cs="Arial"/>
        </w:rPr>
        <w:t xml:space="preserve">artículo 3, fracción XXXII del </w:t>
      </w:r>
      <w:r w:rsidRPr="009235AB">
        <w:rPr>
          <w:rFonts w:ascii="Palatino Linotype" w:hAnsi="Palatino Linotype" w:cs="Arial"/>
          <w:b/>
        </w:rPr>
        <w:t xml:space="preserve">Código Financiero del Estado de México y Municipios </w:t>
      </w:r>
      <w:r w:rsidRPr="009235AB">
        <w:rPr>
          <w:rFonts w:ascii="Palatino Linotype" w:hAnsi="Palatino Linotype" w:cs="Arial"/>
        </w:rPr>
        <w:t>establece lo siguiente:</w:t>
      </w:r>
    </w:p>
    <w:p w14:paraId="1CE7E286" w14:textId="77777777" w:rsidR="00D84156" w:rsidRPr="009235AB" w:rsidRDefault="00D84156" w:rsidP="00D84156">
      <w:pPr>
        <w:pStyle w:val="Prrafodelista"/>
        <w:spacing w:line="360" w:lineRule="auto"/>
        <w:ind w:left="567" w:right="567"/>
        <w:jc w:val="both"/>
        <w:rPr>
          <w:rFonts w:ascii="Palatino Linotype" w:hAnsi="Palatino Linotype" w:cs="Arial"/>
        </w:rPr>
      </w:pPr>
    </w:p>
    <w:p w14:paraId="06E9ECE0" w14:textId="77777777" w:rsidR="00D84156" w:rsidRPr="009235AB" w:rsidRDefault="00D84156" w:rsidP="00D84156">
      <w:pPr>
        <w:pStyle w:val="Prrafodelista"/>
        <w:ind w:left="851" w:right="992"/>
        <w:jc w:val="both"/>
        <w:rPr>
          <w:rFonts w:ascii="Palatino Linotype" w:hAnsi="Palatino Linotype" w:cs="Arial"/>
          <w:bCs/>
          <w:i/>
        </w:rPr>
      </w:pPr>
      <w:r w:rsidRPr="009235AB">
        <w:rPr>
          <w:rFonts w:ascii="Palatino Linotype" w:hAnsi="Palatino Linotype" w:cs="Arial"/>
          <w:b/>
          <w:bCs/>
          <w:i/>
        </w:rPr>
        <w:lastRenderedPageBreak/>
        <w:t>Artículo 3.-</w:t>
      </w:r>
      <w:r w:rsidRPr="009235AB">
        <w:rPr>
          <w:rFonts w:ascii="Palatino Linotype" w:hAnsi="Palatino Linotype" w:cs="Arial"/>
          <w:bCs/>
          <w:i/>
        </w:rPr>
        <w:t xml:space="preserve"> Para efectos de este Código, Ley de Ingresos del Estado y del Presupuesto de Egresos se entenderá por:</w:t>
      </w:r>
    </w:p>
    <w:p w14:paraId="5730F7B5" w14:textId="77777777" w:rsidR="00D84156" w:rsidRPr="009235AB" w:rsidRDefault="00D84156" w:rsidP="00D84156">
      <w:pPr>
        <w:pStyle w:val="Prrafodelista"/>
        <w:ind w:left="851" w:right="992"/>
        <w:jc w:val="both"/>
        <w:rPr>
          <w:rFonts w:ascii="Palatino Linotype" w:hAnsi="Palatino Linotype" w:cs="Arial"/>
          <w:bCs/>
          <w:i/>
        </w:rPr>
      </w:pPr>
      <w:r w:rsidRPr="009235AB">
        <w:rPr>
          <w:rFonts w:ascii="Palatino Linotype" w:hAnsi="Palatino Linotype" w:cs="Arial"/>
          <w:bCs/>
          <w:i/>
        </w:rPr>
        <w:t>(…)</w:t>
      </w:r>
    </w:p>
    <w:p w14:paraId="0C9BCCA6" w14:textId="77777777" w:rsidR="00D84156" w:rsidRPr="009235AB" w:rsidRDefault="00D84156" w:rsidP="00D84156">
      <w:pPr>
        <w:pStyle w:val="Prrafodelista"/>
        <w:ind w:left="851" w:right="992"/>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006B360" w14:textId="77777777" w:rsidR="00D84156" w:rsidRPr="009235AB" w:rsidRDefault="00D84156" w:rsidP="00D84156">
      <w:pPr>
        <w:pStyle w:val="Prrafodelista"/>
        <w:ind w:left="851" w:right="992"/>
        <w:jc w:val="both"/>
        <w:rPr>
          <w:rFonts w:ascii="Palatino Linotype" w:hAnsi="Palatino Linotype"/>
          <w:b/>
          <w:i/>
        </w:rPr>
      </w:pPr>
      <w:r w:rsidRPr="009235AB">
        <w:rPr>
          <w:rFonts w:ascii="Palatino Linotype" w:hAnsi="Palatino Linotype"/>
          <w:b/>
          <w:i/>
        </w:rPr>
        <w:t>(…)</w:t>
      </w:r>
    </w:p>
    <w:p w14:paraId="2C1C571F" w14:textId="77777777" w:rsidR="00D84156" w:rsidRPr="009235AB" w:rsidRDefault="00D84156" w:rsidP="00D84156">
      <w:pPr>
        <w:pStyle w:val="Prrafodelista"/>
        <w:spacing w:line="360" w:lineRule="auto"/>
        <w:ind w:left="0"/>
        <w:jc w:val="both"/>
        <w:rPr>
          <w:rFonts w:ascii="Palatino Linotype" w:hAnsi="Palatino Linotype" w:cs="Arial"/>
        </w:rPr>
      </w:pPr>
    </w:p>
    <w:p w14:paraId="564713A8" w14:textId="77777777" w:rsidR="00D84156" w:rsidRPr="009235AB" w:rsidRDefault="00D84156" w:rsidP="00D84156">
      <w:pPr>
        <w:pStyle w:val="Prrafodelista"/>
        <w:spacing w:line="360" w:lineRule="auto"/>
        <w:ind w:left="0"/>
        <w:jc w:val="both"/>
        <w:rPr>
          <w:rFonts w:ascii="Palatino Linotype" w:hAnsi="Palatino Linotype" w:cs="Arial"/>
        </w:rPr>
      </w:pPr>
      <w:r w:rsidRPr="009235AB">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7FC9F43C" w14:textId="77777777" w:rsidR="00D84156" w:rsidRPr="009235AB" w:rsidRDefault="00D84156" w:rsidP="00D84156">
      <w:pPr>
        <w:pStyle w:val="Prrafodelista"/>
        <w:spacing w:line="360" w:lineRule="auto"/>
        <w:ind w:left="0"/>
        <w:jc w:val="both"/>
        <w:rPr>
          <w:rFonts w:ascii="Palatino Linotype" w:hAnsi="Palatino Linotype" w:cs="Arial"/>
        </w:rPr>
      </w:pPr>
    </w:p>
    <w:p w14:paraId="01ABAAB2" w14:textId="77777777" w:rsidR="00D84156" w:rsidRDefault="00D84156" w:rsidP="00D84156">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31C01CBF" w14:textId="77777777" w:rsidR="00D84156" w:rsidRPr="009235AB" w:rsidRDefault="00D84156" w:rsidP="00D84156">
      <w:pPr>
        <w:pStyle w:val="Prrafodelista"/>
        <w:spacing w:line="360" w:lineRule="auto"/>
        <w:ind w:left="0"/>
        <w:jc w:val="both"/>
        <w:rPr>
          <w:rFonts w:ascii="Palatino Linotype" w:hAnsi="Palatino Linotype" w:cs="Arial"/>
        </w:rPr>
      </w:pPr>
    </w:p>
    <w:p w14:paraId="321B9A11" w14:textId="77777777" w:rsidR="00D84156" w:rsidRPr="009235AB" w:rsidRDefault="00D84156" w:rsidP="00D84156">
      <w:pPr>
        <w:spacing w:line="360" w:lineRule="auto"/>
        <w:ind w:left="851" w:right="992"/>
        <w:jc w:val="both"/>
        <w:rPr>
          <w:rFonts w:ascii="Palatino Linotype" w:hAnsi="Palatino Linotype"/>
          <w:bCs/>
          <w:i/>
        </w:rPr>
      </w:pPr>
      <w:r w:rsidRPr="009235AB">
        <w:rPr>
          <w:rFonts w:ascii="Palatino Linotype" w:hAnsi="Palatino Linotype"/>
          <w:b/>
          <w:bCs/>
          <w:i/>
        </w:rPr>
        <w:t>ARTÍCULO 220 K.-</w:t>
      </w:r>
      <w:r w:rsidRPr="009235AB">
        <w:rPr>
          <w:rFonts w:ascii="Palatino Linotype" w:hAnsi="Palatino Linotype"/>
          <w:bCs/>
          <w:i/>
        </w:rPr>
        <w:t xml:space="preserve"> La institución o dependencia pública tiene la obligación de conservar y exhibir en el proceso los documentos que a continuación se precisan:</w:t>
      </w:r>
    </w:p>
    <w:p w14:paraId="67F23E03" w14:textId="77777777" w:rsidR="00D84156" w:rsidRPr="009235AB" w:rsidRDefault="00D84156" w:rsidP="00D84156">
      <w:pPr>
        <w:spacing w:line="360" w:lineRule="auto"/>
        <w:ind w:left="851" w:right="992"/>
        <w:jc w:val="both"/>
        <w:rPr>
          <w:rFonts w:ascii="Palatino Linotype" w:hAnsi="Palatino Linotype"/>
          <w:bCs/>
          <w:i/>
        </w:rPr>
      </w:pPr>
      <w:r w:rsidRPr="009235AB">
        <w:rPr>
          <w:rFonts w:ascii="Palatino Linotype" w:hAnsi="Palatino Linotype"/>
          <w:b/>
          <w:bCs/>
          <w:i/>
        </w:rPr>
        <w:t>II.</w:t>
      </w:r>
      <w:r w:rsidRPr="009235AB">
        <w:rPr>
          <w:rFonts w:ascii="Palatino Linotype" w:hAnsi="Palatino Linotype"/>
          <w:bCs/>
          <w:i/>
        </w:rPr>
        <w:t xml:space="preserve"> </w:t>
      </w:r>
      <w:r w:rsidRPr="009235AB">
        <w:rPr>
          <w:rFonts w:ascii="Palatino Linotype" w:hAnsi="Palatino Linotype"/>
          <w:b/>
          <w:bCs/>
          <w:i/>
        </w:rPr>
        <w:t>Recibos de pagos de salarios</w:t>
      </w:r>
      <w:r w:rsidRPr="009235AB">
        <w:rPr>
          <w:rFonts w:ascii="Palatino Linotype" w:hAnsi="Palatino Linotype"/>
          <w:bCs/>
          <w:i/>
        </w:rPr>
        <w:t xml:space="preserve"> o las constancias documentales del pago de salario cuando sea por depósito o mediante información electrónica;</w:t>
      </w:r>
    </w:p>
    <w:p w14:paraId="5341F000" w14:textId="77777777" w:rsidR="00D84156" w:rsidRPr="009235AB" w:rsidRDefault="00D84156" w:rsidP="00D84156">
      <w:pPr>
        <w:spacing w:line="360" w:lineRule="auto"/>
        <w:ind w:left="851" w:right="992"/>
        <w:jc w:val="both"/>
        <w:rPr>
          <w:rFonts w:ascii="Palatino Linotype" w:hAnsi="Palatino Linotype"/>
          <w:b/>
          <w:bCs/>
          <w:i/>
        </w:rPr>
      </w:pPr>
      <w:r w:rsidRPr="009235AB">
        <w:rPr>
          <w:rFonts w:ascii="Palatino Linotype" w:hAnsi="Palatino Linotype"/>
          <w:b/>
          <w:bCs/>
          <w:i/>
        </w:rPr>
        <w:t>(…)</w:t>
      </w:r>
    </w:p>
    <w:p w14:paraId="23A113F5" w14:textId="77777777" w:rsidR="00D84156" w:rsidRPr="009235AB" w:rsidRDefault="00D84156" w:rsidP="00D84156">
      <w:pPr>
        <w:spacing w:line="360" w:lineRule="auto"/>
        <w:ind w:left="851" w:right="992"/>
        <w:jc w:val="both"/>
        <w:rPr>
          <w:rFonts w:ascii="Palatino Linotype" w:hAnsi="Palatino Linotype"/>
          <w:b/>
          <w:bCs/>
          <w:i/>
        </w:rPr>
      </w:pPr>
      <w:r w:rsidRPr="009235AB">
        <w:rPr>
          <w:rFonts w:ascii="Palatino Linotype" w:hAnsi="Palatino Linotype"/>
          <w:b/>
          <w:bCs/>
          <w:i/>
        </w:rPr>
        <w:lastRenderedPageBreak/>
        <w:t>IV.</w:t>
      </w:r>
      <w:r w:rsidRPr="009235AB">
        <w:rPr>
          <w:rFonts w:ascii="Palatino Linotype" w:hAnsi="Palatino Linotype"/>
          <w:bCs/>
          <w:i/>
        </w:rPr>
        <w:t xml:space="preserve"> </w:t>
      </w:r>
      <w:r w:rsidRPr="009235AB">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75875D51" w14:textId="77777777" w:rsidR="00D84156" w:rsidRPr="009235AB" w:rsidRDefault="00D84156" w:rsidP="00D84156">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6513D8EC" w14:textId="77777777" w:rsidR="00D84156" w:rsidRPr="009235AB" w:rsidRDefault="00D84156" w:rsidP="00D84156">
      <w:pPr>
        <w:pStyle w:val="Prrafodelista"/>
        <w:spacing w:line="360" w:lineRule="auto"/>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4575B02C" w14:textId="77777777" w:rsidR="00D84156" w:rsidRPr="009235AB" w:rsidRDefault="00D84156" w:rsidP="00D84156">
      <w:pPr>
        <w:pStyle w:val="Prrafodelista"/>
        <w:spacing w:line="360" w:lineRule="auto"/>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4EF46B0A" w14:textId="77777777" w:rsidR="00D84156" w:rsidRPr="008C7559" w:rsidRDefault="00D84156" w:rsidP="00D84156">
      <w:pPr>
        <w:pStyle w:val="Prrafodelista"/>
        <w:spacing w:line="360" w:lineRule="auto"/>
        <w:ind w:left="851"/>
        <w:jc w:val="both"/>
        <w:rPr>
          <w:rFonts w:ascii="Palatino Linotype" w:hAnsi="Palatino Linotype" w:cs="Arial"/>
        </w:rPr>
      </w:pPr>
    </w:p>
    <w:p w14:paraId="11BB3D6C" w14:textId="77777777" w:rsidR="00D84156" w:rsidRPr="008C7559" w:rsidRDefault="00D84156" w:rsidP="00D84156">
      <w:pPr>
        <w:pStyle w:val="Prrafodelista"/>
        <w:spacing w:line="360" w:lineRule="auto"/>
        <w:ind w:left="0"/>
        <w:jc w:val="both"/>
        <w:rPr>
          <w:rFonts w:ascii="Palatino Linotype" w:hAnsi="Palatino Linotype" w:cs="Arial"/>
        </w:rPr>
      </w:pPr>
      <w:r w:rsidRPr="008C7559">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w:t>
      </w:r>
      <w:r w:rsidRPr="008C7559">
        <w:rPr>
          <w:rFonts w:ascii="Palatino Linotype" w:hAnsi="Palatino Linotype" w:cs="Arial"/>
        </w:rPr>
        <w:lastRenderedPageBreak/>
        <w:t>laboral a través de los sistemas de digitalización o de información magnética o electrónica.</w:t>
      </w:r>
    </w:p>
    <w:p w14:paraId="57300318" w14:textId="77777777" w:rsidR="00D84156" w:rsidRPr="008C7559" w:rsidRDefault="00D84156" w:rsidP="00D84156">
      <w:pPr>
        <w:pStyle w:val="Prrafodelista"/>
        <w:spacing w:line="360" w:lineRule="auto"/>
        <w:ind w:left="0"/>
        <w:jc w:val="both"/>
        <w:rPr>
          <w:rFonts w:ascii="Palatino Linotype" w:hAnsi="Palatino Linotype" w:cs="Arial"/>
        </w:rPr>
      </w:pPr>
    </w:p>
    <w:p w14:paraId="67F385A9" w14:textId="77777777" w:rsidR="00D84156" w:rsidRPr="008C7559" w:rsidRDefault="00D84156" w:rsidP="00D84156">
      <w:pPr>
        <w:spacing w:after="0" w:line="360" w:lineRule="auto"/>
        <w:jc w:val="both"/>
        <w:rPr>
          <w:rFonts w:ascii="Palatino Linotype" w:hAnsi="Palatino Linotype" w:cs="Arial"/>
          <w:i/>
          <w:sz w:val="24"/>
          <w:szCs w:val="24"/>
          <w:lang w:eastAsia="es-MX"/>
        </w:rPr>
      </w:pPr>
      <w:r w:rsidRPr="008C7559">
        <w:rPr>
          <w:rFonts w:ascii="Palatino Linotype" w:hAnsi="Palatino Linotype" w:cs="Arial"/>
          <w:sz w:val="24"/>
          <w:szCs w:val="24"/>
        </w:rPr>
        <w:t xml:space="preserve">Además, la </w:t>
      </w:r>
      <w:r w:rsidRPr="008C7559">
        <w:rPr>
          <w:rFonts w:ascii="Palatino Linotype" w:hAnsi="Palatino Linotype" w:cs="Arial"/>
          <w:b/>
          <w:sz w:val="24"/>
          <w:szCs w:val="24"/>
        </w:rPr>
        <w:t>Ley Orgánica Municipal del Estado de México</w:t>
      </w:r>
      <w:r w:rsidRPr="008C7559">
        <w:rPr>
          <w:rFonts w:ascii="Palatino Linotype" w:hAnsi="Palatino Linotype" w:cs="Arial"/>
          <w:sz w:val="24"/>
          <w:szCs w:val="24"/>
        </w:rPr>
        <w:t xml:space="preserve"> en el artículo 31 fracción XIX establece como atribución de los Ayuntamientos aprobar su </w:t>
      </w:r>
      <w:r w:rsidRPr="008C7559">
        <w:rPr>
          <w:rFonts w:ascii="Palatino Linotype" w:hAnsi="Palatino Linotype" w:cs="Arial"/>
          <w:b/>
          <w:sz w:val="24"/>
          <w:szCs w:val="24"/>
          <w:u w:val="single"/>
        </w:rPr>
        <w:t>Presupuesto de Egresos</w:t>
      </w:r>
      <w:r w:rsidRPr="008C7559">
        <w:rPr>
          <w:rFonts w:ascii="Palatino Linotype" w:hAnsi="Palatino Linotype" w:cs="Arial"/>
          <w:sz w:val="24"/>
          <w:szCs w:val="24"/>
        </w:rPr>
        <w:t>, y al hacerlo deberán señalar “</w:t>
      </w:r>
      <w:r w:rsidRPr="008C7559">
        <w:rPr>
          <w:rFonts w:ascii="Palatino Linotype" w:hAnsi="Palatino Linotype"/>
          <w:b/>
          <w:i/>
          <w:sz w:val="24"/>
          <w:szCs w:val="24"/>
          <w:u w:val="single"/>
        </w:rPr>
        <w:t>la remuneración</w:t>
      </w:r>
      <w:r w:rsidRPr="008C7559">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8C7559">
        <w:rPr>
          <w:rFonts w:ascii="Palatino Linotype" w:hAnsi="Palatino Linotype"/>
          <w:sz w:val="24"/>
          <w:szCs w:val="24"/>
        </w:rPr>
        <w:t>“ y además</w:t>
      </w:r>
      <w:r w:rsidRPr="008C7559">
        <w:rPr>
          <w:rFonts w:ascii="Palatino Linotype" w:hAnsi="Palatino Linotype" w:cs="Arial"/>
          <w:sz w:val="24"/>
          <w:szCs w:val="24"/>
        </w:rPr>
        <w:t xml:space="preserve"> “</w:t>
      </w:r>
      <w:r w:rsidRPr="008C7559">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8C7559">
        <w:rPr>
          <w:rFonts w:ascii="Palatino Linotype" w:hAnsi="Palatino Linotype"/>
          <w:b/>
          <w:i/>
          <w:sz w:val="24"/>
          <w:szCs w:val="24"/>
        </w:rPr>
        <w:t>serán determinadas anualmente en el presupuesto de egresos</w:t>
      </w:r>
      <w:r w:rsidRPr="008C7559">
        <w:rPr>
          <w:rFonts w:ascii="Palatino Linotype" w:hAnsi="Palatino Linotype"/>
          <w:i/>
          <w:sz w:val="24"/>
          <w:szCs w:val="24"/>
        </w:rPr>
        <w:t xml:space="preserve"> correspondiente y se sujetarán a los lineamientos legales establecidos para todos los servidores públicos municipales</w:t>
      </w:r>
      <w:r w:rsidRPr="008C7559">
        <w:rPr>
          <w:rFonts w:ascii="Palatino Linotype" w:hAnsi="Palatino Linotype"/>
          <w:sz w:val="24"/>
          <w:szCs w:val="24"/>
        </w:rPr>
        <w:t>”.</w:t>
      </w:r>
      <w:r w:rsidRPr="008C7559">
        <w:rPr>
          <w:rFonts w:ascii="Palatino Linotype" w:hAnsi="Palatino Linotype"/>
          <w:i/>
          <w:sz w:val="24"/>
          <w:szCs w:val="24"/>
        </w:rPr>
        <w:t>(…)</w:t>
      </w:r>
    </w:p>
    <w:p w14:paraId="045B8B5A" w14:textId="77777777" w:rsidR="00D84156" w:rsidRPr="008C7559" w:rsidRDefault="00D84156" w:rsidP="00D84156">
      <w:pPr>
        <w:autoSpaceDE w:val="0"/>
        <w:autoSpaceDN w:val="0"/>
        <w:adjustRightInd w:val="0"/>
        <w:spacing w:after="0" w:line="360" w:lineRule="auto"/>
        <w:jc w:val="both"/>
        <w:rPr>
          <w:rFonts w:ascii="Palatino Linotype" w:hAnsi="Palatino Linotype" w:cs="Arial"/>
          <w:sz w:val="24"/>
          <w:szCs w:val="24"/>
        </w:rPr>
      </w:pPr>
    </w:p>
    <w:p w14:paraId="46FD9ED6" w14:textId="77777777" w:rsidR="00D84156" w:rsidRPr="008C7559" w:rsidRDefault="00D84156" w:rsidP="00D84156">
      <w:pPr>
        <w:autoSpaceDE w:val="0"/>
        <w:autoSpaceDN w:val="0"/>
        <w:adjustRightInd w:val="0"/>
        <w:spacing w:after="0" w:line="360" w:lineRule="auto"/>
        <w:jc w:val="both"/>
        <w:rPr>
          <w:rFonts w:ascii="Palatino Linotype" w:hAnsi="Palatino Linotype" w:cs="Arial"/>
          <w:sz w:val="24"/>
          <w:szCs w:val="24"/>
        </w:rPr>
      </w:pPr>
      <w:r w:rsidRPr="008C7559">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0AC358DA" w14:textId="77777777" w:rsidR="00D84156" w:rsidRDefault="00D84156" w:rsidP="00D84156">
      <w:pPr>
        <w:autoSpaceDE w:val="0"/>
        <w:autoSpaceDN w:val="0"/>
        <w:adjustRightInd w:val="0"/>
        <w:spacing w:after="0" w:line="360" w:lineRule="auto"/>
        <w:jc w:val="both"/>
        <w:rPr>
          <w:rFonts w:ascii="Palatino Linotype" w:hAnsi="Palatino Linotype" w:cs="Arial"/>
          <w:sz w:val="24"/>
          <w:szCs w:val="24"/>
        </w:rPr>
      </w:pPr>
    </w:p>
    <w:p w14:paraId="03346643" w14:textId="77777777" w:rsidR="00D84156" w:rsidRDefault="00D84156" w:rsidP="00D84156">
      <w:pPr>
        <w:autoSpaceDE w:val="0"/>
        <w:autoSpaceDN w:val="0"/>
        <w:adjustRightInd w:val="0"/>
        <w:spacing w:after="0" w:line="360" w:lineRule="auto"/>
        <w:jc w:val="both"/>
        <w:rPr>
          <w:rFonts w:ascii="Palatino Linotype" w:hAnsi="Palatino Linotype" w:cs="Arial"/>
          <w:sz w:val="24"/>
          <w:szCs w:val="24"/>
        </w:rPr>
      </w:pPr>
      <w:r w:rsidRPr="008C7559">
        <w:rPr>
          <w:rFonts w:ascii="Palatino Linotype" w:hAnsi="Palatino Linotype" w:cs="Arial"/>
          <w:sz w:val="24"/>
          <w:szCs w:val="24"/>
        </w:rPr>
        <w:t xml:space="preserve">Además de lo anterior, conviene mencionar que </w:t>
      </w:r>
      <w:r>
        <w:rPr>
          <w:rFonts w:ascii="Palatino Linotype" w:hAnsi="Palatino Linotype" w:cs="Arial"/>
          <w:sz w:val="24"/>
          <w:szCs w:val="24"/>
        </w:rPr>
        <w:t>el sub-modulo.- Comprobantes Fiscales, del referido Módulo 4, punto doce (12), refiere lo siguiente:</w:t>
      </w:r>
    </w:p>
    <w:p w14:paraId="0C43BB43" w14:textId="77777777" w:rsidR="00D84156" w:rsidRDefault="00D84156" w:rsidP="00D84156">
      <w:pPr>
        <w:autoSpaceDE w:val="0"/>
        <w:autoSpaceDN w:val="0"/>
        <w:adjustRightInd w:val="0"/>
        <w:spacing w:after="0" w:line="360" w:lineRule="auto"/>
        <w:jc w:val="both"/>
        <w:rPr>
          <w:rFonts w:ascii="Palatino Linotype" w:hAnsi="Palatino Linotype" w:cs="Arial"/>
          <w:sz w:val="24"/>
          <w:szCs w:val="24"/>
        </w:rPr>
      </w:pPr>
    </w:p>
    <w:p w14:paraId="1D739F2F" w14:textId="77777777" w:rsidR="00D84156" w:rsidRDefault="00D84156" w:rsidP="00D84156">
      <w:pPr>
        <w:autoSpaceDE w:val="0"/>
        <w:autoSpaceDN w:val="0"/>
        <w:adjustRightInd w:val="0"/>
        <w:spacing w:after="0" w:line="360" w:lineRule="auto"/>
        <w:ind w:left="851" w:right="709"/>
        <w:jc w:val="center"/>
        <w:rPr>
          <w:rFonts w:ascii="Palatino Linotype" w:hAnsi="Palatino Linotype" w:cs="Arial"/>
          <w:b/>
          <w:i/>
          <w:sz w:val="24"/>
          <w:szCs w:val="24"/>
        </w:rPr>
      </w:pPr>
      <w:r>
        <w:rPr>
          <w:rFonts w:ascii="Palatino Linotype" w:hAnsi="Palatino Linotype" w:cs="Arial"/>
          <w:b/>
          <w:i/>
          <w:sz w:val="24"/>
          <w:szCs w:val="24"/>
        </w:rPr>
        <w:lastRenderedPageBreak/>
        <w:t>“</w:t>
      </w:r>
      <w:r w:rsidRPr="003D5DB5">
        <w:rPr>
          <w:rFonts w:ascii="Palatino Linotype" w:hAnsi="Palatino Linotype" w:cs="Arial"/>
          <w:b/>
          <w:i/>
          <w:sz w:val="24"/>
          <w:szCs w:val="24"/>
        </w:rPr>
        <w:t>12.-Comprobantes Fiscales Digitales por Internet por Concepto de Nómina</w:t>
      </w:r>
    </w:p>
    <w:p w14:paraId="77AE8E20" w14:textId="77777777" w:rsidR="00D84156" w:rsidRPr="003D5DB5" w:rsidRDefault="00D84156" w:rsidP="00D84156">
      <w:pPr>
        <w:autoSpaceDE w:val="0"/>
        <w:autoSpaceDN w:val="0"/>
        <w:adjustRightInd w:val="0"/>
        <w:spacing w:after="0" w:line="360" w:lineRule="auto"/>
        <w:ind w:left="851" w:right="709"/>
        <w:jc w:val="center"/>
        <w:rPr>
          <w:rFonts w:ascii="Palatino Linotype" w:hAnsi="Palatino Linotype" w:cs="Arial"/>
          <w:b/>
          <w:i/>
          <w:sz w:val="24"/>
          <w:szCs w:val="24"/>
        </w:rPr>
      </w:pPr>
    </w:p>
    <w:p w14:paraId="7E8F5E31" w14:textId="77777777" w:rsidR="00D84156" w:rsidRDefault="00D84156" w:rsidP="00D84156">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Es una factura electrónica, que funge como un comprobante digital de la relación de pago que existe e</w:t>
      </w:r>
      <w:r>
        <w:rPr>
          <w:rFonts w:ascii="Palatino Linotype" w:hAnsi="Palatino Linotype" w:cs="Arial"/>
          <w:i/>
          <w:sz w:val="24"/>
          <w:szCs w:val="24"/>
        </w:rPr>
        <w:t>ntre el patrón y el trabajador.</w:t>
      </w:r>
    </w:p>
    <w:p w14:paraId="5D1D6A12" w14:textId="77777777" w:rsidR="00D84156" w:rsidRPr="003D5DB5" w:rsidRDefault="00D84156" w:rsidP="00D84156">
      <w:pPr>
        <w:autoSpaceDE w:val="0"/>
        <w:autoSpaceDN w:val="0"/>
        <w:adjustRightInd w:val="0"/>
        <w:spacing w:after="0" w:line="360" w:lineRule="auto"/>
        <w:ind w:left="851" w:right="709"/>
        <w:jc w:val="both"/>
        <w:rPr>
          <w:rFonts w:ascii="Palatino Linotype" w:hAnsi="Palatino Linotype" w:cs="Arial"/>
          <w:i/>
          <w:sz w:val="24"/>
          <w:szCs w:val="24"/>
        </w:rPr>
      </w:pPr>
    </w:p>
    <w:p w14:paraId="4C7B2083" w14:textId="77777777" w:rsidR="00D84156" w:rsidRPr="003D5DB5" w:rsidRDefault="00D84156" w:rsidP="00D84156">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 xml:space="preserve">Los CFDI deberán enviarse de acuerdo a la estructura siguiente: </w:t>
      </w:r>
    </w:p>
    <w:p w14:paraId="2A9B119D" w14:textId="77777777" w:rsidR="00D84156" w:rsidRDefault="00D84156" w:rsidP="00D84156">
      <w:pPr>
        <w:autoSpaceDE w:val="0"/>
        <w:autoSpaceDN w:val="0"/>
        <w:adjustRightInd w:val="0"/>
        <w:spacing w:after="0" w:line="360" w:lineRule="auto"/>
        <w:ind w:left="851" w:right="709"/>
        <w:jc w:val="both"/>
        <w:rPr>
          <w:rFonts w:ascii="Palatino Linotype" w:hAnsi="Palatino Linotype" w:cs="Arial"/>
          <w:i/>
          <w:sz w:val="24"/>
          <w:szCs w:val="24"/>
        </w:rPr>
      </w:pPr>
    </w:p>
    <w:p w14:paraId="19FF8D94" w14:textId="77777777" w:rsidR="00D84156" w:rsidRDefault="00D84156" w:rsidP="00D84156">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7BE71C90" w14:textId="77777777" w:rsidR="00D84156" w:rsidRDefault="00D84156" w:rsidP="00D84156">
      <w:pPr>
        <w:autoSpaceDE w:val="0"/>
        <w:autoSpaceDN w:val="0"/>
        <w:adjustRightInd w:val="0"/>
        <w:spacing w:after="0" w:line="360" w:lineRule="auto"/>
        <w:ind w:left="851" w:right="709"/>
        <w:jc w:val="both"/>
        <w:rPr>
          <w:rFonts w:ascii="Palatino Linotype" w:hAnsi="Palatino Linotype" w:cs="Arial"/>
          <w:i/>
          <w:sz w:val="24"/>
          <w:szCs w:val="24"/>
        </w:rPr>
      </w:pPr>
      <w:r>
        <w:rPr>
          <w:rFonts w:ascii="Palatino Linotype" w:hAnsi="Palatino Linotype" w:cs="Arial"/>
          <w:i/>
          <w:sz w:val="24"/>
          <w:szCs w:val="24"/>
        </w:rPr>
        <w:t>…</w:t>
      </w:r>
    </w:p>
    <w:p w14:paraId="6C3FAA2F" w14:textId="77777777" w:rsidR="00D84156" w:rsidRPr="003D5DB5" w:rsidRDefault="00D84156" w:rsidP="00D84156">
      <w:pPr>
        <w:autoSpaceDE w:val="0"/>
        <w:autoSpaceDN w:val="0"/>
        <w:adjustRightInd w:val="0"/>
        <w:spacing w:after="0" w:line="360" w:lineRule="auto"/>
        <w:ind w:left="851" w:right="709"/>
        <w:jc w:val="both"/>
        <w:rPr>
          <w:rFonts w:ascii="Palatino Linotype" w:hAnsi="Palatino Linotype" w:cs="Arial"/>
          <w:i/>
          <w:sz w:val="24"/>
          <w:szCs w:val="24"/>
        </w:rPr>
      </w:pPr>
      <w:r w:rsidRPr="003D5DB5">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r>
        <w:rPr>
          <w:rFonts w:ascii="Palatino Linotype" w:hAnsi="Palatino Linotype" w:cs="Arial"/>
          <w:i/>
          <w:sz w:val="24"/>
          <w:szCs w:val="24"/>
        </w:rPr>
        <w:t>.”</w:t>
      </w:r>
    </w:p>
    <w:p w14:paraId="6170C03D" w14:textId="77777777" w:rsidR="00D84156" w:rsidRPr="002460D1" w:rsidRDefault="00D84156" w:rsidP="00D84156">
      <w:pPr>
        <w:autoSpaceDE w:val="0"/>
        <w:autoSpaceDN w:val="0"/>
        <w:adjustRightInd w:val="0"/>
        <w:spacing w:after="0" w:line="360" w:lineRule="auto"/>
        <w:jc w:val="both"/>
        <w:rPr>
          <w:rFonts w:ascii="Palatino Linotype" w:hAnsi="Palatino Linotype" w:cs="Arial"/>
          <w:sz w:val="24"/>
          <w:szCs w:val="24"/>
        </w:rPr>
      </w:pPr>
    </w:p>
    <w:p w14:paraId="3D8BC50B" w14:textId="77777777" w:rsidR="00D84156" w:rsidRPr="002460D1" w:rsidRDefault="00D84156" w:rsidP="00D84156">
      <w:pPr>
        <w:autoSpaceDE w:val="0"/>
        <w:autoSpaceDN w:val="0"/>
        <w:adjustRightInd w:val="0"/>
        <w:spacing w:after="0" w:line="360" w:lineRule="auto"/>
        <w:ind w:right="49"/>
        <w:contextualSpacing/>
        <w:jc w:val="both"/>
        <w:rPr>
          <w:rFonts w:ascii="Palatino Linotype" w:hAnsi="Palatino Linotype" w:cs="Arial"/>
          <w:sz w:val="24"/>
          <w:szCs w:val="24"/>
        </w:rPr>
      </w:pPr>
      <w:r w:rsidRPr="002460D1">
        <w:rPr>
          <w:rFonts w:ascii="Palatino Linotype" w:hAnsi="Palatino Linotype" w:cs="Arial"/>
          <w:sz w:val="24"/>
          <w:szCs w:val="24"/>
        </w:rPr>
        <w:t xml:space="preserve">De lo anteriormente expuesto, este Instituto advierte que </w:t>
      </w:r>
      <w:r>
        <w:rPr>
          <w:rFonts w:ascii="Palatino Linotype" w:hAnsi="Palatino Linotype" w:cs="Arial"/>
          <w:sz w:val="24"/>
          <w:szCs w:val="24"/>
        </w:rPr>
        <w:t xml:space="preserve">tanto </w:t>
      </w:r>
      <w:r w:rsidRPr="002460D1">
        <w:rPr>
          <w:rFonts w:ascii="Palatino Linotype" w:hAnsi="Palatino Linotype" w:cs="Arial"/>
          <w:sz w:val="24"/>
          <w:szCs w:val="24"/>
        </w:rPr>
        <w:t xml:space="preserve">en la nómina general o recibos de pagos de salarios es donde se registran las remuneraciones otorgadas a los servidores públicos, las cuales de acuerdo con los artículos 127 de la </w:t>
      </w:r>
      <w:r w:rsidRPr="002460D1">
        <w:rPr>
          <w:rFonts w:ascii="Palatino Linotype" w:hAnsi="Palatino Linotype" w:cs="Arial"/>
          <w:b/>
          <w:sz w:val="24"/>
          <w:szCs w:val="24"/>
        </w:rPr>
        <w:t>Constitución Política de los Estados Unidos Mexicanos</w:t>
      </w:r>
      <w:r w:rsidRPr="002460D1">
        <w:rPr>
          <w:rFonts w:ascii="Palatino Linotype" w:hAnsi="Palatino Linotype" w:cs="Arial"/>
          <w:sz w:val="24"/>
          <w:szCs w:val="24"/>
        </w:rPr>
        <w:t xml:space="preserve"> y 3, fracción XXXII del </w:t>
      </w:r>
      <w:r w:rsidRPr="002460D1">
        <w:rPr>
          <w:rFonts w:ascii="Palatino Linotype" w:hAnsi="Palatino Linotype" w:cs="Arial"/>
          <w:b/>
          <w:sz w:val="24"/>
          <w:szCs w:val="24"/>
        </w:rPr>
        <w:t>Código Financiero del Estado de México y Municipios</w:t>
      </w:r>
      <w:r w:rsidRPr="002460D1">
        <w:rPr>
          <w:rFonts w:ascii="Palatino Linotype" w:hAnsi="Palatino Linotype" w:cs="Arial"/>
          <w:sz w:val="24"/>
          <w:szCs w:val="24"/>
        </w:rPr>
        <w:t xml:space="preserve">, constituyen toda percepción o pagos por concepto de sueldo, compensaciones, gratificaciones, habitación, primas, comisiones, prestaciones en especie, premios, recompensas, bonos, estímulos, dietas, aguinaldos, </w:t>
      </w:r>
      <w:r w:rsidRPr="002460D1">
        <w:rPr>
          <w:rFonts w:ascii="Palatino Linotype" w:hAnsi="Palatino Linotype" w:cs="Arial"/>
          <w:sz w:val="24"/>
          <w:szCs w:val="24"/>
        </w:rPr>
        <w:lastRenderedPageBreak/>
        <w:t>comisiones y cualquier otra prestación que se entregue a los servidores públicos por su trabajo.</w:t>
      </w:r>
    </w:p>
    <w:p w14:paraId="36130B84" w14:textId="77777777" w:rsidR="00D84156" w:rsidRPr="002460D1" w:rsidRDefault="00D84156" w:rsidP="00D84156">
      <w:pPr>
        <w:autoSpaceDE w:val="0"/>
        <w:autoSpaceDN w:val="0"/>
        <w:adjustRightInd w:val="0"/>
        <w:spacing w:after="0" w:line="360" w:lineRule="auto"/>
        <w:ind w:right="49"/>
        <w:contextualSpacing/>
        <w:jc w:val="both"/>
        <w:rPr>
          <w:rFonts w:ascii="Palatino Linotype" w:hAnsi="Palatino Linotype" w:cs="Arial"/>
          <w:sz w:val="24"/>
          <w:szCs w:val="24"/>
        </w:rPr>
      </w:pPr>
    </w:p>
    <w:p w14:paraId="13AD9C99" w14:textId="77777777" w:rsidR="00D84156" w:rsidRPr="002460D1" w:rsidRDefault="00D84156" w:rsidP="00D84156">
      <w:pPr>
        <w:autoSpaceDE w:val="0"/>
        <w:autoSpaceDN w:val="0"/>
        <w:adjustRightInd w:val="0"/>
        <w:spacing w:after="0" w:line="360" w:lineRule="auto"/>
        <w:ind w:right="49"/>
        <w:contextualSpacing/>
        <w:jc w:val="both"/>
        <w:rPr>
          <w:rFonts w:ascii="Palatino Linotype" w:hAnsi="Palatino Linotype" w:cs="Arial"/>
          <w:sz w:val="24"/>
          <w:szCs w:val="24"/>
        </w:rPr>
      </w:pPr>
      <w:r w:rsidRPr="002460D1">
        <w:rPr>
          <w:rFonts w:ascii="Palatino Linotype" w:hAnsi="Palatino Linotype" w:cs="Arial"/>
          <w:sz w:val="24"/>
          <w:szCs w:val="24"/>
        </w:rPr>
        <w:t xml:space="preserve">Bajo dichas consideraciones, se reitera que la nómina </w:t>
      </w:r>
      <w:r>
        <w:rPr>
          <w:rFonts w:ascii="Palatino Linotype" w:hAnsi="Palatino Linotype" w:cs="Arial"/>
          <w:sz w:val="24"/>
          <w:szCs w:val="24"/>
        </w:rPr>
        <w:t xml:space="preserve">o recibos de nómina </w:t>
      </w:r>
      <w:r w:rsidRPr="002460D1">
        <w:rPr>
          <w:rFonts w:ascii="Palatino Linotype" w:hAnsi="Palatino Linotype" w:cs="Arial"/>
          <w:sz w:val="24"/>
          <w:szCs w:val="24"/>
        </w:rPr>
        <w:t xml:space="preserve">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065D64AA" w14:textId="77777777" w:rsidR="00D84156" w:rsidRPr="002460D1" w:rsidRDefault="00D84156" w:rsidP="00D84156">
      <w:pPr>
        <w:autoSpaceDE w:val="0"/>
        <w:autoSpaceDN w:val="0"/>
        <w:adjustRightInd w:val="0"/>
        <w:spacing w:after="0" w:line="360" w:lineRule="auto"/>
        <w:ind w:right="49"/>
        <w:contextualSpacing/>
        <w:jc w:val="both"/>
        <w:rPr>
          <w:rFonts w:ascii="Palatino Linotype" w:hAnsi="Palatino Linotype" w:cs="Arial"/>
          <w:sz w:val="24"/>
          <w:szCs w:val="24"/>
        </w:rPr>
      </w:pPr>
    </w:p>
    <w:p w14:paraId="47EB8162" w14:textId="77777777" w:rsidR="00D84156" w:rsidRPr="009235AB" w:rsidRDefault="00D84156" w:rsidP="00D84156">
      <w:pPr>
        <w:ind w:left="851" w:right="992"/>
        <w:jc w:val="both"/>
        <w:rPr>
          <w:rFonts w:ascii="Palatino Linotype" w:hAnsi="Palatino Linotype"/>
          <w:i/>
        </w:rPr>
      </w:pPr>
      <w:r w:rsidRPr="009235AB">
        <w:rPr>
          <w:rFonts w:ascii="Palatino Linotype" w:hAnsi="Palatino Linotype"/>
          <w:i/>
        </w:rPr>
        <w:t xml:space="preserve">19. Percepciones: Se anotarán las percepciones que se le hacen llegar al empleado solamente. </w:t>
      </w:r>
    </w:p>
    <w:p w14:paraId="30CF6C36" w14:textId="77777777" w:rsidR="00D84156" w:rsidRPr="009235AB" w:rsidRDefault="00D84156" w:rsidP="00D84156">
      <w:pPr>
        <w:ind w:left="851" w:right="992"/>
        <w:jc w:val="both"/>
        <w:rPr>
          <w:rFonts w:ascii="Palatino Linotype" w:hAnsi="Palatino Linotype" w:cs="Arial"/>
          <w:i/>
        </w:rPr>
      </w:pPr>
      <w:r w:rsidRPr="009235AB">
        <w:rPr>
          <w:rFonts w:ascii="Palatino Linotype" w:hAnsi="Palatino Linotype"/>
          <w:i/>
        </w:rPr>
        <w:t>20. Deducciones: Se anotarán las deducciones correspondientes al empleado solamente.</w:t>
      </w:r>
    </w:p>
    <w:p w14:paraId="207724C4" w14:textId="77777777" w:rsidR="00D84156" w:rsidRDefault="00D84156" w:rsidP="00D84156">
      <w:pPr>
        <w:pStyle w:val="Prrafodelista"/>
        <w:spacing w:line="360" w:lineRule="auto"/>
        <w:ind w:left="0"/>
        <w:jc w:val="both"/>
        <w:rPr>
          <w:rFonts w:ascii="Palatino Linotype" w:hAnsi="Palatino Linotype" w:cs="Arial"/>
        </w:rPr>
      </w:pPr>
    </w:p>
    <w:p w14:paraId="15CA422E" w14:textId="77777777" w:rsidR="00D84156" w:rsidRPr="009235AB" w:rsidRDefault="00D84156" w:rsidP="00D84156">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Por lo anterior, se advierte que existe la atribución del </w:t>
      </w:r>
      <w:r w:rsidRPr="009235AB">
        <w:rPr>
          <w:rFonts w:ascii="Palatino Linotype" w:hAnsi="Palatino Linotype" w:cs="Arial"/>
          <w:b/>
        </w:rPr>
        <w:t>SUJETO OBLIGADO</w:t>
      </w:r>
      <w:r w:rsidRPr="009235AB">
        <w:rPr>
          <w:rFonts w:ascii="Palatino Linotype" w:hAnsi="Palatino Linotype" w:cs="Arial"/>
        </w:rPr>
        <w:t xml:space="preserve"> de generar y entregar los formatos contenidos en</w:t>
      </w:r>
      <w:r>
        <w:rPr>
          <w:rFonts w:ascii="Palatino Linotype" w:hAnsi="Palatino Linotype" w:cs="Arial"/>
        </w:rPr>
        <w:t xml:space="preserve"> e</w:t>
      </w:r>
      <w:r w:rsidRPr="009235AB">
        <w:rPr>
          <w:rFonts w:ascii="Palatino Linotype" w:hAnsi="Palatino Linotype" w:cs="Arial"/>
        </w:rPr>
        <w:t>l</w:t>
      </w:r>
      <w:r>
        <w:rPr>
          <w:rFonts w:ascii="Palatino Linotype" w:hAnsi="Palatino Linotype" w:cs="Arial"/>
        </w:rPr>
        <w:t xml:space="preserve"> módulo 4 en sus diversos sub-módulos</w:t>
      </w:r>
      <w:r w:rsidRPr="009235AB">
        <w:rPr>
          <w:rFonts w:ascii="Palatino Linotype" w:hAnsi="Palatino Linotype" w:cs="Arial"/>
        </w:rPr>
        <w:t xml:space="preserve"> </w:t>
      </w:r>
      <w:r>
        <w:rPr>
          <w:rFonts w:ascii="Palatino Linotype" w:hAnsi="Palatino Linotype" w:cs="Arial"/>
        </w:rPr>
        <w:t xml:space="preserve">que </w:t>
      </w:r>
      <w:r w:rsidRPr="009235AB">
        <w:rPr>
          <w:rFonts w:ascii="Palatino Linotype" w:hAnsi="Palatino Linotype" w:cs="Arial"/>
        </w:rPr>
        <w:t>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0B59A36C" w14:textId="77777777" w:rsidR="00D84156" w:rsidRPr="009235AB" w:rsidRDefault="00D84156" w:rsidP="00D84156">
      <w:pPr>
        <w:pStyle w:val="Prrafodelista"/>
        <w:spacing w:line="360" w:lineRule="auto"/>
        <w:ind w:left="851"/>
        <w:jc w:val="both"/>
        <w:rPr>
          <w:rFonts w:ascii="Palatino Linotype" w:hAnsi="Palatino Linotype" w:cs="Arial"/>
        </w:rPr>
      </w:pPr>
    </w:p>
    <w:p w14:paraId="08DF2F5E" w14:textId="77777777" w:rsidR="00D84156" w:rsidRPr="009235AB" w:rsidRDefault="00D84156" w:rsidP="00D84156">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Ahora bien, el artículo 70 de la </w:t>
      </w:r>
      <w:r w:rsidRPr="009235AB">
        <w:rPr>
          <w:rFonts w:ascii="Palatino Linotype" w:hAnsi="Palatino Linotype" w:cs="Arial"/>
          <w:b/>
        </w:rPr>
        <w:t>Ley General de Transparencia y Acceso a la Información Pública</w:t>
      </w:r>
      <w:r w:rsidRPr="009235AB">
        <w:rPr>
          <w:rFonts w:ascii="Palatino Linotype" w:hAnsi="Palatino Linotype" w:cs="Arial"/>
        </w:rPr>
        <w:t xml:space="preserve"> dispone lo siguiente:</w:t>
      </w:r>
    </w:p>
    <w:p w14:paraId="7528E769" w14:textId="77777777" w:rsidR="00D84156" w:rsidRPr="009235AB" w:rsidRDefault="00D84156" w:rsidP="00D84156">
      <w:pPr>
        <w:pStyle w:val="Prrafodelista"/>
        <w:spacing w:line="360" w:lineRule="auto"/>
        <w:ind w:left="851"/>
        <w:jc w:val="both"/>
        <w:rPr>
          <w:rFonts w:ascii="Palatino Linotype" w:hAnsi="Palatino Linotype" w:cs="Arial"/>
        </w:rPr>
      </w:pPr>
    </w:p>
    <w:p w14:paraId="3D42A52D" w14:textId="77777777" w:rsidR="00D84156" w:rsidRPr="009235AB" w:rsidRDefault="00D84156" w:rsidP="00D84156">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0C776E8" w14:textId="77777777" w:rsidR="00D84156" w:rsidRPr="009235AB" w:rsidRDefault="00D84156" w:rsidP="00D84156">
      <w:pPr>
        <w:pStyle w:val="Texto"/>
        <w:spacing w:after="0" w:line="240" w:lineRule="auto"/>
        <w:ind w:left="851" w:right="992" w:firstLine="0"/>
        <w:rPr>
          <w:rFonts w:ascii="Palatino Linotype" w:hAnsi="Palatino Linotype"/>
          <w:i/>
          <w:sz w:val="24"/>
          <w:szCs w:val="24"/>
        </w:rPr>
      </w:pPr>
      <w:r w:rsidRPr="009235AB">
        <w:rPr>
          <w:rFonts w:ascii="Palatino Linotype" w:hAnsi="Palatino Linotype"/>
          <w:i/>
          <w:sz w:val="24"/>
          <w:szCs w:val="24"/>
        </w:rPr>
        <w:t>…</w:t>
      </w:r>
    </w:p>
    <w:p w14:paraId="3F2967AA" w14:textId="77777777" w:rsidR="00D84156" w:rsidRPr="009235AB" w:rsidRDefault="00D84156" w:rsidP="00D84156">
      <w:pPr>
        <w:pStyle w:val="Texto"/>
        <w:spacing w:after="0" w:line="240" w:lineRule="auto"/>
        <w:ind w:left="851" w:right="992"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27AC63E" w14:textId="77777777" w:rsidR="00D84156" w:rsidRDefault="00D84156" w:rsidP="00D84156">
      <w:pPr>
        <w:pStyle w:val="Prrafodelista"/>
        <w:spacing w:line="360" w:lineRule="auto"/>
        <w:ind w:left="0"/>
        <w:jc w:val="both"/>
        <w:rPr>
          <w:rFonts w:ascii="Palatino Linotype" w:hAnsi="Palatino Linotype" w:cs="Arial"/>
        </w:rPr>
      </w:pPr>
    </w:p>
    <w:p w14:paraId="2B13F810" w14:textId="77777777" w:rsidR="00D84156" w:rsidRDefault="00D84156" w:rsidP="00D84156">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14:paraId="382058DA" w14:textId="77777777" w:rsidR="00D84156" w:rsidRPr="009235AB" w:rsidRDefault="00D84156" w:rsidP="00D84156">
      <w:pPr>
        <w:pStyle w:val="Prrafodelista"/>
        <w:spacing w:line="360" w:lineRule="auto"/>
        <w:ind w:left="0"/>
        <w:jc w:val="both"/>
        <w:rPr>
          <w:rFonts w:ascii="Palatino Linotype" w:hAnsi="Palatino Linotype" w:cs="Arial"/>
        </w:rPr>
      </w:pPr>
    </w:p>
    <w:p w14:paraId="4BFD7145" w14:textId="77777777" w:rsidR="00D84156" w:rsidRDefault="00D84156" w:rsidP="00D84156">
      <w:pPr>
        <w:ind w:left="851" w:right="992"/>
        <w:jc w:val="both"/>
        <w:rPr>
          <w:rFonts w:ascii="Palatino Linotype" w:hAnsi="Palatino Linotype"/>
          <w:i/>
        </w:rPr>
      </w:pPr>
      <w:r>
        <w:rPr>
          <w:rFonts w:ascii="Palatino Linotype" w:hAnsi="Palatino Linotype"/>
          <w:i/>
        </w:rPr>
        <w:t>“</w:t>
      </w:r>
      <w:r w:rsidRPr="00CE328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EF483F" w14:textId="77777777" w:rsidR="00D84156" w:rsidRPr="009235AB" w:rsidRDefault="00D84156" w:rsidP="00D84156">
      <w:pPr>
        <w:ind w:left="851" w:right="992"/>
        <w:jc w:val="both"/>
        <w:rPr>
          <w:rFonts w:ascii="Palatino Linotype" w:hAnsi="Palatino Linotype"/>
          <w:i/>
        </w:rPr>
      </w:pPr>
      <w:r w:rsidRPr="009235AB">
        <w:rPr>
          <w:rFonts w:ascii="Palatino Linotype" w:hAnsi="Palatino Linotype"/>
          <w:i/>
        </w:rPr>
        <w:t>(…)</w:t>
      </w:r>
    </w:p>
    <w:p w14:paraId="7AB36D1A" w14:textId="77777777" w:rsidR="00D84156" w:rsidRPr="00CE3289" w:rsidRDefault="00D84156" w:rsidP="00D84156">
      <w:pPr>
        <w:ind w:left="851" w:right="992"/>
        <w:jc w:val="both"/>
        <w:rPr>
          <w:rFonts w:ascii="Palatino Linotype" w:hAnsi="Palatino Linotype"/>
          <w:i/>
        </w:rPr>
      </w:pPr>
      <w:r w:rsidRPr="00CE3289">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rPr>
        <w:t>”</w:t>
      </w:r>
    </w:p>
    <w:p w14:paraId="506D84F1" w14:textId="77777777" w:rsidR="00D84156" w:rsidRPr="006A38F3" w:rsidRDefault="00D84156" w:rsidP="00D84156">
      <w:pPr>
        <w:spacing w:after="0" w:line="360" w:lineRule="auto"/>
        <w:jc w:val="both"/>
        <w:rPr>
          <w:rFonts w:ascii="Palatino Linotype" w:hAnsi="Palatino Linotype" w:cs="Arial"/>
          <w:sz w:val="24"/>
          <w:szCs w:val="24"/>
        </w:rPr>
      </w:pPr>
    </w:p>
    <w:p w14:paraId="627CAC41" w14:textId="446BF6F8" w:rsidR="00870ED2" w:rsidRPr="00D84156" w:rsidRDefault="00D84156" w:rsidP="00D84156">
      <w:pPr>
        <w:spacing w:after="0" w:line="360" w:lineRule="auto"/>
        <w:jc w:val="both"/>
        <w:rPr>
          <w:rFonts w:ascii="Palatino Linotype" w:hAnsi="Palatino Linotype" w:cs="Arial"/>
          <w:sz w:val="24"/>
          <w:szCs w:val="24"/>
        </w:rPr>
      </w:pPr>
      <w:r w:rsidRPr="006A38F3">
        <w:rPr>
          <w:rFonts w:ascii="Palatino Linotype" w:hAnsi="Palatino Linotype" w:cs="Arial"/>
          <w:sz w:val="24"/>
          <w:szCs w:val="24"/>
        </w:rPr>
        <w:t xml:space="preserve">En este sentido, la Ley de Transparencia y Acceso a la Información Pública del Estado de México y Municipios refiere que los </w:t>
      </w:r>
      <w:r w:rsidRPr="006A38F3">
        <w:rPr>
          <w:rFonts w:ascii="Palatino Linotype" w:hAnsi="Palatino Linotype" w:cs="Arial"/>
          <w:sz w:val="24"/>
          <w:szCs w:val="24"/>
          <w:lang w:eastAsia="es-MX"/>
        </w:rPr>
        <w:t xml:space="preserve">Sujetos Obligados deberán tener disponible en medio impreso o electrónico, de manera permanente y actualizada, de forma sencilla, </w:t>
      </w:r>
      <w:r w:rsidRPr="006A38F3">
        <w:rPr>
          <w:rFonts w:ascii="Palatino Linotype" w:hAnsi="Palatino Linotype" w:cs="Arial"/>
          <w:sz w:val="24"/>
          <w:szCs w:val="24"/>
          <w:lang w:eastAsia="es-MX"/>
        </w:rPr>
        <w:lastRenderedPageBreak/>
        <w:t xml:space="preserve">precisa y entendible para los particulares, </w:t>
      </w:r>
      <w:r w:rsidRPr="006A38F3">
        <w:rPr>
          <w:rFonts w:ascii="Palatino Linotype" w:hAnsi="Palatino Linotype" w:cs="Arial"/>
          <w:b/>
          <w:sz w:val="24"/>
          <w:szCs w:val="24"/>
          <w:u w:val="single"/>
        </w:rPr>
        <w:t>las remuneraciones</w:t>
      </w:r>
      <w:r w:rsidRPr="006A38F3">
        <w:rPr>
          <w:rFonts w:ascii="Palatino Linotype" w:hAnsi="Palatino Linotype" w:cs="Arial"/>
          <w:sz w:val="24"/>
          <w:szCs w:val="24"/>
        </w:rPr>
        <w:t xml:space="preserve"> que perciban los servidores públicos de acuerdo con lo establecido en el </w:t>
      </w:r>
      <w:r w:rsidRPr="006A38F3">
        <w:rPr>
          <w:rFonts w:ascii="Palatino Linotype" w:hAnsi="Palatino Linotype" w:cs="Arial"/>
          <w:b/>
          <w:sz w:val="24"/>
          <w:szCs w:val="24"/>
        </w:rPr>
        <w:t>Código Financiero del Estado de México y Municipios</w:t>
      </w:r>
      <w:r w:rsidRPr="006A38F3">
        <w:rPr>
          <w:rFonts w:ascii="Palatino Linotype" w:hAnsi="Palatino Linotype" w:cs="Arial"/>
          <w:sz w:val="24"/>
          <w:szCs w:val="24"/>
        </w:rPr>
        <w:t xml:space="preserve">. </w:t>
      </w:r>
      <w:r w:rsidR="00870ED2">
        <w:rPr>
          <w:rFonts w:ascii="Palatino Linotype" w:hAnsi="Palatino Linotype" w:cs="Arial"/>
        </w:rPr>
        <w:t xml:space="preserve"> </w:t>
      </w:r>
    </w:p>
    <w:p w14:paraId="723292BB" w14:textId="7921F4EF" w:rsidR="00BE72AE" w:rsidRDefault="00D84156" w:rsidP="000C6D4F">
      <w:pPr>
        <w:pStyle w:val="Sinespaciado"/>
        <w:spacing w:line="360" w:lineRule="auto"/>
        <w:jc w:val="both"/>
        <w:rPr>
          <w:rFonts w:ascii="Palatino Linotype" w:hAnsi="Palatino Linotype" w:cs="Arial"/>
          <w:lang w:val="es-ES"/>
        </w:rPr>
      </w:pPr>
      <w:r>
        <w:rPr>
          <w:rFonts w:ascii="Palatino Linotype" w:hAnsi="Palatino Linotype" w:cs="Arial"/>
          <w:lang w:val="es-ES"/>
        </w:rPr>
        <w:t>Por lo tanto es pertinente ordenar se haga entrega en versión pública de ser procedente, de lo siguiente:</w:t>
      </w:r>
    </w:p>
    <w:p w14:paraId="7CEE5784" w14:textId="3BB66B1B" w:rsidR="00D84156" w:rsidRPr="00870ED2" w:rsidRDefault="00D84156" w:rsidP="00D84156">
      <w:pPr>
        <w:pStyle w:val="Sinespaciado"/>
        <w:numPr>
          <w:ilvl w:val="0"/>
          <w:numId w:val="17"/>
        </w:numPr>
        <w:spacing w:line="360" w:lineRule="auto"/>
        <w:jc w:val="both"/>
        <w:rPr>
          <w:rFonts w:ascii="Palatino Linotype" w:hAnsi="Palatino Linotype" w:cs="Arial"/>
          <w:lang w:val="es-ES"/>
        </w:rPr>
      </w:pPr>
      <w:r w:rsidRPr="00D84156">
        <w:rPr>
          <w:rFonts w:ascii="Palatino Linotype" w:hAnsi="Palatino Linotype" w:cs="Arial"/>
          <w:lang w:val="es-ES"/>
        </w:rPr>
        <w:t xml:space="preserve">Los recibos de nómina de </w:t>
      </w:r>
      <w:r>
        <w:rPr>
          <w:rFonts w:ascii="Palatino Linotype" w:hAnsi="Palatino Linotype" w:cs="Arial"/>
          <w:lang w:val="es-ES"/>
        </w:rPr>
        <w:t xml:space="preserve">la segunda quincena de diciembre de dos mil veintiuno, la cual comprende del quince al treinta y uno de diciembre de dos mil veintiuno, así como de la primera y segunda quincenas de enero de dos mil veintidós, las cuales comprenden del primero al quince y del dieciséis al treinta y uno de enero de dos mil veintidós, </w:t>
      </w:r>
      <w:r w:rsidRPr="00D84156">
        <w:rPr>
          <w:rFonts w:ascii="Palatino Linotype" w:hAnsi="Palatino Linotype" w:cs="Arial"/>
          <w:lang w:val="es-ES"/>
        </w:rPr>
        <w:t>de los servidores públicos Andrés González Nieto, Director General de Gobierno y Jesús Andrés González Garatachia, Jefe del departamento de protección de datos personales de la Unidad de Transparencia</w:t>
      </w:r>
      <w:r>
        <w:rPr>
          <w:rFonts w:ascii="Palatino Linotype" w:hAnsi="Palatino Linotype" w:cs="Arial"/>
          <w:lang w:val="es-ES"/>
        </w:rPr>
        <w:t>, adscritos al Ayuntamiento de Acolman.</w:t>
      </w:r>
    </w:p>
    <w:p w14:paraId="705D4A16" w14:textId="77777777" w:rsidR="00AA0BCD" w:rsidRDefault="00AA0BCD" w:rsidP="000C6D4F">
      <w:pPr>
        <w:pStyle w:val="Sinespaciado"/>
        <w:spacing w:line="360" w:lineRule="auto"/>
        <w:jc w:val="both"/>
        <w:rPr>
          <w:rFonts w:ascii="Palatino Linotype" w:hAnsi="Palatino Linotype" w:cs="Arial"/>
        </w:rPr>
      </w:pPr>
    </w:p>
    <w:p w14:paraId="56F2B012" w14:textId="77777777" w:rsidR="00C36FE6" w:rsidRPr="00C22506" w:rsidRDefault="00C36FE6" w:rsidP="00C36FE6">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7598AFD" w14:textId="77777777" w:rsidR="00C36FE6" w:rsidRDefault="00C36FE6" w:rsidP="00C36FE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0135EDB2" w14:textId="77777777" w:rsidR="00C36FE6" w:rsidRPr="001571EB" w:rsidRDefault="00C36FE6" w:rsidP="00C36FE6">
      <w:pPr>
        <w:tabs>
          <w:tab w:val="left" w:pos="7938"/>
        </w:tabs>
        <w:spacing w:before="240" w:after="240" w:line="360" w:lineRule="auto"/>
        <w:jc w:val="both"/>
        <w:rPr>
          <w:rFonts w:ascii="Palatino Linotype" w:eastAsia="Arial Unicode MS" w:hAnsi="Palatino Linotype" w:cs="Arial"/>
          <w:sz w:val="24"/>
          <w:szCs w:val="24"/>
        </w:rPr>
      </w:pPr>
    </w:p>
    <w:p w14:paraId="0CEC7AB7" w14:textId="77777777" w:rsidR="00C36FE6" w:rsidRPr="00E60DEF" w:rsidRDefault="00C36FE6" w:rsidP="00C36FE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72C8909" w14:textId="77777777" w:rsidR="00C36FE6" w:rsidRPr="00E60DEF" w:rsidRDefault="00C36FE6" w:rsidP="00C36FE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291F959" w14:textId="77777777" w:rsidR="00C36FE6" w:rsidRPr="001571EB" w:rsidRDefault="00C36FE6" w:rsidP="00C36F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51789AD" w14:textId="77777777" w:rsidR="00C36FE6" w:rsidRPr="001571EB" w:rsidRDefault="00C36FE6" w:rsidP="00C36FE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3096A1F" w14:textId="77777777" w:rsidR="00C36FE6" w:rsidRPr="001571EB" w:rsidRDefault="00C36FE6" w:rsidP="00C36FE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B38EA8C" w14:textId="77777777" w:rsidR="00C36FE6" w:rsidRPr="001571EB" w:rsidRDefault="00C36FE6" w:rsidP="00C36FE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018ADB0C" w14:textId="77777777" w:rsidR="00C36FE6" w:rsidRPr="001571EB" w:rsidRDefault="00C36FE6" w:rsidP="00C36F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7021B46" w14:textId="77777777" w:rsidR="00C36FE6" w:rsidRPr="001571EB" w:rsidRDefault="00C36FE6" w:rsidP="00C36FE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6DD23F3" w14:textId="77777777" w:rsidR="00C36FE6" w:rsidRPr="001571EB" w:rsidRDefault="00C36FE6" w:rsidP="00C36FE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CB8E636" w14:textId="77777777" w:rsidR="00C36FE6" w:rsidRPr="00E60DEF" w:rsidRDefault="00C36FE6" w:rsidP="00C36FE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C6483A7" w14:textId="77777777" w:rsidR="00C36FE6" w:rsidRPr="001571EB" w:rsidRDefault="00C36FE6" w:rsidP="00C36FE6">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771B75EE" w14:textId="77777777" w:rsidR="00C36FE6" w:rsidRDefault="00C36FE6" w:rsidP="00C36FE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3882A9D" w14:textId="77777777" w:rsidR="00C36FE6" w:rsidRDefault="00C36FE6" w:rsidP="00C36FE6">
      <w:pPr>
        <w:spacing w:after="0" w:line="360" w:lineRule="auto"/>
        <w:ind w:right="51"/>
        <w:jc w:val="both"/>
        <w:rPr>
          <w:rFonts w:ascii="Palatino Linotype" w:eastAsia="Arial Unicode MS" w:hAnsi="Palatino Linotype" w:cs="Arial"/>
          <w:sz w:val="24"/>
          <w:szCs w:val="24"/>
        </w:rPr>
      </w:pPr>
    </w:p>
    <w:p w14:paraId="49D7AC51" w14:textId="04DFD346" w:rsidR="00C36FE6" w:rsidRPr="001571EB" w:rsidRDefault="00C36FE6" w:rsidP="00C36FE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w:t>
      </w:r>
      <w:r w:rsidR="006D191D">
        <w:rPr>
          <w:rFonts w:ascii="Palatino Linotype" w:hAnsi="Palatino Linotype" w:cs="Arial"/>
          <w:sz w:val="24"/>
          <w:szCs w:val="24"/>
        </w:rPr>
        <w:t>particular, teléfono particular</w:t>
      </w:r>
      <w:r w:rsidRPr="001571EB">
        <w:rPr>
          <w:rFonts w:ascii="Palatino Linotype" w:hAnsi="Palatino Linotype" w:cs="Arial"/>
          <w:sz w:val="24"/>
          <w:szCs w:val="24"/>
        </w:rPr>
        <w:t>.</w:t>
      </w:r>
    </w:p>
    <w:p w14:paraId="71FA6CD3" w14:textId="77777777" w:rsidR="00C36FE6" w:rsidRPr="001571EB" w:rsidRDefault="00C36FE6" w:rsidP="00C36FE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F2DCCD8" w14:textId="77777777" w:rsidR="00C36FE6" w:rsidRPr="001571EB" w:rsidRDefault="00C36FE6" w:rsidP="00C36F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B184D6B" w14:textId="77777777" w:rsidR="00C36FE6" w:rsidRDefault="00C36FE6" w:rsidP="00C36FE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E5EB845" w14:textId="77777777" w:rsidR="00C36FE6" w:rsidRDefault="00C36FE6" w:rsidP="00C36FE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52D003F6"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134C67E"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0AF863F"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8BDFABF"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B4965C1" w14:textId="77777777" w:rsidR="00C36FE6" w:rsidRPr="00EE0180"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9D153F7" w14:textId="77777777" w:rsidR="00C36FE6" w:rsidRPr="001571EB" w:rsidRDefault="00C36FE6" w:rsidP="00C36FE6">
      <w:pPr>
        <w:autoSpaceDE w:val="0"/>
        <w:autoSpaceDN w:val="0"/>
        <w:adjustRightInd w:val="0"/>
        <w:spacing w:before="120" w:after="120"/>
        <w:ind w:left="567" w:right="850"/>
        <w:jc w:val="both"/>
        <w:rPr>
          <w:rFonts w:ascii="Palatino Linotype" w:eastAsia="Times New Roman" w:hAnsi="Palatino Linotype" w:cs="Arial"/>
          <w:i/>
        </w:rPr>
      </w:pPr>
    </w:p>
    <w:p w14:paraId="0E8EDCB6" w14:textId="77777777" w:rsidR="00C36FE6" w:rsidRPr="001571EB" w:rsidRDefault="00C36FE6" w:rsidP="00C36FE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9B5EB84" w14:textId="77777777" w:rsidR="00C36FE6" w:rsidRPr="001571EB" w:rsidRDefault="00C36FE6" w:rsidP="00C36FE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7318DFAC" w14:textId="77777777" w:rsidR="00C36FE6" w:rsidRDefault="00C36FE6" w:rsidP="00C36FE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C49B695" w14:textId="77777777" w:rsidR="00C36FE6" w:rsidRDefault="00C36FE6" w:rsidP="00C36FE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2EE3796"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7D75DF2"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C3BC855"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5C81404A" w14:textId="77777777" w:rsidR="00C36FE6" w:rsidRPr="001571EB"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58C47CC" w14:textId="77777777" w:rsidR="00C36FE6" w:rsidRDefault="00C36FE6" w:rsidP="00C36FE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1AB530C" w14:textId="77777777" w:rsidR="00C36FE6" w:rsidRDefault="00C36FE6" w:rsidP="00C36FE6">
      <w:pPr>
        <w:spacing w:after="0" w:line="360" w:lineRule="auto"/>
        <w:ind w:right="51"/>
        <w:jc w:val="both"/>
        <w:rPr>
          <w:rFonts w:ascii="Palatino Linotype" w:hAnsi="Palatino Linotype" w:cs="Arial"/>
          <w:sz w:val="24"/>
          <w:szCs w:val="24"/>
        </w:rPr>
      </w:pPr>
    </w:p>
    <w:p w14:paraId="349DC974" w14:textId="77777777" w:rsidR="00C36FE6" w:rsidRPr="00093BF2" w:rsidRDefault="00C36FE6" w:rsidP="00C36FE6">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rPr>
        <w:t xml:space="preserve">Finalmente se destaca que a </w:t>
      </w:r>
      <w:r w:rsidRPr="00093BF2">
        <w:rPr>
          <w:rFonts w:ascii="Palatino Linotype" w:hAnsi="Palatino Linotype" w:cs="Arial"/>
          <w:sz w:val="24"/>
          <w:lang w:eastAsia="es-MX"/>
        </w:rPr>
        <w:t xml:space="preserve">criterio de este Instituto la información relativa al nombre de los servidores públicos que ocupan un cargo en las dependencias de gobierno </w:t>
      </w:r>
      <w:r w:rsidRPr="00093BF2">
        <w:rPr>
          <w:rFonts w:ascii="Palatino Linotype" w:hAnsi="Palatino Linotype" w:cs="Arial"/>
          <w:sz w:val="24"/>
          <w:lang w:eastAsia="es-MX"/>
        </w:rPr>
        <w:lastRenderedPageBreak/>
        <w:t xml:space="preserve">encargadas de la seguridad pública, debe ser objeto de un proceso de </w:t>
      </w:r>
      <w:r w:rsidRPr="00093BF2">
        <w:rPr>
          <w:rFonts w:ascii="Palatino Linotype" w:hAnsi="Palatino Linotype" w:cs="Arial"/>
          <w:b/>
          <w:sz w:val="24"/>
          <w:u w:val="single"/>
          <w:lang w:eastAsia="es-MX"/>
        </w:rPr>
        <w:t>reserva de la información</w:t>
      </w:r>
      <w:r w:rsidRPr="00093BF2">
        <w:rPr>
          <w:rFonts w:ascii="Palatino Linotype" w:hAnsi="Palatino Linotype" w:cs="Arial"/>
          <w:sz w:val="24"/>
          <w:lang w:eastAsia="es-MX"/>
        </w:rPr>
        <w:t>, para no hacer identificable al titular de tal dato personal.</w:t>
      </w:r>
    </w:p>
    <w:p w14:paraId="244635AB" w14:textId="77777777" w:rsidR="00C36FE6" w:rsidRPr="00093BF2" w:rsidRDefault="00C36FE6" w:rsidP="00C36FE6">
      <w:pPr>
        <w:spacing w:after="0" w:line="360" w:lineRule="auto"/>
        <w:jc w:val="both"/>
        <w:rPr>
          <w:rFonts w:ascii="Palatino Linotype" w:eastAsia="Times New Roman" w:hAnsi="Palatino Linotype" w:cs="Times New Roman"/>
          <w:sz w:val="24"/>
          <w:szCs w:val="24"/>
          <w:lang w:val="es-ES" w:eastAsia="es-ES"/>
        </w:rPr>
      </w:pPr>
    </w:p>
    <w:p w14:paraId="3485A262" w14:textId="77777777" w:rsidR="00C36FE6" w:rsidRPr="00093BF2" w:rsidRDefault="00C36FE6" w:rsidP="00C36FE6">
      <w:pPr>
        <w:spacing w:after="0" w:line="360" w:lineRule="auto"/>
        <w:jc w:val="both"/>
        <w:rPr>
          <w:rFonts w:ascii="Palatino Linotype" w:eastAsia="Times New Roman" w:hAnsi="Palatino Linotype" w:cs="Times New Roman"/>
          <w:sz w:val="24"/>
          <w:szCs w:val="24"/>
          <w:lang w:val="es-ES" w:eastAsia="es-ES"/>
        </w:rPr>
      </w:pPr>
      <w:r w:rsidRPr="00093BF2">
        <w:rPr>
          <w:rFonts w:ascii="Palatino Linotype" w:hAnsi="Palatino Linotype" w:cs="Arial"/>
          <w:sz w:val="24"/>
          <w:lang w:eastAsia="es-MX"/>
        </w:rPr>
        <w:t>Ello, conforme al propio concepto de versión pública contenido en el artículo 3, fracción XXIV, de la multicitada Ley se define como:</w:t>
      </w:r>
    </w:p>
    <w:p w14:paraId="05B36B76" w14:textId="77777777" w:rsidR="00C36FE6" w:rsidRPr="00093BF2" w:rsidRDefault="00C36FE6" w:rsidP="00C36FE6">
      <w:pPr>
        <w:pStyle w:val="Citas"/>
        <w:rPr>
          <w:lang w:eastAsia="es-MX"/>
        </w:rPr>
      </w:pPr>
      <w:r w:rsidRPr="00093BF2">
        <w:rPr>
          <w:lang w:eastAsia="es-MX"/>
        </w:rPr>
        <w:t>“</w:t>
      </w:r>
      <w:r w:rsidRPr="00093BF2">
        <w:rPr>
          <w:b/>
          <w:lang w:eastAsia="es-MX"/>
        </w:rPr>
        <w:t xml:space="preserve">XXIV. </w:t>
      </w:r>
      <w:r w:rsidRPr="00093BF2">
        <w:rPr>
          <w:lang w:eastAsia="es-MX"/>
        </w:rPr>
        <w:t>Información reservada: La clasificada con este carácter de manera temporal por las disposiciones de esta Ley, cuya divulgación puede causar daño en términos de lo establecido por esta Ley;”</w:t>
      </w:r>
    </w:p>
    <w:p w14:paraId="4F2E49E2" w14:textId="77777777" w:rsidR="00C36FE6" w:rsidRPr="00093BF2" w:rsidRDefault="00C36FE6" w:rsidP="00C36FE6">
      <w:pPr>
        <w:autoSpaceDE w:val="0"/>
        <w:autoSpaceDN w:val="0"/>
        <w:adjustRightInd w:val="0"/>
        <w:spacing w:before="240" w:after="360" w:line="360" w:lineRule="auto"/>
        <w:jc w:val="both"/>
        <w:rPr>
          <w:rFonts w:ascii="Palatino Linotype" w:hAnsi="Palatino Linotype" w:cs="Arial"/>
          <w:sz w:val="24"/>
          <w:lang w:eastAsia="es-MX"/>
        </w:rPr>
      </w:pPr>
      <w:r>
        <w:rPr>
          <w:rFonts w:ascii="Palatino Linotype" w:hAnsi="Palatino Linotype" w:cs="Arial"/>
          <w:sz w:val="24"/>
          <w:szCs w:val="24"/>
        </w:rPr>
        <w:t xml:space="preserve">De forma complementaria, </w:t>
      </w:r>
      <w:r w:rsidRPr="00093BF2">
        <w:rPr>
          <w:rFonts w:ascii="Palatino Linotype" w:hAnsi="Palatino Linotype" w:cs="Arial"/>
          <w:sz w:val="24"/>
          <w:lang w:eastAsia="es-MX"/>
        </w:rPr>
        <w:t xml:space="preserve">el artículo 81, fracción III, de la Ley de Seguridad del Estado de México, establece lo siguiente: </w:t>
      </w:r>
    </w:p>
    <w:p w14:paraId="3DD54FE6" w14:textId="77777777" w:rsidR="00C36FE6" w:rsidRPr="00093BF2" w:rsidRDefault="00C36FE6" w:rsidP="00C36FE6">
      <w:pPr>
        <w:pStyle w:val="Citas"/>
        <w:rPr>
          <w:lang w:eastAsia="es-MX"/>
        </w:rPr>
      </w:pPr>
      <w:r w:rsidRPr="00093BF2">
        <w:rPr>
          <w:lang w:eastAsia="es-MX"/>
        </w:rPr>
        <w:t>“</w:t>
      </w:r>
      <w:r w:rsidRPr="00093BF2">
        <w:rPr>
          <w:b/>
          <w:lang w:eastAsia="es-MX"/>
        </w:rPr>
        <w:t>Artículo 81</w:t>
      </w:r>
      <w:r w:rsidRPr="00093BF2">
        <w:rPr>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93BF2">
        <w:rPr>
          <w:b/>
          <w:u w:val="single"/>
          <w:lang w:eastAsia="es-MX"/>
        </w:rPr>
        <w:t>esta información se considerará reservada en los casos siguientes</w:t>
      </w:r>
      <w:r w:rsidRPr="00093BF2">
        <w:rPr>
          <w:lang w:eastAsia="es-MX"/>
        </w:rPr>
        <w:t>:</w:t>
      </w:r>
    </w:p>
    <w:p w14:paraId="3B66FA81" w14:textId="77777777" w:rsidR="00C36FE6" w:rsidRPr="00093BF2" w:rsidRDefault="00C36FE6" w:rsidP="00C36FE6">
      <w:pPr>
        <w:pStyle w:val="Citas"/>
        <w:rPr>
          <w:lang w:eastAsia="es-MX"/>
        </w:rPr>
      </w:pPr>
      <w:r w:rsidRPr="00093BF2">
        <w:rPr>
          <w:lang w:eastAsia="es-MX"/>
        </w:rPr>
        <w:t>(…)</w:t>
      </w:r>
    </w:p>
    <w:p w14:paraId="78A4F96E" w14:textId="77777777" w:rsidR="00C36FE6" w:rsidRPr="00093BF2" w:rsidRDefault="00C36FE6" w:rsidP="00C36FE6">
      <w:pPr>
        <w:pStyle w:val="Citas"/>
        <w:rPr>
          <w:lang w:eastAsia="es-MX"/>
        </w:rPr>
      </w:pPr>
      <w:r w:rsidRPr="00093BF2">
        <w:rPr>
          <w:lang w:eastAsia="es-MX"/>
        </w:rPr>
        <w:t xml:space="preserve">III. </w:t>
      </w:r>
      <w:r w:rsidRPr="00093BF2">
        <w:rPr>
          <w:b/>
          <w:u w:val="single"/>
          <w:lang w:eastAsia="es-MX"/>
        </w:rPr>
        <w:t>La relativa a servidores públicos miembros de las instituciones de seguridad pública, cuya revelación pueda poner en riesgo su vida e integridad física con motivo de sus funciones</w:t>
      </w:r>
      <w:r w:rsidRPr="00093BF2">
        <w:rPr>
          <w:lang w:eastAsia="es-MX"/>
        </w:rPr>
        <w:t>;”</w:t>
      </w:r>
    </w:p>
    <w:p w14:paraId="6C01F79B" w14:textId="77777777" w:rsidR="00C36FE6" w:rsidRDefault="00C36FE6" w:rsidP="00C36FE6">
      <w:pPr>
        <w:spacing w:after="0" w:line="360" w:lineRule="auto"/>
        <w:ind w:right="51"/>
        <w:jc w:val="both"/>
        <w:rPr>
          <w:rFonts w:ascii="Palatino Linotype" w:hAnsi="Palatino Linotype" w:cs="Arial"/>
          <w:sz w:val="24"/>
          <w:szCs w:val="24"/>
        </w:rPr>
      </w:pPr>
    </w:p>
    <w:p w14:paraId="2284DEE2" w14:textId="77777777" w:rsidR="00C36FE6" w:rsidRPr="00093BF2" w:rsidRDefault="00C36FE6" w:rsidP="00C36FE6">
      <w:pPr>
        <w:spacing w:after="0" w:line="360" w:lineRule="auto"/>
        <w:jc w:val="both"/>
        <w:rPr>
          <w:rFonts w:ascii="Palatino Linotype" w:hAnsi="Palatino Linotype" w:cs="Arial"/>
          <w:sz w:val="24"/>
          <w:lang w:eastAsia="es-MX"/>
        </w:rPr>
      </w:pPr>
      <w:r w:rsidRPr="00093BF2">
        <w:rPr>
          <w:rFonts w:ascii="Palatino Linotype" w:hAnsi="Palatino Linotype" w:cs="Arial"/>
          <w:sz w:val="24"/>
          <w:lang w:eastAsia="es-MX"/>
        </w:rPr>
        <w:t xml:space="preserve">Es importante mencionar que la causal de reserva antes señalada, puede ubicarse en los supuestos previstos por los artículos 140, fracción IV, de la Ley de Transparencia y  </w:t>
      </w:r>
      <w:r w:rsidRPr="00093BF2">
        <w:rPr>
          <w:rFonts w:ascii="Palatino Linotype" w:hAnsi="Palatino Linotype" w:cs="Arial"/>
          <w:sz w:val="24"/>
          <w:lang w:eastAsia="es-MX"/>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E675B64" w14:textId="77777777" w:rsidR="00C36FE6" w:rsidRPr="00093BF2" w:rsidRDefault="00C36FE6" w:rsidP="00C36FE6">
      <w:pPr>
        <w:spacing w:after="0" w:line="360" w:lineRule="auto"/>
        <w:jc w:val="both"/>
        <w:rPr>
          <w:rFonts w:ascii="Palatino Linotype" w:hAnsi="Palatino Linotype" w:cs="Arial"/>
          <w:sz w:val="24"/>
          <w:lang w:eastAsia="es-MX"/>
        </w:rPr>
      </w:pPr>
    </w:p>
    <w:p w14:paraId="72C9473D" w14:textId="77777777" w:rsidR="00C36FE6" w:rsidRDefault="00C36FE6" w:rsidP="00C36FE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A562ED3" w14:textId="77777777" w:rsidR="0051134E" w:rsidRDefault="0051134E" w:rsidP="00C36FE6">
      <w:pPr>
        <w:spacing w:after="0" w:line="360" w:lineRule="auto"/>
        <w:ind w:right="51"/>
        <w:jc w:val="both"/>
        <w:rPr>
          <w:rFonts w:ascii="Palatino Linotype" w:hAnsi="Palatino Linotype" w:cs="Arial"/>
          <w:sz w:val="24"/>
          <w:szCs w:val="24"/>
        </w:rPr>
      </w:pPr>
    </w:p>
    <w:p w14:paraId="3A9B6E35" w14:textId="77777777" w:rsidR="0051134E" w:rsidRPr="0051134E" w:rsidRDefault="0051134E" w:rsidP="0051134E">
      <w:pPr>
        <w:autoSpaceDE w:val="0"/>
        <w:autoSpaceDN w:val="0"/>
        <w:adjustRightInd w:val="0"/>
        <w:spacing w:line="360" w:lineRule="auto"/>
        <w:ind w:left="360"/>
        <w:jc w:val="both"/>
        <w:rPr>
          <w:rFonts w:ascii="Palatino Linotype" w:hAnsi="Palatino Linotype"/>
          <w:b/>
          <w:i/>
          <w:sz w:val="32"/>
          <w:u w:val="single"/>
        </w:rPr>
      </w:pPr>
      <w:r w:rsidRPr="0051134E">
        <w:rPr>
          <w:rFonts w:ascii="Palatino Linotype" w:hAnsi="Palatino Linotype"/>
          <w:b/>
          <w:i/>
          <w:sz w:val="32"/>
          <w:u w:val="single"/>
        </w:rPr>
        <w:t xml:space="preserve">Vista a los Órganos de Control Interno </w:t>
      </w:r>
    </w:p>
    <w:p w14:paraId="77DFAFC8" w14:textId="77777777" w:rsidR="0051134E" w:rsidRPr="0051134E" w:rsidRDefault="0051134E" w:rsidP="0051134E">
      <w:pPr>
        <w:spacing w:line="360" w:lineRule="auto"/>
        <w:contextualSpacing/>
        <w:jc w:val="both"/>
        <w:rPr>
          <w:rFonts w:ascii="Palatino Linotype" w:eastAsia="MS Mincho" w:hAnsi="Palatino Linotype"/>
          <w:sz w:val="24"/>
          <w:lang w:val="es-ES_tradnl"/>
        </w:rPr>
      </w:pPr>
      <w:r w:rsidRPr="0051134E">
        <w:rPr>
          <w:rFonts w:ascii="Palatino Linotype" w:eastAsia="MS Mincho" w:hAnsi="Palatino Linotype"/>
          <w:sz w:val="24"/>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51134E">
        <w:rPr>
          <w:rFonts w:ascii="Palatino Linotype" w:eastAsia="MS Mincho" w:hAnsi="Palatino Linotype"/>
          <w:sz w:val="24"/>
          <w:lang w:val="es-ES_tradnl"/>
        </w:rPr>
        <w:lastRenderedPageBreak/>
        <w:t xml:space="preserve">el recurso de revisión, se dará vista al área competente para que en ejercicio de sus atribuciones realice las investigaciones pertinentes por las omisiones detectadas atribuibles al </w:t>
      </w:r>
      <w:r w:rsidRPr="0051134E">
        <w:rPr>
          <w:rFonts w:ascii="Palatino Linotype" w:eastAsia="MS Mincho" w:hAnsi="Palatino Linotype"/>
          <w:b/>
          <w:sz w:val="24"/>
          <w:lang w:val="es-ES_tradnl"/>
        </w:rPr>
        <w:t>Sujeto Obligado</w:t>
      </w:r>
      <w:r w:rsidRPr="0051134E">
        <w:rPr>
          <w:rFonts w:ascii="Palatino Linotype" w:eastAsia="MS Mincho" w:hAnsi="Palatino Linotype"/>
          <w:sz w:val="24"/>
          <w:lang w:val="es-ES_tradnl"/>
        </w:rPr>
        <w:t>.</w:t>
      </w:r>
    </w:p>
    <w:p w14:paraId="5B678543" w14:textId="77777777" w:rsidR="0051134E" w:rsidRPr="0051134E" w:rsidRDefault="0051134E" w:rsidP="0051134E">
      <w:pPr>
        <w:spacing w:line="360" w:lineRule="auto"/>
        <w:contextualSpacing/>
        <w:jc w:val="both"/>
        <w:rPr>
          <w:rFonts w:ascii="Palatino Linotype" w:eastAsia="MS Mincho" w:hAnsi="Palatino Linotype"/>
          <w:sz w:val="24"/>
        </w:rPr>
      </w:pPr>
    </w:p>
    <w:p w14:paraId="2D70540D" w14:textId="77777777" w:rsidR="0051134E" w:rsidRPr="009A31AE" w:rsidRDefault="0051134E" w:rsidP="0051134E">
      <w:pPr>
        <w:spacing w:line="360" w:lineRule="auto"/>
        <w:contextualSpacing/>
        <w:jc w:val="both"/>
        <w:rPr>
          <w:rFonts w:ascii="Palatino Linotype" w:eastAsia="MS Mincho" w:hAnsi="Palatino Linotype"/>
        </w:rPr>
      </w:pPr>
      <w:r w:rsidRPr="0051134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r w:rsidRPr="009A31AE">
        <w:rPr>
          <w:rFonts w:ascii="Palatino Linotype" w:eastAsia="MS Mincho" w:hAnsi="Palatino Linotype"/>
        </w:rPr>
        <w:t>:</w:t>
      </w:r>
    </w:p>
    <w:p w14:paraId="4955421A" w14:textId="77777777" w:rsidR="0051134E" w:rsidRPr="009A31AE" w:rsidRDefault="0051134E" w:rsidP="0051134E">
      <w:pPr>
        <w:spacing w:line="360" w:lineRule="auto"/>
        <w:contextualSpacing/>
        <w:jc w:val="both"/>
        <w:rPr>
          <w:rFonts w:ascii="Palatino Linotype" w:eastAsia="MS Mincho" w:hAnsi="Palatino Linotype"/>
          <w:sz w:val="16"/>
        </w:rPr>
      </w:pPr>
    </w:p>
    <w:p w14:paraId="66D5AEF1" w14:textId="77777777" w:rsidR="0051134E" w:rsidRPr="009A31AE" w:rsidRDefault="0051134E" w:rsidP="0051134E">
      <w:pPr>
        <w:ind w:left="567" w:right="567"/>
        <w:contextualSpacing/>
        <w:jc w:val="both"/>
        <w:rPr>
          <w:rFonts w:ascii="Palatino Linotype" w:eastAsia="MS Mincho" w:hAnsi="Palatino Linotype"/>
          <w:i/>
        </w:rPr>
      </w:pPr>
      <w:r w:rsidRPr="009A31AE">
        <w:rPr>
          <w:rFonts w:ascii="Palatino Linotype" w:eastAsia="MS Mincho" w:hAnsi="Palatino Linotype"/>
          <w:b/>
          <w:i/>
        </w:rPr>
        <w:t>Artículo 36.</w:t>
      </w:r>
      <w:r w:rsidRPr="009A31AE">
        <w:rPr>
          <w:rFonts w:ascii="Palatino Linotype" w:eastAsia="MS Mincho" w:hAnsi="Palatino Linotype"/>
          <w:i/>
        </w:rPr>
        <w:t xml:space="preserve"> El Instituto tendrá, en el ámbito de su competencia, las siguientes atribuciones:</w:t>
      </w:r>
    </w:p>
    <w:p w14:paraId="2EA5490A" w14:textId="77777777" w:rsidR="0051134E" w:rsidRPr="009A31AE" w:rsidRDefault="0051134E" w:rsidP="0051134E">
      <w:pPr>
        <w:ind w:left="567" w:right="567"/>
        <w:contextualSpacing/>
        <w:jc w:val="both"/>
        <w:rPr>
          <w:rFonts w:ascii="Palatino Linotype" w:eastAsia="MS Mincho" w:hAnsi="Palatino Linotype"/>
          <w:i/>
        </w:rPr>
      </w:pPr>
      <w:r w:rsidRPr="009A31AE">
        <w:rPr>
          <w:rFonts w:ascii="Palatino Linotype" w:eastAsia="MS Mincho" w:hAnsi="Palatino Linotype"/>
          <w:i/>
        </w:rPr>
        <w:t>(…)</w:t>
      </w:r>
    </w:p>
    <w:p w14:paraId="15EFD748" w14:textId="77777777" w:rsidR="0051134E" w:rsidRPr="009A31AE" w:rsidRDefault="0051134E" w:rsidP="0051134E">
      <w:pPr>
        <w:ind w:left="567" w:right="567"/>
        <w:contextualSpacing/>
        <w:jc w:val="both"/>
        <w:rPr>
          <w:rFonts w:ascii="Palatino Linotype" w:eastAsia="MS Mincho" w:hAnsi="Palatino Linotype"/>
          <w:i/>
        </w:rPr>
      </w:pPr>
      <w:r w:rsidRPr="009A31AE">
        <w:rPr>
          <w:rFonts w:ascii="Palatino Linotype" w:eastAsia="MS Mincho" w:hAnsi="Palatino Linotype"/>
          <w:i/>
        </w:rPr>
        <w:t xml:space="preserve">X. Hacer del conocimiento del órgano de control interno o equivalente de cada Sujeto Obligado las infracciones a esta Ley; </w:t>
      </w:r>
    </w:p>
    <w:p w14:paraId="2D22A60C" w14:textId="77777777" w:rsidR="0051134E" w:rsidRPr="009A31AE" w:rsidRDefault="0051134E" w:rsidP="0051134E">
      <w:pPr>
        <w:spacing w:line="360" w:lineRule="auto"/>
        <w:contextualSpacing/>
        <w:jc w:val="both"/>
        <w:rPr>
          <w:rFonts w:ascii="Palatino Linotype" w:eastAsia="MS Mincho" w:hAnsi="Palatino Linotype"/>
        </w:rPr>
      </w:pPr>
    </w:p>
    <w:p w14:paraId="2548D960" w14:textId="77777777" w:rsidR="0051134E" w:rsidRPr="0051134E" w:rsidRDefault="0051134E" w:rsidP="0051134E">
      <w:pPr>
        <w:spacing w:line="360" w:lineRule="auto"/>
        <w:contextualSpacing/>
        <w:jc w:val="both"/>
        <w:rPr>
          <w:rFonts w:ascii="Palatino Linotype" w:eastAsia="MS Mincho" w:hAnsi="Palatino Linotype" w:cs="Arial"/>
          <w:sz w:val="24"/>
        </w:rPr>
      </w:pPr>
      <w:r w:rsidRPr="0051134E">
        <w:rPr>
          <w:rFonts w:ascii="Palatino Linotype" w:eastAsia="MS Mincho" w:hAnsi="Palatino Linotype"/>
          <w:sz w:val="24"/>
        </w:rPr>
        <w:t xml:space="preserve">Asimismo, este Pleno hará del conocimiento del órgano de control de este Instituto de las infracciones en que el </w:t>
      </w:r>
      <w:r w:rsidRPr="0051134E">
        <w:rPr>
          <w:rFonts w:ascii="Palatino Linotype" w:eastAsia="MS Mincho" w:hAnsi="Palatino Linotype"/>
          <w:b/>
          <w:sz w:val="24"/>
        </w:rPr>
        <w:t>Sujeto Obligado</w:t>
      </w:r>
      <w:r w:rsidRPr="0051134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1134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76C8087F" w14:textId="77777777" w:rsidR="0051134E" w:rsidRPr="009A31AE" w:rsidRDefault="0051134E" w:rsidP="0051134E">
      <w:pPr>
        <w:pStyle w:val="Sinespaciado"/>
        <w:rPr>
          <w:rFonts w:eastAsia="MS Mincho"/>
          <w:sz w:val="22"/>
        </w:rPr>
      </w:pPr>
    </w:p>
    <w:p w14:paraId="72FADB0E" w14:textId="77777777" w:rsidR="0051134E" w:rsidRPr="009A31AE" w:rsidRDefault="0051134E" w:rsidP="0051134E">
      <w:pPr>
        <w:pStyle w:val="Sinespaciado"/>
        <w:rPr>
          <w:sz w:val="8"/>
        </w:rPr>
      </w:pPr>
    </w:p>
    <w:p w14:paraId="1CB2B015" w14:textId="77777777" w:rsidR="0051134E" w:rsidRPr="009A31AE" w:rsidRDefault="0051134E" w:rsidP="0051134E">
      <w:pPr>
        <w:ind w:left="567" w:right="567"/>
        <w:contextualSpacing/>
        <w:jc w:val="both"/>
        <w:rPr>
          <w:rFonts w:ascii="Palatino Linotype" w:eastAsia="MS Mincho" w:hAnsi="Palatino Linotype"/>
          <w:i/>
        </w:rPr>
      </w:pPr>
      <w:r w:rsidRPr="009A31AE">
        <w:rPr>
          <w:rFonts w:ascii="Palatino Linotype" w:eastAsia="MS Mincho" w:hAnsi="Palatino Linotype"/>
          <w:b/>
          <w:i/>
        </w:rPr>
        <w:t>Artículo 190.</w:t>
      </w:r>
      <w:r w:rsidRPr="009A31AE">
        <w:rPr>
          <w:rFonts w:ascii="Palatino Linotype" w:eastAsia="MS Mincho"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E19E32F" w14:textId="77777777" w:rsidR="0051134E" w:rsidRPr="009A31AE" w:rsidRDefault="0051134E" w:rsidP="0051134E">
      <w:pPr>
        <w:ind w:left="567" w:right="567"/>
        <w:contextualSpacing/>
        <w:jc w:val="both"/>
        <w:rPr>
          <w:rFonts w:ascii="Palatino Linotype" w:eastAsia="MS Mincho" w:hAnsi="Palatino Linotype"/>
          <w:i/>
        </w:rPr>
      </w:pPr>
    </w:p>
    <w:p w14:paraId="122D357A" w14:textId="77777777" w:rsidR="0051134E" w:rsidRPr="009A31AE" w:rsidRDefault="0051134E" w:rsidP="0051134E">
      <w:pPr>
        <w:ind w:left="567" w:right="567"/>
        <w:contextualSpacing/>
        <w:jc w:val="both"/>
        <w:rPr>
          <w:rFonts w:ascii="Palatino Linotype" w:eastAsia="MS Mincho" w:hAnsi="Palatino Linotype"/>
          <w:i/>
        </w:rPr>
      </w:pPr>
      <w:r w:rsidRPr="009A31AE">
        <w:rPr>
          <w:rFonts w:ascii="Palatino Linotype" w:eastAsia="MS Mincho" w:hAnsi="Palatino Linotype"/>
          <w:b/>
          <w:i/>
        </w:rPr>
        <w:lastRenderedPageBreak/>
        <w:t>Artículo 222.</w:t>
      </w:r>
      <w:r w:rsidRPr="009A31AE">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14:paraId="6B695406" w14:textId="77777777" w:rsidR="0051134E" w:rsidRPr="009A31AE" w:rsidRDefault="0051134E" w:rsidP="0051134E">
      <w:pPr>
        <w:ind w:left="567" w:right="567"/>
        <w:contextualSpacing/>
        <w:jc w:val="both"/>
        <w:rPr>
          <w:rFonts w:ascii="Palatino Linotype" w:eastAsia="MS Mincho" w:hAnsi="Palatino Linotype"/>
          <w:i/>
        </w:rPr>
      </w:pPr>
      <w:r w:rsidRPr="009A31AE">
        <w:rPr>
          <w:rFonts w:ascii="Palatino Linotype" w:eastAsia="MS Mincho" w:hAnsi="Palatino Linotype"/>
          <w:i/>
        </w:rPr>
        <w:t>(…)</w:t>
      </w:r>
    </w:p>
    <w:p w14:paraId="42C947B1" w14:textId="77777777" w:rsidR="0051134E" w:rsidRPr="009A31AE" w:rsidRDefault="0051134E" w:rsidP="0051134E">
      <w:pPr>
        <w:ind w:left="567" w:right="567"/>
        <w:contextualSpacing/>
        <w:jc w:val="both"/>
        <w:rPr>
          <w:rFonts w:ascii="Palatino Linotype" w:eastAsia="MS Mincho" w:hAnsi="Palatino Linotype"/>
          <w:b/>
          <w:i/>
        </w:rPr>
      </w:pPr>
      <w:r w:rsidRPr="009A31AE">
        <w:rPr>
          <w:rFonts w:ascii="Palatino Linotype" w:eastAsia="MS Mincho" w:hAnsi="Palatino Linotype"/>
          <w:b/>
          <w:i/>
        </w:rPr>
        <w:t xml:space="preserve">I. Cualquier acto u </w:t>
      </w:r>
      <w:r w:rsidRPr="009A31AE">
        <w:rPr>
          <w:rFonts w:ascii="Palatino Linotype" w:eastAsia="MS Mincho" w:hAnsi="Palatino Linotype"/>
          <w:b/>
          <w:i/>
          <w:u w:val="single"/>
        </w:rPr>
        <w:t>omisión</w:t>
      </w:r>
      <w:r w:rsidRPr="009A31AE">
        <w:rPr>
          <w:rFonts w:ascii="Palatino Linotype" w:eastAsia="MS Mincho" w:hAnsi="Palatino Linotype"/>
          <w:b/>
          <w:i/>
        </w:rPr>
        <w:t xml:space="preserve"> que provoque la suspensión o deficiencia en la atención de las solicitudes de información;</w:t>
      </w:r>
    </w:p>
    <w:p w14:paraId="3ED01F27" w14:textId="77777777" w:rsidR="0051134E" w:rsidRPr="009A31AE" w:rsidRDefault="0051134E" w:rsidP="0051134E">
      <w:pPr>
        <w:ind w:left="567" w:right="567"/>
        <w:contextualSpacing/>
        <w:jc w:val="both"/>
        <w:rPr>
          <w:rFonts w:ascii="Palatino Linotype" w:eastAsia="MS Mincho" w:hAnsi="Palatino Linotype"/>
          <w:i/>
        </w:rPr>
      </w:pPr>
      <w:r w:rsidRPr="009A31AE">
        <w:rPr>
          <w:rFonts w:ascii="Palatino Linotype" w:eastAsia="MS Mincho" w:hAnsi="Palatino Linotype"/>
          <w:b/>
          <w:i/>
          <w:u w:val="single"/>
        </w:rPr>
        <w:t>II. La falta de respuesta a las solicitudes de información en los plazos señalados en la normatividad aplicable</w:t>
      </w:r>
      <w:r w:rsidRPr="009A31AE">
        <w:rPr>
          <w:rFonts w:ascii="Palatino Linotype" w:eastAsia="MS Mincho" w:hAnsi="Palatino Linotype"/>
          <w:i/>
        </w:rPr>
        <w:t>;</w:t>
      </w:r>
    </w:p>
    <w:p w14:paraId="5147EA71" w14:textId="77777777" w:rsidR="0051134E" w:rsidRPr="009A31AE" w:rsidRDefault="0051134E" w:rsidP="0051134E">
      <w:pPr>
        <w:ind w:left="567" w:right="567"/>
        <w:contextualSpacing/>
        <w:jc w:val="both"/>
        <w:rPr>
          <w:rFonts w:ascii="Palatino Linotype" w:eastAsia="MS Mincho" w:hAnsi="Palatino Linotype"/>
          <w:i/>
        </w:rPr>
      </w:pPr>
      <w:r w:rsidRPr="009A31AE">
        <w:rPr>
          <w:rFonts w:ascii="Palatino Linotype" w:eastAsia="MS Mincho" w:hAnsi="Palatino Linotype"/>
          <w:i/>
        </w:rPr>
        <w:t>(…)</w:t>
      </w:r>
    </w:p>
    <w:p w14:paraId="4EF9D1A2" w14:textId="77777777" w:rsidR="0051134E" w:rsidRPr="009A31AE" w:rsidRDefault="0051134E" w:rsidP="0051134E">
      <w:pPr>
        <w:ind w:left="567" w:right="567"/>
        <w:contextualSpacing/>
        <w:jc w:val="both"/>
        <w:rPr>
          <w:rFonts w:ascii="Palatino Linotype" w:eastAsia="MS Mincho" w:hAnsi="Palatino Linotype"/>
          <w:i/>
        </w:rPr>
      </w:pPr>
      <w:r w:rsidRPr="009A31AE">
        <w:rPr>
          <w:rFonts w:ascii="Palatino Linotype" w:eastAsia="MS Mincho" w:hAnsi="Palatino Linotype"/>
          <w:b/>
          <w:i/>
        </w:rPr>
        <w:t>Artículo 223.</w:t>
      </w:r>
      <w:r w:rsidRPr="009A31AE">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0EC12DC" w14:textId="77777777" w:rsidR="0051134E" w:rsidRPr="009A31AE" w:rsidRDefault="0051134E" w:rsidP="0051134E">
      <w:pPr>
        <w:spacing w:line="360" w:lineRule="auto"/>
        <w:contextualSpacing/>
        <w:jc w:val="both"/>
        <w:rPr>
          <w:rFonts w:ascii="Palatino Linotype" w:eastAsia="Calibri" w:hAnsi="Palatino Linotype" w:cs="Arial"/>
          <w:color w:val="000000"/>
          <w:lang w:eastAsia="es-MX"/>
        </w:rPr>
      </w:pPr>
    </w:p>
    <w:p w14:paraId="5B9C680C" w14:textId="77777777" w:rsidR="0051134E" w:rsidRPr="0051134E" w:rsidRDefault="0051134E" w:rsidP="0051134E">
      <w:pPr>
        <w:spacing w:line="360" w:lineRule="auto"/>
        <w:contextualSpacing/>
        <w:jc w:val="both"/>
        <w:rPr>
          <w:rFonts w:ascii="Palatino Linotype" w:hAnsi="Palatino Linotype" w:cs="Arial"/>
          <w:color w:val="222222"/>
          <w:sz w:val="24"/>
          <w:lang w:eastAsia="es-MX"/>
        </w:rPr>
      </w:pPr>
      <w:r w:rsidRPr="0051134E">
        <w:rPr>
          <w:rFonts w:ascii="Palatino Linotype" w:eastAsia="Calibri" w:hAnsi="Palatino Linotype" w:cs="Arial"/>
          <w:color w:val="000000"/>
          <w:sz w:val="24"/>
          <w:lang w:eastAsia="es-MX"/>
        </w:rPr>
        <w:t xml:space="preserve">Por lo que es menester en este asunto, </w:t>
      </w:r>
      <w:r w:rsidRPr="0051134E">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82A5212" w14:textId="77777777" w:rsidR="0051134E" w:rsidRDefault="0051134E" w:rsidP="00C36FE6">
      <w:pPr>
        <w:spacing w:after="0" w:line="360" w:lineRule="auto"/>
        <w:ind w:right="51"/>
        <w:jc w:val="both"/>
        <w:rPr>
          <w:rFonts w:ascii="Palatino Linotype" w:hAnsi="Palatino Linotype" w:cs="Arial"/>
          <w:sz w:val="24"/>
          <w:szCs w:val="24"/>
        </w:rPr>
      </w:pPr>
    </w:p>
    <w:p w14:paraId="6D5C322F" w14:textId="37DCEBE2" w:rsidR="00C36FE6" w:rsidRDefault="00C36FE6" w:rsidP="00C36FE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51134E" w:rsidRPr="0051134E">
        <w:rPr>
          <w:rFonts w:ascii="Palatino Linotype" w:hAnsi="Palatino Linotype" w:cs="Arial"/>
          <w:b/>
          <w:sz w:val="24"/>
          <w:szCs w:val="24"/>
          <w:lang w:eastAsia="es-MX"/>
        </w:rPr>
        <w:t>00025/ACOLMAN/IP/2022</w:t>
      </w:r>
      <w:r>
        <w:rPr>
          <w:rFonts w:ascii="Palatino Linotype" w:hAnsi="Palatino Linotype" w:cs="Arial"/>
          <w:b/>
          <w:sz w:val="24"/>
          <w:szCs w:val="24"/>
          <w:lang w:eastAsia="es-MX"/>
        </w:rPr>
        <w:t xml:space="preserve"> </w:t>
      </w:r>
      <w:r w:rsidRPr="00FB59FD">
        <w:rPr>
          <w:rFonts w:ascii="Palatino Linotype" w:hAnsi="Palatino Linotype" w:cs="Arial"/>
          <w:sz w:val="24"/>
          <w:szCs w:val="24"/>
        </w:rPr>
        <w:t>que ha sido materia del presente fallo.</w:t>
      </w:r>
    </w:p>
    <w:p w14:paraId="04FE1BE1" w14:textId="77777777" w:rsidR="00C36FE6" w:rsidRDefault="00C36FE6" w:rsidP="00C36FE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lastRenderedPageBreak/>
        <w:t>Por lo antes expuesto y fundado es de resolverse y,</w:t>
      </w:r>
    </w:p>
    <w:p w14:paraId="2380424F" w14:textId="77777777" w:rsidR="00C36FE6" w:rsidRDefault="00C36FE6" w:rsidP="00C36FE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0A7C93B0" w14:textId="77777777" w:rsidR="00C36FE6" w:rsidRPr="00FB59FD" w:rsidRDefault="00C36FE6" w:rsidP="00C36FE6">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683A893F" w14:textId="77777777" w:rsidR="00C36FE6" w:rsidRPr="00FB59FD" w:rsidRDefault="00C36FE6" w:rsidP="00C36FE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6B3F67A" w14:textId="4251EBC7" w:rsidR="0051134E" w:rsidRPr="0051134E" w:rsidRDefault="0051134E" w:rsidP="0051134E">
      <w:pPr>
        <w:autoSpaceDE w:val="0"/>
        <w:autoSpaceDN w:val="0"/>
        <w:adjustRightInd w:val="0"/>
        <w:spacing w:line="360" w:lineRule="auto"/>
        <w:ind w:right="49"/>
        <w:jc w:val="both"/>
        <w:rPr>
          <w:rFonts w:ascii="Palatino Linotype" w:hAnsi="Palatino Linotype" w:cs="Arial"/>
          <w:sz w:val="24"/>
        </w:rPr>
      </w:pPr>
      <w:r w:rsidRPr="0051134E">
        <w:rPr>
          <w:rFonts w:ascii="Palatino Linotype" w:hAnsi="Palatino Linotype" w:cs="Arial"/>
          <w:b/>
          <w:sz w:val="28"/>
          <w:szCs w:val="28"/>
          <w:lang w:val="es-ES_tradnl"/>
        </w:rPr>
        <w:t>PRIMERO.</w:t>
      </w:r>
      <w:r w:rsidRPr="0051134E">
        <w:rPr>
          <w:rFonts w:ascii="Palatino Linotype" w:hAnsi="Palatino Linotype" w:cs="Arial"/>
        </w:rPr>
        <w:t xml:space="preserve"> </w:t>
      </w:r>
      <w:r w:rsidRPr="0051134E">
        <w:rPr>
          <w:rFonts w:ascii="Palatino Linotype" w:hAnsi="Palatino Linotype" w:cs="Arial"/>
          <w:sz w:val="24"/>
        </w:rPr>
        <w:t xml:space="preserve">Resultan fundadas las razones o motivos de inconformidad hechos valer por el </w:t>
      </w:r>
      <w:r w:rsidRPr="0051134E">
        <w:rPr>
          <w:rFonts w:ascii="Palatino Linotype" w:hAnsi="Palatino Linotype" w:cs="Arial"/>
          <w:b/>
          <w:sz w:val="24"/>
        </w:rPr>
        <w:t>Recurrente,</w:t>
      </w:r>
      <w:r w:rsidRPr="0051134E">
        <w:rPr>
          <w:rFonts w:ascii="Palatino Linotype" w:hAnsi="Palatino Linotype" w:cs="Arial"/>
          <w:sz w:val="24"/>
        </w:rPr>
        <w:t xml:space="preserve"> en términos del Considerando </w:t>
      </w:r>
      <w:r>
        <w:rPr>
          <w:rFonts w:ascii="Palatino Linotype" w:hAnsi="Palatino Linotype" w:cs="Arial"/>
          <w:b/>
          <w:sz w:val="24"/>
        </w:rPr>
        <w:t>CUARTO</w:t>
      </w:r>
      <w:r w:rsidRPr="0051134E">
        <w:rPr>
          <w:rFonts w:ascii="Palatino Linotype" w:hAnsi="Palatino Linotype" w:cs="Arial"/>
          <w:b/>
          <w:sz w:val="24"/>
        </w:rPr>
        <w:t xml:space="preserve"> </w:t>
      </w:r>
      <w:r w:rsidRPr="0051134E">
        <w:rPr>
          <w:rFonts w:ascii="Palatino Linotype" w:hAnsi="Palatino Linotype" w:cs="Arial"/>
          <w:sz w:val="24"/>
        </w:rPr>
        <w:t>de la presente resolución.</w:t>
      </w:r>
    </w:p>
    <w:p w14:paraId="110350F5" w14:textId="77777777" w:rsidR="0051134E" w:rsidRPr="009A31AE" w:rsidRDefault="0051134E" w:rsidP="0051134E">
      <w:pPr>
        <w:autoSpaceDE w:val="0"/>
        <w:autoSpaceDN w:val="0"/>
        <w:adjustRightInd w:val="0"/>
        <w:spacing w:line="360" w:lineRule="auto"/>
        <w:ind w:right="49"/>
        <w:jc w:val="both"/>
        <w:rPr>
          <w:rFonts w:ascii="Palatino Linotype" w:hAnsi="Palatino Linotype" w:cs="Arial"/>
        </w:rPr>
      </w:pPr>
    </w:p>
    <w:p w14:paraId="5180DAF2" w14:textId="078296B9" w:rsidR="0051134E" w:rsidRDefault="0051134E" w:rsidP="0051134E">
      <w:pPr>
        <w:spacing w:line="360" w:lineRule="auto"/>
        <w:jc w:val="both"/>
        <w:rPr>
          <w:rFonts w:ascii="Palatino Linotype" w:hAnsi="Palatino Linotype"/>
          <w:color w:val="222222"/>
          <w:sz w:val="24"/>
          <w:szCs w:val="24"/>
          <w:shd w:val="clear" w:color="auto" w:fill="FFFFFF"/>
        </w:rPr>
      </w:pPr>
      <w:r w:rsidRPr="009A31AE">
        <w:rPr>
          <w:rFonts w:ascii="Palatino Linotype" w:hAnsi="Palatino Linotype" w:cs="Calibri"/>
          <w:b/>
          <w:bCs/>
          <w:color w:val="222222"/>
          <w:sz w:val="28"/>
          <w:shd w:val="clear" w:color="auto" w:fill="FFFFFF"/>
          <w:lang w:val="es-ES_tradnl"/>
        </w:rPr>
        <w:t>SEGUNDO</w:t>
      </w:r>
      <w:r w:rsidRPr="009A31AE">
        <w:rPr>
          <w:rFonts w:ascii="Palatino Linotype" w:hAnsi="Palatino Linotype"/>
          <w:color w:val="222222"/>
          <w:sz w:val="28"/>
          <w:shd w:val="clear" w:color="auto" w:fill="FFFFFF"/>
        </w:rPr>
        <w:t>.</w:t>
      </w:r>
      <w:r w:rsidRPr="009A31AE">
        <w:rPr>
          <w:rFonts w:ascii="Palatino Linotype" w:hAnsi="Palatino Linotype"/>
          <w:color w:val="222222"/>
          <w:shd w:val="clear" w:color="auto" w:fill="FFFFFF"/>
        </w:rPr>
        <w:t> </w:t>
      </w:r>
      <w:r w:rsidRPr="0051134E">
        <w:rPr>
          <w:rFonts w:ascii="Palatino Linotype" w:hAnsi="Palatino Linotype"/>
          <w:color w:val="222222"/>
          <w:sz w:val="24"/>
          <w:szCs w:val="24"/>
          <w:shd w:val="clear" w:color="auto" w:fill="FFFFFF"/>
        </w:rPr>
        <w:t>Se</w:t>
      </w:r>
      <w:r w:rsidRPr="0051134E">
        <w:rPr>
          <w:rFonts w:ascii="Palatino Linotype" w:hAnsi="Palatino Linotype"/>
          <w:b/>
          <w:bCs/>
          <w:color w:val="222222"/>
          <w:sz w:val="24"/>
          <w:szCs w:val="24"/>
          <w:shd w:val="clear" w:color="auto" w:fill="FFFFFF"/>
        </w:rPr>
        <w:t> </w:t>
      </w:r>
      <w:r w:rsidRPr="0051134E">
        <w:rPr>
          <w:rFonts w:ascii="Palatino Linotype" w:hAnsi="Palatino Linotype"/>
          <w:b/>
          <w:bCs/>
          <w:sz w:val="24"/>
          <w:szCs w:val="24"/>
          <w:shd w:val="clear" w:color="auto" w:fill="FFFFFF"/>
        </w:rPr>
        <w:t>ORDENA</w:t>
      </w:r>
      <w:r w:rsidRPr="0051134E">
        <w:rPr>
          <w:rFonts w:ascii="Palatino Linotype" w:hAnsi="Palatino Linotype"/>
          <w:b/>
          <w:bCs/>
          <w:color w:val="222222"/>
          <w:sz w:val="24"/>
          <w:szCs w:val="24"/>
          <w:shd w:val="clear" w:color="auto" w:fill="FFFFFF"/>
        </w:rPr>
        <w:t> </w:t>
      </w:r>
      <w:r w:rsidRPr="0051134E">
        <w:rPr>
          <w:rFonts w:ascii="Palatino Linotype" w:hAnsi="Palatino Linotype"/>
          <w:color w:val="222222"/>
          <w:sz w:val="24"/>
          <w:szCs w:val="24"/>
          <w:shd w:val="clear" w:color="auto" w:fill="FFFFFF"/>
        </w:rPr>
        <w:t xml:space="preserve">al </w:t>
      </w:r>
      <w:r w:rsidRPr="0051134E">
        <w:rPr>
          <w:rFonts w:ascii="Palatino Linotype" w:hAnsi="Palatino Linotype"/>
          <w:b/>
          <w:color w:val="222222"/>
          <w:sz w:val="24"/>
          <w:szCs w:val="24"/>
          <w:shd w:val="clear" w:color="auto" w:fill="FFFFFF"/>
        </w:rPr>
        <w:t>Sujeto Obligado</w:t>
      </w:r>
      <w:r w:rsidRPr="0051134E">
        <w:rPr>
          <w:rFonts w:ascii="Palatino Linotype" w:hAnsi="Palatino Linotype"/>
          <w:color w:val="222222"/>
          <w:sz w:val="24"/>
          <w:szCs w:val="24"/>
          <w:shd w:val="clear" w:color="auto" w:fill="FFFFFF"/>
        </w:rPr>
        <w:t>, atienda la solicitud de información número</w:t>
      </w:r>
      <w:r w:rsidRPr="0051134E">
        <w:rPr>
          <w:rFonts w:ascii="Palatino Linotype" w:hAnsi="Palatino Linotype"/>
          <w:b/>
          <w:bCs/>
          <w:color w:val="222222"/>
          <w:sz w:val="24"/>
          <w:szCs w:val="24"/>
          <w:shd w:val="clear" w:color="auto" w:fill="FFFFFF"/>
        </w:rPr>
        <w:t xml:space="preserve"> </w:t>
      </w:r>
      <w:r w:rsidRPr="0051134E">
        <w:rPr>
          <w:rFonts w:ascii="Palatino Linotype" w:hAnsi="Palatino Linotype" w:cs="Arial"/>
          <w:b/>
          <w:sz w:val="24"/>
          <w:szCs w:val="24"/>
        </w:rPr>
        <w:t>00025/ACOLMAN/IP/2022</w:t>
      </w:r>
      <w:r w:rsidRPr="0051134E">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CUARTO</w:t>
      </w:r>
      <w:r w:rsidRPr="0051134E">
        <w:rPr>
          <w:rFonts w:ascii="Palatino Linotype" w:hAnsi="Palatino Linotype"/>
          <w:color w:val="222222"/>
          <w:sz w:val="24"/>
          <w:szCs w:val="24"/>
          <w:shd w:val="clear" w:color="auto" w:fill="FFFFFF"/>
        </w:rPr>
        <w:t xml:space="preserve"> de esta resolución, vía Sistema de Acceso a la Información Mexiquense </w:t>
      </w:r>
      <w:r w:rsidRPr="0051134E">
        <w:rPr>
          <w:rFonts w:ascii="Palatino Linotype" w:hAnsi="Palatino Linotype"/>
          <w:b/>
          <w:color w:val="222222"/>
          <w:sz w:val="24"/>
          <w:szCs w:val="24"/>
          <w:shd w:val="clear" w:color="auto" w:fill="FFFFFF"/>
        </w:rPr>
        <w:t>(SAIMEX)</w:t>
      </w:r>
      <w:r w:rsidRPr="0051134E">
        <w:rPr>
          <w:rFonts w:ascii="Palatino Linotype" w:hAnsi="Palatino Linotype"/>
          <w:color w:val="222222"/>
          <w:sz w:val="24"/>
          <w:szCs w:val="24"/>
          <w:shd w:val="clear" w:color="auto" w:fill="FFFFFF"/>
        </w:rPr>
        <w:t>.</w:t>
      </w:r>
    </w:p>
    <w:p w14:paraId="31520B2E" w14:textId="77777777" w:rsidR="007D1FAE" w:rsidRPr="007D1FAE" w:rsidRDefault="007D1FAE" w:rsidP="0051134E">
      <w:pPr>
        <w:spacing w:line="360" w:lineRule="auto"/>
        <w:jc w:val="both"/>
        <w:rPr>
          <w:rFonts w:ascii="Palatino Linotype" w:hAnsi="Palatino Linotype"/>
          <w:color w:val="222222"/>
          <w:shd w:val="clear" w:color="auto" w:fill="FFFFFF"/>
        </w:rPr>
      </w:pPr>
    </w:p>
    <w:p w14:paraId="0E8E6CB5" w14:textId="6DCDB416" w:rsidR="0051134E" w:rsidRPr="009A31AE" w:rsidRDefault="0051134E" w:rsidP="0051134E">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b/>
          <w:sz w:val="28"/>
        </w:rPr>
        <w:t xml:space="preserve">TERCERO. </w:t>
      </w:r>
      <w:r w:rsidRPr="0051134E">
        <w:rPr>
          <w:rFonts w:ascii="Palatino Linotype" w:hAnsi="Palatino Linotype" w:cs="Arial"/>
          <w:b/>
          <w:sz w:val="24"/>
        </w:rPr>
        <w:t>NOTIFÍQUESE</w:t>
      </w:r>
      <w:r w:rsidRPr="0051134E">
        <w:rPr>
          <w:rFonts w:ascii="Palatino Linotype" w:hAnsi="Palatino Linotype" w:cs="Arial"/>
          <w:i/>
          <w:sz w:val="24"/>
        </w:rPr>
        <w:t xml:space="preserve"> </w:t>
      </w:r>
      <w:r w:rsidRPr="0051134E">
        <w:rPr>
          <w:rFonts w:ascii="Palatino Linotype" w:hAnsi="Palatino Linotype" w:cs="Arial"/>
          <w:sz w:val="24"/>
        </w:rPr>
        <w:t>la presente resolución al Titular de la Unidad de Transparencia del</w:t>
      </w:r>
      <w:r w:rsidRPr="0051134E">
        <w:rPr>
          <w:rFonts w:ascii="Palatino Linotype" w:hAnsi="Palatino Linotype" w:cs="Arial"/>
          <w:b/>
          <w:sz w:val="24"/>
        </w:rPr>
        <w:t xml:space="preserve"> Sujeto Obligado</w:t>
      </w:r>
      <w:r w:rsidRPr="0051134E">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383A187" w14:textId="77777777" w:rsidR="007D1FAE" w:rsidRDefault="007D1FAE" w:rsidP="0051134E">
      <w:pPr>
        <w:autoSpaceDE w:val="0"/>
        <w:autoSpaceDN w:val="0"/>
        <w:adjustRightInd w:val="0"/>
        <w:spacing w:line="360" w:lineRule="auto"/>
        <w:jc w:val="both"/>
        <w:rPr>
          <w:rFonts w:ascii="Palatino Linotype" w:hAnsi="Palatino Linotype" w:cs="Arial"/>
          <w:b/>
          <w:sz w:val="28"/>
        </w:rPr>
      </w:pPr>
    </w:p>
    <w:p w14:paraId="08ED0FE8" w14:textId="77777777" w:rsidR="0051134E" w:rsidRPr="009A31AE" w:rsidRDefault="0051134E" w:rsidP="0051134E">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b/>
          <w:sz w:val="28"/>
        </w:rPr>
        <w:t xml:space="preserve">CUARTO. </w:t>
      </w:r>
      <w:r w:rsidRPr="0051134E">
        <w:rPr>
          <w:rFonts w:ascii="Palatino Linotype" w:hAnsi="Palatino Linotype" w:cs="Arial"/>
          <w:b/>
          <w:sz w:val="24"/>
        </w:rPr>
        <w:t xml:space="preserve">NOTIFÍQUESE </w:t>
      </w:r>
      <w:r w:rsidRPr="0051134E">
        <w:rPr>
          <w:rFonts w:ascii="Palatino Linotype" w:hAnsi="Palatino Linotype" w:cs="Arial"/>
          <w:sz w:val="24"/>
        </w:rPr>
        <w:t xml:space="preserve">al </w:t>
      </w:r>
      <w:r w:rsidRPr="0051134E">
        <w:rPr>
          <w:rFonts w:ascii="Palatino Linotype" w:hAnsi="Palatino Linotype" w:cs="Arial"/>
          <w:b/>
          <w:sz w:val="24"/>
        </w:rPr>
        <w:t xml:space="preserve">Recurrente </w:t>
      </w:r>
      <w:r w:rsidRPr="0051134E">
        <w:rPr>
          <w:rFonts w:ascii="Palatino Linotype" w:hAnsi="Palatino Linotype" w:cs="Arial"/>
          <w:sz w:val="24"/>
        </w:rPr>
        <w:t xml:space="preserve">la presente resolución y hágase de su conocimiento que en caso de considerar que le causa algún perjuicio, podrá promover </w:t>
      </w:r>
      <w:r w:rsidRPr="0051134E">
        <w:rPr>
          <w:rFonts w:ascii="Palatino Linotype" w:hAnsi="Palatino Linotype" w:cs="Arial"/>
          <w:sz w:val="24"/>
        </w:rPr>
        <w:lastRenderedPageBreak/>
        <w:t>el Juicio de Amparo en los términos de las leyes aplicables, de acuerdo a lo estipulado por el artículo 196, de la Ley de Transparencia y Acceso a la Información Pública del Estado de México y Municipios.</w:t>
      </w:r>
    </w:p>
    <w:p w14:paraId="0987FAF2" w14:textId="77777777" w:rsidR="0051134E" w:rsidRPr="009A31AE" w:rsidRDefault="0051134E" w:rsidP="0051134E">
      <w:pPr>
        <w:autoSpaceDE w:val="0"/>
        <w:autoSpaceDN w:val="0"/>
        <w:adjustRightInd w:val="0"/>
        <w:spacing w:line="360" w:lineRule="auto"/>
        <w:jc w:val="both"/>
        <w:rPr>
          <w:rFonts w:ascii="Palatino Linotype" w:hAnsi="Palatino Linotype" w:cs="Arial"/>
        </w:rPr>
      </w:pPr>
    </w:p>
    <w:p w14:paraId="40B2CA37" w14:textId="7E9C8FFE" w:rsidR="0051134E" w:rsidRPr="009A31AE" w:rsidRDefault="0051134E" w:rsidP="0051134E">
      <w:pPr>
        <w:autoSpaceDE w:val="0"/>
        <w:autoSpaceDN w:val="0"/>
        <w:adjustRightInd w:val="0"/>
        <w:spacing w:line="360" w:lineRule="auto"/>
        <w:jc w:val="both"/>
        <w:rPr>
          <w:rFonts w:ascii="Palatino Linotype" w:eastAsia="MS Mincho" w:hAnsi="Palatino Linotype"/>
        </w:rPr>
      </w:pPr>
      <w:r w:rsidRPr="009A31AE">
        <w:rPr>
          <w:rFonts w:ascii="Palatino Linotype" w:hAnsi="Palatino Linotype" w:cs="Arial"/>
          <w:b/>
          <w:sz w:val="28"/>
        </w:rPr>
        <w:t xml:space="preserve">QUINTO. </w:t>
      </w:r>
      <w:r w:rsidRPr="0051134E">
        <w:rPr>
          <w:rFonts w:ascii="Palatino Linotype" w:hAnsi="Palatino Linotype" w:cs="Arial"/>
          <w:b/>
          <w:sz w:val="24"/>
        </w:rPr>
        <w:t>GÍRESE</w:t>
      </w:r>
      <w:r w:rsidRPr="0051134E">
        <w:rPr>
          <w:rFonts w:ascii="Palatino Linotype" w:eastAsia="MS Mincho" w:hAnsi="Palatino Linotype"/>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b/>
          <w:sz w:val="24"/>
        </w:rPr>
        <w:t>CUARTO</w:t>
      </w:r>
      <w:r w:rsidRPr="0051134E">
        <w:rPr>
          <w:rFonts w:ascii="Palatino Linotype" w:eastAsia="MS Mincho" w:hAnsi="Palatino Linotype"/>
          <w:b/>
          <w:sz w:val="24"/>
        </w:rPr>
        <w:t xml:space="preserve"> </w:t>
      </w:r>
      <w:r w:rsidRPr="0051134E">
        <w:rPr>
          <w:rFonts w:ascii="Palatino Linotype" w:eastAsia="MS Mincho" w:hAnsi="Palatino Linotype"/>
          <w:sz w:val="24"/>
        </w:rPr>
        <w:t xml:space="preserve">de la presente resolución. </w:t>
      </w:r>
    </w:p>
    <w:p w14:paraId="26047194" w14:textId="77777777" w:rsidR="0051134E" w:rsidRPr="009A31AE" w:rsidRDefault="0051134E" w:rsidP="0051134E">
      <w:pPr>
        <w:autoSpaceDE w:val="0"/>
        <w:autoSpaceDN w:val="0"/>
        <w:adjustRightInd w:val="0"/>
        <w:spacing w:line="360" w:lineRule="auto"/>
        <w:jc w:val="both"/>
        <w:rPr>
          <w:rFonts w:ascii="Palatino Linotype" w:eastAsia="MS Mincho" w:hAnsi="Palatino Linotype"/>
        </w:rPr>
      </w:pPr>
    </w:p>
    <w:p w14:paraId="13860D31" w14:textId="77777777" w:rsidR="0051134E" w:rsidRPr="009A31AE" w:rsidRDefault="0051134E" w:rsidP="0051134E">
      <w:pPr>
        <w:autoSpaceDE w:val="0"/>
        <w:autoSpaceDN w:val="0"/>
        <w:adjustRightInd w:val="0"/>
        <w:spacing w:line="360" w:lineRule="auto"/>
        <w:jc w:val="both"/>
        <w:rPr>
          <w:rFonts w:ascii="Palatino Linotype" w:hAnsi="Palatino Linotype"/>
        </w:rPr>
      </w:pPr>
      <w:r w:rsidRPr="009A31AE">
        <w:rPr>
          <w:rFonts w:ascii="Palatino Linotype" w:eastAsia="Calibri" w:hAnsi="Palatino Linotype" w:cs="Tahoma"/>
          <w:b/>
          <w:bCs/>
          <w:iCs/>
          <w:sz w:val="28"/>
          <w:lang w:eastAsia="es-ES_tradnl"/>
        </w:rPr>
        <w:t>SEXTO.</w:t>
      </w:r>
      <w:r w:rsidRPr="009A31AE">
        <w:rPr>
          <w:rFonts w:ascii="Palatino Linotype" w:eastAsia="Calibri" w:hAnsi="Palatino Linotype" w:cs="Tahoma"/>
          <w:bCs/>
          <w:iCs/>
          <w:sz w:val="28"/>
          <w:lang w:eastAsia="es-ES_tradnl"/>
        </w:rPr>
        <w:t xml:space="preserve"> </w:t>
      </w:r>
      <w:r w:rsidRPr="0051134E">
        <w:rPr>
          <w:rFonts w:ascii="Palatino Linotype" w:eastAsia="Calibri" w:hAnsi="Palatino Linotype" w:cs="Tahoma"/>
          <w:bCs/>
          <w:iCs/>
          <w:sz w:val="24"/>
          <w:lang w:eastAsia="es-ES_tradnl"/>
        </w:rPr>
        <w:t xml:space="preserve">Se hace del conocimiento del </w:t>
      </w:r>
      <w:r w:rsidRPr="0051134E">
        <w:rPr>
          <w:rFonts w:ascii="Palatino Linotype" w:eastAsia="Calibri" w:hAnsi="Palatino Linotype" w:cs="Tahoma"/>
          <w:b/>
          <w:bCs/>
          <w:iCs/>
          <w:sz w:val="24"/>
          <w:lang w:eastAsia="es-ES_tradnl"/>
        </w:rPr>
        <w:t xml:space="preserve">Recurrente </w:t>
      </w:r>
      <w:r w:rsidRPr="0051134E">
        <w:rPr>
          <w:rFonts w:ascii="Palatino Linotype" w:eastAsia="Calibri" w:hAnsi="Palatino Linotype" w:cs="Tahoma"/>
          <w:bCs/>
          <w:iCs/>
          <w:sz w:val="24"/>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51134E">
        <w:rPr>
          <w:rFonts w:ascii="Palatino Linotype" w:eastAsia="Calibri" w:hAnsi="Palatino Linotype" w:cs="Tahoma"/>
          <w:b/>
          <w:bCs/>
          <w:iCs/>
          <w:sz w:val="24"/>
          <w:lang w:eastAsia="es-ES_tradnl"/>
        </w:rPr>
        <w:t>Sujeto Obligado</w:t>
      </w:r>
      <w:r w:rsidRPr="0051134E">
        <w:rPr>
          <w:rFonts w:ascii="Palatino Linotype" w:eastAsia="Calibri" w:hAnsi="Palatino Linotype" w:cs="Tahoma"/>
          <w:bCs/>
          <w:iCs/>
          <w:sz w:val="24"/>
          <w:lang w:eastAsia="es-ES_tradnl"/>
        </w:rPr>
        <w:t>, en cumplimiento a esta Resolución.</w:t>
      </w:r>
      <w:r w:rsidRPr="0051134E">
        <w:rPr>
          <w:rFonts w:ascii="Palatino Linotype" w:hAnsi="Palatino Linotype"/>
          <w:sz w:val="24"/>
        </w:rPr>
        <w:t xml:space="preserve"> </w:t>
      </w:r>
    </w:p>
    <w:p w14:paraId="18B4BCC9" w14:textId="77777777" w:rsidR="0051134E" w:rsidRPr="009A31AE" w:rsidRDefault="0051134E" w:rsidP="0051134E">
      <w:pPr>
        <w:autoSpaceDE w:val="0"/>
        <w:autoSpaceDN w:val="0"/>
        <w:adjustRightInd w:val="0"/>
        <w:spacing w:line="360" w:lineRule="auto"/>
        <w:jc w:val="both"/>
        <w:rPr>
          <w:rFonts w:ascii="Palatino Linotype" w:hAnsi="Palatino Linotype"/>
        </w:rPr>
      </w:pPr>
    </w:p>
    <w:p w14:paraId="6BE96E83" w14:textId="5BD88C43" w:rsidR="0051134E" w:rsidRPr="007D1FAE" w:rsidRDefault="0051134E" w:rsidP="0051134E">
      <w:pPr>
        <w:autoSpaceDE w:val="0"/>
        <w:autoSpaceDN w:val="0"/>
        <w:adjustRightInd w:val="0"/>
        <w:spacing w:line="360" w:lineRule="auto"/>
        <w:jc w:val="both"/>
        <w:rPr>
          <w:rFonts w:ascii="Palatino Linotype" w:eastAsia="Calibri" w:hAnsi="Palatino Linotype" w:cs="Tahoma"/>
          <w:bCs/>
          <w:iCs/>
          <w:sz w:val="24"/>
          <w:lang w:eastAsia="es-ES_tradnl"/>
        </w:rPr>
      </w:pPr>
      <w:r w:rsidRPr="009A31AE">
        <w:rPr>
          <w:rFonts w:ascii="Palatino Linotype" w:eastAsia="Calibri" w:hAnsi="Palatino Linotype" w:cs="Tahoma"/>
          <w:b/>
          <w:bCs/>
          <w:iCs/>
          <w:sz w:val="28"/>
          <w:lang w:eastAsia="es-ES_tradnl"/>
        </w:rPr>
        <w:t>SÉPTIMO.</w:t>
      </w:r>
      <w:r w:rsidRPr="0051134E">
        <w:rPr>
          <w:rFonts w:ascii="Palatino Linotype" w:eastAsia="Calibri" w:hAnsi="Palatino Linotype" w:cs="Tahoma"/>
          <w:bCs/>
          <w:iCs/>
          <w:sz w:val="24"/>
          <w:lang w:eastAsia="es-ES_tradnl"/>
        </w:rPr>
        <w:t xml:space="preserve"> Con fundamento en el artículo 198, de la Ley de Transparencia y Acceso a la Información Pública del Estado de México y Municipios, se apercibe al </w:t>
      </w:r>
      <w:r w:rsidRPr="0051134E">
        <w:rPr>
          <w:rFonts w:ascii="Palatino Linotype" w:eastAsia="Calibri" w:hAnsi="Palatino Linotype" w:cs="Tahoma"/>
          <w:b/>
          <w:bCs/>
          <w:iCs/>
          <w:sz w:val="24"/>
          <w:lang w:eastAsia="es-ES_tradnl"/>
        </w:rPr>
        <w:t>Sujeto Obligado</w:t>
      </w:r>
      <w:r w:rsidRPr="0051134E">
        <w:rPr>
          <w:rFonts w:ascii="Palatino Linotype" w:eastAsia="Calibri" w:hAnsi="Palatino Linotype" w:cs="Tahoma"/>
          <w:bCs/>
          <w:iCs/>
          <w:sz w:val="24"/>
          <w:lang w:eastAsia="es-ES_tradnl"/>
        </w:rPr>
        <w:t xml:space="preserve"> a que, en caso de negarse a cumplir la presente resolución o hacerlo de manera parcial, se actuará de conformidad con lo previsto en los artículos 213, 214, 216 y 217, de dicha Ley.</w:t>
      </w:r>
    </w:p>
    <w:p w14:paraId="70248809" w14:textId="4EBC0D12" w:rsidR="0010483B" w:rsidRDefault="0010483B" w:rsidP="0010483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sidR="005477E0">
        <w:rPr>
          <w:rFonts w:ascii="Palatino Linotype" w:hAnsi="Palatino Linotype" w:cs="Arial"/>
        </w:rPr>
        <w:t>VIGÉSIMA</w:t>
      </w:r>
      <w:r w:rsidR="00884A10">
        <w:rPr>
          <w:rFonts w:ascii="Palatino Linotype" w:hAnsi="Palatino Linotype" w:cs="Arial"/>
        </w:rPr>
        <w:t xml:space="preserve"> PRIMERA</w:t>
      </w:r>
      <w:r>
        <w:rPr>
          <w:rFonts w:ascii="Palatino Linotype" w:hAnsi="Palatino Linotype" w:cs="Arial"/>
        </w:rPr>
        <w:t xml:space="preserve"> </w:t>
      </w:r>
      <w:r w:rsidRPr="00266B85">
        <w:rPr>
          <w:rFonts w:ascii="Palatino Linotype" w:hAnsi="Palatino Linotype" w:cs="Arial"/>
        </w:rPr>
        <w:t xml:space="preserve">SESIÓN ORDINARIA CELEBRADA EL </w:t>
      </w:r>
      <w:r w:rsidR="005477E0">
        <w:rPr>
          <w:rFonts w:ascii="Palatino Linotype" w:hAnsi="Palatino Linotype" w:cs="Arial"/>
        </w:rPr>
        <w:t xml:space="preserve">OCHO DE JUNIO </w:t>
      </w:r>
      <w:r w:rsidRPr="00266B85">
        <w:rPr>
          <w:rFonts w:ascii="Palatino Linotype" w:hAnsi="Palatino Linotype" w:cs="Arial"/>
        </w:rPr>
        <w:t>DE DOS MIL VEINTIDÓS, ANTE</w:t>
      </w:r>
      <w:r>
        <w:rPr>
          <w:rFonts w:ascii="Palatino Linotype" w:hAnsi="Palatino Linotype" w:cs="Arial"/>
        </w:rPr>
        <w:t xml:space="preserve"> EL  SECRETARIO TÉCNICO DEL PLENO, ALEXIS TAPIA RAMÍREZ. </w:t>
      </w:r>
      <w:r w:rsidR="00884A10">
        <w:rPr>
          <w:rFonts w:ascii="Palatino Linotype" w:hAnsi="Palatino Linotype" w:cs="Arial"/>
        </w:rPr>
        <w:t>-----------------------------------------------------------------------------------------------------------------------------------------------------------------------------------------------------------------------------------------------------------------------------------------------------------------------------------------------------------------------------------------------------------------------------------------------------------------------------</w:t>
      </w:r>
      <w:r w:rsidR="00A11B37">
        <w:rPr>
          <w:rFonts w:ascii="Palatino Linotype" w:hAnsi="Palatino Linotype" w:cs="Arial"/>
        </w:rPr>
        <w:t>-------------------------------------------------------------------------------------------------------------------------------------------------------------------------------------------------------------------------------------------------------------------------------------------------------------------------------------------------------------------------------------------------------------------------------------------------------------------------------------------------------------------------------------------------------------------------------------------------------------------------------------------------------------------------------------------------------------------------------------------------------------------------------------------------------------------------------------------------------------------------------------------------------------------------------------------------------------------------------------------------------------------------------------------------------------------------------------------------------------------------------------------------------------------------------------------------------------------------------------------------------------------------------------------</w:t>
      </w:r>
    </w:p>
    <w:p w14:paraId="4483A4C6" w14:textId="714CF97F" w:rsidR="0010483B" w:rsidRDefault="0051134E" w:rsidP="0010483B">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CCR/fjjc</w:t>
      </w:r>
    </w:p>
    <w:p w14:paraId="0955222A" w14:textId="2B73F3A1" w:rsidR="0010483B" w:rsidRDefault="0010483B" w:rsidP="0010483B">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1FADE06" w14:textId="77777777" w:rsidR="0010483B" w:rsidRDefault="0010483B" w:rsidP="000C6D4F">
      <w:pPr>
        <w:pStyle w:val="Sinespaciado"/>
        <w:spacing w:line="360" w:lineRule="auto"/>
        <w:jc w:val="both"/>
        <w:rPr>
          <w:rFonts w:ascii="Palatino Linotype" w:hAnsi="Palatino Linotype" w:cs="Arial"/>
        </w:rPr>
      </w:pPr>
    </w:p>
    <w:p w14:paraId="4EF14E35" w14:textId="77777777" w:rsidR="0010483B" w:rsidRDefault="0010483B" w:rsidP="000C6D4F">
      <w:pPr>
        <w:pStyle w:val="Sinespaciado"/>
        <w:spacing w:line="360" w:lineRule="auto"/>
        <w:jc w:val="both"/>
        <w:rPr>
          <w:rFonts w:ascii="Palatino Linotype" w:hAnsi="Palatino Linotype" w:cs="Arial"/>
        </w:rPr>
      </w:pPr>
    </w:p>
    <w:p w14:paraId="5BCC6764" w14:textId="77777777" w:rsidR="0010483B" w:rsidRDefault="0010483B" w:rsidP="000C6D4F">
      <w:pPr>
        <w:pStyle w:val="Sinespaciado"/>
        <w:spacing w:line="360" w:lineRule="auto"/>
        <w:jc w:val="both"/>
        <w:rPr>
          <w:rFonts w:ascii="Palatino Linotype" w:hAnsi="Palatino Linotype" w:cs="Arial"/>
        </w:rPr>
      </w:pPr>
    </w:p>
    <w:p w14:paraId="6A6AA111" w14:textId="77777777" w:rsidR="0010483B" w:rsidRDefault="0010483B" w:rsidP="000C6D4F">
      <w:pPr>
        <w:pStyle w:val="Sinespaciado"/>
        <w:spacing w:line="360" w:lineRule="auto"/>
        <w:jc w:val="both"/>
        <w:rPr>
          <w:rFonts w:ascii="Palatino Linotype" w:hAnsi="Palatino Linotype" w:cs="Arial"/>
        </w:rPr>
      </w:pPr>
    </w:p>
    <w:p w14:paraId="2202383A" w14:textId="77777777" w:rsidR="0010483B" w:rsidRDefault="0010483B" w:rsidP="000C6D4F">
      <w:pPr>
        <w:pStyle w:val="Sinespaciado"/>
        <w:spacing w:line="360" w:lineRule="auto"/>
        <w:jc w:val="both"/>
        <w:rPr>
          <w:rFonts w:ascii="Palatino Linotype" w:hAnsi="Palatino Linotype" w:cs="Arial"/>
        </w:rPr>
      </w:pPr>
    </w:p>
    <w:p w14:paraId="3EE34C60" w14:textId="77777777" w:rsidR="0010483B" w:rsidRDefault="0010483B" w:rsidP="000C6D4F">
      <w:pPr>
        <w:pStyle w:val="Sinespaciado"/>
        <w:spacing w:line="360" w:lineRule="auto"/>
        <w:jc w:val="both"/>
        <w:rPr>
          <w:rFonts w:ascii="Palatino Linotype" w:hAnsi="Palatino Linotype" w:cs="Arial"/>
        </w:rPr>
      </w:pPr>
    </w:p>
    <w:p w14:paraId="61E6BD65" w14:textId="77777777" w:rsidR="0010483B" w:rsidRDefault="0010483B" w:rsidP="000C6D4F">
      <w:pPr>
        <w:pStyle w:val="Sinespaciado"/>
        <w:spacing w:line="360" w:lineRule="auto"/>
        <w:jc w:val="both"/>
        <w:rPr>
          <w:rFonts w:ascii="Palatino Linotype" w:hAnsi="Palatino Linotype" w:cs="Arial"/>
        </w:rPr>
      </w:pPr>
    </w:p>
    <w:p w14:paraId="566CE3D2" w14:textId="77777777" w:rsidR="0010483B" w:rsidRDefault="0010483B" w:rsidP="000C6D4F">
      <w:pPr>
        <w:pStyle w:val="Sinespaciado"/>
        <w:spacing w:line="360" w:lineRule="auto"/>
        <w:jc w:val="both"/>
        <w:rPr>
          <w:rFonts w:ascii="Palatino Linotype" w:hAnsi="Palatino Linotype" w:cs="Arial"/>
        </w:rPr>
      </w:pPr>
    </w:p>
    <w:p w14:paraId="291F57AA" w14:textId="77777777" w:rsidR="0010483B" w:rsidRDefault="0010483B" w:rsidP="000C6D4F">
      <w:pPr>
        <w:pStyle w:val="Sinespaciado"/>
        <w:spacing w:line="360" w:lineRule="auto"/>
        <w:jc w:val="both"/>
        <w:rPr>
          <w:rFonts w:ascii="Palatino Linotype" w:hAnsi="Palatino Linotype" w:cs="Arial"/>
        </w:rPr>
      </w:pPr>
    </w:p>
    <w:p w14:paraId="13DE3C96" w14:textId="77777777" w:rsidR="005477E0" w:rsidRDefault="005477E0" w:rsidP="000C6D4F">
      <w:pPr>
        <w:pStyle w:val="Sinespaciado"/>
        <w:spacing w:line="360" w:lineRule="auto"/>
        <w:jc w:val="both"/>
        <w:rPr>
          <w:rFonts w:ascii="Palatino Linotype" w:hAnsi="Palatino Linotype" w:cs="Arial"/>
        </w:rPr>
      </w:pPr>
    </w:p>
    <w:p w14:paraId="4FC6EF67" w14:textId="77777777" w:rsidR="005477E0" w:rsidRDefault="005477E0" w:rsidP="000C6D4F">
      <w:pPr>
        <w:pStyle w:val="Sinespaciado"/>
        <w:spacing w:line="360" w:lineRule="auto"/>
        <w:jc w:val="both"/>
        <w:rPr>
          <w:rFonts w:ascii="Palatino Linotype" w:hAnsi="Palatino Linotype" w:cs="Arial"/>
        </w:rPr>
      </w:pPr>
    </w:p>
    <w:p w14:paraId="1DDB2301" w14:textId="77777777" w:rsidR="005477E0" w:rsidRDefault="005477E0" w:rsidP="000C6D4F">
      <w:pPr>
        <w:pStyle w:val="Sinespaciado"/>
        <w:spacing w:line="360" w:lineRule="auto"/>
        <w:jc w:val="both"/>
        <w:rPr>
          <w:rFonts w:ascii="Palatino Linotype" w:hAnsi="Palatino Linotype" w:cs="Arial"/>
        </w:rPr>
      </w:pPr>
    </w:p>
    <w:p w14:paraId="7ADA9601" w14:textId="77777777" w:rsidR="005477E0" w:rsidRDefault="005477E0" w:rsidP="000C6D4F">
      <w:pPr>
        <w:pStyle w:val="Sinespaciado"/>
        <w:spacing w:line="360" w:lineRule="auto"/>
        <w:jc w:val="both"/>
        <w:rPr>
          <w:rFonts w:ascii="Palatino Linotype" w:hAnsi="Palatino Linotype" w:cs="Arial"/>
        </w:rPr>
      </w:pPr>
    </w:p>
    <w:p w14:paraId="2EB9B0DB" w14:textId="77777777" w:rsidR="005477E0" w:rsidRDefault="005477E0" w:rsidP="000C6D4F">
      <w:pPr>
        <w:pStyle w:val="Sinespaciado"/>
        <w:spacing w:line="360" w:lineRule="auto"/>
        <w:jc w:val="both"/>
        <w:rPr>
          <w:rFonts w:ascii="Palatino Linotype" w:hAnsi="Palatino Linotype" w:cs="Arial"/>
        </w:rPr>
      </w:pPr>
    </w:p>
    <w:p w14:paraId="24C28B37" w14:textId="77777777" w:rsidR="005477E0" w:rsidRDefault="005477E0" w:rsidP="000C6D4F">
      <w:pPr>
        <w:pStyle w:val="Sinespaciado"/>
        <w:spacing w:line="360" w:lineRule="auto"/>
        <w:jc w:val="both"/>
        <w:rPr>
          <w:rFonts w:ascii="Palatino Linotype" w:hAnsi="Palatino Linotype" w:cs="Arial"/>
        </w:rPr>
      </w:pPr>
    </w:p>
    <w:p w14:paraId="566385A9" w14:textId="77777777" w:rsidR="005477E0" w:rsidRDefault="005477E0" w:rsidP="000C6D4F">
      <w:pPr>
        <w:pStyle w:val="Sinespaciado"/>
        <w:spacing w:line="360" w:lineRule="auto"/>
        <w:jc w:val="both"/>
        <w:rPr>
          <w:rFonts w:ascii="Palatino Linotype" w:hAnsi="Palatino Linotype" w:cs="Arial"/>
        </w:rPr>
      </w:pPr>
    </w:p>
    <w:p w14:paraId="430B8594" w14:textId="77777777" w:rsidR="005477E0" w:rsidRDefault="005477E0" w:rsidP="000C6D4F">
      <w:pPr>
        <w:pStyle w:val="Sinespaciado"/>
        <w:spacing w:line="360" w:lineRule="auto"/>
        <w:jc w:val="both"/>
        <w:rPr>
          <w:rFonts w:ascii="Palatino Linotype" w:hAnsi="Palatino Linotype" w:cs="Arial"/>
        </w:rPr>
      </w:pPr>
    </w:p>
    <w:p w14:paraId="2C1048CC" w14:textId="77777777" w:rsidR="005477E0" w:rsidRDefault="005477E0" w:rsidP="000C6D4F">
      <w:pPr>
        <w:pStyle w:val="Sinespaciado"/>
        <w:spacing w:line="360" w:lineRule="auto"/>
        <w:jc w:val="both"/>
        <w:rPr>
          <w:rFonts w:ascii="Palatino Linotype" w:hAnsi="Palatino Linotype" w:cs="Arial"/>
        </w:rPr>
      </w:pPr>
    </w:p>
    <w:p w14:paraId="7B0D99B8" w14:textId="77777777" w:rsidR="0010483B" w:rsidRDefault="0010483B" w:rsidP="000C6D4F">
      <w:pPr>
        <w:pStyle w:val="Sinespaciado"/>
        <w:spacing w:line="360" w:lineRule="auto"/>
        <w:jc w:val="both"/>
        <w:rPr>
          <w:rFonts w:ascii="Palatino Linotype" w:hAnsi="Palatino Linotype" w:cs="Arial"/>
        </w:rPr>
      </w:pPr>
    </w:p>
    <w:p w14:paraId="4EDE137C" w14:textId="77777777" w:rsidR="0010483B" w:rsidRDefault="0010483B" w:rsidP="000C6D4F">
      <w:pPr>
        <w:pStyle w:val="Sinespaciado"/>
        <w:spacing w:line="360" w:lineRule="auto"/>
        <w:jc w:val="both"/>
        <w:rPr>
          <w:rFonts w:ascii="Palatino Linotype" w:hAnsi="Palatino Linotype" w:cs="Arial"/>
        </w:rPr>
      </w:pPr>
    </w:p>
    <w:p w14:paraId="2B99EAED" w14:textId="77777777" w:rsidR="0010483B" w:rsidRDefault="0010483B" w:rsidP="000C6D4F">
      <w:pPr>
        <w:pStyle w:val="Sinespaciado"/>
        <w:spacing w:line="360" w:lineRule="auto"/>
        <w:jc w:val="both"/>
        <w:rPr>
          <w:rFonts w:ascii="Palatino Linotype" w:hAnsi="Palatino Linotype" w:cs="Arial"/>
        </w:rPr>
      </w:pPr>
    </w:p>
    <w:sectPr w:rsidR="0010483B"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1134C" w14:textId="77777777" w:rsidR="005054BC" w:rsidRDefault="005054BC" w:rsidP="006168E4">
      <w:pPr>
        <w:spacing w:after="0" w:line="240" w:lineRule="auto"/>
      </w:pPr>
      <w:r>
        <w:separator/>
      </w:r>
    </w:p>
  </w:endnote>
  <w:endnote w:type="continuationSeparator" w:id="0">
    <w:p w14:paraId="632F171A" w14:textId="77777777" w:rsidR="005054BC" w:rsidRDefault="005054B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1AB6">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1AB6">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1A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1AB6">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741CE" w14:textId="77777777" w:rsidR="005054BC" w:rsidRDefault="005054BC" w:rsidP="006168E4">
      <w:pPr>
        <w:spacing w:after="0" w:line="240" w:lineRule="auto"/>
      </w:pPr>
      <w:r>
        <w:separator/>
      </w:r>
    </w:p>
  </w:footnote>
  <w:footnote w:type="continuationSeparator" w:id="0">
    <w:p w14:paraId="4BC1F495" w14:textId="77777777" w:rsidR="005054BC" w:rsidRDefault="005054BC" w:rsidP="006168E4">
      <w:pPr>
        <w:spacing w:after="0" w:line="240" w:lineRule="auto"/>
      </w:pPr>
      <w:r>
        <w:continuationSeparator/>
      </w:r>
    </w:p>
  </w:footnote>
  <w:footnote w:id="1">
    <w:p w14:paraId="3D4529E6" w14:textId="77777777" w:rsidR="00D84156" w:rsidRPr="00E616F8" w:rsidRDefault="00D84156" w:rsidP="00D84156">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21651FC4" w14:textId="77777777" w:rsidR="00D84156" w:rsidRPr="008D2908" w:rsidRDefault="00D84156" w:rsidP="00D8415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17981A04" w14:textId="77777777" w:rsidTr="00B50E49">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4F90839" w:rsidR="009745ED" w:rsidRPr="00B4142F" w:rsidRDefault="00AB24E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84156">
            <w:rPr>
              <w:rFonts w:ascii="Palatino Linotype" w:hAnsi="Palatino Linotype" w:cs="Arial"/>
              <w:bCs/>
              <w:sz w:val="24"/>
              <w:lang w:eastAsia="es-MX"/>
            </w:rPr>
            <w:t>3645</w:t>
          </w:r>
          <w:r w:rsidR="00F90F72">
            <w:rPr>
              <w:rFonts w:ascii="Palatino Linotype" w:hAnsi="Palatino Linotype" w:cs="Arial"/>
              <w:bCs/>
              <w:sz w:val="24"/>
              <w:lang w:eastAsia="es-MX"/>
            </w:rPr>
            <w:t>/INFOEM/IP/RR/2022</w:t>
          </w:r>
        </w:p>
      </w:tc>
    </w:tr>
    <w:tr w:rsidR="009745ED" w14:paraId="637042F0" w14:textId="77777777" w:rsidTr="00B50E49">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87D0637" w:rsidR="009745ED" w:rsidRPr="00F06FED" w:rsidRDefault="009745ED" w:rsidP="00D84156">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D84156">
            <w:rPr>
              <w:rFonts w:ascii="Palatino Linotype" w:hAnsi="Palatino Linotype" w:cs="Arial"/>
              <w:szCs w:val="20"/>
            </w:rPr>
            <w:t xml:space="preserve">Acolman </w:t>
          </w:r>
        </w:p>
      </w:tc>
    </w:tr>
    <w:tr w:rsidR="009745ED" w14:paraId="21BFE746" w14:textId="77777777" w:rsidTr="00B50E49">
      <w:trPr>
        <w:trHeight w:val="342"/>
      </w:trPr>
      <w:tc>
        <w:tcPr>
          <w:tcW w:w="5529" w:type="dxa"/>
          <w:hideMark/>
        </w:tcPr>
        <w:p w14:paraId="64C4E314" w14:textId="58340D62" w:rsidR="009745ED" w:rsidRDefault="00B50E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704853B3" w14:textId="062A4510" w:rsidR="009745ED" w:rsidRDefault="00B50E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745ED" w:rsidRDefault="009745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B50E49">
      <w:trPr>
        <w:trHeight w:val="227"/>
      </w:trPr>
      <w:tc>
        <w:tcPr>
          <w:tcW w:w="5529" w:type="dxa"/>
          <w:hideMark/>
        </w:tcPr>
        <w:p w14:paraId="272860E8" w14:textId="102695B3"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5EABFD2" w:rsidR="009745ED" w:rsidRPr="00B4142F" w:rsidRDefault="00AB24E7" w:rsidP="0071046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10467">
            <w:rPr>
              <w:rFonts w:ascii="Palatino Linotype" w:hAnsi="Palatino Linotype" w:cs="Arial"/>
              <w:bCs/>
              <w:sz w:val="24"/>
              <w:lang w:eastAsia="es-MX"/>
            </w:rPr>
            <w:t>3645</w:t>
          </w:r>
          <w:r w:rsidR="00F90F72">
            <w:rPr>
              <w:rFonts w:ascii="Palatino Linotype" w:hAnsi="Palatino Linotype" w:cs="Arial"/>
              <w:bCs/>
              <w:sz w:val="24"/>
              <w:lang w:eastAsia="es-MX"/>
            </w:rPr>
            <w:t>/INFOEM/IP/RR/2022</w:t>
          </w:r>
        </w:p>
      </w:tc>
    </w:tr>
    <w:tr w:rsidR="009745ED" w14:paraId="33FC5097" w14:textId="77777777" w:rsidTr="00B50E49">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0BA49D2" w:rsidR="009745ED" w:rsidRPr="00F06FED" w:rsidRDefault="002A59F9" w:rsidP="007A3BB5">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9745ED" w14:paraId="178280DE" w14:textId="77777777" w:rsidTr="00B50E49">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FA13234" w:rsidR="009745ED" w:rsidRDefault="00710467" w:rsidP="00AB24E7">
          <w:pPr>
            <w:spacing w:after="120" w:line="256" w:lineRule="auto"/>
            <w:ind w:left="639" w:right="214"/>
            <w:jc w:val="both"/>
            <w:rPr>
              <w:rFonts w:ascii="Palatino Linotype" w:hAnsi="Palatino Linotype" w:cs="Arial"/>
              <w:szCs w:val="20"/>
            </w:rPr>
          </w:pPr>
          <w:r w:rsidRPr="00710467">
            <w:rPr>
              <w:rFonts w:ascii="Palatino Linotype" w:hAnsi="Palatino Linotype" w:cs="Arial"/>
              <w:szCs w:val="20"/>
            </w:rPr>
            <w:t>Ayuntamiento de Acolman</w:t>
          </w:r>
        </w:p>
      </w:tc>
    </w:tr>
    <w:tr w:rsidR="009745ED" w14:paraId="0518978B" w14:textId="77777777" w:rsidTr="00B50E49">
      <w:trPr>
        <w:trHeight w:val="342"/>
      </w:trPr>
      <w:tc>
        <w:tcPr>
          <w:tcW w:w="5529" w:type="dxa"/>
          <w:hideMark/>
        </w:tcPr>
        <w:p w14:paraId="04968A43" w14:textId="0940D6BC" w:rsidR="009745ED" w:rsidRDefault="00B50E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1E42D601" w14:textId="379E342A" w:rsidR="009745ED" w:rsidRDefault="00B50E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42044A1"/>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6124E7"/>
    <w:multiLevelType w:val="hybridMultilevel"/>
    <w:tmpl w:val="F5521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4"/>
  </w:num>
  <w:num w:numId="4">
    <w:abstractNumId w:val="10"/>
  </w:num>
  <w:num w:numId="5">
    <w:abstractNumId w:val="0"/>
  </w:num>
  <w:num w:numId="6">
    <w:abstractNumId w:val="17"/>
  </w:num>
  <w:num w:numId="7">
    <w:abstractNumId w:val="15"/>
  </w:num>
  <w:num w:numId="8">
    <w:abstractNumId w:val="5"/>
  </w:num>
  <w:num w:numId="9">
    <w:abstractNumId w:val="1"/>
  </w:num>
  <w:num w:numId="10">
    <w:abstractNumId w:val="2"/>
  </w:num>
  <w:num w:numId="11">
    <w:abstractNumId w:val="4"/>
  </w:num>
  <w:num w:numId="12">
    <w:abstractNumId w:val="11"/>
  </w:num>
  <w:num w:numId="13">
    <w:abstractNumId w:val="12"/>
  </w:num>
  <w:num w:numId="14">
    <w:abstractNumId w:val="7"/>
  </w:num>
  <w:num w:numId="15">
    <w:abstractNumId w:val="9"/>
  </w:num>
  <w:num w:numId="16">
    <w:abstractNumId w:val="3"/>
  </w:num>
  <w:num w:numId="17">
    <w:abstractNumId w:val="8"/>
  </w:num>
  <w:num w:numId="1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FA5"/>
    <w:rsid w:val="00004967"/>
    <w:rsid w:val="0000527E"/>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6675E"/>
    <w:rsid w:val="00066F7C"/>
    <w:rsid w:val="00070E99"/>
    <w:rsid w:val="00070FAA"/>
    <w:rsid w:val="00073E78"/>
    <w:rsid w:val="00073FC2"/>
    <w:rsid w:val="00076AE0"/>
    <w:rsid w:val="0007756F"/>
    <w:rsid w:val="0008033D"/>
    <w:rsid w:val="0008151E"/>
    <w:rsid w:val="00081AB6"/>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4DA0"/>
    <w:rsid w:val="000C5B8B"/>
    <w:rsid w:val="000C6D4F"/>
    <w:rsid w:val="000D1A4E"/>
    <w:rsid w:val="000D1B55"/>
    <w:rsid w:val="000D3C75"/>
    <w:rsid w:val="000D4532"/>
    <w:rsid w:val="000D4A3A"/>
    <w:rsid w:val="000D5800"/>
    <w:rsid w:val="000D67B8"/>
    <w:rsid w:val="000D7523"/>
    <w:rsid w:val="000E01ED"/>
    <w:rsid w:val="000E0C4D"/>
    <w:rsid w:val="000E1C51"/>
    <w:rsid w:val="000E30C2"/>
    <w:rsid w:val="000E3AEA"/>
    <w:rsid w:val="000E3CAA"/>
    <w:rsid w:val="000E6545"/>
    <w:rsid w:val="000E686B"/>
    <w:rsid w:val="000F2A5E"/>
    <w:rsid w:val="000F2E5A"/>
    <w:rsid w:val="000F3F8D"/>
    <w:rsid w:val="000F4043"/>
    <w:rsid w:val="00100C19"/>
    <w:rsid w:val="00101607"/>
    <w:rsid w:val="001023EB"/>
    <w:rsid w:val="00103AB6"/>
    <w:rsid w:val="00104391"/>
    <w:rsid w:val="0010483B"/>
    <w:rsid w:val="00106372"/>
    <w:rsid w:val="001067D6"/>
    <w:rsid w:val="00111DCD"/>
    <w:rsid w:val="00112C29"/>
    <w:rsid w:val="00114CF9"/>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53662"/>
    <w:rsid w:val="00153BD4"/>
    <w:rsid w:val="001578B2"/>
    <w:rsid w:val="00161FBE"/>
    <w:rsid w:val="001648DC"/>
    <w:rsid w:val="0016613D"/>
    <w:rsid w:val="00166BE3"/>
    <w:rsid w:val="0016745C"/>
    <w:rsid w:val="001705AC"/>
    <w:rsid w:val="001710C0"/>
    <w:rsid w:val="001733A0"/>
    <w:rsid w:val="00174132"/>
    <w:rsid w:val="00175897"/>
    <w:rsid w:val="00177C30"/>
    <w:rsid w:val="00180B9F"/>
    <w:rsid w:val="00181416"/>
    <w:rsid w:val="00181CC5"/>
    <w:rsid w:val="001829BE"/>
    <w:rsid w:val="00183882"/>
    <w:rsid w:val="00184E8E"/>
    <w:rsid w:val="001854E1"/>
    <w:rsid w:val="0018577F"/>
    <w:rsid w:val="00193784"/>
    <w:rsid w:val="00194676"/>
    <w:rsid w:val="00196DCE"/>
    <w:rsid w:val="00196FE9"/>
    <w:rsid w:val="001A02EC"/>
    <w:rsid w:val="001A1756"/>
    <w:rsid w:val="001A30F5"/>
    <w:rsid w:val="001A319E"/>
    <w:rsid w:val="001A4643"/>
    <w:rsid w:val="001A4BAD"/>
    <w:rsid w:val="001A5630"/>
    <w:rsid w:val="001A577E"/>
    <w:rsid w:val="001A6F2C"/>
    <w:rsid w:val="001A7484"/>
    <w:rsid w:val="001A7959"/>
    <w:rsid w:val="001A7C9B"/>
    <w:rsid w:val="001B05B9"/>
    <w:rsid w:val="001B1A88"/>
    <w:rsid w:val="001B4B13"/>
    <w:rsid w:val="001B6914"/>
    <w:rsid w:val="001B7B88"/>
    <w:rsid w:val="001B7FA2"/>
    <w:rsid w:val="001C1337"/>
    <w:rsid w:val="001C1CAF"/>
    <w:rsid w:val="001C50EE"/>
    <w:rsid w:val="001C7319"/>
    <w:rsid w:val="001C7D87"/>
    <w:rsid w:val="001D23B4"/>
    <w:rsid w:val="001D27C1"/>
    <w:rsid w:val="001D3E87"/>
    <w:rsid w:val="001D495E"/>
    <w:rsid w:val="001D49A2"/>
    <w:rsid w:val="001D627A"/>
    <w:rsid w:val="001D6B60"/>
    <w:rsid w:val="001D6D74"/>
    <w:rsid w:val="001E0C3F"/>
    <w:rsid w:val="001E11BF"/>
    <w:rsid w:val="001E3960"/>
    <w:rsid w:val="001E5168"/>
    <w:rsid w:val="001E58D8"/>
    <w:rsid w:val="001E78AA"/>
    <w:rsid w:val="001F2101"/>
    <w:rsid w:val="001F2360"/>
    <w:rsid w:val="001F3969"/>
    <w:rsid w:val="001F4C6F"/>
    <w:rsid w:val="001F4FD1"/>
    <w:rsid w:val="001F61DA"/>
    <w:rsid w:val="0020144D"/>
    <w:rsid w:val="00204420"/>
    <w:rsid w:val="00204CA6"/>
    <w:rsid w:val="00205ACD"/>
    <w:rsid w:val="002075A5"/>
    <w:rsid w:val="0021055C"/>
    <w:rsid w:val="00212A9D"/>
    <w:rsid w:val="00213077"/>
    <w:rsid w:val="0021501E"/>
    <w:rsid w:val="00215192"/>
    <w:rsid w:val="0021530C"/>
    <w:rsid w:val="002158F8"/>
    <w:rsid w:val="002205C0"/>
    <w:rsid w:val="00221889"/>
    <w:rsid w:val="00224557"/>
    <w:rsid w:val="002248AC"/>
    <w:rsid w:val="00226AF5"/>
    <w:rsid w:val="0023373D"/>
    <w:rsid w:val="00233CE5"/>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784"/>
    <w:rsid w:val="002907D5"/>
    <w:rsid w:val="002909D6"/>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A59F9"/>
    <w:rsid w:val="002B113A"/>
    <w:rsid w:val="002B18B5"/>
    <w:rsid w:val="002B19E0"/>
    <w:rsid w:val="002B1A1F"/>
    <w:rsid w:val="002B5DBD"/>
    <w:rsid w:val="002C07C4"/>
    <w:rsid w:val="002C1B76"/>
    <w:rsid w:val="002C4807"/>
    <w:rsid w:val="002C5559"/>
    <w:rsid w:val="002C72D2"/>
    <w:rsid w:val="002D08E3"/>
    <w:rsid w:val="002D30CB"/>
    <w:rsid w:val="002D310D"/>
    <w:rsid w:val="002E2D7B"/>
    <w:rsid w:val="002E5E6A"/>
    <w:rsid w:val="002F14AA"/>
    <w:rsid w:val="002F2198"/>
    <w:rsid w:val="002F37BE"/>
    <w:rsid w:val="002F4577"/>
    <w:rsid w:val="002F61C8"/>
    <w:rsid w:val="002F6424"/>
    <w:rsid w:val="002F7704"/>
    <w:rsid w:val="00300D0B"/>
    <w:rsid w:val="00304D88"/>
    <w:rsid w:val="003056A2"/>
    <w:rsid w:val="00306096"/>
    <w:rsid w:val="00307369"/>
    <w:rsid w:val="003104BB"/>
    <w:rsid w:val="003107AB"/>
    <w:rsid w:val="003111C0"/>
    <w:rsid w:val="00315C28"/>
    <w:rsid w:val="0031645D"/>
    <w:rsid w:val="00317A04"/>
    <w:rsid w:val="00317A10"/>
    <w:rsid w:val="00320A67"/>
    <w:rsid w:val="00321565"/>
    <w:rsid w:val="0032187D"/>
    <w:rsid w:val="00323CD2"/>
    <w:rsid w:val="00324E31"/>
    <w:rsid w:val="00326BAF"/>
    <w:rsid w:val="003272FB"/>
    <w:rsid w:val="003317CD"/>
    <w:rsid w:val="00334F11"/>
    <w:rsid w:val="0034179E"/>
    <w:rsid w:val="00341AC3"/>
    <w:rsid w:val="0034299B"/>
    <w:rsid w:val="003430A8"/>
    <w:rsid w:val="003443B2"/>
    <w:rsid w:val="00345B43"/>
    <w:rsid w:val="00345F2E"/>
    <w:rsid w:val="003504F3"/>
    <w:rsid w:val="00352143"/>
    <w:rsid w:val="00352862"/>
    <w:rsid w:val="003579A9"/>
    <w:rsid w:val="00361B9C"/>
    <w:rsid w:val="00365C45"/>
    <w:rsid w:val="00370209"/>
    <w:rsid w:val="00371031"/>
    <w:rsid w:val="003736ED"/>
    <w:rsid w:val="00374444"/>
    <w:rsid w:val="003756A4"/>
    <w:rsid w:val="00376114"/>
    <w:rsid w:val="00376CEC"/>
    <w:rsid w:val="00380758"/>
    <w:rsid w:val="003827B4"/>
    <w:rsid w:val="00383B90"/>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C2632"/>
    <w:rsid w:val="003C2A8E"/>
    <w:rsid w:val="003C6E37"/>
    <w:rsid w:val="003C7873"/>
    <w:rsid w:val="003C78F7"/>
    <w:rsid w:val="003D11E5"/>
    <w:rsid w:val="003D153C"/>
    <w:rsid w:val="003D305F"/>
    <w:rsid w:val="003E015B"/>
    <w:rsid w:val="003E0BC5"/>
    <w:rsid w:val="003E16E1"/>
    <w:rsid w:val="003E2624"/>
    <w:rsid w:val="003E34C9"/>
    <w:rsid w:val="003E4B54"/>
    <w:rsid w:val="003F0DF5"/>
    <w:rsid w:val="003F332C"/>
    <w:rsid w:val="003F4B35"/>
    <w:rsid w:val="003F659A"/>
    <w:rsid w:val="00400E16"/>
    <w:rsid w:val="004012CF"/>
    <w:rsid w:val="004012E1"/>
    <w:rsid w:val="004020B1"/>
    <w:rsid w:val="004028F5"/>
    <w:rsid w:val="00402FF3"/>
    <w:rsid w:val="00404627"/>
    <w:rsid w:val="00405EAB"/>
    <w:rsid w:val="00406265"/>
    <w:rsid w:val="004069EB"/>
    <w:rsid w:val="00410A21"/>
    <w:rsid w:val="004111DA"/>
    <w:rsid w:val="00413327"/>
    <w:rsid w:val="00413F1C"/>
    <w:rsid w:val="0041440A"/>
    <w:rsid w:val="00420C4B"/>
    <w:rsid w:val="00423213"/>
    <w:rsid w:val="00423B36"/>
    <w:rsid w:val="0042416D"/>
    <w:rsid w:val="00433507"/>
    <w:rsid w:val="00435B85"/>
    <w:rsid w:val="00437A0E"/>
    <w:rsid w:val="00443B76"/>
    <w:rsid w:val="0044504F"/>
    <w:rsid w:val="004460C0"/>
    <w:rsid w:val="004502F1"/>
    <w:rsid w:val="004516EB"/>
    <w:rsid w:val="004529B6"/>
    <w:rsid w:val="00453188"/>
    <w:rsid w:val="00453DBD"/>
    <w:rsid w:val="00454CE6"/>
    <w:rsid w:val="00457162"/>
    <w:rsid w:val="00457A9F"/>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718A"/>
    <w:rsid w:val="00477430"/>
    <w:rsid w:val="00477CC2"/>
    <w:rsid w:val="00480C13"/>
    <w:rsid w:val="0048180A"/>
    <w:rsid w:val="00481C7A"/>
    <w:rsid w:val="004836B3"/>
    <w:rsid w:val="00485906"/>
    <w:rsid w:val="00486952"/>
    <w:rsid w:val="004906C8"/>
    <w:rsid w:val="00491B39"/>
    <w:rsid w:val="00494363"/>
    <w:rsid w:val="0049459B"/>
    <w:rsid w:val="00494B81"/>
    <w:rsid w:val="00495252"/>
    <w:rsid w:val="004964B5"/>
    <w:rsid w:val="0049675F"/>
    <w:rsid w:val="004967E2"/>
    <w:rsid w:val="0049785D"/>
    <w:rsid w:val="004A1436"/>
    <w:rsid w:val="004A290F"/>
    <w:rsid w:val="004A5FFD"/>
    <w:rsid w:val="004A7195"/>
    <w:rsid w:val="004A7CE2"/>
    <w:rsid w:val="004B0E16"/>
    <w:rsid w:val="004B376D"/>
    <w:rsid w:val="004B5DEC"/>
    <w:rsid w:val="004B7F32"/>
    <w:rsid w:val="004C1B4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4BC"/>
    <w:rsid w:val="00505759"/>
    <w:rsid w:val="00505784"/>
    <w:rsid w:val="0050578D"/>
    <w:rsid w:val="00510A0F"/>
    <w:rsid w:val="0051107C"/>
    <w:rsid w:val="0051134E"/>
    <w:rsid w:val="00514187"/>
    <w:rsid w:val="00515090"/>
    <w:rsid w:val="00521A89"/>
    <w:rsid w:val="00521E57"/>
    <w:rsid w:val="00523E4E"/>
    <w:rsid w:val="00525E83"/>
    <w:rsid w:val="00527EBC"/>
    <w:rsid w:val="005305EA"/>
    <w:rsid w:val="00530E3E"/>
    <w:rsid w:val="005311BB"/>
    <w:rsid w:val="0053590E"/>
    <w:rsid w:val="005371E7"/>
    <w:rsid w:val="00540491"/>
    <w:rsid w:val="00540538"/>
    <w:rsid w:val="00540C92"/>
    <w:rsid w:val="0054583D"/>
    <w:rsid w:val="005477E0"/>
    <w:rsid w:val="005478DE"/>
    <w:rsid w:val="005520FE"/>
    <w:rsid w:val="0055211D"/>
    <w:rsid w:val="00552FA7"/>
    <w:rsid w:val="00553E92"/>
    <w:rsid w:val="00554927"/>
    <w:rsid w:val="00556513"/>
    <w:rsid w:val="00560D4A"/>
    <w:rsid w:val="00562653"/>
    <w:rsid w:val="00562871"/>
    <w:rsid w:val="00562ABA"/>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14EC"/>
    <w:rsid w:val="005A3FC6"/>
    <w:rsid w:val="005A4025"/>
    <w:rsid w:val="005A52D9"/>
    <w:rsid w:val="005A5A6E"/>
    <w:rsid w:val="005A694B"/>
    <w:rsid w:val="005A6D57"/>
    <w:rsid w:val="005B00A4"/>
    <w:rsid w:val="005B0424"/>
    <w:rsid w:val="005B1261"/>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1AFE"/>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E7D21"/>
    <w:rsid w:val="005F048E"/>
    <w:rsid w:val="005F1408"/>
    <w:rsid w:val="005F1E0B"/>
    <w:rsid w:val="005F2C96"/>
    <w:rsid w:val="005F57F0"/>
    <w:rsid w:val="005F7424"/>
    <w:rsid w:val="005F7D10"/>
    <w:rsid w:val="00600FB9"/>
    <w:rsid w:val="006010C7"/>
    <w:rsid w:val="00602223"/>
    <w:rsid w:val="0060225F"/>
    <w:rsid w:val="0060242C"/>
    <w:rsid w:val="00606FDA"/>
    <w:rsid w:val="0061042F"/>
    <w:rsid w:val="00612499"/>
    <w:rsid w:val="00615A37"/>
    <w:rsid w:val="006168E4"/>
    <w:rsid w:val="00616943"/>
    <w:rsid w:val="00617BD6"/>
    <w:rsid w:val="00617FAF"/>
    <w:rsid w:val="006214B9"/>
    <w:rsid w:val="00621940"/>
    <w:rsid w:val="00622048"/>
    <w:rsid w:val="0062421A"/>
    <w:rsid w:val="00624FE9"/>
    <w:rsid w:val="00625866"/>
    <w:rsid w:val="006300D6"/>
    <w:rsid w:val="00630382"/>
    <w:rsid w:val="0063255F"/>
    <w:rsid w:val="0063265C"/>
    <w:rsid w:val="00632B5D"/>
    <w:rsid w:val="00633079"/>
    <w:rsid w:val="006332DC"/>
    <w:rsid w:val="00635020"/>
    <w:rsid w:val="0063509E"/>
    <w:rsid w:val="00635846"/>
    <w:rsid w:val="00637512"/>
    <w:rsid w:val="00640EE4"/>
    <w:rsid w:val="0064168D"/>
    <w:rsid w:val="00643161"/>
    <w:rsid w:val="006466F5"/>
    <w:rsid w:val="006468D6"/>
    <w:rsid w:val="006529A5"/>
    <w:rsid w:val="00655735"/>
    <w:rsid w:val="00661404"/>
    <w:rsid w:val="00661753"/>
    <w:rsid w:val="006646AC"/>
    <w:rsid w:val="00664D5B"/>
    <w:rsid w:val="0067097E"/>
    <w:rsid w:val="00671D7C"/>
    <w:rsid w:val="00672112"/>
    <w:rsid w:val="00672B5A"/>
    <w:rsid w:val="00676C2E"/>
    <w:rsid w:val="00681802"/>
    <w:rsid w:val="00682225"/>
    <w:rsid w:val="006822F4"/>
    <w:rsid w:val="00682325"/>
    <w:rsid w:val="00682B6F"/>
    <w:rsid w:val="00683417"/>
    <w:rsid w:val="00684893"/>
    <w:rsid w:val="006848B7"/>
    <w:rsid w:val="00684CBE"/>
    <w:rsid w:val="00686FC2"/>
    <w:rsid w:val="00687BF9"/>
    <w:rsid w:val="00692345"/>
    <w:rsid w:val="00692B9C"/>
    <w:rsid w:val="0069391E"/>
    <w:rsid w:val="00697281"/>
    <w:rsid w:val="006A1653"/>
    <w:rsid w:val="006A2C7F"/>
    <w:rsid w:val="006A563E"/>
    <w:rsid w:val="006B1118"/>
    <w:rsid w:val="006B12A6"/>
    <w:rsid w:val="006B1953"/>
    <w:rsid w:val="006B1BF1"/>
    <w:rsid w:val="006B1C95"/>
    <w:rsid w:val="006B26E3"/>
    <w:rsid w:val="006B3302"/>
    <w:rsid w:val="006B37EA"/>
    <w:rsid w:val="006B7444"/>
    <w:rsid w:val="006C0C3F"/>
    <w:rsid w:val="006C0CF5"/>
    <w:rsid w:val="006C1288"/>
    <w:rsid w:val="006C15FD"/>
    <w:rsid w:val="006C32EE"/>
    <w:rsid w:val="006C3831"/>
    <w:rsid w:val="006C4BE4"/>
    <w:rsid w:val="006C4F44"/>
    <w:rsid w:val="006C6A05"/>
    <w:rsid w:val="006D0B29"/>
    <w:rsid w:val="006D187F"/>
    <w:rsid w:val="006D191D"/>
    <w:rsid w:val="006D23FC"/>
    <w:rsid w:val="006D3CD7"/>
    <w:rsid w:val="006D5719"/>
    <w:rsid w:val="006D5803"/>
    <w:rsid w:val="006E01D1"/>
    <w:rsid w:val="006E594D"/>
    <w:rsid w:val="006E5C99"/>
    <w:rsid w:val="006F1B61"/>
    <w:rsid w:val="006F1FC1"/>
    <w:rsid w:val="006F36E8"/>
    <w:rsid w:val="006F53A9"/>
    <w:rsid w:val="006F5A35"/>
    <w:rsid w:val="006F60C5"/>
    <w:rsid w:val="006F610D"/>
    <w:rsid w:val="006F6E0E"/>
    <w:rsid w:val="00701033"/>
    <w:rsid w:val="007024E8"/>
    <w:rsid w:val="0070371E"/>
    <w:rsid w:val="007046E4"/>
    <w:rsid w:val="00705F8F"/>
    <w:rsid w:val="007064F6"/>
    <w:rsid w:val="007078A3"/>
    <w:rsid w:val="00710467"/>
    <w:rsid w:val="00711536"/>
    <w:rsid w:val="007129C0"/>
    <w:rsid w:val="00713390"/>
    <w:rsid w:val="007142B5"/>
    <w:rsid w:val="00716BFE"/>
    <w:rsid w:val="00720774"/>
    <w:rsid w:val="007234D1"/>
    <w:rsid w:val="00731428"/>
    <w:rsid w:val="0073157A"/>
    <w:rsid w:val="00735209"/>
    <w:rsid w:val="00735654"/>
    <w:rsid w:val="00740F1A"/>
    <w:rsid w:val="00744E29"/>
    <w:rsid w:val="00744EEF"/>
    <w:rsid w:val="00751095"/>
    <w:rsid w:val="007517D1"/>
    <w:rsid w:val="007524CA"/>
    <w:rsid w:val="00754CAE"/>
    <w:rsid w:val="00757559"/>
    <w:rsid w:val="0076092F"/>
    <w:rsid w:val="00761AF7"/>
    <w:rsid w:val="007658D5"/>
    <w:rsid w:val="00772BA8"/>
    <w:rsid w:val="00774266"/>
    <w:rsid w:val="0078028A"/>
    <w:rsid w:val="007806CB"/>
    <w:rsid w:val="00781C64"/>
    <w:rsid w:val="007848FB"/>
    <w:rsid w:val="007851D5"/>
    <w:rsid w:val="00785698"/>
    <w:rsid w:val="0078693A"/>
    <w:rsid w:val="007906E0"/>
    <w:rsid w:val="00792E0C"/>
    <w:rsid w:val="00793B70"/>
    <w:rsid w:val="00794153"/>
    <w:rsid w:val="0079486A"/>
    <w:rsid w:val="00794E74"/>
    <w:rsid w:val="00794F80"/>
    <w:rsid w:val="0079666D"/>
    <w:rsid w:val="0079730D"/>
    <w:rsid w:val="00797B4F"/>
    <w:rsid w:val="007A139A"/>
    <w:rsid w:val="007A1C9E"/>
    <w:rsid w:val="007A200C"/>
    <w:rsid w:val="007A3BB5"/>
    <w:rsid w:val="007A4046"/>
    <w:rsid w:val="007A5926"/>
    <w:rsid w:val="007A6205"/>
    <w:rsid w:val="007A6C53"/>
    <w:rsid w:val="007A70AF"/>
    <w:rsid w:val="007B2C77"/>
    <w:rsid w:val="007B3469"/>
    <w:rsid w:val="007B49B3"/>
    <w:rsid w:val="007B51D5"/>
    <w:rsid w:val="007B7A6F"/>
    <w:rsid w:val="007C2C6B"/>
    <w:rsid w:val="007C5FCA"/>
    <w:rsid w:val="007C7FF1"/>
    <w:rsid w:val="007D0438"/>
    <w:rsid w:val="007D0D01"/>
    <w:rsid w:val="007D15EF"/>
    <w:rsid w:val="007D1A27"/>
    <w:rsid w:val="007D1A58"/>
    <w:rsid w:val="007D1B24"/>
    <w:rsid w:val="007D1F15"/>
    <w:rsid w:val="007D1FAE"/>
    <w:rsid w:val="007D25B1"/>
    <w:rsid w:val="007D2878"/>
    <w:rsid w:val="007D300A"/>
    <w:rsid w:val="007D661B"/>
    <w:rsid w:val="007D7774"/>
    <w:rsid w:val="007E1016"/>
    <w:rsid w:val="007E26F8"/>
    <w:rsid w:val="007E3A35"/>
    <w:rsid w:val="007E5726"/>
    <w:rsid w:val="007E7BAB"/>
    <w:rsid w:val="007E7C17"/>
    <w:rsid w:val="007E7DCE"/>
    <w:rsid w:val="007F0560"/>
    <w:rsid w:val="007F0DF4"/>
    <w:rsid w:val="007F1347"/>
    <w:rsid w:val="007F1C99"/>
    <w:rsid w:val="007F20AC"/>
    <w:rsid w:val="007F3C2F"/>
    <w:rsid w:val="007F43BD"/>
    <w:rsid w:val="007F53D4"/>
    <w:rsid w:val="007F6C8E"/>
    <w:rsid w:val="00800601"/>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15819"/>
    <w:rsid w:val="00820F66"/>
    <w:rsid w:val="008230AE"/>
    <w:rsid w:val="00824DCD"/>
    <w:rsid w:val="00825A0D"/>
    <w:rsid w:val="00827427"/>
    <w:rsid w:val="00827B21"/>
    <w:rsid w:val="00831D3F"/>
    <w:rsid w:val="00832986"/>
    <w:rsid w:val="00833DB5"/>
    <w:rsid w:val="008342ED"/>
    <w:rsid w:val="00835692"/>
    <w:rsid w:val="008365DC"/>
    <w:rsid w:val="008419A8"/>
    <w:rsid w:val="0084280D"/>
    <w:rsid w:val="008436AD"/>
    <w:rsid w:val="00844569"/>
    <w:rsid w:val="00846539"/>
    <w:rsid w:val="0084766D"/>
    <w:rsid w:val="008479F1"/>
    <w:rsid w:val="00847D23"/>
    <w:rsid w:val="00854887"/>
    <w:rsid w:val="00855544"/>
    <w:rsid w:val="00856D15"/>
    <w:rsid w:val="0086020D"/>
    <w:rsid w:val="00863327"/>
    <w:rsid w:val="00867B2F"/>
    <w:rsid w:val="00870ED2"/>
    <w:rsid w:val="00870F44"/>
    <w:rsid w:val="00874015"/>
    <w:rsid w:val="00876A75"/>
    <w:rsid w:val="0087786C"/>
    <w:rsid w:val="008826D0"/>
    <w:rsid w:val="00883587"/>
    <w:rsid w:val="0088400B"/>
    <w:rsid w:val="00884054"/>
    <w:rsid w:val="00884A10"/>
    <w:rsid w:val="00886712"/>
    <w:rsid w:val="008868B6"/>
    <w:rsid w:val="00891715"/>
    <w:rsid w:val="008924FD"/>
    <w:rsid w:val="00893C5F"/>
    <w:rsid w:val="00895089"/>
    <w:rsid w:val="008951ED"/>
    <w:rsid w:val="00896BBD"/>
    <w:rsid w:val="00897CD0"/>
    <w:rsid w:val="008A1129"/>
    <w:rsid w:val="008A322D"/>
    <w:rsid w:val="008A40E6"/>
    <w:rsid w:val="008A6E37"/>
    <w:rsid w:val="008A75BE"/>
    <w:rsid w:val="008A7E44"/>
    <w:rsid w:val="008B00BD"/>
    <w:rsid w:val="008B14D0"/>
    <w:rsid w:val="008B5026"/>
    <w:rsid w:val="008B5E55"/>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3DDC"/>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9B0"/>
    <w:rsid w:val="00916B04"/>
    <w:rsid w:val="00917869"/>
    <w:rsid w:val="00920464"/>
    <w:rsid w:val="0092113F"/>
    <w:rsid w:val="00921DB9"/>
    <w:rsid w:val="00922358"/>
    <w:rsid w:val="0092403D"/>
    <w:rsid w:val="00927C53"/>
    <w:rsid w:val="00932888"/>
    <w:rsid w:val="009331C2"/>
    <w:rsid w:val="009402DB"/>
    <w:rsid w:val="0094160B"/>
    <w:rsid w:val="00942FBA"/>
    <w:rsid w:val="00943DF1"/>
    <w:rsid w:val="00943F2E"/>
    <w:rsid w:val="00944898"/>
    <w:rsid w:val="009449B8"/>
    <w:rsid w:val="00944DC9"/>
    <w:rsid w:val="00946E7E"/>
    <w:rsid w:val="0094795E"/>
    <w:rsid w:val="00951D52"/>
    <w:rsid w:val="00952187"/>
    <w:rsid w:val="00954916"/>
    <w:rsid w:val="009549ED"/>
    <w:rsid w:val="00956C31"/>
    <w:rsid w:val="00957ACA"/>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75689"/>
    <w:rsid w:val="0098182D"/>
    <w:rsid w:val="00982D3B"/>
    <w:rsid w:val="00985AD2"/>
    <w:rsid w:val="00985C4C"/>
    <w:rsid w:val="009862D3"/>
    <w:rsid w:val="0098704B"/>
    <w:rsid w:val="00993821"/>
    <w:rsid w:val="009940F6"/>
    <w:rsid w:val="00994280"/>
    <w:rsid w:val="009970B5"/>
    <w:rsid w:val="009A0D0A"/>
    <w:rsid w:val="009A0FAE"/>
    <w:rsid w:val="009A13F4"/>
    <w:rsid w:val="009A2418"/>
    <w:rsid w:val="009A2DB0"/>
    <w:rsid w:val="009A4B66"/>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11E"/>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1B37"/>
    <w:rsid w:val="00A12205"/>
    <w:rsid w:val="00A21020"/>
    <w:rsid w:val="00A21876"/>
    <w:rsid w:val="00A30164"/>
    <w:rsid w:val="00A30C44"/>
    <w:rsid w:val="00A328AE"/>
    <w:rsid w:val="00A33AC7"/>
    <w:rsid w:val="00A347D8"/>
    <w:rsid w:val="00A36D20"/>
    <w:rsid w:val="00A37DA9"/>
    <w:rsid w:val="00A37DF5"/>
    <w:rsid w:val="00A4131E"/>
    <w:rsid w:val="00A41694"/>
    <w:rsid w:val="00A43501"/>
    <w:rsid w:val="00A453DC"/>
    <w:rsid w:val="00A469C4"/>
    <w:rsid w:val="00A46BDA"/>
    <w:rsid w:val="00A520C8"/>
    <w:rsid w:val="00A535E3"/>
    <w:rsid w:val="00A56C0D"/>
    <w:rsid w:val="00A570A7"/>
    <w:rsid w:val="00A57E92"/>
    <w:rsid w:val="00A60EA3"/>
    <w:rsid w:val="00A61900"/>
    <w:rsid w:val="00A62472"/>
    <w:rsid w:val="00A625E2"/>
    <w:rsid w:val="00A62AA3"/>
    <w:rsid w:val="00A62B55"/>
    <w:rsid w:val="00A64C80"/>
    <w:rsid w:val="00A64CBB"/>
    <w:rsid w:val="00A64FC7"/>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0BCD"/>
    <w:rsid w:val="00AA12B4"/>
    <w:rsid w:val="00AA12D0"/>
    <w:rsid w:val="00AA1687"/>
    <w:rsid w:val="00AA285C"/>
    <w:rsid w:val="00AA4325"/>
    <w:rsid w:val="00AA50AC"/>
    <w:rsid w:val="00AA5D62"/>
    <w:rsid w:val="00AB14BD"/>
    <w:rsid w:val="00AB1D6A"/>
    <w:rsid w:val="00AB24E7"/>
    <w:rsid w:val="00AB3710"/>
    <w:rsid w:val="00AB4B0F"/>
    <w:rsid w:val="00AB4FA1"/>
    <w:rsid w:val="00AB6C3B"/>
    <w:rsid w:val="00AC0516"/>
    <w:rsid w:val="00AC0D96"/>
    <w:rsid w:val="00AC2A55"/>
    <w:rsid w:val="00AC3497"/>
    <w:rsid w:val="00AC48E0"/>
    <w:rsid w:val="00AC7A73"/>
    <w:rsid w:val="00AC7C82"/>
    <w:rsid w:val="00AD1553"/>
    <w:rsid w:val="00AD25F0"/>
    <w:rsid w:val="00AD2EBD"/>
    <w:rsid w:val="00AD461A"/>
    <w:rsid w:val="00AD6EAA"/>
    <w:rsid w:val="00AE008F"/>
    <w:rsid w:val="00AE04E8"/>
    <w:rsid w:val="00AE0D01"/>
    <w:rsid w:val="00AE2056"/>
    <w:rsid w:val="00AE3253"/>
    <w:rsid w:val="00AE43EE"/>
    <w:rsid w:val="00AE74E9"/>
    <w:rsid w:val="00AF16C8"/>
    <w:rsid w:val="00AF1ED7"/>
    <w:rsid w:val="00AF54EF"/>
    <w:rsid w:val="00AF60D6"/>
    <w:rsid w:val="00AF6103"/>
    <w:rsid w:val="00AF68F3"/>
    <w:rsid w:val="00AF74DA"/>
    <w:rsid w:val="00B00C72"/>
    <w:rsid w:val="00B01443"/>
    <w:rsid w:val="00B01B48"/>
    <w:rsid w:val="00B024D6"/>
    <w:rsid w:val="00B04CF0"/>
    <w:rsid w:val="00B070A2"/>
    <w:rsid w:val="00B10E49"/>
    <w:rsid w:val="00B11E08"/>
    <w:rsid w:val="00B145FA"/>
    <w:rsid w:val="00B2037B"/>
    <w:rsid w:val="00B23274"/>
    <w:rsid w:val="00B23AA2"/>
    <w:rsid w:val="00B25B8F"/>
    <w:rsid w:val="00B2625F"/>
    <w:rsid w:val="00B272A6"/>
    <w:rsid w:val="00B30856"/>
    <w:rsid w:val="00B32CD3"/>
    <w:rsid w:val="00B34CA9"/>
    <w:rsid w:val="00B35797"/>
    <w:rsid w:val="00B35A93"/>
    <w:rsid w:val="00B3672D"/>
    <w:rsid w:val="00B40656"/>
    <w:rsid w:val="00B40F8A"/>
    <w:rsid w:val="00B47359"/>
    <w:rsid w:val="00B4745C"/>
    <w:rsid w:val="00B50AAA"/>
    <w:rsid w:val="00B50E49"/>
    <w:rsid w:val="00B544D9"/>
    <w:rsid w:val="00B5641B"/>
    <w:rsid w:val="00B564E0"/>
    <w:rsid w:val="00B60133"/>
    <w:rsid w:val="00B658D4"/>
    <w:rsid w:val="00B70133"/>
    <w:rsid w:val="00B7481A"/>
    <w:rsid w:val="00B75A2C"/>
    <w:rsid w:val="00B813AC"/>
    <w:rsid w:val="00B8287F"/>
    <w:rsid w:val="00B8376C"/>
    <w:rsid w:val="00B84260"/>
    <w:rsid w:val="00B86811"/>
    <w:rsid w:val="00B8738D"/>
    <w:rsid w:val="00B91F0B"/>
    <w:rsid w:val="00B9223B"/>
    <w:rsid w:val="00B92D47"/>
    <w:rsid w:val="00B94EA6"/>
    <w:rsid w:val="00B961A5"/>
    <w:rsid w:val="00BA18D5"/>
    <w:rsid w:val="00BA1FC4"/>
    <w:rsid w:val="00BA49CC"/>
    <w:rsid w:val="00BA4D1F"/>
    <w:rsid w:val="00BA7AD1"/>
    <w:rsid w:val="00BB0B9D"/>
    <w:rsid w:val="00BB0F34"/>
    <w:rsid w:val="00BB1CC2"/>
    <w:rsid w:val="00BB2250"/>
    <w:rsid w:val="00BB49A7"/>
    <w:rsid w:val="00BB4A87"/>
    <w:rsid w:val="00BB4C07"/>
    <w:rsid w:val="00BB4F63"/>
    <w:rsid w:val="00BB744D"/>
    <w:rsid w:val="00BB7708"/>
    <w:rsid w:val="00BC0FDD"/>
    <w:rsid w:val="00BC22E0"/>
    <w:rsid w:val="00BC4AA7"/>
    <w:rsid w:val="00BC5852"/>
    <w:rsid w:val="00BC6896"/>
    <w:rsid w:val="00BD0E26"/>
    <w:rsid w:val="00BD293B"/>
    <w:rsid w:val="00BD5110"/>
    <w:rsid w:val="00BD5425"/>
    <w:rsid w:val="00BD6F2F"/>
    <w:rsid w:val="00BD705F"/>
    <w:rsid w:val="00BE28ED"/>
    <w:rsid w:val="00BE55D6"/>
    <w:rsid w:val="00BE61B8"/>
    <w:rsid w:val="00BE72AE"/>
    <w:rsid w:val="00BF030A"/>
    <w:rsid w:val="00BF2EA1"/>
    <w:rsid w:val="00BF4605"/>
    <w:rsid w:val="00BF543F"/>
    <w:rsid w:val="00BF6902"/>
    <w:rsid w:val="00BF7421"/>
    <w:rsid w:val="00C01E2A"/>
    <w:rsid w:val="00C06E2B"/>
    <w:rsid w:val="00C07650"/>
    <w:rsid w:val="00C104DD"/>
    <w:rsid w:val="00C1331F"/>
    <w:rsid w:val="00C15275"/>
    <w:rsid w:val="00C15E31"/>
    <w:rsid w:val="00C16479"/>
    <w:rsid w:val="00C2058D"/>
    <w:rsid w:val="00C216E4"/>
    <w:rsid w:val="00C25084"/>
    <w:rsid w:val="00C250CB"/>
    <w:rsid w:val="00C25D1F"/>
    <w:rsid w:val="00C261C7"/>
    <w:rsid w:val="00C2768B"/>
    <w:rsid w:val="00C316A8"/>
    <w:rsid w:val="00C337F9"/>
    <w:rsid w:val="00C36FE6"/>
    <w:rsid w:val="00C3746F"/>
    <w:rsid w:val="00C3768A"/>
    <w:rsid w:val="00C37D9D"/>
    <w:rsid w:val="00C4139D"/>
    <w:rsid w:val="00C45DE7"/>
    <w:rsid w:val="00C5122B"/>
    <w:rsid w:val="00C538D4"/>
    <w:rsid w:val="00C562FD"/>
    <w:rsid w:val="00C56C17"/>
    <w:rsid w:val="00C61618"/>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491B"/>
    <w:rsid w:val="00CA6D58"/>
    <w:rsid w:val="00CA6FDA"/>
    <w:rsid w:val="00CB3B6F"/>
    <w:rsid w:val="00CB3D57"/>
    <w:rsid w:val="00CB6F8B"/>
    <w:rsid w:val="00CC0C5F"/>
    <w:rsid w:val="00CC1CAF"/>
    <w:rsid w:val="00CC24B0"/>
    <w:rsid w:val="00CC2788"/>
    <w:rsid w:val="00CC2F3D"/>
    <w:rsid w:val="00CC4D94"/>
    <w:rsid w:val="00CC5FF3"/>
    <w:rsid w:val="00CD7178"/>
    <w:rsid w:val="00CE26E0"/>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2B9"/>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4E3"/>
    <w:rsid w:val="00D427A6"/>
    <w:rsid w:val="00D42AFE"/>
    <w:rsid w:val="00D42C3F"/>
    <w:rsid w:val="00D44A9E"/>
    <w:rsid w:val="00D46910"/>
    <w:rsid w:val="00D475A2"/>
    <w:rsid w:val="00D5015D"/>
    <w:rsid w:val="00D5180F"/>
    <w:rsid w:val="00D52355"/>
    <w:rsid w:val="00D52AC7"/>
    <w:rsid w:val="00D53360"/>
    <w:rsid w:val="00D54CA9"/>
    <w:rsid w:val="00D563D9"/>
    <w:rsid w:val="00D566F2"/>
    <w:rsid w:val="00D56A45"/>
    <w:rsid w:val="00D6188C"/>
    <w:rsid w:val="00D61959"/>
    <w:rsid w:val="00D62F3F"/>
    <w:rsid w:val="00D6340F"/>
    <w:rsid w:val="00D6781D"/>
    <w:rsid w:val="00D67D98"/>
    <w:rsid w:val="00D72D16"/>
    <w:rsid w:val="00D73893"/>
    <w:rsid w:val="00D7412C"/>
    <w:rsid w:val="00D75521"/>
    <w:rsid w:val="00D75B88"/>
    <w:rsid w:val="00D76B2D"/>
    <w:rsid w:val="00D8195B"/>
    <w:rsid w:val="00D83503"/>
    <w:rsid w:val="00D84156"/>
    <w:rsid w:val="00D84724"/>
    <w:rsid w:val="00D8554E"/>
    <w:rsid w:val="00D8619F"/>
    <w:rsid w:val="00D86764"/>
    <w:rsid w:val="00D872D8"/>
    <w:rsid w:val="00D902FD"/>
    <w:rsid w:val="00D91F4E"/>
    <w:rsid w:val="00D93A67"/>
    <w:rsid w:val="00D93F28"/>
    <w:rsid w:val="00D96FC1"/>
    <w:rsid w:val="00DA133A"/>
    <w:rsid w:val="00DA2E2B"/>
    <w:rsid w:val="00DA3DE4"/>
    <w:rsid w:val="00DA6128"/>
    <w:rsid w:val="00DA69DE"/>
    <w:rsid w:val="00DB037C"/>
    <w:rsid w:val="00DB06D0"/>
    <w:rsid w:val="00DB1BA0"/>
    <w:rsid w:val="00DB5C0A"/>
    <w:rsid w:val="00DB6DAF"/>
    <w:rsid w:val="00DB72E5"/>
    <w:rsid w:val="00DC0AF1"/>
    <w:rsid w:val="00DC2393"/>
    <w:rsid w:val="00DC588B"/>
    <w:rsid w:val="00DC64BF"/>
    <w:rsid w:val="00DD0123"/>
    <w:rsid w:val="00DD13E2"/>
    <w:rsid w:val="00DD45AF"/>
    <w:rsid w:val="00DD4938"/>
    <w:rsid w:val="00DD7977"/>
    <w:rsid w:val="00DE34FF"/>
    <w:rsid w:val="00DE3F2B"/>
    <w:rsid w:val="00DE44AB"/>
    <w:rsid w:val="00DF003C"/>
    <w:rsid w:val="00DF00D4"/>
    <w:rsid w:val="00DF00F0"/>
    <w:rsid w:val="00DF289B"/>
    <w:rsid w:val="00DF4501"/>
    <w:rsid w:val="00DF7233"/>
    <w:rsid w:val="00DF73DC"/>
    <w:rsid w:val="00DF78AE"/>
    <w:rsid w:val="00E0171F"/>
    <w:rsid w:val="00E02AC4"/>
    <w:rsid w:val="00E033F2"/>
    <w:rsid w:val="00E0462A"/>
    <w:rsid w:val="00E06D9E"/>
    <w:rsid w:val="00E07AAA"/>
    <w:rsid w:val="00E07CC2"/>
    <w:rsid w:val="00E11E2E"/>
    <w:rsid w:val="00E125CA"/>
    <w:rsid w:val="00E138CC"/>
    <w:rsid w:val="00E14B17"/>
    <w:rsid w:val="00E14EAE"/>
    <w:rsid w:val="00E16394"/>
    <w:rsid w:val="00E22571"/>
    <w:rsid w:val="00E25156"/>
    <w:rsid w:val="00E25242"/>
    <w:rsid w:val="00E25AAC"/>
    <w:rsid w:val="00E2730D"/>
    <w:rsid w:val="00E2776D"/>
    <w:rsid w:val="00E279B9"/>
    <w:rsid w:val="00E30CA9"/>
    <w:rsid w:val="00E31807"/>
    <w:rsid w:val="00E33AAA"/>
    <w:rsid w:val="00E33C53"/>
    <w:rsid w:val="00E33CB8"/>
    <w:rsid w:val="00E33F0E"/>
    <w:rsid w:val="00E340E2"/>
    <w:rsid w:val="00E36C8F"/>
    <w:rsid w:val="00E371EC"/>
    <w:rsid w:val="00E37DAC"/>
    <w:rsid w:val="00E37EB7"/>
    <w:rsid w:val="00E404C5"/>
    <w:rsid w:val="00E40A10"/>
    <w:rsid w:val="00E42206"/>
    <w:rsid w:val="00E42DA5"/>
    <w:rsid w:val="00E50E9F"/>
    <w:rsid w:val="00E51EF9"/>
    <w:rsid w:val="00E54816"/>
    <w:rsid w:val="00E5512E"/>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2534"/>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1329"/>
    <w:rsid w:val="00ED3DE9"/>
    <w:rsid w:val="00ED4B06"/>
    <w:rsid w:val="00EE0713"/>
    <w:rsid w:val="00EE07A6"/>
    <w:rsid w:val="00EE0F2E"/>
    <w:rsid w:val="00EE2A41"/>
    <w:rsid w:val="00EE4E10"/>
    <w:rsid w:val="00EE525B"/>
    <w:rsid w:val="00EE633C"/>
    <w:rsid w:val="00EF09FB"/>
    <w:rsid w:val="00EF0CFD"/>
    <w:rsid w:val="00EF0DE2"/>
    <w:rsid w:val="00EF30A4"/>
    <w:rsid w:val="00EF4DFA"/>
    <w:rsid w:val="00EF5F08"/>
    <w:rsid w:val="00EF7736"/>
    <w:rsid w:val="00F02923"/>
    <w:rsid w:val="00F0351B"/>
    <w:rsid w:val="00F04089"/>
    <w:rsid w:val="00F06275"/>
    <w:rsid w:val="00F06472"/>
    <w:rsid w:val="00F123EC"/>
    <w:rsid w:val="00F1290F"/>
    <w:rsid w:val="00F16331"/>
    <w:rsid w:val="00F16803"/>
    <w:rsid w:val="00F22566"/>
    <w:rsid w:val="00F22963"/>
    <w:rsid w:val="00F25B98"/>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38F8"/>
    <w:rsid w:val="00F7598B"/>
    <w:rsid w:val="00F8749D"/>
    <w:rsid w:val="00F87ADD"/>
    <w:rsid w:val="00F90F72"/>
    <w:rsid w:val="00F914FD"/>
    <w:rsid w:val="00F9164E"/>
    <w:rsid w:val="00F92D2B"/>
    <w:rsid w:val="00F952BF"/>
    <w:rsid w:val="00F95515"/>
    <w:rsid w:val="00F9574E"/>
    <w:rsid w:val="00F974AA"/>
    <w:rsid w:val="00FA2545"/>
    <w:rsid w:val="00FA3EC3"/>
    <w:rsid w:val="00FA7CFC"/>
    <w:rsid w:val="00FB097C"/>
    <w:rsid w:val="00FB21C2"/>
    <w:rsid w:val="00FB4AAD"/>
    <w:rsid w:val="00FB4AD8"/>
    <w:rsid w:val="00FB4E3D"/>
    <w:rsid w:val="00FB5A22"/>
    <w:rsid w:val="00FB5B57"/>
    <w:rsid w:val="00FB5F2A"/>
    <w:rsid w:val="00FB5FB6"/>
    <w:rsid w:val="00FB7D3B"/>
    <w:rsid w:val="00FB7D9E"/>
    <w:rsid w:val="00FC1407"/>
    <w:rsid w:val="00FC22E1"/>
    <w:rsid w:val="00FC2C8C"/>
    <w:rsid w:val="00FC3549"/>
    <w:rsid w:val="00FC4F9B"/>
    <w:rsid w:val="00FC59F0"/>
    <w:rsid w:val="00FD00A9"/>
    <w:rsid w:val="00FD302E"/>
    <w:rsid w:val="00FD4599"/>
    <w:rsid w:val="00FD4784"/>
    <w:rsid w:val="00FD5753"/>
    <w:rsid w:val="00FD65FE"/>
    <w:rsid w:val="00FD6FD8"/>
    <w:rsid w:val="00FD72A0"/>
    <w:rsid w:val="00FE00DA"/>
    <w:rsid w:val="00FE0FAF"/>
    <w:rsid w:val="00FE35B1"/>
    <w:rsid w:val="00FE3C36"/>
    <w:rsid w:val="00FE427F"/>
    <w:rsid w:val="00FE72EA"/>
    <w:rsid w:val="00FF2475"/>
    <w:rsid w:val="00FF3477"/>
    <w:rsid w:val="00FF4138"/>
    <w:rsid w:val="00FF4B25"/>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6F60C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F6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F60C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6F60C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6F60C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6F60C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1">
    <w:name w:val="Unresolved Mention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6F60C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F60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F60C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6F60C5"/>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6F60C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6F60C5"/>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F60C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6F60C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F60C5"/>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F60C5"/>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F60C5"/>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0C5"/>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6F60C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F60C5"/>
    <w:rPr>
      <w:rFonts w:ascii="Courier New" w:eastAsia="Times New Roman" w:hAnsi="Courier New" w:cs="Times New Roman"/>
      <w:sz w:val="20"/>
      <w:szCs w:val="20"/>
      <w:lang w:eastAsia="es-ES"/>
    </w:rPr>
  </w:style>
  <w:style w:type="paragraph" w:customStyle="1" w:styleId="Standard">
    <w:name w:val="Standard"/>
    <w:rsid w:val="006F60C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0C5"/>
    <w:rPr>
      <w:rFonts w:ascii="Arial" w:hAnsi="Arial" w:cs="Arial" w:hint="default"/>
      <w:b/>
      <w:bCs/>
      <w:sz w:val="18"/>
      <w:szCs w:val="18"/>
    </w:rPr>
  </w:style>
  <w:style w:type="paragraph" w:customStyle="1" w:styleId="Pa2">
    <w:name w:val="Pa2"/>
    <w:basedOn w:val="Normal"/>
    <w:next w:val="Normal"/>
    <w:uiPriority w:val="99"/>
    <w:rsid w:val="006F60C5"/>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F60C5"/>
  </w:style>
  <w:style w:type="character" w:customStyle="1" w:styleId="b">
    <w:name w:val="b"/>
    <w:basedOn w:val="Fuentedeprrafopredeter"/>
    <w:rsid w:val="006F60C5"/>
  </w:style>
  <w:style w:type="character" w:customStyle="1" w:styleId="k">
    <w:name w:val="k"/>
    <w:basedOn w:val="Fuentedeprrafopredeter"/>
    <w:rsid w:val="006F60C5"/>
  </w:style>
  <w:style w:type="character" w:customStyle="1" w:styleId="h">
    <w:name w:val="h"/>
    <w:basedOn w:val="Fuentedeprrafopredeter"/>
    <w:rsid w:val="006F60C5"/>
  </w:style>
  <w:style w:type="character" w:styleId="CitaHTML">
    <w:name w:val="HTML Cite"/>
    <w:uiPriority w:val="99"/>
    <w:semiHidden/>
    <w:unhideWhenUsed/>
    <w:rsid w:val="006F60C5"/>
    <w:rPr>
      <w:i/>
      <w:iCs/>
    </w:rPr>
  </w:style>
  <w:style w:type="paragraph" w:customStyle="1" w:styleId="RSCGnotaalpie">
    <w:name w:val="RSCG nota al pie"/>
    <w:basedOn w:val="Normal"/>
    <w:uiPriority w:val="99"/>
    <w:qFormat/>
    <w:rsid w:val="006F60C5"/>
    <w:pPr>
      <w:spacing w:after="120" w:line="240" w:lineRule="auto"/>
      <w:jc w:val="both"/>
    </w:pPr>
    <w:rPr>
      <w:rFonts w:ascii="Palatino" w:eastAsia="Times New Roman" w:hAnsi="Palatino"/>
    </w:rPr>
  </w:style>
  <w:style w:type="character" w:customStyle="1" w:styleId="lbl-encabezado-blanco2">
    <w:name w:val="lbl-encabezado-blanco2"/>
    <w:rsid w:val="006F60C5"/>
    <w:rPr>
      <w:color w:val="FFFFFF"/>
    </w:rPr>
  </w:style>
  <w:style w:type="character" w:customStyle="1" w:styleId="TextoCar">
    <w:name w:val="Texto Car"/>
    <w:link w:val="Texto"/>
    <w:locked/>
    <w:rsid w:val="006F60C5"/>
    <w:rPr>
      <w:rFonts w:ascii="Arial" w:eastAsia="Times New Roman" w:hAnsi="Arial" w:cs="Arial"/>
      <w:sz w:val="18"/>
      <w:szCs w:val="18"/>
      <w:lang w:eastAsia="es-ES"/>
    </w:rPr>
  </w:style>
  <w:style w:type="paragraph" w:customStyle="1" w:styleId="ANOTACION">
    <w:name w:val="ANOTACION"/>
    <w:basedOn w:val="Normal"/>
    <w:link w:val="ANOTACIONCar"/>
    <w:rsid w:val="006F60C5"/>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F60C5"/>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F60C5"/>
    <w:rPr>
      <w:i/>
      <w:iCs/>
    </w:rPr>
  </w:style>
  <w:style w:type="paragraph" w:styleId="Bibliografa">
    <w:name w:val="Bibliography"/>
    <w:basedOn w:val="Normal"/>
    <w:next w:val="Normal"/>
    <w:uiPriority w:val="37"/>
    <w:semiHidden/>
    <w:unhideWhenUsed/>
    <w:rsid w:val="006F60C5"/>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6F60C5"/>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F60C5"/>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0C5"/>
  </w:style>
  <w:style w:type="character" w:customStyle="1" w:styleId="Ninguno">
    <w:name w:val="Ninguno"/>
    <w:rsid w:val="006F60C5"/>
    <w:rPr>
      <w:lang w:val="es-ES_tradnl"/>
    </w:rPr>
  </w:style>
  <w:style w:type="paragraph" w:customStyle="1" w:styleId="Cuerpo">
    <w:name w:val="Cuerpo"/>
    <w:rsid w:val="006F60C5"/>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0C5"/>
    <w:pPr>
      <w:numPr>
        <w:numId w:val="8"/>
      </w:numPr>
    </w:pPr>
  </w:style>
  <w:style w:type="numbering" w:customStyle="1" w:styleId="Estiloimportado1">
    <w:name w:val="Estilo importado 1"/>
    <w:qFormat/>
    <w:rsid w:val="006F60C5"/>
    <w:pPr>
      <w:numPr>
        <w:numId w:val="9"/>
      </w:numPr>
    </w:pPr>
  </w:style>
  <w:style w:type="character" w:customStyle="1" w:styleId="normaltextrun">
    <w:name w:val="normaltextrun"/>
    <w:basedOn w:val="Fuentedeprrafopredeter"/>
    <w:rsid w:val="006F60C5"/>
  </w:style>
  <w:style w:type="paragraph" w:customStyle="1" w:styleId="INCISO">
    <w:name w:val="INCISO"/>
    <w:basedOn w:val="Normal"/>
    <w:rsid w:val="006F60C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F60C5"/>
  </w:style>
  <w:style w:type="paragraph" w:customStyle="1" w:styleId="m5212863947045306324gmail-msonormal">
    <w:name w:val="m_5212863947045306324gmail-msonormal"/>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F60C5"/>
  </w:style>
  <w:style w:type="paragraph" w:styleId="Lista">
    <w:name w:val="List"/>
    <w:basedOn w:val="Normal"/>
    <w:uiPriority w:val="99"/>
    <w:unhideWhenUsed/>
    <w:rsid w:val="006F60C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F60C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F60C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6F60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F60C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0C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F60C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0C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0C5"/>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0C5"/>
  </w:style>
  <w:style w:type="character" w:customStyle="1" w:styleId="titulorubrolgt">
    <w:name w:val="titulorubrolgt"/>
    <w:basedOn w:val="Fuentedeprrafopredeter"/>
    <w:rsid w:val="006F60C5"/>
  </w:style>
  <w:style w:type="paragraph" w:customStyle="1" w:styleId="Text">
    <w:name w:val="Text"/>
    <w:basedOn w:val="Normal"/>
    <w:link w:val="TextChar"/>
    <w:rsid w:val="006F60C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F60C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0C5"/>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6F60C5"/>
    <w:pPr>
      <w:spacing w:after="0" w:line="240" w:lineRule="auto"/>
    </w:pPr>
    <w:rPr>
      <w:rFonts w:eastAsia="Cambria"/>
      <w:sz w:val="20"/>
      <w:szCs w:val="20"/>
    </w:rPr>
  </w:style>
  <w:style w:type="paragraph" w:customStyle="1" w:styleId="paragraph">
    <w:name w:val="paragraph"/>
    <w:basedOn w:val="Normal"/>
    <w:rsid w:val="006F60C5"/>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6F60C5"/>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6F60C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6F60C5"/>
    <w:rPr>
      <w:color w:val="605E5C"/>
      <w:shd w:val="clear" w:color="auto" w:fill="E1DFDD"/>
    </w:rPr>
  </w:style>
  <w:style w:type="paragraph" w:customStyle="1" w:styleId="temp">
    <w:name w:val="temp"/>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F60C5"/>
  </w:style>
  <w:style w:type="paragraph" w:customStyle="1" w:styleId="ng-star-inserted">
    <w:name w:val="ng-star-inserted"/>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6F60C5"/>
    <w:rPr>
      <w:color w:val="605E5C"/>
      <w:shd w:val="clear" w:color="auto" w:fill="E1DFDD"/>
    </w:rPr>
  </w:style>
  <w:style w:type="character" w:customStyle="1" w:styleId="Mencinsinresolver3">
    <w:name w:val="Mención sin resolver3"/>
    <w:basedOn w:val="Fuentedeprrafopredeter"/>
    <w:uiPriority w:val="99"/>
    <w:semiHidden/>
    <w:unhideWhenUsed/>
    <w:rsid w:val="006F60C5"/>
    <w:rPr>
      <w:color w:val="605E5C"/>
      <w:shd w:val="clear" w:color="auto" w:fill="E1DFDD"/>
    </w:rPr>
  </w:style>
  <w:style w:type="paragraph" w:styleId="Saludo">
    <w:name w:val="Salutation"/>
    <w:basedOn w:val="Normal"/>
    <w:next w:val="Normal"/>
    <w:link w:val="SaludoCar"/>
    <w:uiPriority w:val="99"/>
    <w:unhideWhenUsed/>
    <w:rsid w:val="006F60C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6F60C5"/>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6F60C5"/>
  </w:style>
  <w:style w:type="character" w:customStyle="1" w:styleId="Mencinsinresolver4">
    <w:name w:val="Mención sin resolver4"/>
    <w:basedOn w:val="Fuentedeprrafopredeter"/>
    <w:uiPriority w:val="99"/>
    <w:semiHidden/>
    <w:unhideWhenUsed/>
    <w:rsid w:val="006F60C5"/>
    <w:rPr>
      <w:color w:val="605E5C"/>
      <w:shd w:val="clear" w:color="auto" w:fill="E1DFDD"/>
    </w:rPr>
  </w:style>
  <w:style w:type="paragraph" w:styleId="Revisin">
    <w:name w:val="Revision"/>
    <w:hidden/>
    <w:uiPriority w:val="99"/>
    <w:semiHidden/>
    <w:rsid w:val="006F60C5"/>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6F60C5"/>
  </w:style>
  <w:style w:type="table" w:customStyle="1" w:styleId="Tablaconcuadrcula3">
    <w:name w:val="Tabla con cuadrícula3"/>
    <w:basedOn w:val="Tablanormal"/>
    <w:next w:val="Tablaconcuadrcula"/>
    <w:uiPriority w:val="59"/>
    <w:qFormat/>
    <w:rsid w:val="006F60C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6F60C5"/>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6F60C5"/>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6F60C5"/>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6F60C5"/>
    <w:rPr>
      <w:rFonts w:ascii="Georgia" w:eastAsia="Georgia" w:hAnsi="Georgia" w:cs="Georgia"/>
      <w:i/>
      <w:color w:val="666666"/>
      <w:sz w:val="48"/>
      <w:szCs w:val="48"/>
      <w:lang w:val="es-ES" w:eastAsia="es-MX"/>
    </w:rPr>
  </w:style>
  <w:style w:type="table" w:customStyle="1" w:styleId="8">
    <w:name w:val="8"/>
    <w:basedOn w:val="TableNormal1"/>
    <w:rsid w:val="006F60C5"/>
    <w:tblPr>
      <w:tblStyleRowBandSize w:val="1"/>
      <w:tblStyleColBandSize w:val="1"/>
      <w:tblCellMar>
        <w:top w:w="0" w:type="dxa"/>
        <w:left w:w="115" w:type="dxa"/>
        <w:bottom w:w="0" w:type="dxa"/>
        <w:right w:w="115" w:type="dxa"/>
      </w:tblCellMar>
    </w:tblPr>
  </w:style>
  <w:style w:type="table" w:customStyle="1" w:styleId="7">
    <w:name w:val="7"/>
    <w:basedOn w:val="TableNormal1"/>
    <w:rsid w:val="006F60C5"/>
    <w:tblPr>
      <w:tblStyleRowBandSize w:val="1"/>
      <w:tblStyleColBandSize w:val="1"/>
      <w:tblCellMar>
        <w:top w:w="0" w:type="dxa"/>
        <w:left w:w="115" w:type="dxa"/>
        <w:bottom w:w="0" w:type="dxa"/>
        <w:right w:w="115" w:type="dxa"/>
      </w:tblCellMar>
    </w:tblPr>
  </w:style>
  <w:style w:type="table" w:customStyle="1" w:styleId="6">
    <w:name w:val="6"/>
    <w:basedOn w:val="TableNormal1"/>
    <w:rsid w:val="006F60C5"/>
    <w:tblPr>
      <w:tblStyleRowBandSize w:val="1"/>
      <w:tblStyleColBandSize w:val="1"/>
      <w:tblCellMar>
        <w:top w:w="0" w:type="dxa"/>
        <w:left w:w="115" w:type="dxa"/>
        <w:bottom w:w="0" w:type="dxa"/>
        <w:right w:w="115" w:type="dxa"/>
      </w:tblCellMar>
    </w:tblPr>
  </w:style>
  <w:style w:type="table" w:customStyle="1" w:styleId="5">
    <w:name w:val="5"/>
    <w:basedOn w:val="TableNormal1"/>
    <w:rsid w:val="006F60C5"/>
    <w:tblPr>
      <w:tblStyleRowBandSize w:val="1"/>
      <w:tblStyleColBandSize w:val="1"/>
      <w:tblCellMar>
        <w:top w:w="0" w:type="dxa"/>
        <w:left w:w="115" w:type="dxa"/>
        <w:bottom w:w="0" w:type="dxa"/>
        <w:right w:w="115" w:type="dxa"/>
      </w:tblCellMar>
    </w:tblPr>
  </w:style>
  <w:style w:type="table" w:customStyle="1" w:styleId="4">
    <w:name w:val="4"/>
    <w:basedOn w:val="TableNormal1"/>
    <w:rsid w:val="006F60C5"/>
    <w:tblPr>
      <w:tblStyleRowBandSize w:val="1"/>
      <w:tblStyleColBandSize w:val="1"/>
      <w:tblCellMar>
        <w:top w:w="0" w:type="dxa"/>
        <w:left w:w="115" w:type="dxa"/>
        <w:bottom w:w="0" w:type="dxa"/>
        <w:right w:w="115" w:type="dxa"/>
      </w:tblCellMar>
    </w:tblPr>
  </w:style>
  <w:style w:type="table" w:customStyle="1" w:styleId="3">
    <w:name w:val="3"/>
    <w:basedOn w:val="TableNormal1"/>
    <w:rsid w:val="006F60C5"/>
    <w:tblPr>
      <w:tblStyleRowBandSize w:val="1"/>
      <w:tblStyleColBandSize w:val="1"/>
      <w:tblCellMar>
        <w:top w:w="0" w:type="dxa"/>
        <w:left w:w="115" w:type="dxa"/>
        <w:bottom w:w="0" w:type="dxa"/>
        <w:right w:w="115" w:type="dxa"/>
      </w:tblCellMar>
    </w:tblPr>
  </w:style>
  <w:style w:type="table" w:customStyle="1" w:styleId="2">
    <w:name w:val="2"/>
    <w:basedOn w:val="TableNormal1"/>
    <w:rsid w:val="006F60C5"/>
    <w:tblPr>
      <w:tblStyleRowBandSize w:val="1"/>
      <w:tblStyleColBandSize w:val="1"/>
      <w:tblCellMar>
        <w:top w:w="0" w:type="dxa"/>
        <w:left w:w="115" w:type="dxa"/>
        <w:bottom w:w="0" w:type="dxa"/>
        <w:right w:w="115" w:type="dxa"/>
      </w:tblCellMar>
    </w:tblPr>
  </w:style>
  <w:style w:type="table" w:customStyle="1" w:styleId="1">
    <w:name w:val="1"/>
    <w:basedOn w:val="TableNormal1"/>
    <w:rsid w:val="006F60C5"/>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6F60C5"/>
    <w:rPr>
      <w:rFonts w:ascii="Times New Roman" w:eastAsia="Times New Roman" w:hAnsi="Times New Roman" w:cs="Times New Roman"/>
      <w:sz w:val="20"/>
      <w:szCs w:val="20"/>
      <w:lang w:eastAsia="es-MX"/>
    </w:rPr>
  </w:style>
  <w:style w:type="character" w:customStyle="1" w:styleId="eop">
    <w:name w:val="eop"/>
    <w:basedOn w:val="Fuentedeprrafopredeter"/>
    <w:rsid w:val="006F60C5"/>
  </w:style>
  <w:style w:type="character" w:customStyle="1" w:styleId="m2871584667633129156gmail-apple-converted-space">
    <w:name w:val="m_2871584667633129156gmail-apple-converted-space"/>
    <w:basedOn w:val="Fuentedeprrafopredeter"/>
    <w:rsid w:val="006F60C5"/>
  </w:style>
  <w:style w:type="character" w:customStyle="1" w:styleId="m2871584667633129156gmail-msofootnotereference">
    <w:name w:val="m_2871584667633129156gmail-msofootnotereference"/>
    <w:basedOn w:val="Fuentedeprrafopredeter"/>
    <w:rsid w:val="006F60C5"/>
  </w:style>
  <w:style w:type="paragraph" w:customStyle="1" w:styleId="m2871584667633129156gmail-msofootnotetext">
    <w:name w:val="m_287158466763312915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6F60C5"/>
  </w:style>
  <w:style w:type="paragraph" w:customStyle="1" w:styleId="rtejustify">
    <w:name w:val="rtejustify"/>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6F60C5"/>
  </w:style>
  <w:style w:type="character" w:customStyle="1" w:styleId="m-3579365149168697376gmail-msofootnotereference">
    <w:name w:val="m_-3579365149168697376gmail-msofootnotereference"/>
    <w:basedOn w:val="Fuentedeprrafopredeter"/>
    <w:rsid w:val="006F60C5"/>
  </w:style>
  <w:style w:type="paragraph" w:customStyle="1" w:styleId="m-3579365149168697376gmail-msofootnotetext">
    <w:name w:val="m_-357936514916869737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6F60C5"/>
  </w:style>
  <w:style w:type="numbering" w:customStyle="1" w:styleId="Sinlista2">
    <w:name w:val="Sin lista2"/>
    <w:next w:val="Sinlista"/>
    <w:uiPriority w:val="99"/>
    <w:semiHidden/>
    <w:unhideWhenUsed/>
    <w:rsid w:val="006F60C5"/>
  </w:style>
  <w:style w:type="table" w:customStyle="1" w:styleId="Tablaconcuadrcula4">
    <w:name w:val="Tabla con cuadrícula4"/>
    <w:basedOn w:val="Tablanormal"/>
    <w:next w:val="Tablaconcuadrcula"/>
    <w:uiPriority w:val="59"/>
    <w:qFormat/>
    <w:rsid w:val="006F60C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6F60C5"/>
    <w:tblPr>
      <w:tblStyleRowBandSize w:val="1"/>
      <w:tblStyleColBandSize w:val="1"/>
      <w:tblCellMar>
        <w:top w:w="0" w:type="dxa"/>
        <w:left w:w="115" w:type="dxa"/>
        <w:bottom w:w="0" w:type="dxa"/>
        <w:right w:w="115" w:type="dxa"/>
      </w:tblCellMar>
    </w:tblPr>
  </w:style>
  <w:style w:type="table" w:customStyle="1" w:styleId="71">
    <w:name w:val="71"/>
    <w:basedOn w:val="TableNormal1"/>
    <w:rsid w:val="006F60C5"/>
    <w:tblPr>
      <w:tblStyleRowBandSize w:val="1"/>
      <w:tblStyleColBandSize w:val="1"/>
      <w:tblCellMar>
        <w:top w:w="0" w:type="dxa"/>
        <w:left w:w="115" w:type="dxa"/>
        <w:bottom w:w="0" w:type="dxa"/>
        <w:right w:w="115" w:type="dxa"/>
      </w:tblCellMar>
    </w:tblPr>
  </w:style>
  <w:style w:type="table" w:customStyle="1" w:styleId="61">
    <w:name w:val="61"/>
    <w:basedOn w:val="TableNormal1"/>
    <w:rsid w:val="006F60C5"/>
    <w:tblPr>
      <w:tblStyleRowBandSize w:val="1"/>
      <w:tblStyleColBandSize w:val="1"/>
      <w:tblCellMar>
        <w:top w:w="0" w:type="dxa"/>
        <w:left w:w="115" w:type="dxa"/>
        <w:bottom w:w="0" w:type="dxa"/>
        <w:right w:w="115" w:type="dxa"/>
      </w:tblCellMar>
    </w:tblPr>
  </w:style>
  <w:style w:type="table" w:customStyle="1" w:styleId="51">
    <w:name w:val="51"/>
    <w:basedOn w:val="TableNormal1"/>
    <w:rsid w:val="006F60C5"/>
    <w:tblPr>
      <w:tblStyleRowBandSize w:val="1"/>
      <w:tblStyleColBandSize w:val="1"/>
      <w:tblCellMar>
        <w:top w:w="0" w:type="dxa"/>
        <w:left w:w="115" w:type="dxa"/>
        <w:bottom w:w="0" w:type="dxa"/>
        <w:right w:w="115" w:type="dxa"/>
      </w:tblCellMar>
    </w:tblPr>
  </w:style>
  <w:style w:type="table" w:customStyle="1" w:styleId="41">
    <w:name w:val="41"/>
    <w:basedOn w:val="TableNormal1"/>
    <w:rsid w:val="006F60C5"/>
    <w:tblPr>
      <w:tblStyleRowBandSize w:val="1"/>
      <w:tblStyleColBandSize w:val="1"/>
      <w:tblCellMar>
        <w:top w:w="0" w:type="dxa"/>
        <w:left w:w="115" w:type="dxa"/>
        <w:bottom w:w="0" w:type="dxa"/>
        <w:right w:w="115" w:type="dxa"/>
      </w:tblCellMar>
    </w:tblPr>
  </w:style>
  <w:style w:type="table" w:customStyle="1" w:styleId="31">
    <w:name w:val="31"/>
    <w:basedOn w:val="TableNormal1"/>
    <w:rsid w:val="006F60C5"/>
    <w:tblPr>
      <w:tblStyleRowBandSize w:val="1"/>
      <w:tblStyleColBandSize w:val="1"/>
      <w:tblCellMar>
        <w:top w:w="0" w:type="dxa"/>
        <w:left w:w="115" w:type="dxa"/>
        <w:bottom w:w="0" w:type="dxa"/>
        <w:right w:w="115" w:type="dxa"/>
      </w:tblCellMar>
    </w:tblPr>
  </w:style>
  <w:style w:type="table" w:customStyle="1" w:styleId="21">
    <w:name w:val="21"/>
    <w:basedOn w:val="TableNormal1"/>
    <w:rsid w:val="006F60C5"/>
    <w:tblPr>
      <w:tblStyleRowBandSize w:val="1"/>
      <w:tblStyleColBandSize w:val="1"/>
      <w:tblCellMar>
        <w:top w:w="0" w:type="dxa"/>
        <w:left w:w="115" w:type="dxa"/>
        <w:bottom w:w="0" w:type="dxa"/>
        <w:right w:w="115" w:type="dxa"/>
      </w:tblCellMar>
    </w:tblPr>
  </w:style>
  <w:style w:type="table" w:customStyle="1" w:styleId="11">
    <w:name w:val="11"/>
    <w:basedOn w:val="TableNormal1"/>
    <w:rsid w:val="006F60C5"/>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462807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71227608">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1EF09-D967-41BB-AC55-B07A6FC75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8057</Words>
  <Characters>44317</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2018-12-04T20:35:00Z</cp:lastPrinted>
  <dcterms:created xsi:type="dcterms:W3CDTF">2022-06-23T03:35:00Z</dcterms:created>
  <dcterms:modified xsi:type="dcterms:W3CDTF">2022-07-13T06:02:00Z</dcterms:modified>
</cp:coreProperties>
</file>