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0DFC" w14:textId="77777777" w:rsidR="00D036A8" w:rsidRDefault="00D036A8" w:rsidP="00461357">
      <w:pPr>
        <w:spacing w:line="360" w:lineRule="auto"/>
        <w:jc w:val="both"/>
        <w:rPr>
          <w:rFonts w:ascii="Palatino Linotype" w:eastAsia="Palatino Linotype" w:hAnsi="Palatino Linotype" w:cs="Palatino Linotype"/>
          <w:color w:val="000000"/>
        </w:rPr>
      </w:pPr>
    </w:p>
    <w:p w14:paraId="1D5ABC15" w14:textId="35D69013"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0637C9">
        <w:rPr>
          <w:rFonts w:ascii="Palatino Linotype" w:eastAsia="Palatino Linotype" w:hAnsi="Palatino Linotype" w:cs="Palatino Linotype"/>
          <w:color w:val="000000"/>
        </w:rPr>
        <w:t>veintisiete</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080B01">
        <w:rPr>
          <w:rFonts w:ascii="Palatino Linotype" w:eastAsia="Palatino Linotype" w:hAnsi="Palatino Linotype" w:cs="Palatino Linotype"/>
          <w:color w:val="000000"/>
        </w:rPr>
        <w:t>abril</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1B33C26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000637C9">
        <w:rPr>
          <w:rFonts w:ascii="Palatino Linotype" w:eastAsia="Palatino Linotype" w:hAnsi="Palatino Linotype" w:cs="Palatino Linotype"/>
          <w:b/>
          <w:color w:val="000000"/>
          <w:sz w:val="28"/>
          <w:szCs w:val="28"/>
        </w:rPr>
        <w:t>S</w:t>
      </w:r>
      <w:r w:rsidRPr="007E04A9">
        <w:rPr>
          <w:rFonts w:ascii="Palatino Linotype" w:eastAsia="Palatino Linotype" w:hAnsi="Palatino Linotype" w:cs="Palatino Linotype"/>
          <w:color w:val="000000"/>
          <w:sz w:val="28"/>
          <w:szCs w:val="28"/>
        </w:rPr>
        <w:t xml:space="preserve"> </w:t>
      </w:r>
      <w:r w:rsidRPr="007E04A9">
        <w:rPr>
          <w:rFonts w:ascii="Palatino Linotype" w:eastAsia="Palatino Linotype" w:hAnsi="Palatino Linotype" w:cs="Palatino Linotype"/>
          <w:color w:val="000000"/>
        </w:rPr>
        <w:t>l</w:t>
      </w:r>
      <w:r w:rsidR="000637C9">
        <w:rPr>
          <w:rFonts w:ascii="Palatino Linotype" w:eastAsia="Palatino Linotype" w:hAnsi="Palatino Linotype" w:cs="Palatino Linotype"/>
          <w:color w:val="000000"/>
        </w:rPr>
        <w:t>os</w:t>
      </w:r>
      <w:r w:rsidRPr="007E04A9">
        <w:rPr>
          <w:rFonts w:ascii="Palatino Linotype" w:eastAsia="Palatino Linotype" w:hAnsi="Palatino Linotype" w:cs="Palatino Linotype"/>
          <w:color w:val="000000"/>
        </w:rPr>
        <w:t xml:space="preserve"> expediente</w:t>
      </w:r>
      <w:r w:rsidR="000637C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formado</w:t>
      </w:r>
      <w:r w:rsidR="000637C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con motivo de</w:t>
      </w:r>
      <w:r w:rsidR="000637C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l</w:t>
      </w:r>
      <w:r w:rsidR="000637C9">
        <w:rPr>
          <w:rFonts w:ascii="Palatino Linotype" w:eastAsia="Palatino Linotype" w:hAnsi="Palatino Linotype" w:cs="Palatino Linotype"/>
          <w:color w:val="000000"/>
        </w:rPr>
        <w:t>os</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w:t>
      </w:r>
      <w:r w:rsidR="000637C9">
        <w:rPr>
          <w:rFonts w:ascii="Palatino Linotype" w:eastAsia="Palatino Linotype" w:hAnsi="Palatino Linotype" w:cs="Palatino Linotype"/>
          <w:color w:val="000000"/>
        </w:rPr>
        <w:t>s</w:t>
      </w:r>
      <w:r w:rsidR="005B1C09">
        <w:rPr>
          <w:rFonts w:ascii="Palatino Linotype" w:eastAsia="Palatino Linotype" w:hAnsi="Palatino Linotype" w:cs="Palatino Linotype"/>
          <w:color w:val="000000"/>
        </w:rPr>
        <w:t xml:space="preserve">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0637C9">
        <w:rPr>
          <w:rFonts w:ascii="Palatino Linotype" w:eastAsia="Palatino Linotype" w:hAnsi="Palatino Linotype" w:cs="Palatino Linotype"/>
          <w:b/>
          <w:color w:val="000000"/>
        </w:rPr>
        <w:t>1</w:t>
      </w:r>
      <w:r w:rsidR="004D2A77">
        <w:rPr>
          <w:rFonts w:ascii="Palatino Linotype" w:eastAsia="Palatino Linotype" w:hAnsi="Palatino Linotype" w:cs="Palatino Linotype"/>
          <w:b/>
          <w:color w:val="000000"/>
        </w:rPr>
        <w:t>3</w:t>
      </w:r>
      <w:r w:rsidR="000637C9">
        <w:rPr>
          <w:rFonts w:ascii="Palatino Linotype" w:eastAsia="Palatino Linotype" w:hAnsi="Palatino Linotype" w:cs="Palatino Linotype"/>
          <w:b/>
          <w:color w:val="000000"/>
        </w:rPr>
        <w:t>10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000637C9">
        <w:rPr>
          <w:rFonts w:ascii="Palatino Linotype" w:eastAsia="Palatino Linotype" w:hAnsi="Palatino Linotype" w:cs="Palatino Linotype"/>
          <w:b/>
          <w:color w:val="000000"/>
        </w:rPr>
        <w:t xml:space="preserve">, </w:t>
      </w:r>
      <w:r w:rsidR="000637C9" w:rsidRPr="007E04A9">
        <w:rPr>
          <w:rFonts w:ascii="Palatino Linotype" w:eastAsia="Palatino Linotype" w:hAnsi="Palatino Linotype" w:cs="Palatino Linotype"/>
          <w:b/>
          <w:color w:val="000000"/>
        </w:rPr>
        <w:t>0</w:t>
      </w:r>
      <w:r w:rsidR="004D2A77">
        <w:rPr>
          <w:rFonts w:ascii="Palatino Linotype" w:eastAsia="Palatino Linotype" w:hAnsi="Palatino Linotype" w:cs="Palatino Linotype"/>
          <w:b/>
          <w:color w:val="000000"/>
        </w:rPr>
        <w:t>13</w:t>
      </w:r>
      <w:r w:rsidR="000637C9">
        <w:rPr>
          <w:rFonts w:ascii="Palatino Linotype" w:eastAsia="Palatino Linotype" w:hAnsi="Palatino Linotype" w:cs="Palatino Linotype"/>
          <w:b/>
          <w:color w:val="000000"/>
        </w:rPr>
        <w:t>11</w:t>
      </w:r>
      <w:r w:rsidR="000637C9" w:rsidRPr="007E04A9">
        <w:rPr>
          <w:rFonts w:ascii="Palatino Linotype" w:eastAsia="Palatino Linotype" w:hAnsi="Palatino Linotype" w:cs="Palatino Linotype"/>
          <w:b/>
          <w:color w:val="000000"/>
        </w:rPr>
        <w:t>/INFOEM/IP/RR/202</w:t>
      </w:r>
      <w:r w:rsidR="000637C9">
        <w:rPr>
          <w:rFonts w:ascii="Palatino Linotype" w:eastAsia="Palatino Linotype" w:hAnsi="Palatino Linotype" w:cs="Palatino Linotype"/>
          <w:b/>
          <w:color w:val="000000"/>
        </w:rPr>
        <w:t xml:space="preserve">2 y </w:t>
      </w:r>
      <w:r w:rsidR="000637C9" w:rsidRPr="007E04A9">
        <w:rPr>
          <w:rFonts w:ascii="Palatino Linotype" w:eastAsia="Palatino Linotype" w:hAnsi="Palatino Linotype" w:cs="Palatino Linotype"/>
          <w:b/>
          <w:color w:val="000000"/>
        </w:rPr>
        <w:t>0</w:t>
      </w:r>
      <w:r w:rsidR="004D2A77">
        <w:rPr>
          <w:rFonts w:ascii="Palatino Linotype" w:eastAsia="Palatino Linotype" w:hAnsi="Palatino Linotype" w:cs="Palatino Linotype"/>
          <w:b/>
          <w:color w:val="000000"/>
        </w:rPr>
        <w:t>13</w:t>
      </w:r>
      <w:r w:rsidR="000637C9">
        <w:rPr>
          <w:rFonts w:ascii="Palatino Linotype" w:eastAsia="Palatino Linotype" w:hAnsi="Palatino Linotype" w:cs="Palatino Linotype"/>
          <w:b/>
          <w:color w:val="000000"/>
        </w:rPr>
        <w:t>12</w:t>
      </w:r>
      <w:r w:rsidR="000637C9" w:rsidRPr="007E04A9">
        <w:rPr>
          <w:rFonts w:ascii="Palatino Linotype" w:eastAsia="Palatino Linotype" w:hAnsi="Palatino Linotype" w:cs="Palatino Linotype"/>
          <w:b/>
          <w:color w:val="000000"/>
        </w:rPr>
        <w:t>/INFOEM/IP/RR/202</w:t>
      </w:r>
      <w:r w:rsidR="000637C9">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094D24">
        <w:rPr>
          <w:rFonts w:ascii="Palatino Linotype" w:eastAsia="Palatino Linotype" w:hAnsi="Palatino Linotype" w:cs="Palatino Linotype"/>
          <w:color w:val="000000"/>
        </w:rPr>
        <w:t xml:space="preserve"> un ciudadano que al momento de ingresar su solicitud de información no proporcionó nombre o seudónimo para identificarlo y que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0637C9">
        <w:rPr>
          <w:rFonts w:ascii="Palatino Linotype" w:eastAsia="Palatino Linotype" w:hAnsi="Palatino Linotype" w:cs="Palatino Linotype"/>
          <w:b/>
          <w:color w:val="000000"/>
        </w:rPr>
        <w:t>Metepec</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23F19F7F"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w:t>
      </w:r>
      <w:r w:rsidR="005C2E2B">
        <w:rPr>
          <w:rFonts w:ascii="Palatino Linotype" w:hAnsi="Palatino Linotype" w:cs="Arial"/>
          <w:b/>
        </w:rPr>
        <w:t>s</w:t>
      </w:r>
      <w:r w:rsidRPr="00F3766A">
        <w:rPr>
          <w:rFonts w:ascii="Palatino Linotype" w:hAnsi="Palatino Linotype" w:cs="Arial"/>
          <w:b/>
        </w:rPr>
        <w:t xml:space="preserve"> solicitud</w:t>
      </w:r>
      <w:r w:rsidR="005C2E2B">
        <w:rPr>
          <w:rFonts w:ascii="Palatino Linotype" w:hAnsi="Palatino Linotype" w:cs="Arial"/>
          <w:b/>
        </w:rPr>
        <w:t>es</w:t>
      </w:r>
      <w:r w:rsidRPr="00F3766A">
        <w:rPr>
          <w:rFonts w:ascii="Palatino Linotype" w:hAnsi="Palatino Linotype" w:cs="Arial"/>
          <w:b/>
        </w:rPr>
        <w:t xml:space="preserve"> de información</w:t>
      </w:r>
      <w:r>
        <w:rPr>
          <w:rFonts w:ascii="Palatino Linotype" w:hAnsi="Palatino Linotype" w:cs="Arial"/>
          <w:b/>
        </w:rPr>
        <w:t>.</w:t>
      </w:r>
    </w:p>
    <w:p w14:paraId="3191AB6E" w14:textId="202CF080"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D324E7">
        <w:rPr>
          <w:rFonts w:ascii="Palatino Linotype" w:eastAsia="Palatino Linotype" w:hAnsi="Palatino Linotype" w:cs="Palatino Linotype"/>
          <w:bCs/>
          <w:color w:val="000000"/>
        </w:rPr>
        <w:t>diez</w:t>
      </w:r>
      <w:r w:rsidR="00EF3767">
        <w:rPr>
          <w:rFonts w:ascii="Palatino Linotype" w:eastAsia="Palatino Linotype" w:hAnsi="Palatino Linotype" w:cs="Palatino Linotype"/>
          <w:bCs/>
          <w:color w:val="000000"/>
        </w:rPr>
        <w:t xml:space="preserve"> de </w:t>
      </w:r>
      <w:r w:rsidR="00155BB1">
        <w:rPr>
          <w:rFonts w:ascii="Palatino Linotype" w:eastAsia="Palatino Linotype" w:hAnsi="Palatino Linotype" w:cs="Palatino Linotype"/>
          <w:bCs/>
          <w:color w:val="000000"/>
        </w:rPr>
        <w:t>enero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la</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solicitud</w:t>
      </w:r>
      <w:r w:rsidR="005C2E2B">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a la que se le</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asignó </w:t>
      </w:r>
      <w:r w:rsidR="005C2E2B">
        <w:rPr>
          <w:rFonts w:ascii="Palatino Linotype" w:eastAsia="Palatino Linotype" w:hAnsi="Palatino Linotype" w:cs="Palatino Linotype"/>
          <w:color w:val="000000"/>
        </w:rPr>
        <w:t>los</w:t>
      </w:r>
      <w:r w:rsidRPr="007E04A9">
        <w:rPr>
          <w:rFonts w:ascii="Palatino Linotype" w:eastAsia="Palatino Linotype" w:hAnsi="Palatino Linotype" w:cs="Palatino Linotype"/>
          <w:color w:val="000000"/>
        </w:rPr>
        <w:t xml:space="preserve"> número</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de expediente </w:t>
      </w:r>
      <w:r w:rsidR="00EF3767"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292</w:t>
      </w:r>
      <w:r w:rsidR="00EF3767"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005C2E2B"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300</w:t>
      </w:r>
      <w:r w:rsidR="005C2E2B"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5C2E2B" w:rsidRPr="00EF3767">
        <w:rPr>
          <w:rFonts w:ascii="Palatino Linotype" w:eastAsia="Palatino Linotype" w:hAnsi="Palatino Linotype" w:cs="Palatino Linotype"/>
          <w:b/>
          <w:bCs/>
          <w:color w:val="000000"/>
        </w:rPr>
        <w:t>/IP/202</w:t>
      </w:r>
      <w:r w:rsidR="005C2E2B">
        <w:rPr>
          <w:rFonts w:ascii="Palatino Linotype" w:eastAsia="Palatino Linotype" w:hAnsi="Palatino Linotype" w:cs="Palatino Linotype"/>
          <w:b/>
          <w:bCs/>
          <w:color w:val="000000"/>
        </w:rPr>
        <w:t>2</w:t>
      </w:r>
      <w:r w:rsidR="00D036A8">
        <w:rPr>
          <w:rFonts w:ascii="Palatino Linotype" w:eastAsia="Palatino Linotype" w:hAnsi="Palatino Linotype" w:cs="Palatino Linotype"/>
          <w:b/>
          <w:bCs/>
          <w:color w:val="000000"/>
        </w:rPr>
        <w:t xml:space="preserve"> y</w:t>
      </w:r>
      <w:r w:rsidR="005C2E2B">
        <w:rPr>
          <w:rFonts w:ascii="Palatino Linotype" w:eastAsia="Palatino Linotype" w:hAnsi="Palatino Linotype" w:cs="Palatino Linotype"/>
          <w:b/>
          <w:bCs/>
          <w:color w:val="000000"/>
        </w:rPr>
        <w:t xml:space="preserve"> </w:t>
      </w:r>
      <w:r w:rsidR="005C2E2B"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302</w:t>
      </w:r>
      <w:r w:rsidR="005C2E2B"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5C2E2B" w:rsidRPr="00EF3767">
        <w:rPr>
          <w:rFonts w:ascii="Palatino Linotype" w:eastAsia="Palatino Linotype" w:hAnsi="Palatino Linotype" w:cs="Palatino Linotype"/>
          <w:b/>
          <w:bCs/>
          <w:color w:val="000000"/>
        </w:rPr>
        <w:t>/IP/202</w:t>
      </w:r>
      <w:r w:rsidR="005C2E2B">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 xml:space="preserve"> por medio de la</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cual</w:t>
      </w:r>
      <w:r w:rsidR="005C2E2B">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requirió:</w:t>
      </w:r>
    </w:p>
    <w:p w14:paraId="7D925393" w14:textId="77777777" w:rsidR="00D036A8" w:rsidRDefault="00D036A8" w:rsidP="00E26D84">
      <w:pPr>
        <w:spacing w:line="360" w:lineRule="auto"/>
        <w:jc w:val="both"/>
        <w:rPr>
          <w:rFonts w:ascii="Palatino Linotype" w:eastAsia="Palatino Linotype" w:hAnsi="Palatino Linotype" w:cs="Palatino Linotype"/>
          <w:color w:val="000000"/>
        </w:rPr>
      </w:pPr>
    </w:p>
    <w:p w14:paraId="740743CD" w14:textId="77777777" w:rsidR="00D036A8" w:rsidRDefault="00D036A8" w:rsidP="00E26D84">
      <w:pPr>
        <w:spacing w:line="360" w:lineRule="auto"/>
        <w:jc w:val="both"/>
        <w:rPr>
          <w:rFonts w:ascii="Palatino Linotype" w:eastAsia="Palatino Linotype" w:hAnsi="Palatino Linotype" w:cs="Palatino Linotype"/>
          <w:color w:val="000000"/>
        </w:rPr>
      </w:pPr>
    </w:p>
    <w:p w14:paraId="719D3439" w14:textId="32D347EA"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lastRenderedPageBreak/>
        <w:t xml:space="preserve">Solicitud </w:t>
      </w:r>
      <w:r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292</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70A17E88" w14:textId="010D05B5"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D2A77" w:rsidRPr="004D2A77">
        <w:rPr>
          <w:rFonts w:ascii="Palatino Linotype" w:eastAsia="Palatino Linotype" w:hAnsi="Palatino Linotype" w:cs="Palatino Linotype"/>
          <w:i/>
          <w:color w:val="000000"/>
          <w:sz w:val="22"/>
          <w:szCs w:val="22"/>
        </w:rPr>
        <w:t>Se solicita el plan de trabajo o equivalente del Titular de la Dirección de Desarrollo Económico, Turístico y Artesanal entrante.</w:t>
      </w:r>
      <w:r>
        <w:rPr>
          <w:rFonts w:ascii="Palatino Linotype" w:eastAsia="Palatino Linotype" w:hAnsi="Palatino Linotype" w:cs="Palatino Linotype"/>
          <w:i/>
          <w:color w:val="000000"/>
          <w:sz w:val="22"/>
          <w:szCs w:val="22"/>
        </w:rPr>
        <w:t>”</w:t>
      </w:r>
    </w:p>
    <w:p w14:paraId="36E9586F" w14:textId="77777777" w:rsidR="00D036A8" w:rsidRDefault="00D036A8" w:rsidP="00E26D84">
      <w:pPr>
        <w:spacing w:line="360" w:lineRule="auto"/>
        <w:jc w:val="both"/>
        <w:rPr>
          <w:rFonts w:ascii="Palatino Linotype" w:eastAsia="Palatino Linotype" w:hAnsi="Palatino Linotype" w:cs="Palatino Linotype"/>
          <w:color w:val="000000"/>
        </w:rPr>
      </w:pPr>
    </w:p>
    <w:p w14:paraId="7B8050FC" w14:textId="72F5AAA4"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t xml:space="preserve">Solicitud </w:t>
      </w:r>
      <w:r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300</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30F25931" w14:textId="75B79F7C"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D2A77" w:rsidRPr="004D2A77">
        <w:rPr>
          <w:rFonts w:ascii="Palatino Linotype" w:eastAsia="Palatino Linotype" w:hAnsi="Palatino Linotype" w:cs="Palatino Linotype"/>
          <w:i/>
          <w:color w:val="000000"/>
          <w:sz w:val="22"/>
          <w:szCs w:val="22"/>
        </w:rPr>
        <w:t>Se solicita el plan de trabajo o equivalente del Titular de la Dirección de Seguridad Pública y Tránsito entrante</w:t>
      </w:r>
      <w:r>
        <w:rPr>
          <w:rFonts w:ascii="Palatino Linotype" w:eastAsia="Palatino Linotype" w:hAnsi="Palatino Linotype" w:cs="Palatino Linotype"/>
          <w:i/>
          <w:color w:val="000000"/>
          <w:sz w:val="22"/>
          <w:szCs w:val="22"/>
        </w:rPr>
        <w:t>”</w:t>
      </w:r>
    </w:p>
    <w:p w14:paraId="293D7248" w14:textId="77777777" w:rsidR="00D036A8" w:rsidRDefault="00D036A8" w:rsidP="00E26D84">
      <w:pPr>
        <w:spacing w:line="360" w:lineRule="auto"/>
        <w:jc w:val="both"/>
        <w:rPr>
          <w:rFonts w:ascii="Palatino Linotype" w:eastAsia="Palatino Linotype" w:hAnsi="Palatino Linotype" w:cs="Palatino Linotype"/>
          <w:color w:val="000000"/>
        </w:rPr>
      </w:pPr>
    </w:p>
    <w:p w14:paraId="355606A7" w14:textId="0266B2A6" w:rsidR="00D036A8" w:rsidRDefault="00D036A8" w:rsidP="00E26D84">
      <w:pP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t xml:space="preserve">Solicitud </w:t>
      </w:r>
      <w:r w:rsidRPr="00EF3767">
        <w:rPr>
          <w:rFonts w:ascii="Palatino Linotype" w:eastAsia="Palatino Linotype" w:hAnsi="Palatino Linotype" w:cs="Palatino Linotype"/>
          <w:b/>
          <w:bCs/>
          <w:color w:val="000000"/>
        </w:rPr>
        <w:t>00</w:t>
      </w:r>
      <w:r w:rsidR="004D2A77">
        <w:rPr>
          <w:rFonts w:ascii="Palatino Linotype" w:eastAsia="Palatino Linotype" w:hAnsi="Palatino Linotype" w:cs="Palatino Linotype"/>
          <w:b/>
          <w:bCs/>
          <w:color w:val="000000"/>
        </w:rPr>
        <w:t>302</w:t>
      </w:r>
      <w:r w:rsidRPr="00EF3767">
        <w:rPr>
          <w:rFonts w:ascii="Palatino Linotype" w:eastAsia="Palatino Linotype" w:hAnsi="Palatino Linotype" w:cs="Palatino Linotype"/>
          <w:b/>
          <w:bCs/>
          <w:color w:val="000000"/>
        </w:rPr>
        <w:t>/</w:t>
      </w:r>
      <w:r>
        <w:rPr>
          <w:rFonts w:ascii="Palatino Linotype" w:eastAsia="Palatino Linotype" w:hAnsi="Palatino Linotype" w:cs="Palatino Linotype"/>
          <w:b/>
          <w:bCs/>
          <w:color w:val="000000"/>
        </w:rPr>
        <w:t>METEPEC</w:t>
      </w:r>
      <w:r w:rsidRPr="00EF3767">
        <w:rPr>
          <w:rFonts w:ascii="Palatino Linotype" w:eastAsia="Palatino Linotype" w:hAnsi="Palatino Linotype" w:cs="Palatino Linotype"/>
          <w:b/>
          <w:bCs/>
          <w:color w:val="000000"/>
        </w:rPr>
        <w:t>/IP/202</w:t>
      </w:r>
      <w:r>
        <w:rPr>
          <w:rFonts w:ascii="Palatino Linotype" w:eastAsia="Palatino Linotype" w:hAnsi="Palatino Linotype" w:cs="Palatino Linotype"/>
          <w:b/>
          <w:bCs/>
          <w:color w:val="000000"/>
        </w:rPr>
        <w:t>2</w:t>
      </w:r>
      <w:r>
        <w:rPr>
          <w:rFonts w:ascii="Palatino Linotype" w:eastAsia="Palatino Linotype" w:hAnsi="Palatino Linotype" w:cs="Palatino Linotype"/>
          <w:bCs/>
          <w:color w:val="000000"/>
        </w:rPr>
        <w:t>:</w:t>
      </w:r>
    </w:p>
    <w:p w14:paraId="09675E49" w14:textId="505A4ACB" w:rsidR="00D036A8" w:rsidRPr="00D036A8"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D2A77" w:rsidRPr="004D2A77">
        <w:rPr>
          <w:rFonts w:ascii="Palatino Linotype" w:eastAsia="Palatino Linotype" w:hAnsi="Palatino Linotype" w:cs="Palatino Linotype"/>
          <w:i/>
          <w:color w:val="000000"/>
          <w:sz w:val="22"/>
          <w:szCs w:val="22"/>
        </w:rPr>
        <w:t>Se solicita el plan de trabajo o equivalente del Titular de la Dirección de la Unidad de Logística entrante</w:t>
      </w:r>
      <w:r>
        <w:rPr>
          <w:rFonts w:ascii="Palatino Linotype" w:eastAsia="Palatino Linotype" w:hAnsi="Palatino Linotype" w:cs="Palatino Linotype"/>
          <w:i/>
          <w:color w:val="000000"/>
          <w:sz w:val="22"/>
          <w:szCs w:val="22"/>
        </w:rPr>
        <w:t>”</w:t>
      </w:r>
    </w:p>
    <w:p w14:paraId="5D98C220" w14:textId="77777777" w:rsidR="00D036A8" w:rsidRPr="007E04A9" w:rsidRDefault="00D036A8" w:rsidP="00E26D84">
      <w:pPr>
        <w:spacing w:line="360" w:lineRule="auto"/>
        <w:jc w:val="both"/>
        <w:rPr>
          <w:rFonts w:ascii="Palatino Linotype" w:eastAsia="Palatino Linotype" w:hAnsi="Palatino Linotype" w:cs="Palatino Linotype"/>
          <w:color w:val="000000"/>
        </w:rPr>
      </w:pPr>
    </w:p>
    <w:p w14:paraId="74547C5C" w14:textId="1017D6A6"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n la</w:t>
      </w:r>
      <w:r w:rsidR="00D036A8">
        <w:rPr>
          <w:rFonts w:ascii="Palatino Linotype" w:eastAsia="Palatino Linotype" w:hAnsi="Palatino Linotype" w:cs="Palatino Linotype"/>
          <w:color w:val="000000"/>
        </w:rPr>
        <w:t>s</w:t>
      </w:r>
      <w:r w:rsidR="00104359">
        <w:rPr>
          <w:rFonts w:ascii="Palatino Linotype" w:eastAsia="Palatino Linotype" w:hAnsi="Palatino Linotype" w:cs="Palatino Linotype"/>
          <w:color w:val="000000"/>
        </w:rPr>
        <w:t xml:space="preserve"> solicitud</w:t>
      </w:r>
      <w:r w:rsidR="00D036A8">
        <w:rPr>
          <w:rFonts w:ascii="Palatino Linotype" w:eastAsia="Palatino Linotype" w:hAnsi="Palatino Linotype" w:cs="Palatino Linotype"/>
          <w:color w:val="000000"/>
        </w:rPr>
        <w:t>es</w:t>
      </w:r>
      <w:r w:rsidR="00104359">
        <w:rPr>
          <w:rFonts w:ascii="Palatino Linotype" w:eastAsia="Palatino Linotype" w:hAnsi="Palatino Linotype" w:cs="Palatino Linotype"/>
          <w:color w:val="000000"/>
        </w:rPr>
        <w:t xml:space="preserve">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39052CDE"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falta</w:t>
      </w:r>
      <w:r w:rsidR="00E05CD9">
        <w:rPr>
          <w:rFonts w:ascii="Palatino Linotype" w:eastAsia="Palatino Linotype" w:hAnsi="Palatino Linotype" w:cs="Palatino Linotype"/>
          <w:color w:val="000000"/>
        </w:rPr>
        <w:t>s</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E05CD9">
        <w:rPr>
          <w:rFonts w:ascii="Palatino Linotype" w:eastAsia="Palatino Linotype" w:hAnsi="Palatino Linotype" w:cs="Palatino Linotype"/>
          <w:color w:val="000000"/>
        </w:rPr>
        <w:t xml:space="preserve">veintitrés </w:t>
      </w:r>
      <w:r w:rsidR="00EF3767">
        <w:rPr>
          <w:rFonts w:ascii="Palatino Linotype" w:eastAsia="Palatino Linotype" w:hAnsi="Palatino Linotype" w:cs="Palatino Linotype"/>
          <w:color w:val="000000"/>
        </w:rPr>
        <w:t xml:space="preserve">de </w:t>
      </w:r>
      <w:r w:rsidR="006B0E27">
        <w:rPr>
          <w:rFonts w:ascii="Palatino Linotype" w:eastAsia="Palatino Linotype" w:hAnsi="Palatino Linotype" w:cs="Palatino Linotype"/>
          <w:color w:val="000000"/>
        </w:rPr>
        <w:t>febrero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E05CD9">
        <w:rPr>
          <w:rFonts w:ascii="Palatino Linotype" w:eastAsia="Palatino Linotype" w:hAnsi="Palatino Linotype" w:cs="Palatino Linotype"/>
          <w:color w:val="000000"/>
        </w:rPr>
        <w:t>los</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w:t>
      </w:r>
      <w:r w:rsidR="00E05CD9">
        <w:rPr>
          <w:rFonts w:ascii="Palatino Linotype" w:eastAsia="Palatino Linotype" w:hAnsi="Palatino Linotype" w:cs="Palatino Linotype"/>
          <w:color w:val="000000"/>
        </w:rPr>
        <w:t>s</w:t>
      </w:r>
      <w:r w:rsidR="005B1C09">
        <w:rPr>
          <w:rFonts w:ascii="Palatino Linotype" w:eastAsia="Palatino Linotype" w:hAnsi="Palatino Linotype" w:cs="Palatino Linotype"/>
          <w:color w:val="000000"/>
        </w:rPr>
        <w:t xml:space="preserve"> de Revisión</w:t>
      </w:r>
      <w:r w:rsidR="00E05CD9">
        <w:rPr>
          <w:rFonts w:ascii="Palatino Linotype" w:eastAsia="Palatino Linotype" w:hAnsi="Palatino Linotype" w:cs="Palatino Linotype"/>
          <w:color w:val="000000"/>
        </w:rPr>
        <w:t xml:space="preserve">, los </w:t>
      </w:r>
      <w:r w:rsidRPr="007E04A9">
        <w:rPr>
          <w:rFonts w:ascii="Palatino Linotype" w:eastAsia="Palatino Linotype" w:hAnsi="Palatino Linotype" w:cs="Palatino Linotype"/>
          <w:color w:val="000000"/>
        </w:rPr>
        <w:t>cual</w:t>
      </w:r>
      <w:r w:rsidR="00E05CD9">
        <w:rPr>
          <w:rFonts w:ascii="Palatino Linotype" w:eastAsia="Palatino Linotype" w:hAnsi="Palatino Linotype" w:cs="Palatino Linotype"/>
          <w:color w:val="000000"/>
        </w:rPr>
        <w:t>es</w:t>
      </w:r>
      <w:r w:rsidRPr="007E04A9">
        <w:rPr>
          <w:rFonts w:ascii="Palatino Linotype" w:eastAsia="Palatino Linotype" w:hAnsi="Palatino Linotype" w:cs="Palatino Linotype"/>
          <w:color w:val="000000"/>
        </w:rPr>
        <w:t xml:space="preserve"> fue</w:t>
      </w:r>
      <w:r w:rsidR="00E05CD9">
        <w:rPr>
          <w:rFonts w:ascii="Palatino Linotype" w:eastAsia="Palatino Linotype" w:hAnsi="Palatino Linotype" w:cs="Palatino Linotype"/>
          <w:color w:val="000000"/>
        </w:rPr>
        <w:t>ron</w:t>
      </w:r>
      <w:r w:rsidRPr="007E04A9">
        <w:rPr>
          <w:rFonts w:ascii="Palatino Linotype" w:eastAsia="Palatino Linotype" w:hAnsi="Palatino Linotype" w:cs="Palatino Linotype"/>
          <w:color w:val="000000"/>
        </w:rPr>
        <w:t xml:space="preserve"> registrado</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w:t>
      </w:r>
      <w:r w:rsidR="00E05CD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4D2A77">
        <w:rPr>
          <w:rFonts w:ascii="Palatino Linotype" w:eastAsia="Palatino Linotype" w:hAnsi="Palatino Linotype" w:cs="Palatino Linotype"/>
          <w:b/>
          <w:color w:val="000000"/>
        </w:rPr>
        <w:t>3</w:t>
      </w:r>
      <w:r w:rsidR="00305E1D">
        <w:rPr>
          <w:rFonts w:ascii="Palatino Linotype" w:eastAsia="Palatino Linotype" w:hAnsi="Palatino Linotype" w:cs="Palatino Linotype"/>
          <w:b/>
          <w:color w:val="000000"/>
        </w:rPr>
        <w:t>10</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00305E1D" w:rsidRPr="00E05CD9">
        <w:rPr>
          <w:rFonts w:ascii="Palatino Linotype" w:eastAsia="Palatino Linotype" w:hAnsi="Palatino Linotype" w:cs="Palatino Linotype"/>
          <w:b/>
          <w:color w:val="000000"/>
        </w:rPr>
        <w:lastRenderedPageBreak/>
        <w:t>0</w:t>
      </w:r>
      <w:r w:rsidR="00305E1D">
        <w:rPr>
          <w:rFonts w:ascii="Palatino Linotype" w:eastAsia="Palatino Linotype" w:hAnsi="Palatino Linotype" w:cs="Palatino Linotype"/>
          <w:b/>
          <w:color w:val="000000"/>
        </w:rPr>
        <w:t>1</w:t>
      </w:r>
      <w:r w:rsidR="004D2A77">
        <w:rPr>
          <w:rFonts w:ascii="Palatino Linotype" w:eastAsia="Palatino Linotype" w:hAnsi="Palatino Linotype" w:cs="Palatino Linotype"/>
          <w:b/>
          <w:color w:val="000000"/>
        </w:rPr>
        <w:t>3</w:t>
      </w:r>
      <w:r w:rsidR="00305E1D">
        <w:rPr>
          <w:rFonts w:ascii="Palatino Linotype" w:eastAsia="Palatino Linotype" w:hAnsi="Palatino Linotype" w:cs="Palatino Linotype"/>
          <w:b/>
          <w:color w:val="000000"/>
        </w:rPr>
        <w:t>11</w:t>
      </w:r>
      <w:r w:rsidR="00305E1D" w:rsidRPr="00E05CD9">
        <w:rPr>
          <w:rFonts w:ascii="Palatino Linotype" w:eastAsia="Palatino Linotype" w:hAnsi="Palatino Linotype" w:cs="Palatino Linotype"/>
          <w:b/>
          <w:color w:val="000000"/>
        </w:rPr>
        <w:t>/INFOEM/IP/RR/2022</w:t>
      </w:r>
      <w:r w:rsidR="00305E1D">
        <w:rPr>
          <w:rFonts w:ascii="Palatino Linotype" w:eastAsia="Palatino Linotype" w:hAnsi="Palatino Linotype" w:cs="Palatino Linotype"/>
          <w:b/>
          <w:color w:val="000000"/>
        </w:rPr>
        <w:t xml:space="preserve"> y </w:t>
      </w:r>
      <w:r w:rsidR="00305E1D"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4D2A77">
        <w:rPr>
          <w:rFonts w:ascii="Palatino Linotype" w:eastAsia="Palatino Linotype" w:hAnsi="Palatino Linotype" w:cs="Palatino Linotype"/>
          <w:b/>
          <w:color w:val="000000"/>
        </w:rPr>
        <w:t>3</w:t>
      </w:r>
      <w:r w:rsidR="00305E1D">
        <w:rPr>
          <w:rFonts w:ascii="Palatino Linotype" w:eastAsia="Palatino Linotype" w:hAnsi="Palatino Linotype" w:cs="Palatino Linotype"/>
          <w:b/>
          <w:color w:val="000000"/>
        </w:rPr>
        <w:t>12</w:t>
      </w:r>
      <w:r w:rsidR="00305E1D" w:rsidRPr="00E05CD9">
        <w:rPr>
          <w:rFonts w:ascii="Palatino Linotype" w:eastAsia="Palatino Linotype" w:hAnsi="Palatino Linotype" w:cs="Palatino Linotype"/>
          <w:b/>
          <w:color w:val="000000"/>
        </w:rPr>
        <w:t>/INFOEM/IP/RR/2022</w:t>
      </w:r>
      <w:r w:rsidRPr="00E05CD9">
        <w:rPr>
          <w:rFonts w:ascii="Palatino Linotype" w:eastAsia="Palatino Linotype" w:hAnsi="Palatino Linotype" w:cs="Palatino Linotype"/>
          <w:color w:val="000000"/>
        </w:rPr>
        <w:t xml:space="preserve"> en </w:t>
      </w:r>
      <w:r w:rsidR="00305E1D">
        <w:rPr>
          <w:rFonts w:ascii="Palatino Linotype" w:eastAsia="Palatino Linotype" w:hAnsi="Palatino Linotype" w:cs="Palatino Linotype"/>
          <w:color w:val="000000"/>
        </w:rPr>
        <w:t>los</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de forma </w:t>
      </w:r>
      <w:r w:rsidR="00AD301A">
        <w:rPr>
          <w:rFonts w:ascii="Palatino Linotype" w:eastAsia="Palatino Linotype" w:hAnsi="Palatino Linotype" w:cs="Palatino Linotype"/>
          <w:color w:val="000000"/>
        </w:rPr>
        <w:t>de idéntica 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A</w:t>
      </w:r>
      <w:r w:rsidR="005B733C" w:rsidRPr="00AD301A">
        <w:rPr>
          <w:rFonts w:ascii="Palatino Linotype" w:eastAsia="Palatino Linotype" w:hAnsi="Palatino Linotype" w:cs="Palatino Linotype"/>
          <w:color w:val="000000"/>
        </w:rPr>
        <w:t>cto impugnado</w:t>
      </w:r>
      <w:r w:rsidRPr="00AD301A">
        <w:rPr>
          <w:rFonts w:ascii="Palatino Linotype" w:eastAsia="Palatino Linotype" w:hAnsi="Palatino Linotype" w:cs="Palatino Linotype"/>
          <w:color w:val="000000"/>
        </w:rPr>
        <w:t>:</w:t>
      </w:r>
      <w:r w:rsidR="00FB6027" w:rsidRPr="00AD301A">
        <w:rPr>
          <w:rFonts w:ascii="Palatino Linotype" w:eastAsia="Palatino Linotype" w:hAnsi="Palatino Linotype" w:cs="Palatino Linotype"/>
          <w:color w:val="000000"/>
        </w:rPr>
        <w:t xml:space="preserve"> </w:t>
      </w:r>
    </w:p>
    <w:p w14:paraId="47B39CC0" w14:textId="77777777" w:rsidR="00B9537B" w:rsidRPr="00AD301A"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69598B72"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La falta de respuesta del sujeto obligado</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AD301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Y como razones o motivos de inconformidad:</w:t>
      </w:r>
    </w:p>
    <w:p w14:paraId="7BE5B5B3" w14:textId="77777777" w:rsidR="00BA2B62" w:rsidRPr="00AD301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p>
    <w:p w14:paraId="1B2A7DAC" w14:textId="60D6F3F8"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w:t>
      </w:r>
      <w:r w:rsidR="00AD301A" w:rsidRPr="00AD301A">
        <w:rPr>
          <w:rFonts w:ascii="Palatino Linotype" w:eastAsia="Palatino Linotype" w:hAnsi="Palatino Linotype" w:cs="Palatino Linotype"/>
          <w:i/>
          <w:color w:val="000000"/>
        </w:rPr>
        <w:lastRenderedPageBreak/>
        <w:t>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77777777"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 los recursos de revisión.</w:t>
      </w:r>
      <w:r w:rsidRPr="00B93DE8">
        <w:rPr>
          <w:rFonts w:ascii="Palatino Linotype" w:hAnsi="Palatino Linotype" w:cs="Arial"/>
        </w:rPr>
        <w:t xml:space="preserve"> </w:t>
      </w:r>
    </w:p>
    <w:p w14:paraId="3E581D22" w14:textId="48471E95"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sidR="0016724F">
        <w:rPr>
          <w:rFonts w:ascii="Palatino Linotype" w:hAnsi="Palatino Linotype" w:cs="Arial"/>
          <w:b/>
        </w:rPr>
        <w:t>013</w:t>
      </w:r>
      <w:r>
        <w:rPr>
          <w:rFonts w:ascii="Palatino Linotype" w:hAnsi="Palatino Linotype" w:cs="Arial"/>
          <w:b/>
        </w:rPr>
        <w:t>10</w:t>
      </w:r>
      <w:r w:rsidRPr="0032162A">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0040378F">
        <w:rPr>
          <w:rFonts w:ascii="Palatino Linotype" w:hAnsi="Palatino Linotype" w:cs="Arial"/>
        </w:rPr>
        <w:t xml:space="preserve">y </w:t>
      </w:r>
      <w:r>
        <w:rPr>
          <w:rFonts w:ascii="Palatino Linotype" w:hAnsi="Palatino Linotype" w:cs="Arial"/>
        </w:rPr>
        <w:t xml:space="preserve">los recursos de revisión </w:t>
      </w:r>
      <w:r w:rsidRPr="0032162A">
        <w:rPr>
          <w:rFonts w:ascii="Palatino Linotype" w:hAnsi="Palatino Linotype" w:cs="Arial"/>
          <w:b/>
        </w:rPr>
        <w:t>0</w:t>
      </w:r>
      <w:r w:rsidR="0040378F">
        <w:rPr>
          <w:rFonts w:ascii="Palatino Linotype" w:hAnsi="Palatino Linotype" w:cs="Arial"/>
          <w:b/>
        </w:rPr>
        <w:t>1</w:t>
      </w:r>
      <w:r w:rsidR="0016724F">
        <w:rPr>
          <w:rFonts w:ascii="Palatino Linotype" w:hAnsi="Palatino Linotype" w:cs="Arial"/>
          <w:b/>
        </w:rPr>
        <w:t>3</w:t>
      </w:r>
      <w:r>
        <w:rPr>
          <w:rFonts w:ascii="Palatino Linotype" w:hAnsi="Palatino Linotype" w:cs="Arial"/>
          <w:b/>
        </w:rPr>
        <w:t>11</w:t>
      </w:r>
      <w:r w:rsidRPr="0032162A">
        <w:rPr>
          <w:rFonts w:ascii="Palatino Linotype" w:hAnsi="Palatino Linotype" w:cs="Arial"/>
          <w:b/>
        </w:rPr>
        <w:t>/INFOEM/IP/RR/202</w:t>
      </w:r>
      <w:r>
        <w:rPr>
          <w:rFonts w:ascii="Palatino Linotype" w:hAnsi="Palatino Linotype" w:cs="Arial"/>
          <w:b/>
        </w:rPr>
        <w:t>2</w:t>
      </w:r>
      <w:r>
        <w:rPr>
          <w:rFonts w:ascii="Palatino Linotype" w:hAnsi="Palatino Linotype" w:cs="Arial"/>
        </w:rPr>
        <w:t xml:space="preserve"> y </w:t>
      </w:r>
      <w:r w:rsidRPr="0032162A">
        <w:rPr>
          <w:rFonts w:ascii="Palatino Linotype" w:hAnsi="Palatino Linotype" w:cs="Arial"/>
          <w:b/>
        </w:rPr>
        <w:t>0</w:t>
      </w:r>
      <w:r w:rsidR="0040378F">
        <w:rPr>
          <w:rFonts w:ascii="Palatino Linotype" w:hAnsi="Palatino Linotype" w:cs="Arial"/>
          <w:b/>
        </w:rPr>
        <w:t>1</w:t>
      </w:r>
      <w:r w:rsidR="0016724F">
        <w:rPr>
          <w:rFonts w:ascii="Palatino Linotype" w:hAnsi="Palatino Linotype" w:cs="Arial"/>
          <w:b/>
        </w:rPr>
        <w:t>3</w:t>
      </w:r>
      <w:r>
        <w:rPr>
          <w:rFonts w:ascii="Palatino Linotype" w:hAnsi="Palatino Linotype" w:cs="Arial"/>
          <w:b/>
        </w:rPr>
        <w:t>12</w:t>
      </w:r>
      <w:r w:rsidRPr="0032162A">
        <w:rPr>
          <w:rFonts w:ascii="Palatino Linotype" w:hAnsi="Palatino Linotype" w:cs="Arial"/>
          <w:b/>
        </w:rPr>
        <w:t>/INFOEM/IP/RR/202</w:t>
      </w:r>
      <w:r>
        <w:rPr>
          <w:rFonts w:ascii="Palatino Linotype" w:hAnsi="Palatino Linotype" w:cs="Arial"/>
          <w:b/>
        </w:rPr>
        <w:t>2</w:t>
      </w:r>
      <w:r>
        <w:rPr>
          <w:rFonts w:ascii="Palatino Linotype" w:hAnsi="Palatino Linotype" w:cs="Arial"/>
        </w:rPr>
        <w:t xml:space="preserve"> fueron turnados a la ponencia del </w:t>
      </w:r>
      <w:r w:rsidRPr="0040378F">
        <w:rPr>
          <w:rFonts w:ascii="Palatino Linotype" w:hAnsi="Palatino Linotype" w:cs="Arial"/>
          <w:b/>
        </w:rPr>
        <w:t>Comisionado Luis Gustavo Parra Noriega</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Municipios, </w:t>
      </w:r>
      <w:r w:rsidRPr="006D1CF1">
        <w:rPr>
          <w:rFonts w:ascii="Palatino Linotype" w:hAnsi="Palatino Linotype" w:cs="Arial"/>
          <w:b/>
        </w:rPr>
        <w:t xml:space="preserve">a los cuales recayeron </w:t>
      </w:r>
      <w:r w:rsidR="00D333FD">
        <w:rPr>
          <w:rFonts w:ascii="Palatino Linotype" w:hAnsi="Palatino Linotype" w:cs="Arial"/>
          <w:b/>
        </w:rPr>
        <w:t xml:space="preserve">los respectivos </w:t>
      </w:r>
      <w:r w:rsidRPr="006D1CF1">
        <w:rPr>
          <w:rFonts w:ascii="Palatino Linotype" w:hAnsi="Palatino Linotype" w:cs="Arial"/>
          <w:b/>
        </w:rPr>
        <w:t>acuerdos de admisión</w:t>
      </w:r>
      <w:r>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B6817A4" w14:textId="77777777" w:rsidR="00AD301A" w:rsidRPr="00B93DE8" w:rsidRDefault="00AD301A" w:rsidP="00AD301A">
      <w:pPr>
        <w:spacing w:line="360" w:lineRule="auto"/>
        <w:jc w:val="both"/>
        <w:rPr>
          <w:rFonts w:ascii="Palatino Linotype" w:hAnsi="Palatino Linotype" w:cs="Arial"/>
        </w:rPr>
      </w:pPr>
      <w:r>
        <w:rPr>
          <w:rFonts w:ascii="Palatino Linotype" w:hAnsi="Palatino Linotype" w:cs="Arial"/>
        </w:rPr>
        <w:t>E</w:t>
      </w:r>
      <w:r w:rsidRPr="00B93DE8">
        <w:rPr>
          <w:rFonts w:ascii="Palatino Linotype" w:hAnsi="Palatino Linotype" w:cs="Arial"/>
        </w:rPr>
        <w:t xml:space="preserve">n la </w:t>
      </w:r>
      <w:r>
        <w:rPr>
          <w:rFonts w:ascii="Palatino Linotype" w:hAnsi="Palatino Linotype" w:cs="Arial"/>
          <w:b/>
        </w:rPr>
        <w:t>Octava</w:t>
      </w:r>
      <w:r w:rsidRPr="00FB194C">
        <w:rPr>
          <w:rFonts w:ascii="Palatino Linotype" w:hAnsi="Palatino Linotype" w:cs="Arial"/>
          <w:b/>
        </w:rPr>
        <w:t xml:space="preserve"> Sesión Ordinaria del </w:t>
      </w:r>
      <w:r>
        <w:rPr>
          <w:rFonts w:ascii="Palatino Linotype" w:hAnsi="Palatino Linotype" w:cs="Arial"/>
          <w:b/>
        </w:rPr>
        <w:t>tres</w:t>
      </w:r>
      <w:r w:rsidRPr="00FB194C">
        <w:rPr>
          <w:rFonts w:ascii="Palatino Linotype" w:hAnsi="Palatino Linotype" w:cs="Arial"/>
          <w:b/>
        </w:rPr>
        <w:t xml:space="preserve"> de </w:t>
      </w:r>
      <w:r>
        <w:rPr>
          <w:rFonts w:ascii="Palatino Linotype" w:hAnsi="Palatino Linotype" w:cs="Arial"/>
          <w:b/>
        </w:rPr>
        <w:t>marzo</w:t>
      </w:r>
      <w:r w:rsidRPr="00FB194C">
        <w:rPr>
          <w:rFonts w:ascii="Palatino Linotype" w:hAnsi="Palatino Linotype" w:cs="Arial"/>
          <w:b/>
        </w:rPr>
        <w:t xml:space="preserve"> de dos mil veintidós</w:t>
      </w:r>
      <w:r w:rsidRPr="00B93DE8">
        <w:rPr>
          <w:rFonts w:ascii="Palatino Linotype" w:hAnsi="Palatino Linotype" w:cs="Arial"/>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35FC3B3" w14:textId="77777777" w:rsidR="00AD301A" w:rsidRDefault="00AD301A" w:rsidP="00AD301A">
      <w:pPr>
        <w:spacing w:line="360" w:lineRule="auto"/>
        <w:jc w:val="both"/>
        <w:rPr>
          <w:rFonts w:ascii="Palatino Linotype" w:hAnsi="Palatino Linotype" w:cs="Arial"/>
        </w:rPr>
      </w:pPr>
    </w:p>
    <w:p w14:paraId="2BE36AB1" w14:textId="77777777" w:rsidR="00AD301A" w:rsidRPr="00B216AC" w:rsidRDefault="00AD301A" w:rsidP="00AD301A">
      <w:pPr>
        <w:ind w:left="851" w:right="425"/>
        <w:jc w:val="both"/>
        <w:rPr>
          <w:rFonts w:ascii="Palatino Linotype" w:hAnsi="Palatino Linotype" w:cs="Arial"/>
          <w:b/>
          <w:i/>
          <w:sz w:val="20"/>
          <w:szCs w:val="20"/>
        </w:rPr>
      </w:pPr>
      <w:r w:rsidRPr="00B216AC">
        <w:rPr>
          <w:rFonts w:ascii="Palatino Linotype" w:hAnsi="Palatino Linotype" w:cs="Arial"/>
          <w:b/>
          <w:i/>
          <w:sz w:val="20"/>
          <w:szCs w:val="20"/>
        </w:rPr>
        <w:t>Código de Procedimientos Administrativos del Estado de México</w:t>
      </w:r>
    </w:p>
    <w:p w14:paraId="4E80D8C6" w14:textId="77777777" w:rsidR="00AD301A" w:rsidRPr="00B216AC" w:rsidRDefault="00AD301A" w:rsidP="00AD301A">
      <w:pPr>
        <w:ind w:left="851" w:right="425"/>
        <w:jc w:val="both"/>
        <w:rPr>
          <w:rFonts w:ascii="Palatino Linotype" w:hAnsi="Palatino Linotype" w:cs="Arial"/>
          <w:b/>
          <w:i/>
          <w:sz w:val="20"/>
          <w:szCs w:val="20"/>
        </w:rPr>
      </w:pPr>
    </w:p>
    <w:p w14:paraId="400900EB" w14:textId="77777777" w:rsidR="00AD301A" w:rsidRPr="00B216AC" w:rsidRDefault="00AD301A" w:rsidP="00AD301A">
      <w:pPr>
        <w:ind w:left="851" w:right="425"/>
        <w:jc w:val="both"/>
        <w:rPr>
          <w:rFonts w:ascii="Palatino Linotype" w:hAnsi="Palatino Linotype" w:cs="Arial"/>
          <w:i/>
          <w:sz w:val="20"/>
          <w:szCs w:val="20"/>
        </w:rPr>
      </w:pPr>
      <w:r w:rsidRPr="00B216AC">
        <w:rPr>
          <w:rFonts w:ascii="Palatino Linotype" w:hAnsi="Palatino Linotype" w:cs="Arial"/>
          <w:b/>
          <w:i/>
          <w:sz w:val="20"/>
          <w:szCs w:val="20"/>
        </w:rPr>
        <w:t>Artículo 18.-</w:t>
      </w:r>
      <w:r w:rsidRPr="00B216AC">
        <w:rPr>
          <w:rFonts w:ascii="Palatino Linotype" w:hAnsi="Palatino Linotype" w:cs="Arial"/>
          <w:i/>
          <w:sz w:val="20"/>
          <w:szCs w:val="2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3474FACF" w14:textId="77777777" w:rsidR="00AD301A" w:rsidRPr="00B216AC" w:rsidRDefault="00AD301A" w:rsidP="00AD301A">
      <w:pPr>
        <w:ind w:left="851" w:right="425"/>
        <w:jc w:val="both"/>
        <w:rPr>
          <w:rFonts w:ascii="Palatino Linotype" w:hAnsi="Palatino Linotype" w:cs="Arial"/>
          <w:i/>
          <w:sz w:val="20"/>
          <w:szCs w:val="20"/>
        </w:rPr>
      </w:pPr>
    </w:p>
    <w:p w14:paraId="06C69CF6" w14:textId="77777777" w:rsidR="00AD301A" w:rsidRPr="00B216AC" w:rsidRDefault="00AD301A" w:rsidP="00AD301A">
      <w:pPr>
        <w:ind w:left="851" w:right="425"/>
        <w:jc w:val="both"/>
        <w:rPr>
          <w:rFonts w:ascii="Palatino Linotype" w:hAnsi="Palatino Linotype" w:cs="Arial"/>
          <w:b/>
          <w:i/>
          <w:sz w:val="20"/>
          <w:szCs w:val="20"/>
        </w:rPr>
      </w:pPr>
      <w:r w:rsidRPr="00B216AC">
        <w:rPr>
          <w:rFonts w:ascii="Palatino Linotype" w:hAnsi="Palatino Linotype" w:cs="Arial"/>
          <w:b/>
          <w:i/>
          <w:sz w:val="20"/>
          <w:szCs w:val="20"/>
        </w:rPr>
        <w:t>Ley de Transparencia y Acceso a la Información Pública del Estado de México y Municipios.</w:t>
      </w:r>
    </w:p>
    <w:p w14:paraId="0C8040F8" w14:textId="77777777" w:rsidR="00AD301A" w:rsidRPr="00B216AC" w:rsidRDefault="00AD301A" w:rsidP="00AD301A">
      <w:pPr>
        <w:ind w:left="851" w:right="425"/>
        <w:jc w:val="both"/>
        <w:rPr>
          <w:rFonts w:ascii="Palatino Linotype" w:hAnsi="Palatino Linotype" w:cs="Arial"/>
          <w:b/>
          <w:i/>
          <w:sz w:val="20"/>
          <w:szCs w:val="20"/>
        </w:rPr>
      </w:pPr>
    </w:p>
    <w:p w14:paraId="2F491507" w14:textId="77777777" w:rsidR="00AD301A" w:rsidRPr="00B216AC" w:rsidRDefault="00AD301A" w:rsidP="00AD301A">
      <w:pPr>
        <w:ind w:left="851" w:right="425"/>
        <w:jc w:val="both"/>
        <w:rPr>
          <w:rFonts w:ascii="Palatino Linotype" w:hAnsi="Palatino Linotype" w:cs="Arial"/>
          <w:i/>
          <w:sz w:val="20"/>
          <w:szCs w:val="20"/>
        </w:rPr>
      </w:pPr>
      <w:r w:rsidRPr="00B216AC">
        <w:rPr>
          <w:rFonts w:ascii="Palatino Linotype" w:hAnsi="Palatino Linotype" w:cs="Arial"/>
          <w:b/>
          <w:i/>
          <w:sz w:val="20"/>
          <w:szCs w:val="20"/>
        </w:rPr>
        <w:t>Artículo 195.</w:t>
      </w:r>
      <w:r w:rsidRPr="00B216AC">
        <w:rPr>
          <w:rFonts w:ascii="Palatino Linotype" w:hAnsi="Palatino Linotype" w:cs="Arial"/>
          <w:i/>
          <w:sz w:val="20"/>
          <w:szCs w:val="20"/>
        </w:rPr>
        <w:t xml:space="preserve"> En la tramitación del recurso de revisión se aplicarán supletoriamente las disposiciones contenidas en el Código de Procedimientos Administrativos del Estado de México.”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6B6D097A"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De las constancias de</w:t>
      </w:r>
      <w:r w:rsidR="00D333FD">
        <w:rPr>
          <w:rFonts w:ascii="Palatino Linotype" w:hAnsi="Palatino Linotype" w:cs="Arial"/>
        </w:rPr>
        <w:t xml:space="preserve"> </w:t>
      </w:r>
      <w:r w:rsidRPr="001E0966">
        <w:rPr>
          <w:rFonts w:ascii="Palatino Linotype" w:hAnsi="Palatino Linotype" w:cs="Arial"/>
        </w:rPr>
        <w:t>l</w:t>
      </w:r>
      <w:r w:rsidR="00D333FD">
        <w:rPr>
          <w:rFonts w:ascii="Palatino Linotype" w:hAnsi="Palatino Linotype" w:cs="Arial"/>
        </w:rPr>
        <w:t>os</w:t>
      </w:r>
      <w:r w:rsidRPr="001E0966">
        <w:rPr>
          <w:rFonts w:ascii="Palatino Linotype" w:hAnsi="Palatino Linotype" w:cs="Arial"/>
        </w:rPr>
        <w:t xml:space="preserve"> expediente</w:t>
      </w:r>
      <w:r w:rsidR="00D333FD">
        <w:rPr>
          <w:rFonts w:ascii="Palatino Linotype" w:hAnsi="Palatino Linotype" w:cs="Arial"/>
        </w:rPr>
        <w:t>s</w:t>
      </w:r>
      <w:r w:rsidRPr="001E0966">
        <w:rPr>
          <w:rFonts w:ascii="Palatino Linotype" w:hAnsi="Palatino Linotype" w:cs="Arial"/>
        </w:rPr>
        <w:t xml:space="preserve"> electrónico</w:t>
      </w:r>
      <w:r w:rsidR="00D333FD">
        <w:rPr>
          <w:rFonts w:ascii="Palatino Linotype" w:hAnsi="Palatino Linotype" w:cs="Arial"/>
        </w:rPr>
        <w:t>s</w:t>
      </w:r>
      <w:r w:rsidRPr="001E0966">
        <w:rPr>
          <w:rFonts w:ascii="Palatino Linotype" w:hAnsi="Palatino Linotype" w:cs="Arial"/>
        </w:rPr>
        <w:t xml:space="preserve"> del SAIMEX, de</w:t>
      </w:r>
      <w:r w:rsidR="00D333FD">
        <w:rPr>
          <w:rFonts w:ascii="Palatino Linotype" w:hAnsi="Palatino Linotype" w:cs="Arial"/>
        </w:rPr>
        <w:t xml:space="preserve"> </w:t>
      </w:r>
      <w:r w:rsidRPr="001E0966">
        <w:rPr>
          <w:rFonts w:ascii="Palatino Linotype" w:hAnsi="Palatino Linotype" w:cs="Arial"/>
        </w:rPr>
        <w:t>l</w:t>
      </w:r>
      <w:r w:rsidR="00D333FD">
        <w:rPr>
          <w:rFonts w:ascii="Palatino Linotype" w:hAnsi="Palatino Linotype" w:cs="Arial"/>
        </w:rPr>
        <w:t>os</w:t>
      </w:r>
      <w:r w:rsidRPr="001E0966">
        <w:rPr>
          <w:rFonts w:ascii="Palatino Linotype" w:hAnsi="Palatino Linotype" w:cs="Arial"/>
        </w:rPr>
        <w:t xml:space="preserve"> recurso</w:t>
      </w:r>
      <w:r w:rsidR="00D333FD">
        <w:rPr>
          <w:rFonts w:ascii="Palatino Linotype" w:hAnsi="Palatino Linotype" w:cs="Arial"/>
        </w:rPr>
        <w:t>s</w:t>
      </w:r>
      <w:r w:rsidRPr="001E0966">
        <w:rPr>
          <w:rFonts w:ascii="Palatino Linotype" w:hAnsi="Palatino Linotype" w:cs="Arial"/>
        </w:rPr>
        <w:t xml:space="preserve"> de revisión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10</w:t>
      </w:r>
      <w:r w:rsidR="00D333FD" w:rsidRPr="00E05CD9">
        <w:rPr>
          <w:rFonts w:ascii="Palatino Linotype" w:eastAsia="Palatino Linotype" w:hAnsi="Palatino Linotype" w:cs="Palatino Linotype"/>
          <w:b/>
          <w:color w:val="000000"/>
        </w:rPr>
        <w:t>/INFOEM/IP/RR/2022</w:t>
      </w:r>
      <w:r w:rsidR="00D333FD" w:rsidRPr="00E05CD9">
        <w:rPr>
          <w:rFonts w:ascii="Palatino Linotype" w:eastAsia="Palatino Linotype" w:hAnsi="Palatino Linotype" w:cs="Palatino Linotype"/>
          <w:color w:val="000000"/>
        </w:rPr>
        <w:t>,</w:t>
      </w:r>
      <w:r w:rsidR="00D333FD">
        <w:rPr>
          <w:rFonts w:ascii="Palatino Linotype" w:eastAsia="Palatino Linotype" w:hAnsi="Palatino Linotype" w:cs="Palatino Linotype"/>
          <w:color w:val="000000"/>
        </w:rPr>
        <w:t xml:space="preserve">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11</w:t>
      </w:r>
      <w:r w:rsidR="00D333FD" w:rsidRPr="00E05CD9">
        <w:rPr>
          <w:rFonts w:ascii="Palatino Linotype" w:eastAsia="Palatino Linotype" w:hAnsi="Palatino Linotype" w:cs="Palatino Linotype"/>
          <w:b/>
          <w:color w:val="000000"/>
        </w:rPr>
        <w:t>/INFOEM/IP/RR/2022</w:t>
      </w:r>
      <w:r w:rsidR="00D333FD">
        <w:rPr>
          <w:rFonts w:ascii="Palatino Linotype" w:eastAsia="Palatino Linotype" w:hAnsi="Palatino Linotype" w:cs="Palatino Linotype"/>
          <w:b/>
          <w:color w:val="000000"/>
        </w:rPr>
        <w:t xml:space="preserve"> y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12</w:t>
      </w:r>
      <w:r w:rsidR="00D333FD" w:rsidRPr="00E05CD9">
        <w:rPr>
          <w:rFonts w:ascii="Palatino Linotype" w:eastAsia="Palatino Linotype" w:hAnsi="Palatino Linotype" w:cs="Palatino Linotype"/>
          <w:b/>
          <w:color w:val="000000"/>
        </w:rPr>
        <w:t>/INFOEM/IP/RR/2022</w:t>
      </w:r>
      <w:r w:rsidRPr="001E0966">
        <w:rPr>
          <w:rFonts w:ascii="Palatino Linotype" w:hAnsi="Palatino Linotype" w:cs="Arial"/>
        </w:rPr>
        <w:t xml:space="preserve">, se advierte que el Sujeto Obligado no remitió informe justificado,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183A76B1"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D333FD">
        <w:rPr>
          <w:rFonts w:ascii="Palatino Linotype" w:hAnsi="Palatino Linotype" w:cs="Arial"/>
          <w:b/>
        </w:rPr>
        <w:t>seis</w:t>
      </w:r>
      <w:r>
        <w:rPr>
          <w:rFonts w:ascii="Palatino Linotype" w:hAnsi="Palatino Linotype" w:cs="Arial"/>
          <w:b/>
        </w:rPr>
        <w:t xml:space="preserve"> </w:t>
      </w:r>
      <w:r w:rsidRPr="00B8050B">
        <w:rPr>
          <w:rFonts w:ascii="Palatino Linotype" w:hAnsi="Palatino Linotype" w:cs="Arial"/>
          <w:b/>
        </w:rPr>
        <w:t xml:space="preserve">de </w:t>
      </w:r>
      <w:r w:rsidR="00D333FD">
        <w:rPr>
          <w:rFonts w:ascii="Palatino Linotype" w:hAnsi="Palatino Linotype" w:cs="Arial"/>
          <w:b/>
        </w:rPr>
        <w:t>abril</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120F56A8"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 xml:space="preserve">trigésimo </w:t>
      </w:r>
      <w:r w:rsidRPr="003E4BCA">
        <w:rPr>
          <w:rFonts w:ascii="Palatino Linotype" w:hAnsi="Palatino Linotype" w:cs="Arial"/>
        </w:rPr>
        <w:lastRenderedPageBreak/>
        <w:t>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372018D0" w14:textId="77777777" w:rsidR="00152814" w:rsidRPr="00CC36C6" w:rsidRDefault="00152814" w:rsidP="00152814">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564B1EF" w14:textId="77777777" w:rsidR="00152814" w:rsidRPr="006933CE" w:rsidRDefault="00152814" w:rsidP="00152814">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w:t>
      </w:r>
      <w:r w:rsidRPr="006933CE">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3C860479" w14:textId="77777777" w:rsidR="00152814"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667796" w14:textId="77777777" w:rsidR="00152814" w:rsidRPr="006933CE" w:rsidRDefault="00152814" w:rsidP="00AA65F2">
      <w:pPr>
        <w:pStyle w:val="Prrafodelista"/>
        <w:widowControl w:val="0"/>
        <w:autoSpaceDE w:val="0"/>
        <w:autoSpaceDN w:val="0"/>
        <w:adjustRightInd w:val="0"/>
        <w:spacing w:line="360" w:lineRule="auto"/>
        <w:ind w:left="0"/>
        <w:jc w:val="both"/>
        <w:rPr>
          <w:rFonts w:ascii="Palatino Linotype" w:hAnsi="Palatino Linotype" w:cs="Arial"/>
        </w:rPr>
      </w:pPr>
    </w:p>
    <w:p w14:paraId="0206A956" w14:textId="77777777" w:rsidR="00152814" w:rsidRPr="00AA65F2" w:rsidRDefault="00152814" w:rsidP="00177E2C">
      <w:pPr>
        <w:spacing w:line="360" w:lineRule="auto"/>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549AF4D3" w14:textId="77777777" w:rsidR="00152814" w:rsidRPr="00AA65F2" w:rsidRDefault="00152814" w:rsidP="00177E2C">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57AF1F6A" w14:textId="77777777" w:rsidR="00152814" w:rsidRPr="00AA65F2" w:rsidRDefault="00152814" w:rsidP="00177E2C">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74551167" w14:textId="77777777" w:rsidR="00152814" w:rsidRPr="00AA65F2" w:rsidRDefault="00152814" w:rsidP="00177E2C">
      <w:pPr>
        <w:spacing w:line="360" w:lineRule="auto"/>
        <w:ind w:left="851" w:right="851"/>
        <w:rPr>
          <w:rFonts w:ascii="Palatino Linotype" w:hAnsi="Palatino Linotype"/>
          <w:i/>
          <w:sz w:val="22"/>
          <w:szCs w:val="22"/>
        </w:rPr>
      </w:pPr>
      <w:r w:rsidRPr="00AA65F2">
        <w:rPr>
          <w:rFonts w:ascii="Palatino Linotype" w:hAnsi="Palatino Linotype"/>
          <w:b/>
          <w:i/>
          <w:sz w:val="22"/>
          <w:szCs w:val="22"/>
        </w:rPr>
        <w:t>(…)” [Sic]</w:t>
      </w:r>
    </w:p>
    <w:p w14:paraId="7E898BD5" w14:textId="77777777" w:rsidR="00152814" w:rsidRPr="00CD58A3" w:rsidRDefault="00152814" w:rsidP="00AA65F2">
      <w:pPr>
        <w:pStyle w:val="Prrafodelista"/>
        <w:widowControl w:val="0"/>
        <w:autoSpaceDE w:val="0"/>
        <w:autoSpaceDN w:val="0"/>
        <w:adjustRightInd w:val="0"/>
        <w:spacing w:line="360" w:lineRule="auto"/>
        <w:ind w:left="0"/>
        <w:jc w:val="both"/>
        <w:rPr>
          <w:rFonts w:ascii="Palatino Linotype" w:hAnsi="Palatino Linotype"/>
          <w:highlight w:val="yellow"/>
        </w:rPr>
      </w:pPr>
    </w:p>
    <w:p w14:paraId="7DC66E79"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0892127"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67C99F1F"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lastRenderedPageBreak/>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A4CD1"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highlight w:val="yellow"/>
        </w:rPr>
      </w:pPr>
    </w:p>
    <w:p w14:paraId="0391BEA1" w14:textId="7F5C9BDA" w:rsidR="00152814" w:rsidRPr="00B1405F" w:rsidRDefault="00152814" w:rsidP="00152814">
      <w:pPr>
        <w:pStyle w:val="Prrafodelista"/>
        <w:autoSpaceDE w:val="0"/>
        <w:autoSpaceDN w:val="0"/>
        <w:adjustRightInd w:val="0"/>
        <w:spacing w:line="360" w:lineRule="auto"/>
        <w:ind w:left="0"/>
        <w:jc w:val="both"/>
        <w:rPr>
          <w:rFonts w:ascii="Palatino Linotype" w:hAnsi="Palatino Linotype" w:cs="Arial"/>
          <w:lang w:val="es-419"/>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00B1405F">
        <w:rPr>
          <w:rFonts w:ascii="Palatino Linotype" w:hAnsi="Palatino Linotype"/>
          <w:lang w:val="es-419"/>
        </w:rPr>
        <w:t>.</w:t>
      </w:r>
    </w:p>
    <w:p w14:paraId="094ACBA8" w14:textId="77777777"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p>
    <w:p w14:paraId="1573A31B" w14:textId="77777777" w:rsidR="00152814" w:rsidRPr="0064611F" w:rsidRDefault="00152814"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Pr="0064611F">
        <w:rPr>
          <w:rFonts w:ascii="Palatino Linotype" w:hAnsi="Palatino Linotype" w:cs="Arial"/>
          <w:b/>
          <w:sz w:val="28"/>
          <w:szCs w:val="28"/>
          <w:lang w:val="es-ES" w:eastAsia="es-ES"/>
        </w:rPr>
        <w:t>.</w:t>
      </w:r>
      <w:r w:rsidRPr="0064611F">
        <w:rPr>
          <w:rFonts w:ascii="Palatino Linotype" w:hAnsi="Palatino Linotype" w:cs="Arial"/>
          <w:sz w:val="28"/>
          <w:szCs w:val="28"/>
          <w:lang w:val="es-ES" w:eastAsia="es-ES"/>
        </w:rPr>
        <w:t xml:space="preserve"> </w:t>
      </w:r>
      <w:r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4611F">
        <w:rPr>
          <w:rFonts w:ascii="Palatino Linotype" w:hAnsi="Palatino Linotype" w:cs="Arial"/>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Default="00AA65F2" w:rsidP="00432584">
      <w:pPr>
        <w:autoSpaceDE w:val="0"/>
        <w:autoSpaceDN w:val="0"/>
        <w:adjustRightInd w:val="0"/>
        <w:spacing w:line="360" w:lineRule="auto"/>
        <w:jc w:val="both"/>
        <w:rPr>
          <w:rFonts w:ascii="Palatino Linotype" w:hAnsi="Palatino Linotype" w:cs="Arial"/>
          <w:lang w:val="es-ES" w:eastAsia="es-ES"/>
        </w:rPr>
      </w:pPr>
    </w:p>
    <w:p w14:paraId="3720E28E" w14:textId="77777777" w:rsidR="00177E2C" w:rsidRDefault="00177E2C" w:rsidP="00432584">
      <w:pPr>
        <w:autoSpaceDE w:val="0"/>
        <w:autoSpaceDN w:val="0"/>
        <w:adjustRightInd w:val="0"/>
        <w:spacing w:line="360" w:lineRule="auto"/>
        <w:jc w:val="both"/>
        <w:rPr>
          <w:rFonts w:ascii="Palatino Linotype" w:hAnsi="Palatino Linotype" w:cs="Arial"/>
          <w:lang w:val="es-ES" w:eastAsia="es-ES"/>
        </w:rPr>
      </w:pPr>
    </w:p>
    <w:p w14:paraId="2C55E5C4" w14:textId="4998958E" w:rsidR="00F11AB7" w:rsidRPr="007E04A9" w:rsidRDefault="00652A7D"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QUINTO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t xml:space="preserve">Como quedó </w:t>
      </w:r>
      <w:r w:rsidRPr="00CC2ECB">
        <w:rPr>
          <w:rFonts w:ascii="Palatino Linotype" w:eastAsia="Palatino Linotype" w:hAnsi="Palatino Linotype" w:cs="Palatino Linotype"/>
          <w:color w:val="000000"/>
        </w:rPr>
        <w:t xml:space="preserve">precisado en </w:t>
      </w:r>
      <w:r w:rsidR="00D45DCB"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resultando de la presente resolución, </w:t>
      </w:r>
      <w:r w:rsidR="00633C20"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particular mediante su solicitud de i</w:t>
      </w:r>
      <w:r w:rsidRPr="007E04A9">
        <w:rPr>
          <w:rFonts w:ascii="Palatino Linotype" w:eastAsia="Palatino Linotype" w:hAnsi="Palatino Linotype" w:cs="Palatino Linotype"/>
          <w:color w:val="000000"/>
        </w:rPr>
        <w:t xml:space="preserve">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7F1C9409" w:rsidR="00BA7FA1" w:rsidRPr="007E04A9" w:rsidRDefault="007D48EA"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A65F2">
        <w:rPr>
          <w:rFonts w:ascii="Palatino Linotype" w:eastAsia="Palatino Linotype" w:hAnsi="Palatino Linotype" w:cs="Palatino Linotype"/>
          <w:i/>
          <w:color w:val="000000"/>
          <w:sz w:val="22"/>
          <w:szCs w:val="22"/>
        </w:rPr>
        <w:t xml:space="preserve">Solicito se me proporcione el </w:t>
      </w:r>
      <w:proofErr w:type="spellStart"/>
      <w:r w:rsidR="00AA65F2">
        <w:rPr>
          <w:rFonts w:ascii="Palatino Linotype" w:eastAsia="Palatino Linotype" w:hAnsi="Palatino Linotype" w:cs="Palatino Linotype"/>
          <w:i/>
          <w:color w:val="000000"/>
          <w:sz w:val="22"/>
          <w:szCs w:val="22"/>
        </w:rPr>
        <w:t>curriculum</w:t>
      </w:r>
      <w:proofErr w:type="spellEnd"/>
      <w:r w:rsidR="00AA65F2">
        <w:rPr>
          <w:rFonts w:ascii="Palatino Linotype" w:eastAsia="Palatino Linotype" w:hAnsi="Palatino Linotype" w:cs="Palatino Linotype"/>
          <w:i/>
          <w:color w:val="000000"/>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00AA65F2">
        <w:rPr>
          <w:rFonts w:ascii="Palatino Linotype" w:eastAsia="Palatino Linotype" w:hAnsi="Palatino Linotype" w:cs="Palatino Linotype"/>
          <w:i/>
          <w:color w:val="000000"/>
          <w:sz w:val="22"/>
          <w:szCs w:val="22"/>
        </w:rPr>
        <w:t>Organica</w:t>
      </w:r>
      <w:proofErr w:type="spellEnd"/>
      <w:r w:rsidR="00AA65F2">
        <w:rPr>
          <w:rFonts w:ascii="Palatino Linotype" w:eastAsia="Palatino Linotype" w:hAnsi="Palatino Linotype" w:cs="Palatino Linotype"/>
          <w:i/>
          <w:color w:val="000000"/>
          <w:sz w:val="22"/>
          <w:szCs w:val="22"/>
        </w:rPr>
        <w:t xml:space="preserve"> Municipal del Estado de México en vigor</w:t>
      </w:r>
      <w:r w:rsidR="00CC2ECB">
        <w:rPr>
          <w:i/>
        </w:rPr>
        <w:t xml:space="preserve"> (sic)</w:t>
      </w:r>
      <w:r>
        <w:rPr>
          <w:rFonts w:ascii="Palatino Linotype" w:eastAsia="Palatino Linotype" w:hAnsi="Palatino Linotype" w:cs="Palatino Linotype"/>
          <w:i/>
          <w:color w:val="000000"/>
          <w:sz w:val="22"/>
          <w:szCs w:val="22"/>
        </w:rPr>
        <w:t>.</w:t>
      </w:r>
      <w:r w:rsidR="00CC2ECB">
        <w:rPr>
          <w:i/>
        </w:rPr>
        <w:t>"</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56DF8916"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w:t>
      </w:r>
      <w:r w:rsidR="00AA65F2">
        <w:rPr>
          <w:rFonts w:ascii="Palatino Linotype" w:eastAsia="Palatino Linotype" w:hAnsi="Palatino Linotype" w:cs="Palatino Linotype"/>
          <w:i/>
          <w:color w:val="000000"/>
        </w:rPr>
        <w:t>La falta de respuesta a la solicitud de información a pesar de haber solicitado prorroga del término de respuesta</w:t>
      </w:r>
      <w:r w:rsidR="00AA65F2">
        <w:rPr>
          <w:i/>
        </w:rPr>
        <w:t>" (Sic)</w:t>
      </w:r>
      <w:r w:rsidR="00CC2ECB">
        <w:rPr>
          <w:i/>
        </w:rPr>
        <w:t xml:space="preserve"> (Sic)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8481AD3" w14:textId="59423AB3" w:rsidR="00CC2ECB" w:rsidRDefault="00AA65F2" w:rsidP="00CC2ECB">
      <w:pPr>
        <w:tabs>
          <w:tab w:val="left" w:pos="851"/>
        </w:tabs>
        <w:ind w:left="851" w:right="901"/>
        <w:jc w:val="both"/>
        <w:rPr>
          <w:i/>
        </w:rPr>
      </w:pPr>
      <w:r>
        <w:rPr>
          <w:rFonts w:ascii="Palatino Linotype" w:eastAsia="Palatino Linotype" w:hAnsi="Palatino Linotype" w:cs="Palatino Linotype"/>
          <w:i/>
          <w:color w:val="000000"/>
        </w:rPr>
        <w:t xml:space="preserve">“La falta de respuesta a la solicitud de información lo anterior con fundamento en los artículos 166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cuarto, 176, 178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segundo, 179 fracción VII, y en vista que </w:t>
      </w:r>
      <w:proofErr w:type="spellStart"/>
      <w:r>
        <w:rPr>
          <w:rFonts w:ascii="Palatino Linotype" w:eastAsia="Palatino Linotype" w:hAnsi="Palatino Linotype" w:cs="Palatino Linotype"/>
          <w:i/>
          <w:color w:val="000000"/>
        </w:rPr>
        <w:t>podria</w:t>
      </w:r>
      <w:proofErr w:type="spellEnd"/>
      <w:r>
        <w:rPr>
          <w:rFonts w:ascii="Palatino Linotype" w:eastAsia="Palatino Linotype" w:hAnsi="Palatino Linotype" w:cs="Palatino Linotype"/>
          <w:i/>
          <w:color w:val="000000"/>
        </w:rPr>
        <w:t xml:space="preserve"> configurarse una falta administrativa por parte del sujeto obligado en términos de los artículos 222 fracción II, 223, 226, 229 y </w:t>
      </w:r>
      <w:proofErr w:type="spellStart"/>
      <w:r>
        <w:rPr>
          <w:rFonts w:ascii="Palatino Linotype" w:eastAsia="Palatino Linotype" w:hAnsi="Palatino Linotype" w:cs="Palatino Linotype"/>
          <w:i/>
          <w:color w:val="000000"/>
        </w:rPr>
        <w:t>demas</w:t>
      </w:r>
      <w:proofErr w:type="spellEnd"/>
      <w:r>
        <w:rPr>
          <w:rFonts w:ascii="Palatino Linotype" w:eastAsia="Palatino Linotype" w:hAnsi="Palatino Linotype" w:cs="Palatino Linotype"/>
          <w:i/>
          <w:color w:val="000000"/>
        </w:rPr>
        <w:t xml:space="preserve"> relativos y aplicables de la LEY DE TRANSPARENCIA Y ACCESO A LA INFORMACIÓN PÚBLICA DEL ESTADO DE MÉXICO Y MUNICIPIOS, en consecuencia solicito que El Instituto </w:t>
      </w:r>
      <w:proofErr w:type="spellStart"/>
      <w:r>
        <w:rPr>
          <w:rFonts w:ascii="Palatino Linotype" w:eastAsia="Palatino Linotype" w:hAnsi="Palatino Linotype" w:cs="Palatino Linotype"/>
          <w:i/>
          <w:color w:val="000000"/>
        </w:rPr>
        <w:t>dare</w:t>
      </w:r>
      <w:proofErr w:type="spellEnd"/>
      <w:r>
        <w:rPr>
          <w:rFonts w:ascii="Palatino Linotype" w:eastAsia="Palatino Linotype" w:hAnsi="Palatino Linotype" w:cs="Palatino Linotype"/>
          <w:i/>
          <w:color w:val="000000"/>
        </w:rPr>
        <w:t xml:space="preserve"> vista a la Contraloría Interna y Órgano de Control y Vigilancia en términos de la Ley de Responsabilidades de los Servidores Públicos del Estado y Municipios, para que determine el grado de responsabilidad de quienes incumplan con las obligaciones de la presente Ley, y En aquellos casos en que el presunto responsable tenga la calidad de servidor público, el Instituto deberá remitir a la autoridad competente, junto con la denuncia correspondiente, un expediente en que se contengan todos los elementos que sustenten la presunta </w:t>
      </w:r>
      <w:r>
        <w:rPr>
          <w:rFonts w:ascii="Palatino Linotype" w:eastAsia="Palatino Linotype" w:hAnsi="Palatino Linotype" w:cs="Palatino Linotype"/>
          <w:i/>
          <w:color w:val="000000"/>
        </w:rPr>
        <w:lastRenderedPageBreak/>
        <w:t>responsabilidad administrativa. La autoridad que conozca del asunto deberá informar de la conclusión del procedimiento al Instituto, para que en su caso, este a su vez ejecute la sanción correspondiente</w:t>
      </w:r>
      <w:r>
        <w:rPr>
          <w:i/>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7E04A9">
        <w:rPr>
          <w:rFonts w:ascii="Palatino Linotype" w:eastAsia="Palatino Linotype" w:hAnsi="Palatino Linotype" w:cs="Palatino Linotype"/>
          <w:i/>
          <w:color w:val="000000"/>
          <w:sz w:val="22"/>
          <w:szCs w:val="22"/>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w:t>
      </w:r>
      <w:r w:rsidRPr="007E04A9">
        <w:rPr>
          <w:rFonts w:ascii="Palatino Linotype" w:eastAsia="Palatino Linotype" w:hAnsi="Palatino Linotype" w:cs="Palatino Linotype"/>
          <w:i/>
          <w:color w:val="000000"/>
          <w:sz w:val="22"/>
          <w:szCs w:val="22"/>
        </w:rPr>
        <w:lastRenderedPageBreak/>
        <w:t xml:space="preserve">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xml:space="preserve">; criterio que ha sostenido el más alto tribunal </w:t>
      </w:r>
      <w:r w:rsidRPr="007E04A9">
        <w:rPr>
          <w:rFonts w:ascii="Palatino Linotype" w:eastAsia="Palatino Linotype" w:hAnsi="Palatino Linotype" w:cs="Palatino Linotype"/>
          <w:color w:val="000000"/>
        </w:rPr>
        <w:lastRenderedPageBreak/>
        <w:t>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xml:space="preserve">, se define </w:t>
      </w:r>
      <w:r w:rsidR="005B733C" w:rsidRPr="007E04A9">
        <w:rPr>
          <w:rFonts w:ascii="Palatino Linotype" w:eastAsia="Palatino Linotype" w:hAnsi="Palatino Linotype" w:cs="Palatino Linotype"/>
          <w:i/>
          <w:color w:val="000000"/>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w:t>
      </w:r>
      <w:r w:rsidRPr="007E04A9">
        <w:rPr>
          <w:rFonts w:ascii="Palatino Linotype" w:eastAsia="Palatino Linotype" w:hAnsi="Palatino Linotype" w:cs="Palatino Linotype"/>
          <w:i/>
          <w:sz w:val="22"/>
          <w:szCs w:val="22"/>
        </w:rPr>
        <w:lastRenderedPageBreak/>
        <w:t xml:space="preserve">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w:t>
      </w:r>
      <w:r w:rsidRPr="007E04A9">
        <w:rPr>
          <w:rFonts w:ascii="Palatino Linotype" w:eastAsia="Palatino Linotype" w:hAnsi="Palatino Linotype" w:cs="Palatino Linotype"/>
          <w:i/>
          <w:sz w:val="22"/>
          <w:szCs w:val="22"/>
        </w:rPr>
        <w:lastRenderedPageBreak/>
        <w:t xml:space="preserve">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igual forma, el diverso artículo 59, fracciones I, II y III de la multicitada legislación </w:t>
      </w:r>
      <w:r w:rsidRPr="007E04A9">
        <w:rPr>
          <w:rFonts w:ascii="Palatino Linotype" w:eastAsia="Palatino Linotype" w:hAnsi="Palatino Linotype" w:cs="Palatino Linotype"/>
          <w:color w:val="000000"/>
        </w:rPr>
        <w:lastRenderedPageBreak/>
        <w:t>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mérito de lo expuesto, es claro que en este caso en particular la Unidad de Transparencia incumplió la normativa en la materia, puesto que no dio respuesta a la </w:t>
      </w:r>
      <w:r w:rsidRPr="007E04A9">
        <w:rPr>
          <w:rFonts w:ascii="Palatino Linotype" w:eastAsia="Palatino Linotype" w:hAnsi="Palatino Linotype" w:cs="Palatino Linotype"/>
          <w:color w:val="000000"/>
        </w:rPr>
        <w:lastRenderedPageBreak/>
        <w:t>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xml:space="preserve">, la Unidad de Trasparencia tendrá que registrar y capturar la </w:t>
      </w:r>
      <w:r w:rsidRPr="007E04A9">
        <w:rPr>
          <w:rFonts w:ascii="Palatino Linotype" w:eastAsia="Palatino Linotype" w:hAnsi="Palatino Linotype" w:cs="Palatino Linotype"/>
          <w:b/>
          <w:i/>
          <w:sz w:val="22"/>
          <w:szCs w:val="22"/>
        </w:rPr>
        <w:lastRenderedPageBreak/>
        <w:t>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w:t>
      </w:r>
      <w:r w:rsidRPr="007E04A9">
        <w:rPr>
          <w:rFonts w:ascii="Palatino Linotype" w:eastAsia="Palatino Linotype" w:hAnsi="Palatino Linotype" w:cs="Palatino Linotype"/>
          <w:i/>
          <w:sz w:val="22"/>
          <w:szCs w:val="22"/>
        </w:rPr>
        <w:lastRenderedPageBreak/>
        <w:t>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i/>
          <w:sz w:val="22"/>
          <w:szCs w:val="22"/>
        </w:rPr>
        <w:lastRenderedPageBreak/>
        <w:t xml:space="preserve">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expresan las </w:t>
      </w:r>
      <w:r w:rsidRPr="007E04A9">
        <w:rPr>
          <w:rFonts w:ascii="Palatino Linotype" w:eastAsia="Palatino Linotype" w:hAnsi="Palatino Linotype" w:cs="Palatino Linotype"/>
        </w:rPr>
        <w:lastRenderedPageBreak/>
        <w:t>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lastRenderedPageBreak/>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xml:space="preserve">, teniendo el deber los primeros, de presentar ante la Unidad </w:t>
      </w:r>
      <w:r w:rsidRPr="007E04A9">
        <w:rPr>
          <w:rFonts w:ascii="Palatino Linotype" w:eastAsia="Palatino Linotype" w:hAnsi="Palatino Linotype" w:cs="Palatino Linotype"/>
          <w:color w:val="000000"/>
        </w:rPr>
        <w:lastRenderedPageBreak/>
        <w:t>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919EA7D" w14:textId="77777777" w:rsidR="00306E8C"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7E04A9" w:rsidRDefault="00306E8C"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de 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 xml:space="preserve">Recurso de </w:t>
      </w:r>
      <w:r w:rsidR="005B1C09">
        <w:rPr>
          <w:rFonts w:ascii="Palatino Linotype" w:eastAsia="Palatino Linotype" w:hAnsi="Palatino Linotype" w:cs="Palatino Linotype"/>
          <w:color w:val="000000"/>
        </w:rPr>
        <w:lastRenderedPageBreak/>
        <w:t>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6E854CE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201374">
        <w:rPr>
          <w:rFonts w:ascii="Palatino Linotype" w:hAnsi="Palatino Linotype" w:cs="Arial"/>
          <w:b/>
        </w:rPr>
        <w:t xml:space="preserve">QUINTO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40AF3461" w14:textId="265DB836" w:rsidR="00A60520" w:rsidRPr="007E04A9" w:rsidRDefault="00A60520" w:rsidP="00461357">
      <w:pPr>
        <w:spacing w:line="360" w:lineRule="auto"/>
        <w:jc w:val="both"/>
        <w:rPr>
          <w:rFonts w:ascii="Palatino Linotype" w:hAnsi="Palatino Linotype"/>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w:t>
      </w:r>
      <w:r w:rsidR="00306E8C">
        <w:rPr>
          <w:rFonts w:ascii="Palatino Linotype" w:hAnsi="Palatino Linotype"/>
          <w:color w:val="222222"/>
          <w:shd w:val="clear" w:color="auto" w:fill="FFFFFF"/>
        </w:rPr>
        <w:t>s</w:t>
      </w:r>
      <w:r w:rsidRPr="004C43F4">
        <w:rPr>
          <w:rFonts w:ascii="Palatino Linotype" w:hAnsi="Palatino Linotype"/>
          <w:color w:val="222222"/>
          <w:shd w:val="clear" w:color="auto" w:fill="FFFFFF"/>
        </w:rPr>
        <w:t xml:space="preserve"> solicitud</w:t>
      </w:r>
      <w:r w:rsidR="00306E8C">
        <w:rPr>
          <w:rFonts w:ascii="Palatino Linotype" w:hAnsi="Palatino Linotype"/>
          <w:color w:val="222222"/>
          <w:shd w:val="clear" w:color="auto" w:fill="FFFFFF"/>
        </w:rPr>
        <w:t>es</w:t>
      </w:r>
      <w:r w:rsidRPr="004C43F4">
        <w:rPr>
          <w:rFonts w:ascii="Palatino Linotype" w:hAnsi="Palatino Linotype"/>
          <w:color w:val="222222"/>
          <w:shd w:val="clear" w:color="auto" w:fill="FFFFFF"/>
        </w:rPr>
        <w:t xml:space="preserve"> de información número</w:t>
      </w:r>
      <w:r w:rsidR="00306E8C">
        <w:rPr>
          <w:rFonts w:ascii="Palatino Linotype" w:hAnsi="Palatino Linotype"/>
          <w:color w:val="222222"/>
          <w:shd w:val="clear" w:color="auto" w:fill="FFFFFF"/>
        </w:rPr>
        <w:t>s</w:t>
      </w:r>
      <w:r w:rsidRPr="004C43F4">
        <w:rPr>
          <w:rFonts w:ascii="Palatino Linotype" w:hAnsi="Palatino Linotype"/>
          <w:b/>
          <w:bCs/>
          <w:color w:val="222222"/>
          <w:shd w:val="clear" w:color="auto" w:fill="FFFFFF"/>
        </w:rPr>
        <w:t xml:space="preserve"> </w:t>
      </w:r>
      <w:r w:rsidR="00992F01" w:rsidRPr="00EF3767">
        <w:rPr>
          <w:rFonts w:ascii="Palatino Linotype" w:eastAsia="Palatino Linotype" w:hAnsi="Palatino Linotype" w:cs="Palatino Linotype"/>
          <w:b/>
          <w:bCs/>
          <w:color w:val="000000"/>
        </w:rPr>
        <w:t>00</w:t>
      </w:r>
      <w:r w:rsidR="00992F01">
        <w:rPr>
          <w:rFonts w:ascii="Palatino Linotype" w:eastAsia="Palatino Linotype" w:hAnsi="Palatino Linotype" w:cs="Palatino Linotype"/>
          <w:b/>
          <w:bCs/>
          <w:color w:val="000000"/>
        </w:rPr>
        <w:t>292</w:t>
      </w:r>
      <w:r w:rsidR="00992F01" w:rsidRPr="00EF3767">
        <w:rPr>
          <w:rFonts w:ascii="Palatino Linotype" w:eastAsia="Palatino Linotype" w:hAnsi="Palatino Linotype" w:cs="Palatino Linotype"/>
          <w:b/>
          <w:bCs/>
          <w:color w:val="000000"/>
        </w:rPr>
        <w:t>/</w:t>
      </w:r>
      <w:r w:rsidR="00992F01">
        <w:rPr>
          <w:rFonts w:ascii="Palatino Linotype" w:eastAsia="Palatino Linotype" w:hAnsi="Palatino Linotype" w:cs="Palatino Linotype"/>
          <w:b/>
          <w:bCs/>
          <w:color w:val="000000"/>
        </w:rPr>
        <w:t>METEPEC</w:t>
      </w:r>
      <w:r w:rsidR="00992F01" w:rsidRPr="00EF3767">
        <w:rPr>
          <w:rFonts w:ascii="Palatino Linotype" w:eastAsia="Palatino Linotype" w:hAnsi="Palatino Linotype" w:cs="Palatino Linotype"/>
          <w:b/>
          <w:bCs/>
          <w:color w:val="000000"/>
        </w:rPr>
        <w:t>/IP/202</w:t>
      </w:r>
      <w:r w:rsidR="00992F01">
        <w:rPr>
          <w:rFonts w:ascii="Palatino Linotype" w:eastAsia="Palatino Linotype" w:hAnsi="Palatino Linotype" w:cs="Palatino Linotype"/>
          <w:b/>
          <w:bCs/>
          <w:color w:val="000000"/>
        </w:rPr>
        <w:t>2</w:t>
      </w:r>
      <w:r w:rsidR="00992F01" w:rsidRPr="007E04A9">
        <w:rPr>
          <w:rFonts w:ascii="Palatino Linotype" w:eastAsia="Palatino Linotype" w:hAnsi="Palatino Linotype" w:cs="Palatino Linotype"/>
          <w:color w:val="000000"/>
        </w:rPr>
        <w:t>,</w:t>
      </w:r>
      <w:r w:rsidR="00992F01">
        <w:rPr>
          <w:rFonts w:ascii="Palatino Linotype" w:eastAsia="Palatino Linotype" w:hAnsi="Palatino Linotype" w:cs="Palatino Linotype"/>
          <w:color w:val="000000"/>
        </w:rPr>
        <w:t xml:space="preserve"> </w:t>
      </w:r>
      <w:r w:rsidR="00992F01" w:rsidRPr="00EF3767">
        <w:rPr>
          <w:rFonts w:ascii="Palatino Linotype" w:eastAsia="Palatino Linotype" w:hAnsi="Palatino Linotype" w:cs="Palatino Linotype"/>
          <w:b/>
          <w:bCs/>
          <w:color w:val="000000"/>
        </w:rPr>
        <w:t>00</w:t>
      </w:r>
      <w:r w:rsidR="00992F01">
        <w:rPr>
          <w:rFonts w:ascii="Palatino Linotype" w:eastAsia="Palatino Linotype" w:hAnsi="Palatino Linotype" w:cs="Palatino Linotype"/>
          <w:b/>
          <w:bCs/>
          <w:color w:val="000000"/>
        </w:rPr>
        <w:t>300</w:t>
      </w:r>
      <w:r w:rsidR="00992F01" w:rsidRPr="00EF3767">
        <w:rPr>
          <w:rFonts w:ascii="Palatino Linotype" w:eastAsia="Palatino Linotype" w:hAnsi="Palatino Linotype" w:cs="Palatino Linotype"/>
          <w:b/>
          <w:bCs/>
          <w:color w:val="000000"/>
        </w:rPr>
        <w:t>/</w:t>
      </w:r>
      <w:r w:rsidR="00992F01">
        <w:rPr>
          <w:rFonts w:ascii="Palatino Linotype" w:eastAsia="Palatino Linotype" w:hAnsi="Palatino Linotype" w:cs="Palatino Linotype"/>
          <w:b/>
          <w:bCs/>
          <w:color w:val="000000"/>
        </w:rPr>
        <w:t>METEPEC</w:t>
      </w:r>
      <w:r w:rsidR="00992F01" w:rsidRPr="00EF3767">
        <w:rPr>
          <w:rFonts w:ascii="Palatino Linotype" w:eastAsia="Palatino Linotype" w:hAnsi="Palatino Linotype" w:cs="Palatino Linotype"/>
          <w:b/>
          <w:bCs/>
          <w:color w:val="000000"/>
        </w:rPr>
        <w:t>/IP/202</w:t>
      </w:r>
      <w:r w:rsidR="00992F01">
        <w:rPr>
          <w:rFonts w:ascii="Palatino Linotype" w:eastAsia="Palatino Linotype" w:hAnsi="Palatino Linotype" w:cs="Palatino Linotype"/>
          <w:b/>
          <w:bCs/>
          <w:color w:val="000000"/>
        </w:rPr>
        <w:t xml:space="preserve">2 y </w:t>
      </w:r>
      <w:r w:rsidR="00992F01" w:rsidRPr="00EF3767">
        <w:rPr>
          <w:rFonts w:ascii="Palatino Linotype" w:eastAsia="Palatino Linotype" w:hAnsi="Palatino Linotype" w:cs="Palatino Linotype"/>
          <w:b/>
          <w:bCs/>
          <w:color w:val="000000"/>
        </w:rPr>
        <w:t>00</w:t>
      </w:r>
      <w:r w:rsidR="00992F01">
        <w:rPr>
          <w:rFonts w:ascii="Palatino Linotype" w:eastAsia="Palatino Linotype" w:hAnsi="Palatino Linotype" w:cs="Palatino Linotype"/>
          <w:b/>
          <w:bCs/>
          <w:color w:val="000000"/>
        </w:rPr>
        <w:t>302</w:t>
      </w:r>
      <w:r w:rsidR="00992F01" w:rsidRPr="00EF3767">
        <w:rPr>
          <w:rFonts w:ascii="Palatino Linotype" w:eastAsia="Palatino Linotype" w:hAnsi="Palatino Linotype" w:cs="Palatino Linotype"/>
          <w:b/>
          <w:bCs/>
          <w:color w:val="000000"/>
        </w:rPr>
        <w:t>/</w:t>
      </w:r>
      <w:r w:rsidR="00992F01">
        <w:rPr>
          <w:rFonts w:ascii="Palatino Linotype" w:eastAsia="Palatino Linotype" w:hAnsi="Palatino Linotype" w:cs="Palatino Linotype"/>
          <w:b/>
          <w:bCs/>
          <w:color w:val="000000"/>
        </w:rPr>
        <w:t>METEPEC</w:t>
      </w:r>
      <w:r w:rsidR="00992F01" w:rsidRPr="00EF3767">
        <w:rPr>
          <w:rFonts w:ascii="Palatino Linotype" w:eastAsia="Palatino Linotype" w:hAnsi="Palatino Linotype" w:cs="Palatino Linotype"/>
          <w:b/>
          <w:bCs/>
          <w:color w:val="000000"/>
        </w:rPr>
        <w:t>/IP/202</w:t>
      </w:r>
      <w:r w:rsidR="00992F01">
        <w:rPr>
          <w:rFonts w:ascii="Palatino Linotype" w:eastAsia="Palatino Linotype" w:hAnsi="Palatino Linotype" w:cs="Palatino Linotype"/>
          <w:b/>
          <w:bCs/>
          <w:color w:val="000000"/>
        </w:rPr>
        <w:t>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QUINTO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Pr="004C43F4">
        <w:rPr>
          <w:rFonts w:ascii="Palatino Linotype" w:hAnsi="Palatino Linotype"/>
          <w:color w:val="222222"/>
          <w:shd w:val="clear" w:color="auto" w:fill="FFFFFF"/>
        </w:rPr>
        <w:t>.</w:t>
      </w:r>
    </w:p>
    <w:p w14:paraId="535F6C27" w14:textId="77777777"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64B551D5"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201374">
        <w:rPr>
          <w:rFonts w:ascii="Palatino Linotype" w:eastAsia="MS Mincho" w:hAnsi="Palatino Linotype"/>
          <w:b/>
        </w:rPr>
        <w:t xml:space="preserve">QUINTO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lastRenderedPageBreak/>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3D432FA8"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967F3A">
        <w:rPr>
          <w:rFonts w:ascii="Palatino Linotype" w:hAnsi="Palatino Linotype"/>
        </w:rPr>
        <w:t xml:space="preserve">DÉCIMA </w:t>
      </w:r>
      <w:r w:rsidR="00306E8C">
        <w:rPr>
          <w:rFonts w:ascii="Palatino Linotype" w:hAnsi="Palatino Linotype"/>
        </w:rPr>
        <w:t>QUINTA</w:t>
      </w:r>
      <w:r w:rsidR="00967F3A">
        <w:rPr>
          <w:rFonts w:ascii="Palatino Linotype" w:hAnsi="Palatino Linotype"/>
        </w:rPr>
        <w:t xml:space="preserve"> </w:t>
      </w:r>
      <w:r w:rsidR="007E1DF5" w:rsidRPr="007E04A9">
        <w:rPr>
          <w:rFonts w:ascii="Palatino Linotype" w:hAnsi="Palatino Linotype"/>
        </w:rPr>
        <w:t xml:space="preserve">SESIÓN ORDINARIA CELEBRADA EL </w:t>
      </w:r>
      <w:r w:rsidR="00306E8C">
        <w:rPr>
          <w:rFonts w:ascii="Palatino Linotype" w:hAnsi="Palatino Linotype"/>
        </w:rPr>
        <w:t>VEINTISIETE</w:t>
      </w:r>
      <w:r w:rsidR="007E1DF5" w:rsidRPr="007E04A9">
        <w:rPr>
          <w:rFonts w:ascii="Palatino Linotype" w:hAnsi="Palatino Linotype"/>
        </w:rPr>
        <w:t xml:space="preserve"> </w:t>
      </w:r>
      <w:r w:rsidRPr="007E04A9">
        <w:rPr>
          <w:rFonts w:ascii="Palatino Linotype" w:hAnsi="Palatino Linotype"/>
        </w:rPr>
        <w:t xml:space="preserve">DE </w:t>
      </w:r>
      <w:r w:rsidR="00967F3A">
        <w:rPr>
          <w:rFonts w:ascii="Palatino Linotype" w:hAnsi="Palatino Linotype"/>
        </w:rPr>
        <w:t xml:space="preserve">ABRIL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3D66DC10"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4A39" w14:textId="77777777" w:rsidR="00546B6A" w:rsidRDefault="00546B6A">
      <w:r>
        <w:separator/>
      </w:r>
    </w:p>
  </w:endnote>
  <w:endnote w:type="continuationSeparator" w:id="0">
    <w:p w14:paraId="2EE0322C" w14:textId="77777777" w:rsidR="00546B6A" w:rsidRDefault="0054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1405F">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1405F">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1405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1405F">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09EA" w14:textId="77777777" w:rsidR="00546B6A" w:rsidRDefault="00546B6A">
      <w:r>
        <w:separator/>
      </w:r>
    </w:p>
  </w:footnote>
  <w:footnote w:type="continuationSeparator" w:id="0">
    <w:p w14:paraId="16CB157B" w14:textId="77777777" w:rsidR="00546B6A" w:rsidRDefault="00546B6A">
      <w:r>
        <w:continuationSeparator/>
      </w:r>
    </w:p>
  </w:footnote>
  <w:footnote w:id="1">
    <w:p w14:paraId="090CAE8E" w14:textId="77777777" w:rsidR="00652A7D" w:rsidRPr="00946E1F" w:rsidRDefault="00652A7D"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CC2ECB" w:rsidRDefault="00546B6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CC2ECB" w:rsidRDefault="00546B6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0229C576" w:rsidR="00CC2ECB" w:rsidRDefault="00CC2ECB" w:rsidP="000637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37C9">
            <w:rPr>
              <w:rFonts w:ascii="Palatino Linotype" w:eastAsia="Palatino Linotype" w:hAnsi="Palatino Linotype" w:cs="Palatino Linotype"/>
              <w:b/>
              <w:sz w:val="22"/>
              <w:szCs w:val="22"/>
            </w:rPr>
            <w:t>1210</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7566E4F5"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CC2ECB" w:rsidRDefault="00546B6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C2ECB" w14:paraId="2DF8FFB1" w14:textId="77777777" w:rsidTr="005C06F2">
      <w:tc>
        <w:tcPr>
          <w:tcW w:w="3686"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77DE8B54" w:rsidR="00CC2ECB" w:rsidRDefault="00CC2ECB" w:rsidP="004D2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37C9">
            <w:rPr>
              <w:rFonts w:ascii="Palatino Linotype" w:eastAsia="Palatino Linotype" w:hAnsi="Palatino Linotype" w:cs="Palatino Linotype"/>
              <w:b/>
              <w:sz w:val="22"/>
              <w:szCs w:val="22"/>
            </w:rPr>
            <w:t>1</w:t>
          </w:r>
          <w:r w:rsidR="004D2A77">
            <w:rPr>
              <w:rFonts w:ascii="Palatino Linotype" w:eastAsia="Palatino Linotype" w:hAnsi="Palatino Linotype" w:cs="Palatino Linotype"/>
              <w:b/>
              <w:sz w:val="22"/>
              <w:szCs w:val="22"/>
            </w:rPr>
            <w:t>3</w:t>
          </w:r>
          <w:r w:rsidR="000637C9">
            <w:rPr>
              <w:rFonts w:ascii="Palatino Linotype" w:eastAsia="Palatino Linotype" w:hAnsi="Palatino Linotype" w:cs="Palatino Linotype"/>
              <w:b/>
              <w:sz w:val="22"/>
              <w:szCs w:val="22"/>
            </w:rPr>
            <w:t>10</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45F6556C" w14:textId="77777777" w:rsidTr="005C06F2">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41DAC3B4" w:rsidR="00CC2ECB" w:rsidRDefault="00B41363"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w:t>
          </w:r>
        </w:p>
      </w:tc>
    </w:tr>
    <w:tr w:rsidR="00CC2ECB" w14:paraId="37CFF497" w14:textId="77777777" w:rsidTr="005C06F2">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1B2B64F4"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48813D5A" w14:textId="77777777" w:rsidTr="005C06F2">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4849234">
    <w:abstractNumId w:val="1"/>
  </w:num>
  <w:num w:numId="2" w16cid:durableId="143787773">
    <w:abstractNumId w:val="4"/>
  </w:num>
  <w:num w:numId="3" w16cid:durableId="1078790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22796">
    <w:abstractNumId w:val="2"/>
  </w:num>
  <w:num w:numId="5" w16cid:durableId="632904533">
    <w:abstractNumId w:val="3"/>
  </w:num>
  <w:num w:numId="6" w16cid:durableId="9274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46859"/>
    <w:rsid w:val="000637C9"/>
    <w:rsid w:val="00065C05"/>
    <w:rsid w:val="00080B01"/>
    <w:rsid w:val="0008781A"/>
    <w:rsid w:val="00094D24"/>
    <w:rsid w:val="000B351F"/>
    <w:rsid w:val="000E05D5"/>
    <w:rsid w:val="00104359"/>
    <w:rsid w:val="00132EB7"/>
    <w:rsid w:val="001345D2"/>
    <w:rsid w:val="00152814"/>
    <w:rsid w:val="00155BB1"/>
    <w:rsid w:val="0016724F"/>
    <w:rsid w:val="00177E2C"/>
    <w:rsid w:val="001B7F81"/>
    <w:rsid w:val="001D2CCE"/>
    <w:rsid w:val="00201374"/>
    <w:rsid w:val="002132C1"/>
    <w:rsid w:val="0021513F"/>
    <w:rsid w:val="00222C74"/>
    <w:rsid w:val="002921ED"/>
    <w:rsid w:val="002B1490"/>
    <w:rsid w:val="002B5526"/>
    <w:rsid w:val="002F514A"/>
    <w:rsid w:val="00305E1D"/>
    <w:rsid w:val="00306E8C"/>
    <w:rsid w:val="003106C8"/>
    <w:rsid w:val="00321E3A"/>
    <w:rsid w:val="00326F36"/>
    <w:rsid w:val="00336F44"/>
    <w:rsid w:val="00361299"/>
    <w:rsid w:val="003B0F30"/>
    <w:rsid w:val="0040378F"/>
    <w:rsid w:val="004061CB"/>
    <w:rsid w:val="00412775"/>
    <w:rsid w:val="00413158"/>
    <w:rsid w:val="00415C0A"/>
    <w:rsid w:val="0043158B"/>
    <w:rsid w:val="00432584"/>
    <w:rsid w:val="004370A0"/>
    <w:rsid w:val="00454EF9"/>
    <w:rsid w:val="00461357"/>
    <w:rsid w:val="00492410"/>
    <w:rsid w:val="004A6200"/>
    <w:rsid w:val="004B6326"/>
    <w:rsid w:val="004C39C5"/>
    <w:rsid w:val="004D1597"/>
    <w:rsid w:val="004D2A77"/>
    <w:rsid w:val="004E52E4"/>
    <w:rsid w:val="00546B6A"/>
    <w:rsid w:val="005711C4"/>
    <w:rsid w:val="005A158D"/>
    <w:rsid w:val="005A5A44"/>
    <w:rsid w:val="005A5C8C"/>
    <w:rsid w:val="005B1C09"/>
    <w:rsid w:val="005B733C"/>
    <w:rsid w:val="005C06F2"/>
    <w:rsid w:val="005C2E2B"/>
    <w:rsid w:val="005D230F"/>
    <w:rsid w:val="005E33E2"/>
    <w:rsid w:val="005E41B9"/>
    <w:rsid w:val="00610981"/>
    <w:rsid w:val="00633C20"/>
    <w:rsid w:val="00645883"/>
    <w:rsid w:val="00652A7D"/>
    <w:rsid w:val="00681037"/>
    <w:rsid w:val="006B0E27"/>
    <w:rsid w:val="006C4B3F"/>
    <w:rsid w:val="006D6E12"/>
    <w:rsid w:val="006E4DCC"/>
    <w:rsid w:val="00702DD2"/>
    <w:rsid w:val="00706CEB"/>
    <w:rsid w:val="00714E09"/>
    <w:rsid w:val="00715D4B"/>
    <w:rsid w:val="007458AF"/>
    <w:rsid w:val="00770B41"/>
    <w:rsid w:val="00770B73"/>
    <w:rsid w:val="00771A77"/>
    <w:rsid w:val="007C3201"/>
    <w:rsid w:val="007C74D8"/>
    <w:rsid w:val="007D48EA"/>
    <w:rsid w:val="007E04A9"/>
    <w:rsid w:val="007E13D4"/>
    <w:rsid w:val="007E1DF5"/>
    <w:rsid w:val="007E716E"/>
    <w:rsid w:val="007F42C3"/>
    <w:rsid w:val="007F4566"/>
    <w:rsid w:val="007F6360"/>
    <w:rsid w:val="0081515F"/>
    <w:rsid w:val="00833112"/>
    <w:rsid w:val="00856250"/>
    <w:rsid w:val="00860972"/>
    <w:rsid w:val="008D23D2"/>
    <w:rsid w:val="00927933"/>
    <w:rsid w:val="00934DDF"/>
    <w:rsid w:val="009436A7"/>
    <w:rsid w:val="00960A48"/>
    <w:rsid w:val="00967F3A"/>
    <w:rsid w:val="009844BC"/>
    <w:rsid w:val="009924CD"/>
    <w:rsid w:val="00992F01"/>
    <w:rsid w:val="009D0955"/>
    <w:rsid w:val="009F714E"/>
    <w:rsid w:val="009F73DA"/>
    <w:rsid w:val="00A0242D"/>
    <w:rsid w:val="00A25BCC"/>
    <w:rsid w:val="00A60520"/>
    <w:rsid w:val="00A73B83"/>
    <w:rsid w:val="00A84EDB"/>
    <w:rsid w:val="00A8748F"/>
    <w:rsid w:val="00AA4CD6"/>
    <w:rsid w:val="00AA65F2"/>
    <w:rsid w:val="00AC722B"/>
    <w:rsid w:val="00AD301A"/>
    <w:rsid w:val="00AF31E2"/>
    <w:rsid w:val="00B02693"/>
    <w:rsid w:val="00B10CDF"/>
    <w:rsid w:val="00B1405F"/>
    <w:rsid w:val="00B41363"/>
    <w:rsid w:val="00B9537B"/>
    <w:rsid w:val="00BA2B62"/>
    <w:rsid w:val="00BA7FA1"/>
    <w:rsid w:val="00C11095"/>
    <w:rsid w:val="00C54BE2"/>
    <w:rsid w:val="00C94FA1"/>
    <w:rsid w:val="00CA68A2"/>
    <w:rsid w:val="00CC2ECB"/>
    <w:rsid w:val="00CC3E92"/>
    <w:rsid w:val="00D036A8"/>
    <w:rsid w:val="00D324E7"/>
    <w:rsid w:val="00D333FD"/>
    <w:rsid w:val="00D40CD7"/>
    <w:rsid w:val="00D45B87"/>
    <w:rsid w:val="00D45DCB"/>
    <w:rsid w:val="00D82A14"/>
    <w:rsid w:val="00D932F7"/>
    <w:rsid w:val="00DC0D9C"/>
    <w:rsid w:val="00E05CD9"/>
    <w:rsid w:val="00E26D84"/>
    <w:rsid w:val="00E66FF7"/>
    <w:rsid w:val="00E955DE"/>
    <w:rsid w:val="00EA71A8"/>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6FB7-DCAA-4487-A767-5E542986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13049</Words>
  <Characters>71770</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2</cp:revision>
  <dcterms:created xsi:type="dcterms:W3CDTF">2022-05-10T04:04:00Z</dcterms:created>
  <dcterms:modified xsi:type="dcterms:W3CDTF">2022-05-10T04:04:00Z</dcterms:modified>
</cp:coreProperties>
</file>