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36EE7"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Resolución del Pleno del Instituto de Transparencia, Acceso a la Información Pública y Protección de Datos Personales del Estado de México y Municipios, con domicilio en Metepec, Estado de México, de fecha veintisiete de enero de dos mil veintidós.</w:t>
      </w:r>
    </w:p>
    <w:p w14:paraId="0E22952C" w14:textId="77777777" w:rsidR="00E824BC" w:rsidRDefault="00E824BC" w:rsidP="00FE2406">
      <w:pPr>
        <w:spacing w:line="360" w:lineRule="auto"/>
        <w:jc w:val="both"/>
        <w:rPr>
          <w:rFonts w:ascii="Palatino Linotype" w:eastAsia="Palatino Linotype" w:hAnsi="Palatino Linotype" w:cs="Palatino Linotype"/>
        </w:rPr>
      </w:pPr>
    </w:p>
    <w:p w14:paraId="5FC17932" w14:textId="6794305D"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t>VISTO</w:t>
      </w:r>
      <w:r>
        <w:rPr>
          <w:rFonts w:ascii="Palatino Linotype" w:eastAsia="Palatino Linotype" w:hAnsi="Palatino Linotype" w:cs="Palatino Linotype"/>
        </w:rPr>
        <w:t xml:space="preserve"> el expediente formado con motivo del recurso de revisión </w:t>
      </w:r>
      <w:bookmarkStart w:id="0" w:name="_GoBack"/>
      <w:bookmarkEnd w:id="0"/>
      <w:r>
        <w:rPr>
          <w:rFonts w:ascii="Palatino Linotype" w:eastAsia="Palatino Linotype" w:hAnsi="Palatino Linotype" w:cs="Palatino Linotype"/>
          <w:b/>
        </w:rPr>
        <w:t>05732/INFOEM/IP/RR/2021</w:t>
      </w:r>
      <w:r w:rsidR="00D0332E">
        <w:rPr>
          <w:rFonts w:ascii="Palatino Linotype" w:eastAsia="Palatino Linotype" w:hAnsi="Palatino Linotype" w:cs="Palatino Linotype"/>
          <w:b/>
        </w:rPr>
        <w:t xml:space="preserve">, </w:t>
      </w:r>
      <w:r>
        <w:rPr>
          <w:rFonts w:ascii="Palatino Linotype" w:eastAsia="Palatino Linotype" w:hAnsi="Palatino Linotype" w:cs="Palatino Linotype"/>
          <w:b/>
        </w:rPr>
        <w:t>05734/INFOEM/IP/RR/2021</w:t>
      </w:r>
      <w:r>
        <w:rPr>
          <w:rFonts w:ascii="Palatino Linotype" w:eastAsia="Palatino Linotype" w:hAnsi="Palatino Linotype" w:cs="Palatino Linotype"/>
        </w:rPr>
        <w:t>,</w:t>
      </w:r>
      <w:r>
        <w:rPr>
          <w:rFonts w:ascii="Palatino Linotype" w:eastAsia="Palatino Linotype" w:hAnsi="Palatino Linotype" w:cs="Palatino Linotype"/>
          <w:b/>
        </w:rPr>
        <w:t xml:space="preserve"> 05736/INFOEM/IP/RR/2021 </w:t>
      </w:r>
      <w:r>
        <w:rPr>
          <w:rFonts w:ascii="Palatino Linotype" w:eastAsia="Palatino Linotype" w:hAnsi="Palatino Linotype" w:cs="Palatino Linotype"/>
        </w:rPr>
        <w:t>y</w:t>
      </w:r>
      <w:r>
        <w:rPr>
          <w:rFonts w:ascii="Palatino Linotype" w:eastAsia="Palatino Linotype" w:hAnsi="Palatino Linotype" w:cs="Palatino Linotype"/>
          <w:b/>
        </w:rPr>
        <w:t xml:space="preserve"> 05738/INFOEM/IP/RR/2021 </w:t>
      </w:r>
      <w:r>
        <w:rPr>
          <w:rFonts w:ascii="Palatino Linotype" w:eastAsia="Palatino Linotype" w:hAnsi="Palatino Linotype" w:cs="Palatino Linotype"/>
        </w:rPr>
        <w:t>promovido por una persona de manera anónima, a quien en lo sucesivo se le denominará</w:t>
      </w:r>
      <w:r>
        <w:rPr>
          <w:rFonts w:ascii="Palatino Linotype" w:eastAsia="Palatino Linotype" w:hAnsi="Palatino Linotype" w:cs="Palatino Linotype"/>
          <w:b/>
        </w:rPr>
        <w:t xml:space="preserve"> EL RECURRENTE</w:t>
      </w:r>
      <w:r>
        <w:rPr>
          <w:rFonts w:ascii="Palatino Linotype" w:eastAsia="Palatino Linotype" w:hAnsi="Palatino Linotype" w:cs="Palatino Linotype"/>
        </w:rPr>
        <w:t xml:space="preserve">, contra la respuesta emitida por parte del </w:t>
      </w:r>
      <w:r>
        <w:rPr>
          <w:rFonts w:ascii="Palatino Linotype" w:eastAsia="Palatino Linotype" w:hAnsi="Palatino Linotype" w:cs="Palatino Linotype"/>
          <w:b/>
        </w:rPr>
        <w:t>Ayuntamiento de Tepetlixpa</w:t>
      </w:r>
      <w:r>
        <w:rPr>
          <w:rFonts w:ascii="Palatino Linotype" w:eastAsia="Palatino Linotype" w:hAnsi="Palatino Linotype" w:cs="Palatino Linotype"/>
        </w:rPr>
        <w:t>,</w:t>
      </w:r>
      <w:r>
        <w:rPr>
          <w:rFonts w:ascii="Palatino Linotype" w:eastAsia="Palatino Linotype" w:hAnsi="Palatino Linotype" w:cs="Palatino Linotype"/>
          <w:b/>
        </w:rPr>
        <w:t xml:space="preserve"> </w:t>
      </w:r>
      <w:r>
        <w:rPr>
          <w:rFonts w:ascii="Palatino Linotype" w:eastAsia="Palatino Linotype" w:hAnsi="Palatino Linotype" w:cs="Palatino Linotype"/>
        </w:rPr>
        <w:t xml:space="preserve">que en lo sucesivo se le denominará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se procede a dictar la presente resolución con base en lo siguiente: </w:t>
      </w:r>
    </w:p>
    <w:p w14:paraId="1C53668E" w14:textId="77777777" w:rsidR="00E824BC" w:rsidRDefault="00E824BC" w:rsidP="00FE2406">
      <w:pPr>
        <w:spacing w:line="360" w:lineRule="auto"/>
        <w:jc w:val="center"/>
        <w:rPr>
          <w:rFonts w:ascii="Palatino Linotype" w:eastAsia="Palatino Linotype" w:hAnsi="Palatino Linotype" w:cs="Palatino Linotype"/>
          <w:b/>
        </w:rPr>
      </w:pPr>
    </w:p>
    <w:p w14:paraId="469224EF" w14:textId="77777777" w:rsidR="00E824BC" w:rsidRDefault="00772678" w:rsidP="00FE2406">
      <w:pPr>
        <w:spacing w:line="360" w:lineRule="auto"/>
        <w:jc w:val="center"/>
        <w:rPr>
          <w:rFonts w:ascii="Palatino Linotype" w:eastAsia="Palatino Linotype" w:hAnsi="Palatino Linotype" w:cs="Palatino Linotype"/>
          <w:b/>
        </w:rPr>
      </w:pPr>
      <w:r>
        <w:rPr>
          <w:rFonts w:ascii="Palatino Linotype" w:eastAsia="Palatino Linotype" w:hAnsi="Palatino Linotype" w:cs="Palatino Linotype"/>
          <w:b/>
        </w:rPr>
        <w:t>RESULTANDO</w:t>
      </w:r>
    </w:p>
    <w:p w14:paraId="6F9FCC5F" w14:textId="77777777" w:rsidR="00E824BC" w:rsidRDefault="00E824BC" w:rsidP="00FE2406">
      <w:pPr>
        <w:pBdr>
          <w:top w:val="nil"/>
          <w:left w:val="nil"/>
          <w:bottom w:val="nil"/>
          <w:right w:val="nil"/>
          <w:between w:val="nil"/>
        </w:pBdr>
        <w:spacing w:line="360" w:lineRule="auto"/>
        <w:ind w:left="567"/>
        <w:jc w:val="both"/>
        <w:rPr>
          <w:rFonts w:ascii="Palatino Linotype" w:eastAsia="Palatino Linotype" w:hAnsi="Palatino Linotype" w:cs="Palatino Linotype"/>
          <w:b/>
          <w:color w:val="000000"/>
        </w:rPr>
      </w:pPr>
    </w:p>
    <w:p w14:paraId="607059C3" w14:textId="77777777" w:rsidR="00E824BC" w:rsidRDefault="00772678" w:rsidP="00FE2406">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 xml:space="preserve">I. </w:t>
      </w:r>
      <w:r>
        <w:rPr>
          <w:rFonts w:ascii="Palatino Linotype" w:eastAsia="Palatino Linotype" w:hAnsi="Palatino Linotype" w:cs="Palatino Linotype"/>
        </w:rPr>
        <w:t xml:space="preserve">El </w:t>
      </w:r>
      <w:r>
        <w:rPr>
          <w:rFonts w:ascii="Palatino Linotype" w:eastAsia="Palatino Linotype" w:hAnsi="Palatino Linotype" w:cs="Palatino Linotype"/>
          <w:b/>
        </w:rPr>
        <w:t>veintiséis de septiembre de dos mil veintiuno</w:t>
      </w:r>
      <w:r>
        <w:rPr>
          <w:rFonts w:ascii="Palatino Linotype" w:eastAsia="Palatino Linotype" w:hAnsi="Palatino Linotype" w:cs="Palatino Linotype"/>
        </w:rPr>
        <w:t xml:space="preserve"> </w:t>
      </w:r>
      <w:r>
        <w:rPr>
          <w:rFonts w:ascii="Palatino Linotype" w:eastAsia="Palatino Linotype" w:hAnsi="Palatino Linotype" w:cs="Palatino Linotype"/>
          <w:b/>
        </w:rPr>
        <w:t>EL RECURRENTE</w:t>
      </w:r>
      <w:r>
        <w:rPr>
          <w:rFonts w:ascii="Palatino Linotype" w:eastAsia="Palatino Linotype" w:hAnsi="Palatino Linotype" w:cs="Palatino Linotype"/>
        </w:rPr>
        <w:t xml:space="preserve"> presentó a través del Sistema de Acceso a la Información Mexiquense, en lo subsecuente </w:t>
      </w:r>
      <w:r>
        <w:rPr>
          <w:rFonts w:ascii="Palatino Linotype" w:eastAsia="Palatino Linotype" w:hAnsi="Palatino Linotype" w:cs="Palatino Linotype"/>
          <w:b/>
        </w:rPr>
        <w:t>EL SAIMEX,</w:t>
      </w:r>
      <w:r>
        <w:rPr>
          <w:rFonts w:ascii="Palatino Linotype" w:eastAsia="Palatino Linotype" w:hAnsi="Palatino Linotype" w:cs="Palatino Linotype"/>
        </w:rPr>
        <w:t xml:space="preserve"> ante </w:t>
      </w:r>
      <w:r>
        <w:rPr>
          <w:rFonts w:ascii="Palatino Linotype" w:eastAsia="Palatino Linotype" w:hAnsi="Palatino Linotype" w:cs="Palatino Linotype"/>
          <w:b/>
        </w:rPr>
        <w:t>EL SUJETO OBLIGADO</w:t>
      </w:r>
      <w:r>
        <w:rPr>
          <w:rFonts w:ascii="Palatino Linotype" w:eastAsia="Palatino Linotype" w:hAnsi="Palatino Linotype" w:cs="Palatino Linotype"/>
        </w:rPr>
        <w:t>, las solicitudes de acceso a la información pública</w:t>
      </w:r>
      <w:r>
        <w:rPr>
          <w:rFonts w:ascii="Palatino Linotype" w:eastAsia="Palatino Linotype" w:hAnsi="Palatino Linotype" w:cs="Palatino Linotype"/>
          <w:b/>
        </w:rPr>
        <w:t>,</w:t>
      </w:r>
      <w:r>
        <w:rPr>
          <w:rFonts w:ascii="Palatino Linotype" w:eastAsia="Palatino Linotype" w:hAnsi="Palatino Linotype" w:cs="Palatino Linotype"/>
        </w:rPr>
        <w:t xml:space="preserve"> mediante las cuales requirió lo siguiente:</w:t>
      </w:r>
    </w:p>
    <w:p w14:paraId="5130746A" w14:textId="77777777" w:rsidR="00E824BC" w:rsidRDefault="00E824BC" w:rsidP="00FE2406">
      <w:pPr>
        <w:spacing w:line="360" w:lineRule="auto"/>
        <w:jc w:val="both"/>
        <w:rPr>
          <w:rFonts w:ascii="Palatino Linotype" w:eastAsia="Palatino Linotype" w:hAnsi="Palatino Linotype" w:cs="Palatino Linotype"/>
          <w:b/>
        </w:rPr>
      </w:pPr>
    </w:p>
    <w:p w14:paraId="4AEEF9E6" w14:textId="77777777" w:rsidR="00E824BC" w:rsidRDefault="00772678" w:rsidP="00FE2406">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00247/TEPETLIX/IP/2021</w:t>
      </w:r>
    </w:p>
    <w:p w14:paraId="4CF5BBE7" w14:textId="77777777" w:rsidR="00E824BC" w:rsidRDefault="00772678" w:rsidP="00FE2406">
      <w:pPr>
        <w:ind w:left="709" w:right="709"/>
        <w:jc w:val="both"/>
        <w:rPr>
          <w:rFonts w:ascii="Palatino Linotype" w:eastAsia="Palatino Linotype" w:hAnsi="Palatino Linotype" w:cs="Palatino Linotype"/>
          <w:b/>
        </w:rPr>
      </w:pPr>
      <w:r>
        <w:rPr>
          <w:rFonts w:ascii="Palatino Linotype" w:eastAsia="Palatino Linotype" w:hAnsi="Palatino Linotype" w:cs="Palatino Linotype"/>
          <w:i/>
          <w:sz w:val="22"/>
          <w:szCs w:val="22"/>
        </w:rPr>
        <w:t>“TODAS LAS ACTAS DE CABILDO REALIZADAS EN EL EJERCICIO FISCAL 2019” (Sic)</w:t>
      </w:r>
    </w:p>
    <w:p w14:paraId="0A367479" w14:textId="77777777" w:rsidR="00E824BC" w:rsidRDefault="00772678" w:rsidP="00FE2406">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lastRenderedPageBreak/>
        <w:t>00248/TEPETLIX/IP/2021</w:t>
      </w:r>
    </w:p>
    <w:p w14:paraId="661EFA7B" w14:textId="77777777" w:rsidR="00E824BC" w:rsidRDefault="00772678" w:rsidP="00FE2406">
      <w:pPr>
        <w:ind w:left="709" w:right="709"/>
        <w:jc w:val="both"/>
        <w:rPr>
          <w:rFonts w:ascii="Palatino Linotype" w:eastAsia="Palatino Linotype" w:hAnsi="Palatino Linotype" w:cs="Palatino Linotype"/>
          <w:b/>
        </w:rPr>
      </w:pPr>
      <w:r>
        <w:rPr>
          <w:rFonts w:ascii="Palatino Linotype" w:eastAsia="Palatino Linotype" w:hAnsi="Palatino Linotype" w:cs="Palatino Linotype"/>
          <w:i/>
          <w:sz w:val="22"/>
          <w:szCs w:val="22"/>
        </w:rPr>
        <w:t>“TODAS LAS ACTAS DE CABILDO REALIZADAS EN EL EJERCICIO FISCAL 2020” (Sic)</w:t>
      </w:r>
    </w:p>
    <w:p w14:paraId="4D7C272F" w14:textId="77777777" w:rsidR="00E824BC" w:rsidRDefault="00772678" w:rsidP="00FE2406">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00249/TEPETLIX/IP/2021</w:t>
      </w:r>
    </w:p>
    <w:p w14:paraId="2EF8227F" w14:textId="77777777" w:rsidR="00E824BC" w:rsidRDefault="00772678" w:rsidP="00FE2406">
      <w:pPr>
        <w:ind w:left="709" w:right="709"/>
        <w:jc w:val="both"/>
        <w:rPr>
          <w:rFonts w:ascii="Palatino Linotype" w:eastAsia="Palatino Linotype" w:hAnsi="Palatino Linotype" w:cs="Palatino Linotype"/>
          <w:b/>
        </w:rPr>
      </w:pPr>
      <w:r>
        <w:rPr>
          <w:rFonts w:ascii="Palatino Linotype" w:eastAsia="Palatino Linotype" w:hAnsi="Palatino Linotype" w:cs="Palatino Linotype"/>
          <w:i/>
          <w:sz w:val="22"/>
          <w:szCs w:val="22"/>
        </w:rPr>
        <w:t>“TODAS LAS ACTAS DE CABILDO REALIZADAS EN EL EJERCICIO FISCAL 2019.” (Sic)</w:t>
      </w:r>
    </w:p>
    <w:p w14:paraId="0050359C" w14:textId="77777777" w:rsidR="00E824BC" w:rsidRDefault="00772678" w:rsidP="00FE2406">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00250/TEPETLIX/IP/2021</w:t>
      </w:r>
    </w:p>
    <w:p w14:paraId="2025627D" w14:textId="77777777" w:rsidR="00E824BC" w:rsidRDefault="00772678" w:rsidP="00FE2406">
      <w:pPr>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“TODAS LAS ACTAS DE CABILDO REALIZADAS EN EL EJERCICIO FISCAL 2021.” (Sic)</w:t>
      </w:r>
    </w:p>
    <w:p w14:paraId="55400D75" w14:textId="77777777" w:rsidR="00E824BC" w:rsidRDefault="00E824BC" w:rsidP="00FE2406">
      <w:pPr>
        <w:ind w:left="709" w:right="709"/>
        <w:jc w:val="both"/>
        <w:rPr>
          <w:rFonts w:ascii="Palatino Linotype" w:eastAsia="Palatino Linotype" w:hAnsi="Palatino Linotype" w:cs="Palatino Linotype"/>
          <w:i/>
          <w:sz w:val="22"/>
          <w:szCs w:val="22"/>
        </w:rPr>
      </w:pPr>
    </w:p>
    <w:p w14:paraId="155124A3" w14:textId="77777777" w:rsidR="00E824BC" w:rsidRDefault="00772678" w:rsidP="00FE2406">
      <w:pPr>
        <w:spacing w:line="360" w:lineRule="auto"/>
        <w:ind w:right="709"/>
        <w:jc w:val="both"/>
        <w:rPr>
          <w:rFonts w:ascii="Palatino Linotype" w:eastAsia="Palatino Linotype" w:hAnsi="Palatino Linotype" w:cs="Palatino Linotype"/>
          <w:b/>
        </w:rPr>
      </w:pPr>
      <w:bookmarkStart w:id="1" w:name="_heading=h.gjdgxs" w:colFirst="0" w:colLast="0"/>
      <w:bookmarkEnd w:id="1"/>
      <w:r>
        <w:rPr>
          <w:rFonts w:ascii="Palatino Linotype" w:eastAsia="Palatino Linotype" w:hAnsi="Palatino Linotype" w:cs="Palatino Linotype"/>
          <w:b/>
        </w:rPr>
        <w:t xml:space="preserve">Modalidad de entrega: </w:t>
      </w:r>
      <w:r>
        <w:rPr>
          <w:rFonts w:ascii="Palatino Linotype" w:eastAsia="Palatino Linotype" w:hAnsi="Palatino Linotype" w:cs="Palatino Linotype"/>
        </w:rPr>
        <w:t xml:space="preserve">vía </w:t>
      </w:r>
      <w:r>
        <w:rPr>
          <w:rFonts w:ascii="Palatino Linotype" w:eastAsia="Palatino Linotype" w:hAnsi="Palatino Linotype" w:cs="Palatino Linotype"/>
          <w:b/>
        </w:rPr>
        <w:t>SAIMEX.</w:t>
      </w:r>
    </w:p>
    <w:p w14:paraId="64F7409A" w14:textId="77777777" w:rsidR="00E824BC" w:rsidRDefault="00E824BC" w:rsidP="00FE2406">
      <w:pPr>
        <w:spacing w:line="360" w:lineRule="auto"/>
        <w:ind w:right="709"/>
        <w:jc w:val="both"/>
        <w:rPr>
          <w:rFonts w:ascii="Palatino Linotype" w:eastAsia="Palatino Linotype" w:hAnsi="Palatino Linotype" w:cs="Palatino Linotype"/>
        </w:rPr>
      </w:pPr>
    </w:p>
    <w:p w14:paraId="7C764768" w14:textId="508C0864" w:rsidR="00E824BC" w:rsidRDefault="00772678" w:rsidP="00FE2406">
      <w:pPr>
        <w:widowControl w:val="0"/>
        <w:tabs>
          <w:tab w:val="left" w:pos="0"/>
        </w:tabs>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t>II.</w:t>
      </w:r>
      <w:r>
        <w:rPr>
          <w:rFonts w:ascii="Palatino Linotype" w:eastAsia="Palatino Linotype" w:hAnsi="Palatino Linotype" w:cs="Palatino Linotype"/>
        </w:rPr>
        <w:t xml:space="preserve"> El </w:t>
      </w:r>
      <w:r>
        <w:rPr>
          <w:rFonts w:ascii="Palatino Linotype" w:eastAsia="Palatino Linotype" w:hAnsi="Palatino Linotype" w:cs="Palatino Linotype"/>
          <w:b/>
        </w:rPr>
        <w:t>dieciocho de octubre de dos mil veintiuno</w:t>
      </w:r>
      <w:r>
        <w:rPr>
          <w:rFonts w:ascii="Palatino Linotype" w:eastAsia="Palatino Linotype" w:hAnsi="Palatino Linotype" w:cs="Palatino Linotype"/>
        </w:rPr>
        <w:t xml:space="preserve">,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notificó al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la ampliación del plazo para contestar las peticiones; por lo que el </w:t>
      </w:r>
      <w:r>
        <w:rPr>
          <w:rFonts w:ascii="Palatino Linotype" w:eastAsia="Palatino Linotype" w:hAnsi="Palatino Linotype" w:cs="Palatino Linotype"/>
          <w:b/>
        </w:rPr>
        <w:t xml:space="preserve">veintisiete de octubre de dos mil veintiuno </w:t>
      </w:r>
      <w:r>
        <w:rPr>
          <w:rFonts w:ascii="Palatino Linotype" w:eastAsia="Palatino Linotype" w:hAnsi="Palatino Linotype" w:cs="Palatino Linotype"/>
        </w:rPr>
        <w:t xml:space="preserve">dio respuesta a las solicitudes de información pública requerida por </w:t>
      </w:r>
      <w:r>
        <w:rPr>
          <w:rFonts w:ascii="Palatino Linotype" w:eastAsia="Palatino Linotype" w:hAnsi="Palatino Linotype" w:cs="Palatino Linotype"/>
          <w:b/>
        </w:rPr>
        <w:t>EL RECURRENTE</w:t>
      </w:r>
      <w:r>
        <w:rPr>
          <w:rFonts w:ascii="Palatino Linotype" w:eastAsia="Palatino Linotype" w:hAnsi="Palatino Linotype" w:cs="Palatino Linotype"/>
        </w:rPr>
        <w:t>, a través del SAIMEX, contestando en los mismos términos todas las solicitudes de información antes señaladas, haciendo alusión a la remisión de la información, en la forma que enseguida se transcribe:</w:t>
      </w:r>
    </w:p>
    <w:p w14:paraId="609E5D76" w14:textId="77777777" w:rsidR="00E824BC" w:rsidRDefault="00E824BC" w:rsidP="00FE2406">
      <w:pPr>
        <w:widowControl w:val="0"/>
        <w:tabs>
          <w:tab w:val="left" w:pos="0"/>
        </w:tabs>
        <w:spacing w:line="360" w:lineRule="auto"/>
        <w:jc w:val="both"/>
        <w:rPr>
          <w:rFonts w:ascii="Palatino Linotype" w:eastAsia="Palatino Linotype" w:hAnsi="Palatino Linotype" w:cs="Palatino Linotype"/>
        </w:rPr>
      </w:pPr>
    </w:p>
    <w:p w14:paraId="36745B4C"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“En respuesta a la solicitud recibida, nos permitimos hacer de su conocimiento que con fundamento en el artículo 53, Fracciones: I, V y VI de la Ley de Transparencia y Acceso a la Información Pública del Estado de México y Municipios, le contestamos que:</w:t>
      </w:r>
    </w:p>
    <w:p w14:paraId="28DF4DE0" w14:textId="77777777" w:rsidR="00E824BC" w:rsidRDefault="00E824BC" w:rsidP="00FE2406">
      <w:pPr>
        <w:widowControl w:val="0"/>
        <w:ind w:left="851" w:right="902"/>
        <w:jc w:val="both"/>
        <w:rPr>
          <w:rFonts w:ascii="Palatino Linotype" w:eastAsia="Palatino Linotype" w:hAnsi="Palatino Linotype" w:cs="Palatino Linotype"/>
          <w:i/>
          <w:sz w:val="22"/>
          <w:szCs w:val="22"/>
        </w:rPr>
      </w:pPr>
    </w:p>
    <w:p w14:paraId="19BB46FF"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Buen día, le proporciono el link donde usted puede observar la respuesta a su solicitud.</w:t>
      </w:r>
    </w:p>
    <w:p w14:paraId="409F5617" w14:textId="77777777" w:rsidR="00E824BC" w:rsidRDefault="00E824BC" w:rsidP="00FE2406">
      <w:pPr>
        <w:widowControl w:val="0"/>
        <w:ind w:left="851" w:right="902"/>
        <w:jc w:val="both"/>
        <w:rPr>
          <w:rFonts w:ascii="Palatino Linotype" w:eastAsia="Palatino Linotype" w:hAnsi="Palatino Linotype" w:cs="Palatino Linotype"/>
          <w:i/>
          <w:sz w:val="22"/>
          <w:szCs w:val="22"/>
        </w:rPr>
      </w:pPr>
    </w:p>
    <w:p w14:paraId="3BB685B3"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lastRenderedPageBreak/>
        <w:t>https://www.tepetlixpa.gob.mx/actas-de-cabildo”</w:t>
      </w:r>
      <w:r>
        <w:rPr>
          <w:i/>
          <w:sz w:val="22"/>
          <w:szCs w:val="22"/>
        </w:rPr>
        <w:t>(Sic)</w:t>
      </w:r>
    </w:p>
    <w:p w14:paraId="6433F998" w14:textId="77777777" w:rsidR="00E824BC" w:rsidRDefault="00E824BC" w:rsidP="00FE2406">
      <w:pPr>
        <w:widowControl w:val="0"/>
        <w:tabs>
          <w:tab w:val="left" w:pos="0"/>
        </w:tabs>
        <w:spacing w:line="360" w:lineRule="auto"/>
        <w:jc w:val="both"/>
        <w:rPr>
          <w:rFonts w:ascii="Palatino Linotype" w:eastAsia="Palatino Linotype" w:hAnsi="Palatino Linotype" w:cs="Palatino Linotype"/>
        </w:rPr>
      </w:pPr>
    </w:p>
    <w:p w14:paraId="38FB26B1" w14:textId="272AC690" w:rsidR="00E824BC" w:rsidRDefault="00772678" w:rsidP="00FE2406">
      <w:pPr>
        <w:widowControl w:val="0"/>
        <w:pBdr>
          <w:top w:val="nil"/>
          <w:left w:val="nil"/>
          <w:bottom w:val="nil"/>
          <w:right w:val="nil"/>
          <w:between w:val="nil"/>
        </w:pBdr>
        <w:tabs>
          <w:tab w:val="left" w:pos="0"/>
        </w:tabs>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color w:val="000000"/>
        </w:rPr>
        <w:t>III.</w:t>
      </w:r>
      <w:r>
        <w:rPr>
          <w:rFonts w:ascii="Palatino Linotype" w:eastAsia="Palatino Linotype" w:hAnsi="Palatino Linotype" w:cs="Palatino Linotype"/>
          <w:color w:val="000000"/>
        </w:rPr>
        <w:t xml:space="preserve"> Inconforme con la respuesta, el </w:t>
      </w:r>
      <w:r>
        <w:rPr>
          <w:rFonts w:ascii="Palatino Linotype" w:eastAsia="Palatino Linotype" w:hAnsi="Palatino Linotype" w:cs="Palatino Linotype"/>
          <w:b/>
          <w:color w:val="000000"/>
        </w:rPr>
        <w:t>dieciocho de noviembre de dos mil veintiuno</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b/>
          <w:color w:val="000000"/>
        </w:rPr>
        <w:t>EL RECURRENTE</w:t>
      </w:r>
      <w:r>
        <w:rPr>
          <w:rFonts w:ascii="Palatino Linotype" w:eastAsia="Palatino Linotype" w:hAnsi="Palatino Linotype" w:cs="Palatino Linotype"/>
          <w:color w:val="000000"/>
        </w:rPr>
        <w:t>, a través del</w:t>
      </w:r>
      <w:r>
        <w:rPr>
          <w:rFonts w:ascii="Palatino Linotype" w:eastAsia="Palatino Linotype" w:hAnsi="Palatino Linotype" w:cs="Palatino Linotype"/>
          <w:b/>
          <w:color w:val="000000"/>
        </w:rPr>
        <w:t xml:space="preserve"> SAIMEX, </w:t>
      </w:r>
      <w:r>
        <w:rPr>
          <w:rFonts w:ascii="Palatino Linotype" w:eastAsia="Palatino Linotype" w:hAnsi="Palatino Linotype" w:cs="Palatino Linotype"/>
          <w:color w:val="000000"/>
        </w:rPr>
        <w:t xml:space="preserve">interpuso </w:t>
      </w:r>
      <w:r>
        <w:rPr>
          <w:rFonts w:ascii="Palatino Linotype" w:eastAsia="Palatino Linotype" w:hAnsi="Palatino Linotype" w:cs="Palatino Linotype"/>
        </w:rPr>
        <w:t xml:space="preserve">los recursos </w:t>
      </w:r>
      <w:r>
        <w:rPr>
          <w:rFonts w:ascii="Palatino Linotype" w:eastAsia="Palatino Linotype" w:hAnsi="Palatino Linotype" w:cs="Palatino Linotype"/>
          <w:color w:val="000000"/>
        </w:rPr>
        <w:t xml:space="preserve">de revisión objeto del presente estudio, </w:t>
      </w:r>
      <w:r>
        <w:rPr>
          <w:rFonts w:ascii="Palatino Linotype" w:eastAsia="Palatino Linotype" w:hAnsi="Palatino Linotype" w:cs="Palatino Linotype"/>
        </w:rPr>
        <w:t xml:space="preserve">a los que se les asignaron los números </w:t>
      </w:r>
      <w:r>
        <w:rPr>
          <w:rFonts w:ascii="Palatino Linotype" w:eastAsia="Palatino Linotype" w:hAnsi="Palatino Linotype" w:cs="Palatino Linotype"/>
          <w:color w:val="000000"/>
        </w:rPr>
        <w:t xml:space="preserve">al rubro citados, y en </w:t>
      </w:r>
      <w:r>
        <w:rPr>
          <w:rFonts w:ascii="Palatino Linotype" w:eastAsia="Palatino Linotype" w:hAnsi="Palatino Linotype" w:cs="Palatino Linotype"/>
        </w:rPr>
        <w:t>los</w:t>
      </w:r>
      <w:r>
        <w:rPr>
          <w:rFonts w:ascii="Palatino Linotype" w:eastAsia="Palatino Linotype" w:hAnsi="Palatino Linotype" w:cs="Palatino Linotype"/>
          <w:color w:val="000000"/>
        </w:rPr>
        <w:t xml:space="preserve"> c</w:t>
      </w:r>
      <w:r>
        <w:rPr>
          <w:rFonts w:ascii="Palatino Linotype" w:eastAsia="Palatino Linotype" w:hAnsi="Palatino Linotype" w:cs="Palatino Linotype"/>
        </w:rPr>
        <w:t xml:space="preserve">uales </w:t>
      </w:r>
      <w:r>
        <w:rPr>
          <w:rFonts w:ascii="Palatino Linotype" w:eastAsia="Palatino Linotype" w:hAnsi="Palatino Linotype" w:cs="Palatino Linotype"/>
          <w:color w:val="000000"/>
        </w:rPr>
        <w:t>señaló como acto impugnado</w:t>
      </w:r>
      <w:r>
        <w:rPr>
          <w:rFonts w:ascii="Palatino Linotype" w:eastAsia="Palatino Linotype" w:hAnsi="Palatino Linotype" w:cs="Palatino Linotype"/>
        </w:rPr>
        <w:t xml:space="preserve"> los que se señalan a continuación: </w:t>
      </w:r>
    </w:p>
    <w:p w14:paraId="1608326A" w14:textId="77777777" w:rsidR="00E824BC" w:rsidRDefault="00E824BC" w:rsidP="00FE2406">
      <w:pPr>
        <w:jc w:val="both"/>
        <w:rPr>
          <w:rFonts w:ascii="Palatino Linotype" w:eastAsia="Palatino Linotype" w:hAnsi="Palatino Linotype" w:cs="Palatino Linotype"/>
          <w:b/>
          <w:sz w:val="22"/>
          <w:szCs w:val="22"/>
        </w:rPr>
      </w:pPr>
    </w:p>
    <w:p w14:paraId="5382C561" w14:textId="77777777" w:rsidR="00E824BC" w:rsidRDefault="00772678" w:rsidP="00FE2406">
      <w:pPr>
        <w:ind w:left="850" w:right="899"/>
        <w:jc w:val="both"/>
        <w:rPr>
          <w:rFonts w:ascii="Palatino Linotype" w:eastAsia="Palatino Linotype" w:hAnsi="Palatino Linotype" w:cs="Palatino Linotype"/>
        </w:rPr>
      </w:pPr>
      <w:r>
        <w:rPr>
          <w:rFonts w:ascii="Palatino Linotype" w:eastAsia="Palatino Linotype" w:hAnsi="Palatino Linotype" w:cs="Palatino Linotype"/>
          <w:b/>
          <w:sz w:val="22"/>
          <w:szCs w:val="22"/>
        </w:rPr>
        <w:t xml:space="preserve">05732/INFOEM/IP/RR/2021 </w:t>
      </w:r>
    </w:p>
    <w:p w14:paraId="5ADAEEE8" w14:textId="77777777" w:rsidR="00E824BC" w:rsidRDefault="00E824BC" w:rsidP="00FE2406">
      <w:pPr>
        <w:ind w:left="850" w:right="899"/>
        <w:jc w:val="both"/>
        <w:rPr>
          <w:rFonts w:ascii="Palatino Linotype" w:eastAsia="Palatino Linotype" w:hAnsi="Palatino Linotype" w:cs="Palatino Linotype"/>
        </w:rPr>
      </w:pPr>
    </w:p>
    <w:p w14:paraId="1C0C1DDD"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17E26A20" w14:textId="77777777" w:rsidR="00E824BC" w:rsidRDefault="00E824BC" w:rsidP="00FE2406">
      <w:pPr>
        <w:ind w:left="850" w:right="899"/>
        <w:jc w:val="both"/>
        <w:rPr>
          <w:rFonts w:ascii="Palatino Linotype" w:eastAsia="Palatino Linotype" w:hAnsi="Palatino Linotype" w:cs="Palatino Linotype"/>
          <w:i/>
          <w:sz w:val="22"/>
          <w:szCs w:val="22"/>
        </w:rPr>
      </w:pPr>
    </w:p>
    <w:p w14:paraId="640E01FF"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05734/INFOEM/IP/RR/2021 </w:t>
      </w:r>
    </w:p>
    <w:p w14:paraId="086F9292" w14:textId="77777777" w:rsidR="00E824BC" w:rsidRDefault="00E824BC" w:rsidP="00FE2406">
      <w:pPr>
        <w:ind w:left="850" w:right="899"/>
        <w:jc w:val="both"/>
        <w:rPr>
          <w:rFonts w:ascii="Palatino Linotype" w:eastAsia="Palatino Linotype" w:hAnsi="Palatino Linotype" w:cs="Palatino Linotype"/>
          <w:b/>
          <w:sz w:val="22"/>
          <w:szCs w:val="22"/>
        </w:rPr>
      </w:pPr>
    </w:p>
    <w:p w14:paraId="3B5692FA"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0351538C" w14:textId="77777777" w:rsidR="00E824BC" w:rsidRDefault="00E824BC" w:rsidP="00FE2406">
      <w:pPr>
        <w:ind w:left="850" w:right="899"/>
        <w:jc w:val="both"/>
        <w:rPr>
          <w:rFonts w:ascii="Palatino Linotype" w:eastAsia="Palatino Linotype" w:hAnsi="Palatino Linotype" w:cs="Palatino Linotype"/>
          <w:b/>
          <w:sz w:val="22"/>
          <w:szCs w:val="22"/>
        </w:rPr>
      </w:pPr>
    </w:p>
    <w:p w14:paraId="61FEC35A"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05736/INFOEM/IP/RR/2021 </w:t>
      </w:r>
    </w:p>
    <w:p w14:paraId="059934F5" w14:textId="77777777" w:rsidR="00E824BC" w:rsidRDefault="00E824BC" w:rsidP="00FE2406">
      <w:pPr>
        <w:ind w:left="850" w:right="899"/>
        <w:jc w:val="both"/>
        <w:rPr>
          <w:rFonts w:ascii="Palatino Linotype" w:eastAsia="Palatino Linotype" w:hAnsi="Palatino Linotype" w:cs="Palatino Linotype"/>
          <w:b/>
          <w:sz w:val="22"/>
          <w:szCs w:val="22"/>
        </w:rPr>
      </w:pPr>
    </w:p>
    <w:p w14:paraId="61915CA4"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209BDDEA" w14:textId="77777777" w:rsidR="00E824BC" w:rsidRDefault="00E824BC" w:rsidP="00FE2406">
      <w:pPr>
        <w:ind w:left="850" w:right="899"/>
        <w:jc w:val="both"/>
        <w:rPr>
          <w:rFonts w:ascii="Palatino Linotype" w:eastAsia="Palatino Linotype" w:hAnsi="Palatino Linotype" w:cs="Palatino Linotype"/>
          <w:i/>
          <w:sz w:val="22"/>
          <w:szCs w:val="22"/>
        </w:rPr>
      </w:pPr>
    </w:p>
    <w:p w14:paraId="169D27C9"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05738/INFOEM/IP/RR/2021 </w:t>
      </w:r>
    </w:p>
    <w:p w14:paraId="260C1254" w14:textId="77777777" w:rsidR="00E824BC" w:rsidRDefault="00E824BC" w:rsidP="00FE2406">
      <w:pPr>
        <w:ind w:left="850" w:right="899"/>
        <w:jc w:val="both"/>
        <w:rPr>
          <w:rFonts w:ascii="Palatino Linotype" w:eastAsia="Palatino Linotype" w:hAnsi="Palatino Linotype" w:cs="Palatino Linotype"/>
          <w:b/>
          <w:sz w:val="22"/>
          <w:szCs w:val="22"/>
        </w:rPr>
      </w:pPr>
    </w:p>
    <w:p w14:paraId="3827DEDB"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6C9D5631" w14:textId="77777777" w:rsidR="00E824BC" w:rsidRDefault="00E824BC" w:rsidP="00FE2406">
      <w:pPr>
        <w:ind w:left="709" w:right="709"/>
        <w:jc w:val="both"/>
        <w:rPr>
          <w:rFonts w:ascii="Palatino Linotype" w:eastAsia="Palatino Linotype" w:hAnsi="Palatino Linotype" w:cs="Palatino Linotype"/>
          <w:i/>
          <w:sz w:val="22"/>
          <w:szCs w:val="22"/>
        </w:rPr>
      </w:pPr>
    </w:p>
    <w:p w14:paraId="6B007F73"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Asimismo, indicó como razones o motivos de inconformidad:</w:t>
      </w:r>
    </w:p>
    <w:p w14:paraId="0D263D1E" w14:textId="77777777" w:rsidR="00E824BC" w:rsidRDefault="00772678" w:rsidP="00FE2406">
      <w:pPr>
        <w:ind w:left="850" w:right="899"/>
        <w:jc w:val="both"/>
        <w:rPr>
          <w:rFonts w:ascii="Palatino Linotype" w:eastAsia="Palatino Linotype" w:hAnsi="Palatino Linotype" w:cs="Palatino Linotype"/>
        </w:rPr>
      </w:pPr>
      <w:r>
        <w:rPr>
          <w:rFonts w:ascii="Palatino Linotype" w:eastAsia="Palatino Linotype" w:hAnsi="Palatino Linotype" w:cs="Palatino Linotype"/>
          <w:b/>
          <w:sz w:val="22"/>
          <w:szCs w:val="22"/>
        </w:rPr>
        <w:t xml:space="preserve">05732/INFOEM/IP/RR/2021 </w:t>
      </w:r>
    </w:p>
    <w:p w14:paraId="0F034F64" w14:textId="77777777" w:rsidR="00E824BC" w:rsidRDefault="00E824BC" w:rsidP="00FE2406">
      <w:pPr>
        <w:ind w:left="850" w:right="899"/>
        <w:jc w:val="both"/>
        <w:rPr>
          <w:rFonts w:ascii="Palatino Linotype" w:eastAsia="Palatino Linotype" w:hAnsi="Palatino Linotype" w:cs="Palatino Linotype"/>
        </w:rPr>
      </w:pPr>
    </w:p>
    <w:p w14:paraId="0D09583E"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3A8AFCBE" w14:textId="77777777" w:rsidR="00E824BC" w:rsidRDefault="00E824BC" w:rsidP="00FE2406">
      <w:pPr>
        <w:ind w:left="850" w:right="899"/>
        <w:jc w:val="both"/>
        <w:rPr>
          <w:rFonts w:ascii="Palatino Linotype" w:eastAsia="Palatino Linotype" w:hAnsi="Palatino Linotype" w:cs="Palatino Linotype"/>
          <w:i/>
          <w:sz w:val="22"/>
          <w:szCs w:val="22"/>
        </w:rPr>
      </w:pPr>
    </w:p>
    <w:p w14:paraId="010EE409"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05734/INFOEM/IP/RR/2021 </w:t>
      </w:r>
    </w:p>
    <w:p w14:paraId="334EED09" w14:textId="77777777" w:rsidR="00E824BC" w:rsidRDefault="00E824BC" w:rsidP="00FE2406">
      <w:pPr>
        <w:ind w:left="850" w:right="899"/>
        <w:jc w:val="both"/>
        <w:rPr>
          <w:rFonts w:ascii="Palatino Linotype" w:eastAsia="Palatino Linotype" w:hAnsi="Palatino Linotype" w:cs="Palatino Linotype"/>
          <w:b/>
          <w:sz w:val="22"/>
          <w:szCs w:val="22"/>
        </w:rPr>
      </w:pPr>
    </w:p>
    <w:p w14:paraId="75E83BD9"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694CE768" w14:textId="77777777" w:rsidR="00E824BC" w:rsidRDefault="00E824BC" w:rsidP="00FE2406">
      <w:pPr>
        <w:ind w:left="850" w:right="899"/>
        <w:jc w:val="both"/>
        <w:rPr>
          <w:rFonts w:ascii="Palatino Linotype" w:eastAsia="Palatino Linotype" w:hAnsi="Palatino Linotype" w:cs="Palatino Linotype"/>
          <w:b/>
          <w:sz w:val="22"/>
          <w:szCs w:val="22"/>
        </w:rPr>
      </w:pPr>
    </w:p>
    <w:p w14:paraId="465674D8"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05736/INFOEM/IP/RR/2021 </w:t>
      </w:r>
    </w:p>
    <w:p w14:paraId="7DCD6A2B" w14:textId="77777777" w:rsidR="00E824BC" w:rsidRDefault="00E824BC" w:rsidP="00FE2406">
      <w:pPr>
        <w:ind w:left="850" w:right="899"/>
        <w:jc w:val="both"/>
        <w:rPr>
          <w:rFonts w:ascii="Palatino Linotype" w:eastAsia="Palatino Linotype" w:hAnsi="Palatino Linotype" w:cs="Palatino Linotype"/>
          <w:b/>
          <w:sz w:val="22"/>
          <w:szCs w:val="22"/>
        </w:rPr>
      </w:pPr>
    </w:p>
    <w:p w14:paraId="4C6EDC72"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540BDFBF" w14:textId="77777777" w:rsidR="00E824BC" w:rsidRDefault="00E824BC" w:rsidP="00FE2406">
      <w:pPr>
        <w:ind w:left="850" w:right="899"/>
        <w:jc w:val="both"/>
        <w:rPr>
          <w:rFonts w:ascii="Palatino Linotype" w:eastAsia="Palatino Linotype" w:hAnsi="Palatino Linotype" w:cs="Palatino Linotype"/>
          <w:i/>
          <w:sz w:val="22"/>
          <w:szCs w:val="22"/>
        </w:rPr>
      </w:pPr>
    </w:p>
    <w:p w14:paraId="66939686"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05738/INFOEM/IP/RR/2021 </w:t>
      </w:r>
    </w:p>
    <w:p w14:paraId="47028159" w14:textId="77777777" w:rsidR="00E824BC" w:rsidRDefault="00E824BC" w:rsidP="00FE2406">
      <w:pPr>
        <w:ind w:left="850" w:right="899"/>
        <w:jc w:val="both"/>
        <w:rPr>
          <w:rFonts w:ascii="Palatino Linotype" w:eastAsia="Palatino Linotype" w:hAnsi="Palatino Linotype" w:cs="Palatino Linotype"/>
          <w:b/>
          <w:sz w:val="22"/>
          <w:szCs w:val="22"/>
        </w:rPr>
      </w:pPr>
    </w:p>
    <w:p w14:paraId="46291809"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318BEFE8" w14:textId="77777777" w:rsidR="00E824BC" w:rsidRDefault="00E824BC" w:rsidP="00FE2406">
      <w:pPr>
        <w:spacing w:line="360" w:lineRule="auto"/>
        <w:ind w:right="709"/>
        <w:jc w:val="both"/>
        <w:rPr>
          <w:rFonts w:ascii="Palatino Linotype" w:eastAsia="Palatino Linotype" w:hAnsi="Palatino Linotype" w:cs="Palatino Linotype"/>
        </w:rPr>
      </w:pPr>
    </w:p>
    <w:p w14:paraId="607F5A91" w14:textId="77777777" w:rsidR="00E824BC" w:rsidRDefault="00772678" w:rsidP="00FE2406">
      <w:pPr>
        <w:widowControl w:val="0"/>
        <w:tabs>
          <w:tab w:val="left" w:pos="0"/>
        </w:tabs>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t>IV.</w:t>
      </w:r>
      <w:r>
        <w:rPr>
          <w:rFonts w:ascii="Palatino Linotype" w:eastAsia="Palatino Linotype" w:hAnsi="Palatino Linotype" w:cs="Palatino Linotype"/>
        </w:rPr>
        <w:t xml:space="preserve"> Con fundamento en el artículo 185, fracción I de la Ley de Transparencia y Acceso a la Información Pública del Estado de México y Municipios, el </w:t>
      </w:r>
      <w:r>
        <w:rPr>
          <w:rFonts w:ascii="Palatino Linotype" w:eastAsia="Palatino Linotype" w:hAnsi="Palatino Linotype" w:cs="Palatino Linotype"/>
          <w:b/>
        </w:rPr>
        <w:t>dieciocho de noviembre de dos mil veintiuno</w:t>
      </w:r>
      <w:r>
        <w:rPr>
          <w:rFonts w:ascii="Palatino Linotype" w:eastAsia="Palatino Linotype" w:hAnsi="Palatino Linotype" w:cs="Palatino Linotype"/>
          <w:b/>
          <w:color w:val="000000"/>
        </w:rPr>
        <w:t>,</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rPr>
        <w:t xml:space="preserve">los recursos de revisión citados al rubro se turnaron, a través del </w:t>
      </w:r>
      <w:r>
        <w:rPr>
          <w:rFonts w:ascii="Palatino Linotype" w:eastAsia="Palatino Linotype" w:hAnsi="Palatino Linotype" w:cs="Palatino Linotype"/>
          <w:b/>
        </w:rPr>
        <w:t>SAIMEX</w:t>
      </w:r>
      <w:r>
        <w:rPr>
          <w:rFonts w:ascii="Palatino Linotype" w:eastAsia="Palatino Linotype" w:hAnsi="Palatino Linotype" w:cs="Palatino Linotype"/>
        </w:rPr>
        <w:t>, a los Comisionados de este Instituto, a efecto de decretar su admisión o desechamiento.</w:t>
      </w:r>
    </w:p>
    <w:p w14:paraId="10C24ADD" w14:textId="77777777" w:rsidR="00E824BC" w:rsidRDefault="00E824BC" w:rsidP="00FE2406">
      <w:pPr>
        <w:widowControl w:val="0"/>
        <w:tabs>
          <w:tab w:val="left" w:pos="0"/>
        </w:tabs>
        <w:spacing w:line="360" w:lineRule="auto"/>
        <w:jc w:val="both"/>
        <w:rPr>
          <w:rFonts w:ascii="Palatino Linotype" w:eastAsia="Palatino Linotype" w:hAnsi="Palatino Linotype" w:cs="Palatino Linotype"/>
        </w:rPr>
      </w:pPr>
    </w:p>
    <w:p w14:paraId="08BEC021" w14:textId="77777777" w:rsidR="00E824BC" w:rsidRDefault="00772678" w:rsidP="00FE2406">
      <w:pPr>
        <w:widowControl w:val="0"/>
        <w:tabs>
          <w:tab w:val="left" w:pos="0"/>
        </w:tabs>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Por lo que en fechas </w:t>
      </w:r>
      <w:r>
        <w:rPr>
          <w:rFonts w:ascii="Palatino Linotype" w:eastAsia="Palatino Linotype" w:hAnsi="Palatino Linotype" w:cs="Palatino Linotype"/>
          <w:b/>
          <w:color w:val="000000"/>
        </w:rPr>
        <w:t xml:space="preserve">veintidós, </w:t>
      </w:r>
      <w:r>
        <w:rPr>
          <w:rFonts w:ascii="Palatino Linotype" w:eastAsia="Palatino Linotype" w:hAnsi="Palatino Linotype" w:cs="Palatino Linotype"/>
          <w:b/>
        </w:rPr>
        <w:t xml:space="preserve">veintitrés y veinticuatro </w:t>
      </w:r>
      <w:r>
        <w:rPr>
          <w:rFonts w:ascii="Palatino Linotype" w:eastAsia="Palatino Linotype" w:hAnsi="Palatino Linotype" w:cs="Palatino Linotype"/>
          <w:b/>
          <w:color w:val="000000"/>
        </w:rPr>
        <w:t>de noviembre de dos mil veintiuno</w:t>
      </w:r>
      <w:r>
        <w:rPr>
          <w:rFonts w:ascii="Palatino Linotype" w:eastAsia="Palatino Linotype" w:hAnsi="Palatino Linotype" w:cs="Palatino Linotype"/>
        </w:rPr>
        <w:t xml:space="preserve">, atento a lo dispuesto en el artículo 185, fracciones I, II y IV, de la Ley en mención, se </w:t>
      </w:r>
      <w:r>
        <w:rPr>
          <w:rFonts w:ascii="Palatino Linotype" w:eastAsia="Palatino Linotype" w:hAnsi="Palatino Linotype" w:cs="Palatino Linotype"/>
          <w:b/>
        </w:rPr>
        <w:t>acordó la admisión</w:t>
      </w:r>
      <w:r>
        <w:rPr>
          <w:rFonts w:ascii="Palatino Linotype" w:eastAsia="Palatino Linotype" w:hAnsi="Palatino Linotype" w:cs="Palatino Linotype"/>
        </w:rPr>
        <w:t xml:space="preserve"> a trámite de los referidos recursos de revisión; así como, la integración del expediente respectivo, mismo que se puso a disposición de las partes, para que en el plazo máximo de siete días hábiles, </w:t>
      </w:r>
      <w:r>
        <w:rPr>
          <w:rFonts w:ascii="Palatino Linotype" w:eastAsia="Palatino Linotype" w:hAnsi="Palatino Linotype" w:cs="Palatino Linotype"/>
          <w:b/>
        </w:rPr>
        <w:t>EL RECURRENTE</w:t>
      </w:r>
      <w:r>
        <w:rPr>
          <w:rFonts w:ascii="Palatino Linotype" w:eastAsia="Palatino Linotype" w:hAnsi="Palatino Linotype" w:cs="Palatino Linotype"/>
        </w:rPr>
        <w:t xml:space="preserve"> realizara manifestaciones, alegatos y ofreciera las pruebas que a su derecho conviniera y en el caso del</w:t>
      </w:r>
      <w:r>
        <w:rPr>
          <w:rFonts w:ascii="Palatino Linotype" w:eastAsia="Palatino Linotype" w:hAnsi="Palatino Linotype" w:cs="Palatino Linotype"/>
          <w:b/>
        </w:rPr>
        <w:t xml:space="preserve"> SUJETO OBLIGADO</w:t>
      </w:r>
      <w:r>
        <w:rPr>
          <w:rFonts w:ascii="Palatino Linotype" w:eastAsia="Palatino Linotype" w:hAnsi="Palatino Linotype" w:cs="Palatino Linotype"/>
        </w:rPr>
        <w:t>, para que exhibiera el Informe Justificado correspondiente.</w:t>
      </w:r>
    </w:p>
    <w:p w14:paraId="18DD5C2D"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b/>
          <w:color w:val="000000"/>
        </w:rPr>
      </w:pPr>
    </w:p>
    <w:p w14:paraId="7F25E7EF"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lastRenderedPageBreak/>
        <w:t>V.</w:t>
      </w:r>
      <w:r>
        <w:rPr>
          <w:rFonts w:ascii="Palatino Linotype" w:eastAsia="Palatino Linotype" w:hAnsi="Palatino Linotype" w:cs="Palatino Linotype"/>
        </w:rPr>
        <w:t xml:space="preserve"> De las constancias que obran en el </w:t>
      </w:r>
      <w:r>
        <w:rPr>
          <w:rFonts w:ascii="Palatino Linotype" w:eastAsia="Palatino Linotype" w:hAnsi="Palatino Linotype" w:cs="Palatino Linotype"/>
          <w:b/>
        </w:rPr>
        <w:t>SAIMEX</w:t>
      </w:r>
      <w:r>
        <w:rPr>
          <w:rFonts w:ascii="Palatino Linotype" w:eastAsia="Palatino Linotype" w:hAnsi="Palatino Linotype" w:cs="Palatino Linotype"/>
        </w:rPr>
        <w:t xml:space="preserve">, se desprende tanto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como </w:t>
      </w:r>
      <w:r>
        <w:rPr>
          <w:rFonts w:ascii="Palatino Linotype" w:eastAsia="Palatino Linotype" w:hAnsi="Palatino Linotype" w:cs="Palatino Linotype"/>
          <w:b/>
        </w:rPr>
        <w:t>EL</w:t>
      </w:r>
      <w:r>
        <w:rPr>
          <w:rFonts w:ascii="Palatino Linotype" w:eastAsia="Palatino Linotype" w:hAnsi="Palatino Linotype" w:cs="Palatino Linotype"/>
        </w:rPr>
        <w:t xml:space="preserve">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no presentaron el primero de ellos su correspondiente informe justificado y el segundo sus respectivas manifestaciones, alegatos u ofrecimiento de pruebas en ninguno de los recursos de revisión materia de la presente resolución</w:t>
      </w:r>
    </w:p>
    <w:p w14:paraId="6C3FC7DD" w14:textId="77777777" w:rsidR="00E824BC" w:rsidRDefault="00E824BC" w:rsidP="00FE2406">
      <w:pPr>
        <w:spacing w:line="360" w:lineRule="auto"/>
        <w:jc w:val="both"/>
        <w:rPr>
          <w:rFonts w:ascii="Palatino Linotype" w:eastAsia="Palatino Linotype" w:hAnsi="Palatino Linotype" w:cs="Palatino Linotype"/>
        </w:rPr>
      </w:pPr>
    </w:p>
    <w:p w14:paraId="65E355DB"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t>VI.</w:t>
      </w:r>
      <w:r>
        <w:rPr>
          <w:rFonts w:ascii="Palatino Linotype" w:eastAsia="Palatino Linotype" w:hAnsi="Palatino Linotype" w:cs="Palatino Linotype"/>
        </w:rPr>
        <w:t xml:space="preserve"> En la Cuadragésima Tercera Sesión Ordinaria del uno de diciembre de dos mil veintiuno, el Pleno del Instituto de Transparencia, Acceso a la Información Pública y Protección de Datos Personales del Estado de México y Municipios, aprobó la acumulación de los recursos de revisión </w:t>
      </w:r>
      <w:r>
        <w:rPr>
          <w:rFonts w:ascii="Palatino Linotype" w:eastAsia="Palatino Linotype" w:hAnsi="Palatino Linotype" w:cs="Palatino Linotype"/>
          <w:b/>
        </w:rPr>
        <w:t>05734/INFOEM/IP/RR/2021</w:t>
      </w:r>
      <w:r>
        <w:rPr>
          <w:rFonts w:ascii="Palatino Linotype" w:eastAsia="Palatino Linotype" w:hAnsi="Palatino Linotype" w:cs="Palatino Linotype"/>
        </w:rPr>
        <w:t>,</w:t>
      </w:r>
      <w:r>
        <w:rPr>
          <w:rFonts w:ascii="Palatino Linotype" w:eastAsia="Palatino Linotype" w:hAnsi="Palatino Linotype" w:cs="Palatino Linotype"/>
          <w:b/>
        </w:rPr>
        <w:t xml:space="preserve"> 05736/INFOEM/IP/RR/2021 </w:t>
      </w:r>
      <w:r>
        <w:rPr>
          <w:rFonts w:ascii="Palatino Linotype" w:eastAsia="Palatino Linotype" w:hAnsi="Palatino Linotype" w:cs="Palatino Linotype"/>
        </w:rPr>
        <w:t>y</w:t>
      </w:r>
      <w:r>
        <w:rPr>
          <w:rFonts w:ascii="Palatino Linotype" w:eastAsia="Palatino Linotype" w:hAnsi="Palatino Linotype" w:cs="Palatino Linotype"/>
          <w:b/>
        </w:rPr>
        <w:t xml:space="preserve"> 05738/INFOEM/IP/RR/2021</w:t>
      </w:r>
      <w:r>
        <w:rPr>
          <w:rFonts w:ascii="Palatino Linotype" w:eastAsia="Palatino Linotype" w:hAnsi="Palatino Linotype" w:cs="Palatino Linotype"/>
        </w:rPr>
        <w:t xml:space="preserve"> al </w:t>
      </w:r>
      <w:r>
        <w:rPr>
          <w:rFonts w:ascii="Palatino Linotype" w:eastAsia="Palatino Linotype" w:hAnsi="Palatino Linotype" w:cs="Palatino Linotype"/>
          <w:b/>
        </w:rPr>
        <w:t>05732/INFOEM/IP/RR/2021</w:t>
      </w:r>
      <w:r>
        <w:rPr>
          <w:rFonts w:ascii="Palatino Linotype" w:eastAsia="Palatino Linotype" w:hAnsi="Palatino Linotype" w:cs="Palatino Linotype"/>
        </w:rPr>
        <w:t>, en virtud de la conexidad que existe entre ellos, al ser promovidos ante el mismo sujeto obligado y en cada uno solicitar las actas de cabildo relativas a los años 2019, 2020, 2019 y 2021, respectivamente.</w:t>
      </w:r>
    </w:p>
    <w:p w14:paraId="5D61940A" w14:textId="77777777" w:rsidR="00E824BC" w:rsidRDefault="00E824BC" w:rsidP="00FE2406">
      <w:pPr>
        <w:spacing w:line="360" w:lineRule="auto"/>
        <w:jc w:val="both"/>
        <w:rPr>
          <w:rFonts w:ascii="Palatino Linotype" w:eastAsia="Palatino Linotype" w:hAnsi="Palatino Linotype" w:cs="Palatino Linotype"/>
          <w:b/>
        </w:rPr>
      </w:pPr>
    </w:p>
    <w:p w14:paraId="0379298A" w14:textId="42D25501"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t>VII.</w:t>
      </w:r>
      <w:r>
        <w:rPr>
          <w:rFonts w:ascii="Palatino Linotype" w:eastAsia="Palatino Linotype" w:hAnsi="Palatino Linotype" w:cs="Palatino Linotype"/>
        </w:rPr>
        <w:t xml:space="preserve"> Una vez </w:t>
      </w:r>
      <w:r>
        <w:rPr>
          <w:rFonts w:ascii="Palatino Linotype" w:eastAsia="Palatino Linotype" w:hAnsi="Palatino Linotype" w:cs="Palatino Linotype"/>
          <w:color w:val="000000"/>
        </w:rPr>
        <w:t>analizado</w:t>
      </w:r>
      <w:r>
        <w:rPr>
          <w:rFonts w:ascii="Palatino Linotype" w:eastAsia="Palatino Linotype" w:hAnsi="Palatino Linotype" w:cs="Palatino Linotype"/>
        </w:rPr>
        <w:t xml:space="preserve"> el estado procesal que guarda el expediente, el </w:t>
      </w:r>
      <w:r w:rsidR="00A61BB5">
        <w:rPr>
          <w:rFonts w:ascii="Palatino Linotype" w:eastAsia="Palatino Linotype" w:hAnsi="Palatino Linotype" w:cs="Palatino Linotype"/>
          <w:b/>
        </w:rPr>
        <w:t xml:space="preserve">tres y </w:t>
      </w:r>
      <w:r>
        <w:rPr>
          <w:rFonts w:ascii="Palatino Linotype" w:eastAsia="Palatino Linotype" w:hAnsi="Palatino Linotype" w:cs="Palatino Linotype"/>
          <w:b/>
        </w:rPr>
        <w:t>seis de diciembre de dos mil veintiuno</w:t>
      </w:r>
      <w:r>
        <w:rPr>
          <w:rFonts w:ascii="Palatino Linotype" w:eastAsia="Palatino Linotype" w:hAnsi="Palatino Linotype" w:cs="Palatino Linotype"/>
        </w:rPr>
        <w:t xml:space="preserve">, la </w:t>
      </w:r>
      <w:r w:rsidRPr="00E879DA">
        <w:rPr>
          <w:rFonts w:ascii="Palatino Linotype" w:eastAsia="Palatino Linotype" w:hAnsi="Palatino Linotype" w:cs="Palatino Linotype"/>
          <w:b/>
          <w:bCs/>
        </w:rPr>
        <w:t>Comisionada</w:t>
      </w:r>
      <w:r>
        <w:rPr>
          <w:rFonts w:ascii="Palatino Linotype" w:eastAsia="Palatino Linotype" w:hAnsi="Palatino Linotype" w:cs="Palatino Linotype"/>
        </w:rPr>
        <w:t xml:space="preserve"> </w:t>
      </w:r>
      <w:r>
        <w:rPr>
          <w:rFonts w:ascii="Palatino Linotype" w:eastAsia="Palatino Linotype" w:hAnsi="Palatino Linotype" w:cs="Palatino Linotype"/>
          <w:b/>
        </w:rPr>
        <w:t xml:space="preserve">Sharon Cristina Morales Martínez </w:t>
      </w:r>
      <w:r>
        <w:rPr>
          <w:rFonts w:ascii="Palatino Linotype" w:eastAsia="Palatino Linotype" w:hAnsi="Palatino Linotype" w:cs="Palatino Linotype"/>
        </w:rPr>
        <w:t>acordó el cierre de instrucción; así como la remisión del mismo a efecto de ser resuelto de conformidad con lo establecido en el artículo 185, fracciones VI y VIII de la Ley de Transparencia y Acceso a la Información Pública del Estado de México y Municipios.</w:t>
      </w:r>
    </w:p>
    <w:p w14:paraId="5A3B47CE" w14:textId="77777777" w:rsidR="00E824BC" w:rsidRDefault="00E824BC" w:rsidP="00FE2406">
      <w:pPr>
        <w:spacing w:line="360" w:lineRule="auto"/>
        <w:jc w:val="both"/>
        <w:rPr>
          <w:rFonts w:ascii="Palatino Linotype" w:eastAsia="Palatino Linotype" w:hAnsi="Palatino Linotype" w:cs="Palatino Linotype"/>
        </w:rPr>
      </w:pPr>
    </w:p>
    <w:p w14:paraId="2F3E9E47" w14:textId="45364AD1"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lastRenderedPageBreak/>
        <w:t>VII</w:t>
      </w:r>
      <w:r w:rsidR="00E879DA">
        <w:rPr>
          <w:rFonts w:ascii="Palatino Linotype" w:eastAsia="Palatino Linotype" w:hAnsi="Palatino Linotype" w:cs="Palatino Linotype"/>
          <w:b/>
        </w:rPr>
        <w:t>I</w:t>
      </w:r>
      <w:r>
        <w:rPr>
          <w:rFonts w:ascii="Palatino Linotype" w:eastAsia="Palatino Linotype" w:hAnsi="Palatino Linotype" w:cs="Palatino Linotype"/>
          <w:b/>
        </w:rPr>
        <w:t>.</w:t>
      </w:r>
      <w:r>
        <w:rPr>
          <w:rFonts w:ascii="Palatino Linotype" w:eastAsia="Palatino Linotype" w:hAnsi="Palatino Linotype" w:cs="Palatino Linotype"/>
        </w:rPr>
        <w:t xml:space="preserve"> El </w:t>
      </w:r>
      <w:r>
        <w:rPr>
          <w:rFonts w:ascii="Palatino Linotype" w:eastAsia="Palatino Linotype" w:hAnsi="Palatino Linotype" w:cs="Palatino Linotype"/>
          <w:b/>
        </w:rPr>
        <w:t>nueve de diciembre de dos mil veintiuno</w:t>
      </w:r>
      <w:r>
        <w:rPr>
          <w:rFonts w:ascii="Palatino Linotype" w:eastAsia="Palatino Linotype" w:hAnsi="Palatino Linotype" w:cs="Palatino Linotype"/>
        </w:rPr>
        <w:t>, el Pleno del Instituto de Transparencia, Acceso a la Información Pública y Protección de Datos Personales del Estado de México y Municipios, mediante acuerdo signado por sus integrantes, aprobó la Licencia por incapacidad médica de la Comisionada Sharon Cristina Morales Martínez y a través del cual se convino el returno del recurso de revisión de mérito al Comisionado Presidente José Martínez Vilchis para que diera trámite y resolviera conforme a derecho.</w:t>
      </w:r>
    </w:p>
    <w:p w14:paraId="104AC79D" w14:textId="77777777" w:rsidR="00E824BC" w:rsidRDefault="00E824BC" w:rsidP="00FE2406">
      <w:pPr>
        <w:spacing w:line="360" w:lineRule="auto"/>
        <w:jc w:val="both"/>
        <w:rPr>
          <w:rFonts w:ascii="Palatino Linotype" w:eastAsia="Palatino Linotype" w:hAnsi="Palatino Linotype" w:cs="Palatino Linotype"/>
        </w:rPr>
      </w:pPr>
    </w:p>
    <w:p w14:paraId="1FD87FE5" w14:textId="45A3E9CD" w:rsidR="00E824BC" w:rsidRDefault="00E879DA"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sz w:val="28"/>
          <w:szCs w:val="28"/>
        </w:rPr>
        <w:t>IX</w:t>
      </w:r>
      <w:r w:rsidR="00772678">
        <w:rPr>
          <w:rFonts w:ascii="Palatino Linotype" w:eastAsia="Palatino Linotype" w:hAnsi="Palatino Linotype" w:cs="Palatino Linotype"/>
        </w:rPr>
        <w:t xml:space="preserve">. Derivado del transcurso del término legal para que este Órgano Garante emitiera la resolución que conforme a derecho correspondiera y con el objeto de realizar un análisis exhaustivo de las constancias que obran en el expediente electrónico </w:t>
      </w:r>
      <w:r w:rsidR="00772678">
        <w:rPr>
          <w:rFonts w:ascii="Palatino Linotype" w:eastAsia="Palatino Linotype" w:hAnsi="Palatino Linotype" w:cs="Palatino Linotype"/>
          <w:b/>
        </w:rPr>
        <w:t>del SAIMEX,</w:t>
      </w:r>
      <w:r w:rsidR="00772678">
        <w:rPr>
          <w:rFonts w:ascii="Palatino Linotype" w:eastAsia="Palatino Linotype" w:hAnsi="Palatino Linotype" w:cs="Palatino Linotype"/>
        </w:rPr>
        <w:t xml:space="preserve"> el </w:t>
      </w:r>
      <w:r w:rsidR="00772678">
        <w:rPr>
          <w:rFonts w:ascii="Palatino Linotype" w:eastAsia="Palatino Linotype" w:hAnsi="Palatino Linotype" w:cs="Palatino Linotype"/>
          <w:b/>
        </w:rPr>
        <w:t xml:space="preserve">dieciocho de enero de dos mil </w:t>
      </w:r>
      <w:r w:rsidR="009630F7">
        <w:rPr>
          <w:rFonts w:ascii="Palatino Linotype" w:eastAsia="Palatino Linotype" w:hAnsi="Palatino Linotype" w:cs="Palatino Linotype"/>
          <w:b/>
        </w:rPr>
        <w:t>veintidós,</w:t>
      </w:r>
      <w:r w:rsidR="00772678">
        <w:rPr>
          <w:rFonts w:ascii="Palatino Linotype" w:eastAsia="Palatino Linotype" w:hAnsi="Palatino Linotype" w:cs="Palatino Linotype"/>
        </w:rPr>
        <w:t xml:space="preserve"> el Comisionado Ponente acordó ampliar el plazo para resolver el recurso de revisión </w:t>
      </w:r>
      <w:r w:rsidR="00772678">
        <w:rPr>
          <w:rFonts w:ascii="Palatino Linotype" w:eastAsia="Palatino Linotype" w:hAnsi="Palatino Linotype" w:cs="Palatino Linotype"/>
          <w:b/>
        </w:rPr>
        <w:t>05732/INFOEM/IP/RR/2021</w:t>
      </w:r>
      <w:r w:rsidR="00772678">
        <w:rPr>
          <w:rFonts w:ascii="Palatino Linotype" w:eastAsia="Palatino Linotype" w:hAnsi="Palatino Linotype" w:cs="Palatino Linotype"/>
        </w:rPr>
        <w:t xml:space="preserve"> y sus acumulados, por un periodo de hasta quince días hábiles, con fundamento en lo establecido por el artículo 181, párrafo tercero de la Ley de Transparencia y Acceso a la Información Pública del Estado de México y Municipios.</w:t>
      </w:r>
    </w:p>
    <w:p w14:paraId="4FAF2DF6"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0E8311EF" w14:textId="77777777" w:rsidR="00E824BC" w:rsidRDefault="00772678" w:rsidP="00FE2406">
      <w:pPr>
        <w:pBdr>
          <w:top w:val="nil"/>
          <w:left w:val="nil"/>
          <w:bottom w:val="nil"/>
          <w:right w:val="nil"/>
          <w:between w:val="nil"/>
        </w:pBdr>
        <w:tabs>
          <w:tab w:val="left" w:pos="709"/>
        </w:tabs>
        <w:spacing w:line="360" w:lineRule="auto"/>
        <w:jc w:val="center"/>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CONSIDERANDO</w:t>
      </w:r>
    </w:p>
    <w:p w14:paraId="5553AFF3"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b/>
          <w:color w:val="000000"/>
        </w:rPr>
      </w:pPr>
    </w:p>
    <w:p w14:paraId="0691EAFA" w14:textId="7777777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color w:val="000000"/>
        </w:rPr>
        <w:t>PRIMERO. Competencia</w:t>
      </w:r>
      <w:r>
        <w:rPr>
          <w:rFonts w:ascii="Palatino Linotype" w:eastAsia="Palatino Linotype" w:hAnsi="Palatino Linotype" w:cs="Palatino Linotype"/>
          <w:color w:val="000000"/>
        </w:rPr>
        <w:t>.</w:t>
      </w:r>
    </w:p>
    <w:p w14:paraId="26F0294D" w14:textId="7777777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Este Instituto de Transparencia, Acceso a la Información Pública y Protección de Datos Personales del Estado de México y Municipios, es competente para conocer y resolver </w:t>
      </w:r>
      <w:r>
        <w:rPr>
          <w:rFonts w:ascii="Palatino Linotype" w:eastAsia="Palatino Linotype" w:hAnsi="Palatino Linotype" w:cs="Palatino Linotype"/>
          <w:color w:val="000000"/>
        </w:rPr>
        <w:lastRenderedPageBreak/>
        <w:t xml:space="preserve">el presente recurso de revisión, conforme a lo dispuesto en los artículos 6, Apartado A de la Constitución Política de los Estados Unidos Mexicanos; 5, párrafos trigésimo, trigésimo primero y trigésimo segundo, fracciones IV y V de la Constitución Política del Estado Libre y Soberano de México; 2 fracción II, 13, 29, 36, fracciones I y II, 176, 178, 179, 181 párrafo tercero y 185 de la Ley de Transparencia y Acceso a la Información Pública del Estado de México y Municipios; y 9, fracciones I y XXIV y 11 del Reglamento Interior del Instituto de Transparencia, Acceso a la Información Pública y Protección de Datos Personales del Estado de México y Municipios. </w:t>
      </w:r>
    </w:p>
    <w:p w14:paraId="666D3674" w14:textId="77777777" w:rsidR="00E824BC" w:rsidRDefault="00E824BC" w:rsidP="00FE2406">
      <w:pPr>
        <w:widowControl w:val="0"/>
        <w:pBdr>
          <w:top w:val="nil"/>
          <w:left w:val="nil"/>
          <w:bottom w:val="nil"/>
          <w:right w:val="nil"/>
          <w:between w:val="nil"/>
        </w:pBdr>
        <w:tabs>
          <w:tab w:val="left" w:pos="142"/>
          <w:tab w:val="left" w:pos="1701"/>
          <w:tab w:val="left" w:pos="1843"/>
        </w:tabs>
        <w:spacing w:line="360" w:lineRule="auto"/>
        <w:jc w:val="both"/>
        <w:rPr>
          <w:rFonts w:ascii="Palatino Linotype" w:eastAsia="Palatino Linotype" w:hAnsi="Palatino Linotype" w:cs="Palatino Linotype"/>
          <w:b/>
          <w:color w:val="000000"/>
        </w:rPr>
      </w:pPr>
    </w:p>
    <w:p w14:paraId="06CEE4EC" w14:textId="77777777" w:rsidR="00E824BC" w:rsidRDefault="00772678" w:rsidP="00FE2406">
      <w:pPr>
        <w:widowControl w:val="0"/>
        <w:pBdr>
          <w:top w:val="nil"/>
          <w:left w:val="nil"/>
          <w:bottom w:val="nil"/>
          <w:right w:val="nil"/>
          <w:between w:val="nil"/>
        </w:pBdr>
        <w:tabs>
          <w:tab w:val="left" w:pos="1701"/>
          <w:tab w:val="left" w:pos="1843"/>
          <w:tab w:val="left" w:pos="3697"/>
        </w:tabs>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SEGUNDO. Oportunidad.</w:t>
      </w:r>
      <w:r>
        <w:rPr>
          <w:rFonts w:ascii="Palatino Linotype" w:eastAsia="Palatino Linotype" w:hAnsi="Palatino Linotype" w:cs="Palatino Linotype"/>
          <w:b/>
          <w:color w:val="000000"/>
        </w:rPr>
        <w:tab/>
      </w:r>
    </w:p>
    <w:p w14:paraId="4A30F0F9" w14:textId="7777777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La Ley de Transparencia y Acceso a la Información Pública del Estado de México y Municipios, en su artículo 178</w:t>
      </w:r>
      <w:r>
        <w:rPr>
          <w:rFonts w:ascii="Palatino Linotype" w:eastAsia="Palatino Linotype" w:hAnsi="Palatino Linotype" w:cs="Palatino Linotype"/>
          <w:color w:val="000000"/>
          <w:vertAlign w:val="superscript"/>
        </w:rPr>
        <w:footnoteReference w:id="1"/>
      </w:r>
      <w:r>
        <w:rPr>
          <w:rFonts w:ascii="Palatino Linotype" w:eastAsia="Palatino Linotype" w:hAnsi="Palatino Linotype" w:cs="Palatino Linotype"/>
          <w:color w:val="000000"/>
        </w:rPr>
        <w:t xml:space="preserve"> prevé que el solicitante de la información, podrá interponer el recurso de revisión ante este Instituto o ante la Unidad de Transparencia que haya conocido de la solicitud de información, ya sea que lo haga por sí mismo o a través de su representante, de manera directa o a través de medios electrónicos. Teniendo un plazo de quince días hábiles para la interposición del recurso, contados a partir del día siguiente a aquel en que fue realizada la notificación de la respuesta. </w:t>
      </w:r>
    </w:p>
    <w:p w14:paraId="529965FC"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p>
    <w:p w14:paraId="61EA531B"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Es así que, conforme al expediente electrónico que motiva </w:t>
      </w:r>
      <w:r>
        <w:rPr>
          <w:rFonts w:ascii="Palatino Linotype" w:eastAsia="Palatino Linotype" w:hAnsi="Palatino Linotype" w:cs="Palatino Linotype"/>
        </w:rPr>
        <w:t>los</w:t>
      </w:r>
      <w:r>
        <w:rPr>
          <w:rFonts w:ascii="Palatino Linotype" w:eastAsia="Palatino Linotype" w:hAnsi="Palatino Linotype" w:cs="Palatino Linotype"/>
          <w:color w:val="000000"/>
        </w:rPr>
        <w:t xml:space="preserve"> recursos de revisión que nos ocupan, </w:t>
      </w:r>
      <w:r>
        <w:rPr>
          <w:rFonts w:ascii="Palatino Linotype" w:eastAsia="Palatino Linotype" w:hAnsi="Palatino Linotype" w:cs="Palatino Linotype"/>
          <w:b/>
          <w:color w:val="000000"/>
        </w:rPr>
        <w:t xml:space="preserve">al RECURRENTE </w:t>
      </w:r>
      <w:r>
        <w:rPr>
          <w:rFonts w:ascii="Palatino Linotype" w:eastAsia="Palatino Linotype" w:hAnsi="Palatino Linotype" w:cs="Palatino Linotype"/>
          <w:color w:val="000000"/>
        </w:rPr>
        <w:t xml:space="preserve">le fueron notificadas las respuestas dadas a sus </w:t>
      </w:r>
      <w:r>
        <w:rPr>
          <w:rFonts w:ascii="Palatino Linotype" w:eastAsia="Palatino Linotype" w:hAnsi="Palatino Linotype" w:cs="Palatino Linotype"/>
          <w:color w:val="000000"/>
        </w:rPr>
        <w:lastRenderedPageBreak/>
        <w:t xml:space="preserve">solicitudes de información, el veintisiete de octubre de dos mil veintiuno, siendo que </w:t>
      </w:r>
      <w:r>
        <w:rPr>
          <w:rFonts w:ascii="Palatino Linotype" w:eastAsia="Palatino Linotype" w:hAnsi="Palatino Linotype" w:cs="Palatino Linotype"/>
        </w:rPr>
        <w:t>los</w:t>
      </w:r>
      <w:r>
        <w:rPr>
          <w:rFonts w:ascii="Palatino Linotype" w:eastAsia="Palatino Linotype" w:hAnsi="Palatino Linotype" w:cs="Palatino Linotype"/>
          <w:color w:val="000000"/>
        </w:rPr>
        <w:t xml:space="preserve"> recursos de revisión fueron interpuestos el dieciocho de noviembre del mismo año, mediando el sábado treinta, domingo treinta y uno de octubre, martes dos, sábado seis, domingo siete, sábado trece, domingo catorce y lunes quince de noviembre, por lo que transcurrieron catorce días hábiles entre una fecha y la otra.</w:t>
      </w:r>
    </w:p>
    <w:p w14:paraId="7583157C" w14:textId="77777777" w:rsidR="00E824BC" w:rsidRDefault="00E824BC" w:rsidP="00FE2406">
      <w:pPr>
        <w:spacing w:line="360" w:lineRule="auto"/>
        <w:jc w:val="both"/>
        <w:rPr>
          <w:rFonts w:ascii="Palatino Linotype" w:eastAsia="Palatino Linotype" w:hAnsi="Palatino Linotype" w:cs="Palatino Linotype"/>
          <w:color w:val="000000"/>
        </w:rPr>
      </w:pPr>
    </w:p>
    <w:p w14:paraId="40DC3EB7"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ese tenor, si los recursos de revisión que nos ocupan, se interpusieron el </w:t>
      </w:r>
      <w:r>
        <w:rPr>
          <w:rFonts w:ascii="Palatino Linotype" w:eastAsia="Palatino Linotype" w:hAnsi="Palatino Linotype" w:cs="Palatino Linotype"/>
          <w:b/>
        </w:rPr>
        <w:t>dieciocho de noviembre de dos mil veintiuno</w:t>
      </w:r>
      <w:r>
        <w:rPr>
          <w:rFonts w:ascii="Palatino Linotype" w:eastAsia="Palatino Linotype" w:hAnsi="Palatino Linotype" w:cs="Palatino Linotype"/>
        </w:rPr>
        <w:t>, éstos se encuentran dentro de los márgenes temporales previstos en el precepto legal citado con antelación y, por tanto, su interposición se realizó dentro de los términos legales ya referidos.</w:t>
      </w:r>
    </w:p>
    <w:p w14:paraId="5C5ED84E"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p>
    <w:p w14:paraId="3D9D22C5" w14:textId="7777777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TERCERO. Legitimación del Recurrente para la Presentación del Recurso de Revisión.</w:t>
      </w:r>
    </w:p>
    <w:p w14:paraId="504BB1C3"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p>
    <w:p w14:paraId="02EF69A6" w14:textId="5BFA6F6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Al entrar al estudio de la legitimidad del</w:t>
      </w:r>
      <w:r>
        <w:rPr>
          <w:rFonts w:ascii="Palatino Linotype" w:eastAsia="Palatino Linotype" w:hAnsi="Palatino Linotype" w:cs="Palatino Linotype"/>
          <w:b/>
          <w:color w:val="000000"/>
        </w:rPr>
        <w:t xml:space="preserve"> RECURRENTE</w:t>
      </w:r>
      <w:r>
        <w:rPr>
          <w:rFonts w:ascii="Palatino Linotype" w:eastAsia="Palatino Linotype" w:hAnsi="Palatino Linotype" w:cs="Palatino Linotype"/>
          <w:color w:val="000000"/>
        </w:rPr>
        <w:t xml:space="preserve"> e identidad de lo solicitado, encontramos que se surten ambas, toda vez </w:t>
      </w:r>
      <w:r w:rsidR="000D5547">
        <w:rPr>
          <w:rFonts w:ascii="Palatino Linotype" w:eastAsia="Palatino Linotype" w:hAnsi="Palatino Linotype" w:cs="Palatino Linotype"/>
          <w:color w:val="000000"/>
        </w:rPr>
        <w:t>que,</w:t>
      </w:r>
      <w:r>
        <w:rPr>
          <w:rFonts w:ascii="Palatino Linotype" w:eastAsia="Palatino Linotype" w:hAnsi="Palatino Linotype" w:cs="Palatino Linotype"/>
          <w:color w:val="000000"/>
        </w:rPr>
        <w:t xml:space="preserve"> según obra en la información contenida en el expediente de mérito, se trata de la misma persona que ejerció su derecho de acceso a la información pública y la persona que presentó el recurso de revisión que se resuelve en este acto; de igual manera, lo solicitado y el acto recurrido tienen correspondencia.</w:t>
      </w:r>
    </w:p>
    <w:p w14:paraId="35B4B6AF"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p>
    <w:p w14:paraId="70D125F3"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 xml:space="preserve">Sin que sea obstáculo para la anterior afirmación, el hecho de que la parte solicitante y ahora </w:t>
      </w:r>
      <w:r>
        <w:rPr>
          <w:rFonts w:ascii="Palatino Linotype" w:eastAsia="Palatino Linotype" w:hAnsi="Palatino Linotype" w:cs="Palatino Linotype"/>
          <w:b/>
        </w:rPr>
        <w:t>RECURRENTE</w:t>
      </w:r>
      <w:r>
        <w:rPr>
          <w:rFonts w:ascii="Palatino Linotype" w:eastAsia="Palatino Linotype" w:hAnsi="Palatino Linotype" w:cs="Palatino Linotype"/>
        </w:rPr>
        <w:t>, en ejercicio de su derecho de acceso a la información pública, no haya proporcionado su nombre.</w:t>
      </w:r>
    </w:p>
    <w:p w14:paraId="22A9CBF9" w14:textId="77777777" w:rsidR="00E824BC" w:rsidRDefault="00E824BC" w:rsidP="00FE2406">
      <w:pPr>
        <w:spacing w:line="360" w:lineRule="auto"/>
        <w:jc w:val="both"/>
        <w:rPr>
          <w:rFonts w:ascii="Palatino Linotype" w:eastAsia="Palatino Linotype" w:hAnsi="Palatino Linotype" w:cs="Palatino Linotype"/>
        </w:rPr>
      </w:pPr>
    </w:p>
    <w:p w14:paraId="6702CA20"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rPr>
        <w:t xml:space="preserve">Pues debe destacarse que el artículo 15 de Ley de Transparencia y Acceso a la Información Pública del Estado de México y Municipios prevé que, toda persona tendrá acceso a la información </w:t>
      </w:r>
      <w:r>
        <w:rPr>
          <w:rFonts w:ascii="Palatino Linotype" w:eastAsia="Palatino Linotype" w:hAnsi="Palatino Linotype" w:cs="Palatino Linotype"/>
          <w:color w:val="000000"/>
        </w:rPr>
        <w:t xml:space="preserve">sin necesidad de acreditar interés alguno o justificar su utilización, de lo que se infiere que para el </w:t>
      </w:r>
      <w:r>
        <w:rPr>
          <w:rFonts w:ascii="Palatino Linotype" w:eastAsia="Palatino Linotype" w:hAnsi="Palatino Linotype" w:cs="Palatino Linotype"/>
        </w:rPr>
        <w:t>ejercicio</w:t>
      </w:r>
      <w:r>
        <w:rPr>
          <w:rFonts w:ascii="Palatino Linotype" w:eastAsia="Palatino Linotype" w:hAnsi="Palatino Linotype" w:cs="Palatino Linotype"/>
          <w:color w:val="000000"/>
        </w:rPr>
        <w:t xml:space="preserve"> del derecho de acceso a la información pública, </w:t>
      </w:r>
      <w:r>
        <w:rPr>
          <w:rFonts w:ascii="Palatino Linotype" w:eastAsia="Palatino Linotype" w:hAnsi="Palatino Linotype" w:cs="Palatino Linotype"/>
          <w:b/>
          <w:color w:val="000000"/>
        </w:rPr>
        <w:t xml:space="preserve">el nombre no es un requisito </w:t>
      </w:r>
      <w:r>
        <w:rPr>
          <w:rFonts w:ascii="Palatino Linotype" w:eastAsia="Palatino Linotype" w:hAnsi="Palatino Linotype" w:cs="Palatino Linotype"/>
          <w:b/>
          <w:i/>
          <w:color w:val="000000"/>
        </w:rPr>
        <w:t>sine qua non</w:t>
      </w:r>
      <w:r>
        <w:rPr>
          <w:rFonts w:ascii="Palatino Linotype" w:eastAsia="Palatino Linotype" w:hAnsi="Palatino Linotype" w:cs="Palatino Linotype"/>
          <w:color w:val="000000"/>
        </w:rPr>
        <w:t xml:space="preserve"> para que los particulares ejerzan el derecho de acceso a la información pública, pues por el contrario la Ley de la materia prevé en su artículo 155, párrafo segundo la posibilidad de que las solicitudes de información sean anónimas, al utilizar un nombre incompleto o, inclusive un seudónimo.</w:t>
      </w:r>
    </w:p>
    <w:p w14:paraId="71111014" w14:textId="77777777" w:rsidR="00E824BC" w:rsidRDefault="00E824BC" w:rsidP="00FE2406">
      <w:pPr>
        <w:spacing w:line="360" w:lineRule="auto"/>
        <w:jc w:val="both"/>
        <w:rPr>
          <w:rFonts w:ascii="Palatino Linotype" w:eastAsia="Palatino Linotype" w:hAnsi="Palatino Linotype" w:cs="Palatino Linotype"/>
          <w:color w:val="000000"/>
        </w:rPr>
      </w:pPr>
    </w:p>
    <w:p w14:paraId="36A2C308"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Correlativo a ello, cabe mencionar que los artículos 6, Apartado A, fracciones I, III, V y VI de la Constitución Política de los Estados Unidos Mexicanos y 5 párrafos vigésimo segundo, vigésimo tercero y vigésimo cuarto, fracciones I y III de la Constitución Política del Estado Libre y Soberano de México, garantizan el ejercicio del derecho de acceso a la información pública, toda vez que disponen que toda persona sin necesidad de acreditar interés alguno o justificar su utilización, tendrá acceso gratuito a la información pública; preceptos cuyo texto y sentido literal es el siguiente:</w:t>
      </w:r>
    </w:p>
    <w:p w14:paraId="1D20D5D0" w14:textId="77777777" w:rsidR="00E824BC" w:rsidRDefault="00E824BC" w:rsidP="00FE2406">
      <w:pPr>
        <w:spacing w:line="360" w:lineRule="auto"/>
        <w:jc w:val="both"/>
        <w:rPr>
          <w:rFonts w:ascii="Palatino Linotype" w:eastAsia="Palatino Linotype" w:hAnsi="Palatino Linotype" w:cs="Palatino Linotype"/>
        </w:rPr>
      </w:pPr>
    </w:p>
    <w:p w14:paraId="0FB7401E" w14:textId="77777777" w:rsidR="00E824BC" w:rsidRDefault="00772678" w:rsidP="00FE2406">
      <w:pPr>
        <w:ind w:left="851" w:right="899"/>
        <w:jc w:val="center"/>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lastRenderedPageBreak/>
        <w:t>Constitución Política de los Estados Unidos Mexicanos</w:t>
      </w:r>
    </w:p>
    <w:p w14:paraId="0423712E"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Artículo 6o.</w:t>
      </w:r>
      <w:r>
        <w:rPr>
          <w:rFonts w:ascii="Palatino Linotype" w:eastAsia="Palatino Linotype" w:hAnsi="Palatino Linotype" w:cs="Palatino Linotype"/>
          <w:i/>
          <w:sz w:val="22"/>
          <w:szCs w:val="22"/>
        </w:rPr>
        <w:t xml:space="preserve"> La manifestación de las ideas no será objeto de ninguna inquisición judicial o administrativa, sino en el caso de que ataque a la moral, la vida privada o los derechos de terceros, provoque algún delito, o perturbe el orden público; el derecho de réplica será ejercido en los términos dispuestos por la ley. </w:t>
      </w:r>
      <w:r>
        <w:rPr>
          <w:rFonts w:ascii="Palatino Linotype" w:eastAsia="Palatino Linotype" w:hAnsi="Palatino Linotype" w:cs="Palatino Linotype"/>
          <w:b/>
          <w:i/>
          <w:sz w:val="22"/>
          <w:szCs w:val="22"/>
        </w:rPr>
        <w:t>El derecho a la información será garantizado por el Estado.</w:t>
      </w:r>
      <w:r>
        <w:rPr>
          <w:rFonts w:ascii="Palatino Linotype" w:eastAsia="Palatino Linotype" w:hAnsi="Palatino Linotype" w:cs="Palatino Linotype"/>
          <w:i/>
          <w:sz w:val="22"/>
          <w:szCs w:val="22"/>
        </w:rPr>
        <w:t xml:space="preserve"> </w:t>
      </w:r>
    </w:p>
    <w:p w14:paraId="5EB9A09D"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Toda persona tiene derecho al libre acceso a información plural y oportuna, así como a buscar, recibir y difundir información e ideas de toda índole por cualquier medio de expresión</w:t>
      </w:r>
      <w:r>
        <w:rPr>
          <w:rFonts w:ascii="Palatino Linotype" w:eastAsia="Palatino Linotype" w:hAnsi="Palatino Linotype" w:cs="Palatino Linotype"/>
          <w:i/>
          <w:sz w:val="22"/>
          <w:szCs w:val="22"/>
        </w:rPr>
        <w:t>.</w:t>
      </w:r>
    </w:p>
    <w:p w14:paraId="12539C00"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Para efectos de lo dispuesto en el presente artículo se observará lo siguiente:</w:t>
      </w:r>
    </w:p>
    <w:p w14:paraId="2C94743B"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w:t>
      </w:r>
      <w:r>
        <w:rPr>
          <w:rFonts w:ascii="Palatino Linotype" w:eastAsia="Palatino Linotype" w:hAnsi="Palatino Linotype" w:cs="Palatino Linotype"/>
          <w:i/>
          <w:sz w:val="22"/>
          <w:szCs w:val="22"/>
        </w:rPr>
        <w:t xml:space="preserve"> Para el ejercicio del derecho de acceso a la información, la Federación, los Estados y el Distrito Federal, en el ámbito de sus respectivas competencias, se regirán por los siguientes principios y bases:</w:t>
      </w:r>
    </w:p>
    <w:p w14:paraId="563BD92B" w14:textId="77777777" w:rsidR="00E824BC" w:rsidRDefault="00772678" w:rsidP="00FE2406">
      <w:pPr>
        <w:ind w:left="851" w:right="899"/>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I. Toda la información 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 es pública y sólo podrá ser reservada temporalmente por razones de interés público y seguridad nacional,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14:paraId="51072960"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1ACB3127" w14:textId="77777777" w:rsidR="00E824BC" w:rsidRDefault="00772678" w:rsidP="00FE2406">
      <w:pPr>
        <w:ind w:left="851" w:right="899"/>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III. Toda persona, sin necesidad de acreditar interés alguno o justificar su utilización, tendrá acceso gratuito a la información pública, a sus datos personales o a la rectificación de éstos.</w:t>
      </w:r>
    </w:p>
    <w:p w14:paraId="00296084"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4E685609" w14:textId="77777777" w:rsidR="00E824BC" w:rsidRDefault="00772678" w:rsidP="00FE2406">
      <w:pPr>
        <w:ind w:left="851" w:right="902"/>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V. 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de los resultados obtenidos.</w:t>
      </w:r>
    </w:p>
    <w:p w14:paraId="13B965F3" w14:textId="77777777" w:rsidR="00E824BC" w:rsidRDefault="00772678" w:rsidP="00FE2406">
      <w:pPr>
        <w:ind w:left="851" w:right="902"/>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lastRenderedPageBreak/>
        <w:t>VI. Las leyes determinarán la manera en que los sujetos obligados deberán hacer pública la información relativa a los recursos públicos que entreguen a personas físicas o morales</w:t>
      </w:r>
      <w:r>
        <w:rPr>
          <w:rFonts w:ascii="Palatino Linotype" w:eastAsia="Palatino Linotype" w:hAnsi="Palatino Linotype" w:cs="Palatino Linotype"/>
          <w:i/>
          <w:sz w:val="22"/>
          <w:szCs w:val="22"/>
        </w:rPr>
        <w:t>.”</w:t>
      </w:r>
    </w:p>
    <w:p w14:paraId="4A88D280"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7E004D51" w14:textId="77777777" w:rsidR="00E824BC" w:rsidRDefault="00772678" w:rsidP="00FE2406">
      <w:pPr>
        <w:ind w:left="851" w:right="902"/>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La ley establecerá aquella información que se considere reservada o confidencial.</w:t>
      </w:r>
    </w:p>
    <w:p w14:paraId="6CA30DF1" w14:textId="77777777" w:rsidR="00E824BC" w:rsidRDefault="00772678" w:rsidP="00FE2406">
      <w:pPr>
        <w:ind w:left="851" w:right="902"/>
        <w:jc w:val="center"/>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Constitución Política del Estado Libre y Soberano de México</w:t>
      </w:r>
    </w:p>
    <w:p w14:paraId="465AB795"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 xml:space="preserve">Artículo 5. </w:t>
      </w:r>
      <w:r>
        <w:rPr>
          <w:rFonts w:ascii="Palatino Linotype" w:eastAsia="Palatino Linotype" w:hAnsi="Palatino Linotype" w:cs="Palatino Linotype"/>
          <w:i/>
          <w:sz w:val="22"/>
          <w:szCs w:val="22"/>
        </w:rPr>
        <w:t xml:space="preserve">… </w:t>
      </w:r>
    </w:p>
    <w:p w14:paraId="2141B1A9"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704974C3"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El derecho a la información será garantizado por el Estado</w:t>
      </w:r>
      <w:r>
        <w:rPr>
          <w:rFonts w:ascii="Palatino Linotype" w:eastAsia="Palatino Linotype" w:hAnsi="Palatino Linotype" w:cs="Palatino Linotype"/>
          <w:i/>
          <w:sz w:val="22"/>
          <w:szCs w:val="22"/>
        </w:rPr>
        <w:t>. La ley establecerá las previsiones que permitan asegurar la protección, el respeto y la difusión de este derecho.</w:t>
      </w:r>
    </w:p>
    <w:p w14:paraId="4D114AE9"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w:t>
      </w:r>
    </w:p>
    <w:p w14:paraId="2B73A00B"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Este derecho se regirá por los principios y bases siguientes:</w:t>
      </w:r>
    </w:p>
    <w:p w14:paraId="0DCF7FD8"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 Toda la información en posesión de cualquier autoridad, entidad, órgano y organismos de los Poderes Ejecutivo, Legislativo y Judicial, órganos autónomos, partidos políticos, fideicomisos y fondos públicos estatales y municipales,</w:t>
      </w:r>
      <w:r>
        <w:rPr>
          <w:rFonts w:ascii="Palatino Linotype" w:eastAsia="Palatino Linotype" w:hAnsi="Palatino Linotype" w:cs="Palatino Linotype"/>
          <w:i/>
          <w:sz w:val="22"/>
          <w:szCs w:val="22"/>
        </w:rPr>
        <w:t xml:space="preserve"> así como del gobierno y de la administración pública municipal y sus organismos descentralizados, asimismo de cualquier persona física, jurídica colectiva o sindicato que reciba y ejerza recursos públicos o realice actos de autoridad en el ámbito estatal y municipal, es pública y sólo podrá ser reservada temporalmente por razones previstas en la Constitución Política de los Estados Unidos Mexicanos de interés público y seguridad,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14:paraId="6C683DA2"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76116A95"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III. Toda persona, sin necesidad de acreditar interés alguno o justificar su utilización, tendrá acceso gratuito a la información pública, a sus datos personales o a la rectificación de éstos.</w:t>
      </w:r>
      <w:r>
        <w:rPr>
          <w:rFonts w:ascii="Palatino Linotype" w:eastAsia="Palatino Linotype" w:hAnsi="Palatino Linotype" w:cs="Palatino Linotype"/>
          <w:i/>
          <w:sz w:val="22"/>
          <w:szCs w:val="22"/>
        </w:rPr>
        <w:t>”</w:t>
      </w:r>
    </w:p>
    <w:p w14:paraId="1532C45A" w14:textId="77777777" w:rsidR="00E824BC" w:rsidRDefault="00772678" w:rsidP="00FE2406">
      <w:pPr>
        <w:ind w:left="851" w:right="902"/>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(Énfasis añadido)</w:t>
      </w:r>
    </w:p>
    <w:p w14:paraId="57A36BAA" w14:textId="77777777" w:rsidR="00E824BC" w:rsidRDefault="00E824BC" w:rsidP="00FE2406">
      <w:pPr>
        <w:ind w:left="851" w:right="902"/>
        <w:jc w:val="both"/>
        <w:rPr>
          <w:rFonts w:ascii="Palatino Linotype" w:eastAsia="Palatino Linotype" w:hAnsi="Palatino Linotype" w:cs="Palatino Linotype"/>
        </w:rPr>
      </w:pPr>
    </w:p>
    <w:p w14:paraId="336630BA"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Por otra parte, del contenido del artículo 1 de la Constitución Política de los Estados Unidos Mexicanos, se destaca lo siguiente:</w:t>
      </w:r>
    </w:p>
    <w:p w14:paraId="72680C7C" w14:textId="77777777" w:rsidR="00E824BC" w:rsidRDefault="00E824BC" w:rsidP="00FE2406">
      <w:pPr>
        <w:jc w:val="both"/>
        <w:rPr>
          <w:rFonts w:ascii="Palatino Linotype" w:eastAsia="Palatino Linotype" w:hAnsi="Palatino Linotype" w:cs="Palatino Linotype"/>
        </w:rPr>
      </w:pPr>
    </w:p>
    <w:p w14:paraId="1CB3E4BD"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Artículo 1o</w:t>
      </w:r>
      <w:r>
        <w:rPr>
          <w:rFonts w:ascii="Palatino Linotype" w:eastAsia="Palatino Linotype" w:hAnsi="Palatino Linotype" w:cs="Palatino Linotype"/>
          <w:i/>
          <w:sz w:val="22"/>
          <w:szCs w:val="22"/>
        </w:rPr>
        <w:t>. En los Estados Unidos Mexicanos todas las personas gozarán de los derechos humanos reconocidos en esta Constitución y en los tratados internacionales de los que el Estado Mexicano sea parte, así como de las garantías para su protección, cuyo ejercicio no podrá restringirse ni suspenderse, salvo en los casos y bajo las condiciones que esta Constitución establece.</w:t>
      </w:r>
    </w:p>
    <w:p w14:paraId="3C5AEB85" w14:textId="77777777" w:rsidR="00E824BC" w:rsidRDefault="00772678" w:rsidP="00FE2406">
      <w:pPr>
        <w:ind w:left="851" w:right="902"/>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Las normas relativas a los derechos humanos se interpretarán</w:t>
      </w:r>
      <w:r>
        <w:rPr>
          <w:rFonts w:ascii="Palatino Linotype" w:eastAsia="Palatino Linotype" w:hAnsi="Palatino Linotype" w:cs="Palatino Linotype"/>
          <w:i/>
          <w:sz w:val="22"/>
          <w:szCs w:val="22"/>
        </w:rPr>
        <w:t xml:space="preserve"> de conformidad con esta Constitución y con los tratados internacionales de la </w:t>
      </w:r>
      <w:r>
        <w:rPr>
          <w:rFonts w:ascii="Palatino Linotype" w:eastAsia="Palatino Linotype" w:hAnsi="Palatino Linotype" w:cs="Palatino Linotype"/>
          <w:b/>
          <w:i/>
          <w:sz w:val="22"/>
          <w:szCs w:val="22"/>
        </w:rPr>
        <w:t>materia favoreciendo en todo tiempo a las personas la protección más amplia.</w:t>
      </w:r>
    </w:p>
    <w:p w14:paraId="070A2463"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Todas las autoridades, en el ámbito de sus competencias, tienen la obligación de promover, respetar, proteger y garantizar los derechos humanos de conformidad con los principios de universalidad, interdependencia, indivisibilidad y progresividad</w:t>
      </w:r>
      <w:r>
        <w:rPr>
          <w:rFonts w:ascii="Palatino Linotype" w:eastAsia="Palatino Linotype" w:hAnsi="Palatino Linotype" w:cs="Palatino Linotype"/>
          <w:i/>
          <w:sz w:val="22"/>
          <w:szCs w:val="22"/>
        </w:rPr>
        <w:t>. En consecuencia, el Estado deberá prevenir, investigar, sancionar y reparar las violaciones a los derechos humanos, en los términos que establezca la ley.”</w:t>
      </w:r>
    </w:p>
    <w:p w14:paraId="2B229FFD" w14:textId="77777777" w:rsidR="00E824BC" w:rsidRDefault="00772678" w:rsidP="00FE2406">
      <w:pPr>
        <w:ind w:left="851" w:right="902"/>
        <w:jc w:val="both"/>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(Énfasis añadido)</w:t>
      </w:r>
    </w:p>
    <w:p w14:paraId="6A608553" w14:textId="77777777" w:rsidR="00E824BC" w:rsidRDefault="00E824BC" w:rsidP="00FE2406">
      <w:pPr>
        <w:spacing w:line="360" w:lineRule="auto"/>
        <w:jc w:val="both"/>
        <w:rPr>
          <w:rFonts w:ascii="Palatino Linotype" w:eastAsia="Palatino Linotype" w:hAnsi="Palatino Linotype" w:cs="Palatino Linotype"/>
        </w:rPr>
      </w:pPr>
    </w:p>
    <w:p w14:paraId="13E7A7E2"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En esa virtud, de una interpretación sistemática, armónica y progresiva del derecho humano de acceso a la información pública se reitera que toda persona, sin necesidad de acreditar interés alguno o justificar su utilización, deberá tener acceso a la información pública, es decir, dicho derecho fundamental exime a quien lo ejerce, de acreditar su legitimación en la causa o su interés en el asunto, lo que permite la posibilidad de que inclusive, la solicitud de acceso a la información pueda ser anónima o no contener un nombre que identifique al solicitante o que permita tener certeza sobre su identidad.</w:t>
      </w:r>
    </w:p>
    <w:p w14:paraId="39203DB4" w14:textId="77777777" w:rsidR="00E824BC" w:rsidRDefault="00E824BC" w:rsidP="00FE2406">
      <w:pPr>
        <w:spacing w:line="360" w:lineRule="auto"/>
        <w:jc w:val="both"/>
        <w:rPr>
          <w:rFonts w:ascii="Palatino Linotype" w:eastAsia="Palatino Linotype" w:hAnsi="Palatino Linotype" w:cs="Palatino Linotype"/>
        </w:rPr>
      </w:pPr>
    </w:p>
    <w:p w14:paraId="24EBE980"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Robustece lo anterior, el Criterio 6/2014 del entonces Instituto Federal de Acceso a la Información y Protección de Datos (IFAI) hoy Instituto Nacional de Transparencia, Acceso a la Información y Protección de Datos Personales (INAI), el cual se reproduce para una mayor referencia:</w:t>
      </w:r>
    </w:p>
    <w:p w14:paraId="09699571" w14:textId="77777777" w:rsidR="00E824BC" w:rsidRDefault="00E824BC" w:rsidP="00FE2406">
      <w:pPr>
        <w:spacing w:line="360" w:lineRule="auto"/>
        <w:jc w:val="both"/>
        <w:rPr>
          <w:rFonts w:ascii="Palatino Linotype" w:eastAsia="Palatino Linotype" w:hAnsi="Palatino Linotype" w:cs="Palatino Linotype"/>
        </w:rPr>
      </w:pPr>
    </w:p>
    <w:p w14:paraId="3296BD89"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Acceso a información gubernamental. No debe condicionarse a que el solicitante acredite su personalidad, demuestre interés alguno o justifique su utilización.</w:t>
      </w:r>
      <w:r>
        <w:rPr>
          <w:rFonts w:ascii="Palatino Linotype" w:eastAsia="Palatino Linotype" w:hAnsi="Palatino Linotype" w:cs="Palatino Linotype"/>
          <w:i/>
          <w:sz w:val="22"/>
          <w:szCs w:val="22"/>
        </w:rPr>
        <w:t xml:space="preserve"> De conformidad con lo dispuesto en los artículos 6o., apartado A, fracción III de la Constitución Política de los Estados Unidos Mexicanos, y 1º, 2º, 4º y 40 de la Ley Federal de Transparencia y Acceso a la Información Pública Gubernamental, la respuesta a una solicitud de acceso a información y entrega de la misma, no debe estar condicionada a que el particular acredite su personalidad, demuestre interés alguno o justifique su utilización, en virtud de que los sujetos obligados no deben requerir al solicitante mayores requisitos que los establecidos en la Ley. En este sentido, las dependencias y entidades, sólo deberán asegurarse de que, en su caso, se haya cubierto el pago de reproducción y envío de la información, mediante la exhibición del recibo correspondiente.” (SIC)</w:t>
      </w:r>
    </w:p>
    <w:p w14:paraId="5BF1EE0F" w14:textId="77777777" w:rsidR="00E824BC" w:rsidRDefault="00E824BC" w:rsidP="00FE2406">
      <w:pPr>
        <w:spacing w:line="360" w:lineRule="auto"/>
        <w:jc w:val="both"/>
        <w:rPr>
          <w:rFonts w:ascii="Palatino Linotype" w:eastAsia="Palatino Linotype" w:hAnsi="Palatino Linotype" w:cs="Palatino Linotype"/>
        </w:rPr>
      </w:pPr>
    </w:p>
    <w:p w14:paraId="6B46A59D"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ese orden de ideas, se estima que el requerimiento relativo al nombre como presupuesto de procedibilidad, podría limitar el ejercicio del derecho de acceso a la información pública, debido a que, el hecho de solicitar la identificación del hoy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a través de dicho dato personal, en ciertos extremos se equipara a una exigencia acerca de su interés o justificación de su utilización, lo que materialmente haría nugatorio un derecho fundamental.</w:t>
      </w:r>
    </w:p>
    <w:p w14:paraId="104C7505" w14:textId="77777777" w:rsidR="00E824BC" w:rsidRDefault="00E824BC" w:rsidP="00FE2406">
      <w:pPr>
        <w:spacing w:line="360" w:lineRule="auto"/>
        <w:jc w:val="both"/>
        <w:rPr>
          <w:rFonts w:ascii="Palatino Linotype" w:eastAsia="Palatino Linotype" w:hAnsi="Palatino Linotype" w:cs="Palatino Linotype"/>
        </w:rPr>
      </w:pPr>
    </w:p>
    <w:p w14:paraId="6031F364"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Aunado a ello, para el estudio de la materia sobre la que se resuelve el presente recurso de revisión, resulta intrascendente conocer el nombre de la persona que lo hubiere </w:t>
      </w:r>
      <w:r>
        <w:rPr>
          <w:rFonts w:ascii="Palatino Linotype" w:eastAsia="Palatino Linotype" w:hAnsi="Palatino Linotype" w:cs="Palatino Linotype"/>
        </w:rPr>
        <w:lastRenderedPageBreak/>
        <w:t xml:space="preserve">promovido, en virtud de que tanto la Constitución Política de los Estados Unidos Mexicanos, como la Constitución Política del Estado Libre y Soberano del Estado de México, reconocen la prerrogativa de los individuos para que no resulte necesario la acreditación de un interés o justificar la utilización de la información; por lo que, resulta ocioso realizar dicho análisis, en la inteligencia de que se limitaría el ejercicio de un derecho humano, como el derecho de acceso a la información pública, por una cuestión procedimental. </w:t>
      </w:r>
    </w:p>
    <w:p w14:paraId="77533477" w14:textId="77777777" w:rsidR="00E824BC" w:rsidRDefault="00E824BC" w:rsidP="00FE2406">
      <w:pPr>
        <w:spacing w:line="360" w:lineRule="auto"/>
        <w:jc w:val="both"/>
        <w:rPr>
          <w:rFonts w:ascii="Palatino Linotype" w:eastAsia="Palatino Linotype" w:hAnsi="Palatino Linotype" w:cs="Palatino Linotype"/>
        </w:rPr>
      </w:pPr>
    </w:p>
    <w:p w14:paraId="4E10C412"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Asimismo, se estima que el requisito relativo al nombre del solicitante no constituye un presupuesto indispensable de procedibilidad de los recursos de revisión, en términos de los artículos 25 de la Convención Americana de Derechos Humanos, 1, párrafos segundo y tercero, 6 apartado A, fracciones III y IV de la Constitución Política de los Estados Unidos Mexicanos y 5, párrafo vigésimo cuarto de la Constitución Política del Estado Libre y Soberano de México, debido a que el acceso a la información pública es un derecho humano que no requiere legitimación en la causa, sino que únicamente basta con que se encuentre legitimado en el procedimiento de recurso de revisión, circunstancia que se acredita en las constancias electrónicas del expediente, de las que se desprende que </w:t>
      </w:r>
      <w:r>
        <w:rPr>
          <w:rFonts w:ascii="Palatino Linotype" w:eastAsia="Palatino Linotype" w:hAnsi="Palatino Linotype" w:cs="Palatino Linotype"/>
          <w:b/>
        </w:rPr>
        <w:t>EL RECURRENTE</w:t>
      </w:r>
      <w:r>
        <w:rPr>
          <w:rFonts w:ascii="Palatino Linotype" w:eastAsia="Palatino Linotype" w:hAnsi="Palatino Linotype" w:cs="Palatino Linotype"/>
        </w:rPr>
        <w:t>, es la misma persona que realizó la solicitud de acceso a la información pública que ahora se impugna.</w:t>
      </w:r>
    </w:p>
    <w:p w14:paraId="743ED6B4" w14:textId="77777777" w:rsidR="00E824BC" w:rsidRDefault="00E824BC" w:rsidP="00FE2406">
      <w:pPr>
        <w:widowControl w:val="0"/>
        <w:pBdr>
          <w:top w:val="nil"/>
          <w:left w:val="nil"/>
          <w:bottom w:val="nil"/>
          <w:right w:val="nil"/>
          <w:between w:val="nil"/>
        </w:pBdr>
        <w:tabs>
          <w:tab w:val="left" w:pos="1418"/>
        </w:tabs>
        <w:spacing w:line="360" w:lineRule="auto"/>
        <w:jc w:val="both"/>
        <w:rPr>
          <w:rFonts w:ascii="Palatino Linotype" w:eastAsia="Palatino Linotype" w:hAnsi="Palatino Linotype" w:cs="Palatino Linotype"/>
          <w:color w:val="000000"/>
        </w:rPr>
      </w:pPr>
    </w:p>
    <w:p w14:paraId="29BFB45F" w14:textId="77777777" w:rsidR="00E824BC" w:rsidRDefault="00772678" w:rsidP="00FE2406">
      <w:pPr>
        <w:widowControl w:val="0"/>
        <w:pBdr>
          <w:top w:val="nil"/>
          <w:left w:val="nil"/>
          <w:bottom w:val="nil"/>
          <w:right w:val="nil"/>
          <w:between w:val="nil"/>
        </w:pBdr>
        <w:tabs>
          <w:tab w:val="left" w:pos="1418"/>
        </w:tabs>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En adición a lo anterior, el propio artículo 180 en su último párrafo establece que cuando el recurso se interponga de manera electrónica no será indispensable que </w:t>
      </w:r>
      <w:r>
        <w:rPr>
          <w:rFonts w:ascii="Palatino Linotype" w:eastAsia="Palatino Linotype" w:hAnsi="Palatino Linotype" w:cs="Palatino Linotype"/>
          <w:color w:val="000000"/>
        </w:rPr>
        <w:lastRenderedPageBreak/>
        <w:t>contenga determinados requisitos, entre ellos, el nombre del hoy</w:t>
      </w:r>
      <w:r>
        <w:rPr>
          <w:rFonts w:ascii="Palatino Linotype" w:eastAsia="Palatino Linotype" w:hAnsi="Palatino Linotype" w:cs="Palatino Linotype"/>
          <w:b/>
          <w:color w:val="000000"/>
        </w:rPr>
        <w:t xml:space="preserve"> RECURRENTE</w:t>
      </w:r>
      <w:r>
        <w:rPr>
          <w:rFonts w:ascii="Palatino Linotype" w:eastAsia="Palatino Linotype" w:hAnsi="Palatino Linotype" w:cs="Palatino Linotype"/>
          <w:color w:val="000000"/>
        </w:rPr>
        <w:t xml:space="preserve">, por lo que, en el presente caso, al haber sido presentado el recurso de revisión vía </w:t>
      </w:r>
      <w:r>
        <w:rPr>
          <w:rFonts w:ascii="Palatino Linotype" w:eastAsia="Palatino Linotype" w:hAnsi="Palatino Linotype" w:cs="Palatino Linotype"/>
          <w:b/>
          <w:color w:val="000000"/>
        </w:rPr>
        <w:t>SAIMEX</w:t>
      </w:r>
      <w:r>
        <w:rPr>
          <w:rFonts w:ascii="Palatino Linotype" w:eastAsia="Palatino Linotype" w:hAnsi="Palatino Linotype" w:cs="Palatino Linotype"/>
          <w:color w:val="000000"/>
        </w:rPr>
        <w:t>, dicho requisito resulta innecesario.</w:t>
      </w:r>
    </w:p>
    <w:p w14:paraId="3A777974"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p>
    <w:p w14:paraId="147B21EC" w14:textId="7777777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color w:val="000000"/>
        </w:rPr>
        <w:t>CUARTO. Análisis de los Requisitos de Procedibilidad.</w:t>
      </w:r>
      <w:r>
        <w:rPr>
          <w:rFonts w:ascii="Palatino Linotype" w:eastAsia="Palatino Linotype" w:hAnsi="Palatino Linotype" w:cs="Palatino Linotype"/>
          <w:color w:val="000000"/>
        </w:rPr>
        <w:t xml:space="preserve"> </w:t>
      </w:r>
    </w:p>
    <w:p w14:paraId="52D118D9"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color w:val="000000"/>
        </w:rPr>
      </w:pPr>
    </w:p>
    <w:p w14:paraId="3AB32CED" w14:textId="77777777" w:rsidR="00E824BC" w:rsidRDefault="00772678" w:rsidP="00FE2406">
      <w:pPr>
        <w:widowControl w:val="0"/>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rPr>
        <w:t>Una vez valorada la legitimación del</w:t>
      </w:r>
      <w:r>
        <w:rPr>
          <w:rFonts w:ascii="Palatino Linotype" w:eastAsia="Palatino Linotype" w:hAnsi="Palatino Linotype" w:cs="Palatino Linotype"/>
          <w:b/>
        </w:rPr>
        <w:t xml:space="preserve"> RECURRENTE</w:t>
      </w:r>
      <w:r>
        <w:rPr>
          <w:rFonts w:ascii="Palatino Linotype" w:eastAsia="Palatino Linotype" w:hAnsi="Palatino Linotype" w:cs="Palatino Linotype"/>
        </w:rPr>
        <w:t>, corresponde revisar que la interposición del recurso de revisión cumpla con los extremos legales de procedibilidad.</w:t>
      </w:r>
    </w:p>
    <w:p w14:paraId="06CF4FC0" w14:textId="77777777" w:rsidR="00E824BC" w:rsidRDefault="00E824BC" w:rsidP="00FE2406">
      <w:pPr>
        <w:widowControl w:val="0"/>
        <w:spacing w:line="360" w:lineRule="auto"/>
        <w:jc w:val="both"/>
        <w:rPr>
          <w:rFonts w:ascii="Palatino Linotype" w:eastAsia="Palatino Linotype" w:hAnsi="Palatino Linotype" w:cs="Palatino Linotype"/>
        </w:rPr>
      </w:pPr>
    </w:p>
    <w:p w14:paraId="5A332F72" w14:textId="77777777" w:rsidR="00E824BC" w:rsidRDefault="00772678" w:rsidP="00FE2406">
      <w:pPr>
        <w:widowControl w:val="0"/>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Así, en primer término, se advierte que los presentes recursos de revisión son procedentes, al actualizarse las hipótesis previstas en las fracciones VII y IX del artículo 179 de la ley de la materia, que la letra establece:</w:t>
      </w:r>
    </w:p>
    <w:p w14:paraId="78B0192E" w14:textId="77777777" w:rsidR="00E824BC" w:rsidRDefault="00E824BC" w:rsidP="00FE2406">
      <w:pPr>
        <w:widowControl w:val="0"/>
        <w:spacing w:line="360" w:lineRule="auto"/>
        <w:jc w:val="both"/>
        <w:rPr>
          <w:rFonts w:ascii="Palatino Linotype" w:eastAsia="Palatino Linotype" w:hAnsi="Palatino Linotype" w:cs="Palatino Linotype"/>
        </w:rPr>
      </w:pPr>
    </w:p>
    <w:p w14:paraId="16C2E1B7"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Artículo 179.</w:t>
      </w:r>
      <w:r>
        <w:rPr>
          <w:rFonts w:ascii="Palatino Linotype" w:eastAsia="Palatino Linotype" w:hAnsi="Palatino Linotype" w:cs="Palatino Linotype"/>
          <w:i/>
          <w:sz w:val="22"/>
          <w:szCs w:val="22"/>
        </w:rPr>
        <w:t xml:space="preserve"> El recurso de revisión es un medio de protección que la Ley otorga a los particulares, para hacer valer su derecho de acceso a la información pública, y procederá en contra de las siguientes causas:</w:t>
      </w:r>
    </w:p>
    <w:p w14:paraId="4D59E174"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0C2AECEB" w14:textId="3A5731FF" w:rsidR="00E824BC" w:rsidRDefault="00772678" w:rsidP="00FE2406">
      <w:pPr>
        <w:ind w:left="851" w:right="902"/>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V. La entrega de información incompleta;</w:t>
      </w:r>
      <w:r>
        <w:rPr>
          <w:rFonts w:ascii="Palatino Linotype" w:eastAsia="Palatino Linotype" w:hAnsi="Palatino Linotype" w:cs="Palatino Linotype"/>
          <w:b/>
          <w:i/>
          <w:sz w:val="22"/>
          <w:szCs w:val="22"/>
        </w:rPr>
        <w:br/>
      </w:r>
      <w:r w:rsidR="000D5547">
        <w:rPr>
          <w:rFonts w:ascii="Palatino Linotype" w:eastAsia="Palatino Linotype" w:hAnsi="Palatino Linotype" w:cs="Palatino Linotype"/>
          <w:b/>
          <w:i/>
          <w:sz w:val="22"/>
          <w:szCs w:val="22"/>
        </w:rPr>
        <w:t>X.</w:t>
      </w:r>
      <w:r>
        <w:rPr>
          <w:rFonts w:ascii="Palatino Linotype" w:eastAsia="Palatino Linotype" w:hAnsi="Palatino Linotype" w:cs="Palatino Linotype"/>
          <w:b/>
          <w:i/>
          <w:sz w:val="22"/>
          <w:szCs w:val="22"/>
        </w:rPr>
        <w:t xml:space="preserve"> Los costos o tiempos de entrega de la información;</w:t>
      </w:r>
    </w:p>
    <w:p w14:paraId="65CFBBAD" w14:textId="77777777" w:rsidR="00E824BC" w:rsidRDefault="00772678" w:rsidP="00FE2406">
      <w:pPr>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14:paraId="6D5FC08D" w14:textId="77777777" w:rsidR="00E824BC" w:rsidRDefault="00772678" w:rsidP="00FE2406">
      <w:pPr>
        <w:tabs>
          <w:tab w:val="left" w:pos="6765"/>
        </w:tabs>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(Énfasis añadido)</w:t>
      </w:r>
      <w:r>
        <w:rPr>
          <w:rFonts w:ascii="Palatino Linotype" w:eastAsia="Palatino Linotype" w:hAnsi="Palatino Linotype" w:cs="Palatino Linotype"/>
          <w:i/>
          <w:sz w:val="22"/>
          <w:szCs w:val="22"/>
        </w:rPr>
        <w:tab/>
      </w:r>
    </w:p>
    <w:p w14:paraId="0D6ABFDC" w14:textId="77777777" w:rsidR="00E824BC" w:rsidRDefault="00E824BC" w:rsidP="00FE2406">
      <w:pPr>
        <w:widowControl w:val="0"/>
        <w:spacing w:line="360" w:lineRule="auto"/>
        <w:jc w:val="both"/>
        <w:rPr>
          <w:rFonts w:ascii="Palatino Linotype" w:eastAsia="Palatino Linotype" w:hAnsi="Palatino Linotype" w:cs="Palatino Linotype"/>
        </w:rPr>
      </w:pPr>
    </w:p>
    <w:p w14:paraId="534F1E48" w14:textId="77777777" w:rsidR="00E824BC" w:rsidRDefault="00772678" w:rsidP="00FE2406">
      <w:pPr>
        <w:widowControl w:val="0"/>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Ya que de las constancias que integran los expedientes electrónicos de los recursos de revisión en estudio y de las manifestaciones realizadas por </w:t>
      </w:r>
      <w:r>
        <w:rPr>
          <w:rFonts w:ascii="Palatino Linotype" w:eastAsia="Palatino Linotype" w:hAnsi="Palatino Linotype" w:cs="Palatino Linotype"/>
          <w:b/>
        </w:rPr>
        <w:t>EL RECURRENTE</w:t>
      </w:r>
      <w:r>
        <w:rPr>
          <w:rFonts w:ascii="Palatino Linotype" w:eastAsia="Palatino Linotype" w:hAnsi="Palatino Linotype" w:cs="Palatino Linotype"/>
        </w:rPr>
        <w:t xml:space="preserve"> al </w:t>
      </w:r>
      <w:r>
        <w:rPr>
          <w:rFonts w:ascii="Palatino Linotype" w:eastAsia="Palatino Linotype" w:hAnsi="Palatino Linotype" w:cs="Palatino Linotype"/>
        </w:rPr>
        <w:lastRenderedPageBreak/>
        <w:t xml:space="preserve">interponerlos, lo hizo porque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no entregó la información en tiempo y forma conforme lo establece la Ley de Transparencia y Acceso a la Información Pública del Estado de México. Lo que será materia del estudio de fondo que se haga en la presente resolución; atento a ello, este Órgano Garante considera que se colma el supuesto en mención para promover el recurso de revisión.</w:t>
      </w:r>
    </w:p>
    <w:p w14:paraId="1D499550" w14:textId="77777777" w:rsidR="00E824BC" w:rsidRDefault="00E824BC" w:rsidP="00FE2406">
      <w:pPr>
        <w:widowControl w:val="0"/>
        <w:spacing w:line="360" w:lineRule="auto"/>
        <w:jc w:val="both"/>
        <w:rPr>
          <w:rFonts w:ascii="Palatino Linotype" w:eastAsia="Palatino Linotype" w:hAnsi="Palatino Linotype" w:cs="Palatino Linotype"/>
        </w:rPr>
      </w:pPr>
    </w:p>
    <w:p w14:paraId="2AF1D9C8" w14:textId="77777777" w:rsidR="00E824BC" w:rsidRDefault="00772678" w:rsidP="00FE2406">
      <w:pPr>
        <w:widowControl w:val="0"/>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Continuando con la revisión de que se cumplan con los extremos legales de procedencia, de igual manera el artículo 180 de la Ley de Transparencia y Acceso a la Información Pública del Estado de México y Municipios, establece los requisitos de forma que debe cumplir el recurso de revisión, mismo que se transcribe a continuación:</w:t>
      </w:r>
    </w:p>
    <w:p w14:paraId="1B3C9E95" w14:textId="77777777" w:rsidR="00E824BC" w:rsidRDefault="00E824BC" w:rsidP="00FE2406">
      <w:pPr>
        <w:widowControl w:val="0"/>
        <w:spacing w:line="360" w:lineRule="auto"/>
        <w:jc w:val="both"/>
        <w:rPr>
          <w:rFonts w:ascii="Palatino Linotype" w:eastAsia="Palatino Linotype" w:hAnsi="Palatino Linotype" w:cs="Palatino Linotype"/>
        </w:rPr>
      </w:pPr>
    </w:p>
    <w:p w14:paraId="7F9C7432"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 180</w:t>
      </w:r>
      <w:r>
        <w:rPr>
          <w:rFonts w:ascii="Palatino Linotype" w:eastAsia="Palatino Linotype" w:hAnsi="Palatino Linotype" w:cs="Palatino Linotype"/>
          <w:i/>
          <w:sz w:val="22"/>
          <w:szCs w:val="22"/>
        </w:rPr>
        <w:t>. El recurso de revisión contendrá:</w:t>
      </w:r>
    </w:p>
    <w:p w14:paraId="3022999A"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I. El sujeto obligado ante la cual se presentó la solicitud;</w:t>
      </w:r>
    </w:p>
    <w:p w14:paraId="3A6B711A"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II. El nombre del solicitante que recurre o de su representante y, en su caso, del tercero interesado, así como la dirección o medio que señale para recibir notificaciones;</w:t>
      </w:r>
    </w:p>
    <w:p w14:paraId="46DEC936"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III. El número de folio de respuesta de la solicitud de acceso;</w:t>
      </w:r>
    </w:p>
    <w:p w14:paraId="6BDA037E"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IV. La fecha en que fue notificada la respuesta al solicitante o tuvo conocimiento del acto reclamado, o de presentación de la solicitud, en caso de falta de respuesta;</w:t>
      </w:r>
    </w:p>
    <w:p w14:paraId="25C4E1AD"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V. El acto que se recurre;</w:t>
      </w:r>
    </w:p>
    <w:p w14:paraId="0D1268B7"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VI. Las razones o motivos de inconformidad;</w:t>
      </w:r>
    </w:p>
    <w:p w14:paraId="1647F72B"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VII. La copia de la respuesta que se impugna y, en su caso, de la notificación correspondiente, en el caso de respuesta de la solicitud; y</w:t>
      </w:r>
    </w:p>
    <w:p w14:paraId="61E1F96C"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VIII. Firma del recurrente, en su caso, cuando se presente por escrito, requisito sin el cual se dará trámite al recurso.</w:t>
      </w:r>
    </w:p>
    <w:p w14:paraId="352A850B"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Adicionalmente, se podrán anexar las pruebas y demás elementos que considere procedentes someter a juicio del Instituto.</w:t>
      </w:r>
    </w:p>
    <w:p w14:paraId="3B3EC48C"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En ningún caso será necesario que el particular ratifique el recurso de revisión interpuesto.</w:t>
      </w:r>
    </w:p>
    <w:p w14:paraId="7207089F"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lastRenderedPageBreak/>
        <w:t>En caso de que el recurso se interponga de manera electrónica no será indispensable que contengan los requisitos establecidos en las fracciones II, IV, VII y VIII.”</w:t>
      </w:r>
    </w:p>
    <w:p w14:paraId="12E2ACD5" w14:textId="77777777" w:rsidR="00E824BC" w:rsidRDefault="00E824BC" w:rsidP="00FE2406">
      <w:pPr>
        <w:widowControl w:val="0"/>
        <w:spacing w:line="360" w:lineRule="auto"/>
        <w:jc w:val="both"/>
        <w:rPr>
          <w:rFonts w:ascii="Palatino Linotype" w:eastAsia="Palatino Linotype" w:hAnsi="Palatino Linotype" w:cs="Palatino Linotype"/>
        </w:rPr>
      </w:pPr>
    </w:p>
    <w:p w14:paraId="1D0D1E9B" w14:textId="77777777" w:rsidR="00E824BC" w:rsidRDefault="00772678"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color w:val="000000"/>
        </w:rPr>
        <w:t xml:space="preserve">Del análisis realizado, se advierte que se acredita el cumplimiento de los requisitos formales referidos en el numeral transcrito, ya que el recurso de revisión fue presentado mediante el formato visible en el </w:t>
      </w:r>
      <w:r>
        <w:rPr>
          <w:rFonts w:ascii="Palatino Linotype" w:eastAsia="Palatino Linotype" w:hAnsi="Palatino Linotype" w:cs="Palatino Linotype"/>
          <w:b/>
          <w:color w:val="000000"/>
        </w:rPr>
        <w:t>SAIMEX.</w:t>
      </w:r>
    </w:p>
    <w:p w14:paraId="1B5BCEC4" w14:textId="77777777" w:rsidR="00E824BC" w:rsidRDefault="00E824BC" w:rsidP="00FE2406">
      <w:pPr>
        <w:widowControl w:val="0"/>
        <w:spacing w:line="360" w:lineRule="auto"/>
        <w:jc w:val="both"/>
        <w:rPr>
          <w:rFonts w:ascii="Palatino Linotype" w:eastAsia="Palatino Linotype" w:hAnsi="Palatino Linotype" w:cs="Palatino Linotype"/>
        </w:rPr>
      </w:pPr>
    </w:p>
    <w:p w14:paraId="2C18005C" w14:textId="77777777" w:rsidR="00E824BC" w:rsidRDefault="00772678" w:rsidP="00FE2406">
      <w:pPr>
        <w:widowControl w:val="0"/>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Por último, conforme al análisis que precede, no se advierte que en el presente caso se actualice alguna de las causales de improcedencia</w:t>
      </w:r>
      <w:r>
        <w:rPr>
          <w:rFonts w:ascii="Palatino Linotype" w:eastAsia="Palatino Linotype" w:hAnsi="Palatino Linotype" w:cs="Palatino Linotype"/>
          <w:vertAlign w:val="superscript"/>
        </w:rPr>
        <w:footnoteReference w:id="2"/>
      </w:r>
      <w:r>
        <w:rPr>
          <w:rFonts w:ascii="Palatino Linotype" w:eastAsia="Palatino Linotype" w:hAnsi="Palatino Linotype" w:cs="Palatino Linotype"/>
        </w:rPr>
        <w:t xml:space="preserve"> o sobreseimiento</w:t>
      </w:r>
      <w:r>
        <w:rPr>
          <w:rFonts w:ascii="Palatino Linotype" w:eastAsia="Palatino Linotype" w:hAnsi="Palatino Linotype" w:cs="Palatino Linotype"/>
          <w:vertAlign w:val="superscript"/>
        </w:rPr>
        <w:footnoteReference w:id="3"/>
      </w:r>
      <w:r>
        <w:rPr>
          <w:rFonts w:ascii="Palatino Linotype" w:eastAsia="Palatino Linotype" w:hAnsi="Palatino Linotype" w:cs="Palatino Linotype"/>
        </w:rPr>
        <w:t xml:space="preserve"> que establece la Ley de Transparencia y Acceso a la Información Pública del Estado de México y Municipios.</w:t>
      </w:r>
    </w:p>
    <w:p w14:paraId="3A1F68F1" w14:textId="77777777" w:rsidR="00E824BC" w:rsidRDefault="00E824BC" w:rsidP="00FE2406">
      <w:pPr>
        <w:widowControl w:val="0"/>
        <w:pBdr>
          <w:top w:val="nil"/>
          <w:left w:val="nil"/>
          <w:bottom w:val="nil"/>
          <w:right w:val="nil"/>
          <w:between w:val="nil"/>
        </w:pBdr>
        <w:tabs>
          <w:tab w:val="left" w:pos="1701"/>
          <w:tab w:val="left" w:pos="1843"/>
        </w:tabs>
        <w:spacing w:line="360" w:lineRule="auto"/>
        <w:jc w:val="both"/>
        <w:rPr>
          <w:rFonts w:ascii="Palatino Linotype" w:eastAsia="Palatino Linotype" w:hAnsi="Palatino Linotype" w:cs="Palatino Linotype"/>
          <w:b/>
          <w:color w:val="000000"/>
        </w:rPr>
      </w:pPr>
    </w:p>
    <w:p w14:paraId="6209B712" w14:textId="77777777" w:rsidR="00E824BC" w:rsidRDefault="00772678" w:rsidP="00FE2406">
      <w:pPr>
        <w:widowControl w:val="0"/>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QUINTO. Estudio y Resolución del Asunto.</w:t>
      </w:r>
    </w:p>
    <w:p w14:paraId="70DCBC86" w14:textId="6F706570"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color w:val="000000"/>
        </w:rPr>
        <w:t xml:space="preserve">Una vez determinada la vía sobre la que versará el </w:t>
      </w:r>
      <w:r>
        <w:rPr>
          <w:rFonts w:ascii="Palatino Linotype" w:eastAsia="Palatino Linotype" w:hAnsi="Palatino Linotype" w:cs="Palatino Linotype"/>
        </w:rPr>
        <w:t>presente</w:t>
      </w:r>
      <w:r>
        <w:rPr>
          <w:rFonts w:ascii="Palatino Linotype" w:eastAsia="Palatino Linotype" w:hAnsi="Palatino Linotype" w:cs="Palatino Linotype"/>
          <w:color w:val="000000"/>
        </w:rPr>
        <w:t xml:space="preserve"> recurso y sus acumulados y previa revisión de los expedientes electrónicos, se advierte que </w:t>
      </w:r>
      <w:r>
        <w:rPr>
          <w:rFonts w:ascii="Palatino Linotype" w:eastAsia="Palatino Linotype" w:hAnsi="Palatino Linotype" w:cs="Palatino Linotype"/>
          <w:b/>
          <w:color w:val="000000"/>
        </w:rPr>
        <w:t xml:space="preserve">EL RECURRENTE </w:t>
      </w:r>
      <w:r>
        <w:rPr>
          <w:rFonts w:ascii="Palatino Linotype" w:eastAsia="Palatino Linotype" w:hAnsi="Palatino Linotype" w:cs="Palatino Linotype"/>
          <w:color w:val="000000"/>
        </w:rPr>
        <w:t xml:space="preserve">solicitó </w:t>
      </w:r>
      <w:r>
        <w:rPr>
          <w:rFonts w:ascii="Palatino Linotype" w:eastAsia="Palatino Linotype" w:hAnsi="Palatino Linotype" w:cs="Palatino Linotype"/>
        </w:rPr>
        <w:t>del</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b/>
          <w:color w:val="000000"/>
        </w:rPr>
        <w:t>SUJETO OBLIGADO</w:t>
      </w:r>
      <w:r>
        <w:rPr>
          <w:rFonts w:ascii="Palatino Linotype" w:eastAsia="Palatino Linotype" w:hAnsi="Palatino Linotype" w:cs="Palatino Linotype"/>
        </w:rPr>
        <w:t xml:space="preserve">, vía </w:t>
      </w:r>
      <w:r>
        <w:rPr>
          <w:rFonts w:ascii="Palatino Linotype" w:eastAsia="Palatino Linotype" w:hAnsi="Palatino Linotype" w:cs="Palatino Linotype"/>
          <w:b/>
        </w:rPr>
        <w:t>EL</w:t>
      </w:r>
      <w:r>
        <w:rPr>
          <w:rFonts w:ascii="Palatino Linotype" w:eastAsia="Palatino Linotype" w:hAnsi="Palatino Linotype" w:cs="Palatino Linotype"/>
        </w:rPr>
        <w:t xml:space="preserve"> </w:t>
      </w:r>
      <w:r>
        <w:rPr>
          <w:rFonts w:ascii="Palatino Linotype" w:eastAsia="Palatino Linotype" w:hAnsi="Palatino Linotype" w:cs="Palatino Linotype"/>
          <w:b/>
        </w:rPr>
        <w:t>SAIMEX</w:t>
      </w:r>
      <w:r>
        <w:rPr>
          <w:rFonts w:ascii="Palatino Linotype" w:eastAsia="Palatino Linotype" w:hAnsi="Palatino Linotype" w:cs="Palatino Linotype"/>
        </w:rPr>
        <w:t xml:space="preserve"> lo que a continuación se señala: </w:t>
      </w:r>
    </w:p>
    <w:p w14:paraId="45F0656F" w14:textId="77777777" w:rsidR="000D5547" w:rsidRDefault="000D5547" w:rsidP="00FE2406">
      <w:pPr>
        <w:spacing w:line="360" w:lineRule="auto"/>
        <w:jc w:val="both"/>
        <w:rPr>
          <w:rFonts w:ascii="Palatino Linotype" w:eastAsia="Palatino Linotype" w:hAnsi="Palatino Linotype" w:cs="Palatino Linotype"/>
        </w:rPr>
      </w:pPr>
    </w:p>
    <w:tbl>
      <w:tblPr>
        <w:tblStyle w:val="a2"/>
        <w:tblW w:w="7508"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8"/>
        <w:gridCol w:w="3900"/>
      </w:tblGrid>
      <w:tr w:rsidR="00E824BC" w14:paraId="598311C2" w14:textId="77777777">
        <w:tc>
          <w:tcPr>
            <w:tcW w:w="3608" w:type="dxa"/>
          </w:tcPr>
          <w:p w14:paraId="4C443349" w14:textId="77777777" w:rsidR="000D5547" w:rsidRDefault="000D5547" w:rsidP="00FE2406">
            <w:pPr>
              <w:ind w:right="760"/>
              <w:jc w:val="center"/>
              <w:rPr>
                <w:rFonts w:ascii="Palatino Linotype" w:eastAsia="Palatino Linotype" w:hAnsi="Palatino Linotype" w:cs="Palatino Linotype"/>
                <w:sz w:val="22"/>
                <w:szCs w:val="22"/>
              </w:rPr>
            </w:pPr>
          </w:p>
          <w:p w14:paraId="350D6975" w14:textId="3E25D409" w:rsidR="00E824BC" w:rsidRDefault="00772678" w:rsidP="00FE2406">
            <w:pPr>
              <w:ind w:right="760"/>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Recurso de Revisión</w:t>
            </w:r>
          </w:p>
        </w:tc>
        <w:tc>
          <w:tcPr>
            <w:tcW w:w="3900" w:type="dxa"/>
          </w:tcPr>
          <w:p w14:paraId="5E9371D6" w14:textId="77777777" w:rsidR="00E824BC" w:rsidRDefault="00772678" w:rsidP="00FE2406">
            <w:pPr>
              <w:ind w:right="760"/>
              <w:jc w:val="cente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Solicitud primigenia</w:t>
            </w:r>
          </w:p>
        </w:tc>
      </w:tr>
      <w:tr w:rsidR="00E824BC" w14:paraId="1AE8C2A4" w14:textId="77777777">
        <w:tc>
          <w:tcPr>
            <w:tcW w:w="3608" w:type="dxa"/>
          </w:tcPr>
          <w:p w14:paraId="144D125A"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05732/INFOEM/IP/RR/2021</w:t>
            </w:r>
          </w:p>
        </w:tc>
        <w:tc>
          <w:tcPr>
            <w:tcW w:w="3900" w:type="dxa"/>
          </w:tcPr>
          <w:p w14:paraId="6BC5B61F"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“TODAS LAS ACTAS DE CABILDO REALIZADAS EN EL EJERCICIO FISCAL 2021”(sic)</w:t>
            </w:r>
          </w:p>
        </w:tc>
      </w:tr>
      <w:tr w:rsidR="00E824BC" w14:paraId="403B92D8" w14:textId="77777777">
        <w:tc>
          <w:tcPr>
            <w:tcW w:w="3608" w:type="dxa"/>
          </w:tcPr>
          <w:p w14:paraId="6E7FDF53"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05734/INFOEM/IP/RR/2021</w:t>
            </w:r>
          </w:p>
        </w:tc>
        <w:tc>
          <w:tcPr>
            <w:tcW w:w="3900" w:type="dxa"/>
          </w:tcPr>
          <w:p w14:paraId="3AA75383"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“TODAS LAS ACTAS DE CABILDO REALIZADAS EN EL EJERCICIO FISCAL 2019”(sic)</w:t>
            </w:r>
          </w:p>
        </w:tc>
      </w:tr>
      <w:tr w:rsidR="00E824BC" w14:paraId="08E62D94" w14:textId="77777777">
        <w:tc>
          <w:tcPr>
            <w:tcW w:w="3608" w:type="dxa"/>
          </w:tcPr>
          <w:p w14:paraId="487D4288"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05736/INFOEM/IP/RR/2021</w:t>
            </w:r>
          </w:p>
        </w:tc>
        <w:tc>
          <w:tcPr>
            <w:tcW w:w="3900" w:type="dxa"/>
          </w:tcPr>
          <w:p w14:paraId="086E41FD"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“TODAS LAS ACTAS DE CABILDO REALIZADAS EN EL EJERCICIO FISCAL 2020”(sic)</w:t>
            </w:r>
          </w:p>
        </w:tc>
      </w:tr>
      <w:tr w:rsidR="00E824BC" w14:paraId="6FE924DC" w14:textId="77777777">
        <w:tc>
          <w:tcPr>
            <w:tcW w:w="3608" w:type="dxa"/>
          </w:tcPr>
          <w:p w14:paraId="016F2FC1"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05738/INFOEM/IP/RR/2021</w:t>
            </w:r>
          </w:p>
        </w:tc>
        <w:tc>
          <w:tcPr>
            <w:tcW w:w="3900" w:type="dxa"/>
          </w:tcPr>
          <w:p w14:paraId="2187C04E" w14:textId="77777777" w:rsidR="00E824BC" w:rsidRDefault="00772678" w:rsidP="00FE2406">
            <w:pPr>
              <w:ind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“TODAS LAS ACTAS DE CABILDO REALIZADAS EN EL EJERCICIO FISCAL 2019”(sic)</w:t>
            </w:r>
          </w:p>
        </w:tc>
      </w:tr>
    </w:tbl>
    <w:p w14:paraId="5E37FDEC" w14:textId="77777777" w:rsidR="00E824BC" w:rsidRDefault="00E824BC" w:rsidP="00FE2406">
      <w:pPr>
        <w:spacing w:line="360" w:lineRule="auto"/>
        <w:jc w:val="both"/>
        <w:rPr>
          <w:rFonts w:ascii="Palatino Linotype" w:eastAsia="Palatino Linotype" w:hAnsi="Palatino Linotype" w:cs="Palatino Linotype"/>
        </w:rPr>
      </w:pPr>
    </w:p>
    <w:p w14:paraId="251541D8" w14:textId="77777777" w:rsidR="00E824BC" w:rsidRDefault="00772678" w:rsidP="00FE2406">
      <w:pPr>
        <w:widowControl w:val="0"/>
        <w:tabs>
          <w:tab w:val="left" w:pos="0"/>
        </w:tabs>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atención a ello,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en todas y cada una de las solicitudes de información referidas, contestó en los términos siguientes: </w:t>
      </w:r>
    </w:p>
    <w:p w14:paraId="3B8BBFA7" w14:textId="77777777" w:rsidR="00E824BC" w:rsidRDefault="00E824BC" w:rsidP="00FE2406">
      <w:pPr>
        <w:widowControl w:val="0"/>
        <w:tabs>
          <w:tab w:val="left" w:pos="0"/>
        </w:tabs>
        <w:spacing w:line="360" w:lineRule="auto"/>
        <w:jc w:val="both"/>
        <w:rPr>
          <w:rFonts w:ascii="Palatino Linotype" w:eastAsia="Palatino Linotype" w:hAnsi="Palatino Linotype" w:cs="Palatino Linotype"/>
        </w:rPr>
      </w:pPr>
    </w:p>
    <w:p w14:paraId="7B444EBE"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““En respuesta a la solicitud recibida, nos permitimos hacer de su conocimiento que con fundamento en el artículo 53, Fracciones: I, V y VI de la Ley de Transparencia y Acceso a la Información Pública del Estado de México y Municipios, le contestamos que:</w:t>
      </w:r>
    </w:p>
    <w:p w14:paraId="068DD081" w14:textId="77777777" w:rsidR="00E824BC" w:rsidRDefault="00E824BC" w:rsidP="00FE2406">
      <w:pPr>
        <w:widowControl w:val="0"/>
        <w:ind w:left="851" w:right="902"/>
        <w:jc w:val="both"/>
        <w:rPr>
          <w:rFonts w:ascii="Palatino Linotype" w:eastAsia="Palatino Linotype" w:hAnsi="Palatino Linotype" w:cs="Palatino Linotype"/>
          <w:i/>
          <w:sz w:val="22"/>
          <w:szCs w:val="22"/>
        </w:rPr>
      </w:pPr>
    </w:p>
    <w:p w14:paraId="0984938C"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Buen día, le proporciono el link donde usted puede observar la respuesta a su solicitud.</w:t>
      </w:r>
    </w:p>
    <w:p w14:paraId="3E1D1B8E" w14:textId="77777777" w:rsidR="00E824BC" w:rsidRDefault="00E824BC" w:rsidP="00FE2406">
      <w:pPr>
        <w:widowControl w:val="0"/>
        <w:ind w:left="851" w:right="902"/>
        <w:jc w:val="both"/>
        <w:rPr>
          <w:rFonts w:ascii="Palatino Linotype" w:eastAsia="Palatino Linotype" w:hAnsi="Palatino Linotype" w:cs="Palatino Linotype"/>
          <w:i/>
          <w:sz w:val="22"/>
          <w:szCs w:val="22"/>
        </w:rPr>
      </w:pPr>
    </w:p>
    <w:p w14:paraId="7DB6EB2D" w14:textId="77777777" w:rsidR="00E824BC" w:rsidRDefault="00772678" w:rsidP="00FE2406">
      <w:pPr>
        <w:widowControl w:val="0"/>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https://www.tepetlixpa.gob.mx/actas-de-cabildo”</w:t>
      </w:r>
      <w:r>
        <w:rPr>
          <w:i/>
          <w:sz w:val="22"/>
          <w:szCs w:val="22"/>
        </w:rPr>
        <w:t>(Sic)</w:t>
      </w:r>
    </w:p>
    <w:p w14:paraId="6D692052" w14:textId="77777777" w:rsidR="00E824BC" w:rsidRDefault="00E824BC" w:rsidP="00FE2406">
      <w:pPr>
        <w:widowControl w:val="0"/>
        <w:ind w:right="902"/>
        <w:jc w:val="both"/>
        <w:rPr>
          <w:rFonts w:ascii="Palatino Linotype" w:eastAsia="Palatino Linotype" w:hAnsi="Palatino Linotype" w:cs="Palatino Linotype"/>
        </w:rPr>
      </w:pPr>
    </w:p>
    <w:p w14:paraId="551DC13C" w14:textId="77777777" w:rsidR="00DB7E60"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rPr>
      </w:pPr>
      <w:r>
        <w:rPr>
          <w:rFonts w:ascii="Palatino Linotype" w:eastAsia="Palatino Linotype" w:hAnsi="Palatino Linotype" w:cs="Palatino Linotype"/>
          <w:color w:val="000000"/>
        </w:rPr>
        <w:lastRenderedPageBreak/>
        <w:t xml:space="preserve">Inconforme con dicha respuesta </w:t>
      </w:r>
      <w:r>
        <w:rPr>
          <w:rFonts w:ascii="Palatino Linotype" w:eastAsia="Palatino Linotype" w:hAnsi="Palatino Linotype" w:cs="Palatino Linotype"/>
          <w:b/>
          <w:color w:val="000000"/>
        </w:rPr>
        <w:t>EL RECURRENTE</w:t>
      </w:r>
      <w:r>
        <w:rPr>
          <w:rFonts w:ascii="Palatino Linotype" w:eastAsia="Palatino Linotype" w:hAnsi="Palatino Linotype" w:cs="Palatino Linotype"/>
          <w:color w:val="000000"/>
        </w:rPr>
        <w:t xml:space="preserve"> interpuso </w:t>
      </w:r>
      <w:r>
        <w:rPr>
          <w:rFonts w:ascii="Palatino Linotype" w:eastAsia="Palatino Linotype" w:hAnsi="Palatino Linotype" w:cs="Palatino Linotype"/>
        </w:rPr>
        <w:t xml:space="preserve">los presentes </w:t>
      </w:r>
      <w:r w:rsidR="000D5547">
        <w:rPr>
          <w:rFonts w:ascii="Palatino Linotype" w:eastAsia="Palatino Linotype" w:hAnsi="Palatino Linotype" w:cs="Palatino Linotype"/>
        </w:rPr>
        <w:t>recursos</w:t>
      </w:r>
    </w:p>
    <w:p w14:paraId="7509D71B" w14:textId="758A48F4"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rPr>
        <w:t xml:space="preserve"> de revisión </w:t>
      </w:r>
      <w:r>
        <w:rPr>
          <w:rFonts w:ascii="Palatino Linotype" w:eastAsia="Palatino Linotype" w:hAnsi="Palatino Linotype" w:cs="Palatino Linotype"/>
          <w:color w:val="000000"/>
        </w:rPr>
        <w:t xml:space="preserve">manifestando como acto impugnado lo siguiente: </w:t>
      </w:r>
    </w:p>
    <w:p w14:paraId="158E279D" w14:textId="77777777" w:rsidR="00E824BC" w:rsidRDefault="00E824BC" w:rsidP="00FE2406">
      <w:pPr>
        <w:pBdr>
          <w:top w:val="nil"/>
          <w:left w:val="nil"/>
          <w:bottom w:val="nil"/>
          <w:right w:val="nil"/>
          <w:between w:val="nil"/>
        </w:pBdr>
        <w:spacing w:line="360" w:lineRule="auto"/>
        <w:ind w:left="851" w:right="902"/>
        <w:jc w:val="both"/>
        <w:rPr>
          <w:rFonts w:ascii="Palatino Linotype" w:eastAsia="Palatino Linotype" w:hAnsi="Palatino Linotype" w:cs="Palatino Linotype"/>
          <w:i/>
          <w:color w:val="000000"/>
        </w:rPr>
      </w:pPr>
    </w:p>
    <w:p w14:paraId="09926ECE" w14:textId="77777777" w:rsidR="00E824BC" w:rsidRDefault="00772678" w:rsidP="00FE2406">
      <w:pPr>
        <w:ind w:left="850" w:right="899"/>
        <w:jc w:val="both"/>
        <w:rPr>
          <w:rFonts w:ascii="Palatino Linotype" w:eastAsia="Palatino Linotype" w:hAnsi="Palatino Linotype" w:cs="Palatino Linotype"/>
        </w:rPr>
      </w:pPr>
      <w:r>
        <w:rPr>
          <w:rFonts w:ascii="Palatino Linotype" w:eastAsia="Palatino Linotype" w:hAnsi="Palatino Linotype" w:cs="Palatino Linotype"/>
          <w:b/>
          <w:sz w:val="22"/>
          <w:szCs w:val="22"/>
        </w:rPr>
        <w:t xml:space="preserve">05732/INFOEM/IP/RR/2021 </w:t>
      </w:r>
    </w:p>
    <w:p w14:paraId="51B19439" w14:textId="77777777" w:rsidR="00E824BC" w:rsidRDefault="00E824BC" w:rsidP="00FE2406">
      <w:pPr>
        <w:ind w:left="850" w:right="899"/>
        <w:jc w:val="both"/>
        <w:rPr>
          <w:rFonts w:ascii="Palatino Linotype" w:eastAsia="Palatino Linotype" w:hAnsi="Palatino Linotype" w:cs="Palatino Linotype"/>
        </w:rPr>
      </w:pPr>
    </w:p>
    <w:p w14:paraId="2490422C"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4D47684D" w14:textId="77777777" w:rsidR="00E824BC" w:rsidRDefault="00E824BC" w:rsidP="00FE2406">
      <w:pPr>
        <w:ind w:left="850" w:right="899"/>
        <w:jc w:val="both"/>
        <w:rPr>
          <w:rFonts w:ascii="Palatino Linotype" w:eastAsia="Palatino Linotype" w:hAnsi="Palatino Linotype" w:cs="Palatino Linotype"/>
          <w:i/>
          <w:sz w:val="22"/>
          <w:szCs w:val="22"/>
        </w:rPr>
      </w:pPr>
    </w:p>
    <w:p w14:paraId="47793567"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05734/INFOEM/IP/RR/2021 </w:t>
      </w:r>
    </w:p>
    <w:p w14:paraId="10028BAF" w14:textId="77777777" w:rsidR="00E824BC" w:rsidRDefault="00E824BC" w:rsidP="00FE2406">
      <w:pPr>
        <w:ind w:left="850" w:right="899"/>
        <w:jc w:val="both"/>
        <w:rPr>
          <w:rFonts w:ascii="Palatino Linotype" w:eastAsia="Palatino Linotype" w:hAnsi="Palatino Linotype" w:cs="Palatino Linotype"/>
          <w:b/>
          <w:sz w:val="22"/>
          <w:szCs w:val="22"/>
        </w:rPr>
      </w:pPr>
    </w:p>
    <w:p w14:paraId="4CB57531"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685DB09D" w14:textId="77777777" w:rsidR="00E824BC" w:rsidRDefault="00E824BC" w:rsidP="00FE2406">
      <w:pPr>
        <w:ind w:left="850" w:right="899"/>
        <w:jc w:val="both"/>
        <w:rPr>
          <w:rFonts w:ascii="Palatino Linotype" w:eastAsia="Palatino Linotype" w:hAnsi="Palatino Linotype" w:cs="Palatino Linotype"/>
          <w:b/>
          <w:sz w:val="22"/>
          <w:szCs w:val="22"/>
        </w:rPr>
      </w:pPr>
    </w:p>
    <w:p w14:paraId="6D4D72BD"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05736/INFOEM/IP/RR/2021 </w:t>
      </w:r>
    </w:p>
    <w:p w14:paraId="4F37B897" w14:textId="77777777" w:rsidR="00E824BC" w:rsidRDefault="00E824BC" w:rsidP="00FE2406">
      <w:pPr>
        <w:ind w:left="850" w:right="899"/>
        <w:jc w:val="both"/>
        <w:rPr>
          <w:rFonts w:ascii="Palatino Linotype" w:eastAsia="Palatino Linotype" w:hAnsi="Palatino Linotype" w:cs="Palatino Linotype"/>
          <w:b/>
          <w:sz w:val="22"/>
          <w:szCs w:val="22"/>
        </w:rPr>
      </w:pPr>
    </w:p>
    <w:p w14:paraId="27B1637B"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5B422B5E" w14:textId="77777777" w:rsidR="00E824BC" w:rsidRDefault="00E824BC" w:rsidP="00FE2406">
      <w:pPr>
        <w:ind w:left="850" w:right="899"/>
        <w:jc w:val="both"/>
        <w:rPr>
          <w:rFonts w:ascii="Palatino Linotype" w:eastAsia="Palatino Linotype" w:hAnsi="Palatino Linotype" w:cs="Palatino Linotype"/>
          <w:i/>
          <w:sz w:val="22"/>
          <w:szCs w:val="22"/>
        </w:rPr>
      </w:pPr>
    </w:p>
    <w:p w14:paraId="14868C25"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05738/INFOEM/IP/RR/2021 </w:t>
      </w:r>
    </w:p>
    <w:p w14:paraId="08BB1680" w14:textId="77777777" w:rsidR="00E824BC" w:rsidRDefault="00E824BC" w:rsidP="00FE2406">
      <w:pPr>
        <w:ind w:left="850" w:right="899"/>
        <w:jc w:val="both"/>
        <w:rPr>
          <w:rFonts w:ascii="Palatino Linotype" w:eastAsia="Palatino Linotype" w:hAnsi="Palatino Linotype" w:cs="Palatino Linotype"/>
          <w:b/>
          <w:sz w:val="22"/>
          <w:szCs w:val="22"/>
        </w:rPr>
      </w:pPr>
    </w:p>
    <w:p w14:paraId="0C5AE2AD"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15B6C6D7" w14:textId="77777777" w:rsidR="00E824BC" w:rsidRDefault="00E824BC" w:rsidP="00FE2406">
      <w:pPr>
        <w:ind w:left="709" w:right="709"/>
        <w:jc w:val="both"/>
        <w:rPr>
          <w:rFonts w:ascii="Palatino Linotype" w:eastAsia="Palatino Linotype" w:hAnsi="Palatino Linotype" w:cs="Palatino Linotype"/>
          <w:i/>
          <w:sz w:val="22"/>
          <w:szCs w:val="22"/>
        </w:rPr>
      </w:pPr>
    </w:p>
    <w:p w14:paraId="1FF6DE3B"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Asimismo, indicó como razones o motivos de inconformidad:</w:t>
      </w:r>
    </w:p>
    <w:p w14:paraId="5CB832C8" w14:textId="77777777" w:rsidR="00E824BC" w:rsidRDefault="00772678" w:rsidP="00FE2406">
      <w:pPr>
        <w:ind w:left="850" w:right="899"/>
        <w:jc w:val="both"/>
        <w:rPr>
          <w:rFonts w:ascii="Palatino Linotype" w:eastAsia="Palatino Linotype" w:hAnsi="Palatino Linotype" w:cs="Palatino Linotype"/>
        </w:rPr>
      </w:pPr>
      <w:r>
        <w:rPr>
          <w:rFonts w:ascii="Palatino Linotype" w:eastAsia="Palatino Linotype" w:hAnsi="Palatino Linotype" w:cs="Palatino Linotype"/>
          <w:b/>
          <w:sz w:val="22"/>
          <w:szCs w:val="22"/>
        </w:rPr>
        <w:t xml:space="preserve">05732/INFOEM/IP/RR/2021 </w:t>
      </w:r>
    </w:p>
    <w:p w14:paraId="21810916" w14:textId="77777777" w:rsidR="00E824BC" w:rsidRDefault="00E824BC" w:rsidP="00FE2406">
      <w:pPr>
        <w:ind w:left="850" w:right="899"/>
        <w:jc w:val="both"/>
        <w:rPr>
          <w:rFonts w:ascii="Palatino Linotype" w:eastAsia="Palatino Linotype" w:hAnsi="Palatino Linotype" w:cs="Palatino Linotype"/>
        </w:rPr>
      </w:pPr>
    </w:p>
    <w:p w14:paraId="6E465014"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1A7B0D39" w14:textId="77777777" w:rsidR="00E824BC" w:rsidRDefault="00E824BC" w:rsidP="00FE2406">
      <w:pPr>
        <w:ind w:left="850" w:right="899"/>
        <w:jc w:val="both"/>
        <w:rPr>
          <w:rFonts w:ascii="Palatino Linotype" w:eastAsia="Palatino Linotype" w:hAnsi="Palatino Linotype" w:cs="Palatino Linotype"/>
          <w:i/>
          <w:sz w:val="22"/>
          <w:szCs w:val="22"/>
        </w:rPr>
      </w:pPr>
    </w:p>
    <w:p w14:paraId="7DB70438"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05734/INFOEM/IP/RR/2021 </w:t>
      </w:r>
    </w:p>
    <w:p w14:paraId="7129C13E" w14:textId="77777777" w:rsidR="00E824BC" w:rsidRDefault="00E824BC" w:rsidP="00FE2406">
      <w:pPr>
        <w:ind w:left="850" w:right="899"/>
        <w:jc w:val="both"/>
        <w:rPr>
          <w:rFonts w:ascii="Palatino Linotype" w:eastAsia="Palatino Linotype" w:hAnsi="Palatino Linotype" w:cs="Palatino Linotype"/>
          <w:b/>
          <w:sz w:val="22"/>
          <w:szCs w:val="22"/>
        </w:rPr>
      </w:pPr>
    </w:p>
    <w:p w14:paraId="69E74CC0"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i/>
          <w:sz w:val="22"/>
          <w:szCs w:val="22"/>
        </w:rPr>
        <w:t>“no entregan información en tiempo y forma como marca la ley de transparencia del Estado de México” (Sic)</w:t>
      </w:r>
    </w:p>
    <w:p w14:paraId="69784ADF" w14:textId="77777777" w:rsidR="00E824BC" w:rsidRDefault="00E824BC" w:rsidP="00FE2406">
      <w:pPr>
        <w:ind w:left="850" w:right="899"/>
        <w:jc w:val="both"/>
        <w:rPr>
          <w:rFonts w:ascii="Palatino Linotype" w:eastAsia="Palatino Linotype" w:hAnsi="Palatino Linotype" w:cs="Palatino Linotype"/>
          <w:b/>
          <w:sz w:val="22"/>
          <w:szCs w:val="22"/>
        </w:rPr>
      </w:pPr>
    </w:p>
    <w:p w14:paraId="46DD4725"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05736/INFOEM/IP/RR/2021 </w:t>
      </w:r>
    </w:p>
    <w:p w14:paraId="31FF3321" w14:textId="77777777" w:rsidR="00E824BC" w:rsidRDefault="00E824BC" w:rsidP="00FE2406">
      <w:pPr>
        <w:ind w:left="850" w:right="899"/>
        <w:jc w:val="both"/>
        <w:rPr>
          <w:rFonts w:ascii="Palatino Linotype" w:eastAsia="Palatino Linotype" w:hAnsi="Palatino Linotype" w:cs="Palatino Linotype"/>
          <w:b/>
          <w:sz w:val="22"/>
          <w:szCs w:val="22"/>
        </w:rPr>
      </w:pPr>
    </w:p>
    <w:p w14:paraId="265946EA"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4A025540" w14:textId="77777777" w:rsidR="00E824BC" w:rsidRDefault="00E824BC" w:rsidP="00FE2406">
      <w:pPr>
        <w:ind w:left="850" w:right="899"/>
        <w:jc w:val="both"/>
        <w:rPr>
          <w:rFonts w:ascii="Palatino Linotype" w:eastAsia="Palatino Linotype" w:hAnsi="Palatino Linotype" w:cs="Palatino Linotype"/>
          <w:i/>
          <w:sz w:val="22"/>
          <w:szCs w:val="22"/>
        </w:rPr>
      </w:pPr>
    </w:p>
    <w:p w14:paraId="568D54B6" w14:textId="77777777" w:rsidR="00E824BC" w:rsidRDefault="00772678" w:rsidP="00FE2406">
      <w:pPr>
        <w:ind w:left="850" w:right="899"/>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05738/INFOEM/IP/RR/2021 </w:t>
      </w:r>
    </w:p>
    <w:p w14:paraId="06F7A981" w14:textId="77777777" w:rsidR="00E824BC" w:rsidRDefault="00E824BC" w:rsidP="00FE2406">
      <w:pPr>
        <w:ind w:left="850" w:right="899"/>
        <w:jc w:val="both"/>
        <w:rPr>
          <w:rFonts w:ascii="Palatino Linotype" w:eastAsia="Palatino Linotype" w:hAnsi="Palatino Linotype" w:cs="Palatino Linotype"/>
          <w:b/>
          <w:sz w:val="22"/>
          <w:szCs w:val="22"/>
        </w:rPr>
      </w:pPr>
    </w:p>
    <w:p w14:paraId="662E761B" w14:textId="77777777" w:rsidR="00E824BC" w:rsidRDefault="00772678" w:rsidP="00FE2406">
      <w:pPr>
        <w:ind w:left="850"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 entrego en tiempo y forma como marca la ley de transparencia” (Sic)</w:t>
      </w:r>
    </w:p>
    <w:p w14:paraId="1F75C526" w14:textId="77777777" w:rsidR="00E824BC" w:rsidRDefault="00E824BC" w:rsidP="00FE2406">
      <w:pPr>
        <w:pBdr>
          <w:top w:val="nil"/>
          <w:left w:val="nil"/>
          <w:bottom w:val="nil"/>
          <w:right w:val="nil"/>
          <w:between w:val="nil"/>
        </w:pBdr>
        <w:spacing w:line="360" w:lineRule="auto"/>
        <w:ind w:left="851" w:right="902"/>
        <w:jc w:val="both"/>
        <w:rPr>
          <w:rFonts w:ascii="Palatino Linotype" w:eastAsia="Palatino Linotype" w:hAnsi="Palatino Linotype" w:cs="Palatino Linotype"/>
          <w:i/>
          <w:color w:val="000000"/>
        </w:rPr>
      </w:pPr>
    </w:p>
    <w:p w14:paraId="04190665"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Es de precisar que, durante la substanciación de est</w:t>
      </w:r>
      <w:r>
        <w:rPr>
          <w:rFonts w:ascii="Palatino Linotype" w:eastAsia="Palatino Linotype" w:hAnsi="Palatino Linotype" w:cs="Palatino Linotype"/>
        </w:rPr>
        <w:t>os</w:t>
      </w:r>
      <w:r>
        <w:rPr>
          <w:rFonts w:ascii="Palatino Linotype" w:eastAsia="Palatino Linotype" w:hAnsi="Palatino Linotype" w:cs="Palatino Linotype"/>
          <w:color w:val="000000"/>
        </w:rPr>
        <w:t xml:space="preserve"> recursos de revisión, ni </w:t>
      </w:r>
      <w:r>
        <w:rPr>
          <w:rFonts w:ascii="Palatino Linotype" w:eastAsia="Palatino Linotype" w:hAnsi="Palatino Linotype" w:cs="Palatino Linotype"/>
          <w:b/>
          <w:color w:val="000000"/>
        </w:rPr>
        <w:t xml:space="preserve">EL SUJETO OBLIGADO </w:t>
      </w:r>
      <w:r>
        <w:rPr>
          <w:rFonts w:ascii="Palatino Linotype" w:eastAsia="Palatino Linotype" w:hAnsi="Palatino Linotype" w:cs="Palatino Linotype"/>
          <w:color w:val="000000"/>
        </w:rPr>
        <w:t xml:space="preserve">rindió </w:t>
      </w:r>
      <w:r>
        <w:rPr>
          <w:rFonts w:ascii="Palatino Linotype" w:eastAsia="Palatino Linotype" w:hAnsi="Palatino Linotype" w:cs="Palatino Linotype"/>
        </w:rPr>
        <w:t xml:space="preserve">los </w:t>
      </w:r>
      <w:r>
        <w:rPr>
          <w:rFonts w:ascii="Palatino Linotype" w:eastAsia="Palatino Linotype" w:hAnsi="Palatino Linotype" w:cs="Palatino Linotype"/>
          <w:color w:val="000000"/>
        </w:rPr>
        <w:t>Informes Justificados correspondiente, ni</w:t>
      </w:r>
      <w:r>
        <w:rPr>
          <w:rFonts w:ascii="Palatino Linotype" w:eastAsia="Palatino Linotype" w:hAnsi="Palatino Linotype" w:cs="Palatino Linotype"/>
          <w:b/>
          <w:color w:val="000000"/>
        </w:rPr>
        <w:t xml:space="preserve"> EL RECURRENTE</w:t>
      </w:r>
      <w:r>
        <w:rPr>
          <w:rFonts w:ascii="Palatino Linotype" w:eastAsia="Palatino Linotype" w:hAnsi="Palatino Linotype" w:cs="Palatino Linotype"/>
          <w:color w:val="000000"/>
        </w:rPr>
        <w:t xml:space="preserve"> realizó manifestaciones que a su derecho convinieran, así como tampoco ofreció pruebas ni alegatos.</w:t>
      </w:r>
    </w:p>
    <w:p w14:paraId="4F16FE06"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401C01E6" w14:textId="718AF9BA"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color w:val="000000"/>
        </w:rPr>
        <w:t xml:space="preserve">Por lo que con las manifestaciones hechas valer por </w:t>
      </w:r>
      <w:r>
        <w:rPr>
          <w:rFonts w:ascii="Palatino Linotype" w:eastAsia="Palatino Linotype" w:hAnsi="Palatino Linotype" w:cs="Palatino Linotype"/>
          <w:b/>
          <w:color w:val="000000"/>
        </w:rPr>
        <w:t>EL RECURRENTE</w:t>
      </w:r>
      <w:r>
        <w:rPr>
          <w:rFonts w:ascii="Palatino Linotype" w:eastAsia="Palatino Linotype" w:hAnsi="Palatino Linotype" w:cs="Palatino Linotype"/>
          <w:color w:val="000000"/>
        </w:rPr>
        <w:t xml:space="preserve"> al promover </w:t>
      </w:r>
      <w:r>
        <w:rPr>
          <w:rFonts w:ascii="Palatino Linotype" w:eastAsia="Palatino Linotype" w:hAnsi="Palatino Linotype" w:cs="Palatino Linotype"/>
        </w:rPr>
        <w:t>los</w:t>
      </w:r>
      <w:r>
        <w:rPr>
          <w:rFonts w:ascii="Palatino Linotype" w:eastAsia="Palatino Linotype" w:hAnsi="Palatino Linotype" w:cs="Palatino Linotype"/>
          <w:color w:val="000000"/>
        </w:rPr>
        <w:t xml:space="preserve"> recursos de revisión, sus solicitudes primigenias y las respuestas dadas por </w:t>
      </w:r>
      <w:r>
        <w:rPr>
          <w:rFonts w:ascii="Palatino Linotype" w:eastAsia="Palatino Linotype" w:hAnsi="Palatino Linotype" w:cs="Palatino Linotype"/>
          <w:b/>
          <w:color w:val="000000"/>
        </w:rPr>
        <w:t>EL SUJETO OBLIGADO</w:t>
      </w:r>
      <w:r>
        <w:rPr>
          <w:rFonts w:ascii="Palatino Linotype" w:eastAsia="Palatino Linotype" w:hAnsi="Palatino Linotype" w:cs="Palatino Linotype"/>
          <w:color w:val="000000"/>
        </w:rPr>
        <w:t xml:space="preserve">, resulta procedente entrar al estudio del presente asunto, lo anterior con la finalidad de verificar si con las respuestas otorgadas por el </w:t>
      </w:r>
      <w:r>
        <w:rPr>
          <w:rFonts w:ascii="Palatino Linotype" w:eastAsia="Palatino Linotype" w:hAnsi="Palatino Linotype" w:cs="Palatino Linotype"/>
          <w:b/>
          <w:color w:val="000000"/>
        </w:rPr>
        <w:t>SUJETO OBLIGADO</w:t>
      </w:r>
      <w:r>
        <w:rPr>
          <w:rFonts w:ascii="Palatino Linotype" w:eastAsia="Palatino Linotype" w:hAnsi="Palatino Linotype" w:cs="Palatino Linotype"/>
          <w:color w:val="000000"/>
        </w:rPr>
        <w:t xml:space="preserve"> puede tenerse por satisfecho el derecho de acceso a la información que requirió </w:t>
      </w:r>
      <w:r>
        <w:rPr>
          <w:rFonts w:ascii="Palatino Linotype" w:eastAsia="Palatino Linotype" w:hAnsi="Palatino Linotype" w:cs="Palatino Linotype"/>
          <w:b/>
          <w:color w:val="000000"/>
        </w:rPr>
        <w:t xml:space="preserve">EL RECURRENTE. </w:t>
      </w:r>
    </w:p>
    <w:p w14:paraId="0D81A69B"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b/>
          <w:color w:val="000000"/>
        </w:rPr>
      </w:pPr>
    </w:p>
    <w:p w14:paraId="41E137D0" w14:textId="43A76863"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Así, en primer término, se obvia el análisis de la competencia por parte del</w:t>
      </w:r>
      <w:r>
        <w:rPr>
          <w:rFonts w:ascii="Palatino Linotype" w:eastAsia="Palatino Linotype" w:hAnsi="Palatino Linotype" w:cs="Palatino Linotype"/>
          <w:b/>
        </w:rPr>
        <w:t xml:space="preserve"> SUJETO OBLIGADO</w:t>
      </w:r>
      <w:r>
        <w:rPr>
          <w:rFonts w:ascii="Palatino Linotype" w:eastAsia="Palatino Linotype" w:hAnsi="Palatino Linotype" w:cs="Palatino Linotype"/>
        </w:rPr>
        <w:t xml:space="preserve"> para conocer de la información solicitada, dado que éste ha </w:t>
      </w:r>
      <w:r>
        <w:rPr>
          <w:rFonts w:ascii="Palatino Linotype" w:eastAsia="Palatino Linotype" w:hAnsi="Palatino Linotype" w:cs="Palatino Linotype"/>
          <w:color w:val="000000"/>
        </w:rPr>
        <w:t>asumido</w:t>
      </w:r>
      <w:r>
        <w:rPr>
          <w:rFonts w:ascii="Palatino Linotype" w:eastAsia="Palatino Linotype" w:hAnsi="Palatino Linotype" w:cs="Palatino Linotype"/>
        </w:rPr>
        <w:t xml:space="preserve"> la misma, al dar contestación a la solicitud de información que le fue hecha por </w:t>
      </w:r>
      <w:r>
        <w:rPr>
          <w:rFonts w:ascii="Palatino Linotype" w:eastAsia="Palatino Linotype" w:hAnsi="Palatino Linotype" w:cs="Palatino Linotype"/>
          <w:b/>
        </w:rPr>
        <w:t xml:space="preserve">EL RECURRENTE, </w:t>
      </w:r>
      <w:r>
        <w:rPr>
          <w:rFonts w:ascii="Palatino Linotype" w:eastAsia="Palatino Linotype" w:hAnsi="Palatino Linotype" w:cs="Palatino Linotype"/>
        </w:rPr>
        <w:t xml:space="preserve">quien, en su respuesta, señaló el link en el </w:t>
      </w:r>
      <w:r w:rsidR="00DB7E60">
        <w:rPr>
          <w:rFonts w:ascii="Palatino Linotype" w:eastAsia="Palatino Linotype" w:hAnsi="Palatino Linotype" w:cs="Palatino Linotype"/>
        </w:rPr>
        <w:t>que,</w:t>
      </w:r>
      <w:r>
        <w:rPr>
          <w:rFonts w:ascii="Palatino Linotype" w:eastAsia="Palatino Linotype" w:hAnsi="Palatino Linotype" w:cs="Palatino Linotype"/>
        </w:rPr>
        <w:t xml:space="preserve"> conforme a su dicho, obra la información requerida.</w:t>
      </w:r>
    </w:p>
    <w:p w14:paraId="7827068B" w14:textId="77777777" w:rsidR="00E824BC" w:rsidRDefault="00E824BC" w:rsidP="00FE2406">
      <w:pPr>
        <w:spacing w:line="360" w:lineRule="auto"/>
        <w:jc w:val="both"/>
        <w:rPr>
          <w:rFonts w:ascii="Palatino Linotype" w:eastAsia="Palatino Linotype" w:hAnsi="Palatino Linotype" w:cs="Palatino Linotype"/>
        </w:rPr>
      </w:pPr>
    </w:p>
    <w:p w14:paraId="0C32F67D" w14:textId="77777777" w:rsidR="00E824BC" w:rsidRDefault="00772678" w:rsidP="00FE2406">
      <w:pPr>
        <w:spacing w:line="360" w:lineRule="auto"/>
        <w:jc w:val="both"/>
        <w:rPr>
          <w:rFonts w:ascii="Palatino Linotype" w:eastAsia="Palatino Linotype" w:hAnsi="Palatino Linotype" w:cs="Palatino Linotype"/>
          <w:color w:val="222222"/>
        </w:rPr>
      </w:pPr>
      <w:r>
        <w:rPr>
          <w:rFonts w:ascii="Palatino Linotype" w:eastAsia="Palatino Linotype" w:hAnsi="Palatino Linotype" w:cs="Palatino Linotype"/>
          <w:smallCaps/>
        </w:rPr>
        <w:lastRenderedPageBreak/>
        <w:t>L</w:t>
      </w:r>
      <w:r>
        <w:rPr>
          <w:rFonts w:ascii="Palatino Linotype" w:eastAsia="Palatino Linotype" w:hAnsi="Palatino Linotype" w:cs="Palatino Linotype"/>
        </w:rPr>
        <w:t xml:space="preserve">o anterior, implica que </w:t>
      </w:r>
      <w:r>
        <w:rPr>
          <w:rFonts w:ascii="Palatino Linotype" w:eastAsia="Palatino Linotype" w:hAnsi="Palatino Linotype" w:cs="Palatino Linotype"/>
          <w:b/>
        </w:rPr>
        <w:t>EL</w:t>
      </w:r>
      <w:r>
        <w:rPr>
          <w:rFonts w:ascii="Palatino Linotype" w:eastAsia="Palatino Linotype" w:hAnsi="Palatino Linotype" w:cs="Palatino Linotype"/>
        </w:rPr>
        <w:t xml:space="preserve">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posee, administra o cuenta con dicha información y por ende </w:t>
      </w:r>
      <w:r>
        <w:rPr>
          <w:rFonts w:ascii="Palatino Linotype" w:eastAsia="Palatino Linotype" w:hAnsi="Palatino Linotype" w:cs="Palatino Linotype"/>
          <w:color w:val="222222"/>
        </w:rPr>
        <w:t>ha asumido contar con la información pública solicitada, motivo por el cual se actualiza el supuesto jurídico, previsto en el artículo 12 de la Ley de Transparencia y Acceso a la Información Pública del Estado de México y Municipios, que a la letra señala:</w:t>
      </w:r>
    </w:p>
    <w:p w14:paraId="1A26D3C8" w14:textId="77777777" w:rsidR="00E824BC" w:rsidRDefault="00E824BC" w:rsidP="00FE2406">
      <w:pPr>
        <w:spacing w:line="360" w:lineRule="auto"/>
        <w:jc w:val="both"/>
        <w:rPr>
          <w:rFonts w:ascii="Palatino Linotype" w:eastAsia="Palatino Linotype" w:hAnsi="Palatino Linotype" w:cs="Palatino Linotype"/>
          <w:color w:val="222222"/>
        </w:rPr>
      </w:pPr>
    </w:p>
    <w:p w14:paraId="5E97663D" w14:textId="77777777" w:rsidR="00E824BC" w:rsidRDefault="00772678" w:rsidP="00FE2406">
      <w:pPr>
        <w:ind w:left="851" w:right="902"/>
        <w:jc w:val="both"/>
        <w:rPr>
          <w:rFonts w:ascii="Palatino Linotype" w:eastAsia="Palatino Linotype" w:hAnsi="Palatino Linotype" w:cs="Palatino Linotype"/>
          <w:color w:val="222222"/>
          <w:sz w:val="22"/>
          <w:szCs w:val="22"/>
        </w:rPr>
      </w:pPr>
      <w:r>
        <w:rPr>
          <w:rFonts w:ascii="Palatino Linotype" w:eastAsia="Palatino Linotype" w:hAnsi="Palatino Linotype" w:cs="Palatino Linotype"/>
          <w:i/>
          <w:color w:val="222222"/>
          <w:sz w:val="22"/>
          <w:szCs w:val="22"/>
        </w:rPr>
        <w:t>“</w:t>
      </w:r>
      <w:r>
        <w:rPr>
          <w:rFonts w:ascii="Palatino Linotype" w:eastAsia="Palatino Linotype" w:hAnsi="Palatino Linotype" w:cs="Palatino Linotype"/>
          <w:b/>
          <w:i/>
          <w:color w:val="222222"/>
          <w:sz w:val="22"/>
          <w:szCs w:val="22"/>
        </w:rPr>
        <w:t>Artículo 12.</w:t>
      </w:r>
      <w:r>
        <w:rPr>
          <w:rFonts w:ascii="Palatino Linotype" w:eastAsia="Palatino Linotype" w:hAnsi="Palatino Linotype" w:cs="Palatino Linotype"/>
          <w:i/>
          <w:color w:val="222222"/>
          <w:sz w:val="22"/>
          <w:szCs w:val="22"/>
        </w:rPr>
        <w:t> Quienes generen, recopilen, administren, manejen, procesen, archiven o conserven información pública serán responsables de la misma en los términos de las disposiciones jurídicas aplicables.</w:t>
      </w:r>
    </w:p>
    <w:p w14:paraId="713A100B" w14:textId="77777777" w:rsidR="00E824BC" w:rsidRDefault="00772678" w:rsidP="00FE2406">
      <w:pPr>
        <w:ind w:left="851" w:right="902"/>
        <w:jc w:val="both"/>
        <w:rPr>
          <w:rFonts w:ascii="Palatino Linotype" w:eastAsia="Palatino Linotype" w:hAnsi="Palatino Linotype" w:cs="Palatino Linotype"/>
          <w:i/>
          <w:color w:val="222222"/>
          <w:sz w:val="22"/>
          <w:szCs w:val="22"/>
        </w:rPr>
      </w:pPr>
      <w:r>
        <w:rPr>
          <w:rFonts w:ascii="Palatino Linotype" w:eastAsia="Palatino Linotype" w:hAnsi="Palatino Linotype" w:cs="Palatino Linotype"/>
          <w:i/>
          <w:color w:val="222222"/>
          <w:sz w:val="22"/>
          <w:szCs w:val="22"/>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5B8666B0" w14:textId="77777777" w:rsidR="00E824BC" w:rsidRDefault="00E824BC" w:rsidP="00FE2406">
      <w:pPr>
        <w:spacing w:line="360" w:lineRule="auto"/>
        <w:ind w:left="851" w:right="902"/>
        <w:jc w:val="both"/>
        <w:rPr>
          <w:rFonts w:ascii="Palatino Linotype" w:eastAsia="Palatino Linotype" w:hAnsi="Palatino Linotype" w:cs="Palatino Linotype"/>
          <w:color w:val="222222"/>
        </w:rPr>
      </w:pPr>
    </w:p>
    <w:p w14:paraId="4E1E4EF8" w14:textId="77777777" w:rsidR="00E824BC" w:rsidRDefault="00772678" w:rsidP="00FE2406">
      <w:pPr>
        <w:spacing w:line="360" w:lineRule="auto"/>
        <w:jc w:val="both"/>
        <w:rPr>
          <w:rFonts w:ascii="Palatino Linotype" w:eastAsia="Palatino Linotype" w:hAnsi="Palatino Linotype" w:cs="Palatino Linotype"/>
          <w:color w:val="222222"/>
        </w:rPr>
      </w:pPr>
      <w:r>
        <w:rPr>
          <w:rFonts w:ascii="Palatino Linotype" w:eastAsia="Palatino Linotype" w:hAnsi="Palatino Linotype" w:cs="Palatino Linotype"/>
          <w:color w:val="222222"/>
        </w:rPr>
        <w:t xml:space="preserve">En atención a lo anterior, el estudio de la naturaleza jurídica de la información pública solicitada, tiene por objeto determinar si </w:t>
      </w:r>
      <w:r>
        <w:rPr>
          <w:rFonts w:ascii="Palatino Linotype" w:eastAsia="Palatino Linotype" w:hAnsi="Palatino Linotype" w:cs="Palatino Linotype"/>
          <w:b/>
          <w:color w:val="222222"/>
        </w:rPr>
        <w:t xml:space="preserve">EL SUJETO OBLIGADO </w:t>
      </w:r>
      <w:r>
        <w:rPr>
          <w:rFonts w:ascii="Palatino Linotype" w:eastAsia="Palatino Linotype" w:hAnsi="Palatino Linotype" w:cs="Palatino Linotype"/>
          <w:color w:val="222222"/>
        </w:rPr>
        <w:t>la</w:t>
      </w:r>
      <w:r>
        <w:rPr>
          <w:rFonts w:ascii="Palatino Linotype" w:eastAsia="Palatino Linotype" w:hAnsi="Palatino Linotype" w:cs="Palatino Linotype"/>
          <w:b/>
          <w:color w:val="222222"/>
        </w:rPr>
        <w:t xml:space="preserve"> </w:t>
      </w:r>
      <w:r>
        <w:rPr>
          <w:rFonts w:ascii="Palatino Linotype" w:eastAsia="Palatino Linotype" w:hAnsi="Palatino Linotype" w:cs="Palatino Linotype"/>
          <w:color w:val="222222"/>
        </w:rPr>
        <w:t xml:space="preserve">genera, posee o administra; sin embargo, en aquellos casos en que éste la asume, a nada práctico nos conduce su estudio, ya que como se observa de la respuesta vertida por </w:t>
      </w:r>
      <w:r>
        <w:rPr>
          <w:rFonts w:ascii="Palatino Linotype" w:eastAsia="Palatino Linotype" w:hAnsi="Palatino Linotype" w:cs="Palatino Linotype"/>
          <w:b/>
          <w:color w:val="222222"/>
        </w:rPr>
        <w:t>EL SUJETO OBLIGADO</w:t>
      </w:r>
      <w:r>
        <w:rPr>
          <w:rFonts w:ascii="Palatino Linotype" w:eastAsia="Palatino Linotype" w:hAnsi="Palatino Linotype" w:cs="Palatino Linotype"/>
          <w:color w:val="222222"/>
        </w:rPr>
        <w:t>, cuenta con la información; actualizándose el supuesto del artículo 12 de la Ley de la materia.</w:t>
      </w:r>
    </w:p>
    <w:p w14:paraId="7BC8628C"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5179889F"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Precisado lo anterior, el punto controvertido en el presente asunto versa sobre el requerimiento siguiente:</w:t>
      </w:r>
    </w:p>
    <w:p w14:paraId="3E7B2E07" w14:textId="77777777" w:rsidR="00E824BC" w:rsidRDefault="00E824BC" w:rsidP="00FE2406">
      <w:pPr>
        <w:spacing w:line="360" w:lineRule="auto"/>
        <w:jc w:val="both"/>
        <w:rPr>
          <w:rFonts w:ascii="Palatino Linotype" w:eastAsia="Palatino Linotype" w:hAnsi="Palatino Linotype" w:cs="Palatino Linotype"/>
        </w:rPr>
      </w:pPr>
    </w:p>
    <w:p w14:paraId="16A19C76" w14:textId="77777777" w:rsidR="00E824BC" w:rsidRDefault="00772678" w:rsidP="00FE2406">
      <w:pPr>
        <w:numPr>
          <w:ilvl w:val="0"/>
          <w:numId w:val="1"/>
        </w:num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Proporcionar las actas de cabildo realizadas en los ejercicios fiscales 2019, 2020 y 2021.</w:t>
      </w:r>
    </w:p>
    <w:p w14:paraId="50FC0D25" w14:textId="77777777" w:rsidR="00E824BC" w:rsidRDefault="00E824BC" w:rsidP="00FE2406">
      <w:pPr>
        <w:pBdr>
          <w:top w:val="nil"/>
          <w:left w:val="nil"/>
          <w:bottom w:val="nil"/>
          <w:right w:val="nil"/>
          <w:between w:val="nil"/>
        </w:pBdr>
        <w:tabs>
          <w:tab w:val="left" w:pos="5438"/>
        </w:tabs>
        <w:spacing w:line="360" w:lineRule="auto"/>
        <w:jc w:val="both"/>
        <w:rPr>
          <w:rFonts w:ascii="Palatino Linotype" w:eastAsia="Palatino Linotype" w:hAnsi="Palatino Linotype" w:cs="Palatino Linotype"/>
          <w:color w:val="000000"/>
        </w:rPr>
      </w:pPr>
    </w:p>
    <w:p w14:paraId="709119B5" w14:textId="67E9659B"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ese contexto, este Órgano Garante considera conveniente entrar al estudio de </w:t>
      </w:r>
      <w:r w:rsidR="00DB7E60">
        <w:rPr>
          <w:rFonts w:ascii="Palatino Linotype" w:eastAsia="Palatino Linotype" w:hAnsi="Palatino Linotype" w:cs="Palatino Linotype"/>
        </w:rPr>
        <w:t>las respuestas proporcionadas</w:t>
      </w:r>
      <w:r>
        <w:rPr>
          <w:rFonts w:ascii="Palatino Linotype" w:eastAsia="Palatino Linotype" w:hAnsi="Palatino Linotype" w:cs="Palatino Linotype"/>
        </w:rPr>
        <w:t xml:space="preserve"> por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a fin de determinar si cumplió con el derecho de acceso a la información pública del particular.</w:t>
      </w:r>
    </w:p>
    <w:p w14:paraId="099429B8"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highlight w:val="yellow"/>
        </w:rPr>
      </w:pPr>
    </w:p>
    <w:p w14:paraId="14114027"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Así, de las respuestas que dio </w:t>
      </w:r>
      <w:r>
        <w:rPr>
          <w:rFonts w:ascii="Palatino Linotype" w:eastAsia="Palatino Linotype" w:hAnsi="Palatino Linotype" w:cs="Palatino Linotype"/>
          <w:b/>
          <w:color w:val="000000"/>
        </w:rPr>
        <w:t>EL SUJETO OBLIGADO</w:t>
      </w:r>
      <w:r>
        <w:rPr>
          <w:rFonts w:ascii="Palatino Linotype" w:eastAsia="Palatino Linotype" w:hAnsi="Palatino Linotype" w:cs="Palatino Linotype"/>
          <w:color w:val="000000"/>
        </w:rPr>
        <w:t xml:space="preserve"> el veintisiete de octubre de dos mil veintiuno, se advierte que la información solicitada, se encuentra contenida en el link siguiente:</w:t>
      </w:r>
    </w:p>
    <w:p w14:paraId="74D6D681"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70F017DC" w14:textId="77777777" w:rsidR="00E824BC" w:rsidRDefault="00772678" w:rsidP="00FE2406">
      <w:pPr>
        <w:pBdr>
          <w:top w:val="nil"/>
          <w:left w:val="nil"/>
          <w:bottom w:val="nil"/>
          <w:right w:val="nil"/>
          <w:between w:val="nil"/>
        </w:pBdr>
        <w:ind w:left="851" w:right="902"/>
        <w:jc w:val="both"/>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w:t>
      </w:r>
      <w:r>
        <w:rPr>
          <w:rFonts w:ascii="Palatino Linotype" w:eastAsia="Palatino Linotype" w:hAnsi="Palatino Linotype" w:cs="Palatino Linotype"/>
          <w:i/>
          <w:color w:val="000000"/>
          <w:sz w:val="22"/>
          <w:szCs w:val="22"/>
        </w:rPr>
        <w:t>http://www.tepetlixpa.gob.mx/actas-de-cabildo”</w:t>
      </w:r>
    </w:p>
    <w:p w14:paraId="45D03CA5"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5E2339AB"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Ahora bien, en suplencia de la queja</w:t>
      </w:r>
      <w:r>
        <w:rPr>
          <w:rFonts w:ascii="Palatino Linotype" w:eastAsia="Palatino Linotype" w:hAnsi="Palatino Linotype" w:cs="Palatino Linotype"/>
          <w:vertAlign w:val="superscript"/>
        </w:rPr>
        <w:footnoteReference w:id="4"/>
      </w:r>
      <w:r>
        <w:rPr>
          <w:rFonts w:ascii="Palatino Linotype" w:eastAsia="Palatino Linotype" w:hAnsi="Palatino Linotype" w:cs="Palatino Linotype"/>
        </w:rPr>
        <w:t xml:space="preserve"> a favor del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conforme al estudio concreto de la respuesta proporcionada por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para determinar si cumplió con el derecho de acceso a la información pública del particular, se advierte que el Link </w:t>
      </w:r>
      <w:hyperlink r:id="rId8">
        <w:r>
          <w:rPr>
            <w:rFonts w:ascii="Palatino Linotype" w:eastAsia="Palatino Linotype" w:hAnsi="Palatino Linotype" w:cs="Palatino Linotype"/>
            <w:color w:val="035899"/>
          </w:rPr>
          <w:t>https://www.tepetlixpa.gob.mx/actas-de-cabildo</w:t>
        </w:r>
      </w:hyperlink>
      <w:r>
        <w:rPr>
          <w:rFonts w:ascii="Palatino Linotype" w:eastAsia="Palatino Linotype" w:hAnsi="Palatino Linotype" w:cs="Palatino Linotype"/>
        </w:rPr>
        <w:t xml:space="preserve"> que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le proporcionó en respuesta, al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-consultada el trece de enero de dos mil veintidós- remite a sesenta y dos actas de las sesiones de cabildo celebradas en el ejercicio 2019, numeradas del 1 al 60 para las sesiones ordinarias y repitiéndose los números 41 y 43 relativas a dos sesiones solemnes; así como cincuenta </w:t>
      </w:r>
      <w:r>
        <w:rPr>
          <w:rFonts w:ascii="Palatino Linotype" w:eastAsia="Palatino Linotype" w:hAnsi="Palatino Linotype" w:cs="Palatino Linotype"/>
        </w:rPr>
        <w:lastRenderedPageBreak/>
        <w:t>actas de cabildo del ejercicio 2020, numeradas del 61 al 110 relativas a cincuenta y cinco sesiones ordinarias, cuatro extraordinarias y una solemne.</w:t>
      </w:r>
    </w:p>
    <w:p w14:paraId="0868484A" w14:textId="77777777" w:rsidR="00E824BC" w:rsidRDefault="00E824BC" w:rsidP="00FE2406">
      <w:pPr>
        <w:spacing w:line="360" w:lineRule="auto"/>
        <w:jc w:val="both"/>
        <w:rPr>
          <w:rFonts w:ascii="Palatino Linotype" w:eastAsia="Palatino Linotype" w:hAnsi="Palatino Linotype" w:cs="Palatino Linotype"/>
        </w:rPr>
      </w:pPr>
    </w:p>
    <w:p w14:paraId="23A9F954"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No obstante, en la página a la que lleva ese link no se aprecian las actas de las sesiones de cabildo celebradas en el año 2021; no obstante que, conforme al numeral 94, fracción II, inciso b) de la Ley de Transparencia y Acceso a la Información Pública del Estado de México y Municipios, es una obligación del Municipio -</w:t>
      </w:r>
      <w:r>
        <w:rPr>
          <w:rFonts w:ascii="Palatino Linotype" w:eastAsia="Palatino Linotype" w:hAnsi="Palatino Linotype" w:cs="Palatino Linotype"/>
          <w:b/>
        </w:rPr>
        <w:t>SUJETO OBLIGADO</w:t>
      </w:r>
      <w:r>
        <w:rPr>
          <w:rFonts w:ascii="Palatino Linotype" w:eastAsia="Palatino Linotype" w:hAnsi="Palatino Linotype" w:cs="Palatino Linotype"/>
        </w:rPr>
        <w:t>- poner a disposición del público las actas de sesiones de cabildo.</w:t>
      </w:r>
    </w:p>
    <w:p w14:paraId="4ACED911" w14:textId="77777777" w:rsidR="00E824BC" w:rsidRDefault="00E824BC" w:rsidP="00FE2406">
      <w:pPr>
        <w:spacing w:line="360" w:lineRule="auto"/>
        <w:jc w:val="both"/>
        <w:rPr>
          <w:rFonts w:ascii="Palatino Linotype" w:eastAsia="Palatino Linotype" w:hAnsi="Palatino Linotype" w:cs="Palatino Linotype"/>
        </w:rPr>
      </w:pPr>
    </w:p>
    <w:p w14:paraId="7C6A3AF0"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Incluso, en el portal de internet de la Información Pública de Oficio Mexiquense (IPOMEX) se aprecia que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tiene publicadas varias sesiones de cabildo del ejercicio 2021 y señala el link </w:t>
      </w:r>
      <w:hyperlink r:id="rId9">
        <w:r>
          <w:rPr>
            <w:rFonts w:ascii="Palatino Linotype" w:eastAsia="Palatino Linotype" w:hAnsi="Palatino Linotype" w:cs="Palatino Linotype"/>
            <w:color w:val="035899"/>
          </w:rPr>
          <w:t>https://www.tepetlixpa.gob.mx</w:t>
        </w:r>
      </w:hyperlink>
      <w:r>
        <w:rPr>
          <w:rFonts w:ascii="Palatino Linotype" w:eastAsia="Palatino Linotype" w:hAnsi="Palatino Linotype" w:cs="Palatino Linotype"/>
        </w:rPr>
        <w:t>, tal como se aprecia en las siguientes imágenes:</w:t>
      </w:r>
    </w:p>
    <w:p w14:paraId="1263FA42" w14:textId="77777777" w:rsidR="00E824BC" w:rsidRDefault="00E824BC" w:rsidP="00FE2406">
      <w:pPr>
        <w:spacing w:line="360" w:lineRule="auto"/>
        <w:jc w:val="both"/>
        <w:rPr>
          <w:rFonts w:ascii="Palatino Linotype" w:eastAsia="Palatino Linotype" w:hAnsi="Palatino Linotype" w:cs="Palatino Linotype"/>
        </w:rPr>
      </w:pPr>
    </w:p>
    <w:p w14:paraId="20846D33"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noProof/>
          <w:lang w:eastAsia="es-MX"/>
        </w:rPr>
        <w:lastRenderedPageBreak/>
        <w:drawing>
          <wp:inline distT="0" distB="0" distL="0" distR="0" wp14:anchorId="5996A16E" wp14:editId="02BBD055">
            <wp:extent cx="5791835" cy="345821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91835" cy="3458210"/>
                    </a:xfrm>
                    <a:prstGeom prst="rect">
                      <a:avLst/>
                    </a:prstGeom>
                    <a:ln/>
                  </pic:spPr>
                </pic:pic>
              </a:graphicData>
            </a:graphic>
          </wp:inline>
        </w:drawing>
      </w:r>
    </w:p>
    <w:p w14:paraId="135E1259" w14:textId="77777777" w:rsidR="00E824BC" w:rsidRDefault="00E824BC" w:rsidP="00FE2406">
      <w:pPr>
        <w:spacing w:line="360" w:lineRule="auto"/>
        <w:jc w:val="both"/>
        <w:rPr>
          <w:rFonts w:ascii="Palatino Linotype" w:eastAsia="Palatino Linotype" w:hAnsi="Palatino Linotype" w:cs="Palatino Linotype"/>
        </w:rPr>
      </w:pPr>
    </w:p>
    <w:p w14:paraId="1AF2AB7D"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noProof/>
          <w:lang w:eastAsia="es-MX"/>
        </w:rPr>
        <w:drawing>
          <wp:inline distT="0" distB="0" distL="0" distR="0" wp14:anchorId="7A33F869" wp14:editId="36CDC271">
            <wp:extent cx="5791835" cy="1836420"/>
            <wp:effectExtent l="0" t="0" r="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91835" cy="1836420"/>
                    </a:xfrm>
                    <a:prstGeom prst="rect">
                      <a:avLst/>
                    </a:prstGeom>
                    <a:ln/>
                  </pic:spPr>
                </pic:pic>
              </a:graphicData>
            </a:graphic>
          </wp:inline>
        </w:drawing>
      </w:r>
    </w:p>
    <w:p w14:paraId="6AA99500" w14:textId="77777777" w:rsidR="00E824BC" w:rsidRDefault="00E824BC" w:rsidP="00FE2406">
      <w:pPr>
        <w:spacing w:line="360" w:lineRule="auto"/>
        <w:jc w:val="both"/>
        <w:rPr>
          <w:rFonts w:ascii="Palatino Linotype" w:eastAsia="Palatino Linotype" w:hAnsi="Palatino Linotype" w:cs="Palatino Linotype"/>
        </w:rPr>
      </w:pPr>
    </w:p>
    <w:p w14:paraId="06C622DB" w14:textId="77777777" w:rsidR="00E824BC" w:rsidRDefault="00772678" w:rsidP="00FE2406">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rPr>
        <w:t xml:space="preserve">Sin que contenga dicha información, además de que remite a la página web oficial del </w:t>
      </w:r>
      <w:r>
        <w:rPr>
          <w:rFonts w:ascii="Palatino Linotype" w:eastAsia="Palatino Linotype" w:hAnsi="Palatino Linotype" w:cs="Palatino Linotype"/>
          <w:b/>
        </w:rPr>
        <w:t>Ayuntamiento de Tepetlixpa.</w:t>
      </w:r>
    </w:p>
    <w:p w14:paraId="31C11C4C"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Por lo que cobra relevancia lo previsto por el artículo 161, de la Ley de Transparencia y Acceso a la Información Pública del Estado de México y Municipios, que textualmente señala:</w:t>
      </w:r>
    </w:p>
    <w:p w14:paraId="58676626"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11C6B825"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 xml:space="preserve">“Artículo 161. </w:t>
      </w:r>
      <w:r>
        <w:rPr>
          <w:rFonts w:ascii="Palatino Linotype" w:eastAsia="Palatino Linotype" w:hAnsi="Palatino Linotype" w:cs="Palatino Linotype"/>
          <w:b/>
          <w:i/>
          <w:color w:val="000000"/>
          <w:sz w:val="22"/>
          <w:szCs w:val="22"/>
        </w:rPr>
        <w:t xml:space="preserve">Cuando la información requerida por el solicitante ya esté disponible </w:t>
      </w:r>
      <w:r>
        <w:rPr>
          <w:rFonts w:ascii="Palatino Linotype" w:eastAsia="Palatino Linotype" w:hAnsi="Palatino Linotype" w:cs="Palatino Linotype"/>
          <w:i/>
          <w:color w:val="000000"/>
          <w:sz w:val="22"/>
          <w:szCs w:val="22"/>
        </w:rPr>
        <w:t xml:space="preserve">al público en medios impresos, tales como libros, compendios, trípticos, registros públicos, </w:t>
      </w:r>
      <w:r>
        <w:rPr>
          <w:rFonts w:ascii="Palatino Linotype" w:eastAsia="Palatino Linotype" w:hAnsi="Palatino Linotype" w:cs="Palatino Linotype"/>
          <w:b/>
          <w:i/>
          <w:color w:val="000000"/>
          <w:sz w:val="22"/>
          <w:szCs w:val="22"/>
        </w:rPr>
        <w:t>en formatos electrónicos disponibles en Internet</w:t>
      </w:r>
      <w:r>
        <w:rPr>
          <w:rFonts w:ascii="Palatino Linotype" w:eastAsia="Palatino Linotype" w:hAnsi="Palatino Linotype" w:cs="Palatino Linotype"/>
          <w:i/>
          <w:color w:val="000000"/>
          <w:sz w:val="22"/>
          <w:szCs w:val="22"/>
        </w:rPr>
        <w:t xml:space="preserve"> o en cualquier otro medio, </w:t>
      </w:r>
      <w:r>
        <w:rPr>
          <w:rFonts w:ascii="Palatino Linotype" w:eastAsia="Palatino Linotype" w:hAnsi="Palatino Linotype" w:cs="Palatino Linotype"/>
          <w:b/>
          <w:i/>
          <w:color w:val="000000"/>
          <w:sz w:val="22"/>
          <w:szCs w:val="22"/>
        </w:rPr>
        <w:t>se le hará saber por el medio requerido por el solicitante la fuente, el lugar y la forma en que puede consultar,</w:t>
      </w:r>
      <w:r>
        <w:rPr>
          <w:rFonts w:ascii="Palatino Linotype" w:eastAsia="Palatino Linotype" w:hAnsi="Palatino Linotype" w:cs="Palatino Linotype"/>
          <w:i/>
          <w:color w:val="000000"/>
          <w:sz w:val="22"/>
          <w:szCs w:val="22"/>
        </w:rPr>
        <w:t xml:space="preserve"> reproducir o adquirir dicha información en un plazo no mayor a cinco días hábiles. </w:t>
      </w:r>
      <w:r>
        <w:rPr>
          <w:rFonts w:ascii="Palatino Linotype" w:eastAsia="Palatino Linotype" w:hAnsi="Palatino Linotype" w:cs="Palatino Linotype"/>
          <w:b/>
          <w:i/>
          <w:color w:val="000000"/>
          <w:sz w:val="22"/>
          <w:szCs w:val="22"/>
        </w:rPr>
        <w:t xml:space="preserve">La fuente deberá ser precisa </w:t>
      </w:r>
      <w:r>
        <w:rPr>
          <w:rFonts w:ascii="Palatino Linotype" w:eastAsia="Palatino Linotype" w:hAnsi="Palatino Linotype" w:cs="Palatino Linotype"/>
          <w:i/>
          <w:color w:val="000000"/>
          <w:sz w:val="22"/>
          <w:szCs w:val="22"/>
        </w:rPr>
        <w:t>y concreta y no debe implicar que el solicitante realice una búsqueda en toda la información que se encuentre disponible.”</w:t>
      </w:r>
    </w:p>
    <w:p w14:paraId="0F930BFB"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(Énfasis añadido)</w:t>
      </w:r>
    </w:p>
    <w:p w14:paraId="173F59ED"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7469A659"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Esto es, </w:t>
      </w:r>
      <w:r>
        <w:rPr>
          <w:rFonts w:ascii="Palatino Linotype" w:eastAsia="Palatino Linotype" w:hAnsi="Palatino Linotype" w:cs="Palatino Linotype"/>
          <w:b/>
          <w:color w:val="000000"/>
        </w:rPr>
        <w:t>EL SUJETO OBLIGADO</w:t>
      </w:r>
      <w:r>
        <w:rPr>
          <w:rFonts w:ascii="Palatino Linotype" w:eastAsia="Palatino Linotype" w:hAnsi="Palatino Linotype" w:cs="Palatino Linotype"/>
          <w:color w:val="000000"/>
        </w:rPr>
        <w:t xml:space="preserve"> al momento de indicar una dirección electrónica IP debe ser muy preciso de la escritura de la misma, para que, sin lugar al error, el solicitante de la información pueda acceder a ella, cerciorándose que la dirección electrónica IP efectivamente lleve a la información deseada. </w:t>
      </w:r>
    </w:p>
    <w:p w14:paraId="141F8897"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18C7BDD5"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Lo que en el presente caso no se actualiza, pues la </w:t>
      </w:r>
      <w:r>
        <w:rPr>
          <w:rFonts w:ascii="Palatino Linotype" w:eastAsia="Palatino Linotype" w:hAnsi="Palatino Linotype" w:cs="Palatino Linotype"/>
        </w:rPr>
        <w:t>información</w:t>
      </w:r>
      <w:r>
        <w:rPr>
          <w:rFonts w:ascii="Palatino Linotype" w:eastAsia="Palatino Linotype" w:hAnsi="Palatino Linotype" w:cs="Palatino Linotype"/>
          <w:color w:val="000000"/>
        </w:rPr>
        <w:t xml:space="preserve"> está incompleta al faltar las actas de sesiones de cabildo del año 2021. </w:t>
      </w:r>
    </w:p>
    <w:p w14:paraId="41CA57F7"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0A9D726E"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En mérito de lo anterior, es importante precisar que para tener por satisfecho el derecho de acceso a la información pública implica que cualquier persona conozca la información contenida en los documentos que se encuentren en los archivos de los Sujetos Obligados.</w:t>
      </w:r>
    </w:p>
    <w:p w14:paraId="69DC1678"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Así que la obligación de acceso a la información se tendrá por cumplida cuando el solicitante tenga a su disposición la información requerida, o cuando realice su consulta en el lugar que ésta se localice, conforme a los artículos 3 fracción XI, XII 4, 12 y 24 último párrafo de la Ley de Transparencia y Acceso a la Información Pública del Estado de México y Municipios, que a la letra establecen:</w:t>
      </w:r>
    </w:p>
    <w:p w14:paraId="3B56F5D3"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b/>
      </w:r>
    </w:p>
    <w:p w14:paraId="12217FA3"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Artículo 3</w:t>
      </w:r>
      <w:r>
        <w:rPr>
          <w:rFonts w:ascii="Palatino Linotype" w:eastAsia="Palatino Linotype" w:hAnsi="Palatino Linotype" w:cs="Palatino Linotype"/>
          <w:i/>
          <w:color w:val="000000"/>
          <w:sz w:val="22"/>
          <w:szCs w:val="22"/>
        </w:rPr>
        <w:t>. Para los efectos de la presente Ley se entenderá por:</w:t>
      </w:r>
    </w:p>
    <w:p w14:paraId="2A2A5DD8"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p>
    <w:p w14:paraId="365EE1D7"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XI.</w:t>
      </w:r>
      <w:r>
        <w:rPr>
          <w:rFonts w:ascii="Palatino Linotype" w:eastAsia="Palatino Linotype" w:hAnsi="Palatino Linotype" w:cs="Palatino Linotype"/>
          <w:i/>
          <w:color w:val="000000"/>
          <w:sz w:val="22"/>
          <w:szCs w:val="22"/>
        </w:rPr>
        <w:t xml:space="preserve"> </w:t>
      </w:r>
      <w:r>
        <w:rPr>
          <w:rFonts w:ascii="Palatino Linotype" w:eastAsia="Palatino Linotype" w:hAnsi="Palatino Linotype" w:cs="Palatino Linotype"/>
          <w:b/>
          <w:i/>
          <w:color w:val="000000"/>
          <w:sz w:val="22"/>
          <w:szCs w:val="22"/>
        </w:rPr>
        <w:t>Documento</w:t>
      </w:r>
      <w:r>
        <w:rPr>
          <w:rFonts w:ascii="Palatino Linotype" w:eastAsia="Palatino Linotype" w:hAnsi="Palatino Linotype" w:cs="Palatino Linotype"/>
          <w:i/>
          <w:color w:val="000000"/>
          <w:sz w:val="22"/>
          <w:szCs w:val="22"/>
        </w:rPr>
        <w:t>: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p>
    <w:p w14:paraId="710ABBAF"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43CF2CD3"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XII.</w:t>
      </w:r>
      <w:r>
        <w:rPr>
          <w:rFonts w:ascii="Palatino Linotype" w:eastAsia="Palatino Linotype" w:hAnsi="Palatino Linotype" w:cs="Palatino Linotype"/>
          <w:i/>
          <w:color w:val="000000"/>
          <w:sz w:val="22"/>
          <w:szCs w:val="22"/>
        </w:rPr>
        <w:t xml:space="preserve"> </w:t>
      </w:r>
      <w:r>
        <w:rPr>
          <w:rFonts w:ascii="Palatino Linotype" w:eastAsia="Palatino Linotype" w:hAnsi="Palatino Linotype" w:cs="Palatino Linotype"/>
          <w:b/>
          <w:i/>
          <w:color w:val="000000"/>
          <w:sz w:val="22"/>
          <w:szCs w:val="22"/>
        </w:rPr>
        <w:t>Documento electrónico</w:t>
      </w:r>
      <w:r>
        <w:rPr>
          <w:rFonts w:ascii="Palatino Linotype" w:eastAsia="Palatino Linotype" w:hAnsi="Palatino Linotype" w:cs="Palatino Linotype"/>
          <w:i/>
          <w:color w:val="000000"/>
          <w:sz w:val="22"/>
          <w:szCs w:val="22"/>
        </w:rPr>
        <w:t>: Al soporte escrito con caracteres alfanuméricos, archivo de imagen, video, audio o cualquier otro formato tecnológicamente disponible, que contenga información en lenguaje natural o convencional, intercambiado por medios electrónicos, con el que sea posible dar constancia de un hecho y que esté signado con la firma electrónica avanzada y/o en el que se encuentre plasmado el sello electrónico;</w:t>
      </w:r>
    </w:p>
    <w:p w14:paraId="7DF7650D"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p>
    <w:p w14:paraId="16ECB217"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1178D454"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Artículo 4</w:t>
      </w:r>
      <w:r>
        <w:rPr>
          <w:rFonts w:ascii="Palatino Linotype" w:eastAsia="Palatino Linotype" w:hAnsi="Palatino Linotype" w:cs="Palatino Linotype"/>
          <w:i/>
          <w:color w:val="000000"/>
          <w:sz w:val="22"/>
          <w:szCs w:val="22"/>
        </w:rPr>
        <w:t>. El derecho humano de acceso a la información pública es la prerrogativa de las personas para buscar, difundir, investigar, recabar, recibir y solicitar información pública, sin necesidad de acreditar personalidad ni interés jurídico.</w:t>
      </w:r>
    </w:p>
    <w:p w14:paraId="6376684A"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508BCD8D"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 xml:space="preserve">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w:t>
      </w:r>
      <w:r>
        <w:rPr>
          <w:rFonts w:ascii="Palatino Linotype" w:eastAsia="Palatino Linotype" w:hAnsi="Palatino Linotype" w:cs="Palatino Linotype"/>
          <w:i/>
          <w:color w:val="000000"/>
          <w:sz w:val="22"/>
          <w:szCs w:val="22"/>
        </w:rPr>
        <w:lastRenderedPageBreak/>
        <w:t>publicidad de la información. Solo podrá ser clasificada excepcionalmente como reservada temporalmente por razones de interés público, en los términos de las causas legítimas y estrictamente necesarias previstas por esta Ley.</w:t>
      </w:r>
    </w:p>
    <w:p w14:paraId="1E597EEE"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6A6728BB"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Los sujetos obligados deben poner en práctica, políticas y programas de acceso a la información que se apeguen a criterios de publicidad, veracidad, oportunidad, precisión y suficiencia en beneficio de los solicitantes.</w:t>
      </w:r>
    </w:p>
    <w:p w14:paraId="12927796"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18026D51"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Artículo 12.</w:t>
      </w:r>
      <w:r>
        <w:rPr>
          <w:rFonts w:ascii="Palatino Linotype" w:eastAsia="Palatino Linotype" w:hAnsi="Palatino Linotype" w:cs="Palatino Linotype"/>
          <w:i/>
          <w:color w:val="000000"/>
          <w:sz w:val="22"/>
          <w:szCs w:val="22"/>
        </w:rPr>
        <w:t xml:space="preserve"> Quienes generen, recopilen, administren, manejen, procesen, archiven o conserven información pública serán responsables de la misma en los términos de las disposiciones jurídicas aplicables.</w:t>
      </w:r>
    </w:p>
    <w:p w14:paraId="30287C44"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1C340D41"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 xml:space="preserve">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 </w:t>
      </w:r>
    </w:p>
    <w:p w14:paraId="13ED3435"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p>
    <w:p w14:paraId="0DF89492"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14686B2D"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Artículo 24</w:t>
      </w:r>
      <w:r>
        <w:rPr>
          <w:rFonts w:ascii="Palatino Linotype" w:eastAsia="Palatino Linotype" w:hAnsi="Palatino Linotype" w:cs="Palatino Linotype"/>
          <w:i/>
          <w:color w:val="000000"/>
          <w:sz w:val="22"/>
          <w:szCs w:val="22"/>
        </w:rPr>
        <w:t>. Para el cumplimiento de los objetivos de esta Ley, los sujetos obligados deberán cumplir con las siguientes obligaciones, según corresponda, de acuerdo a su naturaleza:</w:t>
      </w:r>
    </w:p>
    <w:p w14:paraId="04E4516D"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p>
    <w:p w14:paraId="46147F4A"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IX.</w:t>
      </w:r>
      <w:r>
        <w:rPr>
          <w:rFonts w:ascii="Palatino Linotype" w:eastAsia="Palatino Linotype" w:hAnsi="Palatino Linotype" w:cs="Palatino Linotype"/>
          <w:i/>
          <w:color w:val="000000"/>
          <w:sz w:val="22"/>
          <w:szCs w:val="22"/>
        </w:rPr>
        <w:t xml:space="preserve"> Fomentar el uso de tecnologías de la información para garantizar la transparencia, el derecho de acceso a la información y la accesibilidad a éstos;</w:t>
      </w:r>
    </w:p>
    <w:p w14:paraId="1B6418AB"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p>
    <w:p w14:paraId="6A132957"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XI.</w:t>
      </w:r>
      <w:r>
        <w:rPr>
          <w:rFonts w:ascii="Palatino Linotype" w:eastAsia="Palatino Linotype" w:hAnsi="Palatino Linotype" w:cs="Palatino Linotype"/>
          <w:i/>
          <w:color w:val="000000"/>
          <w:sz w:val="22"/>
          <w:szCs w:val="22"/>
        </w:rPr>
        <w:t xml:space="preserve"> Dar acceso a la información pública que le sea requerida, en los términos de la Ley General, esta Ley y demás disposiciones jurídicas aplicables;</w:t>
      </w:r>
    </w:p>
    <w:p w14:paraId="7C25EAE8"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p>
    <w:p w14:paraId="55B1D398"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En la administración, gestión y custodia de los archivos de información pública, los sujetos obligados, los servidores públicos habilitados y los servidores públicos en general, se ajustarán a lo establecido por la normatividad aplicable.</w:t>
      </w:r>
    </w:p>
    <w:p w14:paraId="220F5E3D" w14:textId="77777777" w:rsidR="00E824BC" w:rsidRDefault="00E824BC"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p>
    <w:p w14:paraId="429F12D7" w14:textId="77777777" w:rsidR="00E824BC" w:rsidRDefault="00772678" w:rsidP="00FE2406">
      <w:pPr>
        <w:pBdr>
          <w:top w:val="nil"/>
          <w:left w:val="nil"/>
          <w:bottom w:val="nil"/>
          <w:right w:val="nil"/>
          <w:between w:val="nil"/>
        </w:pBd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Los sujetos obligados solo proporcionarán la información pública que generen, administren o posean en el ejercicio de sus atribuciones.</w:t>
      </w:r>
    </w:p>
    <w:p w14:paraId="6BA2A349"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595F17E9"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Por lo que el ejercicio del derecho de acceso a la información pública es la prerrogativa de las personas para buscar, difundir, investigar, recabar, recibir y solicitar información pública, sin necesidad de acreditar personalidad ni interés jurídico.</w:t>
      </w:r>
    </w:p>
    <w:p w14:paraId="3025312B"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1DDC0B33"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Así como la obligación de los sujetos obligados de permitir el acceso a su información, es decir, otorgar el acceso a la información que se haya solicitado y que obre en sus archivos tal y como fue generado el documento, por lo que no tienen la obligación de procesarla, resumirla, efectuar cálculos o practicar investigaciones.</w:t>
      </w:r>
    </w:p>
    <w:p w14:paraId="1DA66F6F"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150DA8E1"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En ese sentido, para el caso que nos ocupa y tal como lo indicó, </w:t>
      </w:r>
      <w:r>
        <w:rPr>
          <w:rFonts w:ascii="Palatino Linotype" w:eastAsia="Palatino Linotype" w:hAnsi="Palatino Linotype" w:cs="Palatino Linotype"/>
          <w:b/>
          <w:color w:val="000000"/>
        </w:rPr>
        <w:t xml:space="preserve">EL SUJETO OBLIGADO </w:t>
      </w:r>
      <w:r>
        <w:rPr>
          <w:rFonts w:ascii="Palatino Linotype" w:eastAsia="Palatino Linotype" w:hAnsi="Palatino Linotype" w:cs="Palatino Linotype"/>
          <w:color w:val="000000"/>
        </w:rPr>
        <w:t xml:space="preserve">cuenta con la información solicitada por </w:t>
      </w:r>
      <w:r>
        <w:rPr>
          <w:rFonts w:ascii="Palatino Linotype" w:eastAsia="Palatino Linotype" w:hAnsi="Palatino Linotype" w:cs="Palatino Linotype"/>
          <w:b/>
          <w:color w:val="000000"/>
        </w:rPr>
        <w:t>EL RECURRENTE</w:t>
      </w:r>
      <w:r>
        <w:rPr>
          <w:rFonts w:ascii="Palatino Linotype" w:eastAsia="Palatino Linotype" w:hAnsi="Palatino Linotype" w:cs="Palatino Linotype"/>
          <w:color w:val="000000"/>
        </w:rPr>
        <w:t xml:space="preserve">, incluso con independencia de que obre en una dirección electrónica IP diversa a la proporcionada en su respuesta primigenia, la misma debe </w:t>
      </w:r>
      <w:r>
        <w:rPr>
          <w:rFonts w:ascii="Palatino Linotype" w:eastAsia="Palatino Linotype" w:hAnsi="Palatino Linotype" w:cs="Palatino Linotype"/>
        </w:rPr>
        <w:t>encontrarse</w:t>
      </w:r>
      <w:r>
        <w:rPr>
          <w:rFonts w:ascii="Palatino Linotype" w:eastAsia="Palatino Linotype" w:hAnsi="Palatino Linotype" w:cs="Palatino Linotype"/>
          <w:color w:val="000000"/>
        </w:rPr>
        <w:t xml:space="preserve"> digitalizada, por lo que, el derecho de acceso a la información pública será satisfecha en aquellos casos en que se entregue el soporte documental en que conste la información pública.</w:t>
      </w:r>
    </w:p>
    <w:p w14:paraId="48147204"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14:paraId="5366D8B8"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color w:val="000000"/>
        </w:rPr>
        <w:t>En consecuencia y en atención a las consideraciones antes señaladas, este Órgano Garante, en términos del artículo 186 fracción III de la Ley de Transparencia y Acceso a la Información Pública del Estado de México y Municipios</w:t>
      </w:r>
      <w:r>
        <w:rPr>
          <w:rFonts w:ascii="Palatino Linotype" w:eastAsia="Palatino Linotype" w:hAnsi="Palatino Linotype" w:cs="Palatino Linotype"/>
        </w:rPr>
        <w:t xml:space="preserve"> determina </w:t>
      </w:r>
      <w:r>
        <w:rPr>
          <w:rFonts w:ascii="Palatino Linotype" w:eastAsia="Palatino Linotype" w:hAnsi="Palatino Linotype" w:cs="Palatino Linotype"/>
          <w:b/>
        </w:rPr>
        <w:t>CONFIRMAR</w:t>
      </w:r>
      <w:r>
        <w:rPr>
          <w:rFonts w:ascii="Palatino Linotype" w:eastAsia="Palatino Linotype" w:hAnsi="Palatino Linotype" w:cs="Palatino Linotype"/>
        </w:rPr>
        <w:t xml:space="preserve"> las respuestas emitidas por </w:t>
      </w:r>
      <w:r>
        <w:rPr>
          <w:rFonts w:ascii="Palatino Linotype" w:eastAsia="Palatino Linotype" w:hAnsi="Palatino Linotype" w:cs="Palatino Linotype"/>
          <w:b/>
        </w:rPr>
        <w:t xml:space="preserve">EL SUJETO OBLIGADO </w:t>
      </w:r>
      <w:r>
        <w:rPr>
          <w:rFonts w:ascii="Palatino Linotype" w:eastAsia="Palatino Linotype" w:hAnsi="Palatino Linotype" w:cs="Palatino Linotype"/>
        </w:rPr>
        <w:t xml:space="preserve">a las solicitudes de información pública que dieron origen a los recursos número </w:t>
      </w:r>
      <w:r>
        <w:rPr>
          <w:rFonts w:ascii="Palatino Linotype" w:eastAsia="Palatino Linotype" w:hAnsi="Palatino Linotype" w:cs="Palatino Linotype"/>
          <w:b/>
        </w:rPr>
        <w:t>05734/INFOEM/IP/RR/2021 05736/INFOEM/IP/RR/2021 y 5738/INFOEM/IP/RR/2021</w:t>
      </w:r>
    </w:p>
    <w:p w14:paraId="2B94FFCF" w14:textId="77777777" w:rsidR="00E824BC" w:rsidRDefault="00E824BC" w:rsidP="00FE2406">
      <w:pPr>
        <w:pBdr>
          <w:top w:val="nil"/>
          <w:left w:val="nil"/>
          <w:bottom w:val="nil"/>
          <w:right w:val="nil"/>
          <w:between w:val="nil"/>
        </w:pBdr>
        <w:spacing w:line="360" w:lineRule="auto"/>
        <w:jc w:val="both"/>
        <w:rPr>
          <w:rFonts w:ascii="Palatino Linotype" w:eastAsia="Palatino Linotype" w:hAnsi="Palatino Linotype" w:cs="Palatino Linotype"/>
        </w:rPr>
      </w:pPr>
    </w:p>
    <w:p w14:paraId="0E26706F" w14:textId="77777777" w:rsidR="00E824BC" w:rsidRDefault="00772678" w:rsidP="00FE2406">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rPr>
        <w:t xml:space="preserve">Así con respecto a al recurso de revisión número </w:t>
      </w:r>
      <w:r>
        <w:rPr>
          <w:rFonts w:ascii="Palatino Linotype" w:eastAsia="Palatino Linotype" w:hAnsi="Palatino Linotype" w:cs="Palatino Linotype"/>
          <w:b/>
        </w:rPr>
        <w:t>05732/INFOEM/IP/RR/2021</w:t>
      </w:r>
      <w:r>
        <w:rPr>
          <w:rFonts w:ascii="Palatino Linotype" w:eastAsia="Palatino Linotype" w:hAnsi="Palatino Linotype" w:cs="Palatino Linotype"/>
          <w:color w:val="000000"/>
        </w:rPr>
        <w:t xml:space="preserve"> se considera que las razones o motivos de inconformidad devienen fundados y resulta procedente </w:t>
      </w:r>
      <w:r>
        <w:rPr>
          <w:rFonts w:ascii="Palatino Linotype" w:eastAsia="Palatino Linotype" w:hAnsi="Palatino Linotype" w:cs="Palatino Linotype"/>
          <w:b/>
          <w:color w:val="000000"/>
        </w:rPr>
        <w:t xml:space="preserve">MODIFICAR </w:t>
      </w:r>
      <w:r>
        <w:rPr>
          <w:rFonts w:ascii="Palatino Linotype" w:eastAsia="Palatino Linotype" w:hAnsi="Palatino Linotype" w:cs="Palatino Linotype"/>
          <w:color w:val="000000"/>
        </w:rPr>
        <w:t xml:space="preserve">la respuesta del </w:t>
      </w:r>
      <w:r>
        <w:rPr>
          <w:rFonts w:ascii="Palatino Linotype" w:eastAsia="Palatino Linotype" w:hAnsi="Palatino Linotype" w:cs="Palatino Linotype"/>
          <w:b/>
          <w:color w:val="000000"/>
        </w:rPr>
        <w:t>SUJETO OBLIGADO</w:t>
      </w:r>
      <w:r>
        <w:rPr>
          <w:rFonts w:ascii="Palatino Linotype" w:eastAsia="Palatino Linotype" w:hAnsi="Palatino Linotype" w:cs="Palatino Linotype"/>
          <w:color w:val="000000"/>
        </w:rPr>
        <w:t xml:space="preserve"> a la </w:t>
      </w:r>
      <w:r>
        <w:rPr>
          <w:rFonts w:ascii="Palatino Linotype" w:eastAsia="Palatino Linotype" w:hAnsi="Palatino Linotype" w:cs="Palatino Linotype"/>
        </w:rPr>
        <w:t>solicitud</w:t>
      </w:r>
      <w:r>
        <w:rPr>
          <w:rFonts w:ascii="Palatino Linotype" w:eastAsia="Palatino Linotype" w:hAnsi="Palatino Linotype" w:cs="Palatino Linotype"/>
          <w:color w:val="000000"/>
        </w:rPr>
        <w:t xml:space="preserve"> de informaci</w:t>
      </w:r>
      <w:r>
        <w:rPr>
          <w:rFonts w:ascii="Palatino Linotype" w:eastAsia="Palatino Linotype" w:hAnsi="Palatino Linotype" w:cs="Palatino Linotype"/>
        </w:rPr>
        <w:t xml:space="preserve">ón recaída en el recurso de revisión número </w:t>
      </w:r>
      <w:r>
        <w:rPr>
          <w:rFonts w:ascii="Palatino Linotype" w:eastAsia="Palatino Linotype" w:hAnsi="Palatino Linotype" w:cs="Palatino Linotype"/>
          <w:b/>
        </w:rPr>
        <w:t>05732/INFOEM/IP/RR/2021</w:t>
      </w:r>
      <w:r>
        <w:rPr>
          <w:rFonts w:ascii="Palatino Linotype" w:eastAsia="Palatino Linotype" w:hAnsi="Palatino Linotype" w:cs="Palatino Linotype"/>
        </w:rPr>
        <w:t xml:space="preserve">  </w:t>
      </w:r>
      <w:r>
        <w:rPr>
          <w:rFonts w:ascii="Palatino Linotype" w:eastAsia="Palatino Linotype" w:hAnsi="Palatino Linotype" w:cs="Palatino Linotype"/>
          <w:color w:val="000000"/>
        </w:rPr>
        <w:t xml:space="preserve">para ordenarle que haga entrega al </w:t>
      </w:r>
      <w:r>
        <w:rPr>
          <w:rFonts w:ascii="Palatino Linotype" w:eastAsia="Palatino Linotype" w:hAnsi="Palatino Linotype" w:cs="Palatino Linotype"/>
          <w:b/>
          <w:color w:val="000000"/>
        </w:rPr>
        <w:t>RECURRENTE</w:t>
      </w:r>
      <w:r>
        <w:rPr>
          <w:rFonts w:ascii="Palatino Linotype" w:eastAsia="Palatino Linotype" w:hAnsi="Palatino Linotype" w:cs="Palatino Linotype"/>
          <w:color w:val="000000"/>
        </w:rPr>
        <w:t xml:space="preserve"> de la información consistente en las actas de las sesiones de cabildo del ejercicio 2021 que se hayan celebrado hasta el veintisiete de septiembre de dos mil veintiuno, fecha en que fue presentada la solicitud de información.</w:t>
      </w:r>
    </w:p>
    <w:p w14:paraId="73B409B2" w14:textId="77777777" w:rsidR="00E824BC" w:rsidRDefault="00E824BC" w:rsidP="00FE2406">
      <w:pPr>
        <w:spacing w:line="360" w:lineRule="auto"/>
        <w:jc w:val="both"/>
        <w:rPr>
          <w:rFonts w:ascii="Palatino Linotype" w:eastAsia="Palatino Linotype" w:hAnsi="Palatino Linotype" w:cs="Palatino Linotype"/>
        </w:rPr>
      </w:pPr>
    </w:p>
    <w:p w14:paraId="5CE4D46B"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Para tal efecto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deberá ponderar la entrega de la información a través de una dirección electrónica IP correcta y corroborar que la misma lleve a la información requerida, sin mayor búsqueda o trámite; o bien, ponerla a su disposición de manera digitalizada a través del </w:t>
      </w:r>
      <w:r>
        <w:rPr>
          <w:rFonts w:ascii="Palatino Linotype" w:eastAsia="Palatino Linotype" w:hAnsi="Palatino Linotype" w:cs="Palatino Linotype"/>
          <w:b/>
        </w:rPr>
        <w:t>SAIMEX</w:t>
      </w:r>
      <w:r>
        <w:rPr>
          <w:rFonts w:ascii="Palatino Linotype" w:eastAsia="Palatino Linotype" w:hAnsi="Palatino Linotype" w:cs="Palatino Linotype"/>
        </w:rPr>
        <w:t xml:space="preserve">, pues ésta fue la modalidad de entrega que el solicitante de la información señaló para tal efecto. </w:t>
      </w:r>
    </w:p>
    <w:p w14:paraId="51B5F64B" w14:textId="77777777" w:rsidR="00E824BC" w:rsidRDefault="00E824BC" w:rsidP="00FE2406">
      <w:pPr>
        <w:spacing w:line="360" w:lineRule="auto"/>
        <w:jc w:val="both"/>
        <w:rPr>
          <w:rFonts w:ascii="Palatino Linotype" w:eastAsia="Palatino Linotype" w:hAnsi="Palatino Linotype" w:cs="Palatino Linotype"/>
        </w:rPr>
      </w:pPr>
    </w:p>
    <w:p w14:paraId="4CB68AE4" w14:textId="77777777" w:rsidR="00E824BC" w:rsidRDefault="00772678" w:rsidP="00FE2406">
      <w:pPr>
        <w:widowControl w:val="0"/>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Al respecto, resulta conveniente señalar lo que disponen los Lineamientos para la Recepción, Trámite y Resolución de las Solicitudes de Acceso a la Información; así como de los Recursos de Revisión que deberán observar los Sujetos Obligados por la Ley de Transparencia y Acceso a la Información Pública del Estado de México y Municipios, publicados en la Gaceta del Gobierno del Estado de México el treinta de octubre de dos mil ocho, que literalmente disponen:</w:t>
      </w:r>
    </w:p>
    <w:p w14:paraId="11FB1909" w14:textId="77777777" w:rsidR="00E824BC" w:rsidRDefault="00E824BC" w:rsidP="00FE2406">
      <w:pPr>
        <w:widowControl w:val="0"/>
        <w:spacing w:line="360" w:lineRule="auto"/>
        <w:jc w:val="both"/>
        <w:rPr>
          <w:rFonts w:ascii="Palatino Linotype" w:eastAsia="Palatino Linotype" w:hAnsi="Palatino Linotype" w:cs="Palatino Linotype"/>
          <w:color w:val="000000"/>
        </w:rPr>
      </w:pPr>
    </w:p>
    <w:p w14:paraId="68FC1754"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CINCUENTA Y CUATRO</w:t>
      </w:r>
      <w:r>
        <w:rPr>
          <w:rFonts w:ascii="Palatino Linotype" w:eastAsia="Palatino Linotype" w:hAnsi="Palatino Linotype" w:cs="Palatino Linotype"/>
          <w:i/>
          <w:color w:val="000000"/>
          <w:sz w:val="22"/>
          <w:szCs w:val="22"/>
        </w:rPr>
        <w:t>. - De acuerdo a lo dispuesto por el párrafo segundo del artículo 48 de la Ley, la información podrá ser entregada vía electrónica a través del SICOSIEM.</w:t>
      </w:r>
    </w:p>
    <w:p w14:paraId="2A17E009"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 xml:space="preserve"> </w:t>
      </w:r>
    </w:p>
    <w:p w14:paraId="70FA9009"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Es obligación del responsable de la Unidad de Información verificar que los archivos electrónicos que contengan la información entregada, se encuentra agregada al SICOSIEM.</w:t>
      </w:r>
    </w:p>
    <w:p w14:paraId="57749025" w14:textId="77777777" w:rsidR="00E824BC" w:rsidRDefault="00E824BC" w:rsidP="00FE2406">
      <w:pPr>
        <w:widowControl w:val="0"/>
        <w:ind w:left="851" w:right="618"/>
        <w:jc w:val="both"/>
        <w:rPr>
          <w:rFonts w:ascii="Palatino Linotype" w:eastAsia="Palatino Linotype" w:hAnsi="Palatino Linotype" w:cs="Palatino Linotype"/>
          <w:i/>
          <w:color w:val="000000"/>
          <w:sz w:val="22"/>
          <w:szCs w:val="22"/>
        </w:rPr>
      </w:pPr>
    </w:p>
    <w:p w14:paraId="2DCAC46B"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En caso de que el responsable de la Unidad de Información no pueda agregar al SICOSIEM los archivos electrónicos que contengan la información por motivos técnicos, debe avisar de inmediato al Instituto, a través del correo electrónico institucional, además de comunicarse vía telefónica de inmediato a efecto de que reciba el apoyo técnico correspondiente.</w:t>
      </w:r>
    </w:p>
    <w:p w14:paraId="56DE02B4" w14:textId="77777777" w:rsidR="00E824BC" w:rsidRDefault="00E824BC" w:rsidP="00FE2406">
      <w:pPr>
        <w:widowControl w:val="0"/>
        <w:ind w:left="851" w:right="618"/>
        <w:jc w:val="both"/>
        <w:rPr>
          <w:rFonts w:ascii="Palatino Linotype" w:eastAsia="Palatino Linotype" w:hAnsi="Palatino Linotype" w:cs="Palatino Linotype"/>
          <w:i/>
          <w:color w:val="000000"/>
          <w:sz w:val="22"/>
          <w:szCs w:val="22"/>
        </w:rPr>
      </w:pPr>
    </w:p>
    <w:p w14:paraId="1E1A9852"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La Dirección de Sistemas e Informática del Instituto, debe llevar un registro de incidencias en el cual se asienten todas las llamas referentes al apoyo técnico para agregar los archivos electrónicos al SICOSIEM.</w:t>
      </w:r>
    </w:p>
    <w:p w14:paraId="7D524EF6" w14:textId="77777777" w:rsidR="00E824BC" w:rsidRDefault="00E824BC" w:rsidP="00FE2406">
      <w:pPr>
        <w:widowControl w:val="0"/>
        <w:ind w:left="851" w:right="618"/>
        <w:jc w:val="both"/>
        <w:rPr>
          <w:rFonts w:ascii="Palatino Linotype" w:eastAsia="Palatino Linotype" w:hAnsi="Palatino Linotype" w:cs="Palatino Linotype"/>
          <w:i/>
          <w:color w:val="000000"/>
          <w:sz w:val="22"/>
          <w:szCs w:val="22"/>
        </w:rPr>
      </w:pPr>
    </w:p>
    <w:p w14:paraId="59AC3704"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 xml:space="preserve">La omisión por parte del responsable de la Unidad de Información del procedimiento antes descrito presume la negativa de la entrega de la Información. </w:t>
      </w:r>
    </w:p>
    <w:p w14:paraId="3EC773D6" w14:textId="77777777" w:rsidR="00E824BC" w:rsidRDefault="00E824BC" w:rsidP="00FE2406">
      <w:pPr>
        <w:widowControl w:val="0"/>
        <w:ind w:left="851" w:right="618"/>
        <w:jc w:val="both"/>
        <w:rPr>
          <w:rFonts w:ascii="Palatino Linotype" w:eastAsia="Palatino Linotype" w:hAnsi="Palatino Linotype" w:cs="Palatino Linotype"/>
          <w:i/>
          <w:color w:val="000000"/>
          <w:sz w:val="22"/>
          <w:szCs w:val="22"/>
        </w:rPr>
      </w:pPr>
    </w:p>
    <w:p w14:paraId="04B3BB5A"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Cuando la información no pueda ser remitida vía electrónica, se deberá fundar y motivar la resolución respectiva, explicando en todo momento las causas que impiden el envío de la información de forma electrónica.</w:t>
      </w:r>
    </w:p>
    <w:p w14:paraId="7E2720AB" w14:textId="77777777" w:rsidR="00E824BC" w:rsidRDefault="00E824BC" w:rsidP="00FE2406">
      <w:pPr>
        <w:widowControl w:val="0"/>
        <w:ind w:left="851" w:right="618"/>
        <w:jc w:val="both"/>
        <w:rPr>
          <w:rFonts w:ascii="Palatino Linotype" w:eastAsia="Palatino Linotype" w:hAnsi="Palatino Linotype" w:cs="Palatino Linotype"/>
          <w:i/>
          <w:color w:val="000000"/>
          <w:sz w:val="22"/>
          <w:szCs w:val="22"/>
        </w:rPr>
      </w:pPr>
    </w:p>
    <w:p w14:paraId="3E1D2A12"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En el supuesto de que la información sea puesta a disposición del solicitante la Unidad de Información deberá señalar en su respuesta, con toda claridad el lugar en donde se permitirá el acceso a la información, así como en los días y horas hábiles precisadas en la resolución respectiva. En este supuesto, la disposición o entrega de la información se realizará mediante el formato de recepción de información pública.</w:t>
      </w:r>
    </w:p>
    <w:p w14:paraId="7FE3C861" w14:textId="77777777" w:rsidR="00E824BC" w:rsidRDefault="00E824BC" w:rsidP="00FE2406">
      <w:pPr>
        <w:widowControl w:val="0"/>
        <w:ind w:left="851" w:right="618"/>
        <w:jc w:val="both"/>
        <w:rPr>
          <w:rFonts w:ascii="Palatino Linotype" w:eastAsia="Palatino Linotype" w:hAnsi="Palatino Linotype" w:cs="Palatino Linotype"/>
          <w:i/>
          <w:color w:val="000000"/>
          <w:sz w:val="22"/>
          <w:szCs w:val="22"/>
        </w:rPr>
      </w:pPr>
    </w:p>
    <w:p w14:paraId="608B3B41" w14:textId="77777777" w:rsidR="00E824BC" w:rsidRDefault="00772678" w:rsidP="00FE2406">
      <w:pPr>
        <w:widowControl w:val="0"/>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El formato mencionado deberá estar agregado al expediente electrónico de la solicitud de información pública, en el estatus respectivo.”</w:t>
      </w:r>
    </w:p>
    <w:p w14:paraId="586D1CEE" w14:textId="77777777" w:rsidR="00E824BC" w:rsidRDefault="00772678" w:rsidP="00FE2406">
      <w:pPr>
        <w:widowControl w:val="0"/>
        <w:ind w:left="851" w:right="618"/>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sz w:val="22"/>
          <w:szCs w:val="22"/>
        </w:rPr>
        <w:t>(Énfasis añadido).</w:t>
      </w:r>
    </w:p>
    <w:p w14:paraId="6CFBBB03" w14:textId="77777777" w:rsidR="00E824BC" w:rsidRDefault="00E824BC" w:rsidP="00FE2406">
      <w:pPr>
        <w:widowControl w:val="0"/>
        <w:spacing w:line="360" w:lineRule="auto"/>
        <w:jc w:val="both"/>
        <w:rPr>
          <w:rFonts w:ascii="Palatino Linotype" w:eastAsia="Palatino Linotype" w:hAnsi="Palatino Linotype" w:cs="Palatino Linotype"/>
          <w:color w:val="000000"/>
        </w:rPr>
      </w:pPr>
    </w:p>
    <w:p w14:paraId="10425927" w14:textId="77777777" w:rsidR="00E824BC" w:rsidRDefault="00772678" w:rsidP="00FE2406">
      <w:pPr>
        <w:widowControl w:val="0"/>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Acorde con lo anterior, es de señalar que los Sujetos Obligados deben respetar la forma seleccionada por los particulares para la entrega de la información; por lo que, si, en esta caso en concreto, el solicitante eligió </w:t>
      </w:r>
      <w:r>
        <w:rPr>
          <w:rFonts w:ascii="Palatino Linotype" w:eastAsia="Palatino Linotype" w:hAnsi="Palatino Linotype" w:cs="Palatino Linotype"/>
          <w:b/>
          <w:color w:val="000000"/>
        </w:rPr>
        <w:t>EL SAIMEX</w:t>
      </w:r>
      <w:r>
        <w:rPr>
          <w:rFonts w:ascii="Palatino Linotype" w:eastAsia="Palatino Linotype" w:hAnsi="Palatino Linotype" w:cs="Palatino Linotype"/>
          <w:color w:val="000000"/>
        </w:rPr>
        <w:t>, el responsable de la Unidad de Transparencia debe agregar los archivos electrónicos que contengan la información requerida en dicho sistema, en versión pública y sólo en caso de imposibilidad técnica reportada al Instituto, puede optarse por cambiar la modalidad de entrega.</w:t>
      </w:r>
    </w:p>
    <w:p w14:paraId="5C62F8C5" w14:textId="77777777" w:rsidR="00E824BC" w:rsidRDefault="00E824BC" w:rsidP="00FE2406">
      <w:pPr>
        <w:widowControl w:val="0"/>
        <w:spacing w:line="360" w:lineRule="auto"/>
        <w:jc w:val="both"/>
        <w:rPr>
          <w:rFonts w:ascii="Palatino Linotype" w:eastAsia="Palatino Linotype" w:hAnsi="Palatino Linotype" w:cs="Palatino Linotype"/>
          <w:color w:val="000000"/>
        </w:rPr>
      </w:pPr>
    </w:p>
    <w:p w14:paraId="5BEE81F8"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Aunado a lo anterior, no se omite comentar que para el caso de que los documentos de los cuales se ordena su entrega consistentes en las actas de las sesiones de cabildo del ejercicio 2021, celebradas hasta el </w:t>
      </w:r>
      <w:r>
        <w:rPr>
          <w:rFonts w:ascii="Palatino Linotype" w:eastAsia="Palatino Linotype" w:hAnsi="Palatino Linotype" w:cs="Palatino Linotype"/>
        </w:rPr>
        <w:t>veintisiete</w:t>
      </w:r>
      <w:r>
        <w:rPr>
          <w:rFonts w:ascii="Palatino Linotype" w:eastAsia="Palatino Linotype" w:hAnsi="Palatino Linotype" w:cs="Palatino Linotype"/>
          <w:color w:val="000000"/>
        </w:rPr>
        <w:t xml:space="preserve"> de septiembre de dos mil veintiuno, contengan datos personales susceptibles de ser testados, deberán ser entregados en versión pública; pues, el derecho de acceso a la información pública tiene como limitante el respeto a la intimidad y a la vida privada de las personas, es por ello que este Instituto debe cuidar que los datos personales que obren en poder de los Sujetos Obligados sean protegidos y únicamente se den a conocer aquéllos que abonen a la rendición de cuentas y a la transparencia en el ejercicio de las atribuciones que tienen conferidas. </w:t>
      </w:r>
    </w:p>
    <w:p w14:paraId="67FCF037" w14:textId="77777777" w:rsidR="00E824BC" w:rsidRDefault="00E824BC" w:rsidP="00FE2406">
      <w:pPr>
        <w:spacing w:line="360" w:lineRule="auto"/>
        <w:jc w:val="both"/>
        <w:rPr>
          <w:rFonts w:ascii="Palatino Linotype" w:eastAsia="Palatino Linotype" w:hAnsi="Palatino Linotype" w:cs="Palatino Linotype"/>
          <w:color w:val="000000"/>
        </w:rPr>
      </w:pPr>
    </w:p>
    <w:p w14:paraId="6D98681C"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De este modo, en armonía entre los principios constitucionales de máxima publicidad y de protección de datos personales, la ley permite la elaboración de versiones públicas </w:t>
      </w:r>
      <w:r>
        <w:rPr>
          <w:rFonts w:ascii="Palatino Linotype" w:eastAsia="Palatino Linotype" w:hAnsi="Palatino Linotype" w:cs="Palatino Linotype"/>
          <w:color w:val="000000"/>
        </w:rPr>
        <w:lastRenderedPageBreak/>
        <w:t>en las que se suprima aquella información relacionada con la vida privada de los particulares.</w:t>
      </w:r>
    </w:p>
    <w:p w14:paraId="0ADEFD3A" w14:textId="77777777" w:rsidR="00E824BC" w:rsidRDefault="00E824BC" w:rsidP="00FE2406">
      <w:pPr>
        <w:spacing w:line="360" w:lineRule="auto"/>
        <w:jc w:val="both"/>
        <w:rPr>
          <w:rFonts w:ascii="Palatino Linotype" w:eastAsia="Palatino Linotype" w:hAnsi="Palatino Linotype" w:cs="Palatino Linotype"/>
          <w:color w:val="000000"/>
        </w:rPr>
      </w:pPr>
    </w:p>
    <w:p w14:paraId="27A541B6"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 este respecto, los artículos 3, fracciones IX, XX, XXI y XLV; 51 y 52 de la Ley de Transparencia y Acceso a la Información Pública del Estado de México y Municipios establecen:</w:t>
      </w:r>
    </w:p>
    <w:p w14:paraId="09D699F8" w14:textId="77777777" w:rsidR="00E824BC" w:rsidRDefault="00E824BC" w:rsidP="00FE2406">
      <w:pPr>
        <w:spacing w:line="360" w:lineRule="auto"/>
        <w:jc w:val="both"/>
        <w:rPr>
          <w:rFonts w:ascii="Palatino Linotype" w:eastAsia="Palatino Linotype" w:hAnsi="Palatino Linotype" w:cs="Palatino Linotype"/>
          <w:color w:val="000000"/>
        </w:rPr>
      </w:pPr>
    </w:p>
    <w:p w14:paraId="08DD7113"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Artículo 3.</w:t>
      </w:r>
      <w:r>
        <w:rPr>
          <w:rFonts w:ascii="Palatino Linotype" w:eastAsia="Palatino Linotype" w:hAnsi="Palatino Linotype" w:cs="Palatino Linotype"/>
          <w:i/>
          <w:color w:val="000000"/>
          <w:sz w:val="22"/>
          <w:szCs w:val="22"/>
        </w:rPr>
        <w:t xml:space="preserve"> Para los efectos de la presente Ley se entenderá por: </w:t>
      </w:r>
    </w:p>
    <w:p w14:paraId="32479F4C"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IX. Datos personales</w:t>
      </w:r>
      <w:r>
        <w:rPr>
          <w:rFonts w:ascii="Palatino Linotype" w:eastAsia="Palatino Linotype" w:hAnsi="Palatino Linotype" w:cs="Palatino Linotype"/>
          <w:i/>
          <w:color w:val="000000"/>
          <w:sz w:val="22"/>
          <w:szCs w:val="22"/>
        </w:rPr>
        <w:t xml:space="preserve">: La información concerniente a una persona, identificada o identificable según lo dispuesto por la Ley de Protección de Datos Personales del Estado de México; </w:t>
      </w:r>
    </w:p>
    <w:p w14:paraId="00B705B3"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08624466"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XX. Información clasificada</w:t>
      </w:r>
      <w:r>
        <w:rPr>
          <w:rFonts w:ascii="Palatino Linotype" w:eastAsia="Palatino Linotype" w:hAnsi="Palatino Linotype" w:cs="Palatino Linotype"/>
          <w:i/>
          <w:color w:val="000000"/>
          <w:sz w:val="22"/>
          <w:szCs w:val="22"/>
        </w:rPr>
        <w:t xml:space="preserve">: Aquella considerada por la presente Ley como reservada o confidencial; </w:t>
      </w:r>
    </w:p>
    <w:p w14:paraId="3CE6C284"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7BC10F8A"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XXI. Información confidencial</w:t>
      </w:r>
      <w:r>
        <w:rPr>
          <w:rFonts w:ascii="Palatino Linotype" w:eastAsia="Palatino Linotype" w:hAnsi="Palatino Linotype" w:cs="Palatino Linotype"/>
          <w:i/>
          <w:color w:val="000000"/>
          <w:sz w:val="22"/>
          <w:szCs w:val="22"/>
        </w:rPr>
        <w:t xml:space="preserve">: Se considera como información confidencial los secretos bancario, fiduciario, industrial, comercial, fiscal, bursátil y postal, cuya titularidad corresponda a particulares, sujetos de derecho internacional o a sujetos obligados cuando no involucren el ejercicio de recursos públicos; </w:t>
      </w:r>
    </w:p>
    <w:p w14:paraId="387E1187" w14:textId="77777777" w:rsidR="00E824BC" w:rsidRDefault="00E824BC" w:rsidP="00FE2406">
      <w:pPr>
        <w:ind w:left="851" w:right="618"/>
        <w:jc w:val="both"/>
        <w:rPr>
          <w:rFonts w:ascii="Palatino Linotype" w:eastAsia="Palatino Linotype" w:hAnsi="Palatino Linotype" w:cs="Palatino Linotype"/>
          <w:b/>
          <w:i/>
          <w:color w:val="000000"/>
          <w:sz w:val="22"/>
          <w:szCs w:val="22"/>
        </w:rPr>
      </w:pPr>
    </w:p>
    <w:p w14:paraId="57732D33"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XLV. Versión pública:</w:t>
      </w:r>
      <w:r>
        <w:rPr>
          <w:rFonts w:ascii="Palatino Linotype" w:eastAsia="Palatino Linotype" w:hAnsi="Palatino Linotype" w:cs="Palatino Linotype"/>
          <w:i/>
          <w:color w:val="000000"/>
          <w:sz w:val="22"/>
          <w:szCs w:val="22"/>
        </w:rPr>
        <w:t xml:space="preserve"> Documento en el que se elimine, suprime o borra la información clasificada como reservada o confidencial para permitir su acceso. </w:t>
      </w:r>
    </w:p>
    <w:p w14:paraId="7899F077"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44AAF77F"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Artículo 51.</w:t>
      </w:r>
      <w:r>
        <w:rPr>
          <w:rFonts w:ascii="Palatino Linotype" w:eastAsia="Palatino Linotype" w:hAnsi="Palatino Linotype" w:cs="Palatino Linotype"/>
          <w:i/>
          <w:color w:val="000000"/>
          <w:sz w:val="22"/>
          <w:szCs w:val="22"/>
        </w:rPr>
        <w:t xml:space="preserve"> Los sujetos obligados designaran a un responsable para atender la Unidad de Transparencia, quien fungirá como enlace entre éstos y los solicitantes. Dicha Unidad será la encargada de tramitar internamente la solicitud de información y tendrá la responsabilidad de verificar en cada caso que la misma no sea confidencial o reservada. Dicha Unidad contará con las facultades internas necesarias para gestionar la atención a las solicitudes de información en los términos de la Ley General y la presente Ley. </w:t>
      </w:r>
    </w:p>
    <w:p w14:paraId="6DE59D20"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1CC9B43C"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Artículo 52.</w:t>
      </w:r>
      <w:r>
        <w:rPr>
          <w:rFonts w:ascii="Palatino Linotype" w:eastAsia="Palatino Linotype" w:hAnsi="Palatino Linotype" w:cs="Palatino Linotype"/>
          <w:i/>
          <w:color w:val="000000"/>
          <w:sz w:val="22"/>
          <w:szCs w:val="22"/>
        </w:rPr>
        <w:t xml:space="preserve"> Las solicitudes de acceso a la información y las respuestas que se les dé, incluyendo, en su caso, la información entregada, así como las resoluciones a los </w:t>
      </w:r>
      <w:r>
        <w:rPr>
          <w:rFonts w:ascii="Palatino Linotype" w:eastAsia="Palatino Linotype" w:hAnsi="Palatino Linotype" w:cs="Palatino Linotype"/>
          <w:i/>
          <w:color w:val="000000"/>
          <w:sz w:val="22"/>
          <w:szCs w:val="22"/>
        </w:rPr>
        <w:lastRenderedPageBreak/>
        <w:t>recursos que en su caso se promuevan serán públicas, y de ser el caso que contenga datos personales que deban ser protegidos se podrá dar su acceso en su versión pública, siempre y cuando la resolución de referencia se someta a un proceso de disociación, es decir, no haga identificable al titular de tales datos personales.”</w:t>
      </w:r>
    </w:p>
    <w:p w14:paraId="011432F3" w14:textId="77777777" w:rsidR="00E824BC" w:rsidRDefault="00772678" w:rsidP="00FE2406">
      <w:pPr>
        <w:ind w:left="851" w:right="618"/>
        <w:jc w:val="both"/>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(Énfasis añadido)</w:t>
      </w:r>
    </w:p>
    <w:p w14:paraId="7EF33CE3" w14:textId="77777777" w:rsidR="00E824BC" w:rsidRDefault="00E824BC" w:rsidP="00FE2406">
      <w:pPr>
        <w:spacing w:line="360" w:lineRule="auto"/>
        <w:jc w:val="both"/>
        <w:rPr>
          <w:rFonts w:ascii="Palatino Linotype" w:eastAsia="Palatino Linotype" w:hAnsi="Palatino Linotype" w:cs="Palatino Linotype"/>
          <w:color w:val="000000"/>
        </w:rPr>
      </w:pPr>
    </w:p>
    <w:p w14:paraId="5473BB8A"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Por lo que, los datos personales que obren en poder de los Sujetos Obligados deben estar protegidos, adoptando las medidas de seguridad administrativas, físicas y técnicas necesarias para garantizar la integridad, confidencialidad y disponibilidad de los datos personales, considerando además, que conforme al principio de finalidad, todo tratamiento de datos personales que efectúen, deberá estar justificado en la Ley, lo anterior en términos de lo dispuesto por el artículo 22, párrafo primero con relación con el 38 de la Ley de Protección de Datos Personales en Posesión de Sujetos Obligados del Estado de México y Municipios, los cuales se transcriben para mayor referencia: </w:t>
      </w:r>
    </w:p>
    <w:p w14:paraId="76EE71E0" w14:textId="77777777" w:rsidR="00E824BC" w:rsidRDefault="00E824BC" w:rsidP="00FE2406">
      <w:pPr>
        <w:spacing w:line="360" w:lineRule="auto"/>
        <w:jc w:val="both"/>
        <w:rPr>
          <w:rFonts w:ascii="Palatino Linotype" w:eastAsia="Palatino Linotype" w:hAnsi="Palatino Linotype" w:cs="Palatino Linotype"/>
          <w:color w:val="000000"/>
        </w:rPr>
      </w:pPr>
    </w:p>
    <w:p w14:paraId="349388ED"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Artículo 22</w:t>
      </w:r>
      <w:r>
        <w:rPr>
          <w:rFonts w:ascii="Palatino Linotype" w:eastAsia="Palatino Linotype" w:hAnsi="Palatino Linotype" w:cs="Palatino Linotype"/>
          <w:i/>
          <w:color w:val="000000"/>
          <w:sz w:val="22"/>
          <w:szCs w:val="22"/>
        </w:rPr>
        <w:t xml:space="preserve">. Todo tratamiento de datos personales que efectúe el responsable deberá estar justificado por finalidades concretas, lícitas, explícitas y legítimas, relacionadas con las atribuciones que la normatividad aplicable les confiera.  </w:t>
      </w:r>
    </w:p>
    <w:p w14:paraId="1AF8AAF7"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50C3886A" w14:textId="77777777" w:rsidR="00E824BC" w:rsidRDefault="00772678" w:rsidP="00FE2406">
      <w:pPr>
        <w:ind w:left="851" w:right="618"/>
        <w:jc w:val="both"/>
        <w:rPr>
          <w:rFonts w:ascii="Palatino Linotype" w:eastAsia="Palatino Linotype" w:hAnsi="Palatino Linotype" w:cs="Palatino Linotype"/>
          <w:color w:val="000000"/>
        </w:rPr>
      </w:pPr>
      <w:r>
        <w:rPr>
          <w:rFonts w:ascii="Palatino Linotype" w:eastAsia="Palatino Linotype" w:hAnsi="Palatino Linotype" w:cs="Palatino Linotype"/>
          <w:b/>
          <w:i/>
          <w:color w:val="000000"/>
          <w:sz w:val="22"/>
          <w:szCs w:val="22"/>
        </w:rPr>
        <w:t>Artículo 38</w:t>
      </w:r>
      <w:r>
        <w:rPr>
          <w:rFonts w:ascii="Palatino Linotype" w:eastAsia="Palatino Linotype" w:hAnsi="Palatino Linotype" w:cs="Palatino Linotype"/>
          <w:i/>
          <w:color w:val="000000"/>
          <w:sz w:val="22"/>
          <w:szCs w:val="22"/>
        </w:rPr>
        <w:t xml:space="preserve">. Con independencia del tipo de sistema y base de datos en el que se encuentren los datos personales o el tipo de tratamiento que se efectúe, el responsable adoptará, establecerá, mantendrá y documentará las medidas de seguridad administrativas, físicas y técnicas para garantizar la integridad, confidencialidad y disponibilidad de los datos personales, a través de controles y acciones que eviten su daño, alteración, pérdida, destrucción, o el uso, transferencia, acceso o cualquier tratamiento no autorizado o ilícito, de conformidad con lo dispuesto en los lineamientos que al efecto se expidan.” </w:t>
      </w:r>
    </w:p>
    <w:p w14:paraId="78553DAB" w14:textId="77777777" w:rsidR="00E824BC" w:rsidRDefault="00E824BC" w:rsidP="00FE2406">
      <w:pPr>
        <w:spacing w:line="360" w:lineRule="auto"/>
        <w:jc w:val="both"/>
        <w:rPr>
          <w:rFonts w:ascii="Palatino Linotype" w:eastAsia="Palatino Linotype" w:hAnsi="Palatino Linotype" w:cs="Palatino Linotype"/>
          <w:color w:val="000000"/>
        </w:rPr>
      </w:pPr>
    </w:p>
    <w:p w14:paraId="792BD04A"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 xml:space="preserve">De este modo, en armonía entre los principios constitucionales de máxima publicidad y de protección de datos personales, la Ley de la materia permite la elaboración de versiones públicas en las que se suprima aquella información relacionada con la vida privada de los particulares toda vez que ésta tiene por objeto proteger datos personales, entendiéndose por tales, aquéllos que hacen identificable a una persona. </w:t>
      </w:r>
    </w:p>
    <w:p w14:paraId="20E29ACD" w14:textId="77777777" w:rsidR="00E824BC" w:rsidRDefault="00E824BC" w:rsidP="00FE2406">
      <w:pPr>
        <w:spacing w:line="360" w:lineRule="auto"/>
        <w:jc w:val="both"/>
        <w:rPr>
          <w:rFonts w:ascii="Palatino Linotype" w:eastAsia="Palatino Linotype" w:hAnsi="Palatino Linotype" w:cs="Palatino Linotype"/>
          <w:color w:val="000000"/>
        </w:rPr>
      </w:pPr>
    </w:p>
    <w:p w14:paraId="30595DF3"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Lo anterior es así, en virtud de que toda la información relativa a una persona física o jurídico colectiva que le pueda hacer identificada o identificable constituye un dato personal en términos del artículo 4, fracción XI de la Ley de Protección de Datos Personales en Posesión de Sujetos Obligados del Estado de México y Municipios; por consiguiente, se trata de información confidencial que debe ser protegida por </w:t>
      </w:r>
      <w:r>
        <w:rPr>
          <w:rFonts w:ascii="Palatino Linotype" w:eastAsia="Palatino Linotype" w:hAnsi="Palatino Linotype" w:cs="Palatino Linotype"/>
          <w:b/>
          <w:color w:val="000000"/>
        </w:rPr>
        <w:t>EL SUJETO OBLIGADO</w:t>
      </w:r>
      <w:r>
        <w:rPr>
          <w:rFonts w:ascii="Palatino Linotype" w:eastAsia="Palatino Linotype" w:hAnsi="Palatino Linotype" w:cs="Palatino Linotype"/>
          <w:color w:val="000000"/>
        </w:rPr>
        <w:t>, por lo que, todo dato personal susceptible de clasificación debe ser protegido.</w:t>
      </w:r>
    </w:p>
    <w:p w14:paraId="6F7604F2" w14:textId="77777777" w:rsidR="00E824BC" w:rsidRDefault="00E824BC" w:rsidP="00FE2406">
      <w:pPr>
        <w:spacing w:line="360" w:lineRule="auto"/>
        <w:jc w:val="both"/>
        <w:rPr>
          <w:rFonts w:ascii="Palatino Linotype" w:eastAsia="Palatino Linotype" w:hAnsi="Palatino Linotype" w:cs="Palatino Linotype"/>
          <w:color w:val="000000"/>
        </w:rPr>
      </w:pPr>
    </w:p>
    <w:p w14:paraId="1DA8B7AB"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Es importante referir que la finalidad de la versión pública de la información, es salvaguardar la vida, integridad, seguridad, patrimonio y privacidad de las personas; de tal manera que todo aquello que no tenga por objeto proteger lo anterior, es susceptible de ser entregado; en otras palabras, la protección de datos personales, entre ellos el del patrimonio y su confidencialidad, es una derivación del derecho a la intimidad.</w:t>
      </w:r>
    </w:p>
    <w:p w14:paraId="6C9AE96B" w14:textId="77777777" w:rsidR="00E824BC" w:rsidRDefault="00E824BC" w:rsidP="00FE2406">
      <w:pPr>
        <w:spacing w:line="360" w:lineRule="auto"/>
        <w:jc w:val="both"/>
        <w:rPr>
          <w:rFonts w:ascii="Palatino Linotype" w:eastAsia="Palatino Linotype" w:hAnsi="Palatino Linotype" w:cs="Palatino Linotype"/>
          <w:color w:val="000000"/>
        </w:rPr>
      </w:pPr>
    </w:p>
    <w:p w14:paraId="0DF9A6F5"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Por lo que, es importante señalar que dicha clasificación se tiene que efectuar mediante la forma y formalidades que la ley de la materia impone; es decir, mediante acuerdo debidamente fundado y motivado, de su Comité de Transparencia, en términos de los artículos 49, fracción VIII y 132, fracciones II y III de la Ley de Transparencia y Acceso a la Información Pública del Estado de México y Municipios, así como los numerales Segundo, fracción XVIII,  y del Cuarto al Décimo Primero de los Lineamientos Generales en materia de Clasificación y Desclasificación de la Información, así como para la elaboración de Versiones Públicas, que literalmente expresan:</w:t>
      </w:r>
    </w:p>
    <w:p w14:paraId="3D86CCDC" w14:textId="77777777" w:rsidR="00E824BC" w:rsidRDefault="00E824BC" w:rsidP="00FE2406">
      <w:pPr>
        <w:spacing w:line="360" w:lineRule="auto"/>
        <w:jc w:val="both"/>
        <w:rPr>
          <w:rFonts w:ascii="Palatino Linotype" w:eastAsia="Palatino Linotype" w:hAnsi="Palatino Linotype" w:cs="Palatino Linotype"/>
          <w:color w:val="000000"/>
        </w:rPr>
      </w:pPr>
    </w:p>
    <w:p w14:paraId="776DF52D"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Artículo 49.</w:t>
      </w:r>
      <w:r>
        <w:rPr>
          <w:rFonts w:ascii="Palatino Linotype" w:eastAsia="Palatino Linotype" w:hAnsi="Palatino Linotype" w:cs="Palatino Linotype"/>
          <w:i/>
          <w:color w:val="000000"/>
          <w:sz w:val="22"/>
          <w:szCs w:val="22"/>
        </w:rPr>
        <w:t xml:space="preserve"> Los Comités de Transparencia tendrán las siguientes atribuciones:</w:t>
      </w:r>
    </w:p>
    <w:p w14:paraId="5063B6B5"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VIII</w:t>
      </w:r>
      <w:r>
        <w:rPr>
          <w:rFonts w:ascii="Palatino Linotype" w:eastAsia="Palatino Linotype" w:hAnsi="Palatino Linotype" w:cs="Palatino Linotype"/>
          <w:i/>
          <w:color w:val="000000"/>
          <w:sz w:val="22"/>
          <w:szCs w:val="22"/>
        </w:rPr>
        <w:t>. Aprobar, modificar o revocar la clasificación de la información;</w:t>
      </w:r>
    </w:p>
    <w:p w14:paraId="1C65253B"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6F521C5A"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Artículo 132.</w:t>
      </w:r>
      <w:r>
        <w:rPr>
          <w:rFonts w:ascii="Palatino Linotype" w:eastAsia="Palatino Linotype" w:hAnsi="Palatino Linotype" w:cs="Palatino Linotype"/>
          <w:i/>
          <w:color w:val="000000"/>
          <w:sz w:val="22"/>
          <w:szCs w:val="22"/>
        </w:rPr>
        <w:t xml:space="preserve"> La clasificación de la información se llevará a cabo en el momento en que:</w:t>
      </w:r>
    </w:p>
    <w:p w14:paraId="3C169352"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w:t>
      </w:r>
      <w:r>
        <w:rPr>
          <w:rFonts w:ascii="Palatino Linotype" w:eastAsia="Palatino Linotype" w:hAnsi="Palatino Linotype" w:cs="Palatino Linotype"/>
          <w:i/>
          <w:color w:val="000000"/>
          <w:sz w:val="22"/>
          <w:szCs w:val="22"/>
        </w:rPr>
        <w:t>. Se reciba una solicitud de acceso a la información;</w:t>
      </w:r>
    </w:p>
    <w:p w14:paraId="491E768C"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II.</w:t>
      </w:r>
      <w:r>
        <w:rPr>
          <w:rFonts w:ascii="Palatino Linotype" w:eastAsia="Palatino Linotype" w:hAnsi="Palatino Linotype" w:cs="Palatino Linotype"/>
          <w:i/>
          <w:color w:val="000000"/>
          <w:sz w:val="22"/>
          <w:szCs w:val="22"/>
        </w:rPr>
        <w:t xml:space="preserve"> Se determine mediante resolución de autoridad competente; o</w:t>
      </w:r>
    </w:p>
    <w:p w14:paraId="30B6B6D2"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 xml:space="preserve">III. </w:t>
      </w:r>
      <w:r>
        <w:rPr>
          <w:rFonts w:ascii="Palatino Linotype" w:eastAsia="Palatino Linotype" w:hAnsi="Palatino Linotype" w:cs="Palatino Linotype"/>
          <w:i/>
          <w:color w:val="000000"/>
          <w:sz w:val="22"/>
          <w:szCs w:val="22"/>
        </w:rPr>
        <w:t>Se generen versiones públicas para dar cumplimiento a las obligaciones de transparencia previstas en esta Ley.”</w:t>
      </w:r>
    </w:p>
    <w:p w14:paraId="6C906795"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7AE2C266" w14:textId="00133760"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00DB7E60">
        <w:rPr>
          <w:rFonts w:ascii="Palatino Linotype" w:eastAsia="Palatino Linotype" w:hAnsi="Palatino Linotype" w:cs="Palatino Linotype"/>
          <w:b/>
          <w:i/>
          <w:color w:val="000000"/>
          <w:sz w:val="22"/>
          <w:szCs w:val="22"/>
        </w:rPr>
        <w:t>Segundo</w:t>
      </w:r>
      <w:r w:rsidR="00DB7E60">
        <w:rPr>
          <w:rFonts w:ascii="Palatino Linotype" w:eastAsia="Palatino Linotype" w:hAnsi="Palatino Linotype" w:cs="Palatino Linotype"/>
          <w:i/>
          <w:color w:val="000000"/>
          <w:sz w:val="22"/>
          <w:szCs w:val="22"/>
        </w:rPr>
        <w:t>. -</w:t>
      </w:r>
      <w:r>
        <w:rPr>
          <w:rFonts w:ascii="Palatino Linotype" w:eastAsia="Palatino Linotype" w:hAnsi="Palatino Linotype" w:cs="Palatino Linotype"/>
          <w:i/>
          <w:color w:val="000000"/>
          <w:sz w:val="22"/>
          <w:szCs w:val="22"/>
        </w:rPr>
        <w:t xml:space="preserve"> Para efectos de los presentes Lineamientos Generales, se entenderá por:</w:t>
      </w:r>
    </w:p>
    <w:p w14:paraId="6848CC3F"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XVIII</w:t>
      </w: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 xml:space="preserve">  Versión pública</w:t>
      </w:r>
      <w:r>
        <w:rPr>
          <w:rFonts w:ascii="Palatino Linotype" w:eastAsia="Palatino Linotype" w:hAnsi="Palatino Linotype" w:cs="Palatino Linotype"/>
          <w:i/>
          <w:color w:val="000000"/>
          <w:sz w:val="22"/>
          <w:szCs w:val="22"/>
        </w:rPr>
        <w:t>: El documento a partir del que se otorga acceso a la información, en el que se testan partes o secciones clasificadas, indicando el contenido de éstas de manera genérica, fundando y motivando la reserva o confidencialidad, a través de la resolución que para tal efecto emita el Comité de Transparencia.</w:t>
      </w:r>
    </w:p>
    <w:p w14:paraId="4BD07D34"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18601872"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Cuarto.</w:t>
      </w:r>
      <w:r>
        <w:rPr>
          <w:rFonts w:ascii="Palatino Linotype" w:eastAsia="Palatino Linotype" w:hAnsi="Palatino Linotype" w:cs="Palatino Linotype"/>
          <w:i/>
          <w:color w:val="000000"/>
          <w:sz w:val="22"/>
          <w:szCs w:val="22"/>
        </w:rPr>
        <w:t xml:space="preserve"> Para clasificar la información como reservada o confidencial, de manera total o parcial, el titular del área del sujeto obligado deberá atender lo dispuesto por el Título Sexto de la Ley General, en relación con las disposiciones contenidas en los presentes lineamientos, así como en aquellas disposiciones legales aplicables a la materia en el ámbito de sus respectivas competencias, en tanto estas últimas no contravengan lo dispuesto en la Ley General.</w:t>
      </w:r>
    </w:p>
    <w:p w14:paraId="39969E1D"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623C8A10"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Los sujetos obligados deberán aplicar, de manera estricta, las excepciones al derecho de acceso a la información y sólo podrán invocarlas cuando acrediten su procedencia.</w:t>
      </w:r>
    </w:p>
    <w:p w14:paraId="4789653F"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7CFE0F21"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Quinto.</w:t>
      </w:r>
      <w:r>
        <w:rPr>
          <w:rFonts w:ascii="Palatino Linotype" w:eastAsia="Palatino Linotype" w:hAnsi="Palatino Linotype" w:cs="Palatino Linotype"/>
          <w:i/>
          <w:color w:val="000000"/>
          <w:sz w:val="22"/>
          <w:szCs w:val="22"/>
        </w:rPr>
        <w:t xml:space="preserve"> La carga de la prueba para justificar toda negativa de acceso a la información, por actualizarse cualquiera de los supuestos de clasificación previstos en la Ley General, la Ley Federal y leyes estatales, corresponderá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14:paraId="39975EBF"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7F1AA5AB"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Sexto.</w:t>
      </w:r>
      <w:r>
        <w:rPr>
          <w:rFonts w:ascii="Palatino Linotype" w:eastAsia="Palatino Linotype" w:hAnsi="Palatino Linotype" w:cs="Palatino Linotype"/>
          <w:i/>
          <w:color w:val="000000"/>
          <w:sz w:val="22"/>
          <w:szCs w:val="22"/>
        </w:rPr>
        <w:t xml:space="preserve"> Los sujetos obligados no podrán emitir acuerdos de carácter general ni particular que clasifiquen documentos o expedientes como reservados, ni clasificar documentos antes de que se genere la información o cuando éstos no obren en sus archivos.</w:t>
      </w:r>
    </w:p>
    <w:p w14:paraId="3C527A9F"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4336F603"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La clasificación de información se realizará conforme a un análisis caso por caso, mediante la aplicación de la prueba de daño y de interés público.</w:t>
      </w:r>
    </w:p>
    <w:p w14:paraId="2E88992C"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4968FCC8"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Séptimo.</w:t>
      </w:r>
      <w:r>
        <w:rPr>
          <w:rFonts w:ascii="Palatino Linotype" w:eastAsia="Palatino Linotype" w:hAnsi="Palatino Linotype" w:cs="Palatino Linotype"/>
          <w:i/>
          <w:color w:val="000000"/>
          <w:sz w:val="22"/>
          <w:szCs w:val="22"/>
        </w:rPr>
        <w:t xml:space="preserve"> La clasificación de la información se llevará a cabo en el momento en que:</w:t>
      </w:r>
    </w:p>
    <w:p w14:paraId="5BB66FA7"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w:t>
      </w:r>
      <w:r>
        <w:rPr>
          <w:rFonts w:ascii="Palatino Linotype" w:eastAsia="Palatino Linotype" w:hAnsi="Palatino Linotype" w:cs="Palatino Linotype"/>
          <w:i/>
          <w:color w:val="000000"/>
          <w:sz w:val="22"/>
          <w:szCs w:val="22"/>
        </w:rPr>
        <w:t xml:space="preserve">        Se reciba una solicitud de acceso a la información;</w:t>
      </w:r>
    </w:p>
    <w:p w14:paraId="00E64232"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II.</w:t>
      </w:r>
      <w:r>
        <w:rPr>
          <w:rFonts w:ascii="Palatino Linotype" w:eastAsia="Palatino Linotype" w:hAnsi="Palatino Linotype" w:cs="Palatino Linotype"/>
          <w:i/>
          <w:color w:val="000000"/>
          <w:sz w:val="22"/>
          <w:szCs w:val="22"/>
        </w:rPr>
        <w:t xml:space="preserve">       Se determine mediante resolución de autoridad competente, o</w:t>
      </w:r>
    </w:p>
    <w:p w14:paraId="1C863A8E"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III.</w:t>
      </w:r>
      <w:r>
        <w:rPr>
          <w:rFonts w:ascii="Palatino Linotype" w:eastAsia="Palatino Linotype" w:hAnsi="Palatino Linotype" w:cs="Palatino Linotype"/>
          <w:i/>
          <w:color w:val="000000"/>
          <w:sz w:val="22"/>
          <w:szCs w:val="22"/>
        </w:rPr>
        <w:t xml:space="preserve">      Se generen versiones públicas para dar cumplimiento a las obligaciones de transparencia previstas en la Ley General, la Ley Federal y las correspondientes de las entidades federativas.</w:t>
      </w:r>
    </w:p>
    <w:p w14:paraId="64810A83"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457D4062"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Los titulares de las áreas deberán revisar la clasificación al momento de la recepción de una solicitud de acceso a la información, para verificar si encuadra en una causal de reserva o de confidencialidad.</w:t>
      </w:r>
    </w:p>
    <w:p w14:paraId="711BCA43"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522B644D"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 xml:space="preserve">Octavo. </w:t>
      </w:r>
      <w:r>
        <w:rPr>
          <w:rFonts w:ascii="Palatino Linotype" w:eastAsia="Palatino Linotype" w:hAnsi="Palatino Linotype" w:cs="Palatino Linotype"/>
          <w:i/>
          <w:color w:val="000000"/>
          <w:sz w:val="22"/>
          <w:szCs w:val="22"/>
        </w:rPr>
        <w:t>Para fundar la clasificación de la información se debe señalar el artículo, fracción, inciso, párrafo o numeral de la ley o tratado internacional suscrito por el Estado mexicano que expresamente le otorga el carácter de reservada o confidencial.</w:t>
      </w:r>
    </w:p>
    <w:p w14:paraId="65B3B077"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3985C4E9"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lastRenderedPageBreak/>
        <w:t>Para motivar la clasificación se deberán señalar las razones o circunstancias especiales que lo llevaron a concluir que el caso particular se ajusta al supuesto previsto por la norma legal invocada como fundamento.</w:t>
      </w:r>
    </w:p>
    <w:p w14:paraId="5BDFE5E6"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37839ECB"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En caso de referirse a información reservada, la motivación de la clasificación también deberá comprender las circunstancias que justifican el establecimiento de determinado plazo de reserva.</w:t>
      </w:r>
    </w:p>
    <w:p w14:paraId="4F6F9D59"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07F443BD"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Tratándose de información clasificada como confidencial respecto de la cual se haya determinado su conservación permanente por tener valor histórico, ésta conservará tal carácter de conformidad con la normativa aplicable en materia de archivos.</w:t>
      </w:r>
    </w:p>
    <w:p w14:paraId="40D76C6C"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23673F02"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Los documentos contenidos en los archivos históricos y los identificados como históricos confidenciales no serán susceptibles de clasificación como reservados.</w:t>
      </w:r>
    </w:p>
    <w:p w14:paraId="4AE8E60D"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63CE4EA5"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Noveno.</w:t>
      </w:r>
      <w:r>
        <w:rPr>
          <w:rFonts w:ascii="Palatino Linotype" w:eastAsia="Palatino Linotype" w:hAnsi="Palatino Linotype" w:cs="Palatino Linotype"/>
          <w:i/>
          <w:color w:val="000000"/>
          <w:sz w:val="22"/>
          <w:szCs w:val="22"/>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14:paraId="7CAC0C8B"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6F6A3351"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t>Décimo.</w:t>
      </w:r>
      <w:r>
        <w:rPr>
          <w:rFonts w:ascii="Palatino Linotype" w:eastAsia="Palatino Linotype" w:hAnsi="Palatino Linotype" w:cs="Palatino Linotype"/>
          <w:i/>
          <w:color w:val="000000"/>
          <w:sz w:val="22"/>
          <w:szCs w:val="22"/>
        </w:rPr>
        <w:t xml:space="preserve"> Los titulares de las áreas, deberán tener conocimiento y llevar un registro del personal que, por la naturaleza de sus atribuciones, tenga acceso a los documentos clasificados. Asimismo, deberán asegurarse de que dicho personal cuente con los conocimientos técnicos y legales que le permitan manejar adecuadamente la información clasificada, en los términos de los Lineamientos para la Organización y Conservación de Archivos.</w:t>
      </w:r>
    </w:p>
    <w:p w14:paraId="583FB052"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1E5C2A69" w14:textId="77777777" w:rsidR="00E824BC" w:rsidRDefault="00772678" w:rsidP="00FE2406">
      <w:pPr>
        <w:ind w:left="851" w:right="618"/>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En ausencia de los titulares de las áreas, la información será clasificada o desclasificada por la persona que lo supla, en términos de la normativa que rija la actuación del sujeto obligado.</w:t>
      </w:r>
    </w:p>
    <w:p w14:paraId="50D3B1D8" w14:textId="77777777" w:rsidR="00E824BC" w:rsidRDefault="00E824BC" w:rsidP="00FE2406">
      <w:pPr>
        <w:ind w:left="851" w:right="618"/>
        <w:jc w:val="both"/>
        <w:rPr>
          <w:rFonts w:ascii="Palatino Linotype" w:eastAsia="Palatino Linotype" w:hAnsi="Palatino Linotype" w:cs="Palatino Linotype"/>
          <w:i/>
          <w:color w:val="000000"/>
          <w:sz w:val="22"/>
          <w:szCs w:val="22"/>
        </w:rPr>
      </w:pPr>
    </w:p>
    <w:p w14:paraId="645A920B" w14:textId="77777777" w:rsidR="00E824BC" w:rsidRDefault="00772678" w:rsidP="00FE2406">
      <w:pPr>
        <w:ind w:left="851" w:right="618"/>
        <w:jc w:val="both"/>
        <w:rPr>
          <w:rFonts w:ascii="Palatino Linotype" w:eastAsia="Palatino Linotype" w:hAnsi="Palatino Linotype" w:cs="Palatino Linotype"/>
          <w:color w:val="000000"/>
        </w:rPr>
      </w:pPr>
      <w:r>
        <w:rPr>
          <w:rFonts w:ascii="Palatino Linotype" w:eastAsia="Palatino Linotype" w:hAnsi="Palatino Linotype" w:cs="Palatino Linotype"/>
          <w:b/>
          <w:i/>
          <w:color w:val="000000"/>
          <w:sz w:val="22"/>
          <w:szCs w:val="22"/>
        </w:rPr>
        <w:t>Décimo primero.</w:t>
      </w:r>
      <w:r>
        <w:rPr>
          <w:rFonts w:ascii="Palatino Linotype" w:eastAsia="Palatino Linotype" w:hAnsi="Palatino Linotype" w:cs="Palatino Linotype"/>
          <w:i/>
          <w:color w:val="000000"/>
          <w:sz w:val="22"/>
          <w:szCs w:val="22"/>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p>
    <w:p w14:paraId="01A1A364" w14:textId="77777777" w:rsidR="00E824BC" w:rsidRDefault="00E824BC" w:rsidP="00FE2406">
      <w:pPr>
        <w:spacing w:line="360" w:lineRule="auto"/>
        <w:jc w:val="both"/>
        <w:rPr>
          <w:rFonts w:ascii="Palatino Linotype" w:eastAsia="Palatino Linotype" w:hAnsi="Palatino Linotype" w:cs="Palatino Linotype"/>
          <w:color w:val="000000"/>
        </w:rPr>
      </w:pPr>
    </w:p>
    <w:p w14:paraId="3105DC51"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lastRenderedPageBreak/>
        <w:t xml:space="preserve">Consecuentemente, se destaca que la versión pública que elabore </w:t>
      </w:r>
      <w:r>
        <w:rPr>
          <w:rFonts w:ascii="Palatino Linotype" w:eastAsia="Palatino Linotype" w:hAnsi="Palatino Linotype" w:cs="Palatino Linotype"/>
          <w:b/>
          <w:color w:val="000000"/>
        </w:rPr>
        <w:t>EL SUJETO OBLIGADO</w:t>
      </w:r>
      <w:r>
        <w:rPr>
          <w:rFonts w:ascii="Palatino Linotype" w:eastAsia="Palatino Linotype" w:hAnsi="Palatino Linotype" w:cs="Palatino Linotype"/>
          <w:color w:val="000000"/>
        </w:rPr>
        <w:t xml:space="preserve"> debe cumplir con las formalidades exigidas en la Ley, por lo que para tal efecto emitirá el Acuerdo del Comité de Transparencia en términos de los artículos 122 y 124 de la Ley de Transparencia y Acceso a la Información Pública del Estado de México y Municipios, con el cual sustentará la clasificación de datos y con ello la "versión pública" de los documentos materia de la solicitud.</w:t>
      </w:r>
    </w:p>
    <w:p w14:paraId="48E1D09D" w14:textId="77777777" w:rsidR="00E824BC" w:rsidRDefault="00E824BC" w:rsidP="00FE2406">
      <w:pPr>
        <w:spacing w:line="360" w:lineRule="auto"/>
        <w:jc w:val="both"/>
        <w:rPr>
          <w:rFonts w:ascii="Palatino Linotype" w:eastAsia="Palatino Linotype" w:hAnsi="Palatino Linotype" w:cs="Palatino Linotype"/>
          <w:color w:val="000000"/>
        </w:rPr>
      </w:pPr>
    </w:p>
    <w:p w14:paraId="1A0CFD6D"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Ya que no hacerlo implica que lo entregado no es legal ni formalmente una versión pública, sino más bien una documentación ilegible, 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14:paraId="7F630D6B" w14:textId="77777777" w:rsidR="00E824BC" w:rsidRDefault="00E824BC" w:rsidP="00FE2406">
      <w:pPr>
        <w:spacing w:line="360" w:lineRule="auto"/>
        <w:jc w:val="both"/>
        <w:rPr>
          <w:rFonts w:ascii="Palatino Linotype" w:eastAsia="Palatino Linotype" w:hAnsi="Palatino Linotype" w:cs="Palatino Linotype"/>
          <w:b/>
        </w:rPr>
      </w:pPr>
    </w:p>
    <w:p w14:paraId="1606C560"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No se omite comentar que</w:t>
      </w:r>
      <w:r>
        <w:rPr>
          <w:rFonts w:ascii="Palatino Linotype" w:eastAsia="Palatino Linotype" w:hAnsi="Palatino Linotype" w:cs="Palatino Linotype"/>
          <w:b/>
        </w:rPr>
        <w:t xml:space="preserve"> EL RECURRENTE</w:t>
      </w:r>
      <w:r>
        <w:rPr>
          <w:rFonts w:ascii="Palatino Linotype" w:eastAsia="Palatino Linotype" w:hAnsi="Palatino Linotype" w:cs="Palatino Linotype"/>
        </w:rPr>
        <w:t xml:space="preserve"> manifestó que la información no se entregó en tiempo ni en forma de acuerdo a lo establecido en la Ley de Transparencia de Acceso a la Información Pública </w:t>
      </w:r>
    </w:p>
    <w:p w14:paraId="1CCE9EF6" w14:textId="77777777" w:rsidR="00E824BC" w:rsidRDefault="00E824BC" w:rsidP="00FE2406">
      <w:pPr>
        <w:spacing w:line="360" w:lineRule="auto"/>
        <w:jc w:val="both"/>
        <w:rPr>
          <w:rFonts w:ascii="Palatino Linotype" w:eastAsia="Palatino Linotype" w:hAnsi="Palatino Linotype" w:cs="Palatino Linotype"/>
        </w:rPr>
      </w:pPr>
    </w:p>
    <w:p w14:paraId="3DB507DA"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ese sentido y conforme a los supuestos de procedencia del recurso de revisión que en este acto se resuelve, en lo referente a que la información no se entregó en tiempo ni en forma, cobra relevancia el contenido del artículo 163 de la Ley de Transparencia y </w:t>
      </w:r>
      <w:r>
        <w:rPr>
          <w:rFonts w:ascii="Palatino Linotype" w:eastAsia="Palatino Linotype" w:hAnsi="Palatino Linotype" w:cs="Palatino Linotype"/>
        </w:rPr>
        <w:lastRenderedPageBreak/>
        <w:t>Acceso a la Información Pública del Estado de México y Municipios, que textualmente prevé:</w:t>
      </w:r>
    </w:p>
    <w:p w14:paraId="64FB10C8" w14:textId="77777777" w:rsidR="00E824BC" w:rsidRDefault="00E824BC" w:rsidP="00FE2406">
      <w:pPr>
        <w:spacing w:line="360" w:lineRule="auto"/>
        <w:jc w:val="both"/>
        <w:rPr>
          <w:rFonts w:ascii="Palatino Linotype" w:eastAsia="Palatino Linotype" w:hAnsi="Palatino Linotype" w:cs="Palatino Linotype"/>
        </w:rPr>
      </w:pPr>
    </w:p>
    <w:p w14:paraId="0EBFB9A7" w14:textId="257569BF" w:rsidR="00E824BC" w:rsidRDefault="00DB7E60"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w:t>
      </w:r>
      <w:r w:rsidR="00772678">
        <w:rPr>
          <w:rFonts w:ascii="Palatino Linotype" w:eastAsia="Palatino Linotype" w:hAnsi="Palatino Linotype" w:cs="Palatino Linotype"/>
          <w:b/>
          <w:i/>
          <w:sz w:val="22"/>
          <w:szCs w:val="22"/>
        </w:rPr>
        <w:t xml:space="preserve"> 163. </w:t>
      </w:r>
      <w:r w:rsidR="00772678">
        <w:rPr>
          <w:rFonts w:ascii="Palatino Linotype" w:eastAsia="Palatino Linotype" w:hAnsi="Palatino Linotype" w:cs="Palatino Linotype"/>
          <w:i/>
          <w:sz w:val="22"/>
          <w:szCs w:val="22"/>
        </w:rPr>
        <w:t xml:space="preserve">La Unidad de Transparencia </w:t>
      </w:r>
      <w:r>
        <w:rPr>
          <w:rFonts w:ascii="Palatino Linotype" w:eastAsia="Palatino Linotype" w:hAnsi="Palatino Linotype" w:cs="Palatino Linotype"/>
          <w:i/>
          <w:sz w:val="22"/>
          <w:szCs w:val="22"/>
        </w:rPr>
        <w:t>deberá</w:t>
      </w:r>
      <w:r w:rsidR="00772678">
        <w:rPr>
          <w:rFonts w:ascii="Palatino Linotype" w:eastAsia="Palatino Linotype" w:hAnsi="Palatino Linotype" w:cs="Palatino Linotype"/>
          <w:i/>
          <w:sz w:val="22"/>
          <w:szCs w:val="22"/>
        </w:rPr>
        <w:t xml:space="preserve">́ notificar la respuesta a la solicitud al interesado en el menor tiempo posible, que no </w:t>
      </w:r>
      <w:r>
        <w:rPr>
          <w:rFonts w:ascii="Palatino Linotype" w:eastAsia="Palatino Linotype" w:hAnsi="Palatino Linotype" w:cs="Palatino Linotype"/>
          <w:i/>
          <w:sz w:val="22"/>
          <w:szCs w:val="22"/>
        </w:rPr>
        <w:t>podrá</w:t>
      </w:r>
      <w:r w:rsidR="00772678">
        <w:rPr>
          <w:rFonts w:ascii="Palatino Linotype" w:eastAsia="Palatino Linotype" w:hAnsi="Palatino Linotype" w:cs="Palatino Linotype"/>
          <w:i/>
          <w:sz w:val="22"/>
          <w:szCs w:val="22"/>
        </w:rPr>
        <w:t xml:space="preserve">́ exceder de quince </w:t>
      </w:r>
      <w:r>
        <w:rPr>
          <w:rFonts w:ascii="Palatino Linotype" w:eastAsia="Palatino Linotype" w:hAnsi="Palatino Linotype" w:cs="Palatino Linotype"/>
          <w:i/>
          <w:sz w:val="22"/>
          <w:szCs w:val="22"/>
        </w:rPr>
        <w:t>días</w:t>
      </w:r>
      <w:r w:rsidR="00772678">
        <w:rPr>
          <w:rFonts w:ascii="Palatino Linotype" w:eastAsia="Palatino Linotype" w:hAnsi="Palatino Linotype" w:cs="Palatino Linotype"/>
          <w:i/>
          <w:sz w:val="22"/>
          <w:szCs w:val="22"/>
        </w:rPr>
        <w:t xml:space="preserve"> </w:t>
      </w:r>
      <w:r>
        <w:rPr>
          <w:rFonts w:ascii="Palatino Linotype" w:eastAsia="Palatino Linotype" w:hAnsi="Palatino Linotype" w:cs="Palatino Linotype"/>
          <w:i/>
          <w:sz w:val="22"/>
          <w:szCs w:val="22"/>
        </w:rPr>
        <w:t>hábiles</w:t>
      </w:r>
      <w:r w:rsidR="00772678">
        <w:rPr>
          <w:rFonts w:ascii="Palatino Linotype" w:eastAsia="Palatino Linotype" w:hAnsi="Palatino Linotype" w:cs="Palatino Linotype"/>
          <w:i/>
          <w:sz w:val="22"/>
          <w:szCs w:val="22"/>
        </w:rPr>
        <w:t xml:space="preserve">, contados a partir del </w:t>
      </w:r>
      <w:r>
        <w:rPr>
          <w:rFonts w:ascii="Palatino Linotype" w:eastAsia="Palatino Linotype" w:hAnsi="Palatino Linotype" w:cs="Palatino Linotype"/>
          <w:i/>
          <w:sz w:val="22"/>
          <w:szCs w:val="22"/>
        </w:rPr>
        <w:t>día</w:t>
      </w:r>
      <w:r w:rsidR="00772678">
        <w:rPr>
          <w:rFonts w:ascii="Palatino Linotype" w:eastAsia="Palatino Linotype" w:hAnsi="Palatino Linotype" w:cs="Palatino Linotype"/>
          <w:i/>
          <w:sz w:val="22"/>
          <w:szCs w:val="22"/>
        </w:rPr>
        <w:t xml:space="preserve"> siguiente a la </w:t>
      </w:r>
      <w:r>
        <w:rPr>
          <w:rFonts w:ascii="Palatino Linotype" w:eastAsia="Palatino Linotype" w:hAnsi="Palatino Linotype" w:cs="Palatino Linotype"/>
          <w:i/>
          <w:sz w:val="22"/>
          <w:szCs w:val="22"/>
        </w:rPr>
        <w:t>presentación</w:t>
      </w:r>
      <w:r w:rsidR="00772678">
        <w:rPr>
          <w:rFonts w:ascii="Palatino Linotype" w:eastAsia="Palatino Linotype" w:hAnsi="Palatino Linotype" w:cs="Palatino Linotype"/>
          <w:i/>
          <w:sz w:val="22"/>
          <w:szCs w:val="22"/>
        </w:rPr>
        <w:t xml:space="preserve"> de </w:t>
      </w:r>
      <w:r>
        <w:rPr>
          <w:rFonts w:ascii="Palatino Linotype" w:eastAsia="Palatino Linotype" w:hAnsi="Palatino Linotype" w:cs="Palatino Linotype"/>
          <w:i/>
          <w:sz w:val="22"/>
          <w:szCs w:val="22"/>
        </w:rPr>
        <w:t>aquella</w:t>
      </w:r>
      <w:r w:rsidR="00772678">
        <w:rPr>
          <w:rFonts w:ascii="Palatino Linotype" w:eastAsia="Palatino Linotype" w:hAnsi="Palatino Linotype" w:cs="Palatino Linotype"/>
          <w:i/>
          <w:sz w:val="22"/>
          <w:szCs w:val="22"/>
        </w:rPr>
        <w:t xml:space="preserve">. </w:t>
      </w:r>
    </w:p>
    <w:p w14:paraId="6C41EBD8" w14:textId="77777777" w:rsidR="00E824BC" w:rsidRDefault="00E824BC" w:rsidP="00FE2406">
      <w:pPr>
        <w:ind w:left="851" w:right="899"/>
        <w:jc w:val="both"/>
        <w:rPr>
          <w:rFonts w:ascii="Palatino Linotype" w:eastAsia="Palatino Linotype" w:hAnsi="Palatino Linotype" w:cs="Palatino Linotype"/>
          <w:i/>
          <w:sz w:val="22"/>
          <w:szCs w:val="22"/>
        </w:rPr>
      </w:pPr>
    </w:p>
    <w:p w14:paraId="3801B5CE" w14:textId="6788D769"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 xml:space="preserve">Excepcionalmente, el plazo referido en el </w:t>
      </w:r>
      <w:r w:rsidR="00DB7E60">
        <w:rPr>
          <w:rFonts w:ascii="Palatino Linotype" w:eastAsia="Palatino Linotype" w:hAnsi="Palatino Linotype" w:cs="Palatino Linotype"/>
          <w:b/>
          <w:i/>
          <w:sz w:val="22"/>
          <w:szCs w:val="22"/>
        </w:rPr>
        <w:t>párrafo</w:t>
      </w:r>
      <w:r>
        <w:rPr>
          <w:rFonts w:ascii="Palatino Linotype" w:eastAsia="Palatino Linotype" w:hAnsi="Palatino Linotype" w:cs="Palatino Linotype"/>
          <w:b/>
          <w:i/>
          <w:sz w:val="22"/>
          <w:szCs w:val="22"/>
        </w:rPr>
        <w:t xml:space="preserve"> anterior </w:t>
      </w:r>
      <w:r w:rsidR="00DB7E60">
        <w:rPr>
          <w:rFonts w:ascii="Palatino Linotype" w:eastAsia="Palatino Linotype" w:hAnsi="Palatino Linotype" w:cs="Palatino Linotype"/>
          <w:b/>
          <w:i/>
          <w:sz w:val="22"/>
          <w:szCs w:val="22"/>
        </w:rPr>
        <w:t>podrá</w:t>
      </w:r>
      <w:r>
        <w:rPr>
          <w:rFonts w:ascii="Palatino Linotype" w:eastAsia="Palatino Linotype" w:hAnsi="Palatino Linotype" w:cs="Palatino Linotype"/>
          <w:b/>
          <w:i/>
          <w:sz w:val="22"/>
          <w:szCs w:val="22"/>
        </w:rPr>
        <w:t xml:space="preserve">́ ampliarse hasta por siete </w:t>
      </w:r>
      <w:r w:rsidR="00DB7E60">
        <w:rPr>
          <w:rFonts w:ascii="Palatino Linotype" w:eastAsia="Palatino Linotype" w:hAnsi="Palatino Linotype" w:cs="Palatino Linotype"/>
          <w:b/>
          <w:i/>
          <w:sz w:val="22"/>
          <w:szCs w:val="22"/>
        </w:rPr>
        <w:t>días</w:t>
      </w:r>
      <w:r>
        <w:rPr>
          <w:rFonts w:ascii="Palatino Linotype" w:eastAsia="Palatino Linotype" w:hAnsi="Palatino Linotype" w:cs="Palatino Linotype"/>
          <w:b/>
          <w:i/>
          <w:sz w:val="22"/>
          <w:szCs w:val="22"/>
        </w:rPr>
        <w:t xml:space="preserve"> </w:t>
      </w:r>
      <w:r w:rsidR="00DB7E60">
        <w:rPr>
          <w:rFonts w:ascii="Palatino Linotype" w:eastAsia="Palatino Linotype" w:hAnsi="Palatino Linotype" w:cs="Palatino Linotype"/>
          <w:b/>
          <w:i/>
          <w:sz w:val="22"/>
          <w:szCs w:val="22"/>
        </w:rPr>
        <w:t>hábiles</w:t>
      </w:r>
      <w:r>
        <w:rPr>
          <w:rFonts w:ascii="Palatino Linotype" w:eastAsia="Palatino Linotype" w:hAnsi="Palatino Linotype" w:cs="Palatino Linotype"/>
          <w:b/>
          <w:i/>
          <w:sz w:val="22"/>
          <w:szCs w:val="22"/>
        </w:rPr>
        <w:t xml:space="preserve"> </w:t>
      </w:r>
      <w:r w:rsidR="00DB7E60">
        <w:rPr>
          <w:rFonts w:ascii="Palatino Linotype" w:eastAsia="Palatino Linotype" w:hAnsi="Palatino Linotype" w:cs="Palatino Linotype"/>
          <w:b/>
          <w:i/>
          <w:sz w:val="22"/>
          <w:szCs w:val="22"/>
        </w:rPr>
        <w:t>más</w:t>
      </w:r>
      <w:r>
        <w:rPr>
          <w:rFonts w:ascii="Palatino Linotype" w:eastAsia="Palatino Linotype" w:hAnsi="Palatino Linotype" w:cs="Palatino Linotype"/>
          <w:i/>
          <w:sz w:val="22"/>
          <w:szCs w:val="22"/>
        </w:rPr>
        <w:t xml:space="preserve">, </w:t>
      </w:r>
      <w:r>
        <w:rPr>
          <w:rFonts w:ascii="Palatino Linotype" w:eastAsia="Palatino Linotype" w:hAnsi="Palatino Linotype" w:cs="Palatino Linotype"/>
          <w:b/>
          <w:i/>
          <w:sz w:val="22"/>
          <w:szCs w:val="22"/>
        </w:rPr>
        <w:t xml:space="preserve">siempre y cuando existan razones fundadas y motivadas, las cuales </w:t>
      </w:r>
      <w:r w:rsidR="00DB7E60">
        <w:rPr>
          <w:rFonts w:ascii="Palatino Linotype" w:eastAsia="Palatino Linotype" w:hAnsi="Palatino Linotype" w:cs="Palatino Linotype"/>
          <w:b/>
          <w:i/>
          <w:sz w:val="22"/>
          <w:szCs w:val="22"/>
        </w:rPr>
        <w:t>deberán</w:t>
      </w:r>
      <w:r>
        <w:rPr>
          <w:rFonts w:ascii="Palatino Linotype" w:eastAsia="Palatino Linotype" w:hAnsi="Palatino Linotype" w:cs="Palatino Linotype"/>
          <w:b/>
          <w:i/>
          <w:sz w:val="22"/>
          <w:szCs w:val="22"/>
        </w:rPr>
        <w:t xml:space="preserve"> ser aprobadas por el </w:t>
      </w:r>
      <w:r w:rsidR="00DB7E60">
        <w:rPr>
          <w:rFonts w:ascii="Palatino Linotype" w:eastAsia="Palatino Linotype" w:hAnsi="Palatino Linotype" w:cs="Palatino Linotype"/>
          <w:b/>
          <w:i/>
          <w:sz w:val="22"/>
          <w:szCs w:val="22"/>
        </w:rPr>
        <w:t>Comité</w:t>
      </w:r>
      <w:r>
        <w:rPr>
          <w:rFonts w:ascii="Palatino Linotype" w:eastAsia="Palatino Linotype" w:hAnsi="Palatino Linotype" w:cs="Palatino Linotype"/>
          <w:b/>
          <w:i/>
          <w:sz w:val="22"/>
          <w:szCs w:val="22"/>
        </w:rPr>
        <w:t xml:space="preserve">́ de Transparencia, mediante la </w:t>
      </w:r>
      <w:r w:rsidR="00DB7E60">
        <w:rPr>
          <w:rFonts w:ascii="Palatino Linotype" w:eastAsia="Palatino Linotype" w:hAnsi="Palatino Linotype" w:cs="Palatino Linotype"/>
          <w:b/>
          <w:i/>
          <w:sz w:val="22"/>
          <w:szCs w:val="22"/>
        </w:rPr>
        <w:t>emisión</w:t>
      </w:r>
      <w:r>
        <w:rPr>
          <w:rFonts w:ascii="Palatino Linotype" w:eastAsia="Palatino Linotype" w:hAnsi="Palatino Linotype" w:cs="Palatino Linotype"/>
          <w:b/>
          <w:i/>
          <w:sz w:val="22"/>
          <w:szCs w:val="22"/>
        </w:rPr>
        <w:t xml:space="preserve"> de una </w:t>
      </w:r>
      <w:r w:rsidR="00DB7E60">
        <w:rPr>
          <w:rFonts w:ascii="Palatino Linotype" w:eastAsia="Palatino Linotype" w:hAnsi="Palatino Linotype" w:cs="Palatino Linotype"/>
          <w:b/>
          <w:i/>
          <w:sz w:val="22"/>
          <w:szCs w:val="22"/>
        </w:rPr>
        <w:t>resolución</w:t>
      </w:r>
      <w:r>
        <w:rPr>
          <w:rFonts w:ascii="Palatino Linotype" w:eastAsia="Palatino Linotype" w:hAnsi="Palatino Linotype" w:cs="Palatino Linotype"/>
          <w:b/>
          <w:i/>
          <w:sz w:val="22"/>
          <w:szCs w:val="22"/>
        </w:rPr>
        <w:t xml:space="preserve"> que </w:t>
      </w:r>
      <w:r w:rsidR="00DB7E60">
        <w:rPr>
          <w:rFonts w:ascii="Palatino Linotype" w:eastAsia="Palatino Linotype" w:hAnsi="Palatino Linotype" w:cs="Palatino Linotype"/>
          <w:b/>
          <w:i/>
          <w:sz w:val="22"/>
          <w:szCs w:val="22"/>
        </w:rPr>
        <w:t>deberá</w:t>
      </w:r>
      <w:r>
        <w:rPr>
          <w:rFonts w:ascii="Palatino Linotype" w:eastAsia="Palatino Linotype" w:hAnsi="Palatino Linotype" w:cs="Palatino Linotype"/>
          <w:b/>
          <w:i/>
          <w:sz w:val="22"/>
          <w:szCs w:val="22"/>
        </w:rPr>
        <w:t>́ notificarse al solicitante, antes de su vencimiento</w:t>
      </w:r>
      <w:r>
        <w:rPr>
          <w:rFonts w:ascii="Palatino Linotype" w:eastAsia="Palatino Linotype" w:hAnsi="Palatino Linotype" w:cs="Palatino Linotype"/>
          <w:i/>
          <w:sz w:val="22"/>
          <w:szCs w:val="22"/>
        </w:rPr>
        <w:t xml:space="preserve">. No </w:t>
      </w:r>
      <w:r w:rsidR="00DB7E60">
        <w:rPr>
          <w:rFonts w:ascii="Palatino Linotype" w:eastAsia="Palatino Linotype" w:hAnsi="Palatino Linotype" w:cs="Palatino Linotype"/>
          <w:i/>
          <w:sz w:val="22"/>
          <w:szCs w:val="22"/>
        </w:rPr>
        <w:t>podrán</w:t>
      </w:r>
      <w:r>
        <w:rPr>
          <w:rFonts w:ascii="Palatino Linotype" w:eastAsia="Palatino Linotype" w:hAnsi="Palatino Linotype" w:cs="Palatino Linotype"/>
          <w:i/>
          <w:sz w:val="22"/>
          <w:szCs w:val="22"/>
        </w:rPr>
        <w:t xml:space="preserve"> invocarse como causales de </w:t>
      </w:r>
      <w:r w:rsidR="00DB7E60">
        <w:rPr>
          <w:rFonts w:ascii="Palatino Linotype" w:eastAsia="Palatino Linotype" w:hAnsi="Palatino Linotype" w:cs="Palatino Linotype"/>
          <w:i/>
          <w:sz w:val="22"/>
          <w:szCs w:val="22"/>
        </w:rPr>
        <w:t>ampliación</w:t>
      </w:r>
      <w:r>
        <w:rPr>
          <w:rFonts w:ascii="Palatino Linotype" w:eastAsia="Palatino Linotype" w:hAnsi="Palatino Linotype" w:cs="Palatino Linotype"/>
          <w:i/>
          <w:sz w:val="22"/>
          <w:szCs w:val="22"/>
        </w:rPr>
        <w:t xml:space="preserve"> del plazo motivos que supongan negligencia o descuido del sujeto obligado en el desahogo de la solicitud. </w:t>
      </w:r>
    </w:p>
    <w:p w14:paraId="34A86EE3" w14:textId="77777777" w:rsidR="00E824BC" w:rsidRDefault="00E824BC" w:rsidP="00FE2406">
      <w:pPr>
        <w:spacing w:line="360" w:lineRule="auto"/>
        <w:jc w:val="both"/>
        <w:rPr>
          <w:rFonts w:ascii="Palatino Linotype" w:eastAsia="Palatino Linotype" w:hAnsi="Palatino Linotype" w:cs="Palatino Linotype"/>
        </w:rPr>
      </w:pPr>
    </w:p>
    <w:p w14:paraId="3CB2C625"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Del anterior precepto legal se desprende que </w:t>
      </w:r>
      <w:r>
        <w:rPr>
          <w:rFonts w:ascii="Palatino Linotype" w:eastAsia="Palatino Linotype" w:hAnsi="Palatino Linotype" w:cs="Palatino Linotype"/>
          <w:b/>
        </w:rPr>
        <w:t xml:space="preserve">EL SUJETO OBLIGADO </w:t>
      </w:r>
      <w:r>
        <w:rPr>
          <w:rFonts w:ascii="Palatino Linotype" w:eastAsia="Palatino Linotype" w:hAnsi="Palatino Linotype" w:cs="Palatino Linotype"/>
        </w:rPr>
        <w:t>debía dar respuesta a las solicitudes de información que se le hicieron, en un plazo no mayor a quince días hábiles posteriores; esto es, para el caso que nos ocupa, si las solicitudes de información se hicieron el veintisiete de septiembre de dos mil veintiuno, dicho plazo fenecería el dieciocho de octubre de dos mil veintiuno.</w:t>
      </w:r>
    </w:p>
    <w:p w14:paraId="31683E74" w14:textId="77777777" w:rsidR="00E824BC" w:rsidRDefault="00E824BC" w:rsidP="00FE2406">
      <w:pPr>
        <w:spacing w:line="360" w:lineRule="auto"/>
        <w:jc w:val="both"/>
        <w:rPr>
          <w:rFonts w:ascii="Palatino Linotype" w:eastAsia="Palatino Linotype" w:hAnsi="Palatino Linotype" w:cs="Palatino Linotype"/>
        </w:rPr>
      </w:pPr>
    </w:p>
    <w:p w14:paraId="0730A6C9" w14:textId="72AF823A"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De manera que si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se acogió a la ampliación de dicho plazo por un periodo de siete días hábiles más, debió cumplir con los requisitos que el mismo precepto legal establece; a saber, debió fundar y motivar la o las razones por las cuales ampliará el plazo, lo cual, en el caso que nos ocupa, solo se concretó a señalar como fundamento el numeral antes invocado y como motivación, que la información era delicada; </w:t>
      </w:r>
      <w:r w:rsidR="00DB7E60">
        <w:rPr>
          <w:rFonts w:ascii="Palatino Linotype" w:eastAsia="Palatino Linotype" w:hAnsi="Palatino Linotype" w:cs="Palatino Linotype"/>
        </w:rPr>
        <w:t>adjetivo</w:t>
      </w:r>
      <w:r>
        <w:rPr>
          <w:rFonts w:ascii="Palatino Linotype" w:eastAsia="Palatino Linotype" w:hAnsi="Palatino Linotype" w:cs="Palatino Linotype"/>
        </w:rPr>
        <w:t xml:space="preserve"> calificativo que es ambiguo, pues no se advierte o se describen los </w:t>
      </w:r>
      <w:r>
        <w:rPr>
          <w:rFonts w:ascii="Palatino Linotype" w:eastAsia="Palatino Linotype" w:hAnsi="Palatino Linotype" w:cs="Palatino Linotype"/>
        </w:rPr>
        <w:lastRenderedPageBreak/>
        <w:t>motivos por los que la información es delicada, aunado a que, conforme al artículo 94, fracción II, inciso b), de la Ley de la materia, es obligación de los Municipios poner a disposición del público las actas de sesión de cabildo; así como mantener la información actualizada.</w:t>
      </w:r>
    </w:p>
    <w:p w14:paraId="707B1ACC" w14:textId="77777777" w:rsidR="00E824BC" w:rsidRDefault="00E824BC" w:rsidP="00FE2406">
      <w:pPr>
        <w:spacing w:line="360" w:lineRule="auto"/>
        <w:jc w:val="both"/>
        <w:rPr>
          <w:rFonts w:ascii="Palatino Linotype" w:eastAsia="Palatino Linotype" w:hAnsi="Palatino Linotype" w:cs="Palatino Linotype"/>
        </w:rPr>
      </w:pPr>
    </w:p>
    <w:p w14:paraId="3DC003A3"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De modo que, si </w:t>
      </w:r>
      <w:r>
        <w:rPr>
          <w:rFonts w:ascii="Palatino Linotype" w:eastAsia="Palatino Linotype" w:hAnsi="Palatino Linotype" w:cs="Palatino Linotype"/>
          <w:b/>
        </w:rPr>
        <w:t>EL RECURRENTE</w:t>
      </w:r>
      <w:r>
        <w:rPr>
          <w:rFonts w:ascii="Palatino Linotype" w:eastAsia="Palatino Linotype" w:hAnsi="Palatino Linotype" w:cs="Palatino Linotype"/>
        </w:rPr>
        <w:t xml:space="preserve"> está solicitando las actas de cabildo llevadas a cabo en los años 2019, 2020 y 2021, </w:t>
      </w:r>
      <w:r>
        <w:rPr>
          <w:rFonts w:ascii="Palatino Linotype" w:eastAsia="Palatino Linotype" w:hAnsi="Palatino Linotype" w:cs="Palatino Linotype"/>
          <w:b/>
        </w:rPr>
        <w:t>EL SUJETO OBLIGADO</w:t>
      </w:r>
      <w:r>
        <w:rPr>
          <w:rFonts w:ascii="Palatino Linotype" w:eastAsia="Palatino Linotype" w:hAnsi="Palatino Linotype" w:cs="Palatino Linotype"/>
        </w:rPr>
        <w:t>, por lo menos debía tener a disposición del público las actas de sesión de cabildo de los años 2019, 2020 y el primer semestre del año 2021. Razón por la cual no habría necesidad de ampliar el plazo de quince días hábiles, por otros siete días más, para entregar la información.</w:t>
      </w:r>
    </w:p>
    <w:p w14:paraId="0A58640D" w14:textId="77777777" w:rsidR="00E824BC" w:rsidRDefault="00E824BC" w:rsidP="00FE2406">
      <w:pPr>
        <w:spacing w:line="360" w:lineRule="auto"/>
        <w:jc w:val="both"/>
        <w:rPr>
          <w:rFonts w:ascii="Palatino Linotype" w:eastAsia="Palatino Linotype" w:hAnsi="Palatino Linotype" w:cs="Palatino Linotype"/>
        </w:rPr>
      </w:pPr>
    </w:p>
    <w:p w14:paraId="7C030669"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Sin que del documento que obra en el </w:t>
      </w:r>
      <w:r>
        <w:rPr>
          <w:rFonts w:ascii="Palatino Linotype" w:eastAsia="Palatino Linotype" w:hAnsi="Palatino Linotype" w:cs="Palatino Linotype"/>
          <w:b/>
        </w:rPr>
        <w:t>SAIMEX,</w:t>
      </w:r>
      <w:r>
        <w:rPr>
          <w:rFonts w:ascii="Palatino Linotype" w:eastAsia="Palatino Linotype" w:hAnsi="Palatino Linotype" w:cs="Palatino Linotype"/>
        </w:rPr>
        <w:t xml:space="preserve"> se pueda advertir el siguiente requisito; es decir, que las razones fundadas y motivadas que se tuvieron para ampliar el plazo, hayan sido aprobadas por el Comité de Transparencia, mediante una resolución que, como tercer requisito, se le tuvo que notificar al solicitante de la información antes del vencimiento del plazo de quince días hábiles.</w:t>
      </w:r>
    </w:p>
    <w:p w14:paraId="1B19D31F" w14:textId="77777777" w:rsidR="00E824BC" w:rsidRDefault="00E824BC" w:rsidP="00FE2406">
      <w:pPr>
        <w:spacing w:line="360" w:lineRule="auto"/>
        <w:jc w:val="both"/>
        <w:rPr>
          <w:rFonts w:ascii="Palatino Linotype" w:eastAsia="Palatino Linotype" w:hAnsi="Palatino Linotype" w:cs="Palatino Linotype"/>
        </w:rPr>
      </w:pPr>
    </w:p>
    <w:p w14:paraId="48C5122B"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Pues lo único que se le notificó fue el documento que obra en el </w:t>
      </w:r>
      <w:r>
        <w:rPr>
          <w:rFonts w:ascii="Palatino Linotype" w:eastAsia="Palatino Linotype" w:hAnsi="Palatino Linotype" w:cs="Palatino Linotype"/>
          <w:b/>
        </w:rPr>
        <w:t>SAIMEX</w:t>
      </w:r>
      <w:r>
        <w:rPr>
          <w:rFonts w:ascii="Palatino Linotype" w:eastAsia="Palatino Linotype" w:hAnsi="Palatino Linotype" w:cs="Palatino Linotype"/>
        </w:rPr>
        <w:t xml:space="preserve"> cuyo contenido es el siguiente:</w:t>
      </w:r>
    </w:p>
    <w:p w14:paraId="4B56E784" w14:textId="77777777" w:rsidR="00E824BC" w:rsidRDefault="00E824BC" w:rsidP="00FE2406">
      <w:pPr>
        <w:spacing w:line="360" w:lineRule="auto"/>
        <w:jc w:val="both"/>
        <w:rPr>
          <w:rFonts w:ascii="Palatino Linotype" w:eastAsia="Palatino Linotype" w:hAnsi="Palatino Linotype" w:cs="Palatino Linotype"/>
        </w:rPr>
      </w:pPr>
    </w:p>
    <w:p w14:paraId="5FFCA25F" w14:textId="77777777" w:rsidR="00E824BC" w:rsidRDefault="00772678" w:rsidP="00FE2406">
      <w:pPr>
        <w:ind w:left="851" w:right="899"/>
        <w:jc w:val="right"/>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“Tepetlixpa, México a 18 de octubre de 2021</w:t>
      </w:r>
    </w:p>
    <w:p w14:paraId="79EDF42B" w14:textId="77777777" w:rsidR="00E824BC" w:rsidRDefault="00772678" w:rsidP="00FE2406">
      <w:pPr>
        <w:ind w:left="851" w:right="899"/>
        <w:jc w:val="right"/>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Nombre del solicitante:</w:t>
      </w:r>
    </w:p>
    <w:p w14:paraId="38BD17C6" w14:textId="77777777" w:rsidR="00E824BC" w:rsidRDefault="00772678" w:rsidP="00FE2406">
      <w:pPr>
        <w:ind w:left="851" w:right="899"/>
        <w:jc w:val="right"/>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Folio de la solicitud: 00250/TEPETLIX/IP/2021</w:t>
      </w:r>
    </w:p>
    <w:p w14:paraId="4945CE09" w14:textId="77777777" w:rsidR="00E824BC" w:rsidRDefault="00E824BC" w:rsidP="00FE2406">
      <w:pPr>
        <w:ind w:left="851" w:right="899"/>
        <w:jc w:val="both"/>
        <w:rPr>
          <w:rFonts w:ascii="Palatino Linotype" w:eastAsia="Palatino Linotype" w:hAnsi="Palatino Linotype" w:cs="Palatino Linotype"/>
          <w:i/>
          <w:sz w:val="22"/>
          <w:szCs w:val="22"/>
        </w:rPr>
      </w:pPr>
    </w:p>
    <w:p w14:paraId="15FE1793" w14:textId="5223D219"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Con fundamento en el ar</w:t>
      </w:r>
      <w:r w:rsidR="00DB7E60">
        <w:rPr>
          <w:rFonts w:ascii="Palatino Linotype" w:eastAsia="Palatino Linotype" w:hAnsi="Palatino Linotype" w:cs="Palatino Linotype"/>
          <w:i/>
          <w:sz w:val="22"/>
          <w:szCs w:val="22"/>
        </w:rPr>
        <w:t>t</w:t>
      </w:r>
      <w:r>
        <w:rPr>
          <w:rFonts w:ascii="Palatino Linotype" w:eastAsia="Palatino Linotype" w:hAnsi="Palatino Linotype" w:cs="Palatino Linotype"/>
          <w:i/>
          <w:sz w:val="22"/>
          <w:szCs w:val="22"/>
        </w:rPr>
        <w:t>ículo 163 de la Ley de Transparencia y Acceso a la Información Pública del Estado de México y Municipios, se le hace de su conocimiento que el plazo de 15 días hábiles para atender su solicitud de información ha sido prorrogado por 7 días en virtud de las siguientes razones:</w:t>
      </w:r>
    </w:p>
    <w:p w14:paraId="4FDB0FE2" w14:textId="77777777" w:rsidR="00E824BC" w:rsidRDefault="00E824BC" w:rsidP="00FE2406">
      <w:pPr>
        <w:ind w:left="851" w:right="899"/>
        <w:jc w:val="both"/>
        <w:rPr>
          <w:rFonts w:ascii="Palatino Linotype" w:eastAsia="Palatino Linotype" w:hAnsi="Palatino Linotype" w:cs="Palatino Linotype"/>
          <w:i/>
          <w:sz w:val="22"/>
          <w:szCs w:val="22"/>
        </w:rPr>
      </w:pPr>
    </w:p>
    <w:p w14:paraId="21FD34C2"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DERIVADO DE LA DELICADEZA DE LA INFORMACIÓN SE APRUEBA LA PRORROGA</w:t>
      </w:r>
    </w:p>
    <w:p w14:paraId="09DDC049" w14:textId="77777777" w:rsidR="00E824BC" w:rsidRDefault="00E824BC" w:rsidP="00FE2406">
      <w:pPr>
        <w:ind w:left="851" w:right="899"/>
        <w:jc w:val="both"/>
        <w:rPr>
          <w:rFonts w:ascii="Palatino Linotype" w:eastAsia="Palatino Linotype" w:hAnsi="Palatino Linotype" w:cs="Palatino Linotype"/>
          <w:i/>
          <w:sz w:val="22"/>
          <w:szCs w:val="22"/>
        </w:rPr>
      </w:pPr>
    </w:p>
    <w:p w14:paraId="1B2660C7"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ATENTAMENTE</w:t>
      </w:r>
    </w:p>
    <w:p w14:paraId="2A5B64DF"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LIC. ANGELICA FLORES VALLADARES</w:t>
      </w:r>
    </w:p>
    <w:p w14:paraId="0F3989CB"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 xml:space="preserve">Responsable de la Unidad de Información </w:t>
      </w:r>
    </w:p>
    <w:p w14:paraId="2D67EEDD" w14:textId="77777777" w:rsidR="00E824BC" w:rsidRDefault="00772678" w:rsidP="00FE2406">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Ayuntamiento de Tepetlixpa”</w:t>
      </w:r>
    </w:p>
    <w:p w14:paraId="07435E05" w14:textId="77777777" w:rsidR="00E824BC" w:rsidRDefault="00E824BC" w:rsidP="00FE2406">
      <w:pPr>
        <w:spacing w:line="360" w:lineRule="auto"/>
        <w:jc w:val="both"/>
        <w:rPr>
          <w:rFonts w:ascii="Palatino Linotype" w:eastAsia="Palatino Linotype" w:hAnsi="Palatino Linotype" w:cs="Palatino Linotype"/>
        </w:rPr>
      </w:pPr>
    </w:p>
    <w:p w14:paraId="3E7A8F1A"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De lo anterior, se advierte que si bien, la notificación de la ampliación se hizo el día del vencimiento del plazo de quince días hábiles, es decir, el dieciocho de octubre de dos mil veintiuno, no se le notificó al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la resolución del Comité de Transparencia con la que se aprobaran las razones fundadas y motivadas por las que se ampliaba dicho plazo por siete días hábiles más.</w:t>
      </w:r>
    </w:p>
    <w:p w14:paraId="7ED0B581" w14:textId="77777777" w:rsidR="00E824BC" w:rsidRDefault="00E824BC" w:rsidP="00FE2406">
      <w:pPr>
        <w:spacing w:line="360" w:lineRule="auto"/>
        <w:jc w:val="both"/>
        <w:rPr>
          <w:rFonts w:ascii="Palatino Linotype" w:eastAsia="Palatino Linotype" w:hAnsi="Palatino Linotype" w:cs="Palatino Linotype"/>
        </w:rPr>
      </w:pPr>
    </w:p>
    <w:p w14:paraId="27D006A2"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Lo que resulta contrario a lo establecido por la Ley de Transparencia y Acceso a la Información Pública del Estado de México y Municipios y por ende atenta contra el derecho humano de acceso a la información del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al no existir certeza ni certidumbre jurídica respecto al plazo legal en el que debe proporcionarse la información, lo cual no puede quedar al libre arbitrio del </w:t>
      </w:r>
      <w:r>
        <w:rPr>
          <w:rFonts w:ascii="Palatino Linotype" w:eastAsia="Palatino Linotype" w:hAnsi="Palatino Linotype" w:cs="Palatino Linotype"/>
          <w:b/>
        </w:rPr>
        <w:t>SUJETO OBLIGADO</w:t>
      </w:r>
      <w:r>
        <w:rPr>
          <w:rFonts w:ascii="Palatino Linotype" w:eastAsia="Palatino Linotype" w:hAnsi="Palatino Linotype" w:cs="Palatino Linotype"/>
        </w:rPr>
        <w:t>, sino que, precisamente, debe fundar y motivar los actos jurídicos que éste lleve a cabo, más aún, cuando sean en detrimento o menoscabo de los derechos de las personas.</w:t>
      </w:r>
    </w:p>
    <w:p w14:paraId="4789179E" w14:textId="77777777" w:rsidR="00E824BC" w:rsidRDefault="00772678" w:rsidP="00FE2406">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 xml:space="preserve">En consecuencia, resultan fundadas las razones o motivos de inconformidad expresados por </w:t>
      </w:r>
      <w:r>
        <w:rPr>
          <w:rFonts w:ascii="Palatino Linotype" w:eastAsia="Palatino Linotype" w:hAnsi="Palatino Linotype" w:cs="Palatino Linotype"/>
          <w:b/>
        </w:rPr>
        <w:t>EL RECURRENTE</w:t>
      </w:r>
      <w:r>
        <w:rPr>
          <w:rFonts w:ascii="Palatino Linotype" w:eastAsia="Palatino Linotype" w:hAnsi="Palatino Linotype" w:cs="Palatino Linotype"/>
        </w:rPr>
        <w:t xml:space="preserve">, ya que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no dio cabal cumplimiento a lo establecido en el artículo 163 de la Ley de Transparencia y Acceso a la Información Pública del Estado de México y Municipios, pues omitió notificarle al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la resolución del Comité de Transparencia, por medio de la cual se aprobaron las razones fundadas y motivadas para ampliar el plazo de quince días hábiles para contestar la solicitud del recurrente, por siete días hábiles más.</w:t>
      </w:r>
    </w:p>
    <w:p w14:paraId="715BD20D" w14:textId="77777777" w:rsidR="00E824BC" w:rsidRDefault="00E824BC" w:rsidP="00FE2406">
      <w:pPr>
        <w:spacing w:line="360" w:lineRule="auto"/>
        <w:jc w:val="both"/>
        <w:rPr>
          <w:rFonts w:ascii="Palatino Linotype" w:eastAsia="Palatino Linotype" w:hAnsi="Palatino Linotype" w:cs="Palatino Linotype"/>
          <w:color w:val="000000"/>
        </w:rPr>
      </w:pPr>
    </w:p>
    <w:p w14:paraId="6A962BC4" w14:textId="2105F118"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En mérito de todo lo expuesto, ante </w:t>
      </w:r>
      <w:r>
        <w:rPr>
          <w:rFonts w:ascii="Palatino Linotype" w:eastAsia="Palatino Linotype" w:hAnsi="Palatino Linotype" w:cs="Palatino Linotype"/>
        </w:rPr>
        <w:t xml:space="preserve">lo </w:t>
      </w:r>
      <w:r>
        <w:rPr>
          <w:rFonts w:ascii="Palatino Linotype" w:eastAsia="Palatino Linotype" w:hAnsi="Palatino Linotype" w:cs="Palatino Linotype"/>
          <w:color w:val="000000"/>
        </w:rPr>
        <w:t xml:space="preserve">fundado de las razones o motivos de inconformidad hechos valer por </w:t>
      </w:r>
      <w:r>
        <w:rPr>
          <w:rFonts w:ascii="Palatino Linotype" w:eastAsia="Palatino Linotype" w:hAnsi="Palatino Linotype" w:cs="Palatino Linotype"/>
          <w:b/>
          <w:color w:val="000000"/>
        </w:rPr>
        <w:t>EL RECURRENTE</w:t>
      </w:r>
      <w:r>
        <w:rPr>
          <w:rFonts w:ascii="Palatino Linotype" w:eastAsia="Palatino Linotype" w:hAnsi="Palatino Linotype" w:cs="Palatino Linotype"/>
          <w:color w:val="000000"/>
        </w:rPr>
        <w:t xml:space="preserve">, este Instituto estima que lo dable es </w:t>
      </w:r>
      <w:r>
        <w:rPr>
          <w:rFonts w:ascii="Palatino Linotype" w:eastAsia="Palatino Linotype" w:hAnsi="Palatino Linotype" w:cs="Palatino Linotype"/>
          <w:b/>
          <w:color w:val="000000"/>
        </w:rPr>
        <w:t xml:space="preserve">CONFIRMAR </w:t>
      </w:r>
      <w:r>
        <w:rPr>
          <w:rFonts w:ascii="Palatino Linotype" w:eastAsia="Palatino Linotype" w:hAnsi="Palatino Linotype" w:cs="Palatino Linotype"/>
          <w:color w:val="000000"/>
        </w:rPr>
        <w:t xml:space="preserve">la respuesta a las </w:t>
      </w:r>
      <w:r>
        <w:rPr>
          <w:rFonts w:ascii="Palatino Linotype" w:eastAsia="Palatino Linotype" w:hAnsi="Palatino Linotype" w:cs="Palatino Linotype"/>
        </w:rPr>
        <w:t xml:space="preserve">solicitudes de información recaídas en los recursos de revisión número </w:t>
      </w:r>
      <w:r>
        <w:rPr>
          <w:rFonts w:ascii="Palatino Linotype" w:eastAsia="Palatino Linotype" w:hAnsi="Palatino Linotype" w:cs="Palatino Linotype"/>
          <w:b/>
        </w:rPr>
        <w:t>05734/INFOEM/IP/RR/2021,</w:t>
      </w:r>
      <w:r w:rsidR="00DB7E60">
        <w:rPr>
          <w:rFonts w:ascii="Palatino Linotype" w:eastAsia="Palatino Linotype" w:hAnsi="Palatino Linotype" w:cs="Palatino Linotype"/>
          <w:b/>
        </w:rPr>
        <w:t xml:space="preserve"> </w:t>
      </w:r>
      <w:r>
        <w:rPr>
          <w:rFonts w:ascii="Palatino Linotype" w:eastAsia="Palatino Linotype" w:hAnsi="Palatino Linotype" w:cs="Palatino Linotype"/>
          <w:b/>
        </w:rPr>
        <w:t>5736/INFOEM/IP/RR/2021 y 5738/INFOEM/IP/RR/2021</w:t>
      </w:r>
      <w:r>
        <w:rPr>
          <w:rFonts w:ascii="Palatino Linotype" w:eastAsia="Palatino Linotype" w:hAnsi="Palatino Linotype" w:cs="Palatino Linotype"/>
        </w:rPr>
        <w:t xml:space="preserve"> y </w:t>
      </w:r>
      <w:r>
        <w:rPr>
          <w:rFonts w:ascii="Palatino Linotype" w:eastAsia="Palatino Linotype" w:hAnsi="Palatino Linotype" w:cs="Palatino Linotype"/>
          <w:b/>
        </w:rPr>
        <w:t>MODIFICAR</w:t>
      </w:r>
      <w:r>
        <w:rPr>
          <w:rFonts w:ascii="Palatino Linotype" w:eastAsia="Palatino Linotype" w:hAnsi="Palatino Linotype" w:cs="Palatino Linotype"/>
        </w:rPr>
        <w:t xml:space="preserve"> la respuesta del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dada a la solicitud de información que dio origen al recurso número </w:t>
      </w:r>
      <w:r>
        <w:rPr>
          <w:rFonts w:ascii="Palatino Linotype" w:eastAsia="Palatino Linotype" w:hAnsi="Palatino Linotype" w:cs="Palatino Linotype"/>
          <w:b/>
        </w:rPr>
        <w:t>05732/INFOEM/IP/RR/2021</w:t>
      </w:r>
      <w:r>
        <w:rPr>
          <w:rFonts w:ascii="Palatino Linotype" w:eastAsia="Palatino Linotype" w:hAnsi="Palatino Linotype" w:cs="Palatino Linotype"/>
        </w:rPr>
        <w:t xml:space="preserve"> y así ordenar </w:t>
      </w:r>
      <w:r>
        <w:rPr>
          <w:rFonts w:ascii="Palatino Linotype" w:eastAsia="Palatino Linotype" w:hAnsi="Palatino Linotype" w:cs="Palatino Linotype"/>
          <w:color w:val="000000"/>
        </w:rPr>
        <w:t xml:space="preserve">al </w:t>
      </w:r>
      <w:r>
        <w:rPr>
          <w:rFonts w:ascii="Palatino Linotype" w:eastAsia="Palatino Linotype" w:hAnsi="Palatino Linotype" w:cs="Palatino Linotype"/>
          <w:b/>
          <w:color w:val="000000"/>
        </w:rPr>
        <w:t xml:space="preserve">SUJETO OBLIGADO </w:t>
      </w:r>
      <w:r>
        <w:rPr>
          <w:rFonts w:ascii="Palatino Linotype" w:eastAsia="Palatino Linotype" w:hAnsi="Palatino Linotype" w:cs="Palatino Linotype"/>
          <w:color w:val="000000"/>
        </w:rPr>
        <w:t>dé respuesta a la solicitud de acceso a la información, atendiendo lo señalado en el presente Considerando.</w:t>
      </w:r>
    </w:p>
    <w:p w14:paraId="1E19DF8A" w14:textId="77777777" w:rsidR="00E824BC" w:rsidRDefault="00E824BC" w:rsidP="00FE2406">
      <w:pPr>
        <w:spacing w:line="360" w:lineRule="auto"/>
        <w:jc w:val="both"/>
        <w:rPr>
          <w:rFonts w:ascii="Palatino Linotype" w:eastAsia="Palatino Linotype" w:hAnsi="Palatino Linotype" w:cs="Palatino Linotype"/>
          <w:color w:val="000000"/>
        </w:rPr>
      </w:pPr>
    </w:p>
    <w:p w14:paraId="61A162BC"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Así, con fundamento en lo prescrito en los artículos 5, párrafos trigésimo, trigésimo primero y trigésimo segundo, fracciones IV y V de la Constitución Política del Estado Libre y Soberano de México; 2, fracción II, 9, 29, 36, fracciones I y II, 176, 178, 179, 181, </w:t>
      </w:r>
      <w:r>
        <w:rPr>
          <w:rFonts w:ascii="Palatino Linotype" w:eastAsia="Palatino Linotype" w:hAnsi="Palatino Linotype" w:cs="Palatino Linotype"/>
          <w:color w:val="000000"/>
        </w:rPr>
        <w:lastRenderedPageBreak/>
        <w:t>185, fracción I, 186 y 188 de la Ley de Transparencia y Acceso a la Información Pública del Estado de México y Municipios, este Pleno:</w:t>
      </w:r>
    </w:p>
    <w:p w14:paraId="0755A995" w14:textId="77777777" w:rsidR="00E824BC" w:rsidRDefault="00E824BC" w:rsidP="00FE2406">
      <w:pPr>
        <w:spacing w:line="360" w:lineRule="auto"/>
        <w:jc w:val="both"/>
        <w:rPr>
          <w:rFonts w:ascii="Palatino Linotype" w:eastAsia="Palatino Linotype" w:hAnsi="Palatino Linotype" w:cs="Palatino Linotype"/>
          <w:b/>
          <w:color w:val="000000"/>
        </w:rPr>
      </w:pPr>
    </w:p>
    <w:p w14:paraId="7C576017" w14:textId="77777777" w:rsidR="00E824BC" w:rsidRDefault="00772678" w:rsidP="00FE2406">
      <w:pPr>
        <w:spacing w:line="360" w:lineRule="auto"/>
        <w:jc w:val="center"/>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RESUELVE</w:t>
      </w:r>
    </w:p>
    <w:p w14:paraId="3F0E3D94" w14:textId="77777777" w:rsidR="00E824BC" w:rsidRDefault="00E824BC" w:rsidP="00FE2406">
      <w:pPr>
        <w:spacing w:line="360" w:lineRule="auto"/>
        <w:jc w:val="both"/>
        <w:rPr>
          <w:rFonts w:ascii="Palatino Linotype" w:eastAsia="Palatino Linotype" w:hAnsi="Palatino Linotype" w:cs="Palatino Linotype"/>
          <w:color w:val="000000"/>
        </w:rPr>
      </w:pPr>
    </w:p>
    <w:p w14:paraId="205D2DE9" w14:textId="7961339C" w:rsidR="00E824BC" w:rsidRDefault="00772678" w:rsidP="00FE2406">
      <w:pPr>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PRIMERO.</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rPr>
        <w:t xml:space="preserve">Se </w:t>
      </w:r>
      <w:r>
        <w:rPr>
          <w:rFonts w:ascii="Palatino Linotype" w:eastAsia="Palatino Linotype" w:hAnsi="Palatino Linotype" w:cs="Palatino Linotype"/>
          <w:b/>
        </w:rPr>
        <w:t>CONFIRMA</w:t>
      </w:r>
      <w:r>
        <w:rPr>
          <w:rFonts w:ascii="Palatino Linotype" w:eastAsia="Palatino Linotype" w:hAnsi="Palatino Linotype" w:cs="Palatino Linotype"/>
        </w:rPr>
        <w:t xml:space="preserve"> la respuesta proporcionada por </w:t>
      </w:r>
      <w:r>
        <w:rPr>
          <w:rFonts w:ascii="Palatino Linotype" w:eastAsia="Palatino Linotype" w:hAnsi="Palatino Linotype" w:cs="Palatino Linotype"/>
          <w:b/>
        </w:rPr>
        <w:t xml:space="preserve">EL SUJETO OBLIGADO </w:t>
      </w:r>
      <w:r>
        <w:rPr>
          <w:rFonts w:ascii="Palatino Linotype" w:eastAsia="Palatino Linotype" w:hAnsi="Palatino Linotype" w:cs="Palatino Linotype"/>
        </w:rPr>
        <w:t>a la</w:t>
      </w:r>
      <w:r w:rsidR="00DB7E60">
        <w:rPr>
          <w:rFonts w:ascii="Palatino Linotype" w:eastAsia="Palatino Linotype" w:hAnsi="Palatino Linotype" w:cs="Palatino Linotype"/>
        </w:rPr>
        <w:t>s</w:t>
      </w:r>
      <w:r>
        <w:rPr>
          <w:rFonts w:ascii="Palatino Linotype" w:eastAsia="Palatino Linotype" w:hAnsi="Palatino Linotype" w:cs="Palatino Linotype"/>
        </w:rPr>
        <w:t xml:space="preserve"> solicitudes de información que dieron origen a los recursos de revisión número </w:t>
      </w:r>
      <w:r>
        <w:rPr>
          <w:rFonts w:ascii="Palatino Linotype" w:eastAsia="Palatino Linotype" w:hAnsi="Palatino Linotype" w:cs="Palatino Linotype"/>
          <w:b/>
        </w:rPr>
        <w:t xml:space="preserve">05734/INFOEM/IP/RR/2021, 05736/INFOEM/IP/RR/2021 y 5738/INFOEM/IP/RR/2021. </w:t>
      </w:r>
    </w:p>
    <w:p w14:paraId="31B700A3" w14:textId="77777777" w:rsidR="00E824BC" w:rsidRDefault="00E824BC" w:rsidP="00FE2406">
      <w:pPr>
        <w:spacing w:line="360" w:lineRule="auto"/>
        <w:jc w:val="both"/>
        <w:rPr>
          <w:rFonts w:ascii="Palatino Linotype" w:eastAsia="Palatino Linotype" w:hAnsi="Palatino Linotype" w:cs="Palatino Linotype"/>
        </w:rPr>
      </w:pPr>
    </w:p>
    <w:p w14:paraId="54A04182"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rPr>
        <w:t xml:space="preserve">SEGUNDO. </w:t>
      </w:r>
      <w:r>
        <w:rPr>
          <w:rFonts w:ascii="Palatino Linotype" w:eastAsia="Palatino Linotype" w:hAnsi="Palatino Linotype" w:cs="Palatino Linotype"/>
          <w:color w:val="000000"/>
        </w:rPr>
        <w:t xml:space="preserve">Resultan fundadas las razones o motivos de inconformidad hechas valer por </w:t>
      </w:r>
      <w:r>
        <w:rPr>
          <w:rFonts w:ascii="Palatino Linotype" w:eastAsia="Palatino Linotype" w:hAnsi="Palatino Linotype" w:cs="Palatino Linotype"/>
          <w:b/>
          <w:color w:val="000000"/>
        </w:rPr>
        <w:t>EL RECURRENTE</w:t>
      </w:r>
      <w:r>
        <w:rPr>
          <w:rFonts w:ascii="Palatino Linotype" w:eastAsia="Palatino Linotype" w:hAnsi="Palatino Linotype" w:cs="Palatino Linotype"/>
          <w:color w:val="000000"/>
        </w:rPr>
        <w:t xml:space="preserve">, en términos del Considerando </w:t>
      </w:r>
      <w:r>
        <w:rPr>
          <w:rFonts w:ascii="Palatino Linotype" w:eastAsia="Palatino Linotype" w:hAnsi="Palatino Linotype" w:cs="Palatino Linotype"/>
          <w:b/>
          <w:color w:val="000000"/>
        </w:rPr>
        <w:t xml:space="preserve">QUINTO </w:t>
      </w:r>
      <w:r>
        <w:rPr>
          <w:rFonts w:ascii="Palatino Linotype" w:eastAsia="Palatino Linotype" w:hAnsi="Palatino Linotype" w:cs="Palatino Linotype"/>
          <w:color w:val="000000"/>
        </w:rPr>
        <w:t xml:space="preserve">de la presente resolución. </w:t>
      </w:r>
    </w:p>
    <w:p w14:paraId="22FDFF54" w14:textId="77777777" w:rsidR="00E824BC" w:rsidRDefault="00E824BC" w:rsidP="00FE2406">
      <w:pPr>
        <w:spacing w:line="360" w:lineRule="auto"/>
        <w:jc w:val="both"/>
        <w:rPr>
          <w:rFonts w:ascii="Palatino Linotype" w:eastAsia="Palatino Linotype" w:hAnsi="Palatino Linotype" w:cs="Palatino Linotype"/>
          <w:color w:val="000000"/>
        </w:rPr>
      </w:pPr>
    </w:p>
    <w:p w14:paraId="053910F6"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rPr>
        <w:t>TERCERO</w:t>
      </w:r>
      <w:r>
        <w:rPr>
          <w:rFonts w:ascii="Palatino Linotype" w:eastAsia="Palatino Linotype" w:hAnsi="Palatino Linotype" w:cs="Palatino Linotype"/>
          <w:b/>
          <w:color w:val="000000"/>
        </w:rPr>
        <w:t>.</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rPr>
        <w:t xml:space="preserve">Se </w:t>
      </w:r>
      <w:r>
        <w:rPr>
          <w:rFonts w:ascii="Palatino Linotype" w:eastAsia="Palatino Linotype" w:hAnsi="Palatino Linotype" w:cs="Palatino Linotype"/>
          <w:b/>
        </w:rPr>
        <w:t xml:space="preserve">MODIFICA </w:t>
      </w:r>
      <w:r>
        <w:rPr>
          <w:rFonts w:ascii="Palatino Linotype" w:eastAsia="Palatino Linotype" w:hAnsi="Palatino Linotype" w:cs="Palatino Linotype"/>
        </w:rPr>
        <w:t xml:space="preserve">la respuesta otorgada por </w:t>
      </w:r>
      <w:r>
        <w:rPr>
          <w:rFonts w:ascii="Palatino Linotype" w:eastAsia="Palatino Linotype" w:hAnsi="Palatino Linotype" w:cs="Palatino Linotype"/>
          <w:b/>
        </w:rPr>
        <w:t>EL SUJETO OBLIGADO</w:t>
      </w:r>
      <w:r>
        <w:rPr>
          <w:rFonts w:ascii="Palatino Linotype" w:eastAsia="Palatino Linotype" w:hAnsi="Palatino Linotype" w:cs="Palatino Linotype"/>
        </w:rPr>
        <w:t xml:space="preserve"> a la solicitud de información que dio origen al recurso de revisión </w:t>
      </w:r>
      <w:r>
        <w:rPr>
          <w:rFonts w:ascii="Palatino Linotype" w:eastAsia="Palatino Linotype" w:hAnsi="Palatino Linotype" w:cs="Palatino Linotype"/>
          <w:b/>
        </w:rPr>
        <w:t>05732/INFOEM/IP/RR/2021</w:t>
      </w:r>
      <w:r>
        <w:rPr>
          <w:rFonts w:ascii="Palatino Linotype" w:eastAsia="Palatino Linotype" w:hAnsi="Palatino Linotype" w:cs="Palatino Linotype"/>
          <w:b/>
          <w:sz w:val="22"/>
          <w:szCs w:val="22"/>
        </w:rPr>
        <w:t xml:space="preserve"> </w:t>
      </w:r>
      <w:r>
        <w:rPr>
          <w:rFonts w:ascii="Palatino Linotype" w:eastAsia="Palatino Linotype" w:hAnsi="Palatino Linotype" w:cs="Palatino Linotype"/>
        </w:rPr>
        <w:t>y</w:t>
      </w:r>
      <w:r>
        <w:rPr>
          <w:rFonts w:ascii="Palatino Linotype" w:eastAsia="Palatino Linotype" w:hAnsi="Palatino Linotype" w:cs="Palatino Linotype"/>
          <w:b/>
        </w:rPr>
        <w:t xml:space="preserve"> </w:t>
      </w:r>
      <w:r>
        <w:rPr>
          <w:rFonts w:ascii="Palatino Linotype" w:eastAsia="Palatino Linotype" w:hAnsi="Palatino Linotype" w:cs="Palatino Linotype"/>
        </w:rPr>
        <w:t xml:space="preserve">se le </w:t>
      </w:r>
      <w:r>
        <w:rPr>
          <w:rFonts w:ascii="Palatino Linotype" w:eastAsia="Palatino Linotype" w:hAnsi="Palatino Linotype" w:cs="Palatino Linotype"/>
          <w:b/>
        </w:rPr>
        <w:t>ordena</w:t>
      </w:r>
      <w:r>
        <w:rPr>
          <w:rFonts w:ascii="Palatino Linotype" w:eastAsia="Palatino Linotype" w:hAnsi="Palatino Linotype" w:cs="Palatino Linotype"/>
        </w:rPr>
        <w:t xml:space="preserve"> en términos del Considerando </w:t>
      </w:r>
      <w:r>
        <w:rPr>
          <w:rFonts w:ascii="Palatino Linotype" w:eastAsia="Palatino Linotype" w:hAnsi="Palatino Linotype" w:cs="Palatino Linotype"/>
          <w:b/>
        </w:rPr>
        <w:t>QUINTO</w:t>
      </w:r>
      <w:r>
        <w:rPr>
          <w:rFonts w:ascii="Palatino Linotype" w:eastAsia="Palatino Linotype" w:hAnsi="Palatino Linotype" w:cs="Palatino Linotype"/>
        </w:rPr>
        <w:t xml:space="preserve"> de la presente resolución, entregue al</w:t>
      </w:r>
      <w:r>
        <w:rPr>
          <w:rFonts w:ascii="Palatino Linotype" w:eastAsia="Palatino Linotype" w:hAnsi="Palatino Linotype" w:cs="Palatino Linotype"/>
          <w:b/>
        </w:rPr>
        <w:t xml:space="preserve"> RECURRENTE</w:t>
      </w:r>
      <w:r>
        <w:rPr>
          <w:rFonts w:ascii="Palatino Linotype" w:eastAsia="Palatino Linotype" w:hAnsi="Palatino Linotype" w:cs="Palatino Linotype"/>
        </w:rPr>
        <w:t xml:space="preserve"> vía Sistema de Acceso a la Información mexiquense (</w:t>
      </w:r>
      <w:r>
        <w:rPr>
          <w:rFonts w:ascii="Palatino Linotype" w:eastAsia="Palatino Linotype" w:hAnsi="Palatino Linotype" w:cs="Palatino Linotype"/>
          <w:b/>
        </w:rPr>
        <w:t>SAIMEX</w:t>
      </w:r>
      <w:r>
        <w:rPr>
          <w:rFonts w:ascii="Palatino Linotype" w:eastAsia="Palatino Linotype" w:hAnsi="Palatino Linotype" w:cs="Palatino Linotype"/>
          <w:color w:val="000000"/>
        </w:rPr>
        <w:t>), de ser procedente en versión pública, lo siguiente:</w:t>
      </w:r>
    </w:p>
    <w:p w14:paraId="794C5FDE" w14:textId="77777777" w:rsidR="00E824BC" w:rsidRDefault="00E824BC" w:rsidP="00FE2406">
      <w:pPr>
        <w:spacing w:line="360" w:lineRule="auto"/>
        <w:jc w:val="both"/>
        <w:rPr>
          <w:rFonts w:ascii="Palatino Linotype" w:eastAsia="Palatino Linotype" w:hAnsi="Palatino Linotype" w:cs="Palatino Linotype"/>
          <w:color w:val="000000"/>
        </w:rPr>
      </w:pPr>
    </w:p>
    <w:p w14:paraId="0206B1D3" w14:textId="77777777" w:rsidR="00E824BC" w:rsidRDefault="00772678" w:rsidP="00FE2406">
      <w:pPr>
        <w:numPr>
          <w:ilvl w:val="0"/>
          <w:numId w:val="2"/>
        </w:numPr>
        <w:pBdr>
          <w:top w:val="nil"/>
          <w:left w:val="nil"/>
          <w:bottom w:val="nil"/>
          <w:right w:val="nil"/>
          <w:between w:val="nil"/>
        </w:pBdr>
        <w:spacing w:line="360" w:lineRule="auto"/>
        <w:jc w:val="both"/>
        <w:rPr>
          <w:rFonts w:ascii="Palatino Linotype" w:eastAsia="Palatino Linotype" w:hAnsi="Palatino Linotype" w:cs="Palatino Linotype"/>
          <w:i/>
          <w:color w:val="000000"/>
        </w:rPr>
      </w:pPr>
      <w:r>
        <w:rPr>
          <w:rFonts w:ascii="Palatino Linotype" w:eastAsia="Palatino Linotype" w:hAnsi="Palatino Linotype" w:cs="Palatino Linotype"/>
          <w:i/>
          <w:color w:val="000000"/>
        </w:rPr>
        <w:t>Las actas de las sesiones de cabildo del ejercicio 2021 celebradas al veintisiete de septiembre de dos mil veintiuno.</w:t>
      </w:r>
    </w:p>
    <w:p w14:paraId="55E0ADF6" w14:textId="77777777" w:rsidR="00E824BC" w:rsidRDefault="00772678" w:rsidP="00FE2406">
      <w:pPr>
        <w:pBdr>
          <w:top w:val="nil"/>
          <w:left w:val="nil"/>
          <w:bottom w:val="nil"/>
          <w:right w:val="nil"/>
          <w:between w:val="nil"/>
        </w:pBdr>
        <w:spacing w:line="360" w:lineRule="auto"/>
        <w:ind w:left="720"/>
        <w:jc w:val="both"/>
        <w:rPr>
          <w:rFonts w:ascii="Palatino Linotype" w:eastAsia="Palatino Linotype" w:hAnsi="Palatino Linotype" w:cs="Palatino Linotype"/>
          <w:i/>
          <w:color w:val="000000"/>
        </w:rPr>
      </w:pPr>
      <w:r>
        <w:rPr>
          <w:rFonts w:ascii="Palatino Linotype" w:eastAsia="Palatino Linotype" w:hAnsi="Palatino Linotype" w:cs="Palatino Linotype"/>
          <w:i/>
          <w:color w:val="000000"/>
        </w:rPr>
        <w:lastRenderedPageBreak/>
        <w:t xml:space="preserve">Debiendo notificar al </w:t>
      </w:r>
      <w:r>
        <w:rPr>
          <w:rFonts w:ascii="Palatino Linotype" w:eastAsia="Palatino Linotype" w:hAnsi="Palatino Linotype" w:cs="Palatino Linotype"/>
          <w:b/>
          <w:i/>
          <w:color w:val="000000"/>
        </w:rPr>
        <w:t>RECURRENTE</w:t>
      </w:r>
      <w:r>
        <w:rPr>
          <w:rFonts w:ascii="Palatino Linotype" w:eastAsia="Palatino Linotype" w:hAnsi="Palatino Linotype" w:cs="Palatino Linotype"/>
          <w:i/>
          <w:color w:val="000000"/>
        </w:rPr>
        <w:t>, en caso de ser procedente, el Acuerdo de Clasificación de la información que emita en su caso el Comité de Transparencia con motivo de la versión pública.</w:t>
      </w:r>
    </w:p>
    <w:p w14:paraId="277EAD0F" w14:textId="77777777" w:rsidR="00E824BC" w:rsidRDefault="00E824BC" w:rsidP="00FE2406">
      <w:pPr>
        <w:spacing w:line="360" w:lineRule="auto"/>
        <w:jc w:val="both"/>
        <w:rPr>
          <w:rFonts w:ascii="Palatino Linotype" w:eastAsia="Palatino Linotype" w:hAnsi="Palatino Linotype" w:cs="Palatino Linotype"/>
          <w:color w:val="000000"/>
        </w:rPr>
      </w:pPr>
    </w:p>
    <w:p w14:paraId="41C1D823" w14:textId="28491FD9"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rPr>
        <w:t>CUARTO</w:t>
      </w:r>
      <w:r>
        <w:rPr>
          <w:rFonts w:ascii="Palatino Linotype" w:eastAsia="Palatino Linotype" w:hAnsi="Palatino Linotype" w:cs="Palatino Linotype"/>
          <w:color w:val="000000"/>
        </w:rPr>
        <w:t xml:space="preserve">. Notifíquese al Titular de la Unidad de Transparencia del </w:t>
      </w:r>
      <w:r>
        <w:rPr>
          <w:rFonts w:ascii="Palatino Linotype" w:eastAsia="Palatino Linotype" w:hAnsi="Palatino Linotype" w:cs="Palatino Linotype"/>
          <w:b/>
          <w:color w:val="000000"/>
        </w:rPr>
        <w:t>SUJETO OBLIGADO</w:t>
      </w:r>
      <w:r>
        <w:rPr>
          <w:rFonts w:ascii="Palatino Linotype" w:eastAsia="Palatino Linotype" w:hAnsi="Palatino Linotype" w:cs="Palatino Linotype"/>
          <w:color w:val="000000"/>
        </w:rPr>
        <w:t xml:space="preserve"> </w:t>
      </w:r>
      <w:r w:rsidR="00DB7E60">
        <w:rPr>
          <w:rFonts w:ascii="Palatino Linotype" w:eastAsia="Palatino Linotype" w:hAnsi="Palatino Linotype" w:cs="Palatino Linotype"/>
          <w:color w:val="000000"/>
        </w:rPr>
        <w:t>v</w:t>
      </w:r>
      <w:r w:rsidR="00DB7E60">
        <w:rPr>
          <w:rFonts w:ascii="Palatino Linotype" w:eastAsia="Palatino Linotype" w:hAnsi="Palatino Linotype" w:cs="Palatino Linotype"/>
        </w:rPr>
        <w:t>ía</w:t>
      </w:r>
      <w:r>
        <w:rPr>
          <w:rFonts w:ascii="Palatino Linotype" w:eastAsia="Palatino Linotype" w:hAnsi="Palatino Linotype" w:cs="Palatino Linotype"/>
        </w:rPr>
        <w:t xml:space="preserve"> Sistema de Acceso a la Información mexiquense, </w:t>
      </w:r>
      <w:r>
        <w:rPr>
          <w:rFonts w:ascii="Palatino Linotype" w:eastAsia="Palatino Linotype" w:hAnsi="Palatino Linotype" w:cs="Palatino Linotype"/>
          <w:color w:val="000000"/>
        </w:rPr>
        <w:t>para que, conforme a los artículos 186, último párrafo y 189, párrafo segundo de la Ley de Transparencia y Acceso a la Información Pública del Estado de México y Municipios, dé cumplimiento a lo ordenado dentro del plazo de diez días hábiles, debiendo informar a este Instituto en un plazo de tres días hábiles siguientes sobre el cumplimiento dado a la resolución.</w:t>
      </w:r>
    </w:p>
    <w:p w14:paraId="448D9FB0" w14:textId="77777777" w:rsidR="00E824BC" w:rsidRDefault="00E824BC" w:rsidP="00FE2406">
      <w:pPr>
        <w:spacing w:line="360" w:lineRule="auto"/>
        <w:jc w:val="both"/>
        <w:rPr>
          <w:rFonts w:ascii="Palatino Linotype" w:eastAsia="Palatino Linotype" w:hAnsi="Palatino Linotype" w:cs="Palatino Linotype"/>
          <w:color w:val="000000"/>
        </w:rPr>
      </w:pPr>
    </w:p>
    <w:p w14:paraId="08340F23"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rPr>
        <w:t>QUINTO</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222222"/>
        </w:rPr>
        <w:t xml:space="preserve">De conformidad con el artículo 198 de la Ley de Transparencia y Acceso a la Información Pública del Estado de México y Municipios, de considerarlo procedente, </w:t>
      </w:r>
      <w:r>
        <w:rPr>
          <w:rFonts w:ascii="Palatino Linotype" w:eastAsia="Palatino Linotype" w:hAnsi="Palatino Linotype" w:cs="Palatino Linotype"/>
          <w:b/>
          <w:color w:val="222222"/>
        </w:rPr>
        <w:t>EL SUJETO OBLIGADO</w:t>
      </w:r>
      <w:r>
        <w:rPr>
          <w:rFonts w:ascii="Palatino Linotype" w:eastAsia="Palatino Linotype" w:hAnsi="Palatino Linotype" w:cs="Palatino Linotype"/>
          <w:color w:val="222222"/>
        </w:rPr>
        <w:t xml:space="preserve"> de manera fundada y motivada, podrá solicitar una ampliación de plazo para el cumplimiento de la presente resolución.</w:t>
      </w:r>
    </w:p>
    <w:p w14:paraId="50357048" w14:textId="77777777" w:rsidR="00E824BC" w:rsidRDefault="00E824BC" w:rsidP="00FE2406">
      <w:pPr>
        <w:spacing w:line="360" w:lineRule="auto"/>
        <w:jc w:val="both"/>
        <w:rPr>
          <w:rFonts w:ascii="Palatino Linotype" w:eastAsia="Palatino Linotype" w:hAnsi="Palatino Linotype" w:cs="Palatino Linotype"/>
          <w:color w:val="000000"/>
        </w:rPr>
      </w:pPr>
    </w:p>
    <w:p w14:paraId="2D214755" w14:textId="77777777"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b/>
        </w:rPr>
        <w:t>SEXTO</w:t>
      </w:r>
      <w:r>
        <w:rPr>
          <w:rFonts w:ascii="Palatino Linotype" w:eastAsia="Palatino Linotype" w:hAnsi="Palatino Linotype" w:cs="Palatino Linotype"/>
          <w:color w:val="000000"/>
        </w:rPr>
        <w:t>. Notifíquese al</w:t>
      </w:r>
      <w:r>
        <w:rPr>
          <w:rFonts w:ascii="Palatino Linotype" w:eastAsia="Palatino Linotype" w:hAnsi="Palatino Linotype" w:cs="Palatino Linotype"/>
          <w:b/>
          <w:color w:val="000000"/>
        </w:rPr>
        <w:t xml:space="preserve"> RECURRENTE</w:t>
      </w:r>
      <w:r>
        <w:rPr>
          <w:rFonts w:ascii="Palatino Linotype" w:eastAsia="Palatino Linotype" w:hAnsi="Palatino Linotype" w:cs="Palatino Linotype"/>
          <w:color w:val="000000"/>
        </w:rPr>
        <w:t xml:space="preserve"> la presente resolución vía </w:t>
      </w:r>
      <w:r>
        <w:rPr>
          <w:rFonts w:ascii="Palatino Linotype" w:eastAsia="Palatino Linotype" w:hAnsi="Palatino Linotype" w:cs="Palatino Linotype"/>
        </w:rPr>
        <w:t>Sistema de Acceso a la Información mexiquense (</w:t>
      </w:r>
      <w:r>
        <w:rPr>
          <w:rFonts w:ascii="Palatino Linotype" w:eastAsia="Palatino Linotype" w:hAnsi="Palatino Linotype" w:cs="Palatino Linotype"/>
          <w:color w:val="000000"/>
        </w:rPr>
        <w:t>SAIMEX</w:t>
      </w:r>
      <w:r>
        <w:rPr>
          <w:rFonts w:ascii="Palatino Linotype" w:eastAsia="Palatino Linotype" w:hAnsi="Palatino Linotype" w:cs="Palatino Linotype"/>
        </w:rPr>
        <w:t>).</w:t>
      </w:r>
    </w:p>
    <w:p w14:paraId="70BA6529" w14:textId="77777777" w:rsidR="00E824BC" w:rsidRDefault="00E824BC" w:rsidP="00FE2406">
      <w:pPr>
        <w:spacing w:line="360" w:lineRule="auto"/>
        <w:jc w:val="both"/>
        <w:rPr>
          <w:rFonts w:ascii="Palatino Linotype" w:eastAsia="Palatino Linotype" w:hAnsi="Palatino Linotype" w:cs="Palatino Linotype"/>
          <w:color w:val="000000"/>
        </w:rPr>
      </w:pPr>
    </w:p>
    <w:p w14:paraId="39C7DB91" w14:textId="77777777" w:rsidR="00E824BC" w:rsidRDefault="00772678" w:rsidP="00FE2406">
      <w:pPr>
        <w:spacing w:line="360" w:lineRule="auto"/>
        <w:jc w:val="both"/>
        <w:rPr>
          <w:rFonts w:ascii="Palatino Linotype" w:eastAsia="Palatino Linotype" w:hAnsi="Palatino Linotype" w:cs="Palatino Linotype"/>
          <w:color w:val="222222"/>
        </w:rPr>
      </w:pPr>
      <w:bookmarkStart w:id="2" w:name="_heading=h.30j0zll" w:colFirst="0" w:colLast="0"/>
      <w:bookmarkEnd w:id="2"/>
      <w:r>
        <w:rPr>
          <w:rFonts w:ascii="Palatino Linotype" w:eastAsia="Palatino Linotype" w:hAnsi="Palatino Linotype" w:cs="Palatino Linotype"/>
          <w:b/>
          <w:color w:val="000000"/>
        </w:rPr>
        <w:t>S</w:t>
      </w:r>
      <w:r>
        <w:rPr>
          <w:rFonts w:ascii="Palatino Linotype" w:eastAsia="Palatino Linotype" w:hAnsi="Palatino Linotype" w:cs="Palatino Linotype"/>
          <w:b/>
        </w:rPr>
        <w:t>ÉPTIMO</w:t>
      </w:r>
      <w:r>
        <w:rPr>
          <w:rFonts w:ascii="Palatino Linotype" w:eastAsia="Palatino Linotype" w:hAnsi="Palatino Linotype" w:cs="Palatino Linotype"/>
          <w:color w:val="000000"/>
        </w:rPr>
        <w:t>. Hágase del conocimiento al</w:t>
      </w:r>
      <w:r>
        <w:rPr>
          <w:rFonts w:ascii="Palatino Linotype" w:eastAsia="Palatino Linotype" w:hAnsi="Palatino Linotype" w:cs="Palatino Linotype"/>
          <w:b/>
          <w:color w:val="000000"/>
        </w:rPr>
        <w:t xml:space="preserve"> RECURRENTE</w:t>
      </w:r>
      <w:r>
        <w:rPr>
          <w:rFonts w:ascii="Palatino Linotype" w:eastAsia="Palatino Linotype" w:hAnsi="Palatino Linotype" w:cs="Palatino Linotype"/>
          <w:color w:val="000000"/>
        </w:rPr>
        <w:t xml:space="preserve"> que, de conformidad con lo establecido en el artículo 196 de la Ley de Transparencia y Acceso a la Información </w:t>
      </w:r>
      <w:r>
        <w:rPr>
          <w:rFonts w:ascii="Palatino Linotype" w:eastAsia="Palatino Linotype" w:hAnsi="Palatino Linotype" w:cs="Palatino Linotype"/>
          <w:color w:val="000000"/>
        </w:rPr>
        <w:lastRenderedPageBreak/>
        <w:t>Pública del Estado de México y Municipios, podrá impugnarla vía Juicio de Amparo en los términos de las leyes aplicables.</w:t>
      </w:r>
    </w:p>
    <w:p w14:paraId="433F2550" w14:textId="77777777" w:rsidR="00E824BC" w:rsidRDefault="00E824BC" w:rsidP="00FE2406">
      <w:pPr>
        <w:spacing w:line="360" w:lineRule="auto"/>
        <w:jc w:val="both"/>
        <w:rPr>
          <w:rFonts w:ascii="Palatino Linotype" w:eastAsia="Palatino Linotype" w:hAnsi="Palatino Linotype" w:cs="Palatino Linotype"/>
          <w:color w:val="000000"/>
        </w:rPr>
      </w:pPr>
    </w:p>
    <w:p w14:paraId="68874D85" w14:textId="4681F813" w:rsidR="00E824BC" w:rsidRDefault="00772678" w:rsidP="00FE2406">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 (AUSENCIA JUSTIFICADA); LUIS GUSTAVO PARRA NORIEGA Y GUADALUPE RAMÍREZ PEÑA; EN LA </w:t>
      </w:r>
      <w:r w:rsidR="00D0332E">
        <w:rPr>
          <w:rFonts w:ascii="Palatino Linotype" w:eastAsia="Palatino Linotype" w:hAnsi="Palatino Linotype" w:cs="Palatino Linotype"/>
        </w:rPr>
        <w:t>TERCERA SESIÒN ORDINARIA</w:t>
      </w:r>
      <w:r>
        <w:rPr>
          <w:rFonts w:ascii="Palatino Linotype" w:eastAsia="Palatino Linotype" w:hAnsi="Palatino Linotype" w:cs="Palatino Linotype"/>
          <w:color w:val="000000"/>
        </w:rPr>
        <w:t xml:space="preserve"> CELEBRADA EL </w:t>
      </w:r>
      <w:r>
        <w:rPr>
          <w:rFonts w:ascii="Palatino Linotype" w:eastAsia="Palatino Linotype" w:hAnsi="Palatino Linotype" w:cs="Palatino Linotype"/>
        </w:rPr>
        <w:t xml:space="preserve">VEINTISIETE DE ENERO </w:t>
      </w:r>
      <w:r>
        <w:rPr>
          <w:rFonts w:ascii="Palatino Linotype" w:eastAsia="Palatino Linotype" w:hAnsi="Palatino Linotype" w:cs="Palatino Linotype"/>
          <w:color w:val="000000"/>
        </w:rPr>
        <w:t xml:space="preserve">DE DOS MIL </w:t>
      </w:r>
      <w:r>
        <w:rPr>
          <w:rFonts w:ascii="Palatino Linotype" w:eastAsia="Palatino Linotype" w:hAnsi="Palatino Linotype" w:cs="Palatino Linotype"/>
        </w:rPr>
        <w:t>VEINTIDÓS</w:t>
      </w:r>
      <w:r>
        <w:rPr>
          <w:rFonts w:ascii="Palatino Linotype" w:eastAsia="Palatino Linotype" w:hAnsi="Palatino Linotype" w:cs="Palatino Linotype"/>
          <w:color w:val="000000"/>
        </w:rPr>
        <w:t>, ANTE EL SECRETARIO TÉCNICO DEL PLENO, ALEXIS TAPIA RAMÍREZ.</w:t>
      </w:r>
      <w:r w:rsidR="00EC47F3">
        <w:rPr>
          <w:rFonts w:ascii="Palatino Linotype" w:eastAsia="Palatino Linotype" w:hAnsi="Palatino Linotype" w:cs="Palatino Linotype"/>
          <w:color w:val="000000"/>
        </w:rPr>
        <w:t>---------------------------------------------</w:t>
      </w:r>
    </w:p>
    <w:p w14:paraId="1FBE9A52" w14:textId="77777777" w:rsidR="00E824BC" w:rsidRDefault="00772678" w:rsidP="00FE2406">
      <w:pPr>
        <w:spacing w:line="360" w:lineRule="auto"/>
        <w:jc w:val="both"/>
        <w:rPr>
          <w:rFonts w:ascii="Palatino Linotype" w:eastAsia="Palatino Linotype" w:hAnsi="Palatino Linotype" w:cs="Palatino Linotype"/>
          <w:color w:val="000000"/>
          <w:sz w:val="20"/>
          <w:szCs w:val="20"/>
        </w:rPr>
      </w:pPr>
      <w:r>
        <w:rPr>
          <w:rFonts w:ascii="Palatino Linotype" w:eastAsia="Palatino Linotype" w:hAnsi="Palatino Linotype" w:cs="Palatino Linotype"/>
          <w:color w:val="000000"/>
          <w:sz w:val="20"/>
          <w:szCs w:val="20"/>
        </w:rPr>
        <w:t>JMV/CCR/BLA/DEMF/VGR</w:t>
      </w:r>
    </w:p>
    <w:p w14:paraId="6E330BF6" w14:textId="77777777" w:rsidR="00E824BC" w:rsidRDefault="00772678" w:rsidP="00FE2406">
      <w:pPr>
        <w:spacing w:after="160" w:line="259" w:lineRule="auto"/>
        <w:rPr>
          <w:rFonts w:ascii="Palatino Linotype" w:eastAsia="Palatino Linotype" w:hAnsi="Palatino Linotype" w:cs="Palatino Linotype"/>
          <w:color w:val="000000"/>
          <w:sz w:val="20"/>
          <w:szCs w:val="20"/>
        </w:rPr>
      </w:pPr>
      <w:r>
        <w:br w:type="page"/>
      </w:r>
    </w:p>
    <w:p w14:paraId="375EC3D8" w14:textId="77777777" w:rsidR="00E824BC" w:rsidRDefault="00E824BC" w:rsidP="00FE2406">
      <w:pPr>
        <w:spacing w:line="360" w:lineRule="auto"/>
        <w:jc w:val="both"/>
        <w:rPr>
          <w:rFonts w:ascii="Palatino Linotype" w:eastAsia="Palatino Linotype" w:hAnsi="Palatino Linotype" w:cs="Palatino Linotype"/>
          <w:sz w:val="20"/>
          <w:szCs w:val="20"/>
        </w:rPr>
      </w:pPr>
    </w:p>
    <w:p w14:paraId="498C0977" w14:textId="77777777" w:rsidR="00E824BC" w:rsidRDefault="00E824BC" w:rsidP="00FE2406">
      <w:pPr>
        <w:spacing w:line="360" w:lineRule="auto"/>
        <w:rPr>
          <w:rFonts w:ascii="Palatino Linotype" w:eastAsia="Palatino Linotype" w:hAnsi="Palatino Linotype" w:cs="Palatino Linotype"/>
        </w:rPr>
      </w:pPr>
    </w:p>
    <w:p w14:paraId="1C53E576" w14:textId="77777777" w:rsidR="00E824BC" w:rsidRDefault="00E824BC" w:rsidP="00FE2406">
      <w:pPr>
        <w:pBdr>
          <w:top w:val="nil"/>
          <w:left w:val="nil"/>
          <w:bottom w:val="nil"/>
          <w:right w:val="nil"/>
          <w:between w:val="nil"/>
        </w:pBdr>
        <w:tabs>
          <w:tab w:val="left" w:pos="709"/>
        </w:tabs>
        <w:spacing w:line="360" w:lineRule="auto"/>
        <w:jc w:val="both"/>
        <w:rPr>
          <w:rFonts w:ascii="Palatino Linotype" w:eastAsia="Palatino Linotype" w:hAnsi="Palatino Linotype" w:cs="Palatino Linotype"/>
          <w:color w:val="000000"/>
        </w:rPr>
      </w:pPr>
    </w:p>
    <w:sectPr w:rsidR="00E824BC">
      <w:headerReference w:type="even" r:id="rId12"/>
      <w:headerReference w:type="default" r:id="rId13"/>
      <w:footerReference w:type="default" r:id="rId14"/>
      <w:headerReference w:type="first" r:id="rId15"/>
      <w:footerReference w:type="first" r:id="rId16"/>
      <w:pgSz w:w="12240" w:h="15840"/>
      <w:pgMar w:top="1418" w:right="1418" w:bottom="1418" w:left="1701" w:header="709" w:footer="10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856BE" w14:textId="77777777" w:rsidR="00772678" w:rsidRDefault="00772678">
      <w:r>
        <w:separator/>
      </w:r>
    </w:p>
  </w:endnote>
  <w:endnote w:type="continuationSeparator" w:id="0">
    <w:p w14:paraId="05986764" w14:textId="77777777" w:rsidR="00772678" w:rsidRDefault="00772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12F40" w14:textId="77777777" w:rsidR="00E824BC" w:rsidRDefault="00772678">
    <w:pPr>
      <w:pBdr>
        <w:top w:val="nil"/>
        <w:left w:val="nil"/>
        <w:bottom w:val="nil"/>
        <w:right w:val="nil"/>
        <w:between w:val="nil"/>
      </w:pBdr>
      <w:tabs>
        <w:tab w:val="center" w:pos="4252"/>
        <w:tab w:val="right" w:pos="8504"/>
      </w:tabs>
      <w:jc w:val="right"/>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 xml:space="preserve">Página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PAGE</w:instrText>
    </w:r>
    <w:r>
      <w:rPr>
        <w:rFonts w:ascii="Palatino Linotype" w:eastAsia="Palatino Linotype" w:hAnsi="Palatino Linotype" w:cs="Palatino Linotype"/>
        <w:color w:val="000000"/>
        <w:sz w:val="22"/>
        <w:szCs w:val="22"/>
      </w:rPr>
      <w:fldChar w:fldCharType="separate"/>
    </w:r>
    <w:r w:rsidR="006A7520">
      <w:rPr>
        <w:rFonts w:ascii="Palatino Linotype" w:eastAsia="Palatino Linotype" w:hAnsi="Palatino Linotype" w:cs="Palatino Linotype"/>
        <w:noProof/>
        <w:color w:val="000000"/>
        <w:sz w:val="22"/>
        <w:szCs w:val="22"/>
      </w:rPr>
      <w:t>43</w:t>
    </w:r>
    <w:r>
      <w:rPr>
        <w:rFonts w:ascii="Palatino Linotype" w:eastAsia="Palatino Linotype" w:hAnsi="Palatino Linotype" w:cs="Palatino Linotype"/>
        <w:color w:val="000000"/>
        <w:sz w:val="22"/>
        <w:szCs w:val="22"/>
      </w:rPr>
      <w:fldChar w:fldCharType="end"/>
    </w:r>
    <w:r>
      <w:rPr>
        <w:rFonts w:ascii="Palatino Linotype" w:eastAsia="Palatino Linotype" w:hAnsi="Palatino Linotype" w:cs="Palatino Linotype"/>
        <w:color w:val="000000"/>
        <w:sz w:val="22"/>
        <w:szCs w:val="22"/>
      </w:rPr>
      <w:t xml:space="preserve"> de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NUMPAGES</w:instrText>
    </w:r>
    <w:r>
      <w:rPr>
        <w:rFonts w:ascii="Palatino Linotype" w:eastAsia="Palatino Linotype" w:hAnsi="Palatino Linotype" w:cs="Palatino Linotype"/>
        <w:color w:val="000000"/>
        <w:sz w:val="22"/>
        <w:szCs w:val="22"/>
      </w:rPr>
      <w:fldChar w:fldCharType="separate"/>
    </w:r>
    <w:r w:rsidR="006A7520">
      <w:rPr>
        <w:rFonts w:ascii="Palatino Linotype" w:eastAsia="Palatino Linotype" w:hAnsi="Palatino Linotype" w:cs="Palatino Linotype"/>
        <w:noProof/>
        <w:color w:val="000000"/>
        <w:sz w:val="22"/>
        <w:szCs w:val="22"/>
      </w:rPr>
      <w:t>46</w:t>
    </w:r>
    <w:r>
      <w:rPr>
        <w:rFonts w:ascii="Palatino Linotype" w:eastAsia="Palatino Linotype" w:hAnsi="Palatino Linotype" w:cs="Palatino Linotype"/>
        <w:color w:val="000000"/>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37736" w14:textId="77777777" w:rsidR="00E824BC" w:rsidRDefault="00772678">
    <w:pPr>
      <w:pBdr>
        <w:top w:val="nil"/>
        <w:left w:val="nil"/>
        <w:bottom w:val="nil"/>
        <w:right w:val="nil"/>
        <w:between w:val="nil"/>
      </w:pBdr>
      <w:tabs>
        <w:tab w:val="center" w:pos="4252"/>
        <w:tab w:val="right" w:pos="8504"/>
      </w:tabs>
      <w:spacing w:before="120"/>
      <w:jc w:val="right"/>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 xml:space="preserve">Página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PAGE</w:instrText>
    </w:r>
    <w:r>
      <w:rPr>
        <w:rFonts w:ascii="Palatino Linotype" w:eastAsia="Palatino Linotype" w:hAnsi="Palatino Linotype" w:cs="Palatino Linotype"/>
        <w:color w:val="000000"/>
        <w:sz w:val="22"/>
        <w:szCs w:val="22"/>
      </w:rPr>
      <w:fldChar w:fldCharType="separate"/>
    </w:r>
    <w:r w:rsidR="006A7520">
      <w:rPr>
        <w:rFonts w:ascii="Palatino Linotype" w:eastAsia="Palatino Linotype" w:hAnsi="Palatino Linotype" w:cs="Palatino Linotype"/>
        <w:noProof/>
        <w:color w:val="000000"/>
        <w:sz w:val="22"/>
        <w:szCs w:val="22"/>
      </w:rPr>
      <w:t>1</w:t>
    </w:r>
    <w:r>
      <w:rPr>
        <w:rFonts w:ascii="Palatino Linotype" w:eastAsia="Palatino Linotype" w:hAnsi="Palatino Linotype" w:cs="Palatino Linotype"/>
        <w:color w:val="000000"/>
        <w:sz w:val="22"/>
        <w:szCs w:val="22"/>
      </w:rPr>
      <w:fldChar w:fldCharType="end"/>
    </w:r>
    <w:r>
      <w:rPr>
        <w:rFonts w:ascii="Palatino Linotype" w:eastAsia="Palatino Linotype" w:hAnsi="Palatino Linotype" w:cs="Palatino Linotype"/>
        <w:color w:val="000000"/>
        <w:sz w:val="22"/>
        <w:szCs w:val="22"/>
      </w:rPr>
      <w:t xml:space="preserve"> de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NUMPAGES</w:instrText>
    </w:r>
    <w:r>
      <w:rPr>
        <w:rFonts w:ascii="Palatino Linotype" w:eastAsia="Palatino Linotype" w:hAnsi="Palatino Linotype" w:cs="Palatino Linotype"/>
        <w:color w:val="000000"/>
        <w:sz w:val="22"/>
        <w:szCs w:val="22"/>
      </w:rPr>
      <w:fldChar w:fldCharType="separate"/>
    </w:r>
    <w:r w:rsidR="006A7520">
      <w:rPr>
        <w:rFonts w:ascii="Palatino Linotype" w:eastAsia="Palatino Linotype" w:hAnsi="Palatino Linotype" w:cs="Palatino Linotype"/>
        <w:noProof/>
        <w:color w:val="000000"/>
        <w:sz w:val="22"/>
        <w:szCs w:val="22"/>
      </w:rPr>
      <w:t>46</w:t>
    </w:r>
    <w:r>
      <w:rPr>
        <w:rFonts w:ascii="Palatino Linotype" w:eastAsia="Palatino Linotype" w:hAnsi="Palatino Linotype" w:cs="Palatino Linotype"/>
        <w:color w:val="000000"/>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CCCA0" w14:textId="77777777" w:rsidR="00772678" w:rsidRDefault="00772678">
      <w:r>
        <w:separator/>
      </w:r>
    </w:p>
  </w:footnote>
  <w:footnote w:type="continuationSeparator" w:id="0">
    <w:p w14:paraId="2BF528CF" w14:textId="77777777" w:rsidR="00772678" w:rsidRDefault="00772678">
      <w:r>
        <w:continuationSeparator/>
      </w:r>
    </w:p>
  </w:footnote>
  <w:footnote w:id="1">
    <w:p w14:paraId="3CD31854" w14:textId="77777777" w:rsidR="00E824BC" w:rsidRDefault="00772678">
      <w:pPr>
        <w:ind w:right="49"/>
        <w:jc w:val="both"/>
        <w:rPr>
          <w:rFonts w:ascii="Palatino Linotype" w:eastAsia="Palatino Linotype" w:hAnsi="Palatino Linotype" w:cs="Palatino Linotype"/>
          <w:i/>
          <w:color w:val="000000"/>
          <w:sz w:val="18"/>
          <w:szCs w:val="18"/>
        </w:rPr>
      </w:pPr>
      <w:r>
        <w:rPr>
          <w:vertAlign w:val="superscript"/>
        </w:rPr>
        <w:footnoteRef/>
      </w:r>
      <w:r>
        <w:rPr>
          <w:sz w:val="18"/>
          <w:szCs w:val="18"/>
        </w:rPr>
        <w:t xml:space="preserve"> </w:t>
      </w:r>
      <w:r>
        <w:rPr>
          <w:rFonts w:ascii="Palatino Linotype" w:eastAsia="Palatino Linotype" w:hAnsi="Palatino Linotype" w:cs="Palatino Linotype"/>
          <w:b/>
          <w:i/>
          <w:color w:val="000000"/>
          <w:sz w:val="18"/>
          <w:szCs w:val="18"/>
        </w:rPr>
        <w:t xml:space="preserve">“Artículo 178. </w:t>
      </w:r>
      <w:r>
        <w:rPr>
          <w:rFonts w:ascii="Palatino Linotype" w:eastAsia="Palatino Linotype" w:hAnsi="Palatino Linotype" w:cs="Palatino Linotype"/>
          <w:i/>
          <w:color w:val="000000"/>
          <w:sz w:val="18"/>
          <w:szCs w:val="18"/>
        </w:rPr>
        <w:t xml:space="preserve">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    </w:t>
      </w:r>
    </w:p>
  </w:footnote>
  <w:footnote w:id="2">
    <w:p w14:paraId="095931F3" w14:textId="77777777" w:rsidR="00E824BC" w:rsidRDefault="00772678">
      <w:pPr>
        <w:pBdr>
          <w:top w:val="nil"/>
          <w:left w:val="nil"/>
          <w:bottom w:val="nil"/>
          <w:right w:val="nil"/>
          <w:between w:val="nil"/>
        </w:pBdr>
        <w:jc w:val="both"/>
        <w:rPr>
          <w:rFonts w:ascii="Palatino Linotype" w:eastAsia="Palatino Linotype" w:hAnsi="Palatino Linotype" w:cs="Palatino Linotype"/>
          <w:i/>
          <w:color w:val="000000"/>
          <w:sz w:val="18"/>
          <w:szCs w:val="18"/>
        </w:rPr>
      </w:pPr>
      <w:r>
        <w:rPr>
          <w:vertAlign w:val="superscript"/>
        </w:rPr>
        <w:footnoteRef/>
      </w:r>
      <w:r>
        <w:rPr>
          <w:rFonts w:ascii="Palatino Linotype" w:eastAsia="Palatino Linotype" w:hAnsi="Palatino Linotype" w:cs="Palatino Linotype"/>
          <w:i/>
          <w:color w:val="000000"/>
          <w:sz w:val="18"/>
          <w:szCs w:val="18"/>
        </w:rPr>
        <w:t xml:space="preserve"> “</w:t>
      </w:r>
      <w:r>
        <w:rPr>
          <w:rFonts w:ascii="Palatino Linotype" w:eastAsia="Palatino Linotype" w:hAnsi="Palatino Linotype" w:cs="Palatino Linotype"/>
          <w:b/>
          <w:i/>
          <w:color w:val="000000"/>
          <w:sz w:val="18"/>
          <w:szCs w:val="18"/>
        </w:rPr>
        <w:t>Artículo 191</w:t>
      </w:r>
      <w:r>
        <w:rPr>
          <w:rFonts w:ascii="Palatino Linotype" w:eastAsia="Palatino Linotype" w:hAnsi="Palatino Linotype" w:cs="Palatino Linotype"/>
          <w:i/>
          <w:color w:val="000000"/>
          <w:sz w:val="18"/>
          <w:szCs w:val="18"/>
        </w:rPr>
        <w:t>. El recurso será desechado por improcedente cuando: I. Sea extemporáneo por haber transcurrido el plazo establecido en la presente Ley, a partir de la respuesta; II. Se esté tramitando ante el Poder Judicial de la Federación algún recurso o medio de defensa interpuesto por el recurrente; III. No actualice alguno de los supuestos previstos en la presente Ley; IV. No se haya desahogado la prevención en los términos establecidos en la presente Ley; V. Se impugne la veracidad de la información proporcionada; VI. Se trate de una consulta, o trámite en específico; y VII. El recurrente amplíe su solicitud en el recurso de revisión, únicamente respecto de los nuevos contenidos.”</w:t>
      </w:r>
    </w:p>
  </w:footnote>
  <w:footnote w:id="3">
    <w:p w14:paraId="3DDDEC2D" w14:textId="77777777" w:rsidR="00E824BC" w:rsidRDefault="00772678">
      <w:pPr>
        <w:pBdr>
          <w:top w:val="nil"/>
          <w:left w:val="nil"/>
          <w:bottom w:val="nil"/>
          <w:right w:val="nil"/>
          <w:between w:val="nil"/>
        </w:pBdr>
        <w:jc w:val="both"/>
        <w:rPr>
          <w:rFonts w:ascii="Palatino Linotype" w:eastAsia="Palatino Linotype" w:hAnsi="Palatino Linotype" w:cs="Palatino Linotype"/>
          <w:color w:val="000000"/>
          <w:sz w:val="18"/>
          <w:szCs w:val="18"/>
        </w:rPr>
      </w:pPr>
      <w:r>
        <w:rPr>
          <w:vertAlign w:val="superscript"/>
        </w:rPr>
        <w:footnoteRef/>
      </w:r>
      <w:r>
        <w:rPr>
          <w:rFonts w:ascii="Palatino Linotype" w:eastAsia="Palatino Linotype" w:hAnsi="Palatino Linotype" w:cs="Palatino Linotype"/>
          <w:color w:val="000000"/>
          <w:sz w:val="18"/>
          <w:szCs w:val="18"/>
        </w:rPr>
        <w:t xml:space="preserve"> “</w:t>
      </w:r>
      <w:r>
        <w:rPr>
          <w:rFonts w:ascii="Palatino Linotype" w:eastAsia="Palatino Linotype" w:hAnsi="Palatino Linotype" w:cs="Palatino Linotype"/>
          <w:b/>
          <w:i/>
          <w:color w:val="000000"/>
          <w:sz w:val="18"/>
          <w:szCs w:val="18"/>
        </w:rPr>
        <w:t>Artículo 192.</w:t>
      </w:r>
      <w:r>
        <w:rPr>
          <w:rFonts w:ascii="Palatino Linotype" w:eastAsia="Palatino Linotype" w:hAnsi="Palatino Linotype" w:cs="Palatino Linotype"/>
          <w:i/>
          <w:color w:val="000000"/>
          <w:sz w:val="18"/>
          <w:szCs w:val="18"/>
        </w:rPr>
        <w:t xml:space="preserve"> El recurso será sobreseído, en todo o en parte, cuando una vez admitido, se actualicen alguno de los siguientes supuestos: I. El recurrente se desista expresamente del recurso; II. El recurrente fallezca o, tratándose de personas jurídicas colectivas, se disuelva; III. El sujeto obligado responsable del acto lo modifique o revoque de tal manera que el recurso de revisión quede sin materia; IV. Admitido el recurso de revisión, aparezca alguna causal de improcedencia en los términos de la presente Ley; y V. Cuando por cualquier motivo quede sin materia el recurso.”</w:t>
      </w:r>
    </w:p>
  </w:footnote>
  <w:footnote w:id="4">
    <w:p w14:paraId="05BA5D55" w14:textId="77777777" w:rsidR="00E824BC" w:rsidRDefault="00772678">
      <w:pPr>
        <w:pBdr>
          <w:top w:val="nil"/>
          <w:left w:val="nil"/>
          <w:bottom w:val="nil"/>
          <w:right w:val="nil"/>
          <w:between w:val="nil"/>
        </w:pBdr>
        <w:rPr>
          <w:color w:val="000000"/>
          <w:sz w:val="18"/>
          <w:szCs w:val="18"/>
        </w:rPr>
      </w:pPr>
      <w:r>
        <w:rPr>
          <w:vertAlign w:val="superscript"/>
        </w:rPr>
        <w:footnoteRef/>
      </w:r>
      <w:r>
        <w:rPr>
          <w:color w:val="000000"/>
          <w:sz w:val="20"/>
          <w:szCs w:val="20"/>
        </w:rPr>
        <w:t xml:space="preserve"> </w:t>
      </w:r>
      <w:r>
        <w:rPr>
          <w:color w:val="000000"/>
          <w:sz w:val="18"/>
          <w:szCs w:val="18"/>
        </w:rPr>
        <w:t>A</w:t>
      </w:r>
      <w:r>
        <w:rPr>
          <w:rFonts w:ascii="Palatino Linotype" w:eastAsia="Palatino Linotype" w:hAnsi="Palatino Linotype" w:cs="Palatino Linotype"/>
          <w:color w:val="000000"/>
          <w:sz w:val="18"/>
          <w:szCs w:val="18"/>
        </w:rPr>
        <w:t>rtículo 181, párrafo cuarto de la Ley de Transparencia y Acceso a la Información Pública del Estado de México y Municipios.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7703E" w14:textId="77777777" w:rsidR="00E824BC" w:rsidRDefault="006A7520">
    <w:pPr>
      <w:pBdr>
        <w:top w:val="nil"/>
        <w:left w:val="nil"/>
        <w:bottom w:val="nil"/>
        <w:right w:val="nil"/>
        <w:between w:val="nil"/>
      </w:pBdr>
      <w:tabs>
        <w:tab w:val="center" w:pos="4252"/>
        <w:tab w:val="right" w:pos="8504"/>
      </w:tabs>
      <w:rPr>
        <w:rFonts w:ascii="Calibri" w:eastAsia="Calibri" w:hAnsi="Calibri" w:cs="Calibri"/>
        <w:color w:val="000000"/>
      </w:rPr>
    </w:pPr>
    <w:r>
      <w:rPr>
        <w:rFonts w:ascii="Calibri" w:eastAsia="Calibri" w:hAnsi="Calibri" w:cs="Calibri"/>
        <w:color w:val="000000"/>
      </w:rPr>
      <w:pict w14:anchorId="44A343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ESOLUCIÓN" style="position:absolute;margin-left:0;margin-top:0;width:540pt;height:10in;z-index:-25165772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5FA47" w14:textId="77777777" w:rsidR="00E824BC" w:rsidRDefault="006A7520">
    <w:pPr>
      <w:pBdr>
        <w:top w:val="nil"/>
        <w:left w:val="nil"/>
        <w:bottom w:val="nil"/>
        <w:right w:val="nil"/>
        <w:between w:val="nil"/>
      </w:pBdr>
      <w:tabs>
        <w:tab w:val="center" w:pos="4252"/>
        <w:tab w:val="right" w:pos="8504"/>
        <w:tab w:val="left" w:pos="2326"/>
      </w:tabs>
      <w:rPr>
        <w:rFonts w:ascii="Palatino Linotype" w:eastAsia="Palatino Linotype" w:hAnsi="Palatino Linotype" w:cs="Palatino Linotype"/>
        <w:color w:val="000000"/>
        <w:sz w:val="28"/>
        <w:szCs w:val="28"/>
      </w:rPr>
    </w:pPr>
    <w:r>
      <w:rPr>
        <w:rFonts w:ascii="Palatino Linotype" w:eastAsia="Palatino Linotype" w:hAnsi="Palatino Linotype" w:cs="Palatino Linotype"/>
        <w:color w:val="000000"/>
        <w:sz w:val="28"/>
        <w:szCs w:val="28"/>
      </w:rPr>
      <w:pict w14:anchorId="4655A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RESOLUCIÓN" style="position:absolute;margin-left:-53.05pt;margin-top:-76.05pt;width:540pt;height:10in;z-index:-251659776;mso-position-horizontal:absolute;mso-position-horizontal-relative:margin;mso-position-vertical:absolute;mso-position-vertical-relative:margin">
          <v:imagedata r:id="rId1" o:title="image1"/>
          <w10:wrap anchorx="margin" anchory="margin"/>
        </v:shape>
      </w:pict>
    </w:r>
  </w:p>
  <w:tbl>
    <w:tblPr>
      <w:tblStyle w:val="a4"/>
      <w:tblW w:w="9356" w:type="dxa"/>
      <w:tblInd w:w="-142" w:type="dxa"/>
      <w:tblLayout w:type="fixed"/>
      <w:tblLook w:val="0400" w:firstRow="0" w:lastRow="0" w:firstColumn="0" w:lastColumn="0" w:noHBand="0" w:noVBand="1"/>
    </w:tblPr>
    <w:tblGrid>
      <w:gridCol w:w="3686"/>
      <w:gridCol w:w="2552"/>
      <w:gridCol w:w="3118"/>
    </w:tblGrid>
    <w:tr w:rsidR="00E824BC" w14:paraId="69CC175E" w14:textId="77777777">
      <w:tc>
        <w:tcPr>
          <w:tcW w:w="3686" w:type="dxa"/>
          <w:vMerge w:val="restart"/>
        </w:tcPr>
        <w:p w14:paraId="19DF5A93"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noProof/>
              <w:sz w:val="28"/>
              <w:szCs w:val="28"/>
              <w:lang w:eastAsia="es-MX"/>
            </w:rPr>
            <w:drawing>
              <wp:inline distT="0" distB="0" distL="0" distR="0" wp14:anchorId="5E7B3E4E" wp14:editId="39120FF3">
                <wp:extent cx="1692162" cy="852673"/>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92162" cy="852673"/>
                        </a:xfrm>
                        <a:prstGeom prst="rect">
                          <a:avLst/>
                        </a:prstGeom>
                        <a:ln/>
                      </pic:spPr>
                    </pic:pic>
                  </a:graphicData>
                </a:graphic>
              </wp:inline>
            </w:drawing>
          </w:r>
        </w:p>
      </w:tc>
      <w:tc>
        <w:tcPr>
          <w:tcW w:w="2552" w:type="dxa"/>
          <w:shd w:val="clear" w:color="auto" w:fill="auto"/>
        </w:tcPr>
        <w:p w14:paraId="28A278A5"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Recurso de Revisión:</w:t>
          </w:r>
        </w:p>
      </w:tc>
      <w:tc>
        <w:tcPr>
          <w:tcW w:w="3118" w:type="dxa"/>
          <w:shd w:val="clear" w:color="auto" w:fill="auto"/>
          <w:vAlign w:val="center"/>
        </w:tcPr>
        <w:p w14:paraId="7BFB111A" w14:textId="77777777" w:rsidR="00E824BC" w:rsidRDefault="00772678">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05732/INFOEM/IP/RR/2021 y sus acumulados 05734/INFOEM/IP/RR/2021, 05736/INFOEM/IP/RR/2021 y 5738/INFOEM/IP/RR/2021</w:t>
          </w:r>
        </w:p>
      </w:tc>
    </w:tr>
    <w:tr w:rsidR="00E824BC" w14:paraId="7B5DF2DF" w14:textId="77777777">
      <w:tc>
        <w:tcPr>
          <w:tcW w:w="3686" w:type="dxa"/>
          <w:vMerge/>
        </w:tcPr>
        <w:p w14:paraId="55A953FA" w14:textId="77777777" w:rsidR="00E824BC" w:rsidRDefault="00E824BC">
          <w:pPr>
            <w:widowControl w:val="0"/>
            <w:pBdr>
              <w:top w:val="nil"/>
              <w:left w:val="nil"/>
              <w:bottom w:val="nil"/>
              <w:right w:val="nil"/>
              <w:between w:val="nil"/>
            </w:pBdr>
            <w:spacing w:line="276" w:lineRule="auto"/>
            <w:rPr>
              <w:rFonts w:ascii="Palatino Linotype" w:eastAsia="Palatino Linotype" w:hAnsi="Palatino Linotype" w:cs="Palatino Linotype"/>
              <w:b/>
              <w:sz w:val="22"/>
              <w:szCs w:val="22"/>
            </w:rPr>
          </w:pPr>
        </w:p>
      </w:tc>
      <w:tc>
        <w:tcPr>
          <w:tcW w:w="2552" w:type="dxa"/>
          <w:shd w:val="clear" w:color="auto" w:fill="auto"/>
        </w:tcPr>
        <w:p w14:paraId="5C078E10"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Sujeto Obligado:</w:t>
          </w:r>
        </w:p>
      </w:tc>
      <w:tc>
        <w:tcPr>
          <w:tcW w:w="3118" w:type="dxa"/>
          <w:shd w:val="clear" w:color="auto" w:fill="auto"/>
          <w:vAlign w:val="center"/>
        </w:tcPr>
        <w:p w14:paraId="28E1D966" w14:textId="77777777" w:rsidR="00E824BC" w:rsidRDefault="00772678">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Ayuntamiento de Tepetlixpa</w:t>
          </w:r>
        </w:p>
      </w:tc>
    </w:tr>
    <w:tr w:rsidR="00E824BC" w14:paraId="4016DFD3" w14:textId="77777777">
      <w:trPr>
        <w:trHeight w:val="228"/>
      </w:trPr>
      <w:tc>
        <w:tcPr>
          <w:tcW w:w="3686" w:type="dxa"/>
          <w:vMerge/>
        </w:tcPr>
        <w:p w14:paraId="5E3B4687" w14:textId="77777777" w:rsidR="00E824BC" w:rsidRDefault="00E824BC">
          <w:pPr>
            <w:widowControl w:val="0"/>
            <w:pBdr>
              <w:top w:val="nil"/>
              <w:left w:val="nil"/>
              <w:bottom w:val="nil"/>
              <w:right w:val="nil"/>
              <w:between w:val="nil"/>
            </w:pBdr>
            <w:spacing w:line="276" w:lineRule="auto"/>
            <w:rPr>
              <w:rFonts w:ascii="Palatino Linotype" w:eastAsia="Palatino Linotype" w:hAnsi="Palatino Linotype" w:cs="Palatino Linotype"/>
              <w:b/>
              <w:sz w:val="22"/>
              <w:szCs w:val="22"/>
            </w:rPr>
          </w:pPr>
        </w:p>
      </w:tc>
      <w:tc>
        <w:tcPr>
          <w:tcW w:w="2552" w:type="dxa"/>
          <w:shd w:val="clear" w:color="auto" w:fill="auto"/>
        </w:tcPr>
        <w:p w14:paraId="230D8A14"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Comisionado Ponente:</w:t>
          </w:r>
        </w:p>
      </w:tc>
      <w:tc>
        <w:tcPr>
          <w:tcW w:w="3118" w:type="dxa"/>
          <w:shd w:val="clear" w:color="auto" w:fill="auto"/>
        </w:tcPr>
        <w:p w14:paraId="5976DD5B" w14:textId="77777777" w:rsidR="00E824BC" w:rsidRDefault="00772678">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José Martínez Vilchis</w:t>
          </w:r>
        </w:p>
      </w:tc>
    </w:tr>
  </w:tbl>
  <w:p w14:paraId="48956D7B" w14:textId="77777777" w:rsidR="00E824BC" w:rsidRDefault="00E824BC">
    <w:pPr>
      <w:pBdr>
        <w:top w:val="nil"/>
        <w:left w:val="nil"/>
        <w:bottom w:val="nil"/>
        <w:right w:val="nil"/>
        <w:between w:val="nil"/>
      </w:pBdr>
      <w:tabs>
        <w:tab w:val="center" w:pos="4252"/>
        <w:tab w:val="right" w:pos="8504"/>
        <w:tab w:val="left" w:pos="2326"/>
      </w:tabs>
      <w:rPr>
        <w:rFonts w:ascii="Palatino Linotype" w:eastAsia="Palatino Linotype" w:hAnsi="Palatino Linotype" w:cs="Palatino Linotype"/>
        <w:color w:val="000000"/>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08090" w14:textId="77777777" w:rsidR="00E824BC" w:rsidRDefault="006A7520">
    <w:pPr>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pict w14:anchorId="04FAC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RESOLUCIÓN" style="position:absolute;margin-left:-56.65pt;margin-top:-80.85pt;width:540pt;height:10in;z-index:-251658752;mso-position-horizontal:absolute;mso-position-horizontal-relative:margin;mso-position-vertical:absolute;mso-position-vertical-relative:margin">
          <v:imagedata r:id="rId1" o:title="image1"/>
          <w10:wrap anchorx="margin" anchory="margin"/>
        </v:shape>
      </w:pict>
    </w:r>
  </w:p>
  <w:tbl>
    <w:tblPr>
      <w:tblStyle w:val="a3"/>
      <w:tblW w:w="9356" w:type="dxa"/>
      <w:tblInd w:w="-142" w:type="dxa"/>
      <w:tblLayout w:type="fixed"/>
      <w:tblLook w:val="0400" w:firstRow="0" w:lastRow="0" w:firstColumn="0" w:lastColumn="0" w:noHBand="0" w:noVBand="1"/>
    </w:tblPr>
    <w:tblGrid>
      <w:gridCol w:w="3686"/>
      <w:gridCol w:w="2552"/>
      <w:gridCol w:w="3118"/>
    </w:tblGrid>
    <w:tr w:rsidR="00E824BC" w14:paraId="1931E27A" w14:textId="77777777">
      <w:tc>
        <w:tcPr>
          <w:tcW w:w="3686" w:type="dxa"/>
          <w:vMerge w:val="restart"/>
          <w:shd w:val="clear" w:color="auto" w:fill="auto"/>
        </w:tcPr>
        <w:p w14:paraId="6160F126"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noProof/>
              <w:sz w:val="28"/>
              <w:szCs w:val="28"/>
              <w:lang w:eastAsia="es-MX"/>
            </w:rPr>
            <w:drawing>
              <wp:inline distT="0" distB="0" distL="0" distR="0" wp14:anchorId="22B43B89" wp14:editId="775CC3DE">
                <wp:extent cx="1692162" cy="852673"/>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92162" cy="852673"/>
                        </a:xfrm>
                        <a:prstGeom prst="rect">
                          <a:avLst/>
                        </a:prstGeom>
                        <a:ln/>
                      </pic:spPr>
                    </pic:pic>
                  </a:graphicData>
                </a:graphic>
              </wp:inline>
            </w:drawing>
          </w:r>
        </w:p>
      </w:tc>
      <w:tc>
        <w:tcPr>
          <w:tcW w:w="2552" w:type="dxa"/>
          <w:shd w:val="clear" w:color="auto" w:fill="auto"/>
        </w:tcPr>
        <w:p w14:paraId="5F101AAA"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Recurso de Revisión:</w:t>
          </w:r>
        </w:p>
      </w:tc>
      <w:tc>
        <w:tcPr>
          <w:tcW w:w="3118" w:type="dxa"/>
          <w:shd w:val="clear" w:color="auto" w:fill="auto"/>
          <w:vAlign w:val="center"/>
        </w:tcPr>
        <w:p w14:paraId="07DBE020" w14:textId="77777777" w:rsidR="00E824BC" w:rsidRDefault="00772678">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05732/INFOEM/IP/RR/2021 y sus acumulados 05734/INFOEM/IP/RR/2021, 05736/INFOEM/IP/RR/2021 y 5738/INFOEM/IP/RR/2021</w:t>
          </w:r>
        </w:p>
      </w:tc>
    </w:tr>
    <w:tr w:rsidR="00E824BC" w14:paraId="4D54C487" w14:textId="77777777">
      <w:tc>
        <w:tcPr>
          <w:tcW w:w="3686" w:type="dxa"/>
          <w:vMerge/>
          <w:shd w:val="clear" w:color="auto" w:fill="auto"/>
        </w:tcPr>
        <w:p w14:paraId="29CA144D" w14:textId="77777777" w:rsidR="00E824BC" w:rsidRDefault="00E824BC">
          <w:pPr>
            <w:widowControl w:val="0"/>
            <w:pBdr>
              <w:top w:val="nil"/>
              <w:left w:val="nil"/>
              <w:bottom w:val="nil"/>
              <w:right w:val="nil"/>
              <w:between w:val="nil"/>
            </w:pBdr>
            <w:spacing w:line="276" w:lineRule="auto"/>
            <w:rPr>
              <w:rFonts w:ascii="Palatino Linotype" w:eastAsia="Palatino Linotype" w:hAnsi="Palatino Linotype" w:cs="Palatino Linotype"/>
              <w:b/>
              <w:sz w:val="22"/>
              <w:szCs w:val="22"/>
            </w:rPr>
          </w:pPr>
        </w:p>
      </w:tc>
      <w:tc>
        <w:tcPr>
          <w:tcW w:w="2552" w:type="dxa"/>
          <w:shd w:val="clear" w:color="auto" w:fill="auto"/>
        </w:tcPr>
        <w:p w14:paraId="4879875E"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Recurrente:</w:t>
          </w:r>
        </w:p>
      </w:tc>
      <w:tc>
        <w:tcPr>
          <w:tcW w:w="3118" w:type="dxa"/>
          <w:shd w:val="clear" w:color="auto" w:fill="auto"/>
          <w:vAlign w:val="center"/>
        </w:tcPr>
        <w:p w14:paraId="794B003B" w14:textId="325089A2" w:rsidR="00E824BC" w:rsidRDefault="006A7520">
          <w:pPr>
            <w:jc w:val="both"/>
            <w:rPr>
              <w:rFonts w:ascii="Palatino Linotype" w:eastAsia="Palatino Linotype" w:hAnsi="Palatino Linotype" w:cs="Palatino Linotype"/>
              <w:b/>
              <w:sz w:val="22"/>
              <w:szCs w:val="22"/>
            </w:rPr>
          </w:pPr>
          <w:proofErr w:type="spellStart"/>
          <w:r>
            <w:rPr>
              <w:rFonts w:ascii="Palatino Linotype" w:eastAsia="Palatino Linotype" w:hAnsi="Palatino Linotype" w:cs="Palatino Linotype"/>
              <w:b/>
              <w:sz w:val="22"/>
              <w:szCs w:val="22"/>
            </w:rPr>
            <w:t>xxxx</w:t>
          </w:r>
          <w:proofErr w:type="spellEnd"/>
        </w:p>
      </w:tc>
    </w:tr>
    <w:tr w:rsidR="00E824BC" w14:paraId="590468AD" w14:textId="77777777">
      <w:trPr>
        <w:trHeight w:val="228"/>
      </w:trPr>
      <w:tc>
        <w:tcPr>
          <w:tcW w:w="3686" w:type="dxa"/>
          <w:vMerge/>
          <w:shd w:val="clear" w:color="auto" w:fill="auto"/>
        </w:tcPr>
        <w:p w14:paraId="48045ADD" w14:textId="77777777" w:rsidR="00E824BC" w:rsidRDefault="00E824BC">
          <w:pPr>
            <w:widowControl w:val="0"/>
            <w:pBdr>
              <w:top w:val="nil"/>
              <w:left w:val="nil"/>
              <w:bottom w:val="nil"/>
              <w:right w:val="nil"/>
              <w:between w:val="nil"/>
            </w:pBdr>
            <w:spacing w:line="276" w:lineRule="auto"/>
            <w:rPr>
              <w:rFonts w:ascii="Palatino Linotype" w:eastAsia="Palatino Linotype" w:hAnsi="Palatino Linotype" w:cs="Palatino Linotype"/>
              <w:b/>
              <w:sz w:val="22"/>
              <w:szCs w:val="22"/>
            </w:rPr>
          </w:pPr>
        </w:p>
      </w:tc>
      <w:tc>
        <w:tcPr>
          <w:tcW w:w="2552" w:type="dxa"/>
          <w:shd w:val="clear" w:color="auto" w:fill="auto"/>
        </w:tcPr>
        <w:p w14:paraId="6A1EB8BC"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Sujeto Obligado:</w:t>
          </w:r>
        </w:p>
      </w:tc>
      <w:tc>
        <w:tcPr>
          <w:tcW w:w="3118" w:type="dxa"/>
          <w:shd w:val="clear" w:color="auto" w:fill="auto"/>
          <w:vAlign w:val="center"/>
        </w:tcPr>
        <w:p w14:paraId="37A1E614" w14:textId="77777777" w:rsidR="00E824BC" w:rsidRDefault="00772678">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Ayuntamiento de Tepetlixpa</w:t>
          </w:r>
        </w:p>
      </w:tc>
    </w:tr>
    <w:tr w:rsidR="00E824BC" w14:paraId="167A0391" w14:textId="77777777">
      <w:tc>
        <w:tcPr>
          <w:tcW w:w="3686" w:type="dxa"/>
          <w:vMerge/>
          <w:shd w:val="clear" w:color="auto" w:fill="auto"/>
        </w:tcPr>
        <w:p w14:paraId="1930A5C4" w14:textId="77777777" w:rsidR="00E824BC" w:rsidRDefault="00E824BC">
          <w:pPr>
            <w:widowControl w:val="0"/>
            <w:pBdr>
              <w:top w:val="nil"/>
              <w:left w:val="nil"/>
              <w:bottom w:val="nil"/>
              <w:right w:val="nil"/>
              <w:between w:val="nil"/>
            </w:pBdr>
            <w:spacing w:line="276" w:lineRule="auto"/>
            <w:rPr>
              <w:rFonts w:ascii="Palatino Linotype" w:eastAsia="Palatino Linotype" w:hAnsi="Palatino Linotype" w:cs="Palatino Linotype"/>
              <w:b/>
              <w:sz w:val="22"/>
              <w:szCs w:val="22"/>
            </w:rPr>
          </w:pPr>
        </w:p>
      </w:tc>
      <w:tc>
        <w:tcPr>
          <w:tcW w:w="2552" w:type="dxa"/>
          <w:shd w:val="clear" w:color="auto" w:fill="auto"/>
        </w:tcPr>
        <w:p w14:paraId="7A541FC6" w14:textId="77777777" w:rsidR="00E824BC" w:rsidRDefault="00772678">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Comisionado Ponente:</w:t>
          </w:r>
        </w:p>
      </w:tc>
      <w:tc>
        <w:tcPr>
          <w:tcW w:w="3118" w:type="dxa"/>
          <w:shd w:val="clear" w:color="auto" w:fill="auto"/>
        </w:tcPr>
        <w:p w14:paraId="0853EB64" w14:textId="77777777" w:rsidR="00E824BC" w:rsidRDefault="00772678">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José Martínez Vilchis</w:t>
          </w:r>
        </w:p>
      </w:tc>
    </w:tr>
  </w:tbl>
  <w:p w14:paraId="61E799E8" w14:textId="77777777" w:rsidR="00E824BC" w:rsidRDefault="00E824BC">
    <w:pPr>
      <w:rPr>
        <w:rFonts w:ascii="Palatino Linotype" w:eastAsia="Palatino Linotype" w:hAnsi="Palatino Linotype" w:cs="Palatino Linotype"/>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6A0AC1"/>
    <w:multiLevelType w:val="multilevel"/>
    <w:tmpl w:val="A36E29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4F1386C"/>
    <w:multiLevelType w:val="multilevel"/>
    <w:tmpl w:val="9836F0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4BC"/>
    <w:rsid w:val="000D5547"/>
    <w:rsid w:val="001F43F2"/>
    <w:rsid w:val="00211BDB"/>
    <w:rsid w:val="00274FB7"/>
    <w:rsid w:val="006A7520"/>
    <w:rsid w:val="00772678"/>
    <w:rsid w:val="009630F7"/>
    <w:rsid w:val="009709DE"/>
    <w:rsid w:val="00A206AE"/>
    <w:rsid w:val="00A61BB5"/>
    <w:rsid w:val="00AE1FCC"/>
    <w:rsid w:val="00D0332E"/>
    <w:rsid w:val="00DB7E60"/>
    <w:rsid w:val="00E824BC"/>
    <w:rsid w:val="00E879DA"/>
    <w:rsid w:val="00EC47F3"/>
    <w:rsid w:val="00FE240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A849947"/>
  <w15:docId w15:val="{27E03665-4A61-48A2-9967-B02B6354B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2B3"/>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0532B3"/>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0532B3"/>
    <w:rPr>
      <w:rFonts w:eastAsiaTheme="minorEastAsia"/>
      <w:sz w:val="24"/>
      <w:szCs w:val="24"/>
      <w:lang w:val="es-ES_tradnl" w:eastAsia="es-ES"/>
    </w:rPr>
  </w:style>
  <w:style w:type="paragraph" w:styleId="Piedepgina">
    <w:name w:val="footer"/>
    <w:basedOn w:val="Normal"/>
    <w:link w:val="PiedepginaCar"/>
    <w:uiPriority w:val="99"/>
    <w:unhideWhenUsed/>
    <w:rsid w:val="000532B3"/>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0532B3"/>
    <w:rPr>
      <w:rFonts w:eastAsiaTheme="minorEastAsia"/>
      <w:sz w:val="24"/>
      <w:szCs w:val="24"/>
      <w:lang w:val="es-ES_tradnl"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0532B3"/>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0532B3"/>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0532B3"/>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0532B3"/>
    <w:rPr>
      <w:rFonts w:ascii="Times New Roman" w:eastAsia="Times New Roman" w:hAnsi="Times New Roman" w:cs="Times New Roman"/>
      <w:sz w:val="20"/>
      <w:szCs w:val="20"/>
      <w:lang w:eastAsia="es-E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qFormat/>
    <w:rsid w:val="000532B3"/>
    <w:rPr>
      <w:vertAlign w:val="superscript"/>
    </w:rPr>
  </w:style>
  <w:style w:type="paragraph" w:styleId="Textodeglobo">
    <w:name w:val="Balloon Text"/>
    <w:basedOn w:val="Normal"/>
    <w:link w:val="TextodegloboCar"/>
    <w:uiPriority w:val="99"/>
    <w:semiHidden/>
    <w:unhideWhenUsed/>
    <w:rsid w:val="00C276F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76FC"/>
    <w:rPr>
      <w:rFonts w:ascii="Segoe UI" w:eastAsia="Times New Roman" w:hAnsi="Segoe UI" w:cs="Segoe UI"/>
      <w:sz w:val="18"/>
      <w:szCs w:val="18"/>
      <w:lang w:eastAsia="es-ES"/>
    </w:rPr>
  </w:style>
  <w:style w:type="paragraph" w:styleId="NormalWeb">
    <w:name w:val="Normal (Web)"/>
    <w:basedOn w:val="Normal"/>
    <w:uiPriority w:val="99"/>
    <w:rsid w:val="00C026BF"/>
    <w:pPr>
      <w:spacing w:before="100" w:beforeAutospacing="1" w:after="100" w:afterAutospacing="1"/>
    </w:pPr>
  </w:style>
  <w:style w:type="character" w:styleId="Hipervnculovisitado">
    <w:name w:val="FollowedHyperlink"/>
    <w:basedOn w:val="Fuentedeprrafopredeter"/>
    <w:uiPriority w:val="99"/>
    <w:semiHidden/>
    <w:unhideWhenUsed/>
    <w:rsid w:val="008B0652"/>
    <w:rPr>
      <w:color w:val="954F72" w:themeColor="followedHyperlink"/>
      <w:u w:val="single"/>
    </w:rPr>
  </w:style>
  <w:style w:type="character" w:styleId="Hipervnculo">
    <w:name w:val="Hyperlink"/>
    <w:uiPriority w:val="99"/>
    <w:unhideWhenUsed/>
    <w:rsid w:val="00AB4196"/>
    <w:rPr>
      <w:strike w:val="0"/>
      <w:dstrike w:val="0"/>
      <w:color w:val="035899"/>
      <w:u w:val="none"/>
      <w:effect w:val="none"/>
    </w:rPr>
  </w:style>
  <w:style w:type="character" w:styleId="Refdecomentario">
    <w:name w:val="annotation reference"/>
    <w:basedOn w:val="Fuentedeprrafopredeter"/>
    <w:uiPriority w:val="99"/>
    <w:semiHidden/>
    <w:unhideWhenUsed/>
    <w:rsid w:val="00A209C3"/>
    <w:rPr>
      <w:sz w:val="16"/>
      <w:szCs w:val="16"/>
    </w:rPr>
  </w:style>
  <w:style w:type="paragraph" w:styleId="Textocomentario">
    <w:name w:val="annotation text"/>
    <w:basedOn w:val="Normal"/>
    <w:link w:val="TextocomentarioCar"/>
    <w:uiPriority w:val="99"/>
    <w:semiHidden/>
    <w:unhideWhenUsed/>
    <w:rsid w:val="00A209C3"/>
    <w:rPr>
      <w:sz w:val="20"/>
      <w:szCs w:val="20"/>
    </w:rPr>
  </w:style>
  <w:style w:type="character" w:customStyle="1" w:styleId="TextocomentarioCar">
    <w:name w:val="Texto comentario Car"/>
    <w:basedOn w:val="Fuentedeprrafopredeter"/>
    <w:link w:val="Textocomentario"/>
    <w:uiPriority w:val="99"/>
    <w:semiHidden/>
    <w:rsid w:val="00A209C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209C3"/>
    <w:rPr>
      <w:b/>
      <w:bCs/>
    </w:rPr>
  </w:style>
  <w:style w:type="character" w:customStyle="1" w:styleId="AsuntodelcomentarioCar">
    <w:name w:val="Asunto del comentario Car"/>
    <w:basedOn w:val="TextocomentarioCar"/>
    <w:link w:val="Asuntodelcomentario"/>
    <w:uiPriority w:val="99"/>
    <w:semiHidden/>
    <w:rsid w:val="00A209C3"/>
    <w:rPr>
      <w:rFonts w:ascii="Times New Roman" w:eastAsia="Times New Roman" w:hAnsi="Times New Roman" w:cs="Times New Roman"/>
      <w:b/>
      <w:bCs/>
      <w:sz w:val="20"/>
      <w:szCs w:val="20"/>
      <w:lang w:eastAsia="es-ES"/>
    </w:rPr>
  </w:style>
  <w:style w:type="table" w:styleId="Tablaconcuadrcula">
    <w:name w:val="Table Grid"/>
    <w:basedOn w:val="Tablanormal"/>
    <w:uiPriority w:val="39"/>
    <w:rsid w:val="00642A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4B111F"/>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tepetlixpa.gob.mx/actas-de-cabildo"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tepetlixpa.gob.mx"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9FTt74t6wTyWCXWDDI3qUPP2aQ==">AMUW2mWd5nsHCQrdwwLgohQt/v0wZqUv1i2R2gGd7Y76wkL4ENvQGeZRl5GBuc+gZOODAk96ZJiW5RR8Z/aHsTdK8klh9GbhBe5HRvEnWlqVk73KefSeukdgoCSMxrnUd/DRC9yGC0tR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46</Pages>
  <Words>10056</Words>
  <Characters>55312</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INFOEM</dc:creator>
  <cp:lastModifiedBy>USUARIO</cp:lastModifiedBy>
  <cp:revision>5</cp:revision>
  <dcterms:created xsi:type="dcterms:W3CDTF">2022-01-27T06:29:00Z</dcterms:created>
  <dcterms:modified xsi:type="dcterms:W3CDTF">2022-02-22T17:31:00Z</dcterms:modified>
</cp:coreProperties>
</file>