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D4BB2" w14:textId="77777777" w:rsidR="00AF75C2" w:rsidRDefault="005F5589">
      <w:pPr>
        <w:spacing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celebrada el dieciocho de noviembre de dos mil veintidós.</w:t>
      </w:r>
    </w:p>
    <w:p w14:paraId="1AFDA98F" w14:textId="4B291DE4"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VISTO</w:t>
      </w:r>
      <w:r w:rsidR="00362898">
        <w:rPr>
          <w:rFonts w:ascii="Palatino Linotype" w:eastAsia="Palatino Linotype" w:hAnsi="Palatino Linotype" w:cs="Palatino Linotype"/>
          <w:b/>
          <w:sz w:val="28"/>
          <w:szCs w:val="28"/>
        </w:rPr>
        <w:t>S</w:t>
      </w:r>
      <w:r w:rsidR="00362898">
        <w:rPr>
          <w:rFonts w:ascii="Palatino Linotype" w:eastAsia="Palatino Linotype" w:hAnsi="Palatino Linotype" w:cs="Palatino Linotype"/>
        </w:rPr>
        <w:t xml:space="preserve"> los</w:t>
      </w:r>
      <w:r>
        <w:rPr>
          <w:rFonts w:ascii="Palatino Linotype" w:eastAsia="Palatino Linotype" w:hAnsi="Palatino Linotype" w:cs="Palatino Linotype"/>
        </w:rPr>
        <w:t xml:space="preserve"> expediente</w:t>
      </w:r>
      <w:r w:rsidR="00362898">
        <w:rPr>
          <w:rFonts w:ascii="Palatino Linotype" w:eastAsia="Palatino Linotype" w:hAnsi="Palatino Linotype" w:cs="Palatino Linotype"/>
        </w:rPr>
        <w:t>s</w:t>
      </w:r>
      <w:r>
        <w:rPr>
          <w:rFonts w:ascii="Palatino Linotype" w:eastAsia="Palatino Linotype" w:hAnsi="Palatino Linotype" w:cs="Palatino Linotype"/>
        </w:rPr>
        <w:t xml:space="preserve"> formado</w:t>
      </w:r>
      <w:r w:rsidR="00362898">
        <w:rPr>
          <w:rFonts w:ascii="Palatino Linotype" w:eastAsia="Palatino Linotype" w:hAnsi="Palatino Linotype" w:cs="Palatino Linotype"/>
        </w:rPr>
        <w:t>s</w:t>
      </w:r>
      <w:r>
        <w:rPr>
          <w:rFonts w:ascii="Palatino Linotype" w:eastAsia="Palatino Linotype" w:hAnsi="Palatino Linotype" w:cs="Palatino Linotype"/>
        </w:rPr>
        <w:t xml:space="preserve"> con motivo de los Recursos de Revisión número </w:t>
      </w:r>
      <w:r>
        <w:rPr>
          <w:rFonts w:ascii="Palatino Linotype" w:eastAsia="Palatino Linotype" w:hAnsi="Palatino Linotype" w:cs="Palatino Linotype"/>
          <w:b/>
        </w:rPr>
        <w:t>12707/INFOEM/IP/RR/2022, 12708/INFOEM/IP/RR/</w:t>
      </w:r>
      <w:proofErr w:type="gramStart"/>
      <w:r>
        <w:rPr>
          <w:rFonts w:ascii="Palatino Linotype" w:eastAsia="Palatino Linotype" w:hAnsi="Palatino Linotype" w:cs="Palatino Linotype"/>
          <w:b/>
        </w:rPr>
        <w:t>2022  y</w:t>
      </w:r>
      <w:proofErr w:type="gramEnd"/>
      <w:r>
        <w:rPr>
          <w:rFonts w:ascii="Palatino Linotype" w:eastAsia="Palatino Linotype" w:hAnsi="Palatino Linotype" w:cs="Palatino Linotype"/>
          <w:b/>
        </w:rPr>
        <w:t xml:space="preserve"> 12709/INFOEM/IP/RR/2022, </w:t>
      </w:r>
      <w:r>
        <w:rPr>
          <w:rFonts w:ascii="Palatino Linotype" w:eastAsia="Palatino Linotype" w:hAnsi="Palatino Linotype" w:cs="Palatino Linotype"/>
        </w:rPr>
        <w:t>promovidos por un particular de forma anónima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quien en lo sucesivo se le denominara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las respuestas del </w:t>
      </w:r>
      <w:r>
        <w:rPr>
          <w:rFonts w:ascii="Palatino Linotype" w:eastAsia="Palatino Linotype" w:hAnsi="Palatino Linotype" w:cs="Palatino Linotype"/>
          <w:b/>
        </w:rPr>
        <w:t xml:space="preserve">Sistema Municipal </w:t>
      </w:r>
      <w:r w:rsidR="003B4DDB">
        <w:rPr>
          <w:rFonts w:ascii="Palatino Linotype" w:eastAsia="Palatino Linotype" w:hAnsi="Palatino Linotype" w:cs="Palatino Linotype"/>
          <w:b/>
        </w:rPr>
        <w:t xml:space="preserve">para </w:t>
      </w:r>
      <w:r>
        <w:rPr>
          <w:rFonts w:ascii="Palatino Linotype" w:eastAsia="Palatino Linotype" w:hAnsi="Palatino Linotype" w:cs="Palatino Linotype"/>
          <w:b/>
        </w:rPr>
        <w:t xml:space="preserve">el Desarrollo Integral de la Familia de Metepec, </w:t>
      </w:r>
      <w:r>
        <w:rPr>
          <w:rFonts w:ascii="Palatino Linotype" w:eastAsia="Palatino Linotype" w:hAnsi="Palatino Linotype" w:cs="Palatino Linotype"/>
        </w:rPr>
        <w:t xml:space="preserve">al cual en lo subsecuente se le denominará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se procede a dictar la presente resolución con base en lo siguiente:</w:t>
      </w:r>
    </w:p>
    <w:p w14:paraId="105E87C7" w14:textId="77777777" w:rsidR="00AF75C2" w:rsidRDefault="00AF75C2">
      <w:pPr>
        <w:spacing w:line="360" w:lineRule="auto"/>
        <w:jc w:val="both"/>
        <w:rPr>
          <w:rFonts w:ascii="Palatino Linotype" w:eastAsia="Palatino Linotype" w:hAnsi="Palatino Linotype" w:cs="Palatino Linotype"/>
        </w:rPr>
      </w:pPr>
    </w:p>
    <w:p w14:paraId="158B92F2" w14:textId="77777777" w:rsidR="00AF75C2" w:rsidRDefault="005F5589">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sz w:val="28"/>
          <w:szCs w:val="28"/>
        </w:rPr>
        <w:t>A N T E C E D E N T E S</w:t>
      </w:r>
    </w:p>
    <w:p w14:paraId="2691037D" w14:textId="77777777" w:rsidR="00AF75C2" w:rsidRDefault="00AF75C2">
      <w:pPr>
        <w:rPr>
          <w:rFonts w:ascii="Palatino Linotype" w:eastAsia="Palatino Linotype" w:hAnsi="Palatino Linotype" w:cs="Palatino Linotype"/>
          <w:b/>
        </w:rPr>
      </w:pPr>
    </w:p>
    <w:p w14:paraId="243FA762" w14:textId="77777777" w:rsidR="00AF75C2" w:rsidRDefault="005F5589">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I.</w:t>
      </w:r>
      <w:r>
        <w:rPr>
          <w:rFonts w:ascii="Palatino Linotype" w:eastAsia="Palatino Linotype" w:hAnsi="Palatino Linotype" w:cs="Palatino Linotype"/>
          <w:b/>
        </w:rPr>
        <w:t xml:space="preserve"> </w:t>
      </w:r>
      <w:r>
        <w:rPr>
          <w:rFonts w:ascii="Palatino Linotype" w:eastAsia="Palatino Linotype" w:hAnsi="Palatino Linotype" w:cs="Palatino Linotype"/>
          <w:b/>
          <w:sz w:val="28"/>
          <w:szCs w:val="28"/>
        </w:rPr>
        <w:t>De la Solicitud de Información</w:t>
      </w:r>
    </w:p>
    <w:p w14:paraId="39050D54"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seis de junio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presentó a través del Sistema de Acceso a la Información Mexiquense, en lo subsecuente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las solicitudes de Acceso a la Información Pública, a las cuales se le asignaron los números de expediente </w:t>
      </w:r>
      <w:r>
        <w:rPr>
          <w:rFonts w:ascii="Palatino Linotype" w:eastAsia="Palatino Linotype" w:hAnsi="Palatino Linotype" w:cs="Palatino Linotype"/>
          <w:b/>
        </w:rPr>
        <w:t xml:space="preserve">05835/DIFMETEPEC/IP/2022, </w:t>
      </w:r>
      <w:r>
        <w:rPr>
          <w:rFonts w:ascii="Palatino Linotype" w:eastAsia="Palatino Linotype" w:hAnsi="Palatino Linotype" w:cs="Palatino Linotype"/>
          <w:b/>
        </w:rPr>
        <w:lastRenderedPageBreak/>
        <w:t xml:space="preserve">05836/DIFMETEPEC/IP/2022 y 05837/DIFMETEPEC/IP/2022, </w:t>
      </w:r>
      <w:r>
        <w:rPr>
          <w:rFonts w:ascii="Palatino Linotype" w:eastAsia="Palatino Linotype" w:hAnsi="Palatino Linotype" w:cs="Palatino Linotype"/>
        </w:rPr>
        <w:t>mediante las cuales el particular requirió, lo siguiente:</w:t>
      </w:r>
    </w:p>
    <w:p w14:paraId="11DD283C" w14:textId="77777777" w:rsidR="00AF75C2" w:rsidRDefault="00AF75C2">
      <w:pPr>
        <w:spacing w:line="360" w:lineRule="auto"/>
        <w:jc w:val="both"/>
        <w:rPr>
          <w:rFonts w:ascii="Palatino Linotype" w:eastAsia="Palatino Linotype" w:hAnsi="Palatino Linotype" w:cs="Palatino Linotype"/>
        </w:rPr>
      </w:pPr>
    </w:p>
    <w:tbl>
      <w:tblPr>
        <w:tblStyle w:val="affffffffff4"/>
        <w:tblW w:w="8970" w:type="dxa"/>
        <w:tblInd w:w="265" w:type="dxa"/>
        <w:tblBorders>
          <w:top w:val="nil"/>
          <w:left w:val="nil"/>
          <w:bottom w:val="nil"/>
          <w:right w:val="nil"/>
          <w:insideH w:val="nil"/>
          <w:insideV w:val="nil"/>
        </w:tblBorders>
        <w:tblLayout w:type="fixed"/>
        <w:tblLook w:val="0600" w:firstRow="0" w:lastRow="0" w:firstColumn="0" w:lastColumn="0" w:noHBand="1" w:noVBand="1"/>
      </w:tblPr>
      <w:tblGrid>
        <w:gridCol w:w="3585"/>
        <w:gridCol w:w="5385"/>
      </w:tblGrid>
      <w:tr w:rsidR="00AF75C2" w14:paraId="20566F7D" w14:textId="77777777">
        <w:trPr>
          <w:trHeight w:val="465"/>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5D3BAB" w14:textId="77777777" w:rsidR="00AF75C2" w:rsidRDefault="005F5589">
            <w:pPr>
              <w:widowControl w:val="0"/>
              <w:jc w:val="center"/>
              <w:rPr>
                <w:sz w:val="20"/>
                <w:szCs w:val="20"/>
              </w:rPr>
            </w:pPr>
            <w:r>
              <w:rPr>
                <w:rFonts w:ascii="Palatino Linotype" w:eastAsia="Palatino Linotype" w:hAnsi="Palatino Linotype" w:cs="Palatino Linotype"/>
                <w:b/>
                <w:u w:val="single"/>
              </w:rPr>
              <w:t>Número de Folio de la Solicitud</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C6FFF6" w14:textId="77777777" w:rsidR="00AF75C2" w:rsidRDefault="005F5589">
            <w:pPr>
              <w:widowControl w:val="0"/>
              <w:jc w:val="center"/>
              <w:rPr>
                <w:sz w:val="20"/>
                <w:szCs w:val="20"/>
              </w:rPr>
            </w:pPr>
            <w:r>
              <w:rPr>
                <w:rFonts w:ascii="Palatino Linotype" w:eastAsia="Palatino Linotype" w:hAnsi="Palatino Linotype" w:cs="Palatino Linotype"/>
                <w:b/>
                <w:u w:val="single"/>
              </w:rPr>
              <w:t xml:space="preserve">Solicitud </w:t>
            </w:r>
          </w:p>
        </w:tc>
      </w:tr>
      <w:tr w:rsidR="00AF75C2" w14:paraId="6CAE6038"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FFD033" w14:textId="77777777" w:rsidR="00AF75C2" w:rsidRDefault="005F558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05835/DIFMETEPEC/IP/2022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E2FA70" w14:textId="77777777" w:rsidR="00AF75C2" w:rsidRDefault="005F5589">
            <w:pPr>
              <w:widowControl w:val="0"/>
              <w:spacing w:line="276" w:lineRule="auto"/>
              <w:rPr>
                <w:rFonts w:ascii="Palatino Linotype" w:eastAsia="Palatino Linotype" w:hAnsi="Palatino Linotype" w:cs="Palatino Linotype"/>
                <w:i/>
              </w:rPr>
            </w:pPr>
            <w:r>
              <w:rPr>
                <w:rFonts w:ascii="Palatino Linotype" w:eastAsia="Palatino Linotype" w:hAnsi="Palatino Linotype" w:cs="Palatino Linotype"/>
                <w:i/>
              </w:rPr>
              <w:t>“Todos los medios de comunicación contratados, los contratos con medios de comunicación m presupuesto autorizado a medios de comunicación cuanto se les q pasado y por qué concepto de enero q julio 2022” (Sic)</w:t>
            </w:r>
          </w:p>
        </w:tc>
      </w:tr>
      <w:tr w:rsidR="00AF75C2" w14:paraId="221DF33C"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AE33C2" w14:textId="77777777" w:rsidR="00AF75C2" w:rsidRDefault="005F558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05836/DIFMETEPEC/IP/2022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049D93" w14:textId="77777777" w:rsidR="00AF75C2" w:rsidRDefault="005F5589">
            <w:pPr>
              <w:widowControl w:val="0"/>
              <w:spacing w:line="276" w:lineRule="auto"/>
              <w:rPr>
                <w:rFonts w:ascii="Palatino Linotype" w:eastAsia="Palatino Linotype" w:hAnsi="Palatino Linotype" w:cs="Palatino Linotype"/>
                <w:i/>
              </w:rPr>
            </w:pPr>
            <w:r>
              <w:rPr>
                <w:rFonts w:ascii="Palatino Linotype" w:eastAsia="Palatino Linotype" w:hAnsi="Palatino Linotype" w:cs="Palatino Linotype"/>
                <w:i/>
              </w:rPr>
              <w:t>“Todos los medios de comunicación contratados, los contratos con medios de comunicación m presupuesto autorizado a medios de comunicación cuanto se les q pasado y por qué concepto de enero q julio 20223” (Sic)</w:t>
            </w:r>
          </w:p>
        </w:tc>
      </w:tr>
      <w:tr w:rsidR="00AF75C2" w14:paraId="64A2D737"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090EAC" w14:textId="77777777" w:rsidR="00AF75C2" w:rsidRDefault="005F558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05837/DIFMETEPEC/IP/2022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84E06E" w14:textId="77777777" w:rsidR="00AF75C2" w:rsidRDefault="005F5589">
            <w:pPr>
              <w:widowControl w:val="0"/>
              <w:spacing w:line="276" w:lineRule="auto"/>
              <w:rPr>
                <w:rFonts w:ascii="Palatino Linotype" w:eastAsia="Palatino Linotype" w:hAnsi="Palatino Linotype" w:cs="Palatino Linotype"/>
                <w:i/>
              </w:rPr>
            </w:pPr>
            <w:r>
              <w:rPr>
                <w:rFonts w:ascii="Palatino Linotype" w:eastAsia="Palatino Linotype" w:hAnsi="Palatino Linotype" w:cs="Palatino Linotype"/>
                <w:i/>
              </w:rPr>
              <w:t xml:space="preserve">“Todos los medios de comunicación contratados de enero a junio 22 los contrarios de prestación de servicio cuanto se les </w:t>
            </w:r>
            <w:proofErr w:type="spellStart"/>
            <w:r>
              <w:rPr>
                <w:rFonts w:ascii="Palatino Linotype" w:eastAsia="Palatino Linotype" w:hAnsi="Palatino Linotype" w:cs="Palatino Linotype"/>
                <w:i/>
              </w:rPr>
              <w:t>a</w:t>
            </w:r>
            <w:proofErr w:type="spellEnd"/>
            <w:r>
              <w:rPr>
                <w:rFonts w:ascii="Palatino Linotype" w:eastAsia="Palatino Linotype" w:hAnsi="Palatino Linotype" w:cs="Palatino Linotype"/>
                <w:i/>
              </w:rPr>
              <w:t xml:space="preserve"> pagado y por qué concepto el nombre del medio y del representante legal” (SIC)</w:t>
            </w:r>
          </w:p>
        </w:tc>
      </w:tr>
    </w:tbl>
    <w:p w14:paraId="56275177" w14:textId="77777777" w:rsidR="00AF75C2" w:rsidRDefault="00AF75C2">
      <w:pPr>
        <w:widowControl w:val="0"/>
        <w:spacing w:line="360" w:lineRule="auto"/>
        <w:jc w:val="both"/>
        <w:rPr>
          <w:rFonts w:ascii="Palatino Linotype" w:eastAsia="Palatino Linotype" w:hAnsi="Palatino Linotype" w:cs="Palatino Linotype"/>
        </w:rPr>
      </w:pPr>
    </w:p>
    <w:p w14:paraId="3D6D1F11" w14:textId="77777777" w:rsidR="00AF75C2" w:rsidRDefault="005F5589">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DE ENTREGA: </w:t>
      </w:r>
      <w:r>
        <w:rPr>
          <w:rFonts w:ascii="Palatino Linotype" w:eastAsia="Palatino Linotype" w:hAnsi="Palatino Linotype" w:cs="Palatino Linotype"/>
        </w:rPr>
        <w:t xml:space="preserve">Vía </w:t>
      </w:r>
      <w:r>
        <w:rPr>
          <w:rFonts w:ascii="Palatino Linotype" w:eastAsia="Palatino Linotype" w:hAnsi="Palatino Linotype" w:cs="Palatino Linotype"/>
          <w:b/>
        </w:rPr>
        <w:t xml:space="preserve">SAIMEX </w:t>
      </w:r>
    </w:p>
    <w:p w14:paraId="1E4DAB0A" w14:textId="77777777" w:rsidR="00AF75C2" w:rsidRDefault="00AF75C2">
      <w:pPr>
        <w:spacing w:line="360" w:lineRule="auto"/>
        <w:jc w:val="both"/>
        <w:rPr>
          <w:rFonts w:ascii="Palatino Linotype" w:eastAsia="Palatino Linotype" w:hAnsi="Palatino Linotype" w:cs="Palatino Linotype"/>
        </w:rPr>
      </w:pPr>
    </w:p>
    <w:p w14:paraId="24A76CA3" w14:textId="77777777" w:rsidR="00AF75C2" w:rsidRDefault="005F5589">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 xml:space="preserve">II. Requerimiento de aclaración. </w:t>
      </w:r>
    </w:p>
    <w:p w14:paraId="45FF6010" w14:textId="11CEE7B0" w:rsidR="00AF75C2" w:rsidRDefault="005F5589">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fecha seis de junio de dos mil veintidós, </w:t>
      </w:r>
      <w:r>
        <w:rPr>
          <w:rFonts w:ascii="Palatino Linotype" w:eastAsia="Palatino Linotype" w:hAnsi="Palatino Linotype" w:cs="Palatino Linotype"/>
          <w:b/>
        </w:rPr>
        <w:t xml:space="preserve">EL SUJETO OBLIGADO </w:t>
      </w:r>
      <w:r w:rsidR="00793137">
        <w:rPr>
          <w:rFonts w:ascii="Palatino Linotype" w:eastAsia="Palatino Linotype" w:hAnsi="Palatino Linotype" w:cs="Palatino Linotype"/>
        </w:rPr>
        <w:t>realizó</w:t>
      </w:r>
      <w:r>
        <w:rPr>
          <w:rFonts w:ascii="Palatino Linotype" w:eastAsia="Palatino Linotype" w:hAnsi="Palatino Linotype" w:cs="Palatino Linotype"/>
        </w:rPr>
        <w:t xml:space="preserve"> un </w:t>
      </w:r>
      <w:r w:rsidR="00793137">
        <w:rPr>
          <w:rFonts w:ascii="Palatino Linotype" w:eastAsia="Palatino Linotype" w:hAnsi="Palatino Linotype" w:cs="Palatino Linotype"/>
        </w:rPr>
        <w:t>requerimiento</w:t>
      </w:r>
      <w:r>
        <w:rPr>
          <w:rFonts w:ascii="Palatino Linotype" w:eastAsia="Palatino Linotype" w:hAnsi="Palatino Linotype" w:cs="Palatino Linotype"/>
        </w:rPr>
        <w:t xml:space="preserve"> de aclaración complementación o corrección de datos de las solicitudes de acceso a la </w:t>
      </w:r>
      <w:r w:rsidR="00793137">
        <w:rPr>
          <w:rFonts w:ascii="Palatino Linotype" w:eastAsia="Palatino Linotype" w:hAnsi="Palatino Linotype" w:cs="Palatino Linotype"/>
        </w:rPr>
        <w:t>información</w:t>
      </w:r>
      <w:r>
        <w:rPr>
          <w:rFonts w:ascii="Palatino Linotype" w:eastAsia="Palatino Linotype" w:hAnsi="Palatino Linotype" w:cs="Palatino Linotype"/>
        </w:rPr>
        <w:t xml:space="preserve"> pública en los términos siguientes: </w:t>
      </w:r>
    </w:p>
    <w:p w14:paraId="71151E26" w14:textId="77777777" w:rsidR="00AF75C2" w:rsidRDefault="00AF75C2">
      <w:pPr>
        <w:pBdr>
          <w:top w:val="nil"/>
          <w:left w:val="nil"/>
          <w:bottom w:val="nil"/>
          <w:right w:val="nil"/>
          <w:between w:val="nil"/>
        </w:pBdr>
        <w:spacing w:line="360" w:lineRule="auto"/>
        <w:jc w:val="both"/>
        <w:rPr>
          <w:rFonts w:ascii="Palatino Linotype" w:eastAsia="Palatino Linotype" w:hAnsi="Palatino Linotype" w:cs="Palatino Linotype"/>
        </w:rPr>
      </w:pPr>
    </w:p>
    <w:p w14:paraId="52329DED" w14:textId="77777777" w:rsidR="00AF75C2" w:rsidRDefault="005F5589">
      <w:pPr>
        <w:pBdr>
          <w:top w:val="nil"/>
          <w:left w:val="nil"/>
          <w:bottom w:val="nil"/>
          <w:right w:val="nil"/>
          <w:between w:val="nil"/>
        </w:pBd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“Con fundamento en el </w:t>
      </w:r>
      <w:proofErr w:type="spellStart"/>
      <w:r>
        <w:rPr>
          <w:rFonts w:ascii="Palatino Linotype" w:eastAsia="Palatino Linotype" w:hAnsi="Palatino Linotype" w:cs="Palatino Linotype"/>
          <w:i/>
          <w:sz w:val="22"/>
          <w:szCs w:val="22"/>
        </w:rPr>
        <w:t>articulo</w:t>
      </w:r>
      <w:proofErr w:type="spellEnd"/>
      <w:r>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7AE16C54" w14:textId="77777777" w:rsidR="00AF75C2" w:rsidRDefault="00AF75C2">
      <w:pPr>
        <w:pBdr>
          <w:top w:val="nil"/>
          <w:left w:val="nil"/>
          <w:bottom w:val="nil"/>
          <w:right w:val="nil"/>
          <w:between w:val="nil"/>
        </w:pBdr>
        <w:ind w:left="850" w:right="899"/>
        <w:jc w:val="both"/>
        <w:rPr>
          <w:rFonts w:ascii="Palatino Linotype" w:eastAsia="Palatino Linotype" w:hAnsi="Palatino Linotype" w:cs="Palatino Linotype"/>
          <w:i/>
          <w:sz w:val="22"/>
          <w:szCs w:val="22"/>
        </w:rPr>
      </w:pPr>
    </w:p>
    <w:p w14:paraId="3505CD8D" w14:textId="77777777" w:rsidR="00AF75C2" w:rsidRDefault="005F5589">
      <w:pPr>
        <w:pBdr>
          <w:top w:val="nil"/>
          <w:left w:val="nil"/>
          <w:bottom w:val="nil"/>
          <w:right w:val="nil"/>
          <w:between w:val="nil"/>
        </w:pBd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SOLICITUD NO ES CLARA, SE SOLICITA SE REALICE ACLARACIÓN TOTAL DE LA INFORMACIÓN A OBTENER</w:t>
      </w:r>
    </w:p>
    <w:p w14:paraId="3AAB5797" w14:textId="77777777" w:rsidR="00AF75C2" w:rsidRDefault="005F5589">
      <w:pPr>
        <w:pBdr>
          <w:top w:val="nil"/>
          <w:left w:val="nil"/>
          <w:bottom w:val="nil"/>
          <w:right w:val="nil"/>
          <w:between w:val="nil"/>
        </w:pBd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A4C0CA0" w14:textId="77777777" w:rsidR="00AF75C2" w:rsidRDefault="005F5589">
      <w:pPr>
        <w:pBdr>
          <w:top w:val="nil"/>
          <w:left w:val="nil"/>
          <w:bottom w:val="nil"/>
          <w:right w:val="nil"/>
          <w:between w:val="nil"/>
        </w:pBd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328D4EFC" w14:textId="77777777" w:rsidR="00AF75C2" w:rsidRDefault="005F5589">
      <w:pPr>
        <w:pBdr>
          <w:top w:val="nil"/>
          <w:left w:val="nil"/>
          <w:bottom w:val="nil"/>
          <w:right w:val="nil"/>
          <w:between w:val="nil"/>
        </w:pBd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Licenciado FERNANDO OSCAR ZAPATA </w:t>
      </w:r>
      <w:proofErr w:type="gramStart"/>
      <w:r>
        <w:rPr>
          <w:rFonts w:ascii="Palatino Linotype" w:eastAsia="Palatino Linotype" w:hAnsi="Palatino Linotype" w:cs="Palatino Linotype"/>
          <w:i/>
          <w:sz w:val="22"/>
          <w:szCs w:val="22"/>
        </w:rPr>
        <w:t>NAVARRETE”(</w:t>
      </w:r>
      <w:proofErr w:type="gramEnd"/>
      <w:r>
        <w:rPr>
          <w:rFonts w:ascii="Palatino Linotype" w:eastAsia="Palatino Linotype" w:hAnsi="Palatino Linotype" w:cs="Palatino Linotype"/>
          <w:i/>
          <w:sz w:val="22"/>
          <w:szCs w:val="22"/>
        </w:rPr>
        <w:t>Sic)</w:t>
      </w:r>
    </w:p>
    <w:p w14:paraId="721BF2DC" w14:textId="77777777" w:rsidR="00AF75C2" w:rsidRDefault="00AF75C2">
      <w:pPr>
        <w:pBdr>
          <w:top w:val="nil"/>
          <w:left w:val="nil"/>
          <w:bottom w:val="nil"/>
          <w:right w:val="nil"/>
          <w:between w:val="nil"/>
        </w:pBdr>
        <w:ind w:left="850" w:right="899"/>
        <w:jc w:val="both"/>
        <w:rPr>
          <w:rFonts w:ascii="Palatino Linotype" w:eastAsia="Palatino Linotype" w:hAnsi="Palatino Linotype" w:cs="Palatino Linotype"/>
          <w:i/>
          <w:sz w:val="22"/>
          <w:szCs w:val="22"/>
        </w:rPr>
      </w:pPr>
    </w:p>
    <w:p w14:paraId="3540CF8B" w14:textId="77777777" w:rsidR="00AF75C2" w:rsidRDefault="00AF75C2">
      <w:pPr>
        <w:pBdr>
          <w:top w:val="nil"/>
          <w:left w:val="nil"/>
          <w:bottom w:val="nil"/>
          <w:right w:val="nil"/>
          <w:between w:val="nil"/>
        </w:pBdr>
        <w:spacing w:line="360" w:lineRule="auto"/>
        <w:jc w:val="both"/>
        <w:rPr>
          <w:rFonts w:ascii="Palatino Linotype" w:eastAsia="Palatino Linotype" w:hAnsi="Palatino Linotype" w:cs="Palatino Linotype"/>
        </w:rPr>
      </w:pPr>
    </w:p>
    <w:p w14:paraId="1266D773" w14:textId="4E3B9E18" w:rsidR="00AF75C2" w:rsidRDefault="005F5589">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Posteriormente en fecha siete de junio de dos mil veintidós, el </w:t>
      </w:r>
      <w:r w:rsidR="00793137">
        <w:rPr>
          <w:rFonts w:ascii="Palatino Linotype" w:eastAsia="Palatino Linotype" w:hAnsi="Palatino Linotype" w:cs="Palatino Linotype"/>
        </w:rPr>
        <w:t>particular</w:t>
      </w:r>
      <w:r>
        <w:rPr>
          <w:rFonts w:ascii="Palatino Linotype" w:eastAsia="Palatino Linotype" w:hAnsi="Palatino Linotype" w:cs="Palatino Linotype"/>
        </w:rPr>
        <w:t xml:space="preserve"> dio respuesta a la solicitud de aclaración realizada por </w:t>
      </w:r>
      <w:r>
        <w:rPr>
          <w:rFonts w:ascii="Palatino Linotype" w:eastAsia="Palatino Linotype" w:hAnsi="Palatino Linotype" w:cs="Palatino Linotype"/>
          <w:b/>
        </w:rPr>
        <w:t xml:space="preserve">EL SUEJTO OBLIGADO </w:t>
      </w:r>
      <w:r>
        <w:rPr>
          <w:rFonts w:ascii="Palatino Linotype" w:eastAsia="Palatino Linotype" w:hAnsi="Palatino Linotype" w:cs="Palatino Linotype"/>
        </w:rPr>
        <w:t>de la forma siguiente:</w:t>
      </w:r>
    </w:p>
    <w:p w14:paraId="0E6402FD" w14:textId="77777777" w:rsidR="00AF75C2" w:rsidRDefault="00AF75C2">
      <w:pPr>
        <w:pBdr>
          <w:top w:val="nil"/>
          <w:left w:val="nil"/>
          <w:bottom w:val="nil"/>
          <w:right w:val="nil"/>
          <w:between w:val="nil"/>
        </w:pBdr>
        <w:ind w:left="850" w:right="899"/>
        <w:jc w:val="both"/>
        <w:rPr>
          <w:rFonts w:ascii="Palatino Linotype" w:eastAsia="Palatino Linotype" w:hAnsi="Palatino Linotype" w:cs="Palatino Linotype"/>
          <w:i/>
          <w:sz w:val="22"/>
          <w:szCs w:val="22"/>
        </w:rPr>
      </w:pPr>
    </w:p>
    <w:p w14:paraId="2DD35DD5" w14:textId="77777777" w:rsidR="00AF75C2" w:rsidRDefault="00AF75C2">
      <w:pPr>
        <w:spacing w:line="360" w:lineRule="auto"/>
        <w:jc w:val="both"/>
        <w:rPr>
          <w:rFonts w:ascii="Palatino Linotype" w:eastAsia="Palatino Linotype" w:hAnsi="Palatino Linotype" w:cs="Palatino Linotype"/>
        </w:rPr>
      </w:pPr>
    </w:p>
    <w:tbl>
      <w:tblPr>
        <w:tblStyle w:val="affffffffff5"/>
        <w:tblW w:w="8970" w:type="dxa"/>
        <w:tblInd w:w="265" w:type="dxa"/>
        <w:tblBorders>
          <w:top w:val="nil"/>
          <w:left w:val="nil"/>
          <w:bottom w:val="nil"/>
          <w:right w:val="nil"/>
          <w:insideH w:val="nil"/>
          <w:insideV w:val="nil"/>
        </w:tblBorders>
        <w:tblLayout w:type="fixed"/>
        <w:tblLook w:val="0600" w:firstRow="0" w:lastRow="0" w:firstColumn="0" w:lastColumn="0" w:noHBand="1" w:noVBand="1"/>
      </w:tblPr>
      <w:tblGrid>
        <w:gridCol w:w="3585"/>
        <w:gridCol w:w="5385"/>
      </w:tblGrid>
      <w:tr w:rsidR="00AF75C2" w14:paraId="1DCF39F9" w14:textId="77777777">
        <w:trPr>
          <w:trHeight w:val="465"/>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C37784" w14:textId="77777777" w:rsidR="00AF75C2" w:rsidRDefault="005F5589">
            <w:pPr>
              <w:widowControl w:val="0"/>
              <w:jc w:val="center"/>
              <w:rPr>
                <w:sz w:val="20"/>
                <w:szCs w:val="20"/>
              </w:rPr>
            </w:pPr>
            <w:r>
              <w:rPr>
                <w:rFonts w:ascii="Palatino Linotype" w:eastAsia="Palatino Linotype" w:hAnsi="Palatino Linotype" w:cs="Palatino Linotype"/>
                <w:b/>
                <w:u w:val="single"/>
              </w:rPr>
              <w:t>Número de Folio de la Solicitud</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CCD335" w14:textId="77777777" w:rsidR="00AF75C2" w:rsidRDefault="005F5589">
            <w:pPr>
              <w:widowControl w:val="0"/>
              <w:jc w:val="center"/>
              <w:rPr>
                <w:sz w:val="20"/>
                <w:szCs w:val="20"/>
              </w:rPr>
            </w:pPr>
            <w:r>
              <w:rPr>
                <w:rFonts w:ascii="Palatino Linotype" w:eastAsia="Palatino Linotype" w:hAnsi="Palatino Linotype" w:cs="Palatino Linotype"/>
                <w:b/>
                <w:u w:val="single"/>
              </w:rPr>
              <w:t xml:space="preserve">Aclaración </w:t>
            </w:r>
          </w:p>
        </w:tc>
      </w:tr>
      <w:tr w:rsidR="00AF75C2" w14:paraId="7FDE8E31"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EFD542" w14:textId="77777777" w:rsidR="00AF75C2" w:rsidRDefault="005F558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05835/DIFMETEPEC/IP/2022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D5099C" w14:textId="77777777" w:rsidR="00AF75C2" w:rsidRDefault="005F5589">
            <w:pPr>
              <w:widowControl w:val="0"/>
              <w:spacing w:line="276" w:lineRule="auto"/>
              <w:rPr>
                <w:rFonts w:ascii="Palatino Linotype" w:eastAsia="Palatino Linotype" w:hAnsi="Palatino Linotype" w:cs="Palatino Linotype"/>
                <w:i/>
              </w:rPr>
            </w:pPr>
            <w:r>
              <w:rPr>
                <w:rFonts w:ascii="Palatino Linotype" w:eastAsia="Palatino Linotype" w:hAnsi="Palatino Linotype" w:cs="Palatino Linotype"/>
                <w:i/>
              </w:rPr>
              <w:t>“De solicitar entregar la. Información es muy clara la solicitud” (Sic)</w:t>
            </w:r>
          </w:p>
        </w:tc>
      </w:tr>
      <w:tr w:rsidR="00AF75C2" w14:paraId="6C9038A4"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01FCEB" w14:textId="77777777" w:rsidR="00AF75C2" w:rsidRDefault="005F558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05836/DIFMETEPEC/IP/2022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507474" w14:textId="77777777" w:rsidR="00AF75C2" w:rsidRDefault="005F5589">
            <w:pPr>
              <w:widowControl w:val="0"/>
              <w:spacing w:line="276" w:lineRule="auto"/>
              <w:rPr>
                <w:rFonts w:ascii="Palatino Linotype" w:eastAsia="Palatino Linotype" w:hAnsi="Palatino Linotype" w:cs="Palatino Linotype"/>
                <w:i/>
              </w:rPr>
            </w:pPr>
            <w:r>
              <w:rPr>
                <w:rFonts w:ascii="Palatino Linotype" w:eastAsia="Palatino Linotype" w:hAnsi="Palatino Linotype" w:cs="Palatino Linotype"/>
                <w:i/>
              </w:rPr>
              <w:t>“Se ratifica la solicitud ya qué es clara y precisa” (Sic)</w:t>
            </w:r>
          </w:p>
        </w:tc>
      </w:tr>
      <w:tr w:rsidR="00AF75C2" w14:paraId="5C5E98FF"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D9D5C0" w14:textId="77777777" w:rsidR="00AF75C2" w:rsidRDefault="005F558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05837/DIFMETEPEC/IP/2022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EA0F6E" w14:textId="77777777" w:rsidR="00AF75C2" w:rsidRDefault="005F5589">
            <w:pPr>
              <w:widowControl w:val="0"/>
              <w:spacing w:line="276" w:lineRule="auto"/>
              <w:rPr>
                <w:rFonts w:ascii="Palatino Linotype" w:eastAsia="Palatino Linotype" w:hAnsi="Palatino Linotype" w:cs="Palatino Linotype"/>
                <w:i/>
              </w:rPr>
            </w:pPr>
            <w:r>
              <w:rPr>
                <w:rFonts w:ascii="Palatino Linotype" w:eastAsia="Palatino Linotype" w:hAnsi="Palatino Linotype" w:cs="Palatino Linotype"/>
                <w:i/>
              </w:rPr>
              <w:t>“La información es muy clara y precisa” (SIC)</w:t>
            </w:r>
          </w:p>
        </w:tc>
      </w:tr>
    </w:tbl>
    <w:p w14:paraId="342044A8" w14:textId="77777777" w:rsidR="00AF75C2" w:rsidRDefault="00AF75C2">
      <w:pPr>
        <w:spacing w:line="360" w:lineRule="auto"/>
        <w:jc w:val="both"/>
        <w:rPr>
          <w:rFonts w:ascii="Palatino Linotype" w:eastAsia="Palatino Linotype" w:hAnsi="Palatino Linotype" w:cs="Palatino Linotype"/>
          <w:b/>
          <w:sz w:val="28"/>
          <w:szCs w:val="28"/>
        </w:rPr>
      </w:pPr>
    </w:p>
    <w:p w14:paraId="54F6A896" w14:textId="77777777" w:rsidR="00AF75C2" w:rsidRDefault="005F5589">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lastRenderedPageBreak/>
        <w:t>III. Turno de requerimiento del Sujeto Obligado</w:t>
      </w:r>
    </w:p>
    <w:p w14:paraId="15AE6E3E" w14:textId="360EFA02"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las constancias que obran en los expedientes electrónicos del SAIMEX se advierte en fecha veintiocho de junio de dos mil veintidós, </w:t>
      </w:r>
      <w:r w:rsidR="00793137">
        <w:rPr>
          <w:rFonts w:ascii="Palatino Linotype" w:eastAsia="Palatino Linotype" w:hAnsi="Palatino Linotype" w:cs="Palatino Linotype"/>
        </w:rPr>
        <w:t>el turno</w:t>
      </w:r>
      <w:r>
        <w:rPr>
          <w:rFonts w:ascii="Palatino Linotype" w:eastAsia="Palatino Linotype" w:hAnsi="Palatino Linotype" w:cs="Palatino Linotype"/>
        </w:rPr>
        <w:t xml:space="preserve"> de requerimiento realizado por el Titular de la Unidad de Transparencia a los servidores públicos habilitados que estimara competentes, en términos de lo establecido por el artículo 162 de la Ley de Transparencia y Acceso a la Información Pública del Estado de México y Municipios. </w:t>
      </w:r>
    </w:p>
    <w:p w14:paraId="5FC7FBA4" w14:textId="77777777" w:rsidR="00AF75C2" w:rsidRDefault="00AF75C2">
      <w:pPr>
        <w:spacing w:line="360" w:lineRule="auto"/>
        <w:jc w:val="both"/>
        <w:rPr>
          <w:rFonts w:ascii="Palatino Linotype" w:eastAsia="Palatino Linotype" w:hAnsi="Palatino Linotype" w:cs="Palatino Linotype"/>
          <w:b/>
          <w:sz w:val="28"/>
          <w:szCs w:val="28"/>
        </w:rPr>
      </w:pPr>
    </w:p>
    <w:p w14:paraId="160DA87C" w14:textId="77777777" w:rsidR="00AF75C2" w:rsidRDefault="005F5589">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 xml:space="preserve">III. Prórroga. </w:t>
      </w:r>
    </w:p>
    <w:p w14:paraId="250551B9" w14:textId="77777777" w:rsidR="00AF75C2" w:rsidRDefault="005F5589">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veintiocho de junio de dos mil veintidós,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notificó al particular, la prórroga de siete días hábiles para dar respuesta a la solicitud de acceso a la información pública. </w:t>
      </w:r>
    </w:p>
    <w:p w14:paraId="581CF448" w14:textId="77777777" w:rsidR="00AF75C2" w:rsidRDefault="00AF75C2">
      <w:pPr>
        <w:spacing w:line="360" w:lineRule="auto"/>
        <w:jc w:val="both"/>
        <w:rPr>
          <w:rFonts w:ascii="Palatino Linotype" w:eastAsia="Palatino Linotype" w:hAnsi="Palatino Linotype" w:cs="Palatino Linotype"/>
          <w:b/>
          <w:sz w:val="28"/>
          <w:szCs w:val="28"/>
        </w:rPr>
      </w:pPr>
    </w:p>
    <w:p w14:paraId="69D45255" w14:textId="77777777" w:rsidR="00AF75C2" w:rsidRDefault="005F5589">
      <w:pPr>
        <w:widowControl w:val="0"/>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IV. Respuesta del Sujeto Obligado</w:t>
      </w:r>
    </w:p>
    <w:p w14:paraId="11678177" w14:textId="77777777" w:rsidR="00AF75C2" w:rsidRDefault="005F5589">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las constancias que obran en el sistema electrónico del SAIMEX se advierte que en fecha siete de julio de dos mil veintidós,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dio respuesta todas las solicitudes de acceso a la información pública en el tenor siguiente: </w:t>
      </w:r>
    </w:p>
    <w:p w14:paraId="4ADE6C00" w14:textId="77777777" w:rsidR="00AF75C2" w:rsidRDefault="00AF75C2">
      <w:pPr>
        <w:widowControl w:val="0"/>
        <w:spacing w:line="360" w:lineRule="auto"/>
        <w:jc w:val="both"/>
        <w:rPr>
          <w:rFonts w:ascii="Palatino Linotype" w:eastAsia="Palatino Linotype" w:hAnsi="Palatino Linotype" w:cs="Palatino Linotype"/>
        </w:rPr>
      </w:pPr>
    </w:p>
    <w:p w14:paraId="51E21790" w14:textId="77777777" w:rsidR="00AF75C2" w:rsidRDefault="005F5589">
      <w:pPr>
        <w:widowControl w:val="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9AEC7CD" w14:textId="77777777" w:rsidR="00AF75C2" w:rsidRDefault="005F5589">
      <w:pPr>
        <w:widowControl w:val="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Sistema Municipal para el Desarrollo Integral de la Familia de Metepec no realizo ningún contrato de prestación de servicios por el concepto que se solicita, derivado </w:t>
      </w:r>
      <w:r>
        <w:rPr>
          <w:rFonts w:ascii="Palatino Linotype" w:eastAsia="Palatino Linotype" w:hAnsi="Palatino Linotype" w:cs="Palatino Linotype"/>
          <w:i/>
          <w:sz w:val="22"/>
          <w:szCs w:val="22"/>
        </w:rPr>
        <w:lastRenderedPageBreak/>
        <w:t>de que no existe partida presupuestal y por ende no se encuentra dentro del presupuesto de egresos autorizado para el ejercicio fiscal 2022 de este Sistema.” (Sic)</w:t>
      </w:r>
    </w:p>
    <w:p w14:paraId="7133F12A" w14:textId="77777777" w:rsidR="00AF75C2" w:rsidRDefault="00AF75C2">
      <w:pPr>
        <w:widowControl w:val="0"/>
        <w:spacing w:line="360" w:lineRule="auto"/>
        <w:jc w:val="both"/>
        <w:rPr>
          <w:rFonts w:ascii="Palatino Linotype" w:eastAsia="Palatino Linotype" w:hAnsi="Palatino Linotype" w:cs="Palatino Linotype"/>
        </w:rPr>
      </w:pPr>
    </w:p>
    <w:p w14:paraId="2408F3D8" w14:textId="77777777" w:rsidR="00AF75C2" w:rsidRDefault="005F5589">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IV. Del Recurso de Revisión</w:t>
      </w:r>
      <w:r>
        <w:rPr>
          <w:rFonts w:ascii="Palatino Linotype" w:eastAsia="Palatino Linotype" w:hAnsi="Palatino Linotype" w:cs="Palatino Linotype"/>
          <w:b/>
        </w:rPr>
        <w:t>.</w:t>
      </w:r>
    </w:p>
    <w:p w14:paraId="067F678F" w14:textId="470FB6C5" w:rsidR="00AF75C2" w:rsidRDefault="005F5589">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Inconforme por las respuestas del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 xml:space="preserve">trece de </w:t>
      </w:r>
      <w:r w:rsidR="00F116F1">
        <w:rPr>
          <w:rFonts w:ascii="Palatino Linotype" w:eastAsia="Palatino Linotype" w:hAnsi="Palatino Linotype" w:cs="Palatino Linotype"/>
          <w:b/>
        </w:rPr>
        <w:t>julio</w:t>
      </w:r>
      <w:r w:rsidR="00F116F1">
        <w:rPr>
          <w:rFonts w:ascii="Palatino Linotype" w:eastAsia="Palatino Linotype" w:hAnsi="Palatino Linotype" w:cs="Palatino Linotype"/>
        </w:rPr>
        <w:t xml:space="preserve"> </w:t>
      </w:r>
      <w:r w:rsidR="00F116F1">
        <w:rPr>
          <w:rFonts w:ascii="Palatino Linotype" w:eastAsia="Palatino Linotype" w:hAnsi="Palatino Linotype" w:cs="Palatino Linotype"/>
          <w:b/>
        </w:rPr>
        <w:t>dos</w:t>
      </w:r>
      <w:r>
        <w:rPr>
          <w:rFonts w:ascii="Palatino Linotype" w:eastAsia="Palatino Linotype" w:hAnsi="Palatino Linotype" w:cs="Palatino Linotype"/>
          <w:b/>
        </w:rPr>
        <w:t xml:space="preserve">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interpuso los Recursos de Revisión, los cuales fueron registrados en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y se les asignaron los números de expediente </w:t>
      </w:r>
      <w:r>
        <w:rPr>
          <w:rFonts w:ascii="Palatino Linotype" w:eastAsia="Palatino Linotype" w:hAnsi="Palatino Linotype" w:cs="Palatino Linotype"/>
          <w:b/>
        </w:rPr>
        <w:t xml:space="preserve">12707/INFOEM/IP/RR/2022, 12708/INFOEM/IP/RR/2022 y 12709/INFOEM/IP/RR/2022 </w:t>
      </w:r>
      <w:r>
        <w:rPr>
          <w:rFonts w:ascii="Palatino Linotype" w:eastAsia="Palatino Linotype" w:hAnsi="Palatino Linotype" w:cs="Palatino Linotype"/>
        </w:rPr>
        <w:t xml:space="preserve">donde los motivos de agravio fueron los siguientes: </w:t>
      </w:r>
    </w:p>
    <w:p w14:paraId="60B4945E" w14:textId="77777777" w:rsidR="00AF75C2" w:rsidRDefault="00AF75C2">
      <w:pPr>
        <w:spacing w:line="360" w:lineRule="auto"/>
        <w:jc w:val="both"/>
        <w:rPr>
          <w:rFonts w:ascii="Palatino Linotype" w:eastAsia="Palatino Linotype" w:hAnsi="Palatino Linotype" w:cs="Palatino Linotype"/>
        </w:rPr>
      </w:pPr>
    </w:p>
    <w:tbl>
      <w:tblPr>
        <w:tblStyle w:val="affffffffff6"/>
        <w:tblW w:w="8895" w:type="dxa"/>
        <w:tblInd w:w="265" w:type="dxa"/>
        <w:tblBorders>
          <w:top w:val="nil"/>
          <w:left w:val="nil"/>
          <w:bottom w:val="nil"/>
          <w:right w:val="nil"/>
          <w:insideH w:val="nil"/>
          <w:insideV w:val="nil"/>
        </w:tblBorders>
        <w:tblLayout w:type="fixed"/>
        <w:tblLook w:val="0600" w:firstRow="0" w:lastRow="0" w:firstColumn="0" w:lastColumn="0" w:noHBand="1" w:noVBand="1"/>
      </w:tblPr>
      <w:tblGrid>
        <w:gridCol w:w="2910"/>
        <w:gridCol w:w="5985"/>
      </w:tblGrid>
      <w:tr w:rsidR="00AF75C2" w14:paraId="7ED95738" w14:textId="77777777">
        <w:trPr>
          <w:trHeight w:val="608"/>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ACB591" w14:textId="77777777" w:rsidR="00AF75C2" w:rsidRDefault="005F5589">
            <w:pPr>
              <w:widowControl w:val="0"/>
              <w:jc w:val="center"/>
              <w:rPr>
                <w:sz w:val="20"/>
                <w:szCs w:val="20"/>
              </w:rPr>
            </w:pPr>
            <w:r>
              <w:rPr>
                <w:rFonts w:ascii="Palatino Linotype" w:eastAsia="Palatino Linotype" w:hAnsi="Palatino Linotype" w:cs="Palatino Linotype"/>
                <w:b/>
                <w:u w:val="single"/>
              </w:rPr>
              <w:t>Número de Recurso de Revisión</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BE1FDE" w14:textId="77777777" w:rsidR="00AF75C2" w:rsidRDefault="005F5589">
            <w:pPr>
              <w:widowControl w:val="0"/>
              <w:jc w:val="center"/>
              <w:rPr>
                <w:sz w:val="20"/>
                <w:szCs w:val="20"/>
              </w:rPr>
            </w:pPr>
            <w:r>
              <w:rPr>
                <w:rFonts w:ascii="Palatino Linotype" w:eastAsia="Palatino Linotype" w:hAnsi="Palatino Linotype" w:cs="Palatino Linotype"/>
                <w:b/>
                <w:u w:val="single"/>
              </w:rPr>
              <w:t>Acto Impugnado</w:t>
            </w:r>
          </w:p>
        </w:tc>
      </w:tr>
      <w:tr w:rsidR="00AF75C2" w14:paraId="16C8BF36" w14:textId="77777777">
        <w:trPr>
          <w:trHeight w:val="750"/>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F3FBCC" w14:textId="77777777" w:rsidR="00AF75C2" w:rsidRDefault="005F558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12707/INFOEM/IP/RR/2022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0FB613" w14:textId="77777777" w:rsidR="00AF75C2" w:rsidRDefault="005F5589">
            <w:pPr>
              <w:widowControl w:val="0"/>
              <w:spacing w:line="276" w:lineRule="auto"/>
              <w:rPr>
                <w:rFonts w:ascii="Palatino Linotype" w:eastAsia="Palatino Linotype" w:hAnsi="Palatino Linotype" w:cs="Palatino Linotype"/>
                <w:i/>
              </w:rPr>
            </w:pPr>
            <w:r>
              <w:rPr>
                <w:rFonts w:ascii="Palatino Linotype" w:eastAsia="Palatino Linotype" w:hAnsi="Palatino Linotype" w:cs="Palatino Linotype"/>
                <w:i/>
              </w:rPr>
              <w:t xml:space="preserve">“Cuarta el derecho de acceso a la información siendo opacos, por lo que se solicita al </w:t>
            </w:r>
            <w:proofErr w:type="spellStart"/>
            <w:r>
              <w:rPr>
                <w:rFonts w:ascii="Palatino Linotype" w:eastAsia="Palatino Linotype" w:hAnsi="Palatino Linotype" w:cs="Palatino Linotype"/>
                <w:i/>
              </w:rPr>
              <w:t>Organo</w:t>
            </w:r>
            <w:proofErr w:type="spellEnd"/>
            <w:r>
              <w:rPr>
                <w:rFonts w:ascii="Palatino Linotype" w:eastAsia="Palatino Linotype" w:hAnsi="Palatino Linotype" w:cs="Palatino Linotype"/>
                <w:i/>
              </w:rPr>
              <w:t xml:space="preserve"> Garante que garantice mi derecho constitucional” (Sic)</w:t>
            </w:r>
          </w:p>
        </w:tc>
      </w:tr>
      <w:tr w:rsidR="00AF75C2" w14:paraId="1C066FDE" w14:textId="77777777">
        <w:trPr>
          <w:trHeight w:val="750"/>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5C38F5" w14:textId="77777777" w:rsidR="00AF75C2" w:rsidRDefault="005F558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12708/INFOEM/IP/RR/2022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01EDA4" w14:textId="77777777" w:rsidR="00AF75C2" w:rsidRDefault="005F5589">
            <w:pPr>
              <w:widowControl w:val="0"/>
              <w:spacing w:line="276" w:lineRule="auto"/>
              <w:rPr>
                <w:rFonts w:ascii="Palatino Linotype" w:eastAsia="Palatino Linotype" w:hAnsi="Palatino Linotype" w:cs="Palatino Linotype"/>
                <w:i/>
              </w:rPr>
            </w:pPr>
            <w:r>
              <w:rPr>
                <w:rFonts w:ascii="Palatino Linotype" w:eastAsia="Palatino Linotype" w:hAnsi="Palatino Linotype" w:cs="Palatino Linotype"/>
                <w:i/>
              </w:rPr>
              <w:t xml:space="preserve">“no entrega la información solicitada, </w:t>
            </w:r>
            <w:proofErr w:type="spellStart"/>
            <w:r>
              <w:rPr>
                <w:rFonts w:ascii="Palatino Linotype" w:eastAsia="Palatino Linotype" w:hAnsi="Palatino Linotype" w:cs="Palatino Linotype"/>
                <w:i/>
              </w:rPr>
              <w:t>negandola</w:t>
            </w:r>
            <w:proofErr w:type="spellEnd"/>
            <w:r>
              <w:rPr>
                <w:rFonts w:ascii="Palatino Linotype" w:eastAsia="Palatino Linotype" w:hAnsi="Palatino Linotype" w:cs="Palatino Linotype"/>
                <w:i/>
              </w:rPr>
              <w:t xml:space="preserve"> sin motivo ni fundamento” (Sic)</w:t>
            </w:r>
          </w:p>
        </w:tc>
      </w:tr>
      <w:tr w:rsidR="00AF75C2" w14:paraId="68C826A8" w14:textId="77777777">
        <w:trPr>
          <w:trHeight w:val="73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FE4F78" w14:textId="77777777" w:rsidR="00AF75C2" w:rsidRDefault="005F5589">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12709/INFOEM/IP/RR/2022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3B94CB" w14:textId="77777777" w:rsidR="00AF75C2" w:rsidRDefault="005F5589">
            <w:pPr>
              <w:widowControl w:val="0"/>
              <w:spacing w:line="276" w:lineRule="auto"/>
              <w:rPr>
                <w:rFonts w:ascii="Palatino Linotype" w:eastAsia="Palatino Linotype" w:hAnsi="Palatino Linotype" w:cs="Palatino Linotype"/>
                <w:i/>
              </w:rPr>
            </w:pPr>
            <w:r>
              <w:rPr>
                <w:rFonts w:ascii="Palatino Linotype" w:eastAsia="Palatino Linotype" w:hAnsi="Palatino Linotype" w:cs="Palatino Linotype"/>
                <w:i/>
              </w:rPr>
              <w:t xml:space="preserve">“Cuarta el derecho de acceso a la información siendo opacos, por lo que se solicita al </w:t>
            </w:r>
            <w:proofErr w:type="spellStart"/>
            <w:r>
              <w:rPr>
                <w:rFonts w:ascii="Palatino Linotype" w:eastAsia="Palatino Linotype" w:hAnsi="Palatino Linotype" w:cs="Palatino Linotype"/>
                <w:i/>
              </w:rPr>
              <w:t>Organo</w:t>
            </w:r>
            <w:proofErr w:type="spellEnd"/>
            <w:r>
              <w:rPr>
                <w:rFonts w:ascii="Palatino Linotype" w:eastAsia="Palatino Linotype" w:hAnsi="Palatino Linotype" w:cs="Palatino Linotype"/>
                <w:i/>
              </w:rPr>
              <w:t xml:space="preserve"> Garante que garantice mi derecho constitucional” (Sic)</w:t>
            </w:r>
          </w:p>
        </w:tc>
      </w:tr>
    </w:tbl>
    <w:p w14:paraId="617FDEFC" w14:textId="77777777" w:rsidR="00AF75C2" w:rsidRDefault="00AF75C2">
      <w:pPr>
        <w:widowControl w:val="0"/>
        <w:spacing w:line="360" w:lineRule="auto"/>
        <w:jc w:val="both"/>
        <w:rPr>
          <w:rFonts w:ascii="Palatino Linotype" w:eastAsia="Palatino Linotype" w:hAnsi="Palatino Linotype" w:cs="Palatino Linotype"/>
          <w:b/>
          <w:u w:val="single"/>
        </w:rPr>
      </w:pPr>
    </w:p>
    <w:p w14:paraId="019A4F3B" w14:textId="40E36CFF" w:rsidR="00AF75C2" w:rsidRDefault="00AF75C2">
      <w:pPr>
        <w:spacing w:line="360" w:lineRule="auto"/>
        <w:jc w:val="both"/>
        <w:rPr>
          <w:rFonts w:ascii="Palatino Linotype" w:eastAsia="Palatino Linotype" w:hAnsi="Palatino Linotype" w:cs="Palatino Linotype"/>
        </w:rPr>
      </w:pPr>
    </w:p>
    <w:p w14:paraId="6FD94CC6" w14:textId="7E633579" w:rsidR="00F116F1" w:rsidRDefault="00F116F1">
      <w:pPr>
        <w:spacing w:line="360" w:lineRule="auto"/>
        <w:jc w:val="both"/>
        <w:rPr>
          <w:rFonts w:ascii="Palatino Linotype" w:eastAsia="Palatino Linotype" w:hAnsi="Palatino Linotype" w:cs="Palatino Linotype"/>
        </w:rPr>
      </w:pPr>
    </w:p>
    <w:p w14:paraId="3F075260" w14:textId="77777777" w:rsidR="00F116F1" w:rsidRDefault="00F116F1">
      <w:pPr>
        <w:spacing w:line="360" w:lineRule="auto"/>
        <w:jc w:val="both"/>
        <w:rPr>
          <w:rFonts w:ascii="Palatino Linotype" w:eastAsia="Palatino Linotype" w:hAnsi="Palatino Linotype" w:cs="Palatino Linotype"/>
        </w:rPr>
      </w:pPr>
    </w:p>
    <w:tbl>
      <w:tblPr>
        <w:tblStyle w:val="affffffffff7"/>
        <w:tblW w:w="8880" w:type="dxa"/>
        <w:tblInd w:w="280" w:type="dxa"/>
        <w:tblBorders>
          <w:top w:val="nil"/>
          <w:left w:val="nil"/>
          <w:bottom w:val="nil"/>
          <w:right w:val="nil"/>
          <w:insideH w:val="nil"/>
          <w:insideV w:val="nil"/>
        </w:tblBorders>
        <w:tblLayout w:type="fixed"/>
        <w:tblLook w:val="0600" w:firstRow="0" w:lastRow="0" w:firstColumn="0" w:lastColumn="0" w:noHBand="1" w:noVBand="1"/>
      </w:tblPr>
      <w:tblGrid>
        <w:gridCol w:w="2880"/>
        <w:gridCol w:w="6000"/>
      </w:tblGrid>
      <w:tr w:rsidR="00AF75C2" w14:paraId="1A887013" w14:textId="77777777">
        <w:trPr>
          <w:trHeight w:val="465"/>
        </w:trPr>
        <w:tc>
          <w:tcPr>
            <w:tcW w:w="28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DE2A35" w14:textId="77777777" w:rsidR="00AF75C2" w:rsidRDefault="005F5589">
            <w:pPr>
              <w:widowControl w:val="0"/>
              <w:jc w:val="center"/>
              <w:rPr>
                <w:sz w:val="20"/>
                <w:szCs w:val="20"/>
              </w:rPr>
            </w:pPr>
            <w:r>
              <w:rPr>
                <w:rFonts w:ascii="Palatino Linotype" w:eastAsia="Palatino Linotype" w:hAnsi="Palatino Linotype" w:cs="Palatino Linotype"/>
                <w:b/>
                <w:u w:val="single"/>
              </w:rPr>
              <w:lastRenderedPageBreak/>
              <w:t>Número de Recurso de Revisión</w:t>
            </w:r>
          </w:p>
        </w:tc>
        <w:tc>
          <w:tcPr>
            <w:tcW w:w="60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05E755" w14:textId="77777777" w:rsidR="00AF75C2" w:rsidRDefault="005F5589">
            <w:pPr>
              <w:widowControl w:val="0"/>
              <w:jc w:val="center"/>
              <w:rPr>
                <w:sz w:val="20"/>
                <w:szCs w:val="20"/>
              </w:rPr>
            </w:pPr>
            <w:r>
              <w:rPr>
                <w:rFonts w:ascii="Palatino Linotype" w:eastAsia="Palatino Linotype" w:hAnsi="Palatino Linotype" w:cs="Palatino Linotype"/>
                <w:b/>
                <w:u w:val="single"/>
              </w:rPr>
              <w:t>Razones o motivos de Inconformidad:</w:t>
            </w:r>
          </w:p>
        </w:tc>
      </w:tr>
      <w:tr w:rsidR="00AF75C2" w14:paraId="0B008793" w14:textId="77777777">
        <w:trPr>
          <w:trHeight w:val="1005"/>
        </w:trPr>
        <w:tc>
          <w:tcPr>
            <w:tcW w:w="28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404FEE" w14:textId="77777777" w:rsidR="00AF75C2" w:rsidRDefault="005F558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12707/INFOEM/IP/RR/2022</w:t>
            </w:r>
          </w:p>
        </w:tc>
        <w:tc>
          <w:tcPr>
            <w:tcW w:w="60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476528" w14:textId="77777777" w:rsidR="00AF75C2" w:rsidRDefault="005F5589">
            <w:pPr>
              <w:widowControl w:val="0"/>
              <w:spacing w:line="276" w:lineRule="auto"/>
              <w:rPr>
                <w:rFonts w:ascii="Palatino Linotype" w:eastAsia="Palatino Linotype" w:hAnsi="Palatino Linotype" w:cs="Palatino Linotype"/>
                <w:i/>
              </w:rPr>
            </w:pPr>
            <w:r>
              <w:rPr>
                <w:rFonts w:ascii="Palatino Linotype" w:eastAsia="Palatino Linotype" w:hAnsi="Palatino Linotype" w:cs="Palatino Linotype"/>
                <w:i/>
              </w:rPr>
              <w:t>“Se violenta mi derecho de acceso a la información al no entregar lo solicitado (Sic)</w:t>
            </w:r>
          </w:p>
        </w:tc>
      </w:tr>
      <w:tr w:rsidR="00AF75C2" w14:paraId="56A79D97" w14:textId="77777777">
        <w:trPr>
          <w:trHeight w:val="1005"/>
        </w:trPr>
        <w:tc>
          <w:tcPr>
            <w:tcW w:w="28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5DD64A" w14:textId="77777777" w:rsidR="00AF75C2" w:rsidRDefault="005F558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12708/INFOEM/IP/RR/2022</w:t>
            </w:r>
          </w:p>
        </w:tc>
        <w:tc>
          <w:tcPr>
            <w:tcW w:w="60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F29E16" w14:textId="77777777" w:rsidR="00AF75C2" w:rsidRDefault="005F5589">
            <w:pPr>
              <w:widowControl w:val="0"/>
              <w:spacing w:line="276" w:lineRule="auto"/>
              <w:rPr>
                <w:rFonts w:ascii="Palatino Linotype" w:eastAsia="Palatino Linotype" w:hAnsi="Palatino Linotype" w:cs="Palatino Linotype"/>
                <w:i/>
              </w:rPr>
            </w:pPr>
            <w:r>
              <w:rPr>
                <w:rFonts w:ascii="Palatino Linotype" w:eastAsia="Palatino Linotype" w:hAnsi="Palatino Linotype" w:cs="Palatino Linotype"/>
                <w:i/>
              </w:rPr>
              <w:t xml:space="preserve">“Cuarta el derecho de acceso a la información siendo opacos, por lo que se solicita al </w:t>
            </w:r>
            <w:proofErr w:type="spellStart"/>
            <w:r>
              <w:rPr>
                <w:rFonts w:ascii="Palatino Linotype" w:eastAsia="Palatino Linotype" w:hAnsi="Palatino Linotype" w:cs="Palatino Linotype"/>
                <w:i/>
              </w:rPr>
              <w:t>Organo</w:t>
            </w:r>
            <w:proofErr w:type="spellEnd"/>
            <w:r>
              <w:rPr>
                <w:rFonts w:ascii="Palatino Linotype" w:eastAsia="Palatino Linotype" w:hAnsi="Palatino Linotype" w:cs="Palatino Linotype"/>
                <w:i/>
              </w:rPr>
              <w:t xml:space="preserve"> Garante que garantice mi derecho constitucional” (Sic)</w:t>
            </w:r>
          </w:p>
        </w:tc>
      </w:tr>
      <w:tr w:rsidR="00AF75C2" w14:paraId="36E69EF7" w14:textId="77777777">
        <w:trPr>
          <w:trHeight w:val="810"/>
        </w:trPr>
        <w:tc>
          <w:tcPr>
            <w:tcW w:w="28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557D66" w14:textId="77777777" w:rsidR="00AF75C2" w:rsidRDefault="005F5589">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12709/INFOEM/IP/RR/2022</w:t>
            </w:r>
          </w:p>
        </w:tc>
        <w:tc>
          <w:tcPr>
            <w:tcW w:w="60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B8A034" w14:textId="77777777" w:rsidR="00AF75C2" w:rsidRDefault="005F5589">
            <w:pPr>
              <w:widowControl w:val="0"/>
              <w:spacing w:line="276" w:lineRule="auto"/>
              <w:rPr>
                <w:rFonts w:ascii="Palatino Linotype" w:eastAsia="Palatino Linotype" w:hAnsi="Palatino Linotype" w:cs="Palatino Linotype"/>
                <w:i/>
              </w:rPr>
            </w:pPr>
            <w:r>
              <w:rPr>
                <w:rFonts w:ascii="Palatino Linotype" w:eastAsia="Palatino Linotype" w:hAnsi="Palatino Linotype" w:cs="Palatino Linotype"/>
                <w:i/>
              </w:rPr>
              <w:t xml:space="preserve">“Cuarta el derecho de acceso a la información siendo opacos, por lo que se solicita al </w:t>
            </w:r>
            <w:proofErr w:type="spellStart"/>
            <w:r>
              <w:rPr>
                <w:rFonts w:ascii="Palatino Linotype" w:eastAsia="Palatino Linotype" w:hAnsi="Palatino Linotype" w:cs="Palatino Linotype"/>
                <w:i/>
              </w:rPr>
              <w:t>Organo</w:t>
            </w:r>
            <w:proofErr w:type="spellEnd"/>
            <w:r>
              <w:rPr>
                <w:rFonts w:ascii="Palatino Linotype" w:eastAsia="Palatino Linotype" w:hAnsi="Palatino Linotype" w:cs="Palatino Linotype"/>
                <w:i/>
              </w:rPr>
              <w:t xml:space="preserve"> Garante que garantice mi derecho constitucional” (Sic)</w:t>
            </w:r>
          </w:p>
        </w:tc>
      </w:tr>
    </w:tbl>
    <w:p w14:paraId="486D4CC9" w14:textId="77777777" w:rsidR="00AF75C2" w:rsidRDefault="00AF75C2">
      <w:pPr>
        <w:widowControl w:val="0"/>
        <w:spacing w:line="360" w:lineRule="auto"/>
        <w:jc w:val="both"/>
        <w:rPr>
          <w:rFonts w:ascii="Palatino Linotype" w:eastAsia="Palatino Linotype" w:hAnsi="Palatino Linotype" w:cs="Palatino Linotype"/>
          <w:b/>
          <w:u w:val="single"/>
        </w:rPr>
      </w:pPr>
    </w:p>
    <w:p w14:paraId="242799CE" w14:textId="77777777" w:rsidR="00AF75C2" w:rsidRDefault="005F5589">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 xml:space="preserve">V. Del turno del Recurso de Revisión. </w:t>
      </w:r>
    </w:p>
    <w:p w14:paraId="1E444510"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trece de julio de dos mil veintidós</w:t>
      </w:r>
      <w:r>
        <w:rPr>
          <w:rFonts w:ascii="Palatino Linotype" w:eastAsia="Palatino Linotype" w:hAnsi="Palatino Linotype" w:cs="Palatino Linotype"/>
        </w:rPr>
        <w:t>, los Recursos de Revisión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turnaron a las Comisionadas Sharon Cristina Morales Martínez y Guadalupe Ramírez Peña, a efecto de decretar su admisión o desechamiento.</w:t>
      </w:r>
    </w:p>
    <w:p w14:paraId="3C1A2664" w14:textId="77777777" w:rsidR="00AF75C2" w:rsidRDefault="00AF75C2">
      <w:pPr>
        <w:tabs>
          <w:tab w:val="center" w:pos="4252"/>
          <w:tab w:val="right" w:pos="8504"/>
        </w:tabs>
        <w:spacing w:line="360" w:lineRule="auto"/>
        <w:jc w:val="both"/>
        <w:rPr>
          <w:rFonts w:ascii="Palatino Linotype" w:eastAsia="Palatino Linotype" w:hAnsi="Palatino Linotype" w:cs="Palatino Linotype"/>
          <w:b/>
        </w:rPr>
      </w:pPr>
    </w:p>
    <w:p w14:paraId="523FB147" w14:textId="77777777" w:rsidR="00AF75C2" w:rsidRDefault="005F5589">
      <w:pPr>
        <w:tabs>
          <w:tab w:val="center" w:pos="4252"/>
          <w:tab w:val="right" w:pos="8504"/>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 Admisión del Recurso de Revisión</w:t>
      </w:r>
    </w:p>
    <w:p w14:paraId="7080E0A9" w14:textId="77777777" w:rsidR="00AF75C2" w:rsidRDefault="005F5589">
      <w:p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las constancias que obran en el expediente electrónico del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xml:space="preserve">, se advierte que en fechas </w:t>
      </w:r>
      <w:r>
        <w:rPr>
          <w:rFonts w:ascii="Palatino Linotype" w:eastAsia="Palatino Linotype" w:hAnsi="Palatino Linotype" w:cs="Palatino Linotype"/>
          <w:b/>
        </w:rPr>
        <w:t>catorce de julio, uno y cuatro de agosto de dos mil veintidós</w:t>
      </w:r>
      <w:r>
        <w:rPr>
          <w:rFonts w:ascii="Palatino Linotype" w:eastAsia="Palatino Linotype" w:hAnsi="Palatino Linotype" w:cs="Palatino Linotype"/>
        </w:rPr>
        <w:t xml:space="preserve">, se acordó la </w:t>
      </w:r>
      <w:r>
        <w:rPr>
          <w:rFonts w:ascii="Palatino Linotype" w:eastAsia="Palatino Linotype" w:hAnsi="Palatino Linotype" w:cs="Palatino Linotype"/>
        </w:rPr>
        <w:lastRenderedPageBreak/>
        <w:t xml:space="preserve">admisión a trámite de los Recursos de Revisión que nos ocupan; así como la integración de los expedientes respectivos, mismos que se pusieron a disposición de las partes, para que en un plazo máximo de siete días hábiles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manifestara lo que a su derecho conviniera, a efecto de presentar pruebas y alegatos; así como, para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rindiera los Informes Justificados correspondientes; lo anterior, conforme a lo dispuesto por el artículo 185 de la Ley de Transparencia y Acceso a la Información Pública del Estado de México y Municipios.</w:t>
      </w:r>
    </w:p>
    <w:p w14:paraId="1B379481" w14:textId="77777777" w:rsidR="00AF75C2" w:rsidRDefault="00AF75C2">
      <w:pPr>
        <w:tabs>
          <w:tab w:val="center" w:pos="4252"/>
          <w:tab w:val="right" w:pos="8504"/>
        </w:tabs>
        <w:spacing w:line="360" w:lineRule="auto"/>
        <w:jc w:val="both"/>
        <w:rPr>
          <w:rFonts w:ascii="Palatino Linotype" w:eastAsia="Palatino Linotype" w:hAnsi="Palatino Linotype" w:cs="Palatino Linotype"/>
        </w:rPr>
      </w:pPr>
    </w:p>
    <w:p w14:paraId="3E48DBED" w14:textId="77777777" w:rsidR="00AF75C2" w:rsidRDefault="005F558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Informe Justificado</w:t>
      </w:r>
    </w:p>
    <w:p w14:paraId="0C29DC62" w14:textId="20092A4A" w:rsidR="00AF75C2" w:rsidRDefault="005F5589">
      <w:pPr>
        <w:widowControl w:val="0"/>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las constancias que obran en el expediente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realizó las manifestaciones que conforme a derecho le corresponden. Por su parte </w:t>
      </w:r>
      <w:r>
        <w:rPr>
          <w:rFonts w:ascii="Palatino Linotype" w:eastAsia="Palatino Linotype" w:hAnsi="Palatino Linotype" w:cs="Palatino Linotype"/>
          <w:b/>
        </w:rPr>
        <w:t xml:space="preserve">EL SUJETO </w:t>
      </w:r>
      <w:r w:rsidR="00F116F1">
        <w:rPr>
          <w:rFonts w:ascii="Palatino Linotype" w:eastAsia="Palatino Linotype" w:hAnsi="Palatino Linotype" w:cs="Palatino Linotype"/>
          <w:b/>
        </w:rPr>
        <w:t xml:space="preserve">OBLIGADO </w:t>
      </w:r>
      <w:r w:rsidR="00F116F1">
        <w:rPr>
          <w:rFonts w:ascii="Palatino Linotype" w:eastAsia="Palatino Linotype" w:hAnsi="Palatino Linotype" w:cs="Palatino Linotype"/>
        </w:rPr>
        <w:t>fue</w:t>
      </w:r>
      <w:r>
        <w:rPr>
          <w:rFonts w:ascii="Palatino Linotype" w:eastAsia="Palatino Linotype" w:hAnsi="Palatino Linotype" w:cs="Palatino Linotype"/>
        </w:rPr>
        <w:t xml:space="preserve"> omiso en rendir los Informes Justificados </w:t>
      </w:r>
      <w:r w:rsidR="00F116F1">
        <w:rPr>
          <w:rFonts w:ascii="Palatino Linotype" w:eastAsia="Palatino Linotype" w:hAnsi="Palatino Linotype" w:cs="Palatino Linotype"/>
        </w:rPr>
        <w:t>correspondientes</w:t>
      </w:r>
      <w:r>
        <w:rPr>
          <w:rFonts w:ascii="Palatino Linotype" w:eastAsia="Palatino Linotype" w:hAnsi="Palatino Linotype" w:cs="Palatino Linotype"/>
        </w:rPr>
        <w:t xml:space="preserve">. </w:t>
      </w:r>
    </w:p>
    <w:p w14:paraId="3CF84171" w14:textId="77777777" w:rsidR="00AF75C2" w:rsidRDefault="00AF75C2">
      <w:pPr>
        <w:widowControl w:val="0"/>
        <w:spacing w:line="360" w:lineRule="auto"/>
        <w:jc w:val="both"/>
        <w:rPr>
          <w:rFonts w:ascii="Palatino Linotype" w:eastAsia="Palatino Linotype" w:hAnsi="Palatino Linotype" w:cs="Palatino Linotype"/>
        </w:rPr>
      </w:pPr>
    </w:p>
    <w:p w14:paraId="1AF35B7A" w14:textId="77777777" w:rsidR="00AF75C2" w:rsidRDefault="005F558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 xml:space="preserve">c) </w:t>
      </w:r>
      <w:r>
        <w:rPr>
          <w:rFonts w:ascii="Palatino Linotype" w:eastAsia="Palatino Linotype" w:hAnsi="Palatino Linotype" w:cs="Palatino Linotype"/>
          <w:b/>
        </w:rPr>
        <w:t xml:space="preserve">Acumulación. </w:t>
      </w:r>
    </w:p>
    <w:p w14:paraId="05091F7B"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economía procesal y con la finalidad de evitar resoluciones contradictorias, en la </w:t>
      </w:r>
      <w:r>
        <w:rPr>
          <w:rFonts w:ascii="Palatino Linotype" w:eastAsia="Palatino Linotype" w:hAnsi="Palatino Linotype" w:cs="Palatino Linotype"/>
          <w:b/>
        </w:rPr>
        <w:t>Vigésima Octava Sesión Ordinaria celebrada el diez de agosto de dos mil veintidós</w:t>
      </w:r>
      <w:r>
        <w:rPr>
          <w:rFonts w:ascii="Palatino Linotype" w:eastAsia="Palatino Linotype" w:hAnsi="Palatino Linotype" w:cs="Palatino Linotype"/>
        </w:rPr>
        <w:t xml:space="preserve">, el Pleno de este Instituto determinó acumular los Recursos de Revisión </w:t>
      </w:r>
      <w:r>
        <w:rPr>
          <w:rFonts w:ascii="Palatino Linotype" w:eastAsia="Palatino Linotype" w:hAnsi="Palatino Linotype" w:cs="Palatino Linotype"/>
          <w:b/>
        </w:rPr>
        <w:t xml:space="preserve">12707/INFOEM/IP/RR/2022, 12708/INFOEM/IP/RR/2022 y </w:t>
      </w:r>
      <w:r>
        <w:rPr>
          <w:rFonts w:ascii="Palatino Linotype" w:eastAsia="Palatino Linotype" w:hAnsi="Palatino Linotype" w:cs="Palatino Linotype"/>
          <w:b/>
        </w:rPr>
        <w:lastRenderedPageBreak/>
        <w:t>12709/INFOEM/IP/RR/2022,</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acordando la elaboración del proyecto de resolución por parte de la Comisionada Sharon Cristina Morales Martínez </w:t>
      </w:r>
    </w:p>
    <w:p w14:paraId="4A096216" w14:textId="77777777" w:rsidR="00AF75C2" w:rsidRDefault="00AF75C2">
      <w:pPr>
        <w:spacing w:line="360" w:lineRule="auto"/>
        <w:jc w:val="both"/>
        <w:rPr>
          <w:rFonts w:ascii="Palatino Linotype" w:eastAsia="Palatino Linotype" w:hAnsi="Palatino Linotype" w:cs="Palatino Linotype"/>
        </w:rPr>
      </w:pPr>
    </w:p>
    <w:p w14:paraId="6504CCDE" w14:textId="77777777" w:rsidR="00AF75C2" w:rsidRDefault="005F558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d) Ampliación del Recurso de Revisión </w:t>
      </w:r>
    </w:p>
    <w:p w14:paraId="0434498D"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w:t>
      </w:r>
      <w:r>
        <w:rPr>
          <w:rFonts w:ascii="Palatino Linotype" w:eastAsia="Palatino Linotype" w:hAnsi="Palatino Linotype" w:cs="Palatino Linotype"/>
          <w:b/>
        </w:rPr>
        <w:t xml:space="preserve"> veintidós de septiembre de dos mil veintidós</w:t>
      </w:r>
      <w:r>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64F66516" w14:textId="77777777" w:rsidR="00AF75C2" w:rsidRDefault="00AF75C2">
      <w:pPr>
        <w:spacing w:line="360" w:lineRule="auto"/>
        <w:jc w:val="both"/>
        <w:rPr>
          <w:rFonts w:ascii="Palatino Linotype" w:eastAsia="Palatino Linotype" w:hAnsi="Palatino Linotype" w:cs="Palatino Linotype"/>
          <w:b/>
        </w:rPr>
      </w:pPr>
    </w:p>
    <w:p w14:paraId="5B90E60A"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0D600CC" w14:textId="77777777" w:rsidR="00AF75C2" w:rsidRDefault="00AF75C2">
      <w:pPr>
        <w:spacing w:line="360" w:lineRule="auto"/>
        <w:jc w:val="both"/>
        <w:rPr>
          <w:rFonts w:ascii="Palatino Linotype" w:eastAsia="Palatino Linotype" w:hAnsi="Palatino Linotype" w:cs="Palatino Linotype"/>
        </w:rPr>
      </w:pPr>
    </w:p>
    <w:p w14:paraId="0CE972EC"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w:t>
      </w:r>
      <w:r>
        <w:rPr>
          <w:rFonts w:ascii="Palatino Linotype" w:eastAsia="Palatino Linotype" w:hAnsi="Palatino Linotype" w:cs="Palatino Linotype"/>
        </w:rPr>
        <w:lastRenderedPageBreak/>
        <w:t>establecidos por diversos órganos jurisdiccionales federales, aplicables también en procedimientos análogos, como el que nos ocupa.</w:t>
      </w:r>
    </w:p>
    <w:p w14:paraId="72EA6EEB" w14:textId="77777777" w:rsidR="00AF75C2" w:rsidRDefault="00AF75C2">
      <w:pPr>
        <w:spacing w:line="360" w:lineRule="auto"/>
        <w:jc w:val="both"/>
        <w:rPr>
          <w:rFonts w:ascii="Palatino Linotype" w:eastAsia="Palatino Linotype" w:hAnsi="Palatino Linotype" w:cs="Palatino Linotype"/>
        </w:rPr>
      </w:pPr>
    </w:p>
    <w:p w14:paraId="26AE2D80"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14525B" w14:textId="77777777" w:rsidR="00AF75C2" w:rsidRDefault="00AF75C2">
      <w:pPr>
        <w:spacing w:line="360" w:lineRule="auto"/>
        <w:jc w:val="both"/>
        <w:rPr>
          <w:rFonts w:ascii="Palatino Linotype" w:eastAsia="Palatino Linotype" w:hAnsi="Palatino Linotype" w:cs="Palatino Linotype"/>
        </w:rPr>
      </w:pPr>
    </w:p>
    <w:p w14:paraId="3DA83225"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8987B0D" w14:textId="77777777" w:rsidR="00AF75C2" w:rsidRDefault="00AF75C2">
      <w:pPr>
        <w:spacing w:line="360" w:lineRule="auto"/>
        <w:jc w:val="both"/>
        <w:rPr>
          <w:rFonts w:ascii="Palatino Linotype" w:eastAsia="Palatino Linotype" w:hAnsi="Palatino Linotype" w:cs="Palatino Linotype"/>
        </w:rPr>
      </w:pPr>
    </w:p>
    <w:p w14:paraId="0CB588C1"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14:paraId="2B4BFE4D" w14:textId="77777777" w:rsidR="00AF75C2" w:rsidRDefault="00AF75C2">
      <w:pPr>
        <w:spacing w:line="360" w:lineRule="auto"/>
        <w:jc w:val="both"/>
        <w:rPr>
          <w:rFonts w:ascii="Palatino Linotype" w:eastAsia="Palatino Linotype" w:hAnsi="Palatino Linotype" w:cs="Palatino Linotype"/>
        </w:rPr>
      </w:pPr>
    </w:p>
    <w:p w14:paraId="1D678D91" w14:textId="77777777" w:rsidR="00AF75C2" w:rsidRDefault="005F5589">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8AEB2FE" w14:textId="77777777" w:rsidR="00AF75C2" w:rsidRDefault="00AF75C2">
      <w:pPr>
        <w:spacing w:line="360" w:lineRule="auto"/>
        <w:ind w:left="927"/>
        <w:jc w:val="both"/>
        <w:rPr>
          <w:rFonts w:ascii="Palatino Linotype" w:eastAsia="Palatino Linotype" w:hAnsi="Palatino Linotype" w:cs="Palatino Linotype"/>
        </w:rPr>
      </w:pPr>
    </w:p>
    <w:p w14:paraId="51158068" w14:textId="77777777" w:rsidR="00AF75C2" w:rsidRDefault="005F5589">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40EBF038" w14:textId="77777777" w:rsidR="00AF75C2" w:rsidRDefault="00AF75C2">
      <w:pPr>
        <w:spacing w:line="360" w:lineRule="auto"/>
        <w:jc w:val="both"/>
        <w:rPr>
          <w:rFonts w:ascii="Palatino Linotype" w:eastAsia="Palatino Linotype" w:hAnsi="Palatino Linotype" w:cs="Palatino Linotype"/>
        </w:rPr>
      </w:pPr>
    </w:p>
    <w:p w14:paraId="366B7766" w14:textId="77777777" w:rsidR="00AF75C2" w:rsidRDefault="005F5589">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53D062D7" w14:textId="77777777" w:rsidR="00AF75C2" w:rsidRDefault="00AF75C2">
      <w:pPr>
        <w:spacing w:line="360" w:lineRule="auto"/>
        <w:ind w:left="708"/>
        <w:rPr>
          <w:rFonts w:ascii="Palatino Linotype" w:eastAsia="Palatino Linotype" w:hAnsi="Palatino Linotype" w:cs="Palatino Linotype"/>
        </w:rPr>
      </w:pPr>
    </w:p>
    <w:p w14:paraId="7C6CA353" w14:textId="77777777" w:rsidR="00AF75C2" w:rsidRDefault="005F5589">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6EC2A375" w14:textId="77777777" w:rsidR="00AF75C2" w:rsidRDefault="00AF75C2">
      <w:pPr>
        <w:spacing w:line="360" w:lineRule="auto"/>
        <w:jc w:val="both"/>
        <w:rPr>
          <w:rFonts w:ascii="Palatino Linotype" w:eastAsia="Palatino Linotype" w:hAnsi="Palatino Linotype" w:cs="Palatino Linotype"/>
        </w:rPr>
      </w:pPr>
    </w:p>
    <w:p w14:paraId="3C05A688"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FD27FF4" w14:textId="77777777" w:rsidR="00AF75C2" w:rsidRDefault="00AF75C2">
      <w:pPr>
        <w:spacing w:line="360" w:lineRule="auto"/>
        <w:jc w:val="both"/>
        <w:rPr>
          <w:rFonts w:ascii="Palatino Linotype" w:eastAsia="Palatino Linotype" w:hAnsi="Palatino Linotype" w:cs="Palatino Linotype"/>
        </w:rPr>
      </w:pPr>
    </w:p>
    <w:p w14:paraId="09839799" w14:textId="77777777" w:rsidR="00AF75C2" w:rsidRDefault="005F558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185B87E6" w14:textId="77777777" w:rsidR="00AF75C2" w:rsidRDefault="00AF75C2">
      <w:pPr>
        <w:spacing w:line="360" w:lineRule="auto"/>
        <w:jc w:val="both"/>
        <w:rPr>
          <w:rFonts w:ascii="Palatino Linotype" w:eastAsia="Palatino Linotype" w:hAnsi="Palatino Linotype" w:cs="Palatino Linotype"/>
        </w:rPr>
      </w:pPr>
    </w:p>
    <w:p w14:paraId="0A7948B1"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9E66260" w14:textId="77777777" w:rsidR="00AF75C2" w:rsidRDefault="00AF75C2">
      <w:pPr>
        <w:spacing w:line="360" w:lineRule="auto"/>
        <w:jc w:val="both"/>
        <w:rPr>
          <w:rFonts w:ascii="Palatino Linotype" w:eastAsia="Palatino Linotype" w:hAnsi="Palatino Linotype" w:cs="Palatino Linotype"/>
        </w:rPr>
      </w:pPr>
    </w:p>
    <w:p w14:paraId="4658DFEE"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este organismo garante comprometido con la tutela de los derechos humanos </w:t>
      </w:r>
      <w:proofErr w:type="gramStart"/>
      <w:r>
        <w:rPr>
          <w:rFonts w:ascii="Palatino Linotype" w:eastAsia="Palatino Linotype" w:hAnsi="Palatino Linotype" w:cs="Palatino Linotype"/>
        </w:rPr>
        <w:t>confiados,</w:t>
      </w:r>
      <w:proofErr w:type="gramEnd"/>
      <w:r>
        <w:rPr>
          <w:rFonts w:ascii="Palatino Linotype" w:eastAsia="Palatino Linotype" w:hAnsi="Palatino Linotype" w:cs="Palatino Linotype"/>
        </w:rPr>
        <w:t xml:space="preserve"> señala que este exceso del plazo legal para resolver el presente asunto, resulta de carácter excepcional.</w:t>
      </w:r>
    </w:p>
    <w:p w14:paraId="5A938C3E" w14:textId="77777777" w:rsidR="00AF75C2" w:rsidRDefault="00AF75C2">
      <w:pPr>
        <w:spacing w:line="360" w:lineRule="auto"/>
        <w:jc w:val="both"/>
        <w:rPr>
          <w:rFonts w:ascii="Palatino Linotype" w:eastAsia="Palatino Linotype" w:hAnsi="Palatino Linotype" w:cs="Palatino Linotype"/>
        </w:rPr>
      </w:pPr>
    </w:p>
    <w:p w14:paraId="69781E1B"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027EE1D" w14:textId="77777777" w:rsidR="00AF75C2" w:rsidRDefault="00AF75C2">
      <w:pPr>
        <w:spacing w:line="360" w:lineRule="auto"/>
        <w:jc w:val="both"/>
        <w:rPr>
          <w:rFonts w:ascii="Palatino Linotype" w:eastAsia="Palatino Linotype" w:hAnsi="Palatino Linotype" w:cs="Palatino Linotype"/>
        </w:rPr>
      </w:pPr>
    </w:p>
    <w:p w14:paraId="56E6B57C"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6BCD45EA" w14:textId="77777777" w:rsidR="00AF75C2" w:rsidRDefault="00AF75C2">
      <w:pPr>
        <w:spacing w:line="360" w:lineRule="auto"/>
        <w:jc w:val="both"/>
        <w:rPr>
          <w:rFonts w:ascii="Palatino Linotype" w:eastAsia="Palatino Linotype" w:hAnsi="Palatino Linotype" w:cs="Palatino Linotype"/>
          <w:b/>
        </w:rPr>
      </w:pPr>
    </w:p>
    <w:p w14:paraId="3D00031E"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lastRenderedPageBreak/>
        <w:t>“PLAZO RAZONABLE PARA RESOLVER. CONCEPTO Y ELEMENTOS QUE LO INTEGRAN A LA LUZ DEL DERECHO INTERNACIONAL DE LOS DERECHOS HUMANOS.”</w:t>
      </w:r>
      <w:r>
        <w:rPr>
          <w:rFonts w:ascii="Palatino Linotype" w:eastAsia="Palatino Linotype" w:hAnsi="Palatino Linotype" w:cs="Palatino Linotype"/>
        </w:rPr>
        <w:t xml:space="preserve">, visible en el Seminario Judicial de la Federación y su gaceta, con el registro digital 2002350. </w:t>
      </w:r>
    </w:p>
    <w:p w14:paraId="448458F6" w14:textId="77777777" w:rsidR="00AF75C2" w:rsidRDefault="00AF75C2">
      <w:pPr>
        <w:spacing w:line="360" w:lineRule="auto"/>
        <w:jc w:val="both"/>
        <w:rPr>
          <w:rFonts w:ascii="Palatino Linotype" w:eastAsia="Palatino Linotype" w:hAnsi="Palatino Linotype" w:cs="Palatino Linotype"/>
        </w:rPr>
      </w:pPr>
    </w:p>
    <w:p w14:paraId="24559EA6" w14:textId="77777777" w:rsidR="00AF75C2" w:rsidRDefault="005F558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e) Cierre de Instrucción</w:t>
      </w:r>
    </w:p>
    <w:p w14:paraId="03B41283" w14:textId="58C90E8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una vez analizado el estado procesal que guardaba el expediente, </w:t>
      </w:r>
      <w:r w:rsidRPr="00C62FD5">
        <w:rPr>
          <w:rFonts w:ascii="Palatino Linotype" w:eastAsia="Palatino Linotype" w:hAnsi="Palatino Linotype" w:cs="Palatino Linotype"/>
          <w:b/>
        </w:rPr>
        <w:t xml:space="preserve">el </w:t>
      </w:r>
      <w:r w:rsidR="00C62FD5" w:rsidRPr="00C62FD5">
        <w:rPr>
          <w:rFonts w:ascii="Palatino Linotype" w:eastAsia="Palatino Linotype" w:hAnsi="Palatino Linotype" w:cs="Palatino Linotype"/>
          <w:b/>
        </w:rPr>
        <w:t>diecisiete</w:t>
      </w:r>
      <w:r w:rsidRPr="00C62FD5">
        <w:rPr>
          <w:rFonts w:ascii="Palatino Linotype" w:eastAsia="Palatino Linotype" w:hAnsi="Palatino Linotype" w:cs="Palatino Linotype"/>
          <w:b/>
        </w:rPr>
        <w:t xml:space="preserve"> d</w:t>
      </w:r>
      <w:r>
        <w:rPr>
          <w:rFonts w:ascii="Palatino Linotype" w:eastAsia="Palatino Linotype" w:hAnsi="Palatino Linotype" w:cs="Palatino Linotype"/>
          <w:b/>
        </w:rPr>
        <w:t>e noviembre de dos mil veintidós</w:t>
      </w:r>
      <w:r>
        <w:rPr>
          <w:rFonts w:ascii="Palatino Linotype" w:eastAsia="Palatino Linotype" w:hAnsi="Palatino Linotype" w:cs="Palatino Linotype"/>
        </w:rPr>
        <w:t xml:space="preserve">, la </w:t>
      </w:r>
      <w:r>
        <w:rPr>
          <w:rFonts w:ascii="Palatino Linotype" w:eastAsia="Palatino Linotype" w:hAnsi="Palatino Linotype" w:cs="Palatino Linotype"/>
          <w:b/>
        </w:rPr>
        <w:t xml:space="preserve">Comisionada Sharon Christina Morales Martínez </w:t>
      </w:r>
      <w:r>
        <w:rPr>
          <w:rFonts w:ascii="Palatino Linotype" w:eastAsia="Palatino Linotype" w:hAnsi="Palatino Linotype" w:cs="Palatino Linotype"/>
        </w:rPr>
        <w:t xml:space="preserve">acordó el cierre de instrucción, así como la remisión </w:t>
      </w:r>
      <w:proofErr w:type="gramStart"/>
      <w:r>
        <w:rPr>
          <w:rFonts w:ascii="Palatino Linotype" w:eastAsia="Palatino Linotype" w:hAnsi="Palatino Linotype" w:cs="Palatino Linotype"/>
        </w:rPr>
        <w:t>del mismo</w:t>
      </w:r>
      <w:proofErr w:type="gramEnd"/>
      <w:r>
        <w:rPr>
          <w:rFonts w:ascii="Palatino Linotype" w:eastAsia="Palatino Linotype" w:hAnsi="Palatino Linotype" w:cs="Palatino Linotype"/>
        </w:rPr>
        <w:t>, a efecto de ser resuelto, de conformidad con lo establecido en el artículo 185 fracciones VI y VIII de la Ley de Transparencia y Acceso a la Información Pública del Estado de México y Municipios.</w:t>
      </w:r>
    </w:p>
    <w:p w14:paraId="2E36D4A7" w14:textId="77777777" w:rsidR="00AF75C2" w:rsidRDefault="00AF75C2">
      <w:pPr>
        <w:spacing w:line="360" w:lineRule="auto"/>
        <w:jc w:val="both"/>
        <w:rPr>
          <w:rFonts w:ascii="Palatino Linotype" w:eastAsia="Palatino Linotype" w:hAnsi="Palatino Linotype" w:cs="Palatino Linotype"/>
        </w:rPr>
      </w:pPr>
    </w:p>
    <w:p w14:paraId="0888D2D4" w14:textId="77777777" w:rsidR="00AF75C2" w:rsidRDefault="005F5589">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CONSIDERANDO</w:t>
      </w:r>
    </w:p>
    <w:p w14:paraId="040CBF6C" w14:textId="77777777" w:rsidR="00AF75C2" w:rsidRDefault="00AF75C2">
      <w:pPr>
        <w:jc w:val="center"/>
        <w:rPr>
          <w:rFonts w:ascii="Palatino Linotype" w:eastAsia="Palatino Linotype" w:hAnsi="Palatino Linotype" w:cs="Palatino Linotype"/>
          <w:b/>
          <w:sz w:val="28"/>
          <w:szCs w:val="28"/>
        </w:rPr>
      </w:pPr>
    </w:p>
    <w:p w14:paraId="781852BF" w14:textId="77777777" w:rsidR="00AF75C2" w:rsidRDefault="005F5589">
      <w:pPr>
        <w:widowControl w:val="0"/>
        <w:tabs>
          <w:tab w:val="left" w:pos="1701"/>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PRIMERO.</w:t>
      </w:r>
      <w:r>
        <w:rPr>
          <w:rFonts w:ascii="Palatino Linotype" w:eastAsia="Palatino Linotype" w:hAnsi="Palatino Linotype" w:cs="Palatino Linotype"/>
          <w:b/>
        </w:rPr>
        <w:t xml:space="preserve"> Competencia</w:t>
      </w:r>
      <w:r>
        <w:rPr>
          <w:rFonts w:ascii="Palatino Linotype" w:eastAsia="Palatino Linotype" w:hAnsi="Palatino Linotype" w:cs="Palatino Linotype"/>
        </w:rPr>
        <w:t>.</w:t>
      </w:r>
      <w:r>
        <w:rPr>
          <w:rFonts w:ascii="Palatino Linotype" w:eastAsia="Palatino Linotype" w:hAnsi="Palatino Linotype" w:cs="Palatino Linotype"/>
          <w:b/>
        </w:rPr>
        <w:t xml:space="preserve"> </w:t>
      </w:r>
    </w:p>
    <w:p w14:paraId="582B5249" w14:textId="77777777" w:rsidR="00AF75C2" w:rsidRDefault="005F5589">
      <w:pPr>
        <w:widowControl w:val="0"/>
        <w:tabs>
          <w:tab w:val="left" w:pos="1701"/>
        </w:tabs>
        <w:spacing w:line="360" w:lineRule="auto"/>
        <w:jc w:val="both"/>
        <w:rPr>
          <w:rFonts w:ascii="Palatino Linotype" w:eastAsia="Palatino Linotype" w:hAnsi="Palatino Linotype" w:cs="Palatino Linotype"/>
        </w:rPr>
      </w:pPr>
      <w:bookmarkStart w:id="0" w:name="_heading=h.3znysh7" w:colFirst="0" w:colLast="0"/>
      <w:bookmarkEnd w:id="0"/>
      <w:r>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w:t>
      </w:r>
      <w:r>
        <w:rPr>
          <w:rFonts w:ascii="Palatino Linotype" w:eastAsia="Palatino Linotype" w:hAnsi="Palatino Linotype" w:cs="Palatino Linotype"/>
        </w:rPr>
        <w:lastRenderedPageBreak/>
        <w:t>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11009FC0" w14:textId="77777777" w:rsidR="00AF75C2" w:rsidRDefault="00AF75C2">
      <w:pPr>
        <w:widowControl w:val="0"/>
        <w:tabs>
          <w:tab w:val="left" w:pos="1701"/>
          <w:tab w:val="left" w:pos="2977"/>
        </w:tabs>
        <w:spacing w:line="360" w:lineRule="auto"/>
        <w:jc w:val="both"/>
        <w:rPr>
          <w:rFonts w:ascii="Palatino Linotype" w:eastAsia="Palatino Linotype" w:hAnsi="Palatino Linotype" w:cs="Palatino Linotype"/>
        </w:rPr>
      </w:pPr>
    </w:p>
    <w:p w14:paraId="5FFD4B6F" w14:textId="77777777" w:rsidR="00AF75C2" w:rsidRDefault="005F558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SEGUNDO</w:t>
      </w:r>
      <w:r>
        <w:rPr>
          <w:rFonts w:ascii="Palatino Linotype" w:eastAsia="Palatino Linotype" w:hAnsi="Palatino Linotype" w:cs="Palatino Linotype"/>
          <w:b/>
        </w:rPr>
        <w:t xml:space="preserve">. Interés. </w:t>
      </w:r>
    </w:p>
    <w:p w14:paraId="1343D47E" w14:textId="77777777" w:rsidR="00AF75C2" w:rsidRDefault="005F5589">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Los Recursos de Revisión materia del presente estudio fueron interpuestos por parte legítima, en atención a que se present</w:t>
      </w:r>
      <w:r>
        <w:rPr>
          <w:rFonts w:ascii="Palatino Linotype" w:eastAsia="Palatino Linotype" w:hAnsi="Palatino Linotype" w:cs="Palatino Linotype"/>
        </w:rPr>
        <w:t>aron</w:t>
      </w:r>
      <w:r>
        <w:rPr>
          <w:rFonts w:ascii="Palatino Linotype" w:eastAsia="Palatino Linotype" w:hAnsi="Palatino Linotype" w:cs="Palatino Linotype"/>
          <w:color w:val="000000"/>
        </w:rPr>
        <w:t xml:space="preserve"> por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quien es la misma persona que formuló la solicitud de Acceso a la Información Pública al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pues para ello, es necesario que el particular ingrese al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mediante la utilización de su clave de usuario y contraseña.</w:t>
      </w:r>
    </w:p>
    <w:p w14:paraId="2C3BA038" w14:textId="77777777" w:rsidR="00AF75C2" w:rsidRDefault="00AF75C2">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067E51E6" w14:textId="77777777" w:rsidR="00AF75C2" w:rsidRDefault="00AF75C2">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371897F5" w14:textId="77777777" w:rsidR="00AF75C2" w:rsidRDefault="005F5589">
      <w:pPr>
        <w:tabs>
          <w:tab w:val="center" w:pos="4252"/>
          <w:tab w:val="right" w:pos="8504"/>
        </w:tabs>
        <w:spacing w:line="360" w:lineRule="auto"/>
        <w:ind w:left="-57"/>
        <w:jc w:val="both"/>
        <w:rPr>
          <w:rFonts w:ascii="Palatino Linotype" w:eastAsia="Palatino Linotype" w:hAnsi="Palatino Linotype" w:cs="Palatino Linotype"/>
        </w:rPr>
      </w:pPr>
      <w:r>
        <w:rPr>
          <w:rFonts w:ascii="Palatino Linotype" w:eastAsia="Palatino Linotype" w:hAnsi="Palatino Linotype" w:cs="Palatino Linotype"/>
          <w:b/>
          <w:sz w:val="28"/>
          <w:szCs w:val="28"/>
        </w:rPr>
        <w:t xml:space="preserve">TERCERO. </w:t>
      </w:r>
      <w:r>
        <w:rPr>
          <w:rFonts w:ascii="Palatino Linotype" w:eastAsia="Palatino Linotype" w:hAnsi="Palatino Linotype" w:cs="Palatino Linotype"/>
          <w:b/>
        </w:rPr>
        <w:t>Justificación de la Acumulación de los Recursos.</w:t>
      </w:r>
      <w:r>
        <w:rPr>
          <w:rFonts w:ascii="Palatino Linotype" w:eastAsia="Palatino Linotype" w:hAnsi="Palatino Linotype" w:cs="Palatino Linotype"/>
        </w:rPr>
        <w:t xml:space="preserve"> </w:t>
      </w:r>
    </w:p>
    <w:p w14:paraId="458A5CB5" w14:textId="77777777" w:rsidR="00AF75C2" w:rsidRDefault="005F5589">
      <w:pPr>
        <w:tabs>
          <w:tab w:val="center" w:pos="4252"/>
          <w:tab w:val="right" w:pos="8504"/>
        </w:tabs>
        <w:spacing w:line="360" w:lineRule="auto"/>
        <w:ind w:left="-57"/>
        <w:jc w:val="both"/>
        <w:rPr>
          <w:rFonts w:ascii="Palatino Linotype" w:eastAsia="Palatino Linotype" w:hAnsi="Palatino Linotype" w:cs="Palatino Linotype"/>
        </w:rPr>
      </w:pPr>
      <w:r>
        <w:rPr>
          <w:rFonts w:ascii="Palatino Linotype" w:eastAsia="Palatino Linotype" w:hAnsi="Palatino Linotype" w:cs="Palatino Linotype"/>
        </w:rPr>
        <w:t>De las constancias que obran en los expedientes acumulados, se advierte que en los Recursos de Revisión 1</w:t>
      </w:r>
      <w:r>
        <w:rPr>
          <w:rFonts w:ascii="Palatino Linotype" w:eastAsia="Palatino Linotype" w:hAnsi="Palatino Linotype" w:cs="Palatino Linotype"/>
          <w:b/>
        </w:rPr>
        <w:t xml:space="preserve">2707/INFOEM/IP/RR/2022, 12708/INFOEM/IP/RR/2022 y 12709/INFOEM/IP/RR/2022, </w:t>
      </w:r>
      <w:r>
        <w:rPr>
          <w:rFonts w:ascii="Palatino Linotype" w:eastAsia="Palatino Linotype" w:hAnsi="Palatino Linotype" w:cs="Palatino Linotype"/>
        </w:rPr>
        <w:t xml:space="preserve">fueron presentados por el mismo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respecto de los actos u omisiones del mismo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w:t>
      </w:r>
      <w:r>
        <w:rPr>
          <w:rFonts w:ascii="Palatino Linotype" w:eastAsia="Palatino Linotype" w:hAnsi="Palatino Linotype" w:cs="Palatino Linotype"/>
        </w:rPr>
        <w:lastRenderedPageBreak/>
        <w:t>de Procedimientos Administrativos del Estado de México, de aplicación supletoria en términos del artículo 195 de la Ley de Transparencia y Acceso a la Información Pública del Estado de México y Municipios en vigor, que a la letra señalan:</w:t>
      </w:r>
    </w:p>
    <w:p w14:paraId="68136943" w14:textId="77777777" w:rsidR="00AF75C2" w:rsidRDefault="00AF75C2">
      <w:pPr>
        <w:tabs>
          <w:tab w:val="left" w:pos="8222"/>
        </w:tabs>
        <w:ind w:left="851" w:right="1134"/>
        <w:jc w:val="center"/>
        <w:rPr>
          <w:rFonts w:ascii="Palatino Linotype" w:eastAsia="Palatino Linotype" w:hAnsi="Palatino Linotype" w:cs="Palatino Linotype"/>
          <w:b/>
          <w:i/>
          <w:sz w:val="22"/>
          <w:szCs w:val="22"/>
        </w:rPr>
      </w:pPr>
    </w:p>
    <w:p w14:paraId="4BBA238E" w14:textId="77777777" w:rsidR="00AF75C2" w:rsidRDefault="005F5589">
      <w:pPr>
        <w:tabs>
          <w:tab w:val="left" w:pos="8222"/>
        </w:tabs>
        <w:ind w:left="851" w:right="1134"/>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“Código de Procedimientos Administrativos del Estado de México</w:t>
      </w:r>
    </w:p>
    <w:p w14:paraId="3EF2CDDC" w14:textId="77777777" w:rsidR="00AF75C2" w:rsidRDefault="005F5589">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autoridad administrativa o el Tribunal </w:t>
      </w:r>
      <w:r>
        <w:rPr>
          <w:rFonts w:ascii="Palatino Linotype" w:eastAsia="Palatino Linotype" w:hAnsi="Palatino Linotype" w:cs="Palatino Linotype"/>
          <w:b/>
          <w:i/>
          <w:sz w:val="22"/>
          <w:szCs w:val="22"/>
          <w:u w:val="single"/>
        </w:rPr>
        <w:t>acordarán la acumulación de los expedientes</w:t>
      </w:r>
      <w:r>
        <w:rPr>
          <w:rFonts w:ascii="Palatino Linotype" w:eastAsia="Palatino Linotype" w:hAnsi="Palatino Linotype" w:cs="Palatino Linotype"/>
          <w:b/>
          <w:i/>
          <w:sz w:val="22"/>
          <w:szCs w:val="22"/>
        </w:rPr>
        <w:t xml:space="preserve"> del procedimiento y proceso administrativo que ante ellos se sigan, de oficio</w:t>
      </w:r>
      <w:r>
        <w:rPr>
          <w:rFonts w:ascii="Palatino Linotype" w:eastAsia="Palatino Linotype" w:hAnsi="Palatino Linotype" w:cs="Palatino Linotype"/>
          <w:i/>
          <w:sz w:val="22"/>
          <w:szCs w:val="22"/>
        </w:rPr>
        <w:t xml:space="preserve"> o a petición de parte, </w:t>
      </w:r>
      <w:r>
        <w:rPr>
          <w:rFonts w:ascii="Palatino Linotype" w:eastAsia="Palatino Linotype" w:hAnsi="Palatino Linotype" w:cs="Palatino Linotype"/>
          <w:b/>
          <w:i/>
          <w:sz w:val="22"/>
          <w:szCs w:val="22"/>
          <w:u w:val="single"/>
        </w:rPr>
        <w:t>cuando las partes</w:t>
      </w:r>
      <w:r>
        <w:rPr>
          <w:rFonts w:ascii="Palatino Linotype" w:eastAsia="Palatino Linotype" w:hAnsi="Palatino Linotype" w:cs="Palatino Linotype"/>
          <w:i/>
          <w:sz w:val="22"/>
          <w:szCs w:val="22"/>
        </w:rPr>
        <w:t xml:space="preserve"> o los actos administrativos </w:t>
      </w:r>
      <w:r>
        <w:rPr>
          <w:rFonts w:ascii="Palatino Linotype" w:eastAsia="Palatino Linotype" w:hAnsi="Palatino Linotype" w:cs="Palatino Linotype"/>
          <w:b/>
          <w:i/>
          <w:sz w:val="22"/>
          <w:szCs w:val="22"/>
          <w:u w:val="single"/>
        </w:rPr>
        <w:t>sean iguales</w:t>
      </w:r>
      <w:r>
        <w:rPr>
          <w:rFonts w:ascii="Palatino Linotype" w:eastAsia="Palatino Linotype" w:hAnsi="Palatino Linotype" w:cs="Palatino Linotype"/>
          <w:i/>
          <w:sz w:val="22"/>
          <w:szCs w:val="22"/>
        </w:rPr>
        <w:t xml:space="preserve">, se trate de actos conexos o </w:t>
      </w:r>
      <w:r>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Pr>
          <w:rFonts w:ascii="Palatino Linotype" w:eastAsia="Palatino Linotype" w:hAnsi="Palatino Linotype" w:cs="Palatino Linotype"/>
          <w:i/>
          <w:sz w:val="22"/>
          <w:szCs w:val="22"/>
        </w:rPr>
        <w:t>. La misma regla se aplicará, en lo conducente, para la separación de los expedientes.”</w:t>
      </w:r>
    </w:p>
    <w:p w14:paraId="03D05182" w14:textId="77777777" w:rsidR="00AF75C2" w:rsidRDefault="005F5589">
      <w:pPr>
        <w:tabs>
          <w:tab w:val="left" w:pos="8222"/>
        </w:tabs>
        <w:ind w:left="851" w:right="1134"/>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Ley de Transparencia y Acceso a la Información Pública del Estado de México y Municipios </w:t>
      </w:r>
    </w:p>
    <w:p w14:paraId="69D3A0DF" w14:textId="77777777" w:rsidR="00AF75C2" w:rsidRDefault="005F5589">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195. </w:t>
      </w:r>
      <w:r>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76CF7123" w14:textId="77777777" w:rsidR="00AF75C2" w:rsidRDefault="005F5589">
      <w:pPr>
        <w:tabs>
          <w:tab w:val="left" w:pos="8222"/>
        </w:tabs>
        <w:ind w:left="851" w:right="113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0F343BA9" w14:textId="77777777" w:rsidR="00AF75C2" w:rsidRDefault="00AF75C2">
      <w:pPr>
        <w:jc w:val="both"/>
        <w:rPr>
          <w:rFonts w:ascii="Palatino Linotype" w:eastAsia="Palatino Linotype" w:hAnsi="Palatino Linotype" w:cs="Palatino Linotype"/>
          <w:b/>
        </w:rPr>
      </w:pPr>
    </w:p>
    <w:p w14:paraId="61E18441" w14:textId="77777777" w:rsidR="00AF75C2" w:rsidRDefault="005F5589">
      <w:p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dispuesto en los numerales citados en el párrafo que antecede, dicha acumulación procede cuando:</w:t>
      </w:r>
    </w:p>
    <w:p w14:paraId="239BA4DB" w14:textId="77777777" w:rsidR="00AF75C2" w:rsidRDefault="005F5589">
      <w:pPr>
        <w:numPr>
          <w:ilvl w:val="0"/>
          <w:numId w:val="2"/>
        </w:numPr>
        <w:tabs>
          <w:tab w:val="center" w:pos="4252"/>
          <w:tab w:val="right" w:pos="8504"/>
        </w:tabs>
        <w:spacing w:line="360" w:lineRule="auto"/>
        <w:jc w:val="both"/>
      </w:pPr>
      <w:r>
        <w:rPr>
          <w:rFonts w:ascii="Palatino Linotype" w:eastAsia="Palatino Linotype" w:hAnsi="Palatino Linotype" w:cs="Palatino Linotype"/>
        </w:rPr>
        <w:t>El solicitante y la información referida sean las mismas;</w:t>
      </w:r>
    </w:p>
    <w:p w14:paraId="251026F9" w14:textId="77777777" w:rsidR="00AF75C2" w:rsidRDefault="005F5589">
      <w:pPr>
        <w:numPr>
          <w:ilvl w:val="0"/>
          <w:numId w:val="2"/>
        </w:numPr>
        <w:tabs>
          <w:tab w:val="center" w:pos="4252"/>
          <w:tab w:val="right" w:pos="8504"/>
        </w:tabs>
        <w:spacing w:line="360" w:lineRule="auto"/>
        <w:jc w:val="both"/>
      </w:pPr>
      <w:r>
        <w:rPr>
          <w:rFonts w:ascii="Palatino Linotype" w:eastAsia="Palatino Linotype" w:hAnsi="Palatino Linotype" w:cs="Palatino Linotype"/>
        </w:rPr>
        <w:t>Las partes o los actos impugnados sean iguales;</w:t>
      </w:r>
    </w:p>
    <w:p w14:paraId="77B3E7E2" w14:textId="77777777" w:rsidR="00AF75C2" w:rsidRDefault="005F5589">
      <w:pPr>
        <w:numPr>
          <w:ilvl w:val="0"/>
          <w:numId w:val="2"/>
        </w:numPr>
        <w:tabs>
          <w:tab w:val="center" w:pos="4252"/>
          <w:tab w:val="right" w:pos="8504"/>
        </w:tabs>
        <w:spacing w:line="360" w:lineRule="auto"/>
        <w:jc w:val="both"/>
      </w:pPr>
      <w:r>
        <w:rPr>
          <w:rFonts w:ascii="Palatino Linotype" w:eastAsia="Palatino Linotype" w:hAnsi="Palatino Linotype" w:cs="Palatino Linotype"/>
        </w:rPr>
        <w:t>Cuando se trate del mismo solicitante, el mismo Sujeto Obligado, y</w:t>
      </w:r>
    </w:p>
    <w:p w14:paraId="4BD3C99A" w14:textId="77777777" w:rsidR="00AF75C2" w:rsidRDefault="005F5589">
      <w:pPr>
        <w:numPr>
          <w:ilvl w:val="0"/>
          <w:numId w:val="2"/>
        </w:numPr>
        <w:tabs>
          <w:tab w:val="center" w:pos="4252"/>
          <w:tab w:val="right" w:pos="8504"/>
        </w:tabs>
        <w:spacing w:line="360" w:lineRule="auto"/>
        <w:ind w:left="357"/>
        <w:jc w:val="both"/>
      </w:pPr>
      <w:r>
        <w:rPr>
          <w:rFonts w:ascii="Palatino Linotype" w:eastAsia="Palatino Linotype" w:hAnsi="Palatino Linotype" w:cs="Palatino Linotype"/>
        </w:rPr>
        <w:t>Aun tratándose de solicitudes diversas, resulte conveniente la resolución unificada de los asuntos</w:t>
      </w:r>
      <w:r>
        <w:rPr>
          <w:rFonts w:ascii="Palatino Linotype" w:eastAsia="Palatino Linotype" w:hAnsi="Palatino Linotype" w:cs="Palatino Linotype"/>
          <w:i/>
        </w:rPr>
        <w:t>.</w:t>
      </w:r>
    </w:p>
    <w:p w14:paraId="16EA0691" w14:textId="77777777" w:rsidR="00AF75C2" w:rsidRDefault="00AF75C2">
      <w:pPr>
        <w:widowControl w:val="0"/>
        <w:spacing w:line="360" w:lineRule="auto"/>
        <w:jc w:val="both"/>
        <w:rPr>
          <w:rFonts w:ascii="Palatino Linotype" w:eastAsia="Palatino Linotype" w:hAnsi="Palatino Linotype" w:cs="Palatino Linotype"/>
        </w:rPr>
      </w:pPr>
    </w:p>
    <w:p w14:paraId="2B0AB88D" w14:textId="77777777" w:rsidR="00AF75C2" w:rsidRDefault="005F5589">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suerte que, como se mencionó anteriormente, los Recursos de Revisión que nos </w:t>
      </w:r>
      <w:r>
        <w:rPr>
          <w:rFonts w:ascii="Palatino Linotype" w:eastAsia="Palatino Linotype" w:hAnsi="Palatino Linotype" w:cs="Palatino Linotype"/>
        </w:rPr>
        <w:lastRenderedPageBreak/>
        <w:t xml:space="preserve">ocupan fueron interpuestos por el mismo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ante el mismo </w:t>
      </w:r>
      <w:r>
        <w:rPr>
          <w:rFonts w:ascii="Palatino Linotype" w:eastAsia="Palatino Linotype" w:hAnsi="Palatino Linotype" w:cs="Palatino Linotype"/>
          <w:b/>
        </w:rPr>
        <w:t>SUJETO OBLIGADO</w:t>
      </w:r>
      <w:r>
        <w:rPr>
          <w:rFonts w:ascii="Palatino Linotype" w:eastAsia="Palatino Linotype" w:hAnsi="Palatino Linotype" w:cs="Palatino Linotype"/>
        </w:rPr>
        <w:t>, por lo que, resulta conveniente la resolución conjunta por economía procesal y con el fin de no emitir resoluciones contradictorias entre sí, en caso de resolverlos en forma separada por Ponentes diferentes.</w:t>
      </w:r>
    </w:p>
    <w:p w14:paraId="5556C4D3" w14:textId="77777777" w:rsidR="00AF75C2" w:rsidRDefault="00AF75C2">
      <w:pPr>
        <w:tabs>
          <w:tab w:val="center" w:pos="4252"/>
          <w:tab w:val="right" w:pos="8504"/>
        </w:tabs>
        <w:spacing w:line="360" w:lineRule="auto"/>
        <w:ind w:left="-57"/>
        <w:jc w:val="both"/>
        <w:rPr>
          <w:rFonts w:ascii="Palatino Linotype" w:eastAsia="Palatino Linotype" w:hAnsi="Palatino Linotype" w:cs="Palatino Linotype"/>
          <w:b/>
        </w:rPr>
      </w:pPr>
    </w:p>
    <w:p w14:paraId="7CC9B70E" w14:textId="77777777" w:rsidR="00AF75C2" w:rsidRDefault="005F5589">
      <w:pPr>
        <w:tabs>
          <w:tab w:val="center" w:pos="4252"/>
          <w:tab w:val="right" w:pos="8504"/>
        </w:tabs>
        <w:spacing w:line="360" w:lineRule="auto"/>
        <w:ind w:left="-57"/>
        <w:jc w:val="both"/>
        <w:rPr>
          <w:rFonts w:ascii="Palatino Linotype" w:eastAsia="Palatino Linotype" w:hAnsi="Palatino Linotype" w:cs="Palatino Linotype"/>
          <w:color w:val="000000"/>
        </w:rPr>
      </w:pPr>
      <w:r>
        <w:rPr>
          <w:rFonts w:ascii="Palatino Linotype" w:eastAsia="Palatino Linotype" w:hAnsi="Palatino Linotype" w:cs="Palatino Linotype"/>
          <w:b/>
          <w:sz w:val="26"/>
          <w:szCs w:val="26"/>
        </w:rPr>
        <w:t>CUARTO.</w:t>
      </w:r>
      <w:r>
        <w:rPr>
          <w:rFonts w:ascii="Palatino Linotype" w:eastAsia="Palatino Linotype" w:hAnsi="Palatino Linotype" w:cs="Palatino Linotype"/>
          <w:b/>
        </w:rPr>
        <w:t xml:space="preserve"> </w:t>
      </w:r>
      <w:r>
        <w:rPr>
          <w:rFonts w:ascii="Palatino Linotype" w:eastAsia="Palatino Linotype" w:hAnsi="Palatino Linotype" w:cs="Palatino Linotype"/>
          <w:b/>
          <w:color w:val="000000"/>
        </w:rPr>
        <w:t>Oportunidad</w:t>
      </w:r>
      <w:r>
        <w:rPr>
          <w:rFonts w:ascii="Palatino Linotype" w:eastAsia="Palatino Linotype" w:hAnsi="Palatino Linotype" w:cs="Palatino Linotype"/>
          <w:color w:val="000000"/>
        </w:rPr>
        <w:t xml:space="preserve">. </w:t>
      </w:r>
    </w:p>
    <w:p w14:paraId="61807D35" w14:textId="77777777" w:rsidR="00AF75C2" w:rsidRDefault="005F5589">
      <w:pPr>
        <w:widowControl w:val="0"/>
        <w:tabs>
          <w:tab w:val="left" w:pos="1701"/>
        </w:tabs>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Los Recursos de Revisión fueron interpuestos dentro del plazo de quince días hábiles, contados a partir del día siguiente al que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tuvo conocimiento de las respuestas impugnadas; tal y como, lo prevé el artículo 178 de la Ley de Transparencia y Acceso a la Información Pública del Estado de México y Municipios, que establece:</w:t>
      </w:r>
    </w:p>
    <w:p w14:paraId="19505477" w14:textId="77777777" w:rsidR="00AF75C2" w:rsidRDefault="00AF75C2">
      <w:pPr>
        <w:ind w:left="720" w:right="709"/>
        <w:jc w:val="both"/>
        <w:rPr>
          <w:rFonts w:ascii="Palatino Linotype" w:eastAsia="Palatino Linotype" w:hAnsi="Palatino Linotype" w:cs="Palatino Linotype"/>
          <w:i/>
          <w:sz w:val="22"/>
          <w:szCs w:val="22"/>
        </w:rPr>
      </w:pPr>
    </w:p>
    <w:p w14:paraId="39C51686" w14:textId="77777777" w:rsidR="00AF75C2" w:rsidRDefault="005F558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178.</w:t>
      </w:r>
      <w:r>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8FDDC7C" w14:textId="77777777" w:rsidR="00AF75C2" w:rsidRDefault="00AF75C2">
      <w:pPr>
        <w:ind w:left="851" w:right="899"/>
        <w:jc w:val="both"/>
        <w:rPr>
          <w:rFonts w:ascii="Palatino Linotype" w:eastAsia="Palatino Linotype" w:hAnsi="Palatino Linotype" w:cs="Palatino Linotype"/>
          <w:i/>
          <w:sz w:val="22"/>
          <w:szCs w:val="22"/>
        </w:rPr>
      </w:pPr>
    </w:p>
    <w:p w14:paraId="1E0057AB" w14:textId="77777777" w:rsidR="00AF75C2" w:rsidRDefault="005F558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E2FEDB3" w14:textId="77777777" w:rsidR="00AF75C2" w:rsidRDefault="00AF75C2">
      <w:pPr>
        <w:ind w:left="851" w:right="899"/>
        <w:jc w:val="both"/>
        <w:rPr>
          <w:rFonts w:ascii="Palatino Linotype" w:eastAsia="Palatino Linotype" w:hAnsi="Palatino Linotype" w:cs="Palatino Linotype"/>
          <w:i/>
          <w:sz w:val="22"/>
          <w:szCs w:val="22"/>
        </w:rPr>
      </w:pPr>
    </w:p>
    <w:p w14:paraId="5FBEB6CE" w14:textId="77777777" w:rsidR="00AF75C2" w:rsidRDefault="005F558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3277E151" w14:textId="77777777" w:rsidR="00AF75C2" w:rsidRDefault="00AF75C2">
      <w:pPr>
        <w:ind w:left="720" w:right="709"/>
        <w:jc w:val="both"/>
        <w:rPr>
          <w:rFonts w:ascii="Palatino Linotype" w:eastAsia="Palatino Linotype" w:hAnsi="Palatino Linotype" w:cs="Palatino Linotype"/>
          <w:i/>
          <w:sz w:val="22"/>
          <w:szCs w:val="22"/>
        </w:rPr>
      </w:pPr>
    </w:p>
    <w:p w14:paraId="3C0BAA28" w14:textId="77777777" w:rsidR="00AF75C2" w:rsidRDefault="005F5589">
      <w:pPr>
        <w:spacing w:line="360" w:lineRule="auto"/>
        <w:jc w:val="both"/>
        <w:rPr>
          <w:rFonts w:ascii="Palatino Linotype" w:eastAsia="Palatino Linotype" w:hAnsi="Palatino Linotype" w:cs="Palatino Linotype"/>
        </w:rPr>
      </w:pPr>
      <w:bookmarkStart w:id="1" w:name="_heading=h.2et92p0" w:colFirst="0" w:colLast="0"/>
      <w:bookmarkEnd w:id="1"/>
      <w:r>
        <w:rPr>
          <w:rFonts w:ascii="Palatino Linotype" w:eastAsia="Palatino Linotype" w:hAnsi="Palatino Linotype" w:cs="Palatino Linotype"/>
        </w:rPr>
        <w:t xml:space="preserve">En esa tesitura, atendiendo 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notificó las respuestas a las solicitudes de Acceso a la Información Pública el día</w:t>
      </w:r>
      <w:r>
        <w:rPr>
          <w:rFonts w:ascii="Palatino Linotype" w:eastAsia="Palatino Linotype" w:hAnsi="Palatino Linotype" w:cs="Palatino Linotype"/>
          <w:b/>
        </w:rPr>
        <w:t xml:space="preserve"> siete de julio de dos mil </w:t>
      </w:r>
      <w:r>
        <w:rPr>
          <w:rFonts w:ascii="Palatino Linotype" w:eastAsia="Palatino Linotype" w:hAnsi="Palatino Linotype" w:cs="Palatino Linotype"/>
          <w:b/>
        </w:rPr>
        <w:lastRenderedPageBreak/>
        <w:t>veintidós</w:t>
      </w:r>
      <w:r>
        <w:rPr>
          <w:rFonts w:ascii="Palatino Linotype" w:eastAsia="Palatino Linotype" w:hAnsi="Palatino Linotype" w:cs="Palatino Linotype"/>
        </w:rPr>
        <w:t xml:space="preserve">; así, el plazo de quince días hábiles que el artículo 178 de la Ley de la materia otorga a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para presentar el respectivo Recurso de Revisión, transcurrió del </w:t>
      </w:r>
      <w:r>
        <w:rPr>
          <w:rFonts w:ascii="Palatino Linotype" w:eastAsia="Palatino Linotype" w:hAnsi="Palatino Linotype" w:cs="Palatino Linotype"/>
          <w:b/>
        </w:rPr>
        <w:t>ocho de julio al once de agosto de dos mil veintidós.</w:t>
      </w:r>
      <w:r>
        <w:rPr>
          <w:rFonts w:ascii="Palatino Linotype" w:eastAsia="Palatino Linotype" w:hAnsi="Palatino Linotype" w:cs="Palatino Linotype"/>
        </w:rPr>
        <w:t xml:space="preserve"> Sin contemplar en el cómputo los días nueve, diez, dieciséis y diecisiete de julio, así como seis y siete de agosto de dos mil veintidós por corresponder a sábados y domingos, considerados como días inhábiles, en términos del artículo 3, fracción X de la Ley de Transparencia y Acceso a la Información Pública del Estado de México y Municipios. Además del periodo transcurrido del dieciocho al veintinueve de julio de la anualidad, por ser considerado como días inhábiles por periodo vacacional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w:t>
      </w:r>
    </w:p>
    <w:p w14:paraId="268B902F" w14:textId="77777777" w:rsidR="00AF75C2" w:rsidRDefault="00AF75C2">
      <w:pPr>
        <w:spacing w:line="360" w:lineRule="auto"/>
        <w:jc w:val="both"/>
        <w:rPr>
          <w:rFonts w:ascii="Palatino Linotype" w:eastAsia="Palatino Linotype" w:hAnsi="Palatino Linotype" w:cs="Palatino Linotype"/>
        </w:rPr>
      </w:pPr>
      <w:bookmarkStart w:id="2" w:name="_heading=h.pams53xt1pwn" w:colFirst="0" w:colLast="0"/>
      <w:bookmarkEnd w:id="2"/>
    </w:p>
    <w:p w14:paraId="532711C5" w14:textId="40026826" w:rsidR="00AF75C2" w:rsidRDefault="005F5589">
      <w:pPr>
        <w:spacing w:before="200" w:after="20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tenor se advierte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presentó los medios de impugnación, el día trece de </w:t>
      </w:r>
      <w:r w:rsidR="00F116F1">
        <w:rPr>
          <w:rFonts w:ascii="Palatino Linotype" w:eastAsia="Palatino Linotype" w:hAnsi="Palatino Linotype" w:cs="Palatino Linotype"/>
        </w:rPr>
        <w:t>julio y</w:t>
      </w:r>
      <w:r>
        <w:rPr>
          <w:rFonts w:ascii="Palatino Linotype" w:eastAsia="Palatino Linotype" w:hAnsi="Palatino Linotype" w:cs="Palatino Linotype"/>
        </w:rPr>
        <w:t xml:space="preserve">, en consecuencia, los Recursos de Revisión de mérito se encuentran dentro del plazo dispuesto en el artículo 178, de la Ley de Transparencia y Acceso a la Información Pública del Estado de México y Municipios. </w:t>
      </w:r>
    </w:p>
    <w:p w14:paraId="1CE1A356" w14:textId="77777777" w:rsidR="00AF75C2" w:rsidRDefault="00AF75C2">
      <w:pPr>
        <w:spacing w:line="360" w:lineRule="auto"/>
        <w:jc w:val="both"/>
        <w:rPr>
          <w:rFonts w:ascii="Palatino Linotype" w:eastAsia="Palatino Linotype" w:hAnsi="Palatino Linotype" w:cs="Palatino Linotype"/>
        </w:rPr>
      </w:pPr>
    </w:p>
    <w:p w14:paraId="1743DBE2" w14:textId="77777777" w:rsidR="00AF75C2" w:rsidRDefault="00AF75C2">
      <w:pPr>
        <w:spacing w:line="360" w:lineRule="auto"/>
        <w:jc w:val="both"/>
        <w:rPr>
          <w:rFonts w:ascii="Palatino Linotype" w:eastAsia="Palatino Linotype" w:hAnsi="Palatino Linotype" w:cs="Palatino Linotype"/>
        </w:rPr>
      </w:pPr>
    </w:p>
    <w:p w14:paraId="21572513" w14:textId="77777777" w:rsidR="00AF75C2" w:rsidRDefault="005F5589">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QUINTO</w:t>
      </w:r>
      <w:r>
        <w:rPr>
          <w:rFonts w:ascii="Palatino Linotype" w:eastAsia="Palatino Linotype" w:hAnsi="Palatino Linotype" w:cs="Palatino Linotype"/>
          <w:b/>
        </w:rPr>
        <w:t xml:space="preserve">. Procedibilidad. </w:t>
      </w:r>
    </w:p>
    <w:p w14:paraId="273617AE" w14:textId="77777777" w:rsidR="00AF75C2" w:rsidRDefault="005F558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61373684" w14:textId="77777777" w:rsidR="00AF75C2" w:rsidRDefault="00AF75C2">
      <w:pPr>
        <w:spacing w:line="360" w:lineRule="auto"/>
        <w:ind w:right="49"/>
        <w:jc w:val="both"/>
        <w:rPr>
          <w:rFonts w:ascii="Palatino Linotype" w:eastAsia="Palatino Linotype" w:hAnsi="Palatino Linotype" w:cs="Palatino Linotype"/>
        </w:rPr>
      </w:pPr>
    </w:p>
    <w:p w14:paraId="1E334AA9" w14:textId="77777777" w:rsidR="00AF75C2" w:rsidRDefault="005F5589">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180. </w:t>
      </w:r>
      <w:r>
        <w:rPr>
          <w:rFonts w:ascii="Palatino Linotype" w:eastAsia="Palatino Linotype" w:hAnsi="Palatino Linotype" w:cs="Palatino Linotype"/>
          <w:i/>
          <w:sz w:val="22"/>
          <w:szCs w:val="22"/>
        </w:rPr>
        <w:t>El Recurso de Revisión contendrá:</w:t>
      </w:r>
      <w:r>
        <w:rPr>
          <w:rFonts w:ascii="Palatino Linotype" w:eastAsia="Palatino Linotype" w:hAnsi="Palatino Linotype" w:cs="Palatino Linotype"/>
          <w:b/>
          <w:i/>
          <w:sz w:val="22"/>
          <w:szCs w:val="22"/>
        </w:rPr>
        <w:t xml:space="preserve"> </w:t>
      </w:r>
    </w:p>
    <w:p w14:paraId="30C3EDAB" w14:textId="77777777" w:rsidR="00AF75C2" w:rsidRDefault="005F5589">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67817C68" w14:textId="77777777" w:rsidR="00AF75C2" w:rsidRDefault="005F5589">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El nombre del solicitante </w:t>
      </w:r>
      <w:r>
        <w:rPr>
          <w:rFonts w:ascii="Palatino Linotype" w:eastAsia="Palatino Linotype" w:hAnsi="Palatino Linotype" w:cs="Palatino Linotype"/>
          <w:b/>
          <w:i/>
          <w:color w:val="222222"/>
          <w:sz w:val="22"/>
          <w:szCs w:val="22"/>
        </w:rPr>
        <w:t>que</w:t>
      </w:r>
      <w:r>
        <w:rPr>
          <w:rFonts w:ascii="Palatino Linotype" w:eastAsia="Palatino Linotype" w:hAnsi="Palatino Linotype" w:cs="Palatino Linotype"/>
          <w:b/>
          <w:i/>
          <w:sz w:val="22"/>
          <w:szCs w:val="22"/>
        </w:rPr>
        <w:t xml:space="preserve"> recurre </w:t>
      </w:r>
      <w:r>
        <w:rPr>
          <w:rFonts w:ascii="Palatino Linotype" w:eastAsia="Palatino Linotype" w:hAnsi="Palatino Linotype" w:cs="Palatino Linotype"/>
          <w:i/>
          <w:sz w:val="22"/>
          <w:szCs w:val="22"/>
        </w:rPr>
        <w:t>o de su representante y, en su caso, …</w:t>
      </w:r>
    </w:p>
    <w:p w14:paraId="6D8E7FF7" w14:textId="77777777" w:rsidR="00AF75C2" w:rsidRDefault="005F5589">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En caso de </w:t>
      </w:r>
      <w:r>
        <w:rPr>
          <w:rFonts w:ascii="Palatino Linotype" w:eastAsia="Palatino Linotype" w:hAnsi="Palatino Linotype" w:cs="Palatino Linotype"/>
          <w:b/>
          <w:i/>
          <w:color w:val="222222"/>
          <w:sz w:val="22"/>
          <w:szCs w:val="22"/>
        </w:rPr>
        <w:t>que</w:t>
      </w:r>
      <w:r>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Pr>
          <w:rFonts w:ascii="Palatino Linotype" w:eastAsia="Palatino Linotype" w:hAnsi="Palatino Linotype" w:cs="Palatino Linotype"/>
          <w:i/>
          <w:sz w:val="22"/>
          <w:szCs w:val="22"/>
        </w:rPr>
        <w:t>, IV, VII y VIII.</w:t>
      </w:r>
      <w:r>
        <w:rPr>
          <w:rFonts w:ascii="Palatino Linotype" w:eastAsia="Palatino Linotype" w:hAnsi="Palatino Linotype" w:cs="Palatino Linotype"/>
          <w:b/>
          <w:i/>
          <w:sz w:val="22"/>
          <w:szCs w:val="22"/>
        </w:rPr>
        <w:t>”</w:t>
      </w:r>
    </w:p>
    <w:p w14:paraId="0ED00CF0" w14:textId="77777777" w:rsidR="00AF75C2" w:rsidRDefault="005F5589">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5E8CFD5F" w14:textId="77777777" w:rsidR="00AF75C2" w:rsidRDefault="00AF75C2">
      <w:pPr>
        <w:tabs>
          <w:tab w:val="left" w:pos="851"/>
        </w:tabs>
        <w:ind w:right="901"/>
        <w:jc w:val="both"/>
        <w:rPr>
          <w:rFonts w:ascii="Palatino Linotype" w:eastAsia="Palatino Linotype" w:hAnsi="Palatino Linotype" w:cs="Palatino Linotype"/>
          <w:i/>
          <w:sz w:val="22"/>
          <w:szCs w:val="22"/>
        </w:rPr>
      </w:pPr>
    </w:p>
    <w:p w14:paraId="61E10977"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derivado que el Recurso de Revisión materia del presente asunto, se interpuso de manera electrónica, no es necesario que contenga determinados requisitos, entre ellos, el nombre</w:t>
      </w:r>
      <w:r>
        <w:rPr>
          <w:rFonts w:ascii="Palatino Linotype" w:eastAsia="Palatino Linotype" w:hAnsi="Palatino Linotype" w:cs="Palatino Linotype"/>
          <w:b/>
        </w:rPr>
        <w:t>;</w:t>
      </w:r>
      <w:r>
        <w:rPr>
          <w:rFonts w:ascii="Palatino Linotype" w:eastAsia="Palatino Linotype" w:hAnsi="Palatino Linotype" w:cs="Palatino Linotype"/>
        </w:rPr>
        <w:t xml:space="preserve"> por lo que, en el presente caso, al haber sido presentado el Recurso de Revisión vía </w:t>
      </w:r>
      <w:r>
        <w:rPr>
          <w:rFonts w:ascii="Palatino Linotype" w:eastAsia="Palatino Linotype" w:hAnsi="Palatino Linotype" w:cs="Palatino Linotype"/>
          <w:b/>
        </w:rPr>
        <w:t>SAIMEX</w:t>
      </w:r>
      <w:r>
        <w:rPr>
          <w:rFonts w:ascii="Palatino Linotype" w:eastAsia="Palatino Linotype" w:hAnsi="Palatino Linotype" w:cs="Palatino Linotype"/>
        </w:rPr>
        <w:t>, dicho requisito resulta innecesario.</w:t>
      </w:r>
    </w:p>
    <w:p w14:paraId="1134FFE9" w14:textId="77777777" w:rsidR="00AF75C2" w:rsidRDefault="00AF75C2">
      <w:pPr>
        <w:spacing w:line="360" w:lineRule="auto"/>
        <w:jc w:val="both"/>
        <w:rPr>
          <w:rFonts w:ascii="Palatino Linotype" w:eastAsia="Palatino Linotype" w:hAnsi="Palatino Linotype" w:cs="Palatino Linotype"/>
          <w:b/>
        </w:rPr>
      </w:pPr>
    </w:p>
    <w:p w14:paraId="394A53C7"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Pr>
          <w:rFonts w:ascii="Palatino Linotype" w:eastAsia="Palatino Linotype" w:hAnsi="Palatino Linotype" w:cs="Palatino Linotype"/>
          <w:b/>
          <w:u w:val="single"/>
        </w:rPr>
        <w:t xml:space="preserve">el </w:t>
      </w:r>
      <w:r>
        <w:rPr>
          <w:rFonts w:ascii="Palatino Linotype" w:eastAsia="Palatino Linotype" w:hAnsi="Palatino Linotype" w:cs="Palatino Linotype"/>
          <w:b/>
          <w:u w:val="single"/>
        </w:rPr>
        <w:lastRenderedPageBreak/>
        <w:t xml:space="preserve">nombre no es un requisito </w:t>
      </w:r>
      <w:r>
        <w:rPr>
          <w:rFonts w:ascii="Palatino Linotype" w:eastAsia="Palatino Linotype" w:hAnsi="Palatino Linotype" w:cs="Palatino Linotype"/>
          <w:b/>
          <w:i/>
          <w:u w:val="single"/>
        </w:rPr>
        <w:t>sine qua non</w:t>
      </w:r>
      <w:r>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737CD3BB" w14:textId="77777777" w:rsidR="00AF75C2" w:rsidRDefault="00AF75C2">
      <w:pPr>
        <w:spacing w:line="360" w:lineRule="auto"/>
        <w:jc w:val="both"/>
        <w:rPr>
          <w:rFonts w:ascii="Palatino Linotype" w:eastAsia="Palatino Linotype" w:hAnsi="Palatino Linotype" w:cs="Palatino Linotype"/>
        </w:rPr>
      </w:pPr>
    </w:p>
    <w:p w14:paraId="16D38FFE" w14:textId="77777777" w:rsidR="00AF75C2" w:rsidRDefault="005F558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4D47BBD8" w14:textId="77777777" w:rsidR="00AF75C2" w:rsidRDefault="00AF75C2">
      <w:pPr>
        <w:tabs>
          <w:tab w:val="left" w:pos="851"/>
        </w:tabs>
        <w:ind w:left="851" w:right="901"/>
        <w:jc w:val="both"/>
        <w:rPr>
          <w:rFonts w:ascii="Palatino Linotype" w:eastAsia="Palatino Linotype" w:hAnsi="Palatino Linotype" w:cs="Palatino Linotype"/>
          <w:sz w:val="22"/>
          <w:szCs w:val="22"/>
        </w:rPr>
      </w:pPr>
    </w:p>
    <w:p w14:paraId="53FE2CA0"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se estima que el requisito relativo al nombre de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Pr>
          <w:rFonts w:ascii="Palatino Linotype" w:eastAsia="Palatino Linotype" w:hAnsi="Palatino Linotype" w:cs="Palatino Linotype"/>
        </w:rPr>
        <w:lastRenderedPageBreak/>
        <w:t xml:space="preserve">de las que se desprende que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 es la misma persona que realizó la solicitud de Acceso a la Información Pública que ahora se impugna.</w:t>
      </w:r>
    </w:p>
    <w:p w14:paraId="5902EA30" w14:textId="77777777" w:rsidR="00AF75C2" w:rsidRDefault="00AF75C2">
      <w:pPr>
        <w:tabs>
          <w:tab w:val="left" w:pos="851"/>
        </w:tabs>
        <w:ind w:left="851" w:right="901"/>
        <w:jc w:val="both"/>
        <w:rPr>
          <w:rFonts w:ascii="Palatino Linotype" w:eastAsia="Palatino Linotype" w:hAnsi="Palatino Linotype" w:cs="Palatino Linotype"/>
          <w:sz w:val="22"/>
          <w:szCs w:val="22"/>
        </w:rPr>
      </w:pPr>
    </w:p>
    <w:p w14:paraId="5FDF1B23"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0D20F68B" w14:textId="77777777" w:rsidR="00AF75C2" w:rsidRDefault="00AF75C2">
      <w:pPr>
        <w:spacing w:line="360" w:lineRule="auto"/>
        <w:jc w:val="both"/>
        <w:rPr>
          <w:rFonts w:ascii="Palatino Linotype" w:eastAsia="Palatino Linotype" w:hAnsi="Palatino Linotype" w:cs="Palatino Linotype"/>
          <w:b/>
          <w:sz w:val="28"/>
          <w:szCs w:val="28"/>
        </w:rPr>
      </w:pPr>
    </w:p>
    <w:p w14:paraId="449EEA65" w14:textId="77777777" w:rsidR="00AF75C2" w:rsidRDefault="005F558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SEXTO</w:t>
      </w:r>
      <w:r>
        <w:rPr>
          <w:rFonts w:ascii="Palatino Linotype" w:eastAsia="Palatino Linotype" w:hAnsi="Palatino Linotype" w:cs="Palatino Linotype"/>
          <w:b/>
        </w:rPr>
        <w:t xml:space="preserve">. Estudio y resolución del asunto. </w:t>
      </w:r>
    </w:p>
    <w:p w14:paraId="1F92EB80" w14:textId="4010CCC1" w:rsidR="00AF75C2" w:rsidRDefault="005F558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primer lugar, es conveniente recordar que, en su conjunto, el particular solicitó del </w:t>
      </w:r>
      <w:r>
        <w:rPr>
          <w:rFonts w:ascii="Palatino Linotype" w:eastAsia="Palatino Linotype" w:hAnsi="Palatino Linotype" w:cs="Palatino Linotype"/>
          <w:b/>
        </w:rPr>
        <w:t xml:space="preserve">SUJETO </w:t>
      </w:r>
      <w:r w:rsidR="00F116F1">
        <w:rPr>
          <w:rFonts w:ascii="Palatino Linotype" w:eastAsia="Palatino Linotype" w:hAnsi="Palatino Linotype" w:cs="Palatino Linotype"/>
          <w:b/>
        </w:rPr>
        <w:t>OBLIGADO</w:t>
      </w:r>
      <w:r w:rsidR="00F116F1">
        <w:rPr>
          <w:rFonts w:ascii="Palatino Linotype" w:eastAsia="Palatino Linotype" w:hAnsi="Palatino Linotype" w:cs="Palatino Linotype"/>
        </w:rPr>
        <w:t xml:space="preserve"> lo</w:t>
      </w:r>
      <w:r>
        <w:rPr>
          <w:rFonts w:ascii="Palatino Linotype" w:eastAsia="Palatino Linotype" w:hAnsi="Palatino Linotype" w:cs="Palatino Linotype"/>
        </w:rPr>
        <w:t xml:space="preserve"> siguiente:</w:t>
      </w:r>
    </w:p>
    <w:p w14:paraId="626159ED" w14:textId="77777777" w:rsidR="00AF75C2" w:rsidRDefault="00AF75C2">
      <w:pPr>
        <w:spacing w:line="360" w:lineRule="auto"/>
        <w:jc w:val="both"/>
        <w:rPr>
          <w:rFonts w:ascii="Palatino Linotype" w:eastAsia="Palatino Linotype" w:hAnsi="Palatino Linotype" w:cs="Palatino Linotype"/>
        </w:rPr>
      </w:pPr>
    </w:p>
    <w:tbl>
      <w:tblPr>
        <w:tblStyle w:val="affffffffff8"/>
        <w:tblW w:w="8970" w:type="dxa"/>
        <w:tblInd w:w="265" w:type="dxa"/>
        <w:tblBorders>
          <w:top w:val="nil"/>
          <w:left w:val="nil"/>
          <w:bottom w:val="nil"/>
          <w:right w:val="nil"/>
          <w:insideH w:val="nil"/>
          <w:insideV w:val="nil"/>
        </w:tblBorders>
        <w:tblLayout w:type="fixed"/>
        <w:tblLook w:val="0600" w:firstRow="0" w:lastRow="0" w:firstColumn="0" w:lastColumn="0" w:noHBand="1" w:noVBand="1"/>
      </w:tblPr>
      <w:tblGrid>
        <w:gridCol w:w="3585"/>
        <w:gridCol w:w="5385"/>
      </w:tblGrid>
      <w:tr w:rsidR="00AF75C2" w14:paraId="4D292401" w14:textId="77777777">
        <w:trPr>
          <w:trHeight w:val="465"/>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C3BD6D" w14:textId="77777777" w:rsidR="00AF75C2" w:rsidRDefault="005F5589">
            <w:pPr>
              <w:widowControl w:val="0"/>
              <w:jc w:val="center"/>
              <w:rPr>
                <w:sz w:val="20"/>
                <w:szCs w:val="20"/>
              </w:rPr>
            </w:pPr>
            <w:r>
              <w:rPr>
                <w:rFonts w:ascii="Palatino Linotype" w:eastAsia="Palatino Linotype" w:hAnsi="Palatino Linotype" w:cs="Palatino Linotype"/>
                <w:b/>
                <w:u w:val="single"/>
              </w:rPr>
              <w:t>Número de Folio de la Solicitud</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46E0C1" w14:textId="77777777" w:rsidR="00AF75C2" w:rsidRDefault="005F5589">
            <w:pPr>
              <w:widowControl w:val="0"/>
              <w:jc w:val="center"/>
              <w:rPr>
                <w:sz w:val="20"/>
                <w:szCs w:val="20"/>
              </w:rPr>
            </w:pPr>
            <w:r>
              <w:rPr>
                <w:rFonts w:ascii="Palatino Linotype" w:eastAsia="Palatino Linotype" w:hAnsi="Palatino Linotype" w:cs="Palatino Linotype"/>
                <w:b/>
                <w:u w:val="single"/>
              </w:rPr>
              <w:t xml:space="preserve">Solicitud </w:t>
            </w:r>
          </w:p>
        </w:tc>
      </w:tr>
      <w:tr w:rsidR="00AF75C2" w14:paraId="5FFD7418"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5716AD" w14:textId="77777777" w:rsidR="00AF75C2" w:rsidRDefault="005F558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05835/DIFMETEPEC/IP/2022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0DBC4C" w14:textId="77777777" w:rsidR="00AF75C2" w:rsidRDefault="005F5589">
            <w:pPr>
              <w:widowControl w:val="0"/>
              <w:spacing w:line="276" w:lineRule="auto"/>
              <w:rPr>
                <w:rFonts w:ascii="Palatino Linotype" w:eastAsia="Palatino Linotype" w:hAnsi="Palatino Linotype" w:cs="Palatino Linotype"/>
                <w:i/>
              </w:rPr>
            </w:pPr>
            <w:r>
              <w:rPr>
                <w:rFonts w:ascii="Palatino Linotype" w:eastAsia="Palatino Linotype" w:hAnsi="Palatino Linotype" w:cs="Palatino Linotype"/>
                <w:i/>
              </w:rPr>
              <w:t>“Todos los medios de comunicación contratados, los contratos con medios de comunicación m presupuesto autorizado a medios de comunicación cuanto se les q pasado y por qué concepto de enero q julio 2022” (Sic)</w:t>
            </w:r>
          </w:p>
        </w:tc>
      </w:tr>
      <w:tr w:rsidR="00AF75C2" w14:paraId="4B56790F"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5B974F" w14:textId="77777777" w:rsidR="00AF75C2" w:rsidRDefault="005F558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05836/DIFMETEPEC/IP/2022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C87C53" w14:textId="77777777" w:rsidR="00AF75C2" w:rsidRDefault="005F5589">
            <w:pPr>
              <w:widowControl w:val="0"/>
              <w:spacing w:line="276" w:lineRule="auto"/>
              <w:rPr>
                <w:rFonts w:ascii="Palatino Linotype" w:eastAsia="Palatino Linotype" w:hAnsi="Palatino Linotype" w:cs="Palatino Linotype"/>
                <w:i/>
              </w:rPr>
            </w:pPr>
            <w:r>
              <w:rPr>
                <w:rFonts w:ascii="Palatino Linotype" w:eastAsia="Palatino Linotype" w:hAnsi="Palatino Linotype" w:cs="Palatino Linotype"/>
                <w:i/>
              </w:rPr>
              <w:t>“Todos los medios de comunicación contratados, los contratos con medios de comunicación m presupuesto autorizado a medios de comunicación cuanto se les q pasado y por qué concepto de enero q julio 20223” (Sic)</w:t>
            </w:r>
          </w:p>
        </w:tc>
      </w:tr>
      <w:tr w:rsidR="00AF75C2" w14:paraId="11E7F875"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6F066C" w14:textId="77777777" w:rsidR="00AF75C2" w:rsidRDefault="005F558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05837/DIFMETEPEC/IP/2022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562C22" w14:textId="77777777" w:rsidR="00AF75C2" w:rsidRDefault="005F5589">
            <w:pPr>
              <w:widowControl w:val="0"/>
              <w:spacing w:line="276" w:lineRule="auto"/>
              <w:rPr>
                <w:rFonts w:ascii="Palatino Linotype" w:eastAsia="Palatino Linotype" w:hAnsi="Palatino Linotype" w:cs="Palatino Linotype"/>
                <w:i/>
              </w:rPr>
            </w:pPr>
            <w:r>
              <w:rPr>
                <w:rFonts w:ascii="Palatino Linotype" w:eastAsia="Palatino Linotype" w:hAnsi="Palatino Linotype" w:cs="Palatino Linotype"/>
                <w:i/>
              </w:rPr>
              <w:t xml:space="preserve">“Todos los medios de comunicación contratados de enero a junio 22 los contrarios de prestación de servicio cuanto se les </w:t>
            </w:r>
            <w:proofErr w:type="spellStart"/>
            <w:r>
              <w:rPr>
                <w:rFonts w:ascii="Palatino Linotype" w:eastAsia="Palatino Linotype" w:hAnsi="Palatino Linotype" w:cs="Palatino Linotype"/>
                <w:i/>
              </w:rPr>
              <w:t>a</w:t>
            </w:r>
            <w:proofErr w:type="spellEnd"/>
            <w:r>
              <w:rPr>
                <w:rFonts w:ascii="Palatino Linotype" w:eastAsia="Palatino Linotype" w:hAnsi="Palatino Linotype" w:cs="Palatino Linotype"/>
                <w:i/>
              </w:rPr>
              <w:t xml:space="preserve"> pagado y por qué concepto el nombre del medio y del representante legal” (SIC)</w:t>
            </w:r>
          </w:p>
        </w:tc>
      </w:tr>
    </w:tbl>
    <w:p w14:paraId="0B336DC2" w14:textId="77777777" w:rsidR="00AF75C2" w:rsidRDefault="00AF75C2">
      <w:pPr>
        <w:spacing w:line="360" w:lineRule="auto"/>
        <w:ind w:right="49"/>
        <w:jc w:val="both"/>
        <w:rPr>
          <w:rFonts w:ascii="Palatino Linotype" w:eastAsia="Palatino Linotype" w:hAnsi="Palatino Linotype" w:cs="Palatino Linotype"/>
        </w:rPr>
      </w:pPr>
    </w:p>
    <w:p w14:paraId="4F06695E" w14:textId="7B197572" w:rsidR="00AF75C2" w:rsidRDefault="005F558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 lo </w:t>
      </w:r>
      <w:r w:rsidR="00F116F1">
        <w:rPr>
          <w:rFonts w:ascii="Palatino Linotype" w:eastAsia="Palatino Linotype" w:hAnsi="Palatino Linotype" w:cs="Palatino Linotype"/>
        </w:rPr>
        <w:t>que,</w:t>
      </w:r>
      <w:r>
        <w:rPr>
          <w:rFonts w:ascii="Palatino Linotype" w:eastAsia="Palatino Linotype" w:hAnsi="Palatino Linotype" w:cs="Palatino Linotype"/>
        </w:rPr>
        <w:t xml:space="preserve"> en respuesta,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señaló en respuesta por medio de titular de la Unidad de Transparencia que no se había realizado </w:t>
      </w:r>
      <w:r w:rsidR="00F116F1">
        <w:rPr>
          <w:rFonts w:ascii="Palatino Linotype" w:eastAsia="Palatino Linotype" w:hAnsi="Palatino Linotype" w:cs="Palatino Linotype"/>
        </w:rPr>
        <w:t>ningún</w:t>
      </w:r>
      <w:r>
        <w:rPr>
          <w:rFonts w:ascii="Palatino Linotype" w:eastAsia="Palatino Linotype" w:hAnsi="Palatino Linotype" w:cs="Palatino Linotype"/>
        </w:rPr>
        <w:t xml:space="preserve"> contrato por el concepto solicitado, ya que no hay </w:t>
      </w:r>
      <w:r w:rsidR="00F116F1">
        <w:rPr>
          <w:rFonts w:ascii="Palatino Linotype" w:eastAsia="Palatino Linotype" w:hAnsi="Palatino Linotype" w:cs="Palatino Linotype"/>
        </w:rPr>
        <w:t>partida</w:t>
      </w:r>
      <w:r>
        <w:rPr>
          <w:rFonts w:ascii="Palatino Linotype" w:eastAsia="Palatino Linotype" w:hAnsi="Palatino Linotype" w:cs="Palatino Linotype"/>
        </w:rPr>
        <w:t xml:space="preserve"> presupuestal aprobada para ello. </w:t>
      </w:r>
    </w:p>
    <w:p w14:paraId="44051656" w14:textId="5D229650" w:rsidR="00AF75C2" w:rsidRDefault="005F558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Motivo por el cual el particular se inconforma señalando que le fue negada la </w:t>
      </w:r>
      <w:r w:rsidR="00F116F1">
        <w:rPr>
          <w:rFonts w:ascii="Palatino Linotype" w:eastAsia="Palatino Linotype" w:hAnsi="Palatino Linotype" w:cs="Palatino Linotype"/>
        </w:rPr>
        <w:t>información</w:t>
      </w:r>
      <w:r>
        <w:rPr>
          <w:rFonts w:ascii="Palatino Linotype" w:eastAsia="Palatino Linotype" w:hAnsi="Palatino Linotype" w:cs="Palatino Linotype"/>
        </w:rPr>
        <w:t xml:space="preserve"> solicitada, lo que, en consecuencia actualiza la causal de procedencia establecida en el artículo 179 de la Ley de Transparencia y acceso a la Información Pública del Estado de México y </w:t>
      </w:r>
      <w:r w:rsidR="00A33A03">
        <w:rPr>
          <w:rFonts w:ascii="Palatino Linotype" w:eastAsia="Palatino Linotype" w:hAnsi="Palatino Linotype" w:cs="Palatino Linotype"/>
        </w:rPr>
        <w:t>Municipios en</w:t>
      </w:r>
      <w:r>
        <w:rPr>
          <w:rFonts w:ascii="Palatino Linotype" w:eastAsia="Palatino Linotype" w:hAnsi="Palatino Linotype" w:cs="Palatino Linotype"/>
        </w:rPr>
        <w:t xml:space="preserve"> su fracción I que señala lo </w:t>
      </w:r>
      <w:proofErr w:type="gramStart"/>
      <w:r>
        <w:rPr>
          <w:rFonts w:ascii="Palatino Linotype" w:eastAsia="Palatino Linotype" w:hAnsi="Palatino Linotype" w:cs="Palatino Linotype"/>
        </w:rPr>
        <w:t>siguiente :</w:t>
      </w:r>
      <w:proofErr w:type="gramEnd"/>
    </w:p>
    <w:p w14:paraId="1236BD42" w14:textId="77777777" w:rsidR="00AF75C2" w:rsidRDefault="005F5589">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El recurso de revisión es un medio de protección que la Ley otorga a los particulares, para hacer valer su derecho de acceso a la información pública, y procederá en contra de las siguientes causas:</w:t>
      </w:r>
    </w:p>
    <w:p w14:paraId="5907428D" w14:textId="77777777" w:rsidR="00AF75C2" w:rsidRDefault="005F5589">
      <w:pPr>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p>
    <w:p w14:paraId="0690F032" w14:textId="77777777" w:rsidR="00AF75C2" w:rsidRDefault="005F5589">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015B60E5" w14:textId="77777777" w:rsidR="00AF75C2" w:rsidRDefault="00AF75C2">
      <w:pPr>
        <w:widowControl w:val="0"/>
        <w:spacing w:line="360" w:lineRule="auto"/>
        <w:jc w:val="both"/>
        <w:rPr>
          <w:rFonts w:ascii="Palatino Linotype" w:eastAsia="Palatino Linotype" w:hAnsi="Palatino Linotype" w:cs="Palatino Linotype"/>
        </w:rPr>
      </w:pPr>
    </w:p>
    <w:p w14:paraId="29A0E38B" w14:textId="77777777" w:rsidR="00AF75C2" w:rsidRDefault="005F5589">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cual, lo procedente es analizar la totalidad de las constancias que obran en el expediente electrónico del SAIMEX para determinar si con ellas se puede colmar el derecho de acceso a la información del particular. </w:t>
      </w:r>
    </w:p>
    <w:p w14:paraId="1C4627BD" w14:textId="77777777" w:rsidR="00AF75C2" w:rsidRDefault="00AF75C2">
      <w:pPr>
        <w:widowControl w:val="0"/>
        <w:spacing w:line="360" w:lineRule="auto"/>
        <w:jc w:val="both"/>
        <w:rPr>
          <w:rFonts w:ascii="Palatino Linotype" w:eastAsia="Palatino Linotype" w:hAnsi="Palatino Linotype" w:cs="Palatino Linotype"/>
        </w:rPr>
      </w:pPr>
    </w:p>
    <w:p w14:paraId="4A6F2D47" w14:textId="77777777" w:rsidR="00AF75C2" w:rsidRDefault="005F5589">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pues, es de señalar que la Ley de Transparencia y Acceso a la Información Pública del Estado de México y Municipios que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628D40D" w14:textId="77777777" w:rsidR="00AF75C2" w:rsidRDefault="005F5589">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75BAB07" w14:textId="77777777" w:rsidR="00AF75C2" w:rsidRDefault="005F5589">
      <w:pPr>
        <w:ind w:left="709" w:right="760"/>
        <w:jc w:val="both"/>
        <w:rPr>
          <w:rFonts w:ascii="Palatino Linotype" w:eastAsia="Palatino Linotype" w:hAnsi="Palatino Linotype" w:cs="Palatino Linotype"/>
          <w:i/>
          <w:sz w:val="22"/>
          <w:szCs w:val="22"/>
        </w:rPr>
      </w:pPr>
      <w:bookmarkStart w:id="3" w:name="_heading=h.gjdgxs" w:colFirst="0" w:colLast="0"/>
      <w:bookmarkEnd w:id="3"/>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2BCD6C6" w14:textId="77777777" w:rsidR="00AF75C2" w:rsidRDefault="005F5589">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018862B8" w14:textId="77777777" w:rsidR="00AF75C2" w:rsidRDefault="00AF75C2">
      <w:pPr>
        <w:spacing w:line="360" w:lineRule="auto"/>
        <w:jc w:val="both"/>
        <w:rPr>
          <w:rFonts w:ascii="Palatino Linotype" w:eastAsia="Palatino Linotype" w:hAnsi="Palatino Linotype" w:cs="Palatino Linotype"/>
        </w:rPr>
      </w:pPr>
    </w:p>
    <w:p w14:paraId="683FD8D3"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w:t>
      </w:r>
      <w:r>
        <w:rPr>
          <w:rFonts w:ascii="Palatino Linotype" w:eastAsia="Palatino Linotype" w:hAnsi="Palatino Linotype" w:cs="Palatino Linotype"/>
        </w:rPr>
        <w:lastRenderedPageBreak/>
        <w:t>solicitante; como así lo establece el artículo 12 de la Ley de Transparencia y Acceso a la Información Pública del Estado de México y Municipios, que a la letra dice:</w:t>
      </w:r>
    </w:p>
    <w:p w14:paraId="746E0864" w14:textId="77777777" w:rsidR="00AF75C2" w:rsidRDefault="005F5589">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C44E5A8" w14:textId="77777777" w:rsidR="00AF75C2" w:rsidRDefault="00AF75C2">
      <w:pPr>
        <w:ind w:left="567" w:right="758"/>
        <w:jc w:val="both"/>
        <w:rPr>
          <w:rFonts w:ascii="Palatino Linotype" w:eastAsia="Palatino Linotype" w:hAnsi="Palatino Linotype" w:cs="Palatino Linotype"/>
          <w:i/>
          <w:sz w:val="22"/>
          <w:szCs w:val="22"/>
        </w:rPr>
      </w:pPr>
    </w:p>
    <w:p w14:paraId="3A2B254A" w14:textId="77777777" w:rsidR="00AF75C2" w:rsidRDefault="005F5589">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obligación de proporcionar información no comprende el procesamiento de </w:t>
      </w:r>
      <w:proofErr w:type="gramStart"/>
      <w:r>
        <w:rPr>
          <w:rFonts w:ascii="Palatino Linotype" w:eastAsia="Palatino Linotype" w:hAnsi="Palatino Linotype" w:cs="Palatino Linotype"/>
          <w:b/>
          <w:i/>
          <w:sz w:val="22"/>
          <w:szCs w:val="22"/>
        </w:rPr>
        <w:t>la misma</w:t>
      </w:r>
      <w:proofErr w:type="gramEnd"/>
      <w:r>
        <w:rPr>
          <w:rFonts w:ascii="Palatino Linotype" w:eastAsia="Palatino Linotype" w:hAnsi="Palatino Linotype" w:cs="Palatino Linotype"/>
          <w:b/>
          <w:i/>
          <w:sz w:val="22"/>
          <w:szCs w:val="22"/>
        </w:rPr>
        <w:t>, ni el presentarla conforme al interés del solicitante; no estarán obligados a generarla, resumirla, efectuar cálculos o practicar investigaciones.” (Sic)</w:t>
      </w:r>
    </w:p>
    <w:p w14:paraId="244257C2" w14:textId="77777777" w:rsidR="00AF75C2" w:rsidRDefault="00AF75C2">
      <w:pPr>
        <w:spacing w:line="360" w:lineRule="auto"/>
        <w:ind w:right="-93"/>
        <w:jc w:val="both"/>
        <w:rPr>
          <w:rFonts w:ascii="Palatino Linotype" w:eastAsia="Palatino Linotype" w:hAnsi="Palatino Linotype" w:cs="Palatino Linotype"/>
        </w:rPr>
      </w:pPr>
    </w:p>
    <w:p w14:paraId="202D7915"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esa tesitura, el artículo 24 en su último párrafo de la Ley de Transparencia, Acceso a la Información Pública del Estado de México y Municipios,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B8AD8AC" w14:textId="77777777" w:rsidR="00AF75C2" w:rsidRDefault="00AF75C2">
      <w:pPr>
        <w:spacing w:line="360" w:lineRule="auto"/>
        <w:jc w:val="both"/>
        <w:rPr>
          <w:rFonts w:ascii="Palatino Linotype" w:eastAsia="Palatino Linotype" w:hAnsi="Palatino Linotype" w:cs="Palatino Linotype"/>
        </w:rPr>
      </w:pPr>
    </w:p>
    <w:p w14:paraId="68A7013E" w14:textId="77777777" w:rsidR="00AF75C2" w:rsidRDefault="005F558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9E7A1A8" w14:textId="77777777" w:rsidR="00AF75C2" w:rsidRDefault="00AF75C2">
      <w:pPr>
        <w:spacing w:line="360" w:lineRule="auto"/>
        <w:ind w:right="49"/>
        <w:jc w:val="both"/>
        <w:rPr>
          <w:rFonts w:ascii="Palatino Linotype" w:eastAsia="Palatino Linotype" w:hAnsi="Palatino Linotype" w:cs="Palatino Linotype"/>
        </w:rPr>
      </w:pPr>
    </w:p>
    <w:p w14:paraId="763186B7"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50A0EC4" w14:textId="77777777" w:rsidR="00AF75C2" w:rsidRDefault="00AF75C2">
      <w:pPr>
        <w:ind w:left="851" w:right="899"/>
        <w:jc w:val="both"/>
        <w:rPr>
          <w:rFonts w:ascii="Palatino Linotype" w:eastAsia="Palatino Linotype" w:hAnsi="Palatino Linotype" w:cs="Palatino Linotype"/>
          <w:i/>
          <w:sz w:val="22"/>
          <w:szCs w:val="22"/>
        </w:rPr>
      </w:pPr>
    </w:p>
    <w:p w14:paraId="4DE571CF" w14:textId="77777777" w:rsidR="00AF75C2" w:rsidRDefault="005F558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764BEEA8" w14:textId="77777777" w:rsidR="00AF75C2" w:rsidRDefault="005F558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A0FA8C7" w14:textId="77777777" w:rsidR="00AF75C2" w:rsidRDefault="005F558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5CABCFA" w14:textId="77777777" w:rsidR="00AF75C2" w:rsidRDefault="00AF75C2">
      <w:pPr>
        <w:ind w:left="851" w:right="899"/>
        <w:jc w:val="both"/>
        <w:rPr>
          <w:rFonts w:ascii="Palatino Linotype" w:eastAsia="Palatino Linotype" w:hAnsi="Palatino Linotype" w:cs="Palatino Linotype"/>
          <w:sz w:val="22"/>
          <w:szCs w:val="22"/>
        </w:rPr>
      </w:pPr>
    </w:p>
    <w:p w14:paraId="6DC07EC3" w14:textId="77777777" w:rsidR="00AF75C2" w:rsidRDefault="00AF75C2">
      <w:pPr>
        <w:spacing w:line="360" w:lineRule="auto"/>
        <w:ind w:right="49"/>
        <w:jc w:val="both"/>
        <w:rPr>
          <w:rFonts w:ascii="Palatino Linotype" w:eastAsia="Palatino Linotype" w:hAnsi="Palatino Linotype" w:cs="Palatino Linotype"/>
        </w:rPr>
      </w:pPr>
    </w:p>
    <w:p w14:paraId="0CCBE4AC" w14:textId="77777777" w:rsidR="00AF75C2" w:rsidRDefault="005F558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la interpretación sistemática y armónica de los preceptos anteriores, se puede señalar que los Sujetos Obligados, deben privilegiar el derecho de Acceso a la Información pública y el principio de máxima publicidad, poniendo a disposición de los particulares toda aquella información que generan poseen o administran en </w:t>
      </w:r>
      <w:r>
        <w:rPr>
          <w:rFonts w:ascii="Palatino Linotype" w:eastAsia="Palatino Linotype" w:hAnsi="Palatino Linotype" w:cs="Palatino Linotype"/>
        </w:rPr>
        <w:lastRenderedPageBreak/>
        <w:t xml:space="preserve">ejercicio de sus funciones, y que además conste un soporte documental como los son oficios, circulares, actas, entre otros. </w:t>
      </w:r>
    </w:p>
    <w:p w14:paraId="05104845" w14:textId="77777777" w:rsidR="00AF75C2" w:rsidRDefault="005F558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señalado lo anterior, cabe precisar que  el penúltimo párrafo, del artículo 23 de la Ley de Transparencia y Acceso a la Información Pública del Estado de México y Municipios,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como se observa a continuación: </w:t>
      </w:r>
    </w:p>
    <w:p w14:paraId="5CB131DE" w14:textId="77777777" w:rsidR="00AF75C2" w:rsidRDefault="00AF75C2">
      <w:pPr>
        <w:ind w:right="50"/>
        <w:jc w:val="both"/>
        <w:rPr>
          <w:rFonts w:ascii="Palatino Linotype" w:eastAsia="Palatino Linotype" w:hAnsi="Palatino Linotype" w:cs="Palatino Linotype"/>
        </w:rPr>
      </w:pPr>
    </w:p>
    <w:p w14:paraId="14D2F156" w14:textId="77777777" w:rsidR="00AF75C2" w:rsidRDefault="005F5589">
      <w:pPr>
        <w:spacing w:line="276" w:lineRule="auto"/>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23…</w:t>
      </w:r>
    </w:p>
    <w:p w14:paraId="7B8121FE" w14:textId="77777777" w:rsidR="00AF75C2" w:rsidRDefault="00AF75C2">
      <w:pPr>
        <w:spacing w:line="276" w:lineRule="auto"/>
        <w:ind w:left="851" w:right="901"/>
        <w:jc w:val="both"/>
        <w:rPr>
          <w:rFonts w:ascii="Palatino Linotype" w:eastAsia="Palatino Linotype" w:hAnsi="Palatino Linotype" w:cs="Palatino Linotype"/>
          <w:i/>
          <w:sz w:val="22"/>
          <w:szCs w:val="22"/>
        </w:rPr>
      </w:pPr>
    </w:p>
    <w:p w14:paraId="2401FE7E" w14:textId="77777777" w:rsidR="00AF75C2" w:rsidRDefault="005F5589">
      <w:pPr>
        <w:spacing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recursos…(Sic)”</w:t>
      </w:r>
    </w:p>
    <w:p w14:paraId="7B8CECEE" w14:textId="77777777" w:rsidR="00AF75C2" w:rsidRDefault="00AF75C2">
      <w:pPr>
        <w:spacing w:line="276" w:lineRule="auto"/>
        <w:ind w:left="851" w:right="901"/>
        <w:jc w:val="both"/>
        <w:rPr>
          <w:rFonts w:ascii="Palatino Linotype" w:eastAsia="Palatino Linotype" w:hAnsi="Palatino Linotype" w:cs="Palatino Linotype"/>
          <w:i/>
          <w:sz w:val="22"/>
          <w:szCs w:val="22"/>
        </w:rPr>
      </w:pPr>
    </w:p>
    <w:p w14:paraId="686A5966" w14:textId="42091191"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sobre toda vez que se trata de un contrato, este puede derivar de una licitación, adjudicaciones o invitación </w:t>
      </w:r>
      <w:r w:rsidR="00A33A03">
        <w:rPr>
          <w:rFonts w:ascii="Palatino Linotype" w:eastAsia="Palatino Linotype" w:hAnsi="Palatino Linotype" w:cs="Palatino Linotype"/>
        </w:rPr>
        <w:t>restringida</w:t>
      </w:r>
      <w:r>
        <w:rPr>
          <w:rFonts w:ascii="Palatino Linotype" w:eastAsia="Palatino Linotype" w:hAnsi="Palatino Linotype" w:cs="Palatino Linotype"/>
        </w:rPr>
        <w:t>, información que encuadra en una obligación de transparencia que se debe pública en el IPOMEX (Información pública de oficio mexiquense), de la cual se debe generar expediente respectivo, entre la que podemos encontrar la siguiente conforme a lo señalado por el artículo 92, fracción XXIX, de la Ley de la Materia, que señala:</w:t>
      </w:r>
    </w:p>
    <w:p w14:paraId="52F49078" w14:textId="77777777" w:rsidR="00AF75C2" w:rsidRDefault="00AF75C2">
      <w:pPr>
        <w:ind w:left="992" w:right="1043"/>
        <w:jc w:val="both"/>
        <w:rPr>
          <w:rFonts w:ascii="Palatino Linotype" w:eastAsia="Palatino Linotype" w:hAnsi="Palatino Linotype" w:cs="Palatino Linotype"/>
          <w:i/>
          <w:sz w:val="22"/>
          <w:szCs w:val="22"/>
        </w:rPr>
      </w:pPr>
    </w:p>
    <w:p w14:paraId="0B573373" w14:textId="77777777" w:rsidR="00AF75C2" w:rsidRDefault="005F558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w:t>
      </w:r>
    </w:p>
    <w:p w14:paraId="2B5D6CD0" w14:textId="77777777" w:rsidR="00AF75C2" w:rsidRDefault="005F558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XXIX. La información sobre los procesos y resultados sobre procedimientos de </w:t>
      </w:r>
      <w:r>
        <w:rPr>
          <w:rFonts w:ascii="Palatino Linotype" w:eastAsia="Palatino Linotype" w:hAnsi="Palatino Linotype" w:cs="Palatino Linotype"/>
          <w:b/>
          <w:i/>
          <w:sz w:val="22"/>
          <w:szCs w:val="22"/>
          <w:u w:val="single"/>
        </w:rPr>
        <w:t>adjudicación directa, invitación restringida y licitación de cualquier naturaleza</w:t>
      </w:r>
      <w:r>
        <w:rPr>
          <w:rFonts w:ascii="Palatino Linotype" w:eastAsia="Palatino Linotype" w:hAnsi="Palatino Linotype" w:cs="Palatino Linotype"/>
          <w:b/>
          <w:i/>
          <w:sz w:val="22"/>
          <w:szCs w:val="22"/>
        </w:rPr>
        <w:t>, incluyendo la versión pública</w:t>
      </w:r>
      <w:r>
        <w:rPr>
          <w:rFonts w:ascii="Palatino Linotype" w:eastAsia="Palatino Linotype" w:hAnsi="Palatino Linotype" w:cs="Palatino Linotype"/>
          <w:i/>
          <w:sz w:val="22"/>
          <w:szCs w:val="22"/>
        </w:rPr>
        <w:t xml:space="preserve"> del </w:t>
      </w:r>
      <w:r>
        <w:rPr>
          <w:rFonts w:ascii="Palatino Linotype" w:eastAsia="Palatino Linotype" w:hAnsi="Palatino Linotype" w:cs="Palatino Linotype"/>
          <w:b/>
          <w:i/>
          <w:sz w:val="22"/>
          <w:szCs w:val="22"/>
          <w:u w:val="single"/>
        </w:rPr>
        <w:t>expediente respectivo y de los contratos celebrados</w:t>
      </w:r>
      <w:r>
        <w:rPr>
          <w:rFonts w:ascii="Palatino Linotype" w:eastAsia="Palatino Linotype" w:hAnsi="Palatino Linotype" w:cs="Palatino Linotype"/>
          <w:i/>
          <w:sz w:val="22"/>
          <w:szCs w:val="22"/>
        </w:rPr>
        <w:t xml:space="preserve">, que </w:t>
      </w:r>
      <w:r>
        <w:rPr>
          <w:rFonts w:ascii="Palatino Linotype" w:eastAsia="Palatino Linotype" w:hAnsi="Palatino Linotype" w:cs="Palatino Linotype"/>
          <w:b/>
          <w:i/>
          <w:sz w:val="22"/>
          <w:szCs w:val="22"/>
        </w:rPr>
        <w:t>deberán contener, por los menos</w:t>
      </w:r>
      <w:r>
        <w:rPr>
          <w:rFonts w:ascii="Palatino Linotype" w:eastAsia="Palatino Linotype" w:hAnsi="Palatino Linotype" w:cs="Palatino Linotype"/>
          <w:i/>
          <w:sz w:val="22"/>
          <w:szCs w:val="22"/>
        </w:rPr>
        <w:t xml:space="preserve">, lo siguiente: </w:t>
      </w:r>
    </w:p>
    <w:p w14:paraId="3A243D95" w14:textId="77777777" w:rsidR="00AF75C2" w:rsidRDefault="005F558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De licitaciones públicas o procedimientos de invitación restringida: </w:t>
      </w:r>
    </w:p>
    <w:p w14:paraId="1B5B44B0" w14:textId="77777777" w:rsidR="00AF75C2" w:rsidRDefault="005F558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La convocatoria o invitación emitida, así como los fundamentos legales aplicados para llevarla a cabo; </w:t>
      </w:r>
    </w:p>
    <w:p w14:paraId="1766D953" w14:textId="77777777" w:rsidR="00AF75C2" w:rsidRDefault="005F5589">
      <w:pPr>
        <w:ind w:left="992" w:right="1043"/>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2) Los nombres de los participantes o invitados; </w:t>
      </w:r>
    </w:p>
    <w:p w14:paraId="5FAC0045" w14:textId="77777777" w:rsidR="00AF75C2" w:rsidRDefault="005F5589">
      <w:pPr>
        <w:ind w:left="992" w:right="1043"/>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3) El nombre del ganador y las razones que lo justifican; </w:t>
      </w:r>
    </w:p>
    <w:p w14:paraId="64933CF8" w14:textId="77777777" w:rsidR="00AF75C2" w:rsidRDefault="005F558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4) El área solicitante y la responsable de su ejecución; </w:t>
      </w:r>
    </w:p>
    <w:p w14:paraId="7F96D121" w14:textId="77777777" w:rsidR="00AF75C2" w:rsidRDefault="005F558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 Las convocatorias e invitaciones emitidas; </w:t>
      </w:r>
    </w:p>
    <w:p w14:paraId="57E1D36D" w14:textId="77777777" w:rsidR="00AF75C2" w:rsidRDefault="005F5589">
      <w:pPr>
        <w:ind w:left="992" w:right="1043"/>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6) Los dictámenes y fallo de adjudicación; </w:t>
      </w:r>
    </w:p>
    <w:p w14:paraId="0D78E0EE" w14:textId="77777777" w:rsidR="00AF75C2" w:rsidRDefault="005F5589">
      <w:pPr>
        <w:ind w:left="992" w:right="1043"/>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7) El contrato y, en su caso, sus anexos; </w:t>
      </w:r>
    </w:p>
    <w:p w14:paraId="7159C640" w14:textId="77777777" w:rsidR="00AF75C2" w:rsidRDefault="005F5589">
      <w:pPr>
        <w:ind w:left="992" w:right="1043"/>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rPr>
        <w:t xml:space="preserve">8) Los mecanismos de vigilancia y supervisión, incluyendo en su caso, los </w:t>
      </w:r>
      <w:r>
        <w:rPr>
          <w:rFonts w:ascii="Palatino Linotype" w:eastAsia="Palatino Linotype" w:hAnsi="Palatino Linotype" w:cs="Palatino Linotype"/>
          <w:i/>
          <w:sz w:val="22"/>
          <w:szCs w:val="22"/>
          <w:u w:val="single"/>
        </w:rPr>
        <w:t xml:space="preserve">estudios de impacto urbano y ambiental, según corresponda; </w:t>
      </w:r>
    </w:p>
    <w:p w14:paraId="1C178382" w14:textId="77777777" w:rsidR="00AF75C2" w:rsidRDefault="005F5589">
      <w:pPr>
        <w:ind w:left="992" w:right="1043"/>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9) La partida presupuestal, de conformidad con el clasificador por objeto del gasto, en el caso de ser aplicable; </w:t>
      </w:r>
    </w:p>
    <w:p w14:paraId="4D1CC840" w14:textId="77777777" w:rsidR="00AF75C2" w:rsidRDefault="005F5589">
      <w:pPr>
        <w:ind w:left="992" w:right="104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u w:val="single"/>
        </w:rPr>
        <w:t>10) Origen de los recursos especificando si son federales, estatales o municipales, así como el tipo de fondo de participación o aportación respectiva;</w:t>
      </w:r>
      <w:r>
        <w:rPr>
          <w:rFonts w:ascii="Palatino Linotype" w:eastAsia="Palatino Linotype" w:hAnsi="Palatino Linotype" w:cs="Palatino Linotype"/>
          <w:b/>
          <w:i/>
          <w:sz w:val="22"/>
          <w:szCs w:val="22"/>
        </w:rPr>
        <w:t xml:space="preserve"> </w:t>
      </w:r>
    </w:p>
    <w:p w14:paraId="643B17AA" w14:textId="77777777" w:rsidR="00AF75C2" w:rsidRDefault="005F5589">
      <w:pPr>
        <w:ind w:left="992" w:right="1043"/>
        <w:jc w:val="both"/>
      </w:pPr>
      <w:r>
        <w:rPr>
          <w:rFonts w:ascii="Palatino Linotype" w:eastAsia="Palatino Linotype" w:hAnsi="Palatino Linotype" w:cs="Palatino Linotype"/>
          <w:i/>
          <w:sz w:val="22"/>
          <w:szCs w:val="22"/>
        </w:rPr>
        <w:t>11) Los convenios modificatorios que, en su caso, sean firmados, precisando el objeto y la fecha de celebración;</w:t>
      </w:r>
      <w:r>
        <w:t xml:space="preserve"> </w:t>
      </w:r>
    </w:p>
    <w:p w14:paraId="4A07BB7C" w14:textId="77777777" w:rsidR="00AF75C2" w:rsidRDefault="005F558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12) Los informes de avance físico y financiero sobre las obras o servicios contratados; </w:t>
      </w:r>
    </w:p>
    <w:p w14:paraId="25B05F03" w14:textId="77777777" w:rsidR="00AF75C2" w:rsidRDefault="005F558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13) El convenio de terminación; y </w:t>
      </w:r>
    </w:p>
    <w:p w14:paraId="7A39BD32" w14:textId="77777777" w:rsidR="00AF75C2" w:rsidRDefault="005F558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14) El finiquito.</w:t>
      </w:r>
    </w:p>
    <w:p w14:paraId="141C0F78" w14:textId="77777777" w:rsidR="00AF75C2" w:rsidRDefault="005F558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b) De las adjudicaciones directas: </w:t>
      </w:r>
    </w:p>
    <w:p w14:paraId="138A1C14" w14:textId="77777777" w:rsidR="00AF75C2" w:rsidRDefault="005F558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La propuesta enviada por el participante; </w:t>
      </w:r>
    </w:p>
    <w:p w14:paraId="3463E88F" w14:textId="77777777" w:rsidR="00AF75C2" w:rsidRDefault="005F558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2) Los motivos y fundamentos legales aplicados para llevarla a cabo; </w:t>
      </w:r>
    </w:p>
    <w:p w14:paraId="77DD7FC0" w14:textId="77777777" w:rsidR="00AF75C2" w:rsidRDefault="005F558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La autorización del ejercicio de la opción; </w:t>
      </w:r>
    </w:p>
    <w:p w14:paraId="077AE5BC" w14:textId="77777777" w:rsidR="00AF75C2" w:rsidRDefault="005F558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4) En su caso, las cotizaciones consideradas, especificando los nombres de los proveedores y sus montos; </w:t>
      </w:r>
    </w:p>
    <w:p w14:paraId="10CC0FE0" w14:textId="77777777" w:rsidR="00AF75C2" w:rsidRDefault="005F5589">
      <w:pPr>
        <w:ind w:left="992" w:right="1043"/>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5) El nombre de la persona física o jurídica colectiva adjudicada; </w:t>
      </w:r>
    </w:p>
    <w:p w14:paraId="7F89CF26" w14:textId="77777777" w:rsidR="00AF75C2" w:rsidRDefault="005F558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6) La unidad administrativa solicitante y la responsable de su ejecución; </w:t>
      </w:r>
    </w:p>
    <w:p w14:paraId="64DCEFA5" w14:textId="77777777" w:rsidR="00AF75C2" w:rsidRDefault="005F558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0AE27D1D" w14:textId="77777777" w:rsidR="00AF75C2" w:rsidRDefault="005F558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2DE671CA" w14:textId="77777777" w:rsidR="00AF75C2" w:rsidRDefault="005F558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 Los informes de avance sobre las obras o servicios contratados; </w:t>
      </w:r>
    </w:p>
    <w:p w14:paraId="7CA82B52" w14:textId="77777777" w:rsidR="00AF75C2" w:rsidRDefault="005F558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 El convenio de terminación; y </w:t>
      </w:r>
    </w:p>
    <w:p w14:paraId="5A92D9EE" w14:textId="77777777" w:rsidR="00AF75C2" w:rsidRDefault="005F558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 El finiquito.” (Sic) </w:t>
      </w:r>
    </w:p>
    <w:p w14:paraId="4EBF6417" w14:textId="77777777" w:rsidR="00AF75C2" w:rsidRDefault="00AF75C2">
      <w:pPr>
        <w:spacing w:line="360" w:lineRule="auto"/>
        <w:jc w:val="both"/>
        <w:rPr>
          <w:rFonts w:ascii="Palatino Linotype" w:eastAsia="Palatino Linotype" w:hAnsi="Palatino Linotype" w:cs="Palatino Linotype"/>
        </w:rPr>
      </w:pPr>
    </w:p>
    <w:p w14:paraId="1F6F9E06"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al respecto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señalan la forma, temporalidad y criterios (véase </w:t>
      </w:r>
      <w:hyperlink r:id="rId9">
        <w:r>
          <w:rPr>
            <w:rFonts w:ascii="Palatino Linotype" w:eastAsia="Palatino Linotype" w:hAnsi="Palatino Linotype" w:cs="Palatino Linotype"/>
            <w:color w:val="0563C1"/>
            <w:u w:val="single"/>
          </w:rPr>
          <w:t>https://www.transparencia.ipn.mx/Apoyo/SIPOT/LTG_DOF28122020.pdf</w:t>
        </w:r>
      </w:hyperlink>
      <w:r>
        <w:rPr>
          <w:rFonts w:ascii="Palatino Linotype" w:eastAsia="Palatino Linotype" w:hAnsi="Palatino Linotype" w:cs="Palatino Linotype"/>
        </w:rPr>
        <w:t xml:space="preserve">) para publicar la información de los procedimientos </w:t>
      </w:r>
      <w:r>
        <w:t xml:space="preserve">de </w:t>
      </w:r>
      <w:r>
        <w:rPr>
          <w:rFonts w:ascii="Palatino Linotype" w:eastAsia="Palatino Linotype" w:hAnsi="Palatino Linotype" w:cs="Palatino Linotype"/>
        </w:rPr>
        <w:t>adjudicación directa, invitación restringida y licitación de cualquier naturaleza, incluyendo la Versión Pública del Expediente respectivo y de los contratos celebrados, que deberá contener por lo menos lo siguiente:</w:t>
      </w:r>
    </w:p>
    <w:p w14:paraId="180E1397" w14:textId="77777777" w:rsidR="00AF75C2" w:rsidRDefault="00AF75C2">
      <w:pPr>
        <w:spacing w:line="360" w:lineRule="auto"/>
        <w:jc w:val="both"/>
        <w:rPr>
          <w:rFonts w:ascii="Palatino Linotype" w:eastAsia="Palatino Linotype" w:hAnsi="Palatino Linotype" w:cs="Palatino Linotype"/>
        </w:rPr>
      </w:pPr>
    </w:p>
    <w:p w14:paraId="6F123F4D"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p w14:paraId="2A1356B3" w14:textId="77777777" w:rsidR="00AF75C2" w:rsidRDefault="005F5589">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a) De licitaciones públicas o procedimientos de invitación restringida: </w:t>
      </w:r>
    </w:p>
    <w:p w14:paraId="42F1CFE4"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La convocatoria o invitación emitida, así como los fundamentos legales aplicados para llevarla a cabo; </w:t>
      </w:r>
    </w:p>
    <w:p w14:paraId="51C146E0" w14:textId="77777777" w:rsidR="00AF75C2" w:rsidRDefault="005F5589">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2. Los nombres de los participantes o invitados; </w:t>
      </w:r>
    </w:p>
    <w:p w14:paraId="7EC8F289" w14:textId="77777777" w:rsidR="00AF75C2" w:rsidRDefault="005F5589">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El nombre del ganador y las razones que lo justifican; </w:t>
      </w:r>
    </w:p>
    <w:p w14:paraId="7E0D78F0"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4. El área solicitante y la responsable de su ejecución; </w:t>
      </w:r>
    </w:p>
    <w:p w14:paraId="65E58319"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 Las convocatorias e invitaciones emitidas; </w:t>
      </w:r>
    </w:p>
    <w:p w14:paraId="30E35649" w14:textId="77777777" w:rsidR="00AF75C2" w:rsidRDefault="005F5589">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6. Los dictámenes y fallo de adjudicación; </w:t>
      </w:r>
    </w:p>
    <w:p w14:paraId="1C720032" w14:textId="77777777" w:rsidR="00AF75C2" w:rsidRDefault="005F5589">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7. El contrato y, en su caso, sus anexos; </w:t>
      </w:r>
    </w:p>
    <w:p w14:paraId="5C7E3130"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7031F306"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47451F4C"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14:paraId="41CE72A9"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 Los convenios modificatorios que, en su caso, sean firmados, precisando el objeto y la fecha de celebración; </w:t>
      </w:r>
    </w:p>
    <w:p w14:paraId="2811A53F"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12. Los informes de avance físico y financiero sobre las obras o servicios contratados; </w:t>
      </w:r>
    </w:p>
    <w:p w14:paraId="47FD3249"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13. El convenio de terminación; y </w:t>
      </w:r>
    </w:p>
    <w:p w14:paraId="577EF089"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14. El finiquito.</w:t>
      </w:r>
    </w:p>
    <w:p w14:paraId="3BDEA5B1"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b) De las adjudicaciones directas: </w:t>
      </w:r>
    </w:p>
    <w:p w14:paraId="67873CAF"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La propuesta enviada por el participante; </w:t>
      </w:r>
    </w:p>
    <w:p w14:paraId="4A2FE70E"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Los motivos y fundamentos legales aplicados para llevarla a cabo; </w:t>
      </w:r>
    </w:p>
    <w:p w14:paraId="2ABFE9FD"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La autorización del ejercicio de la opción; </w:t>
      </w:r>
    </w:p>
    <w:p w14:paraId="1F8069F3"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4. En su caso, las cotizaciones consideradas, especificando los nombres de los proveedores y los montos; </w:t>
      </w:r>
    </w:p>
    <w:p w14:paraId="1C6D5D5B"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 El nombre de la persona física o moral adjudicada; </w:t>
      </w:r>
    </w:p>
    <w:p w14:paraId="2AA329E0"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6. La unidad administrativa solicitante y la responsable de su ejecución; </w:t>
      </w:r>
    </w:p>
    <w:p w14:paraId="508A4A98"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645C895A"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8. Los mecanismos de vigilancia y supervisión, incluyendo, en su caso, los estudios de impacto urbano y ambiental, según corresponda; </w:t>
      </w:r>
    </w:p>
    <w:p w14:paraId="4D0E1D42"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 Los informes de avance sobre las obras o servicios contratados; </w:t>
      </w:r>
    </w:p>
    <w:p w14:paraId="31854578"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 El convenio de terminación; y </w:t>
      </w:r>
    </w:p>
    <w:p w14:paraId="60C6D3EC"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 El finiquito. </w:t>
      </w:r>
    </w:p>
    <w:p w14:paraId="46BD01F1"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este apartado se dispone cuáles son los contenidos y la forma en que los sujetos obligados deberán publicar y actualizar la información que generen, relativa a los resultados de los procedimientos de licitación pública, invitación restringida y adjudicación directa, así como los equivalentes que realizan en términos de la Ley de Adquisiciones, Arrendamientos y Servicios del Sector Público y la Ley de Obras Públicas y Servicios Relacionados con las Mismas –ambas reglamentarias del artículo 134 de la Constitución Política de los Estados Unidos Mexicanos–; las que resulten aplicables en materia de adquisiciones, arrendamiento de bienes muebles, prestación de servicios y contrataciones de obras públicas, y los servicios relacionados con las mismas de las entidades federativas; los ordenamientos legales que regulen a los poderes Legislativo y Judicial y a los organismos autónomos; así como la Ley Federal de Presupuesto y Responsabilidad Hacendaria. </w:t>
      </w:r>
    </w:p>
    <w:p w14:paraId="5C004208"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ese sentido, la información que deberá registrarse en la Plataforma </w:t>
      </w:r>
      <w:proofErr w:type="gramStart"/>
      <w:r>
        <w:rPr>
          <w:rFonts w:ascii="Palatino Linotype" w:eastAsia="Palatino Linotype" w:hAnsi="Palatino Linotype" w:cs="Palatino Linotype"/>
          <w:i/>
          <w:sz w:val="22"/>
          <w:szCs w:val="22"/>
        </w:rPr>
        <w:t>Nacional,</w:t>
      </w:r>
      <w:proofErr w:type="gramEnd"/>
      <w:r>
        <w:rPr>
          <w:rFonts w:ascii="Palatino Linotype" w:eastAsia="Palatino Linotype" w:hAnsi="Palatino Linotype" w:cs="Palatino Linotype"/>
          <w:i/>
          <w:sz w:val="22"/>
          <w:szCs w:val="22"/>
        </w:rPr>
        <w:t xml:space="preserve"> es aquella que acredite que ha concluido el procedimiento, es decir cuando los sujetos obligados ya tienen identificado a quién(es) se adjudicó, ganó la licitación realizada, o en su caso si se declaró desierta, por lo que el ejercicio deberá corresponder al periodo en el que ya se podía identificar al ganador. La información sobre los actos, contratos y convenios celebrados se presentará en una base de datos en la que cada registro se hará por tipo de procedimiento: </w:t>
      </w:r>
    </w:p>
    <w:p w14:paraId="10F211B0"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Licitación pública </w:t>
      </w:r>
    </w:p>
    <w:p w14:paraId="319D4C2E"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Invitación a cuando menos tres personas (restringida) </w:t>
      </w:r>
    </w:p>
    <w:p w14:paraId="7A803FDF"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Adjudicación directa Para cada tipo de procedimiento se deberá especificar la materia: </w:t>
      </w:r>
    </w:p>
    <w:p w14:paraId="251F52F0"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Obra pública </w:t>
      </w:r>
    </w:p>
    <w:p w14:paraId="3DBD7DA8"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Servicios relacionados con obra pública </w:t>
      </w:r>
    </w:p>
    <w:p w14:paraId="298A5FEA"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Arrendamiento • Adquisición o </w:t>
      </w:r>
    </w:p>
    <w:p w14:paraId="3C8E4B3B"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Servicios Y el carácter: </w:t>
      </w:r>
    </w:p>
    <w:p w14:paraId="39E8EB41"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Nacional </w:t>
      </w:r>
    </w:p>
    <w:p w14:paraId="3795E7C4"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Internacional (en cualquier modalidad específica) </w:t>
      </w:r>
    </w:p>
    <w:p w14:paraId="0CE92B2A"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Respecto de los documentos fuente solicitados en los criterios sustantivos que deban ser publicados, tales como contratos, convenios, actas, dictámenes, fallos, convenios modificatorios, informes, entre otros, incluyendo sus anexos correspondientes, exceptuando aquellos que sean demasiado extensos, se deberá elaborar versión pública de los mismos. </w:t>
      </w:r>
    </w:p>
    <w:p w14:paraId="68299F61"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asegurarse de que la información publicada en esta sección mantenga correspondencia y coherencia, con lo publicado en el sistema electrónico de información pública gubernamental sobre contrataciones, concursos, licitaciones, adquisiciones, arrendamientos y servicios, que en su caso cada entidad federativa desarrolle y administre.</w:t>
      </w:r>
    </w:p>
    <w:p w14:paraId="1FD44420"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Periodo de actualización: trimestral Conservar en el sitio de Internet: información vigente, es decir, los instrumentos jurídicos vigentes, contratos y convenios, aun cuando éstos sean de ejercicios anteriores; la generada en el ejercicio en curso y la correspondiente a dos ejercicios anteriores</w:t>
      </w:r>
      <w:proofErr w:type="gramStart"/>
      <w:r>
        <w:rPr>
          <w:rFonts w:ascii="Palatino Linotype" w:eastAsia="Palatino Linotype" w:hAnsi="Palatino Linotype" w:cs="Palatino Linotype"/>
          <w:i/>
          <w:sz w:val="22"/>
          <w:szCs w:val="22"/>
        </w:rPr>
        <w:t>. ”</w:t>
      </w:r>
      <w:proofErr w:type="gramEnd"/>
      <w:r>
        <w:rPr>
          <w:rFonts w:ascii="Palatino Linotype" w:eastAsia="Palatino Linotype" w:hAnsi="Palatino Linotype" w:cs="Palatino Linotype"/>
          <w:i/>
          <w:sz w:val="22"/>
          <w:szCs w:val="22"/>
        </w:rPr>
        <w:t xml:space="preserve"> (Sic)</w:t>
      </w:r>
    </w:p>
    <w:p w14:paraId="2D464B14" w14:textId="77777777" w:rsidR="00AF75C2" w:rsidRDefault="00AF75C2">
      <w:pPr>
        <w:spacing w:line="360" w:lineRule="auto"/>
        <w:jc w:val="both"/>
        <w:rPr>
          <w:rFonts w:ascii="Palatino Linotype" w:eastAsia="Palatino Linotype" w:hAnsi="Palatino Linotype" w:cs="Palatino Linotype"/>
        </w:rPr>
      </w:pPr>
    </w:p>
    <w:p w14:paraId="7CBB14BB" w14:textId="77777777" w:rsidR="00AF75C2" w:rsidRDefault="005F5589">
      <w:pPr>
        <w:shd w:val="clear" w:color="auto" w:fill="FFFFFF"/>
        <w:spacing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También sobre los contratos, de igual forma se trata de una obligación de transparencia en términos del artículo 92 </w:t>
      </w:r>
      <w:proofErr w:type="gramStart"/>
      <w:r>
        <w:rPr>
          <w:rFonts w:ascii="Palatino Linotype" w:eastAsia="Palatino Linotype" w:hAnsi="Palatino Linotype" w:cs="Palatino Linotype"/>
        </w:rPr>
        <w:t>previamente señalado fracción</w:t>
      </w:r>
      <w:proofErr w:type="gramEnd"/>
      <w:r>
        <w:rPr>
          <w:rFonts w:ascii="Palatino Linotype" w:eastAsia="Palatino Linotype" w:hAnsi="Palatino Linotype" w:cs="Palatino Linotype"/>
        </w:rPr>
        <w:t xml:space="preserve"> XXXII, que señala:</w:t>
      </w:r>
    </w:p>
    <w:p w14:paraId="30173B4D" w14:textId="77777777" w:rsidR="00AF75C2" w:rsidRDefault="005F558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(Sic)</w:t>
      </w:r>
    </w:p>
    <w:p w14:paraId="064ACC12" w14:textId="77777777" w:rsidR="00AF75C2" w:rsidRDefault="00AF75C2">
      <w:pPr>
        <w:spacing w:after="280" w:line="360" w:lineRule="auto"/>
        <w:jc w:val="both"/>
        <w:rPr>
          <w:rFonts w:ascii="Palatino Linotype" w:eastAsia="Palatino Linotype" w:hAnsi="Palatino Linotype" w:cs="Palatino Linotype"/>
        </w:rPr>
      </w:pPr>
    </w:p>
    <w:p w14:paraId="7E8392DF" w14:textId="7BED37FE" w:rsidR="00AF75C2" w:rsidRDefault="005F5589">
      <w:pPr>
        <w:spacing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bien, </w:t>
      </w:r>
      <w:proofErr w:type="gramStart"/>
      <w:r>
        <w:rPr>
          <w:rFonts w:ascii="Palatino Linotype" w:eastAsia="Palatino Linotype" w:hAnsi="Palatino Linotype" w:cs="Palatino Linotype"/>
        </w:rPr>
        <w:t>en relación a</w:t>
      </w:r>
      <w:proofErr w:type="gramEnd"/>
      <w:r>
        <w:rPr>
          <w:rFonts w:ascii="Palatino Linotype" w:eastAsia="Palatino Linotype" w:hAnsi="Palatino Linotype" w:cs="Palatino Linotype"/>
        </w:rPr>
        <w:t xml:space="preserve"> lo anterior, y como ya quedó asentado previamente, de las constancias que obran en el expediente electrónico del SAIMEX se desprende que la Titular de la Unidad de Transparencia, turnó la solicitud de información; no obstante, este </w:t>
      </w:r>
      <w:r w:rsidR="00A33A03">
        <w:rPr>
          <w:rFonts w:ascii="Palatino Linotype" w:eastAsia="Palatino Linotype" w:hAnsi="Palatino Linotype" w:cs="Palatino Linotype"/>
        </w:rPr>
        <w:t>requerimiento</w:t>
      </w:r>
      <w:r>
        <w:rPr>
          <w:rFonts w:ascii="Palatino Linotype" w:eastAsia="Palatino Linotype" w:hAnsi="Palatino Linotype" w:cs="Palatino Linotype"/>
        </w:rPr>
        <w:t xml:space="preserve"> quedó pendiente de respuesta y de la </w:t>
      </w:r>
      <w:r w:rsidR="00A33A03">
        <w:rPr>
          <w:rFonts w:ascii="Palatino Linotype" w:eastAsia="Palatino Linotype" w:hAnsi="Palatino Linotype" w:cs="Palatino Linotype"/>
        </w:rPr>
        <w:t>información</w:t>
      </w:r>
      <w:r>
        <w:rPr>
          <w:rFonts w:ascii="Palatino Linotype" w:eastAsia="Palatino Linotype" w:hAnsi="Palatino Linotype" w:cs="Palatino Linotype"/>
        </w:rPr>
        <w:t xml:space="preserve"> notificada al particular no se observa pronunciamiento del servidor público habilitado competente.  </w:t>
      </w:r>
    </w:p>
    <w:p w14:paraId="18A66808" w14:textId="77777777" w:rsidR="00AF75C2" w:rsidRDefault="005F5589">
      <w:pPr>
        <w:spacing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Atento a lo anterior, conviene señalar la importancia de determinar en quién recae la figura de los servidores públicos habilitados competentes, los cuales son los encargados dentro de las diversas unidades administrativas o áreas de los Sujetos Obligados, de apoyar, gestionar y entregar la información o datos personales que se ubiquen en la misma, a sus respectivas Unidades de Transparencia, en términos de lo dispuesto en los artículos 3 fracción XXXIX, 50, 51, 53 y 59 fracciones I, II y III, de la Ley de la materia, mismos que se transcriben a continuación:</w:t>
      </w:r>
    </w:p>
    <w:p w14:paraId="42F1A77D" w14:textId="77777777" w:rsidR="00AF75C2" w:rsidRDefault="005F5589">
      <w:pPr>
        <w:ind w:left="567" w:right="616"/>
        <w:jc w:val="both"/>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Para los efectos de la presente Ley se entenderá por</w:t>
      </w:r>
      <w:r>
        <w:rPr>
          <w:rFonts w:ascii="Palatino Linotype" w:eastAsia="Palatino Linotype" w:hAnsi="Palatino Linotype" w:cs="Palatino Linotype"/>
          <w:i/>
          <w:sz w:val="22"/>
          <w:szCs w:val="22"/>
        </w:rPr>
        <w:t>: </w:t>
      </w:r>
    </w:p>
    <w:p w14:paraId="4BB3432C" w14:textId="77777777" w:rsidR="00AF75C2" w:rsidRDefault="005F5589">
      <w:pPr>
        <w:ind w:left="567" w:right="616"/>
        <w:jc w:val="both"/>
      </w:pPr>
      <w:r>
        <w:rPr>
          <w:rFonts w:ascii="Palatino Linotype" w:eastAsia="Palatino Linotype" w:hAnsi="Palatino Linotype" w:cs="Palatino Linotype"/>
          <w:b/>
          <w:i/>
          <w:sz w:val="22"/>
          <w:szCs w:val="22"/>
        </w:rPr>
        <w:t>XXXIX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Servidor público habilitado</w:t>
      </w:r>
      <w:r>
        <w:rPr>
          <w:rFonts w:ascii="Palatino Linotype" w:eastAsia="Palatino Linotype" w:hAnsi="Palatino Linotype" w:cs="Palatino Linotype"/>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3724C3E1" w14:textId="77777777" w:rsidR="00AF75C2" w:rsidRDefault="005F5589">
      <w:pPr>
        <w:ind w:left="567" w:right="616"/>
        <w:jc w:val="both"/>
      </w:pPr>
      <w:r>
        <w:rPr>
          <w:rFonts w:ascii="Palatino Linotype" w:eastAsia="Palatino Linotype" w:hAnsi="Palatino Linotype" w:cs="Palatino Linotype"/>
          <w:i/>
          <w:sz w:val="22"/>
          <w:szCs w:val="22"/>
        </w:rPr>
        <w:t>…</w:t>
      </w:r>
    </w:p>
    <w:p w14:paraId="187B60DD" w14:textId="77777777" w:rsidR="00AF75C2" w:rsidRDefault="005F5589">
      <w:pPr>
        <w:ind w:left="567" w:right="618"/>
        <w:jc w:val="both"/>
      </w:pPr>
      <w:r>
        <w:rPr>
          <w:rFonts w:ascii="Palatino Linotype" w:eastAsia="Palatino Linotype" w:hAnsi="Palatino Linotype" w:cs="Palatino Linotype"/>
          <w:b/>
          <w:i/>
          <w:sz w:val="22"/>
          <w:szCs w:val="22"/>
        </w:rPr>
        <w:t>Artículo 50.</w:t>
      </w:r>
      <w:r>
        <w:rPr>
          <w:rFonts w:ascii="Palatino Linotype" w:eastAsia="Palatino Linotype" w:hAnsi="Palatino Linotype" w:cs="Palatino Linotype"/>
          <w:i/>
          <w:sz w:val="22"/>
          <w:szCs w:val="22"/>
        </w:rPr>
        <w:t xml:space="preserve"> Los sujetos obligados contarán con un área responsable para la atención de las solicitudes de información, a la que se le denominará Unidad de Transparencia.</w:t>
      </w:r>
    </w:p>
    <w:p w14:paraId="503FB4C2" w14:textId="77777777" w:rsidR="00AF75C2" w:rsidRDefault="005F5589">
      <w:pPr>
        <w:ind w:left="567" w:right="618"/>
        <w:jc w:val="both"/>
      </w:pPr>
      <w:r>
        <w:rPr>
          <w:rFonts w:ascii="Palatino Linotype" w:eastAsia="Palatino Linotype" w:hAnsi="Palatino Linotype" w:cs="Palatino Linotype"/>
          <w:b/>
          <w:i/>
          <w:sz w:val="22"/>
          <w:szCs w:val="22"/>
        </w:rPr>
        <w:t>Artículo 51</w:t>
      </w:r>
      <w:r>
        <w:rPr>
          <w:rFonts w:ascii="Palatino Linotype" w:eastAsia="Palatino Linotype" w:hAnsi="Palatino Linotype" w:cs="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37065257" w14:textId="77777777" w:rsidR="00AF75C2" w:rsidRDefault="00AF75C2">
      <w:pPr>
        <w:ind w:left="567" w:right="618"/>
        <w:jc w:val="both"/>
        <w:rPr>
          <w:rFonts w:ascii="Palatino Linotype" w:eastAsia="Palatino Linotype" w:hAnsi="Palatino Linotype" w:cs="Palatino Linotype"/>
          <w:b/>
          <w:i/>
          <w:sz w:val="22"/>
          <w:szCs w:val="22"/>
        </w:rPr>
      </w:pPr>
    </w:p>
    <w:p w14:paraId="0891A19C" w14:textId="77777777" w:rsidR="00AF75C2" w:rsidRDefault="005F5589">
      <w:pPr>
        <w:ind w:left="567" w:right="618"/>
        <w:jc w:val="both"/>
      </w:pP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Las Unidades de Transparencia tendrán las siguientes funciones:</w:t>
      </w:r>
    </w:p>
    <w:p w14:paraId="55F19485" w14:textId="77777777" w:rsidR="00AF75C2" w:rsidRDefault="005F5589">
      <w:pPr>
        <w:ind w:left="567" w:right="618"/>
        <w:jc w:val="both"/>
      </w:pPr>
      <w:r>
        <w:rPr>
          <w:rFonts w:ascii="Palatino Linotype" w:eastAsia="Palatino Linotype" w:hAnsi="Palatino Linotype" w:cs="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2FDB8AA8" w14:textId="77777777" w:rsidR="00AF75C2" w:rsidRDefault="005F5589">
      <w:pPr>
        <w:ind w:left="567" w:right="618"/>
        <w:jc w:val="both"/>
      </w:pPr>
      <w:r>
        <w:rPr>
          <w:rFonts w:ascii="Palatino Linotype" w:eastAsia="Palatino Linotype" w:hAnsi="Palatino Linotype" w:cs="Palatino Linotype"/>
          <w:b/>
          <w:i/>
          <w:sz w:val="22"/>
          <w:szCs w:val="22"/>
        </w:rPr>
        <w:t xml:space="preserve">II. Recibir, </w:t>
      </w:r>
      <w:r>
        <w:rPr>
          <w:rFonts w:ascii="Palatino Linotype" w:eastAsia="Palatino Linotype" w:hAnsi="Palatino Linotype" w:cs="Palatino Linotype"/>
          <w:b/>
          <w:i/>
          <w:sz w:val="22"/>
          <w:szCs w:val="22"/>
          <w:u w:val="single"/>
        </w:rPr>
        <w:t>tramitar</w:t>
      </w:r>
      <w:r>
        <w:rPr>
          <w:rFonts w:ascii="Palatino Linotype" w:eastAsia="Palatino Linotype" w:hAnsi="Palatino Linotype" w:cs="Palatino Linotype"/>
          <w:b/>
          <w:i/>
          <w:sz w:val="22"/>
          <w:szCs w:val="22"/>
        </w:rPr>
        <w:t xml:space="preserve"> y dar respuesta a las solicitudes de acceso a la información;</w:t>
      </w:r>
    </w:p>
    <w:p w14:paraId="14632ECB" w14:textId="77777777" w:rsidR="00AF75C2" w:rsidRDefault="005F5589">
      <w:pPr>
        <w:ind w:left="567" w:right="618"/>
        <w:jc w:val="both"/>
      </w:pPr>
      <w:r>
        <w:rPr>
          <w:rFonts w:ascii="Palatino Linotype" w:eastAsia="Palatino Linotype" w:hAnsi="Palatino Linotype" w:cs="Palatino Linotype"/>
          <w:i/>
          <w:sz w:val="22"/>
          <w:szCs w:val="22"/>
        </w:rPr>
        <w:lastRenderedPageBreak/>
        <w:t>III. Auxiliar a los particulares en la elaboración de solicitudes de acceso a la información y, en su caso, orientarlos sobre los sujetos obligados competentes conforme a la normatividad aplicable;</w:t>
      </w:r>
    </w:p>
    <w:p w14:paraId="3C06DA78" w14:textId="77777777" w:rsidR="00AF75C2" w:rsidRDefault="005F5589">
      <w:pPr>
        <w:ind w:left="567" w:right="618"/>
        <w:jc w:val="both"/>
      </w:pPr>
      <w:r>
        <w:rPr>
          <w:rFonts w:ascii="Palatino Linotype" w:eastAsia="Palatino Linotype" w:hAnsi="Palatino Linotype" w:cs="Palatino Linotype"/>
          <w:i/>
          <w:sz w:val="22"/>
          <w:szCs w:val="22"/>
        </w:rPr>
        <w:t>IV. Realizar, con efectividad, los trámites internos necesarios para la atención de las solicitudes de acceso a la información;</w:t>
      </w:r>
    </w:p>
    <w:p w14:paraId="6DF7F453" w14:textId="77777777" w:rsidR="00AF75C2" w:rsidRDefault="005F5589">
      <w:pPr>
        <w:ind w:left="567" w:right="618"/>
        <w:jc w:val="both"/>
      </w:pPr>
      <w:r>
        <w:rPr>
          <w:rFonts w:ascii="Palatino Linotype" w:eastAsia="Palatino Linotype" w:hAnsi="Palatino Linotype" w:cs="Palatino Linotype"/>
          <w:i/>
          <w:sz w:val="22"/>
          <w:szCs w:val="22"/>
        </w:rPr>
        <w:t>V. Entregar, en su caso, a los particulares la información solicitada;</w:t>
      </w:r>
    </w:p>
    <w:p w14:paraId="5C64FFF9" w14:textId="77777777" w:rsidR="00AF75C2" w:rsidRDefault="005F5589">
      <w:pPr>
        <w:ind w:left="567" w:right="618"/>
        <w:jc w:val="both"/>
      </w:pPr>
      <w:r>
        <w:rPr>
          <w:rFonts w:ascii="Palatino Linotype" w:eastAsia="Palatino Linotype" w:hAnsi="Palatino Linotype" w:cs="Palatino Linotype"/>
          <w:i/>
          <w:sz w:val="22"/>
          <w:szCs w:val="22"/>
        </w:rPr>
        <w:t>VI. Efectuar las notificaciones a los solicitantes;</w:t>
      </w:r>
    </w:p>
    <w:p w14:paraId="29BCDBFC" w14:textId="77777777" w:rsidR="00AF75C2" w:rsidRDefault="005F5589">
      <w:pPr>
        <w:ind w:left="567" w:right="618"/>
        <w:jc w:val="both"/>
      </w:pPr>
      <w:r>
        <w:rPr>
          <w:rFonts w:ascii="Palatino Linotype" w:eastAsia="Palatino Linotype" w:hAnsi="Palatino Linotype" w:cs="Palatino Linotype"/>
          <w:i/>
          <w:sz w:val="22"/>
          <w:szCs w:val="22"/>
        </w:rPr>
        <w:t>VII. Proponer al Comité de Transparencia, los procedimientos internos que aseguren la mayor eficiencia en la gestión de las solicitudes de acceso a la información, conforme a la normatividad aplicable;</w:t>
      </w:r>
    </w:p>
    <w:p w14:paraId="4D5014EF" w14:textId="77777777" w:rsidR="00AF75C2" w:rsidRDefault="005F5589">
      <w:pPr>
        <w:ind w:left="567" w:right="618"/>
        <w:jc w:val="both"/>
      </w:pPr>
      <w:r>
        <w:rPr>
          <w:rFonts w:ascii="Palatino Linotype" w:eastAsia="Palatino Linotype" w:hAnsi="Palatino Linotype" w:cs="Palatino Linotype"/>
          <w:i/>
          <w:sz w:val="22"/>
          <w:szCs w:val="22"/>
        </w:rPr>
        <w:t>VIII. Proponer a quien preside el Comité de Transparencia, personal habilitado que sea necesario para recibir y dar trámite a las solicitudes de acceso a la información;</w:t>
      </w:r>
    </w:p>
    <w:p w14:paraId="143FEC1E" w14:textId="77777777" w:rsidR="00AF75C2" w:rsidRDefault="005F5589">
      <w:pPr>
        <w:ind w:left="567" w:right="618"/>
        <w:jc w:val="both"/>
      </w:pPr>
      <w:r>
        <w:rPr>
          <w:rFonts w:ascii="Palatino Linotype" w:eastAsia="Palatino Linotype" w:hAnsi="Palatino Linotype" w:cs="Palatino Linotype"/>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w:t>
      </w:r>
      <w:proofErr w:type="gramStart"/>
      <w:r>
        <w:rPr>
          <w:rFonts w:ascii="Palatino Linotype" w:eastAsia="Palatino Linotype" w:hAnsi="Palatino Linotype" w:cs="Palatino Linotype"/>
          <w:i/>
          <w:sz w:val="22"/>
          <w:szCs w:val="22"/>
        </w:rPr>
        <w:t>las mismas</w:t>
      </w:r>
      <w:proofErr w:type="gramEnd"/>
      <w:r>
        <w:rPr>
          <w:rFonts w:ascii="Palatino Linotype" w:eastAsia="Palatino Linotype" w:hAnsi="Palatino Linotype" w:cs="Palatino Linotype"/>
          <w:i/>
          <w:sz w:val="22"/>
          <w:szCs w:val="22"/>
        </w:rPr>
        <w:t>;</w:t>
      </w:r>
    </w:p>
    <w:p w14:paraId="735205D3" w14:textId="77777777" w:rsidR="00AF75C2" w:rsidRDefault="005F5589">
      <w:pPr>
        <w:ind w:left="567" w:right="618"/>
        <w:jc w:val="both"/>
      </w:pPr>
      <w:r>
        <w:rPr>
          <w:rFonts w:ascii="Palatino Linotype" w:eastAsia="Palatino Linotype" w:hAnsi="Palatino Linotype" w:cs="Palatino Linotype"/>
          <w:i/>
          <w:sz w:val="22"/>
          <w:szCs w:val="22"/>
        </w:rPr>
        <w:t>X. Presentar ante el Comité, el proyecto de clasificación de información;</w:t>
      </w:r>
    </w:p>
    <w:p w14:paraId="2CB66212" w14:textId="77777777" w:rsidR="00AF75C2" w:rsidRDefault="005F5589">
      <w:pPr>
        <w:ind w:left="567" w:right="618"/>
        <w:jc w:val="both"/>
      </w:pPr>
      <w:r>
        <w:rPr>
          <w:rFonts w:ascii="Palatino Linotype" w:eastAsia="Palatino Linotype" w:hAnsi="Palatino Linotype" w:cs="Palatino Linotype"/>
          <w:i/>
          <w:sz w:val="22"/>
          <w:szCs w:val="22"/>
        </w:rPr>
        <w:t>XI. Promover e implementar políticas de transparencia proactiva procurando su accesibilidad;</w:t>
      </w:r>
    </w:p>
    <w:p w14:paraId="6BDD0E19" w14:textId="77777777" w:rsidR="00AF75C2" w:rsidRDefault="005F5589">
      <w:pPr>
        <w:ind w:left="567" w:right="618"/>
        <w:jc w:val="both"/>
      </w:pPr>
      <w:r>
        <w:rPr>
          <w:rFonts w:ascii="Palatino Linotype" w:eastAsia="Palatino Linotype" w:hAnsi="Palatino Linotype" w:cs="Palatino Linotype"/>
          <w:i/>
          <w:sz w:val="22"/>
          <w:szCs w:val="22"/>
        </w:rPr>
        <w:t>XII. Fomentar la transparencia y accesibilidad al interior del sujeto obligado;</w:t>
      </w:r>
    </w:p>
    <w:p w14:paraId="1A72D2D0" w14:textId="77777777" w:rsidR="00AF75C2" w:rsidRDefault="005F5589">
      <w:pPr>
        <w:ind w:left="567" w:right="618"/>
        <w:jc w:val="both"/>
      </w:pPr>
      <w:r>
        <w:rPr>
          <w:rFonts w:ascii="Palatino Linotype" w:eastAsia="Palatino Linotype" w:hAnsi="Palatino Linotype" w:cs="Palatino Linotype"/>
          <w:i/>
          <w:sz w:val="22"/>
          <w:szCs w:val="22"/>
        </w:rPr>
        <w:t>XIII. Hacer del conocimiento de la instancia competente la probable responsabilidad por el incumplimiento de las obligaciones previstas en la presente Ley; y</w:t>
      </w:r>
    </w:p>
    <w:p w14:paraId="420E479C" w14:textId="77777777" w:rsidR="00AF75C2" w:rsidRDefault="005F5589">
      <w:pPr>
        <w:ind w:left="567" w:right="618"/>
        <w:jc w:val="both"/>
      </w:pPr>
      <w:r>
        <w:rPr>
          <w:rFonts w:ascii="Palatino Linotype" w:eastAsia="Palatino Linotype" w:hAnsi="Palatino Linotype" w:cs="Palatino Linotype"/>
          <w:i/>
          <w:sz w:val="22"/>
          <w:szCs w:val="22"/>
        </w:rPr>
        <w:t>XIV. Las demás que resulten necesarias para facilitar el acceso a la información y aquellas que se desprenden de la presente Ley y demás disposiciones jurídicas aplicables.</w:t>
      </w:r>
    </w:p>
    <w:p w14:paraId="38DE018A" w14:textId="77777777" w:rsidR="00AF75C2" w:rsidRDefault="005F5589">
      <w:pPr>
        <w:ind w:left="567" w:right="618"/>
        <w:jc w:val="both"/>
      </w:pPr>
      <w:r>
        <w:rPr>
          <w:rFonts w:ascii="Palatino Linotype" w:eastAsia="Palatino Linotype" w:hAnsi="Palatino Linotype" w:cs="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37EDEB1E" w14:textId="77777777" w:rsidR="00AF75C2" w:rsidRDefault="005F5589">
      <w:pPr>
        <w:ind w:left="567" w:right="618"/>
        <w:jc w:val="both"/>
      </w:pPr>
      <w:r>
        <w:rPr>
          <w:rFonts w:ascii="Palatino Linotype" w:eastAsia="Palatino Linotype" w:hAnsi="Palatino Linotype" w:cs="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3D61AB86" w14:textId="77777777" w:rsidR="00AF75C2" w:rsidRDefault="00AF75C2">
      <w:pPr>
        <w:ind w:left="567" w:right="616"/>
        <w:jc w:val="both"/>
        <w:rPr>
          <w:rFonts w:ascii="Palatino Linotype" w:eastAsia="Palatino Linotype" w:hAnsi="Palatino Linotype" w:cs="Palatino Linotype"/>
          <w:b/>
          <w:i/>
          <w:sz w:val="22"/>
          <w:szCs w:val="22"/>
        </w:rPr>
      </w:pPr>
    </w:p>
    <w:p w14:paraId="66FE1469" w14:textId="77777777" w:rsidR="00AF75C2" w:rsidRDefault="005F5589">
      <w:pPr>
        <w:ind w:left="567" w:right="616"/>
        <w:jc w:val="both"/>
      </w:pPr>
      <w:r>
        <w:rPr>
          <w:rFonts w:ascii="Palatino Linotype" w:eastAsia="Palatino Linotype" w:hAnsi="Palatino Linotype" w:cs="Palatino Linotype"/>
          <w:b/>
          <w:i/>
          <w:sz w:val="22"/>
          <w:szCs w:val="22"/>
        </w:rPr>
        <w:lastRenderedPageBreak/>
        <w:t>Artículo 59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servidores públicos habilitados tendrán las funciones siguientes</w:t>
      </w:r>
      <w:r>
        <w:rPr>
          <w:rFonts w:ascii="Palatino Linotype" w:eastAsia="Palatino Linotype" w:hAnsi="Palatino Linotype" w:cs="Palatino Linotype"/>
          <w:i/>
          <w:sz w:val="22"/>
          <w:szCs w:val="22"/>
        </w:rPr>
        <w:t>: </w:t>
      </w:r>
    </w:p>
    <w:p w14:paraId="3C61ED17" w14:textId="77777777" w:rsidR="00AF75C2" w:rsidRDefault="005F5589">
      <w:pPr>
        <w:ind w:left="567" w:right="616"/>
        <w:jc w:val="both"/>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Localizar la información que le solicite la Unidad de Transparencia</w:t>
      </w:r>
      <w:r>
        <w:rPr>
          <w:rFonts w:ascii="Palatino Linotype" w:eastAsia="Palatino Linotype" w:hAnsi="Palatino Linotype" w:cs="Palatino Linotype"/>
          <w:i/>
          <w:sz w:val="22"/>
          <w:szCs w:val="22"/>
        </w:rPr>
        <w:t>; </w:t>
      </w:r>
    </w:p>
    <w:p w14:paraId="13D1693E" w14:textId="77777777" w:rsidR="00AF75C2" w:rsidRDefault="005F5589">
      <w:pPr>
        <w:ind w:left="567" w:right="616"/>
        <w:jc w:val="both"/>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b/>
          <w:i/>
          <w:sz w:val="22"/>
          <w:szCs w:val="22"/>
          <w:u w:val="single"/>
        </w:rPr>
        <w:t>Proporcionar la información que obre en los archivos y que le sea solicitada por la Unidad de Transparencia</w:t>
      </w:r>
      <w:r>
        <w:rPr>
          <w:rFonts w:ascii="Palatino Linotype" w:eastAsia="Palatino Linotype" w:hAnsi="Palatino Linotype" w:cs="Palatino Linotype"/>
          <w:b/>
          <w:i/>
          <w:sz w:val="22"/>
          <w:szCs w:val="22"/>
        </w:rPr>
        <w:t>; </w:t>
      </w:r>
    </w:p>
    <w:p w14:paraId="63BF39DA" w14:textId="77777777" w:rsidR="00AF75C2" w:rsidRDefault="005F5589">
      <w:pPr>
        <w:ind w:left="567" w:right="616"/>
        <w:jc w:val="both"/>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Apoyar a la Unidad de Transparencia en lo que esta le solicite para el cumplimiento de sus funciones</w:t>
      </w:r>
      <w:r>
        <w:rPr>
          <w:rFonts w:ascii="Palatino Linotype" w:eastAsia="Palatino Linotype" w:hAnsi="Palatino Linotype" w:cs="Palatino Linotype"/>
          <w:b/>
          <w:i/>
          <w:sz w:val="22"/>
          <w:szCs w:val="22"/>
        </w:rPr>
        <w:t>; </w:t>
      </w:r>
    </w:p>
    <w:p w14:paraId="3A1B413A" w14:textId="77777777" w:rsidR="00AF75C2" w:rsidRDefault="005F5589">
      <w:pPr>
        <w:ind w:left="567" w:right="616"/>
        <w:jc w:val="both"/>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42A23087" w14:textId="77777777" w:rsidR="00AF75C2" w:rsidRDefault="005F5589">
      <w:pPr>
        <w:ind w:left="567" w:right="616"/>
        <w:jc w:val="both"/>
      </w:pPr>
      <w:r>
        <w:rPr>
          <w:rFonts w:ascii="Palatino Linotype" w:eastAsia="Palatino Linotype" w:hAnsi="Palatino Linotype" w:cs="Palatino Linotype"/>
          <w:sz w:val="22"/>
          <w:szCs w:val="22"/>
        </w:rPr>
        <w:t>(Énfasis añadido)</w:t>
      </w:r>
    </w:p>
    <w:p w14:paraId="632C7871" w14:textId="77777777" w:rsidR="00AF75C2" w:rsidRDefault="005F5589">
      <w:pPr>
        <w:spacing w:before="240" w:after="240" w:line="360" w:lineRule="auto"/>
        <w:jc w:val="both"/>
      </w:pPr>
      <w:r>
        <w:rPr>
          <w:rFonts w:ascii="Palatino Linotype" w:eastAsia="Palatino Linotype" w:hAnsi="Palatino Linotype" w:cs="Palatino Linotype"/>
        </w:rPr>
        <w:t>Del artículo en comento, se desprende que las Unidades de Transparencia, se erigen como el área responsable en cada Sujeto Obligado, asimismo,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3C15793E" w14:textId="77777777" w:rsidR="00AF75C2" w:rsidRDefault="005F5589">
      <w:pPr>
        <w:spacing w:before="240" w:after="240" w:line="360" w:lineRule="auto"/>
        <w:jc w:val="both"/>
      </w:pPr>
      <w:r>
        <w:rPr>
          <w:rFonts w:ascii="Palatino Linotype" w:eastAsia="Palatino Linotype" w:hAnsi="Palatino Linotype" w:cs="Palatino Linotype"/>
        </w:rPr>
        <w:t xml:space="preserve">De tal manera que, si bien, el Titular de la Unidad de Transparencia no tiene bajo su resguardo el archivo que pudiese contener la documentación solicitada, sino que la información pueda obrar en las distintas áreas que conforman la estructura del </w:t>
      </w:r>
      <w:r>
        <w:rPr>
          <w:rFonts w:ascii="Palatino Linotype" w:eastAsia="Palatino Linotype" w:hAnsi="Palatino Linotype" w:cs="Palatino Linotype"/>
          <w:b/>
        </w:rPr>
        <w:t>SUJETO OBLIGADO</w:t>
      </w:r>
      <w:r>
        <w:rPr>
          <w:rFonts w:ascii="Palatino Linotype" w:eastAsia="Palatino Linotype" w:hAnsi="Palatino Linotype" w:cs="Palatino Linotype"/>
        </w:rPr>
        <w:t>. En esa tesitura, lo procedente es turnar la solicitud a los servidores públicos habilitados que tengan bajo su resguardo la misma, quienes tendrán la función de buscar, localizar y en su caso entregar la información solicitada.</w:t>
      </w:r>
    </w:p>
    <w:p w14:paraId="1ED91279" w14:textId="77777777" w:rsidR="00AF75C2" w:rsidRDefault="005F5589">
      <w:pPr>
        <w:spacing w:before="240" w:after="240" w:line="360" w:lineRule="auto"/>
        <w:jc w:val="both"/>
      </w:pPr>
      <w:r>
        <w:rPr>
          <w:rFonts w:ascii="Palatino Linotype" w:eastAsia="Palatino Linotype" w:hAnsi="Palatino Linotype" w:cs="Palatino Linotype"/>
        </w:rPr>
        <w:t>Es por ello, que corresponde al Titular de la Unidad de Transparencia garantizar que las solicitudes se turnen a todas las áreas competentes que puedan contar con la información, con el objeto de realizar una búsqueda exhaustiva y razonable de la información solicitada.</w:t>
      </w:r>
    </w:p>
    <w:p w14:paraId="08A6625C" w14:textId="77777777" w:rsidR="00AF75C2" w:rsidRDefault="005F558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respecto de la información solicitada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se advierte que el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del artículo 162 de la Ley de Transparencia y Acceso a la Información Pública del Estado de México y Municipios, debió requerir la información a las áreas idóneas para genera poseer o administrar la información. </w:t>
      </w:r>
    </w:p>
    <w:p w14:paraId="721811F3" w14:textId="088DFD01" w:rsidR="00AF75C2" w:rsidRDefault="005F558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Atento a lo anterior, la Ley que crea los Organismos Públicos Descentralizados de Asistencia Social de Carácter Municipal denominados "Sistemas Municipales para el Desarrollo Integral de la Familia" señala que el órgano Superior será la junta de Gobierno, la cual se conformará, entre otros por un Tesorero, como se puede apreciar del contenido del </w:t>
      </w:r>
      <w:r w:rsidR="00A33A03">
        <w:rPr>
          <w:rFonts w:ascii="Palatino Linotype" w:eastAsia="Palatino Linotype" w:hAnsi="Palatino Linotype" w:cs="Palatino Linotype"/>
        </w:rPr>
        <w:t>artículo</w:t>
      </w:r>
      <w:r>
        <w:rPr>
          <w:rFonts w:ascii="Palatino Linotype" w:eastAsia="Palatino Linotype" w:hAnsi="Palatino Linotype" w:cs="Palatino Linotype"/>
        </w:rPr>
        <w:t xml:space="preserve"> 12 de la ley en comento: </w:t>
      </w:r>
    </w:p>
    <w:p w14:paraId="20758FC4" w14:textId="77777777" w:rsidR="00AF75C2" w:rsidRDefault="005F5589">
      <w:pPr>
        <w:spacing w:before="280" w:after="28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El Órgano Superior de los Organismos será la Junta de Gobierno, la cual se integrará con un Presidente, un Secretario, un Tesorero y dos Vocales. Recayendo la Presidencia en la persona que al efecto nombre el C. Presidente Municipal, lo mismo el Secretario, que en todo caso será el Director, el Tesorero será la persona que designe el Presidente de la Junta de Gobierno y los Vocales serán dos funcionarios Municipales, cuya actividad se encuentre más relacionada con los objetivos de los Organismos.</w:t>
      </w:r>
    </w:p>
    <w:p w14:paraId="591908AD" w14:textId="77777777" w:rsidR="00AF75C2" w:rsidRDefault="005F5589">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bien, dicho tesorero, será el responsable del manejo del presupuesto del Sistema</w:t>
      </w:r>
    </w:p>
    <w:p w14:paraId="306EB0B6" w14:textId="3CE7D3CC" w:rsidR="00AF75C2" w:rsidRDefault="005F5589">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Municipal, y de la administración de los recursos que conforman el patrimonio del organismo, contando con las atribuciones listadas en las fracciones del </w:t>
      </w:r>
      <w:r w:rsidR="00A33A03">
        <w:rPr>
          <w:rFonts w:ascii="Palatino Linotype" w:eastAsia="Palatino Linotype" w:hAnsi="Palatino Linotype" w:cs="Palatino Linotype"/>
        </w:rPr>
        <w:t>artículo</w:t>
      </w:r>
      <w:r>
        <w:rPr>
          <w:rFonts w:ascii="Palatino Linotype" w:eastAsia="Palatino Linotype" w:hAnsi="Palatino Linotype" w:cs="Palatino Linotype"/>
        </w:rPr>
        <w:t xml:space="preserve"> 15 de las cuales se </w:t>
      </w:r>
      <w:r w:rsidR="00A33A03">
        <w:rPr>
          <w:rFonts w:ascii="Palatino Linotype" w:eastAsia="Palatino Linotype" w:hAnsi="Palatino Linotype" w:cs="Palatino Linotype"/>
        </w:rPr>
        <w:t>resaltan</w:t>
      </w:r>
      <w:r>
        <w:rPr>
          <w:rFonts w:ascii="Palatino Linotype" w:eastAsia="Palatino Linotype" w:hAnsi="Palatino Linotype" w:cs="Palatino Linotype"/>
        </w:rPr>
        <w:t xml:space="preserve"> las previstas en las fracciones I, II, III y IV que son de tenor </w:t>
      </w:r>
      <w:r w:rsidR="00A33A03">
        <w:rPr>
          <w:rFonts w:ascii="Palatino Linotype" w:eastAsia="Palatino Linotype" w:hAnsi="Palatino Linotype" w:cs="Palatino Linotype"/>
        </w:rPr>
        <w:t>siguiente</w:t>
      </w:r>
      <w:r>
        <w:rPr>
          <w:rFonts w:ascii="Palatino Linotype" w:eastAsia="Palatino Linotype" w:hAnsi="Palatino Linotype" w:cs="Palatino Linotype"/>
        </w:rPr>
        <w:t>:</w:t>
      </w:r>
    </w:p>
    <w:p w14:paraId="217E041F" w14:textId="77777777" w:rsidR="00AF75C2" w:rsidRDefault="005F5589">
      <w:pPr>
        <w:pBdr>
          <w:top w:val="nil"/>
          <w:left w:val="nil"/>
          <w:bottom w:val="nil"/>
          <w:right w:val="nil"/>
          <w:between w:val="nil"/>
        </w:pBdr>
        <w:spacing w:before="280" w:after="28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15.-</w:t>
      </w:r>
      <w:r>
        <w:rPr>
          <w:rFonts w:ascii="Palatino Linotype" w:eastAsia="Palatino Linotype" w:hAnsi="Palatino Linotype" w:cs="Palatino Linotype"/>
          <w:i/>
          <w:sz w:val="22"/>
          <w:szCs w:val="22"/>
        </w:rPr>
        <w:t xml:space="preserve"> El Tesorero será el responsable del manejo del 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 además tendrá las siguientes atribuciones: </w:t>
      </w:r>
    </w:p>
    <w:p w14:paraId="7A70D01B" w14:textId="77777777" w:rsidR="00AF75C2" w:rsidRDefault="005F5589">
      <w:pPr>
        <w:pBdr>
          <w:top w:val="nil"/>
          <w:left w:val="nil"/>
          <w:bottom w:val="nil"/>
          <w:right w:val="nil"/>
          <w:between w:val="nil"/>
        </w:pBdr>
        <w:spacing w:before="280" w:after="280"/>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Administrar los recursos que conforman el patrimonio del organismo de conformidad con lo establecido en las disposiciones legales aplicables; </w:t>
      </w:r>
    </w:p>
    <w:p w14:paraId="54EC9A83" w14:textId="77777777" w:rsidR="00AF75C2" w:rsidRDefault="005F5589">
      <w:pPr>
        <w:pBdr>
          <w:top w:val="nil"/>
          <w:left w:val="nil"/>
          <w:bottom w:val="nil"/>
          <w:right w:val="nil"/>
          <w:between w:val="nil"/>
        </w:pBdr>
        <w:spacing w:before="280" w:after="280"/>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Llevar los libros y registros contables, financieros y administrativos de los ingresos, egresos e inventarios;</w:t>
      </w:r>
    </w:p>
    <w:p w14:paraId="13F0736D" w14:textId="77777777" w:rsidR="00AF75C2" w:rsidRDefault="005F5589">
      <w:pPr>
        <w:pBdr>
          <w:top w:val="nil"/>
          <w:left w:val="nil"/>
          <w:bottom w:val="nil"/>
          <w:right w:val="nil"/>
          <w:between w:val="nil"/>
        </w:pBdr>
        <w:spacing w:before="280" w:after="28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III. Proporcionar oportunamente a la Junta de Gobierno todos los datos e informes que sean necesarios para la formulación del Presupuesto de Egresos del organismo, vigilando que se ajuste a las disposiciones legales aplicables;</w:t>
      </w:r>
      <w:r>
        <w:rPr>
          <w:rFonts w:ascii="Palatino Linotype" w:eastAsia="Palatino Linotype" w:hAnsi="Palatino Linotype" w:cs="Palatino Linotype"/>
          <w:i/>
          <w:sz w:val="22"/>
          <w:szCs w:val="22"/>
        </w:rPr>
        <w:t xml:space="preserve"> </w:t>
      </w:r>
    </w:p>
    <w:p w14:paraId="0A88DC4A" w14:textId="77777777" w:rsidR="00AF75C2" w:rsidRDefault="005F5589">
      <w:pPr>
        <w:pBdr>
          <w:top w:val="nil"/>
          <w:left w:val="nil"/>
          <w:bottom w:val="nil"/>
          <w:right w:val="nil"/>
          <w:between w:val="nil"/>
        </w:pBdr>
        <w:spacing w:before="280" w:after="280"/>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IV. Presentar anualmente a la Junta de Gobierno un informe de la situación contable financiera de la Tesorería del Organismo; </w:t>
      </w:r>
    </w:p>
    <w:p w14:paraId="3F77C57F" w14:textId="77777777" w:rsidR="00AF75C2" w:rsidRDefault="005F5589">
      <w:pPr>
        <w:pBdr>
          <w:top w:val="nil"/>
          <w:left w:val="nil"/>
          <w:bottom w:val="nil"/>
          <w:right w:val="nil"/>
          <w:between w:val="nil"/>
        </w:pBdr>
        <w:spacing w:before="280" w:after="28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Contestar oportunamente los pliegos de observaciones y responsabilidades que haga el Órgano Superior de Fiscalización del Estado de México, así como atender en tiempo y forma las solicitudes de información que éste requiera, informando al Consejo Directivo. </w:t>
      </w:r>
    </w:p>
    <w:p w14:paraId="70E05EF8" w14:textId="77777777" w:rsidR="00AF75C2" w:rsidRDefault="005F5589">
      <w:pPr>
        <w:pBdr>
          <w:top w:val="nil"/>
          <w:left w:val="nil"/>
          <w:bottom w:val="nil"/>
          <w:right w:val="nil"/>
          <w:between w:val="nil"/>
        </w:pBdr>
        <w:spacing w:before="280" w:after="28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Certificar los documentos a su cuidado, por acuerdo expreso de la Junta de Gobierno y cuando se trate de documentación presentada ante el Órgano Superior de Fiscalización del Estado de México; </w:t>
      </w:r>
    </w:p>
    <w:p w14:paraId="6AA83505" w14:textId="77777777" w:rsidR="00AF75C2" w:rsidRDefault="005F5589">
      <w:pPr>
        <w:pBdr>
          <w:top w:val="nil"/>
          <w:left w:val="nil"/>
          <w:bottom w:val="nil"/>
          <w:right w:val="nil"/>
          <w:between w:val="nil"/>
        </w:pBdr>
        <w:spacing w:before="280" w:after="28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Integrar y autorizar con su firma, la documentación que deba presentarse al Órgano Superior de Fiscalización del Estado de México; y </w:t>
      </w:r>
    </w:p>
    <w:p w14:paraId="5206F46E" w14:textId="77777777" w:rsidR="00AF75C2" w:rsidRDefault="005F5589">
      <w:pPr>
        <w:pBdr>
          <w:top w:val="nil"/>
          <w:left w:val="nil"/>
          <w:bottom w:val="nil"/>
          <w:right w:val="nil"/>
          <w:between w:val="nil"/>
        </w:pBdr>
        <w:spacing w:before="280" w:after="28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Las demás que le confieran los ordenamientos legales y la Junta de Gobierno.”</w:t>
      </w:r>
    </w:p>
    <w:p w14:paraId="6FDC0436" w14:textId="77777777" w:rsidR="00AF75C2" w:rsidRDefault="005F5589">
      <w:pPr>
        <w:pBdr>
          <w:top w:val="nil"/>
          <w:left w:val="nil"/>
          <w:bottom w:val="nil"/>
          <w:right w:val="nil"/>
          <w:between w:val="nil"/>
        </w:pBdr>
        <w:spacing w:before="280" w:after="28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669A8D2B" w14:textId="77905125" w:rsidR="00AF75C2" w:rsidRDefault="005F5589">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Del precepto anterior, se desprende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dentro de sus facultades, el Tesorero, deberá administrar los recursos del Sistema Municipal así como integrar el presupuesto y llevar el registro de los ingresos y egresos, razón por la cual puede tener </w:t>
      </w:r>
      <w:r w:rsidR="00A33A03">
        <w:rPr>
          <w:rFonts w:ascii="Palatino Linotype" w:eastAsia="Palatino Linotype" w:hAnsi="Palatino Linotype" w:cs="Palatino Linotype"/>
        </w:rPr>
        <w:t>conocimiento</w:t>
      </w:r>
      <w:r>
        <w:rPr>
          <w:rFonts w:ascii="Palatino Linotype" w:eastAsia="Palatino Linotype" w:hAnsi="Palatino Linotype" w:cs="Palatino Linotype"/>
        </w:rPr>
        <w:t xml:space="preserve"> de la </w:t>
      </w:r>
      <w:r w:rsidR="00A33A03">
        <w:rPr>
          <w:rFonts w:ascii="Palatino Linotype" w:eastAsia="Palatino Linotype" w:hAnsi="Palatino Linotype" w:cs="Palatino Linotype"/>
        </w:rPr>
        <w:t>información</w:t>
      </w:r>
      <w:r>
        <w:rPr>
          <w:rFonts w:ascii="Palatino Linotype" w:eastAsia="Palatino Linotype" w:hAnsi="Palatino Linotype" w:cs="Palatino Linotype"/>
        </w:rPr>
        <w:t xml:space="preserve"> solicitada. </w:t>
      </w:r>
    </w:p>
    <w:p w14:paraId="522686B5" w14:textId="08F08400" w:rsidR="00AF75C2" w:rsidRDefault="005F5589">
      <w:pPr>
        <w:pBdr>
          <w:top w:val="nil"/>
          <w:left w:val="nil"/>
          <w:bottom w:val="nil"/>
          <w:right w:val="nil"/>
          <w:between w:val="nil"/>
        </w:pBdr>
        <w:spacing w:before="280" w:after="28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Aunado a lo anterior, el Reglamento interior vigente del Sistema Municipal Para el Desarrollo Integral de la Familia de Metepec contempla en sus </w:t>
      </w:r>
      <w:r w:rsidR="00A33A03">
        <w:rPr>
          <w:rFonts w:ascii="Palatino Linotype" w:eastAsia="Palatino Linotype" w:hAnsi="Palatino Linotype" w:cs="Palatino Linotype"/>
        </w:rPr>
        <w:t>artículos</w:t>
      </w:r>
      <w:r>
        <w:rPr>
          <w:rFonts w:ascii="Palatino Linotype" w:eastAsia="Palatino Linotype" w:hAnsi="Palatino Linotype" w:cs="Palatino Linotype"/>
        </w:rPr>
        <w:t xml:space="preserve"> 39 y 40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para su operación y</w:t>
      </w:r>
      <w:r w:rsidR="00A33A03">
        <w:rPr>
          <w:rFonts w:ascii="Palatino Linotype" w:eastAsia="Palatino Linotype" w:hAnsi="Palatino Linotype" w:cs="Palatino Linotype"/>
        </w:rPr>
        <w:t xml:space="preserve"> funcionamiento</w:t>
      </w:r>
      <w:r>
        <w:rPr>
          <w:rFonts w:ascii="Palatino Linotype" w:eastAsia="Palatino Linotype" w:hAnsi="Palatino Linotype" w:cs="Palatino Linotype"/>
        </w:rPr>
        <w:t xml:space="preserve">, la Junta de Gobierno se auxiliará de diversas unidades </w:t>
      </w:r>
      <w:r w:rsidR="00A33A03">
        <w:rPr>
          <w:rFonts w:ascii="Palatino Linotype" w:eastAsia="Palatino Linotype" w:hAnsi="Palatino Linotype" w:cs="Palatino Linotype"/>
        </w:rPr>
        <w:t>administrativas, como</w:t>
      </w:r>
      <w:r>
        <w:rPr>
          <w:rFonts w:ascii="Palatino Linotype" w:eastAsia="Palatino Linotype" w:hAnsi="Palatino Linotype" w:cs="Palatino Linotype"/>
        </w:rPr>
        <w:t xml:space="preserve"> se observa de la siguiente imagen:</w:t>
      </w:r>
    </w:p>
    <w:p w14:paraId="2B0AB0A9" w14:textId="77777777" w:rsidR="00AF75C2" w:rsidRDefault="005F558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1CFB2878" wp14:editId="6A4C49F3">
            <wp:extent cx="5791200" cy="2407421"/>
            <wp:effectExtent l="0" t="0" r="0" b="0"/>
            <wp:docPr id="19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b="17939"/>
                    <a:stretch>
                      <a:fillRect/>
                    </a:stretch>
                  </pic:blipFill>
                  <pic:spPr>
                    <a:xfrm>
                      <a:off x="0" y="0"/>
                      <a:ext cx="5791200" cy="2407421"/>
                    </a:xfrm>
                    <a:prstGeom prst="rect">
                      <a:avLst/>
                    </a:prstGeom>
                    <a:ln/>
                  </pic:spPr>
                </pic:pic>
              </a:graphicData>
            </a:graphic>
          </wp:inline>
        </w:drawing>
      </w:r>
    </w:p>
    <w:p w14:paraId="5428143E" w14:textId="2B1108C6" w:rsidR="00AF75C2" w:rsidRDefault="005F558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manera que dentro de la estructura </w:t>
      </w:r>
      <w:r w:rsidR="00A33A03">
        <w:rPr>
          <w:rFonts w:ascii="Palatino Linotype" w:eastAsia="Palatino Linotype" w:hAnsi="Palatino Linotype" w:cs="Palatino Linotype"/>
        </w:rPr>
        <w:t>orgánica</w:t>
      </w:r>
      <w:r>
        <w:rPr>
          <w:rFonts w:ascii="Palatino Linotype" w:eastAsia="Palatino Linotype" w:hAnsi="Palatino Linotype" w:cs="Palatino Linotype"/>
        </w:rPr>
        <w:t xml:space="preserve"> del </w:t>
      </w:r>
      <w:r>
        <w:rPr>
          <w:rFonts w:ascii="Palatino Linotype" w:eastAsia="Palatino Linotype" w:hAnsi="Palatino Linotype" w:cs="Palatino Linotype"/>
          <w:b/>
        </w:rPr>
        <w:t>SUJETO OLIGADO</w:t>
      </w:r>
      <w:r>
        <w:rPr>
          <w:rFonts w:ascii="Palatino Linotype" w:eastAsia="Palatino Linotype" w:hAnsi="Palatino Linotype" w:cs="Palatino Linotype"/>
        </w:rPr>
        <w:t xml:space="preserve"> existen diversas unidades </w:t>
      </w:r>
      <w:r w:rsidR="00A33A03">
        <w:rPr>
          <w:rFonts w:ascii="Palatino Linotype" w:eastAsia="Palatino Linotype" w:hAnsi="Palatino Linotype" w:cs="Palatino Linotype"/>
        </w:rPr>
        <w:t>administrativas</w:t>
      </w:r>
      <w:r>
        <w:rPr>
          <w:rFonts w:ascii="Palatino Linotype" w:eastAsia="Palatino Linotype" w:hAnsi="Palatino Linotype" w:cs="Palatino Linotype"/>
        </w:rPr>
        <w:t>, de las cuales, para el caso que nos cupa se res</w:t>
      </w:r>
      <w:r w:rsidR="00A33A03">
        <w:rPr>
          <w:rFonts w:ascii="Palatino Linotype" w:eastAsia="Palatino Linotype" w:hAnsi="Palatino Linotype" w:cs="Palatino Linotype"/>
        </w:rPr>
        <w:t>a</w:t>
      </w:r>
      <w:r>
        <w:rPr>
          <w:rFonts w:ascii="Palatino Linotype" w:eastAsia="Palatino Linotype" w:hAnsi="Palatino Linotype" w:cs="Palatino Linotype"/>
        </w:rPr>
        <w:t xml:space="preserve">lta la Dirección de Administración y Finanzas, la cual será la encargada de supervisar el manejo de los recursos humanos, materiales y financieros y tiene dentro de sus </w:t>
      </w:r>
      <w:r>
        <w:rPr>
          <w:rFonts w:ascii="Palatino Linotype" w:eastAsia="Palatino Linotype" w:hAnsi="Palatino Linotype" w:cs="Palatino Linotype"/>
        </w:rPr>
        <w:lastRenderedPageBreak/>
        <w:t xml:space="preserve">atribuciones las de presidir el Comité de </w:t>
      </w:r>
      <w:r w:rsidR="00A33A03">
        <w:rPr>
          <w:rFonts w:ascii="Palatino Linotype" w:eastAsia="Palatino Linotype" w:hAnsi="Palatino Linotype" w:cs="Palatino Linotype"/>
        </w:rPr>
        <w:t>Adquisiciones</w:t>
      </w:r>
      <w:r>
        <w:rPr>
          <w:rFonts w:ascii="Palatino Linotype" w:eastAsia="Palatino Linotype" w:hAnsi="Palatino Linotype" w:cs="Palatino Linotype"/>
        </w:rPr>
        <w:t xml:space="preserve"> y Servicios, proveer a las áreas de los recursos necesarios para desempeñar sus funciones, llevar los libros y </w:t>
      </w:r>
      <w:r w:rsidR="00A33A03">
        <w:rPr>
          <w:rFonts w:ascii="Palatino Linotype" w:eastAsia="Palatino Linotype" w:hAnsi="Palatino Linotype" w:cs="Palatino Linotype"/>
        </w:rPr>
        <w:t>registros</w:t>
      </w:r>
      <w:r>
        <w:rPr>
          <w:rFonts w:ascii="Palatino Linotype" w:eastAsia="Palatino Linotype" w:hAnsi="Palatino Linotype" w:cs="Palatino Linotype"/>
        </w:rPr>
        <w:t xml:space="preserve"> contables de los ingresos y egresos, así como programar el uso de los recursos financieros integrando los presupuestos de egresos e ingresos, </w:t>
      </w:r>
      <w:r w:rsidR="00A33A03">
        <w:rPr>
          <w:rFonts w:ascii="Palatino Linotype" w:eastAsia="Palatino Linotype" w:hAnsi="Palatino Linotype" w:cs="Palatino Linotype"/>
        </w:rPr>
        <w:t>situación</w:t>
      </w:r>
      <w:r>
        <w:rPr>
          <w:rFonts w:ascii="Palatino Linotype" w:eastAsia="Palatino Linotype" w:hAnsi="Palatino Linotype" w:cs="Palatino Linotype"/>
        </w:rPr>
        <w:t xml:space="preserve"> que se puede verificar de la redacción de los </w:t>
      </w:r>
      <w:r w:rsidR="00A33A03">
        <w:rPr>
          <w:rFonts w:ascii="Palatino Linotype" w:eastAsia="Palatino Linotype" w:hAnsi="Palatino Linotype" w:cs="Palatino Linotype"/>
        </w:rPr>
        <w:t>artículos</w:t>
      </w:r>
      <w:r>
        <w:rPr>
          <w:rFonts w:ascii="Palatino Linotype" w:eastAsia="Palatino Linotype" w:hAnsi="Palatino Linotype" w:cs="Palatino Linotype"/>
        </w:rPr>
        <w:t xml:space="preserve"> 42 y 43 fracciones XII, XIII, XV, XVII, XVIII, XXIII, XXIV, XXXVI y XXXVIII mismos que para mayor certeza se insertan a continuación: </w:t>
      </w:r>
    </w:p>
    <w:p w14:paraId="209D67FD" w14:textId="77777777" w:rsidR="00AF75C2" w:rsidRDefault="005F558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0BBDDEA0" wp14:editId="0E125075">
            <wp:extent cx="5791200" cy="2236554"/>
            <wp:effectExtent l="0" t="0" r="0" b="0"/>
            <wp:docPr id="19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b="3719"/>
                    <a:stretch>
                      <a:fillRect/>
                    </a:stretch>
                  </pic:blipFill>
                  <pic:spPr>
                    <a:xfrm>
                      <a:off x="0" y="0"/>
                      <a:ext cx="5791200" cy="2236554"/>
                    </a:xfrm>
                    <a:prstGeom prst="rect">
                      <a:avLst/>
                    </a:prstGeom>
                    <a:ln/>
                  </pic:spPr>
                </pic:pic>
              </a:graphicData>
            </a:graphic>
          </wp:inline>
        </w:drawing>
      </w:r>
    </w:p>
    <w:p w14:paraId="51AB2A1A" w14:textId="77777777" w:rsidR="00AF75C2" w:rsidRDefault="005F558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114300" distB="114300" distL="114300" distR="114300" wp14:anchorId="6FA5520C" wp14:editId="34498362">
            <wp:extent cx="5791200" cy="2015904"/>
            <wp:effectExtent l="0" t="0" r="0" b="0"/>
            <wp:docPr id="19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b="54485"/>
                    <a:stretch>
                      <a:fillRect/>
                    </a:stretch>
                  </pic:blipFill>
                  <pic:spPr>
                    <a:xfrm>
                      <a:off x="0" y="0"/>
                      <a:ext cx="5791200" cy="2015904"/>
                    </a:xfrm>
                    <a:prstGeom prst="rect">
                      <a:avLst/>
                    </a:prstGeom>
                    <a:ln/>
                  </pic:spPr>
                </pic:pic>
              </a:graphicData>
            </a:graphic>
          </wp:inline>
        </w:drawing>
      </w:r>
    </w:p>
    <w:p w14:paraId="2E7B1571" w14:textId="77777777" w:rsidR="00AF75C2" w:rsidRDefault="005F558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0342052C" wp14:editId="16CD0FCD">
            <wp:extent cx="5791200" cy="2441796"/>
            <wp:effectExtent l="0" t="0" r="0" b="0"/>
            <wp:docPr id="1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t="44802"/>
                    <a:stretch>
                      <a:fillRect/>
                    </a:stretch>
                  </pic:blipFill>
                  <pic:spPr>
                    <a:xfrm>
                      <a:off x="0" y="0"/>
                      <a:ext cx="5791200" cy="2441796"/>
                    </a:xfrm>
                    <a:prstGeom prst="rect">
                      <a:avLst/>
                    </a:prstGeom>
                    <a:ln/>
                  </pic:spPr>
                </pic:pic>
              </a:graphicData>
            </a:graphic>
          </wp:inline>
        </w:drawing>
      </w:r>
    </w:p>
    <w:p w14:paraId="42F25C67" w14:textId="77777777" w:rsidR="00AF75C2" w:rsidRDefault="005F558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53E3E266" wp14:editId="68713300">
            <wp:extent cx="5791200" cy="1149129"/>
            <wp:effectExtent l="0" t="0" r="0" b="0"/>
            <wp:docPr id="19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b="56446"/>
                    <a:stretch>
                      <a:fillRect/>
                    </a:stretch>
                  </pic:blipFill>
                  <pic:spPr>
                    <a:xfrm>
                      <a:off x="0" y="0"/>
                      <a:ext cx="5791200" cy="1149129"/>
                    </a:xfrm>
                    <a:prstGeom prst="rect">
                      <a:avLst/>
                    </a:prstGeom>
                    <a:ln/>
                  </pic:spPr>
                </pic:pic>
              </a:graphicData>
            </a:graphic>
          </wp:inline>
        </w:drawing>
      </w:r>
    </w:p>
    <w:p w14:paraId="66CFB8C7" w14:textId="77777777" w:rsidR="00AF75C2" w:rsidRDefault="005F558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114300" distB="114300" distL="114300" distR="114300" wp14:anchorId="59BE7FEF" wp14:editId="7C3ED41B">
            <wp:extent cx="5791200" cy="1498821"/>
            <wp:effectExtent l="0" t="0" r="0" b="0"/>
            <wp:docPr id="19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t="43192"/>
                    <a:stretch>
                      <a:fillRect/>
                    </a:stretch>
                  </pic:blipFill>
                  <pic:spPr>
                    <a:xfrm>
                      <a:off x="0" y="0"/>
                      <a:ext cx="5791200" cy="1498821"/>
                    </a:xfrm>
                    <a:prstGeom prst="rect">
                      <a:avLst/>
                    </a:prstGeom>
                    <a:ln/>
                  </pic:spPr>
                </pic:pic>
              </a:graphicData>
            </a:graphic>
          </wp:inline>
        </w:drawing>
      </w:r>
      <w:r>
        <w:rPr>
          <w:rFonts w:ascii="Palatino Linotype" w:eastAsia="Palatino Linotype" w:hAnsi="Palatino Linotype" w:cs="Palatino Linotype"/>
          <w:noProof/>
        </w:rPr>
        <w:drawing>
          <wp:inline distT="114300" distB="114300" distL="114300" distR="114300" wp14:anchorId="115BF950" wp14:editId="10781BF3">
            <wp:extent cx="5791835" cy="1866900"/>
            <wp:effectExtent l="0" t="0" r="0" b="0"/>
            <wp:docPr id="1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91835" cy="1866900"/>
                    </a:xfrm>
                    <a:prstGeom prst="rect">
                      <a:avLst/>
                    </a:prstGeom>
                    <a:ln/>
                  </pic:spPr>
                </pic:pic>
              </a:graphicData>
            </a:graphic>
          </wp:inline>
        </w:drawing>
      </w:r>
    </w:p>
    <w:p w14:paraId="49F09092" w14:textId="6087518B" w:rsidR="00AF75C2" w:rsidRDefault="005F558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derivado de la naturaleza de la información solicitada, no es ocioso mencionar que dentro de la estructura orgánica </w:t>
      </w:r>
      <w:r w:rsidR="00DE75B7">
        <w:rPr>
          <w:rFonts w:ascii="Palatino Linotype" w:eastAsia="Palatino Linotype" w:hAnsi="Palatino Linotype" w:cs="Palatino Linotype"/>
        </w:rPr>
        <w:t>del SUJETO</w:t>
      </w:r>
      <w:r>
        <w:rPr>
          <w:rFonts w:ascii="Palatino Linotype" w:eastAsia="Palatino Linotype" w:hAnsi="Palatino Linotype" w:cs="Palatino Linotype"/>
          <w:b/>
        </w:rPr>
        <w:t xml:space="preserve"> OBLIGADO</w:t>
      </w:r>
      <w:r>
        <w:rPr>
          <w:rFonts w:ascii="Palatino Linotype" w:eastAsia="Palatino Linotype" w:hAnsi="Palatino Linotype" w:cs="Palatino Linotype"/>
        </w:rPr>
        <w:t xml:space="preserve"> también existe un área encarga de los medios de comunicación, la cual es denominada Coordinación de Comunicación Social y está prevista por el Reglamento interior en comento en su sección IV artículos 24 y 25, que a la letra señalan:</w:t>
      </w:r>
    </w:p>
    <w:p w14:paraId="2CE7088F" w14:textId="77777777" w:rsidR="00AF75C2" w:rsidRDefault="005F558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r>
        <w:rPr>
          <w:rFonts w:ascii="Palatino Linotype" w:eastAsia="Palatino Linotype" w:hAnsi="Palatino Linotype" w:cs="Palatino Linotype"/>
          <w:noProof/>
        </w:rPr>
        <w:drawing>
          <wp:inline distT="114300" distB="114300" distL="114300" distR="114300" wp14:anchorId="6AD5015B" wp14:editId="08A1F639">
            <wp:extent cx="5791835" cy="3759200"/>
            <wp:effectExtent l="0" t="0" r="0" b="0"/>
            <wp:docPr id="1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791835" cy="3759200"/>
                    </a:xfrm>
                    <a:prstGeom prst="rect">
                      <a:avLst/>
                    </a:prstGeom>
                    <a:ln/>
                  </pic:spPr>
                </pic:pic>
              </a:graphicData>
            </a:graphic>
          </wp:inline>
        </w:drawing>
      </w:r>
      <w:r>
        <w:rPr>
          <w:rFonts w:ascii="Palatino Linotype" w:eastAsia="Palatino Linotype" w:hAnsi="Palatino Linotype" w:cs="Palatino Linotype"/>
        </w:rPr>
        <w:t xml:space="preserve">                                      </w:t>
      </w:r>
    </w:p>
    <w:p w14:paraId="36400F6C" w14:textId="4939BC4F" w:rsidR="00AF75C2" w:rsidRDefault="005F558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Luego entonces, es posible concluir que la respuesta dada por </w:t>
      </w:r>
      <w:r>
        <w:rPr>
          <w:rFonts w:ascii="Palatino Linotype" w:eastAsia="Palatino Linotype" w:hAnsi="Palatino Linotype" w:cs="Palatino Linotype"/>
          <w:b/>
        </w:rPr>
        <w:t>EL SUEJTO OBLIGADO</w:t>
      </w:r>
      <w:r>
        <w:rPr>
          <w:rFonts w:ascii="Palatino Linotype" w:eastAsia="Palatino Linotype" w:hAnsi="Palatino Linotype" w:cs="Palatino Linotype"/>
        </w:rPr>
        <w:t xml:space="preserve"> no puede satisfacer el derecho de acceso a la </w:t>
      </w:r>
      <w:r w:rsidR="00DE75B7">
        <w:rPr>
          <w:rFonts w:ascii="Palatino Linotype" w:eastAsia="Palatino Linotype" w:hAnsi="Palatino Linotype" w:cs="Palatino Linotype"/>
        </w:rPr>
        <w:t>información</w:t>
      </w:r>
      <w:r>
        <w:rPr>
          <w:rFonts w:ascii="Palatino Linotype" w:eastAsia="Palatino Linotype" w:hAnsi="Palatino Linotype" w:cs="Palatino Linotype"/>
        </w:rPr>
        <w:t xml:space="preserve"> del particular, toda vez que no se </w:t>
      </w:r>
      <w:r w:rsidR="00DE75B7">
        <w:rPr>
          <w:rFonts w:ascii="Palatino Linotype" w:eastAsia="Palatino Linotype" w:hAnsi="Palatino Linotype" w:cs="Palatino Linotype"/>
        </w:rPr>
        <w:t>realizó</w:t>
      </w:r>
      <w:r>
        <w:rPr>
          <w:rFonts w:ascii="Palatino Linotype" w:eastAsia="Palatino Linotype" w:hAnsi="Palatino Linotype" w:cs="Palatino Linotype"/>
        </w:rPr>
        <w:t xml:space="preserve"> un requerimiento a todas las áreas que pudieran conocer de la </w:t>
      </w:r>
      <w:r w:rsidR="00DE75B7">
        <w:rPr>
          <w:rFonts w:ascii="Palatino Linotype" w:eastAsia="Palatino Linotype" w:hAnsi="Palatino Linotype" w:cs="Palatino Linotype"/>
        </w:rPr>
        <w:t>información solicitada</w:t>
      </w:r>
      <w:r>
        <w:rPr>
          <w:rFonts w:ascii="Palatino Linotype" w:eastAsia="Palatino Linotype" w:hAnsi="Palatino Linotype" w:cs="Palatino Linotype"/>
        </w:rPr>
        <w:t xml:space="preserve">, y el turno realizado, quedó pendiente de respuesta. </w:t>
      </w:r>
    </w:p>
    <w:p w14:paraId="529C61EC" w14:textId="014E1EC9" w:rsidR="00AF75C2" w:rsidRDefault="005F558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este </w:t>
      </w:r>
      <w:r w:rsidR="00DE75B7">
        <w:rPr>
          <w:rFonts w:ascii="Palatino Linotype" w:eastAsia="Palatino Linotype" w:hAnsi="Palatino Linotype" w:cs="Palatino Linotype"/>
        </w:rPr>
        <w:t>Instituto</w:t>
      </w:r>
      <w:r>
        <w:rPr>
          <w:rFonts w:ascii="Palatino Linotype" w:eastAsia="Palatino Linotype" w:hAnsi="Palatino Linotype" w:cs="Palatino Linotype"/>
        </w:rPr>
        <w:t xml:space="preserve"> determina </w:t>
      </w:r>
      <w:r>
        <w:rPr>
          <w:rFonts w:ascii="Palatino Linotype" w:eastAsia="Palatino Linotype" w:hAnsi="Palatino Linotype" w:cs="Palatino Linotype"/>
          <w:b/>
        </w:rPr>
        <w:t xml:space="preserve">REVOCAR </w:t>
      </w:r>
      <w:r>
        <w:rPr>
          <w:rFonts w:ascii="Palatino Linotype" w:eastAsia="Palatino Linotype" w:hAnsi="Palatino Linotype" w:cs="Palatino Linotype"/>
        </w:rPr>
        <w:t xml:space="preserve">la respuesta otorgada por </w:t>
      </w:r>
      <w:r>
        <w:rPr>
          <w:rFonts w:ascii="Palatino Linotype" w:eastAsia="Palatino Linotype" w:hAnsi="Palatino Linotype" w:cs="Palatino Linotype"/>
          <w:b/>
        </w:rPr>
        <w:t xml:space="preserve">EL SUEJTO OBLIGADO </w:t>
      </w:r>
      <w:r>
        <w:rPr>
          <w:rFonts w:ascii="Palatino Linotype" w:eastAsia="Palatino Linotype" w:hAnsi="Palatino Linotype" w:cs="Palatino Linotype"/>
        </w:rPr>
        <w:t xml:space="preserve">a las solicitudes de acceso a la </w:t>
      </w:r>
      <w:r w:rsidR="00DE75B7">
        <w:rPr>
          <w:rFonts w:ascii="Palatino Linotype" w:eastAsia="Palatino Linotype" w:hAnsi="Palatino Linotype" w:cs="Palatino Linotype"/>
        </w:rPr>
        <w:t>información</w:t>
      </w:r>
      <w:r>
        <w:rPr>
          <w:rFonts w:ascii="Palatino Linotype" w:eastAsia="Palatino Linotype" w:hAnsi="Palatino Linotype" w:cs="Palatino Linotype"/>
        </w:rPr>
        <w:t xml:space="preserve"> pública materia del presente estudio  por resultar parcialmente fundadas las razones o motivos esgrimidos por el </w:t>
      </w:r>
      <w:r>
        <w:rPr>
          <w:rFonts w:ascii="Palatino Linotype" w:eastAsia="Palatino Linotype" w:hAnsi="Palatino Linotype" w:cs="Palatino Linotype"/>
        </w:rPr>
        <w:lastRenderedPageBreak/>
        <w:t xml:space="preserve">particular en los Recursos de Revisión número </w:t>
      </w:r>
      <w:r>
        <w:rPr>
          <w:rFonts w:ascii="Palatino Linotype" w:eastAsia="Palatino Linotype" w:hAnsi="Palatino Linotype" w:cs="Palatino Linotype"/>
          <w:b/>
          <w:sz w:val="22"/>
          <w:szCs w:val="22"/>
        </w:rPr>
        <w:t xml:space="preserve">12707/INFOEM/IP/RR/2022, 12708/INFOEM/IP/RR/2022 </w:t>
      </w:r>
      <w:r>
        <w:rPr>
          <w:rFonts w:ascii="Palatino Linotype" w:eastAsia="Palatino Linotype" w:hAnsi="Palatino Linotype" w:cs="Palatino Linotype"/>
        </w:rPr>
        <w:t xml:space="preserve">y </w:t>
      </w:r>
      <w:r>
        <w:rPr>
          <w:rFonts w:ascii="Palatino Linotype" w:eastAsia="Palatino Linotype" w:hAnsi="Palatino Linotype" w:cs="Palatino Linotype"/>
          <w:b/>
          <w:sz w:val="22"/>
          <w:szCs w:val="22"/>
        </w:rPr>
        <w:t>12709/INFOEM/IP/RR/2022</w:t>
      </w:r>
      <w:r>
        <w:rPr>
          <w:rFonts w:ascii="Palatino Linotype" w:eastAsia="Palatino Linotype" w:hAnsi="Palatino Linotype" w:cs="Palatino Linotype"/>
        </w:rPr>
        <w:t xml:space="preserve"> y ordenarle lleve a cabo una búsqueda exhaustiva y razonable de la </w:t>
      </w:r>
      <w:r w:rsidR="00DE75B7">
        <w:rPr>
          <w:rFonts w:ascii="Palatino Linotype" w:eastAsia="Palatino Linotype" w:hAnsi="Palatino Linotype" w:cs="Palatino Linotype"/>
        </w:rPr>
        <w:t>información</w:t>
      </w:r>
      <w:r>
        <w:rPr>
          <w:rFonts w:ascii="Palatino Linotype" w:eastAsia="Palatino Linotype" w:hAnsi="Palatino Linotype" w:cs="Palatino Linotype"/>
        </w:rPr>
        <w:t xml:space="preserve"> soli</w:t>
      </w:r>
      <w:r w:rsidR="00DE75B7">
        <w:rPr>
          <w:rFonts w:ascii="Palatino Linotype" w:eastAsia="Palatino Linotype" w:hAnsi="Palatino Linotype" w:cs="Palatino Linotype"/>
        </w:rPr>
        <w:t>citada</w:t>
      </w:r>
      <w:r>
        <w:rPr>
          <w:rFonts w:ascii="Palatino Linotype" w:eastAsia="Palatino Linotype" w:hAnsi="Palatino Linotype" w:cs="Palatino Linotype"/>
        </w:rPr>
        <w:t xml:space="preserve">, para que haga entrega de la misma en versión pública.  </w:t>
      </w:r>
    </w:p>
    <w:p w14:paraId="546583B5" w14:textId="6CE39A24" w:rsidR="00AF75C2" w:rsidRDefault="005F558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sentido, se advierte que dentro de las solicitudes número  </w:t>
      </w:r>
      <w:r>
        <w:rPr>
          <w:rFonts w:ascii="Palatino Linotype" w:eastAsia="Palatino Linotype" w:hAnsi="Palatino Linotype" w:cs="Palatino Linotype"/>
          <w:b/>
          <w:sz w:val="22"/>
          <w:szCs w:val="22"/>
        </w:rPr>
        <w:t xml:space="preserve">05836/DIFMETEPEC/IP/2022, 05835/DIFMETEPEC/IP/2022 </w:t>
      </w:r>
      <w:r>
        <w:rPr>
          <w:rFonts w:ascii="Palatino Linotype" w:eastAsia="Palatino Linotype" w:hAnsi="Palatino Linotype" w:cs="Palatino Linotype"/>
        </w:rPr>
        <w:t xml:space="preserve">el particular señaló como temporalidad el periodo comprendido del primero de enero al treinta y uno de julio del 2023, para la primera y del primero de enero al treinta y uno de julio de dos mil </w:t>
      </w:r>
      <w:r w:rsidR="00DE75B7">
        <w:rPr>
          <w:rFonts w:ascii="Palatino Linotype" w:eastAsia="Palatino Linotype" w:hAnsi="Palatino Linotype" w:cs="Palatino Linotype"/>
        </w:rPr>
        <w:t>veintidós</w:t>
      </w:r>
      <w:r>
        <w:rPr>
          <w:rFonts w:ascii="Palatino Linotype" w:eastAsia="Palatino Linotype" w:hAnsi="Palatino Linotype" w:cs="Palatino Linotype"/>
        </w:rPr>
        <w:t xml:space="preserve"> la segunda,  sin embargo, toda vez que dichas fechas constituyen un hecho futuro, es decir, no existe soporte documental que pueda satisfacerlo, ya que no ha acontecido, se determina con fundamento en los ar</w:t>
      </w:r>
      <w:r w:rsidR="00DE75B7">
        <w:rPr>
          <w:rFonts w:ascii="Palatino Linotype" w:eastAsia="Palatino Linotype" w:hAnsi="Palatino Linotype" w:cs="Palatino Linotype"/>
        </w:rPr>
        <w:t>tículos</w:t>
      </w:r>
      <w:r>
        <w:rPr>
          <w:rFonts w:ascii="Palatino Linotype" w:eastAsia="Palatino Linotype" w:hAnsi="Palatino Linotype" w:cs="Palatino Linotype"/>
        </w:rPr>
        <w:t xml:space="preserve"> 13 y 18 de la Ley de Transparencia y Acceso a la </w:t>
      </w:r>
      <w:r w:rsidR="00DE75B7">
        <w:rPr>
          <w:rFonts w:ascii="Palatino Linotype" w:eastAsia="Palatino Linotype" w:hAnsi="Palatino Linotype" w:cs="Palatino Linotype"/>
        </w:rPr>
        <w:t>Información</w:t>
      </w:r>
      <w:r>
        <w:rPr>
          <w:rFonts w:ascii="Palatino Linotype" w:eastAsia="Palatino Linotype" w:hAnsi="Palatino Linotype" w:cs="Palatino Linotype"/>
        </w:rPr>
        <w:t xml:space="preserve"> Pública del Estado de México y Municipios  suplir la deficiencia de la queja en favor del Recurrente y ordenar la información vigente a la fecha de la solicitud, es decir al seis de junio de dos mil veintidós. </w:t>
      </w:r>
    </w:p>
    <w:p w14:paraId="557AA2F3" w14:textId="77777777" w:rsidR="00AF75C2" w:rsidRDefault="005F558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con relación a la </w:t>
      </w:r>
      <w:r>
        <w:rPr>
          <w:rFonts w:ascii="Palatino Linotype" w:eastAsia="Palatino Linotype" w:hAnsi="Palatino Linotype" w:cs="Palatino Linotype"/>
          <w:b/>
        </w:rPr>
        <w:t xml:space="preserve">versión pública </w:t>
      </w:r>
      <w:r>
        <w:rPr>
          <w:rFonts w:ascii="Palatino Linotype" w:eastAsia="Palatino Linotype" w:hAnsi="Palatino Linotype" w:cs="Palatino Linotype"/>
        </w:rPr>
        <w:t xml:space="preserve">de la información de la que se ordena su entrega, en términos del artículo 143, fracción I y II de la Ley de Transparencia y Acceso a la Información Pública del Estado de México y Municipios, deberá omitirse, eliminarse o suprimirse la información </w:t>
      </w:r>
      <w:r>
        <w:rPr>
          <w:rFonts w:ascii="Palatino Linotype" w:eastAsia="Palatino Linotype" w:hAnsi="Palatino Linotype" w:cs="Palatino Linotype"/>
          <w:b/>
        </w:rPr>
        <w:t>confidencial</w:t>
      </w:r>
      <w:r>
        <w:rPr>
          <w:rFonts w:ascii="Palatino Linotype" w:eastAsia="Palatino Linotype" w:hAnsi="Palatino Linotype" w:cs="Palatino Linotype"/>
        </w:rPr>
        <w:t xml:space="preserve">. </w:t>
      </w:r>
    </w:p>
    <w:p w14:paraId="5CCA2934"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w:t>
      </w:r>
      <w:r>
        <w:rPr>
          <w:rFonts w:ascii="Palatino Linotype" w:eastAsia="Palatino Linotype" w:hAnsi="Palatino Linotype" w:cs="Palatino Linotype"/>
        </w:rPr>
        <w:lastRenderedPageBreak/>
        <w:t xml:space="preserve">mediante las formalidades de Ley; es decir,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de los </w:t>
      </w:r>
      <w:r>
        <w:rPr>
          <w:rFonts w:ascii="Palatino Linotype" w:eastAsia="Palatino Linotype" w:hAnsi="Palatino Linotype" w:cs="Palatino Linotype"/>
          <w:u w:val="single"/>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15 de abril de 2016, mediante Acuerdo del Consejo Nacional del Sistema Nacional de Transparencia, Acceso a la Información Pública y Protección de Datos Personales.</w:t>
      </w:r>
    </w:p>
    <w:p w14:paraId="529BA36E" w14:textId="77777777" w:rsidR="00AF75C2" w:rsidRDefault="00AF75C2">
      <w:pPr>
        <w:spacing w:line="360" w:lineRule="auto"/>
        <w:jc w:val="both"/>
        <w:rPr>
          <w:rFonts w:ascii="Palatino Linotype" w:eastAsia="Palatino Linotype" w:hAnsi="Palatino Linotype" w:cs="Palatino Linotype"/>
        </w:rPr>
      </w:pPr>
    </w:p>
    <w:p w14:paraId="37D9903F"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deberá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07FA032" w14:textId="77777777" w:rsidR="00AF75C2" w:rsidRDefault="00AF75C2">
      <w:pPr>
        <w:jc w:val="both"/>
        <w:rPr>
          <w:rFonts w:ascii="Palatino Linotype" w:eastAsia="Palatino Linotype" w:hAnsi="Palatino Linotype" w:cs="Palatino Linotype"/>
        </w:rPr>
      </w:pPr>
    </w:p>
    <w:p w14:paraId="2B3179CE" w14:textId="77777777" w:rsidR="00AF75C2" w:rsidRDefault="005F5589">
      <w:pPr>
        <w:ind w:left="851" w:right="90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Ley de Transparencia y Acceso a la Información Pública del Estado de México y Municipios</w:t>
      </w:r>
    </w:p>
    <w:p w14:paraId="241A8CEF"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14:paraId="299D7009"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Aprobar</w:t>
      </w:r>
      <w:r>
        <w:rPr>
          <w:rFonts w:ascii="Palatino Linotype" w:eastAsia="Palatino Linotype" w:hAnsi="Palatino Linotype" w:cs="Palatino Linotype"/>
          <w:i/>
          <w:sz w:val="22"/>
          <w:szCs w:val="22"/>
        </w:rPr>
        <w:t>, modificar o revocar la clasificación de la información;</w:t>
      </w:r>
    </w:p>
    <w:p w14:paraId="17DFE07D" w14:textId="77777777" w:rsidR="00AF75C2" w:rsidRDefault="005F5589">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Artículo 132.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clasificación de la información se llevará a cabo en el momento en que:</w:t>
      </w:r>
    </w:p>
    <w:p w14:paraId="02B3DF60"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98D0FAF"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439F940D"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generen versiones públicas para dar cumplimiento a las obligaciones de transparencia previstas en esta Ley</w:t>
      </w:r>
      <w:r>
        <w:rPr>
          <w:rFonts w:ascii="Palatino Linotype" w:eastAsia="Palatino Linotype" w:hAnsi="Palatino Linotype" w:cs="Palatino Linotype"/>
          <w:i/>
          <w:sz w:val="22"/>
          <w:szCs w:val="22"/>
        </w:rPr>
        <w:t>.”</w:t>
      </w:r>
    </w:p>
    <w:p w14:paraId="5BFFA1A5" w14:textId="77777777" w:rsidR="00AF75C2" w:rsidRDefault="005F5589">
      <w:pPr>
        <w:ind w:left="851" w:right="90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w:t>
      </w:r>
    </w:p>
    <w:p w14:paraId="78E9187F"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roofErr w:type="gramStart"/>
      <w:r>
        <w:rPr>
          <w:rFonts w:ascii="Palatino Linotype" w:eastAsia="Palatino Linotype" w:hAnsi="Palatino Linotype" w:cs="Palatino Linotype"/>
          <w:b/>
          <w:i/>
          <w:sz w:val="22"/>
          <w:szCs w:val="22"/>
        </w:rPr>
        <w:t>Segundo.-</w:t>
      </w:r>
      <w:proofErr w:type="gramEnd"/>
      <w:r>
        <w:rPr>
          <w:rFonts w:ascii="Palatino Linotype" w:eastAsia="Palatino Linotype" w:hAnsi="Palatino Linotype" w:cs="Palatino Linotype"/>
          <w:i/>
          <w:sz w:val="22"/>
          <w:szCs w:val="22"/>
        </w:rPr>
        <w:t xml:space="preserve"> Para efectos de los presentes Lineamientos Generales, se entenderá por:</w:t>
      </w:r>
    </w:p>
    <w:p w14:paraId="215DAD02"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w:t>
      </w:r>
      <w:r>
        <w:rPr>
          <w:rFonts w:ascii="Palatino Linotype" w:eastAsia="Palatino Linotype" w:hAnsi="Palatino Linotype" w:cs="Palatino Linotype"/>
          <w:i/>
          <w:sz w:val="22"/>
          <w:szCs w:val="22"/>
        </w:rPr>
        <w:t>, a través de la resolución que para tal efecto emita el Comité de Transparencia.</w:t>
      </w:r>
    </w:p>
    <w:p w14:paraId="21C2FCB8"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clasificar la información como</w:t>
      </w:r>
      <w:r>
        <w:rPr>
          <w:rFonts w:ascii="Palatino Linotype" w:eastAsia="Palatino Linotype" w:hAnsi="Palatino Linotype" w:cs="Palatino Linotype"/>
          <w:i/>
          <w:sz w:val="22"/>
          <w:szCs w:val="22"/>
        </w:rPr>
        <w:t xml:space="preserve"> reservada o </w:t>
      </w:r>
      <w:r>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065F443"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2588AE0"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9D499BA"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C1A5334"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18F6DB8B"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Séptimo.</w:t>
      </w:r>
      <w:r>
        <w:rPr>
          <w:rFonts w:ascii="Palatino Linotype" w:eastAsia="Palatino Linotype" w:hAnsi="Palatino Linotype" w:cs="Palatino Linotype"/>
          <w:i/>
          <w:sz w:val="22"/>
          <w:szCs w:val="22"/>
        </w:rPr>
        <w:t xml:space="preserve"> La clasificación de la información se llevará a cabo en el momento en que:</w:t>
      </w:r>
    </w:p>
    <w:p w14:paraId="51511B78"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2F97985F"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65BD3CD1"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7D302A2"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6518B91F"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082C3EA"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3A29FD5"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00DA6E39"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6C33664"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1A0A8CEF"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1CD780E"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w:t>
      </w:r>
      <w:proofErr w:type="gramStart"/>
      <w:r>
        <w:rPr>
          <w:rFonts w:ascii="Palatino Linotype" w:eastAsia="Palatino Linotype" w:hAnsi="Palatino Linotype" w:cs="Palatino Linotype"/>
          <w:i/>
          <w:sz w:val="22"/>
          <w:szCs w:val="22"/>
        </w:rPr>
        <w:t>áreas,</w:t>
      </w:r>
      <w:proofErr w:type="gramEnd"/>
      <w:r>
        <w:rPr>
          <w:rFonts w:ascii="Palatino Linotype" w:eastAsia="Palatino Linotype" w:hAnsi="Palatino Linotype" w:cs="Palatino Linotype"/>
          <w:i/>
          <w:sz w:val="22"/>
          <w:szCs w:val="22"/>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28372A5"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ausencia de los titulares de las áreas, la información será clasificada o desclasificada por la persona que lo supla, en términos de la normativa que rija la actuación del sujeto obligado.</w:t>
      </w:r>
    </w:p>
    <w:p w14:paraId="67D221AB" w14:textId="77777777" w:rsidR="00AF75C2" w:rsidRDefault="005F5589">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3629563" w14:textId="77777777" w:rsidR="00AF75C2" w:rsidRDefault="005F5589">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78099888" w14:textId="77777777" w:rsidR="00AF75C2" w:rsidRDefault="00AF75C2">
      <w:pPr>
        <w:ind w:left="851" w:right="902"/>
        <w:jc w:val="both"/>
        <w:rPr>
          <w:rFonts w:ascii="Palatino Linotype" w:eastAsia="Palatino Linotype" w:hAnsi="Palatino Linotype" w:cs="Palatino Linotype"/>
          <w:sz w:val="22"/>
          <w:szCs w:val="22"/>
        </w:rPr>
      </w:pPr>
    </w:p>
    <w:p w14:paraId="232D81A2" w14:textId="77777777" w:rsidR="00AF75C2" w:rsidRDefault="005F5589">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es importante referir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Pr>
          <w:rFonts w:ascii="Palatino Linotype" w:eastAsia="Palatino Linotype" w:hAnsi="Palatino Linotype" w:cs="Palatino Linotype"/>
          <w:b/>
        </w:rPr>
        <w:t xml:space="preserve"> </w:t>
      </w:r>
      <w:r>
        <w:rPr>
          <w:rFonts w:ascii="Palatino Linotype" w:eastAsia="Palatino Linotype" w:hAnsi="Palatino Linotype" w:cs="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3D2F0CE" w14:textId="77777777" w:rsidR="00AF75C2" w:rsidRDefault="00AF75C2">
      <w:pPr>
        <w:spacing w:line="276" w:lineRule="auto"/>
        <w:ind w:right="901"/>
        <w:jc w:val="both"/>
        <w:rPr>
          <w:rFonts w:ascii="Palatino Linotype" w:eastAsia="Palatino Linotype" w:hAnsi="Palatino Linotype" w:cs="Palatino Linotype"/>
          <w:sz w:val="22"/>
          <w:szCs w:val="22"/>
        </w:rPr>
      </w:pPr>
    </w:p>
    <w:p w14:paraId="6E6CD737" w14:textId="77777777" w:rsidR="00AF75C2" w:rsidRDefault="00AF75C2">
      <w:pPr>
        <w:spacing w:line="360" w:lineRule="auto"/>
        <w:ind w:right="-28"/>
        <w:jc w:val="both"/>
        <w:rPr>
          <w:rFonts w:ascii="Palatino Linotype" w:eastAsia="Palatino Linotype" w:hAnsi="Palatino Linotype" w:cs="Palatino Linotype"/>
        </w:rPr>
      </w:pPr>
    </w:p>
    <w:p w14:paraId="608944A7" w14:textId="77777777" w:rsidR="00AF75C2" w:rsidRDefault="005F558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previsto en los artículos 5, párrafos trigésimos, trigésimos primero y trigésimos segundos, fracciones IV y V de la Constitución Política del Estado </w:t>
      </w:r>
      <w:r>
        <w:rPr>
          <w:rFonts w:ascii="Palatino Linotype" w:eastAsia="Palatino Linotype" w:hAnsi="Palatino Linotype" w:cs="Palatino Linotype"/>
        </w:rPr>
        <w:lastRenderedPageBreak/>
        <w:t xml:space="preserve">Libre y Soberano de México; 2, fracción II, 29, 36, fracciones I y II, 176, 178, 179, 181, 185 fracción I, 186 y 188 de la Ley de Transparencia y Acceso a la Información Pública del Estado de México y Municipios, este Pleno: </w:t>
      </w:r>
    </w:p>
    <w:p w14:paraId="0D1B9542" w14:textId="77777777" w:rsidR="00AF75C2" w:rsidRDefault="00AF75C2">
      <w:pPr>
        <w:spacing w:line="360" w:lineRule="auto"/>
        <w:jc w:val="both"/>
        <w:rPr>
          <w:rFonts w:ascii="Palatino Linotype" w:eastAsia="Palatino Linotype" w:hAnsi="Palatino Linotype" w:cs="Palatino Linotype"/>
        </w:rPr>
      </w:pPr>
    </w:p>
    <w:p w14:paraId="7639CF9A" w14:textId="77777777" w:rsidR="00AF75C2" w:rsidRDefault="005F5589">
      <w:pPr>
        <w:spacing w:line="360" w:lineRule="auto"/>
        <w:jc w:val="center"/>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RESUELVE</w:t>
      </w:r>
    </w:p>
    <w:p w14:paraId="22DE43DA" w14:textId="77777777" w:rsidR="00AF75C2" w:rsidRDefault="00AF75C2">
      <w:pPr>
        <w:spacing w:line="360" w:lineRule="auto"/>
        <w:jc w:val="center"/>
        <w:rPr>
          <w:rFonts w:ascii="Palatino Linotype" w:eastAsia="Palatino Linotype" w:hAnsi="Palatino Linotype" w:cs="Palatino Linotype"/>
          <w:b/>
          <w:sz w:val="26"/>
          <w:szCs w:val="26"/>
        </w:rPr>
      </w:pPr>
    </w:p>
    <w:p w14:paraId="43DDD43E" w14:textId="4515400C" w:rsidR="00AF75C2" w:rsidRDefault="005F5589">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 Se </w:t>
      </w:r>
      <w:r>
        <w:rPr>
          <w:rFonts w:ascii="Palatino Linotype" w:eastAsia="Palatino Linotype" w:hAnsi="Palatino Linotype" w:cs="Palatino Linotype"/>
          <w:b/>
        </w:rPr>
        <w:t xml:space="preserve">REVOCAN </w:t>
      </w:r>
      <w:r>
        <w:rPr>
          <w:rFonts w:ascii="Palatino Linotype" w:eastAsia="Palatino Linotype" w:hAnsi="Palatino Linotype" w:cs="Palatino Linotype"/>
        </w:rPr>
        <w:t xml:space="preserve">las respuestas emitidas por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las solicitudes de acceso a la información pública recaídas en los Recursos de Revisión </w:t>
      </w:r>
      <w:r>
        <w:rPr>
          <w:rFonts w:ascii="Palatino Linotype" w:eastAsia="Palatino Linotype" w:hAnsi="Palatino Linotype" w:cs="Palatino Linotype"/>
          <w:b/>
        </w:rPr>
        <w:t>12707/INFOEM/IP/RR/2022, 12708/INFOEM/IP/RR/2022 y 12709/INFOEM/IP/RR/</w:t>
      </w:r>
      <w:r w:rsidR="00DE75B7">
        <w:rPr>
          <w:rFonts w:ascii="Palatino Linotype" w:eastAsia="Palatino Linotype" w:hAnsi="Palatino Linotype" w:cs="Palatino Linotype"/>
          <w:b/>
        </w:rPr>
        <w:t>2022 por</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resultar </w:t>
      </w:r>
      <w:r>
        <w:rPr>
          <w:rFonts w:ascii="Palatino Linotype" w:eastAsia="Palatino Linotype" w:hAnsi="Palatino Linotype" w:cs="Palatino Linotype"/>
          <w:b/>
        </w:rPr>
        <w:t xml:space="preserve">parcialmente fundadas </w:t>
      </w:r>
      <w:r>
        <w:rPr>
          <w:rFonts w:ascii="Palatino Linotype" w:eastAsia="Palatino Linotype" w:hAnsi="Palatino Linotype" w:cs="Palatino Linotype"/>
        </w:rPr>
        <w:t>las razones o motivos de inconformidad señalados por</w:t>
      </w:r>
      <w:r>
        <w:rPr>
          <w:rFonts w:ascii="Palatino Linotype" w:eastAsia="Palatino Linotype" w:hAnsi="Palatino Linotype" w:cs="Palatino Linotype"/>
          <w:b/>
        </w:rPr>
        <w:t xml:space="preserve"> EL RECURRENTE, </w:t>
      </w:r>
      <w:r>
        <w:rPr>
          <w:rFonts w:ascii="Palatino Linotype" w:eastAsia="Palatino Linotype" w:hAnsi="Palatino Linotype" w:cs="Palatino Linotype"/>
        </w:rPr>
        <w:t xml:space="preserve">en términos del Considerando </w:t>
      </w:r>
      <w:r>
        <w:rPr>
          <w:rFonts w:ascii="Palatino Linotype" w:eastAsia="Palatino Linotype" w:hAnsi="Palatino Linotype" w:cs="Palatino Linotype"/>
          <w:b/>
        </w:rPr>
        <w:t>SEXTO.</w:t>
      </w:r>
    </w:p>
    <w:p w14:paraId="30242464" w14:textId="77777777" w:rsidR="00AF75C2" w:rsidRDefault="00AF75C2">
      <w:pPr>
        <w:spacing w:line="360" w:lineRule="auto"/>
        <w:ind w:right="49"/>
        <w:jc w:val="both"/>
        <w:rPr>
          <w:rFonts w:ascii="Palatino Linotype" w:eastAsia="Palatino Linotype" w:hAnsi="Palatino Linotype" w:cs="Palatino Linotype"/>
        </w:rPr>
      </w:pPr>
    </w:p>
    <w:p w14:paraId="7594F04F" w14:textId="5BE96107" w:rsidR="00AF75C2" w:rsidRDefault="005F558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SEGUNDO</w:t>
      </w:r>
      <w:r>
        <w:rPr>
          <w:rFonts w:ascii="Palatino Linotype" w:eastAsia="Palatino Linotype" w:hAnsi="Palatino Linotype" w:cs="Palatino Linotype"/>
        </w:rPr>
        <w:t xml:space="preserve">. </w:t>
      </w:r>
      <w:r w:rsidR="00362898">
        <w:rPr>
          <w:rFonts w:ascii="Palatino Linotype" w:eastAsia="Palatino Linotype" w:hAnsi="Palatino Linotype" w:cs="Palatino Linotype"/>
        </w:rPr>
        <w:t xml:space="preserve">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que en términos del Considerando </w:t>
      </w:r>
      <w:r>
        <w:rPr>
          <w:rFonts w:ascii="Palatino Linotype" w:eastAsia="Palatino Linotype" w:hAnsi="Palatino Linotype" w:cs="Palatino Linotype"/>
          <w:b/>
        </w:rPr>
        <w:t xml:space="preserve">SEXTO </w:t>
      </w:r>
      <w:r>
        <w:rPr>
          <w:rFonts w:ascii="Palatino Linotype" w:eastAsia="Palatino Linotype" w:hAnsi="Palatino Linotype" w:cs="Palatino Linotype"/>
        </w:rPr>
        <w:t>lleve a cabo una búsqueda razonable y exhaustiva para que</w:t>
      </w:r>
      <w:r>
        <w:rPr>
          <w:rFonts w:ascii="Palatino Linotype" w:eastAsia="Palatino Linotype" w:hAnsi="Palatino Linotype" w:cs="Palatino Linotype"/>
          <w:b/>
        </w:rPr>
        <w:t xml:space="preserve"> </w:t>
      </w:r>
      <w:r>
        <w:rPr>
          <w:rFonts w:ascii="Palatino Linotype" w:eastAsia="Palatino Linotype" w:hAnsi="Palatino Linotype" w:cs="Palatino Linotype"/>
        </w:rPr>
        <w:t>haga entrega al</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 xml:space="preserve">mediante el Sistema de Acceso a la Información Mexiquense (SAIMEX), del soporte documental de ser procedente en versión </w:t>
      </w:r>
      <w:r w:rsidR="00DE75B7">
        <w:rPr>
          <w:rFonts w:ascii="Palatino Linotype" w:eastAsia="Palatino Linotype" w:hAnsi="Palatino Linotype" w:cs="Palatino Linotype"/>
        </w:rPr>
        <w:t>pública</w:t>
      </w:r>
      <w:r>
        <w:rPr>
          <w:rFonts w:ascii="Palatino Linotype" w:eastAsia="Palatino Linotype" w:hAnsi="Palatino Linotype" w:cs="Palatino Linotype"/>
        </w:rPr>
        <w:t xml:space="preserve"> donde conste los </w:t>
      </w:r>
      <w:r w:rsidR="00DE75B7">
        <w:rPr>
          <w:rFonts w:ascii="Palatino Linotype" w:eastAsia="Palatino Linotype" w:hAnsi="Palatino Linotype" w:cs="Palatino Linotype"/>
        </w:rPr>
        <w:t>siguiente</w:t>
      </w:r>
      <w:r>
        <w:rPr>
          <w:rFonts w:ascii="Palatino Linotype" w:eastAsia="Palatino Linotype" w:hAnsi="Palatino Linotype" w:cs="Palatino Linotype"/>
        </w:rPr>
        <w:t>:</w:t>
      </w:r>
    </w:p>
    <w:p w14:paraId="6DD3FAB0" w14:textId="77777777" w:rsidR="00AF75C2" w:rsidRDefault="005F5589">
      <w:pPr>
        <w:numPr>
          <w:ilvl w:val="0"/>
          <w:numId w:val="3"/>
        </w:numPr>
        <w:ind w:left="850" w:right="899" w:firstLine="13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Vigentes al seis de junio de dos mil veintidós:</w:t>
      </w:r>
    </w:p>
    <w:p w14:paraId="784512AB" w14:textId="77777777" w:rsidR="00AF75C2" w:rsidRDefault="005F5589">
      <w:pPr>
        <w:numPr>
          <w:ilvl w:val="2"/>
          <w:numId w:val="3"/>
        </w:numPr>
        <w:ind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Los medios de comunicación contratados, los contratos de prestación de servicios, nombre del representante legal.</w:t>
      </w:r>
    </w:p>
    <w:p w14:paraId="0CEA1725" w14:textId="77777777" w:rsidR="00AF75C2" w:rsidRDefault="005F5589">
      <w:pPr>
        <w:numPr>
          <w:ilvl w:val="2"/>
          <w:numId w:val="3"/>
        </w:numPr>
        <w:ind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Presupuesto autorizado a medios de comunicación, monto pagado y el concepto.</w:t>
      </w:r>
    </w:p>
    <w:p w14:paraId="0B86A503" w14:textId="77777777" w:rsidR="00AF75C2" w:rsidRDefault="005F5589">
      <w:pPr>
        <w:numPr>
          <w:ilvl w:val="0"/>
          <w:numId w:val="3"/>
        </w:numPr>
        <w:ind w:left="850" w:right="899" w:firstLine="13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Del periodo del primero de enero al seis de junio de dos mil veintidós:</w:t>
      </w:r>
    </w:p>
    <w:p w14:paraId="47750AE7" w14:textId="6DFE8970" w:rsidR="00AF75C2" w:rsidRDefault="005F5589">
      <w:pPr>
        <w:numPr>
          <w:ilvl w:val="2"/>
          <w:numId w:val="3"/>
        </w:numPr>
        <w:ind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Todos los medios de comunicación contratados, </w:t>
      </w:r>
      <w:r w:rsidR="00362898">
        <w:rPr>
          <w:rFonts w:ascii="Palatino Linotype" w:eastAsia="Palatino Linotype" w:hAnsi="Palatino Linotype" w:cs="Palatino Linotype"/>
          <w:i/>
          <w:sz w:val="22"/>
          <w:szCs w:val="22"/>
        </w:rPr>
        <w:t>así</w:t>
      </w:r>
      <w:r>
        <w:rPr>
          <w:rFonts w:ascii="Palatino Linotype" w:eastAsia="Palatino Linotype" w:hAnsi="Palatino Linotype" w:cs="Palatino Linotype"/>
          <w:i/>
          <w:sz w:val="22"/>
          <w:szCs w:val="22"/>
        </w:rPr>
        <w:t xml:space="preserve"> como los contratos de prestación de servicios, monto </w:t>
      </w:r>
      <w:r w:rsidR="0055198E">
        <w:rPr>
          <w:rFonts w:ascii="Palatino Linotype" w:eastAsia="Palatino Linotype" w:hAnsi="Palatino Linotype" w:cs="Palatino Linotype"/>
          <w:i/>
          <w:sz w:val="22"/>
          <w:szCs w:val="22"/>
        </w:rPr>
        <w:t>pagado y</w:t>
      </w:r>
      <w:r>
        <w:rPr>
          <w:rFonts w:ascii="Palatino Linotype" w:eastAsia="Palatino Linotype" w:hAnsi="Palatino Linotype" w:cs="Palatino Linotype"/>
          <w:i/>
          <w:sz w:val="22"/>
          <w:szCs w:val="22"/>
        </w:rPr>
        <w:t xml:space="preserve"> concepto, nombre del medio y del representante legal.</w:t>
      </w:r>
    </w:p>
    <w:p w14:paraId="70301D33" w14:textId="77777777" w:rsidR="00AF75C2" w:rsidRDefault="00AF75C2">
      <w:pPr>
        <w:tabs>
          <w:tab w:val="left" w:pos="709"/>
        </w:tabs>
        <w:ind w:right="899"/>
        <w:jc w:val="both"/>
        <w:rPr>
          <w:rFonts w:ascii="Palatino Linotype" w:eastAsia="Palatino Linotype" w:hAnsi="Palatino Linotype" w:cs="Palatino Linotype"/>
          <w:i/>
          <w:sz w:val="22"/>
          <w:szCs w:val="22"/>
        </w:rPr>
      </w:pPr>
    </w:p>
    <w:p w14:paraId="00DD3334" w14:textId="77777777" w:rsidR="00AF75C2" w:rsidRDefault="005F5589">
      <w:pPr>
        <w:tabs>
          <w:tab w:val="left" w:pos="709"/>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Debiendo notificar al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14:paraId="4102072A" w14:textId="77777777" w:rsidR="00AF75C2" w:rsidRDefault="00AF75C2">
      <w:pPr>
        <w:tabs>
          <w:tab w:val="left" w:pos="709"/>
        </w:tabs>
        <w:ind w:left="850" w:right="899"/>
        <w:jc w:val="both"/>
        <w:rPr>
          <w:rFonts w:ascii="Palatino Linotype" w:eastAsia="Palatino Linotype" w:hAnsi="Palatino Linotype" w:cs="Palatino Linotype"/>
          <w:i/>
          <w:sz w:val="22"/>
          <w:szCs w:val="22"/>
        </w:rPr>
      </w:pPr>
    </w:p>
    <w:p w14:paraId="05D9B5B9" w14:textId="7E0228E6" w:rsidR="00AF75C2" w:rsidRDefault="005F5589">
      <w:pPr>
        <w:tabs>
          <w:tab w:val="left" w:pos="709"/>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Si una vez realizada la búsqueda, en </w:t>
      </w:r>
      <w:r w:rsidR="0055198E">
        <w:rPr>
          <w:rFonts w:ascii="Palatino Linotype" w:eastAsia="Palatino Linotype" w:hAnsi="Palatino Linotype" w:cs="Palatino Linotype"/>
          <w:i/>
          <w:sz w:val="22"/>
          <w:szCs w:val="22"/>
        </w:rPr>
        <w:t>caso de</w:t>
      </w:r>
      <w:r>
        <w:rPr>
          <w:rFonts w:ascii="Palatino Linotype" w:eastAsia="Palatino Linotype" w:hAnsi="Palatino Linotype" w:cs="Palatino Linotype"/>
          <w:i/>
          <w:sz w:val="22"/>
          <w:szCs w:val="22"/>
        </w:rPr>
        <w:t xml:space="preserve"> encontrarse en la circunstancia fáctica en la que no se hubiera generado esta información bastará con el sólo pronunciamiento del </w:t>
      </w:r>
      <w:r>
        <w:rPr>
          <w:rFonts w:ascii="Palatino Linotype" w:eastAsia="Palatino Linotype" w:hAnsi="Palatino Linotype" w:cs="Palatino Linotype"/>
          <w:b/>
          <w:i/>
          <w:sz w:val="22"/>
          <w:szCs w:val="22"/>
        </w:rPr>
        <w:t>SUJETO OBLIGADO</w:t>
      </w:r>
      <w:r>
        <w:rPr>
          <w:rFonts w:ascii="Palatino Linotype" w:eastAsia="Palatino Linotype" w:hAnsi="Palatino Linotype" w:cs="Palatino Linotype"/>
          <w:i/>
          <w:sz w:val="22"/>
          <w:szCs w:val="22"/>
        </w:rPr>
        <w:t xml:space="preserve"> de manera fundada y motivada en términos del segundo párrafo </w:t>
      </w:r>
      <w:proofErr w:type="gramStart"/>
      <w:r>
        <w:rPr>
          <w:rFonts w:ascii="Palatino Linotype" w:eastAsia="Palatino Linotype" w:hAnsi="Palatino Linotype" w:cs="Palatino Linotype"/>
          <w:i/>
          <w:sz w:val="22"/>
          <w:szCs w:val="22"/>
        </w:rPr>
        <w:t>del  artículo</w:t>
      </w:r>
      <w:proofErr w:type="gramEnd"/>
      <w:r>
        <w:rPr>
          <w:rFonts w:ascii="Palatino Linotype" w:eastAsia="Palatino Linotype" w:hAnsi="Palatino Linotype" w:cs="Palatino Linotype"/>
          <w:i/>
          <w:sz w:val="22"/>
          <w:szCs w:val="22"/>
        </w:rPr>
        <w:t xml:space="preserve"> 19 de la Ley de Transparencia local, para dar por satisfecho el derecho de acceso a la información.</w:t>
      </w:r>
    </w:p>
    <w:p w14:paraId="0C1D2286" w14:textId="77777777" w:rsidR="00AF75C2" w:rsidRDefault="00AF75C2">
      <w:pPr>
        <w:tabs>
          <w:tab w:val="left" w:pos="709"/>
        </w:tabs>
        <w:ind w:right="899"/>
        <w:jc w:val="both"/>
        <w:rPr>
          <w:rFonts w:ascii="Palatino Linotype" w:eastAsia="Palatino Linotype" w:hAnsi="Palatino Linotype" w:cs="Palatino Linotype"/>
          <w:i/>
          <w:sz w:val="22"/>
          <w:szCs w:val="22"/>
        </w:rPr>
      </w:pPr>
    </w:p>
    <w:p w14:paraId="54C21784" w14:textId="77777777" w:rsidR="00AF75C2" w:rsidRDefault="00AF75C2">
      <w:pPr>
        <w:tabs>
          <w:tab w:val="left" w:pos="709"/>
        </w:tabs>
        <w:ind w:right="899"/>
        <w:jc w:val="both"/>
        <w:rPr>
          <w:rFonts w:ascii="Palatino Linotype" w:eastAsia="Palatino Linotype" w:hAnsi="Palatino Linotype" w:cs="Palatino Linotype"/>
          <w:b/>
        </w:rPr>
      </w:pPr>
    </w:p>
    <w:p w14:paraId="350CFC91"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Notifíquese</w:t>
      </w:r>
      <w:r>
        <w:rPr>
          <w:rFonts w:ascii="Palatino Linotype" w:eastAsia="Palatino Linotype" w:hAnsi="Palatino Linotype" w:cs="Palatino Linotype"/>
          <w:b/>
          <w:i/>
        </w:rPr>
        <w:t xml:space="preserve"> </w:t>
      </w:r>
      <w:r>
        <w:rPr>
          <w:rFonts w:ascii="Palatino Linotype" w:eastAsia="Palatino Linotype" w:hAnsi="Palatino Linotype" w:cs="Palatino Linotype"/>
        </w:rPr>
        <w:t>al Titular de la Unidad de Transparencia del</w:t>
      </w:r>
      <w:r>
        <w:rPr>
          <w:rFonts w:ascii="Palatino Linotype" w:eastAsia="Palatino Linotype" w:hAnsi="Palatino Linotype" w:cs="Palatino Linotype"/>
          <w:b/>
        </w:rPr>
        <w:t xml:space="preserve"> </w:t>
      </w:r>
      <w:r>
        <w:rPr>
          <w:rFonts w:ascii="Palatino Linotype" w:eastAsia="Palatino Linotype" w:hAnsi="Palatino Linotype" w:cs="Palatino Linotype"/>
        </w:rPr>
        <w:t>Sujeto Obligado por medio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w:t>
      </w:r>
    </w:p>
    <w:p w14:paraId="4E4229CE" w14:textId="77777777" w:rsidR="00AF75C2" w:rsidRDefault="00AF75C2">
      <w:pPr>
        <w:spacing w:line="360" w:lineRule="auto"/>
        <w:jc w:val="both"/>
        <w:rPr>
          <w:rFonts w:ascii="Palatino Linotype" w:eastAsia="Palatino Linotype" w:hAnsi="Palatino Linotype" w:cs="Palatino Linotype"/>
          <w:b/>
        </w:rPr>
      </w:pPr>
    </w:p>
    <w:p w14:paraId="5B4AA996"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A58D2F5" w14:textId="77777777" w:rsidR="00AF75C2" w:rsidRDefault="00AF75C2">
      <w:pPr>
        <w:spacing w:line="360" w:lineRule="auto"/>
        <w:jc w:val="both"/>
        <w:rPr>
          <w:rFonts w:ascii="Palatino Linotype" w:eastAsia="Palatino Linotype" w:hAnsi="Palatino Linotype" w:cs="Palatino Linotype"/>
          <w:b/>
        </w:rPr>
      </w:pPr>
    </w:p>
    <w:p w14:paraId="1CA1D753" w14:textId="77777777"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QUINTO. Notifíquese </w:t>
      </w:r>
      <w:r>
        <w:rPr>
          <w:rFonts w:ascii="Palatino Linotype" w:eastAsia="Palatino Linotype" w:hAnsi="Palatino Linotype" w:cs="Palatino Linotype"/>
        </w:rPr>
        <w:t>la presente resolución al Recurrente mediante el Sistema de Acceso a la Información Mexiquense (SAIMEX) y hágase de su conocimiento que, de conformidad con lo establecido en el artículo 196 de la Ley de Transparencia y Acceso a la Información Pública del Estado de México y Municipios, podrá impugnarla vía juicio de amparo en los términos de las leyes aplicables podrá promover el Juicio de Amparo en los términos de las leyes aplicables.</w:t>
      </w:r>
    </w:p>
    <w:p w14:paraId="07CE4839" w14:textId="77777777" w:rsidR="00AF75C2" w:rsidRDefault="00AF75C2">
      <w:pPr>
        <w:widowControl w:val="0"/>
        <w:spacing w:line="360" w:lineRule="auto"/>
        <w:jc w:val="both"/>
        <w:rPr>
          <w:rFonts w:ascii="Palatino Linotype" w:eastAsia="Palatino Linotype" w:hAnsi="Palatino Linotype" w:cs="Palatino Linotype"/>
        </w:rPr>
      </w:pPr>
    </w:p>
    <w:p w14:paraId="0FB5679C" w14:textId="7B635DB4" w:rsidR="00AF75C2" w:rsidRDefault="005F5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C62FD5">
        <w:rPr>
          <w:rFonts w:ascii="Palatino Linotype" w:eastAsia="Palatino Linotype" w:hAnsi="Palatino Linotype" w:cs="Palatino Linotype"/>
        </w:rPr>
        <w:t xml:space="preserve">SEGUNDA </w:t>
      </w:r>
      <w:r>
        <w:rPr>
          <w:rFonts w:ascii="Palatino Linotype" w:eastAsia="Palatino Linotype" w:hAnsi="Palatino Linotype" w:cs="Palatino Linotype"/>
        </w:rPr>
        <w:t xml:space="preserve">SESIÓN ORDINARIA CELEBRADA EL </w:t>
      </w:r>
      <w:r w:rsidR="00C62FD5">
        <w:rPr>
          <w:rFonts w:ascii="Palatino Linotype" w:eastAsia="Palatino Linotype" w:hAnsi="Palatino Linotype" w:cs="Palatino Linotype"/>
        </w:rPr>
        <w:t>DIECIOCHO</w:t>
      </w:r>
      <w:r>
        <w:rPr>
          <w:rFonts w:ascii="Palatino Linotype" w:eastAsia="Palatino Linotype" w:hAnsi="Palatino Linotype" w:cs="Palatino Linotype"/>
        </w:rPr>
        <w:t xml:space="preserve"> DE NOVIEMBRE DE DOS MIL VEINTIDÓS, ANTE EL SECRETARIO TÉCNICO DEL PLENO, ALEXIS TAPIA RAMÍREZ.</w:t>
      </w:r>
    </w:p>
    <w:p w14:paraId="3D54884A" w14:textId="77777777" w:rsidR="00AF75C2" w:rsidRDefault="005F5589">
      <w:pPr>
        <w:spacing w:line="360" w:lineRule="auto"/>
        <w:jc w:val="both"/>
        <w:rPr>
          <w:rFonts w:ascii="Palatino Linotype" w:eastAsia="Palatino Linotype" w:hAnsi="Palatino Linotype" w:cs="Palatino Linotype"/>
          <w:sz w:val="14"/>
          <w:szCs w:val="14"/>
        </w:rPr>
      </w:pPr>
      <w:r>
        <w:rPr>
          <w:rFonts w:ascii="Palatino Linotype" w:eastAsia="Palatino Linotype" w:hAnsi="Palatino Linotype" w:cs="Palatino Linotype"/>
          <w:sz w:val="14"/>
          <w:szCs w:val="14"/>
        </w:rPr>
        <w:t>SCMM/BLA/DEMF/PMRE</w:t>
      </w:r>
    </w:p>
    <w:p w14:paraId="6EFD56B2" w14:textId="77777777" w:rsidR="00AF75C2" w:rsidRDefault="005F5589">
      <w:pPr>
        <w:rPr>
          <w:rFonts w:ascii="Palatino Linotype" w:eastAsia="Palatino Linotype" w:hAnsi="Palatino Linotype" w:cs="Palatino Linotype"/>
        </w:rPr>
      </w:pPr>
      <w:r>
        <w:br w:type="page"/>
      </w:r>
    </w:p>
    <w:p w14:paraId="07F3E660" w14:textId="77777777" w:rsidR="00AF75C2" w:rsidRDefault="00AF75C2">
      <w:pPr>
        <w:spacing w:line="360" w:lineRule="auto"/>
        <w:jc w:val="both"/>
        <w:rPr>
          <w:rFonts w:ascii="Palatino Linotype" w:eastAsia="Palatino Linotype" w:hAnsi="Palatino Linotype" w:cs="Palatino Linotype"/>
        </w:rPr>
      </w:pPr>
    </w:p>
    <w:p w14:paraId="32D9A028" w14:textId="77777777" w:rsidR="00AF75C2" w:rsidRDefault="00AF75C2">
      <w:pPr>
        <w:spacing w:line="360" w:lineRule="auto"/>
        <w:jc w:val="both"/>
        <w:rPr>
          <w:rFonts w:ascii="Palatino Linotype" w:eastAsia="Palatino Linotype" w:hAnsi="Palatino Linotype" w:cs="Palatino Linotype"/>
        </w:rPr>
      </w:pPr>
    </w:p>
    <w:p w14:paraId="61E1E99C" w14:textId="77777777" w:rsidR="00AF75C2" w:rsidRDefault="00AF75C2">
      <w:pPr>
        <w:spacing w:line="360" w:lineRule="auto"/>
        <w:jc w:val="both"/>
        <w:rPr>
          <w:rFonts w:ascii="Palatino Linotype" w:eastAsia="Palatino Linotype" w:hAnsi="Palatino Linotype" w:cs="Palatino Linotype"/>
        </w:rPr>
      </w:pPr>
    </w:p>
    <w:p w14:paraId="32CBDFA9" w14:textId="77777777" w:rsidR="00AF75C2" w:rsidRDefault="00AF75C2">
      <w:pPr>
        <w:spacing w:line="360" w:lineRule="auto"/>
        <w:jc w:val="both"/>
        <w:rPr>
          <w:rFonts w:ascii="Palatino Linotype" w:eastAsia="Palatino Linotype" w:hAnsi="Palatino Linotype" w:cs="Palatino Linotype"/>
        </w:rPr>
      </w:pPr>
    </w:p>
    <w:p w14:paraId="52503601" w14:textId="77777777" w:rsidR="00AF75C2" w:rsidRDefault="00AF75C2">
      <w:pPr>
        <w:spacing w:line="360" w:lineRule="auto"/>
        <w:jc w:val="both"/>
        <w:rPr>
          <w:rFonts w:ascii="Palatino Linotype" w:eastAsia="Palatino Linotype" w:hAnsi="Palatino Linotype" w:cs="Palatino Linotype"/>
        </w:rPr>
      </w:pPr>
    </w:p>
    <w:p w14:paraId="6A349582" w14:textId="77777777" w:rsidR="00AF75C2" w:rsidRDefault="00AF75C2">
      <w:pPr>
        <w:spacing w:line="360" w:lineRule="auto"/>
        <w:jc w:val="both"/>
        <w:rPr>
          <w:rFonts w:ascii="Palatino Linotype" w:eastAsia="Palatino Linotype" w:hAnsi="Palatino Linotype" w:cs="Palatino Linotype"/>
        </w:rPr>
      </w:pPr>
    </w:p>
    <w:p w14:paraId="7E589190" w14:textId="77777777" w:rsidR="00AF75C2" w:rsidRDefault="00AF75C2">
      <w:pPr>
        <w:spacing w:line="360" w:lineRule="auto"/>
        <w:jc w:val="both"/>
        <w:rPr>
          <w:rFonts w:ascii="Palatino Linotype" w:eastAsia="Palatino Linotype" w:hAnsi="Palatino Linotype" w:cs="Palatino Linotype"/>
        </w:rPr>
      </w:pPr>
    </w:p>
    <w:p w14:paraId="26D52C63" w14:textId="77777777" w:rsidR="00AF75C2" w:rsidRDefault="00AF75C2">
      <w:pPr>
        <w:spacing w:line="360" w:lineRule="auto"/>
        <w:jc w:val="both"/>
        <w:rPr>
          <w:rFonts w:ascii="Palatino Linotype" w:eastAsia="Palatino Linotype" w:hAnsi="Palatino Linotype" w:cs="Palatino Linotype"/>
        </w:rPr>
      </w:pPr>
    </w:p>
    <w:p w14:paraId="5B149B2B" w14:textId="77777777" w:rsidR="00AF75C2" w:rsidRDefault="00AF75C2">
      <w:pPr>
        <w:spacing w:line="360" w:lineRule="auto"/>
        <w:jc w:val="both"/>
        <w:rPr>
          <w:rFonts w:ascii="Palatino Linotype" w:eastAsia="Palatino Linotype" w:hAnsi="Palatino Linotype" w:cs="Palatino Linotype"/>
        </w:rPr>
      </w:pPr>
    </w:p>
    <w:p w14:paraId="4091AC38" w14:textId="77777777" w:rsidR="00AF75C2" w:rsidRDefault="00AF75C2">
      <w:pPr>
        <w:spacing w:line="360" w:lineRule="auto"/>
        <w:jc w:val="both"/>
        <w:rPr>
          <w:rFonts w:ascii="Palatino Linotype" w:eastAsia="Palatino Linotype" w:hAnsi="Palatino Linotype" w:cs="Palatino Linotype"/>
        </w:rPr>
      </w:pPr>
    </w:p>
    <w:p w14:paraId="2F88B3E4" w14:textId="77777777" w:rsidR="00AF75C2" w:rsidRDefault="00AF75C2">
      <w:pPr>
        <w:spacing w:line="360" w:lineRule="auto"/>
        <w:jc w:val="both"/>
        <w:rPr>
          <w:rFonts w:ascii="Palatino Linotype" w:eastAsia="Palatino Linotype" w:hAnsi="Palatino Linotype" w:cs="Palatino Linotype"/>
        </w:rPr>
      </w:pPr>
    </w:p>
    <w:p w14:paraId="2A69F99C" w14:textId="77777777" w:rsidR="00AF75C2" w:rsidRDefault="00AF75C2">
      <w:pPr>
        <w:spacing w:line="360" w:lineRule="auto"/>
        <w:jc w:val="both"/>
        <w:rPr>
          <w:rFonts w:ascii="Palatino Linotype" w:eastAsia="Palatino Linotype" w:hAnsi="Palatino Linotype" w:cs="Palatino Linotype"/>
        </w:rPr>
      </w:pPr>
    </w:p>
    <w:p w14:paraId="3E99AFF6" w14:textId="77777777" w:rsidR="00AF75C2" w:rsidRDefault="00AF75C2">
      <w:pPr>
        <w:spacing w:line="360" w:lineRule="auto"/>
        <w:jc w:val="both"/>
        <w:rPr>
          <w:rFonts w:ascii="Palatino Linotype" w:eastAsia="Palatino Linotype" w:hAnsi="Palatino Linotype" w:cs="Palatino Linotype"/>
        </w:rPr>
      </w:pPr>
    </w:p>
    <w:p w14:paraId="2900457D" w14:textId="77777777" w:rsidR="00AF75C2" w:rsidRDefault="00AF75C2">
      <w:pPr>
        <w:spacing w:line="360" w:lineRule="auto"/>
        <w:jc w:val="both"/>
        <w:rPr>
          <w:rFonts w:ascii="Palatino Linotype" w:eastAsia="Palatino Linotype" w:hAnsi="Palatino Linotype" w:cs="Palatino Linotype"/>
        </w:rPr>
      </w:pPr>
    </w:p>
    <w:p w14:paraId="0A768D14" w14:textId="77777777" w:rsidR="00AF75C2" w:rsidRDefault="00AF75C2">
      <w:pPr>
        <w:spacing w:line="360" w:lineRule="auto"/>
        <w:jc w:val="both"/>
        <w:rPr>
          <w:rFonts w:ascii="Palatino Linotype" w:eastAsia="Palatino Linotype" w:hAnsi="Palatino Linotype" w:cs="Palatino Linotype"/>
        </w:rPr>
      </w:pPr>
    </w:p>
    <w:p w14:paraId="010EE261" w14:textId="77777777" w:rsidR="00AF75C2" w:rsidRDefault="00AF75C2">
      <w:pPr>
        <w:spacing w:line="360" w:lineRule="auto"/>
        <w:jc w:val="both"/>
        <w:rPr>
          <w:rFonts w:ascii="Palatino Linotype" w:eastAsia="Palatino Linotype" w:hAnsi="Palatino Linotype" w:cs="Palatino Linotype"/>
        </w:rPr>
      </w:pPr>
    </w:p>
    <w:p w14:paraId="330F59DD" w14:textId="77777777" w:rsidR="00AF75C2" w:rsidRDefault="00AF75C2">
      <w:pPr>
        <w:spacing w:line="360" w:lineRule="auto"/>
        <w:jc w:val="both"/>
        <w:rPr>
          <w:rFonts w:ascii="Palatino Linotype" w:eastAsia="Palatino Linotype" w:hAnsi="Palatino Linotype" w:cs="Palatino Linotype"/>
        </w:rPr>
      </w:pPr>
    </w:p>
    <w:p w14:paraId="6EF736B8" w14:textId="77777777" w:rsidR="00AF75C2" w:rsidRDefault="00AF75C2">
      <w:pPr>
        <w:spacing w:line="360" w:lineRule="auto"/>
        <w:jc w:val="both"/>
        <w:rPr>
          <w:rFonts w:ascii="Palatino Linotype" w:eastAsia="Palatino Linotype" w:hAnsi="Palatino Linotype" w:cs="Palatino Linotype"/>
        </w:rPr>
      </w:pPr>
      <w:bookmarkStart w:id="4" w:name="_heading=h.30j0zll" w:colFirst="0" w:colLast="0"/>
      <w:bookmarkEnd w:id="4"/>
    </w:p>
    <w:sectPr w:rsidR="00AF75C2">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A44FA" w14:textId="77777777" w:rsidR="00F86BDE" w:rsidRDefault="00F86BDE">
      <w:r>
        <w:separator/>
      </w:r>
    </w:p>
  </w:endnote>
  <w:endnote w:type="continuationSeparator" w:id="0">
    <w:p w14:paraId="3509E091" w14:textId="77777777" w:rsidR="00F86BDE" w:rsidRDefault="00F8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Palatino Linotyp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FC94B" w14:textId="77777777" w:rsidR="00AF75C2" w:rsidRDefault="005F558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3B4DDB">
      <w:rPr>
        <w:rFonts w:ascii="Palatino Linotype" w:eastAsia="Palatino Linotype" w:hAnsi="Palatino Linotype" w:cs="Palatino Linotype"/>
        <w:noProof/>
        <w:color w:val="000000"/>
        <w:sz w:val="22"/>
        <w:szCs w:val="22"/>
      </w:rPr>
      <w:t>39</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3B4DDB">
      <w:rPr>
        <w:rFonts w:ascii="Palatino Linotype" w:eastAsia="Palatino Linotype" w:hAnsi="Palatino Linotype" w:cs="Palatino Linotype"/>
        <w:noProof/>
        <w:color w:val="000000"/>
        <w:sz w:val="22"/>
        <w:szCs w:val="22"/>
      </w:rPr>
      <w:t>48</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D2153" w14:textId="77777777" w:rsidR="00AF75C2" w:rsidRDefault="005F5589">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3B4DDB">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3B4DDB">
      <w:rPr>
        <w:rFonts w:ascii="Palatino Linotype" w:eastAsia="Palatino Linotype" w:hAnsi="Palatino Linotype" w:cs="Palatino Linotype"/>
        <w:noProof/>
        <w:color w:val="000000"/>
        <w:sz w:val="22"/>
        <w:szCs w:val="22"/>
      </w:rPr>
      <w:t>48</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86ED4" w14:textId="77777777" w:rsidR="00F86BDE" w:rsidRDefault="00F86BDE">
      <w:r>
        <w:separator/>
      </w:r>
    </w:p>
  </w:footnote>
  <w:footnote w:type="continuationSeparator" w:id="0">
    <w:p w14:paraId="5E989616" w14:textId="77777777" w:rsidR="00F86BDE" w:rsidRDefault="00F86BDE">
      <w:r>
        <w:continuationSeparator/>
      </w:r>
    </w:p>
  </w:footnote>
  <w:footnote w:id="1">
    <w:p w14:paraId="7B6155CF" w14:textId="77777777" w:rsidR="00AF75C2" w:rsidRDefault="005F5589">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75E64" w14:textId="77777777" w:rsidR="00AF75C2" w:rsidRDefault="008227FD">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5DEA6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49B73" w14:textId="77777777" w:rsidR="00AF75C2" w:rsidRDefault="008227FD">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sz w:val="28"/>
        <w:szCs w:val="28"/>
      </w:rPr>
      <w:pict w14:anchorId="03E73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138.05pt;margin-top:-111.95pt;width:540pt;height:10in;z-index:-251659776;mso-position-horizontal:absolute;mso-position-horizontal-relative:margin;mso-position-vertical:absolute;mso-position-vertical-relative:margin">
          <v:imagedata r:id="rId1" o:title="image1" croptop="-8531f" cropbottom="8531f" cropleft="19205f" cropright="-19205f"/>
          <w10:wrap anchorx="margin" anchory="margin"/>
        </v:shape>
      </w:pict>
    </w:r>
  </w:p>
  <w:tbl>
    <w:tblPr>
      <w:tblStyle w:val="affffffffffa"/>
      <w:tblW w:w="9534" w:type="dxa"/>
      <w:tblInd w:w="-142" w:type="dxa"/>
      <w:tblLayout w:type="fixed"/>
      <w:tblLook w:val="0400" w:firstRow="0" w:lastRow="0" w:firstColumn="0" w:lastColumn="0" w:noHBand="0" w:noVBand="1"/>
    </w:tblPr>
    <w:tblGrid>
      <w:gridCol w:w="3261"/>
      <w:gridCol w:w="2551"/>
      <w:gridCol w:w="3722"/>
    </w:tblGrid>
    <w:tr w:rsidR="00AF75C2" w14:paraId="0EDE6B9C" w14:textId="77777777">
      <w:tc>
        <w:tcPr>
          <w:tcW w:w="3261" w:type="dxa"/>
          <w:vMerge w:val="restart"/>
        </w:tcPr>
        <w:p w14:paraId="208C67EA" w14:textId="77777777" w:rsidR="00AF75C2" w:rsidRDefault="005F5589">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58AF9043" wp14:editId="623E31DB">
                <wp:extent cx="1692162" cy="852673"/>
                <wp:effectExtent l="0" t="0" r="0" b="0"/>
                <wp:docPr id="1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457B4D61" w14:textId="77777777" w:rsidR="00AF75C2" w:rsidRDefault="005F5589">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2654661F" w14:textId="77777777" w:rsidR="00AF75C2" w:rsidRDefault="005F5589">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12707/INFOEM/IP/RR/2022 y acumulados </w:t>
          </w:r>
        </w:p>
      </w:tc>
    </w:tr>
    <w:tr w:rsidR="00AF75C2" w14:paraId="5C32E8FB" w14:textId="77777777">
      <w:tc>
        <w:tcPr>
          <w:tcW w:w="3261" w:type="dxa"/>
          <w:vMerge/>
        </w:tcPr>
        <w:p w14:paraId="05D309EE" w14:textId="77777777" w:rsidR="00AF75C2" w:rsidRDefault="00AF75C2">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0C30A32A" w14:textId="77777777" w:rsidR="00AF75C2" w:rsidRDefault="005F5589">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40F04279" w14:textId="7C712C93" w:rsidR="00AF75C2" w:rsidRDefault="005F5589">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Sistema Municipal </w:t>
          </w:r>
          <w:r w:rsidR="003B4DDB">
            <w:rPr>
              <w:rFonts w:ascii="Palatino Linotype" w:eastAsia="Palatino Linotype" w:hAnsi="Palatino Linotype" w:cs="Palatino Linotype"/>
              <w:b/>
            </w:rPr>
            <w:t xml:space="preserve">para </w:t>
          </w:r>
          <w:r>
            <w:rPr>
              <w:rFonts w:ascii="Palatino Linotype" w:eastAsia="Palatino Linotype" w:hAnsi="Palatino Linotype" w:cs="Palatino Linotype"/>
              <w:b/>
            </w:rPr>
            <w:t>el Desarrollo Integral de la Familia de Metepec</w:t>
          </w:r>
        </w:p>
      </w:tc>
    </w:tr>
    <w:tr w:rsidR="00AF75C2" w14:paraId="38E43226" w14:textId="77777777">
      <w:trPr>
        <w:trHeight w:val="228"/>
      </w:trPr>
      <w:tc>
        <w:tcPr>
          <w:tcW w:w="3261" w:type="dxa"/>
          <w:vMerge/>
        </w:tcPr>
        <w:p w14:paraId="2820DAE6" w14:textId="77777777" w:rsidR="00AF75C2" w:rsidRDefault="00AF75C2">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0F7A6ABF" w14:textId="77777777" w:rsidR="00AF75C2" w:rsidRDefault="005F5589">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665DD5E9" w14:textId="77777777" w:rsidR="00AF75C2" w:rsidRDefault="005F5589">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2564A1DD" w14:textId="77777777" w:rsidR="00AF75C2" w:rsidRDefault="00AF75C2">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3E3FD" w14:textId="77777777" w:rsidR="00AF75C2" w:rsidRDefault="008227FD">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070B7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ESOLUCIÓN" style="position:absolute;margin-left:0;margin-top:0;width:540pt;height:10in;z-index:-251658752;mso-position-horizontal:center;mso-position-horizontal-relative:margin;mso-position-vertical:center;mso-position-vertical-relative:margin">
          <v:imagedata r:id="rId1" o:title="image1"/>
          <w10:wrap anchorx="margin" anchory="margin"/>
        </v:shape>
      </w:pict>
    </w:r>
  </w:p>
  <w:tbl>
    <w:tblPr>
      <w:tblStyle w:val="affffffffff9"/>
      <w:tblW w:w="9900" w:type="dxa"/>
      <w:tblInd w:w="-833" w:type="dxa"/>
      <w:tblLayout w:type="fixed"/>
      <w:tblLook w:val="0400" w:firstRow="0" w:lastRow="0" w:firstColumn="0" w:lastColumn="0" w:noHBand="0" w:noVBand="1"/>
    </w:tblPr>
    <w:tblGrid>
      <w:gridCol w:w="3805"/>
      <w:gridCol w:w="3000"/>
      <w:gridCol w:w="3095"/>
    </w:tblGrid>
    <w:tr w:rsidR="00AF75C2" w14:paraId="6D343E91" w14:textId="77777777">
      <w:tc>
        <w:tcPr>
          <w:tcW w:w="3805" w:type="dxa"/>
          <w:vMerge w:val="restart"/>
          <w:shd w:val="clear" w:color="auto" w:fill="auto"/>
        </w:tcPr>
        <w:p w14:paraId="22AE4B76" w14:textId="77777777" w:rsidR="00AF75C2" w:rsidRDefault="005F5589">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5EFCA861" wp14:editId="1DD47A37">
                <wp:extent cx="1692162" cy="852673"/>
                <wp:effectExtent l="0" t="0" r="0" b="0"/>
                <wp:docPr id="1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1391AC96" w14:textId="77777777" w:rsidR="00AF75C2" w:rsidRDefault="005F5589">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5696AB3E" w14:textId="77777777" w:rsidR="00AF75C2" w:rsidRDefault="005F5589">
          <w:pPr>
            <w:jc w:val="both"/>
            <w:rPr>
              <w:rFonts w:ascii="Palatino Linotype" w:eastAsia="Palatino Linotype" w:hAnsi="Palatino Linotype" w:cs="Palatino Linotype"/>
              <w:b/>
            </w:rPr>
          </w:pPr>
          <w:r>
            <w:rPr>
              <w:rFonts w:ascii="Palatino Linotype" w:eastAsia="Palatino Linotype" w:hAnsi="Palatino Linotype" w:cs="Palatino Linotype"/>
              <w:b/>
            </w:rPr>
            <w:t>12707/INFOEM/IP/RR/2022 y acumulados</w:t>
          </w:r>
        </w:p>
      </w:tc>
    </w:tr>
    <w:tr w:rsidR="00AF75C2" w14:paraId="5590B4CA" w14:textId="77777777">
      <w:tc>
        <w:tcPr>
          <w:tcW w:w="3805" w:type="dxa"/>
          <w:vMerge/>
          <w:shd w:val="clear" w:color="auto" w:fill="auto"/>
        </w:tcPr>
        <w:p w14:paraId="085120BD" w14:textId="77777777" w:rsidR="00AF75C2" w:rsidRDefault="00AF75C2">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2B61A10B" w14:textId="77777777" w:rsidR="00AF75C2" w:rsidRDefault="005F5589">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5B6BE72E" w14:textId="77777777" w:rsidR="00AF75C2" w:rsidRDefault="00AF75C2">
          <w:pPr>
            <w:jc w:val="both"/>
            <w:rPr>
              <w:rFonts w:ascii="Palatino Linotype" w:eastAsia="Palatino Linotype" w:hAnsi="Palatino Linotype" w:cs="Palatino Linotype"/>
              <w:b/>
            </w:rPr>
          </w:pPr>
        </w:p>
      </w:tc>
    </w:tr>
    <w:tr w:rsidR="00AF75C2" w14:paraId="4204A729" w14:textId="77777777">
      <w:trPr>
        <w:trHeight w:val="228"/>
      </w:trPr>
      <w:tc>
        <w:tcPr>
          <w:tcW w:w="3805" w:type="dxa"/>
          <w:vMerge/>
          <w:shd w:val="clear" w:color="auto" w:fill="auto"/>
        </w:tcPr>
        <w:p w14:paraId="2B74847F" w14:textId="77777777" w:rsidR="00AF75C2" w:rsidRDefault="00AF75C2">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300BD12E" w14:textId="77777777" w:rsidR="00AF75C2" w:rsidRDefault="005F5589">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5064B1C5" w14:textId="6FF8A496" w:rsidR="00AF75C2" w:rsidRDefault="005F5589">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Sistema Municipal </w:t>
          </w:r>
          <w:r w:rsidR="003B4DDB">
            <w:rPr>
              <w:rFonts w:ascii="Palatino Linotype" w:eastAsia="Palatino Linotype" w:hAnsi="Palatino Linotype" w:cs="Palatino Linotype"/>
              <w:b/>
            </w:rPr>
            <w:t xml:space="preserve">para </w:t>
          </w:r>
          <w:r>
            <w:rPr>
              <w:rFonts w:ascii="Palatino Linotype" w:eastAsia="Palatino Linotype" w:hAnsi="Palatino Linotype" w:cs="Palatino Linotype"/>
              <w:b/>
            </w:rPr>
            <w:t>el Desarrollo Integral de la Familia de Metepec</w:t>
          </w:r>
        </w:p>
      </w:tc>
    </w:tr>
    <w:tr w:rsidR="00AF75C2" w14:paraId="188803C7" w14:textId="77777777">
      <w:tc>
        <w:tcPr>
          <w:tcW w:w="3805" w:type="dxa"/>
          <w:vMerge/>
          <w:shd w:val="clear" w:color="auto" w:fill="auto"/>
        </w:tcPr>
        <w:p w14:paraId="478DAC81" w14:textId="77777777" w:rsidR="00AF75C2" w:rsidRDefault="00AF75C2">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211FBE30" w14:textId="77777777" w:rsidR="00AF75C2" w:rsidRDefault="005F5589">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59CFEB70" w14:textId="77777777" w:rsidR="00AF75C2" w:rsidRDefault="005F5589">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3505A5D6" w14:textId="77777777" w:rsidR="00AF75C2" w:rsidRDefault="00AF75C2">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D60CE"/>
    <w:multiLevelType w:val="multilevel"/>
    <w:tmpl w:val="F448F24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7CE95260"/>
    <w:multiLevelType w:val="multilevel"/>
    <w:tmpl w:val="ECF4CE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DD7020A"/>
    <w:multiLevelType w:val="multilevel"/>
    <w:tmpl w:val="AFE2ED08"/>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w:eastAsia="Noto Sans" w:hAnsi="Noto Sans" w:cs="Noto Sans"/>
      </w:rPr>
    </w:lvl>
    <w:lvl w:ilvl="3">
      <w:start w:val="1"/>
      <w:numFmt w:val="decimal"/>
      <w:lvlText w:val=""/>
      <w:lvlJc w:val="left"/>
      <w:pPr>
        <w:ind w:left="2520" w:hanging="360"/>
      </w:pPr>
      <w:rPr>
        <w:rFonts w:ascii="Noto Sans" w:eastAsia="Noto Sans" w:hAnsi="Noto Sans" w:cs="Noto San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w:eastAsia="Noto Sans" w:hAnsi="Noto Sans" w:cs="Noto Sans"/>
      </w:rPr>
    </w:lvl>
    <w:lvl w:ilvl="6">
      <w:start w:val="1"/>
      <w:numFmt w:val="decimal"/>
      <w:lvlText w:val=""/>
      <w:lvlJc w:val="left"/>
      <w:pPr>
        <w:ind w:left="4680" w:hanging="360"/>
      </w:pPr>
      <w:rPr>
        <w:rFonts w:ascii="Noto Sans" w:eastAsia="Noto Sans" w:hAnsi="Noto Sans" w:cs="Noto San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w:eastAsia="Noto Sans" w:hAnsi="Noto Sans" w:cs="Noto Sans"/>
      </w:rPr>
    </w:lvl>
  </w:abstractNum>
  <w:num w:numId="1" w16cid:durableId="758677270">
    <w:abstractNumId w:val="0"/>
  </w:num>
  <w:num w:numId="2" w16cid:durableId="583301235">
    <w:abstractNumId w:val="2"/>
  </w:num>
  <w:num w:numId="3" w16cid:durableId="3529210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5C2"/>
    <w:rsid w:val="00362898"/>
    <w:rsid w:val="003B4DDB"/>
    <w:rsid w:val="0055198E"/>
    <w:rsid w:val="005F5589"/>
    <w:rsid w:val="00793137"/>
    <w:rsid w:val="008227FD"/>
    <w:rsid w:val="00A33A03"/>
    <w:rsid w:val="00AF75C2"/>
    <w:rsid w:val="00C62FD5"/>
    <w:rsid w:val="00DE75B7"/>
    <w:rsid w:val="00F116F1"/>
    <w:rsid w:val="00F86BDE"/>
    <w:rsid w:val="00FB61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41966E"/>
  <w15:docId w15:val="{936E6906-B5B9-4944-9C84-67F3A625E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e"/>
    <w:tblPr>
      <w:tblStyleRowBandSize w:val="1"/>
      <w:tblStyleColBandSize w:val="1"/>
      <w:tblCellMar>
        <w:top w:w="100" w:type="dxa"/>
        <w:left w:w="100" w:type="dxa"/>
        <w:bottom w:w="100" w:type="dxa"/>
        <w:right w:w="100" w:type="dxa"/>
      </w:tblCellMar>
    </w:tblPr>
  </w:style>
  <w:style w:type="table" w:customStyle="1" w:styleId="a0">
    <w:basedOn w:val="TableNormalfe"/>
    <w:tblPr>
      <w:tblStyleRowBandSize w:val="1"/>
      <w:tblStyleColBandSize w:val="1"/>
      <w:tblCellMar>
        <w:left w:w="115" w:type="dxa"/>
        <w:right w:w="115" w:type="dxa"/>
      </w:tblCellMar>
    </w:tblPr>
  </w:style>
  <w:style w:type="table" w:customStyle="1" w:styleId="a1">
    <w:basedOn w:val="TableNormalfe"/>
    <w:tblPr>
      <w:tblStyleRowBandSize w:val="1"/>
      <w:tblStyleColBandSize w:val="1"/>
      <w:tblCellMar>
        <w:left w:w="115" w:type="dxa"/>
        <w:right w:w="115" w:type="dxa"/>
      </w:tblCellMar>
    </w:tblPr>
  </w:style>
  <w:style w:type="table" w:customStyle="1" w:styleId="a2">
    <w:basedOn w:val="TableNormalfe"/>
    <w:tblPr>
      <w:tblStyleRowBandSize w:val="1"/>
      <w:tblStyleColBandSize w:val="1"/>
      <w:tblCellMar>
        <w:left w:w="115" w:type="dxa"/>
        <w:right w:w="115" w:type="dxa"/>
      </w:tblCellMar>
    </w:tblPr>
  </w:style>
  <w:style w:type="table" w:customStyle="1" w:styleId="a3">
    <w:basedOn w:val="TableNormalfe"/>
    <w:tblPr>
      <w:tblStyleRowBandSize w:val="1"/>
      <w:tblStyleColBandSize w:val="1"/>
      <w:tblCellMar>
        <w:left w:w="115" w:type="dxa"/>
        <w:right w:w="115" w:type="dxa"/>
      </w:tblCellMar>
    </w:tblPr>
  </w:style>
  <w:style w:type="table" w:customStyle="1" w:styleId="a4">
    <w:basedOn w:val="TableNormalfe"/>
    <w:tblPr>
      <w:tblStyleRowBandSize w:val="1"/>
      <w:tblStyleColBandSize w:val="1"/>
      <w:tblCellMar>
        <w:left w:w="115" w:type="dxa"/>
        <w:right w:w="115" w:type="dxa"/>
      </w:tblCellMar>
    </w:tblPr>
  </w:style>
  <w:style w:type="table" w:customStyle="1" w:styleId="a5">
    <w:basedOn w:val="TableNormalfe"/>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e"/>
    <w:tblPr>
      <w:tblStyleRowBandSize w:val="1"/>
      <w:tblStyleColBandSize w:val="1"/>
      <w:tblCellMar>
        <w:left w:w="115" w:type="dxa"/>
        <w:right w:w="115" w:type="dxa"/>
      </w:tblCellMar>
    </w:tblPr>
  </w:style>
  <w:style w:type="table" w:customStyle="1" w:styleId="a7">
    <w:basedOn w:val="TableNormalfe"/>
    <w:tblPr>
      <w:tblStyleRowBandSize w:val="1"/>
      <w:tblStyleColBandSize w:val="1"/>
      <w:tblCellMar>
        <w:left w:w="115" w:type="dxa"/>
        <w:right w:w="115" w:type="dxa"/>
      </w:tblCellMar>
    </w:tblPr>
  </w:style>
  <w:style w:type="table" w:customStyle="1" w:styleId="a8">
    <w:basedOn w:val="TableNormalfe"/>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e"/>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b"/>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b"/>
    <w:tblPr>
      <w:tblStyleRowBandSize w:val="1"/>
      <w:tblStyleColBandSize w:val="1"/>
      <w:tblCellMar>
        <w:top w:w="100" w:type="dxa"/>
        <w:left w:w="100" w:type="dxa"/>
        <w:bottom w:w="100" w:type="dxa"/>
        <w:right w:w="100" w:type="dxa"/>
      </w:tblCellMar>
    </w:tblPr>
  </w:style>
  <w:style w:type="table" w:customStyle="1" w:styleId="af4">
    <w:basedOn w:val="TableNormalfb"/>
    <w:tblPr>
      <w:tblStyleRowBandSize w:val="1"/>
      <w:tblStyleColBandSize w:val="1"/>
      <w:tblCellMar>
        <w:top w:w="100" w:type="dxa"/>
        <w:left w:w="100" w:type="dxa"/>
        <w:bottom w:w="100" w:type="dxa"/>
        <w:right w:w="100" w:type="dxa"/>
      </w:tblCellMar>
    </w:tblPr>
  </w:style>
  <w:style w:type="table" w:customStyle="1" w:styleId="af5">
    <w:basedOn w:val="TableNormalfb"/>
    <w:tblPr>
      <w:tblStyleRowBandSize w:val="1"/>
      <w:tblStyleColBandSize w:val="1"/>
      <w:tblCellMar>
        <w:top w:w="100" w:type="dxa"/>
        <w:left w:w="100" w:type="dxa"/>
        <w:bottom w:w="100" w:type="dxa"/>
        <w:right w:w="100" w:type="dxa"/>
      </w:tblCellMar>
    </w:tblPr>
  </w:style>
  <w:style w:type="table" w:customStyle="1" w:styleId="af6">
    <w:basedOn w:val="TableNormalfb"/>
    <w:tblPr>
      <w:tblStyleRowBandSize w:val="1"/>
      <w:tblStyleColBandSize w:val="1"/>
      <w:tblCellMar>
        <w:top w:w="100" w:type="dxa"/>
        <w:left w:w="100" w:type="dxa"/>
        <w:bottom w:w="100" w:type="dxa"/>
        <w:right w:w="100" w:type="dxa"/>
      </w:tblCellMar>
    </w:tblPr>
  </w:style>
  <w:style w:type="table" w:customStyle="1" w:styleId="af7">
    <w:basedOn w:val="TableNormalfb"/>
    <w:tblPr>
      <w:tblStyleRowBandSize w:val="1"/>
      <w:tblStyleColBandSize w:val="1"/>
      <w:tblCellMar>
        <w:top w:w="100" w:type="dxa"/>
        <w:left w:w="100" w:type="dxa"/>
        <w:bottom w:w="100" w:type="dxa"/>
        <w:right w:w="100" w:type="dxa"/>
      </w:tblCellMar>
    </w:tblPr>
  </w:style>
  <w:style w:type="table" w:customStyle="1" w:styleId="af8">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6"/>
    <w:rPr>
      <w:rFonts w:ascii="Arial" w:eastAsia="Arial" w:hAnsi="Arial" w:cs="Arial"/>
      <w:sz w:val="22"/>
      <w:szCs w:val="22"/>
    </w:rPr>
    <w:tblPr>
      <w:tblStyleRowBandSize w:val="1"/>
      <w:tblStyleColBandSize w:val="1"/>
      <w:tblCellMar>
        <w:left w:w="115" w:type="dxa"/>
        <w:right w:w="115" w:type="dxa"/>
      </w:tblCellMar>
    </w:tblPr>
  </w:style>
  <w:style w:type="table" w:customStyle="1" w:styleId="affb">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3">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4">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7">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c">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c"/>
    <w:tblPr>
      <w:tblStyleRowBandSize w:val="1"/>
      <w:tblStyleColBandSize w:val="1"/>
      <w:tblCellMar>
        <w:top w:w="100" w:type="dxa"/>
        <w:left w:w="100" w:type="dxa"/>
        <w:bottom w:w="100" w:type="dxa"/>
        <w:right w:w="100" w:type="dxa"/>
      </w:tblCellMar>
    </w:tblPr>
  </w:style>
  <w:style w:type="table" w:customStyle="1" w:styleId="afffffff0">
    <w:basedOn w:val="TableNormalc"/>
    <w:tblPr>
      <w:tblStyleRowBandSize w:val="1"/>
      <w:tblStyleColBandSize w:val="1"/>
      <w:tblCellMar>
        <w:top w:w="100" w:type="dxa"/>
        <w:left w:w="100" w:type="dxa"/>
        <w:bottom w:w="100" w:type="dxa"/>
        <w:right w:w="100" w:type="dxa"/>
      </w:tblCellMar>
    </w:tblPr>
  </w:style>
  <w:style w:type="table" w:customStyle="1" w:styleId="afffffff1">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1">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2">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3">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4">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5">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6">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7">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8">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9">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a">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b">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c">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d">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e">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5">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6">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7">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8">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9">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a">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b">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c">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d">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e">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0">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1">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2">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3">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4">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5">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6">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7">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8">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9">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a">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www.transparencia.ipn.mx/Apoyo/SIPOT/LTG_DOF28122020.pdf"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IUWxz5bhuB6W1aC2tjgf5h56vg==">AMUW2mV7Vif4Qn5YMbF7aLa1dTdvGXKkFSlmNKizIYiVGHJuo59MS/P4kB45C1yl9CnQqMdkp4G0y+EmiTfOVZ3WL/6QxiVz4wfmGc1fGPFi86zdoir3v7JGlAT2guabPyxR6An5Q9FYQ10+E+AqalzvMiOnnoczFk8EaDy21JfccpwHgJtQkGcGIqySvV8SgbEhCHloJxiQ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1AB66CD-C9E4-45B6-AA05-28A00C1A7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48</Pages>
  <Words>10547</Words>
  <Characters>58013</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Jorge Luis Penunuri Loredo</cp:lastModifiedBy>
  <cp:revision>6</cp:revision>
  <cp:lastPrinted>2022-11-23T05:09:00Z</cp:lastPrinted>
  <dcterms:created xsi:type="dcterms:W3CDTF">2022-11-10T17:08:00Z</dcterms:created>
  <dcterms:modified xsi:type="dcterms:W3CDTF">2022-11-23T05:09:00Z</dcterms:modified>
</cp:coreProperties>
</file>