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0C16A0B" w:rsidR="00EA0165" w:rsidRPr="00A2012D" w:rsidRDefault="00EA0165" w:rsidP="00207DF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2012D">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2012D">
        <w:rPr>
          <w:rFonts w:ascii="Palatino Linotype" w:eastAsiaTheme="minorEastAsia" w:hAnsi="Palatino Linotype" w:cstheme="minorBidi"/>
          <w:color w:val="000000" w:themeColor="text1"/>
          <w:lang w:val="es-ES_tradnl"/>
        </w:rPr>
        <w:t xml:space="preserve">n Metepec, Estado </w:t>
      </w:r>
      <w:r w:rsidR="004D08C2" w:rsidRPr="00A2012D">
        <w:rPr>
          <w:rFonts w:ascii="Palatino Linotype" w:eastAsiaTheme="minorEastAsia" w:hAnsi="Palatino Linotype" w:cstheme="minorBidi"/>
          <w:color w:val="000000" w:themeColor="text1"/>
          <w:lang w:val="es-ES_tradnl"/>
        </w:rPr>
        <w:t>de México; de diecinueve</w:t>
      </w:r>
      <w:r w:rsidR="000F1EB2" w:rsidRPr="00A2012D">
        <w:rPr>
          <w:rFonts w:ascii="Palatino Linotype" w:eastAsiaTheme="minorEastAsia" w:hAnsi="Palatino Linotype" w:cstheme="minorBidi"/>
          <w:color w:val="000000" w:themeColor="text1"/>
          <w:lang w:val="es-ES_tradnl"/>
        </w:rPr>
        <w:t xml:space="preserve"> </w:t>
      </w:r>
      <w:r w:rsidRPr="00A2012D">
        <w:rPr>
          <w:rFonts w:ascii="Palatino Linotype" w:eastAsiaTheme="minorEastAsia" w:hAnsi="Palatino Linotype" w:cstheme="minorBidi"/>
          <w:color w:val="000000" w:themeColor="text1"/>
          <w:lang w:val="es-MX"/>
        </w:rPr>
        <w:t>(</w:t>
      </w:r>
      <w:r w:rsidR="004D08C2" w:rsidRPr="00A2012D">
        <w:rPr>
          <w:rFonts w:ascii="Palatino Linotype" w:eastAsiaTheme="minorEastAsia" w:hAnsi="Palatino Linotype" w:cstheme="minorBidi"/>
          <w:color w:val="000000" w:themeColor="text1"/>
          <w:lang w:val="es-MX"/>
        </w:rPr>
        <w:t>19</w:t>
      </w:r>
      <w:r w:rsidRPr="00A2012D">
        <w:rPr>
          <w:rFonts w:ascii="Palatino Linotype" w:eastAsiaTheme="minorEastAsia" w:hAnsi="Palatino Linotype" w:cstheme="minorBidi"/>
          <w:color w:val="000000" w:themeColor="text1"/>
          <w:lang w:val="es-MX"/>
        </w:rPr>
        <w:t>) de</w:t>
      </w:r>
      <w:r w:rsidR="00DD6A6D" w:rsidRPr="00A2012D">
        <w:rPr>
          <w:rFonts w:ascii="Palatino Linotype" w:eastAsiaTheme="minorEastAsia" w:hAnsi="Palatino Linotype" w:cstheme="minorBidi"/>
          <w:color w:val="000000" w:themeColor="text1"/>
          <w:lang w:val="es-MX"/>
        </w:rPr>
        <w:t xml:space="preserve"> octubre</w:t>
      </w:r>
      <w:r w:rsidR="003135C2" w:rsidRPr="00A2012D">
        <w:rPr>
          <w:rFonts w:ascii="Palatino Linotype" w:eastAsiaTheme="minorEastAsia" w:hAnsi="Palatino Linotype" w:cstheme="minorBidi"/>
          <w:color w:val="000000" w:themeColor="text1"/>
          <w:lang w:val="es-MX"/>
        </w:rPr>
        <w:t xml:space="preserve"> </w:t>
      </w:r>
      <w:r w:rsidR="00F03AFC" w:rsidRPr="00A2012D">
        <w:rPr>
          <w:rFonts w:ascii="Palatino Linotype" w:eastAsiaTheme="minorEastAsia" w:hAnsi="Palatino Linotype" w:cstheme="minorBidi"/>
          <w:color w:val="000000" w:themeColor="text1"/>
          <w:lang w:val="es-MX"/>
        </w:rPr>
        <w:t xml:space="preserve"> </w:t>
      </w:r>
      <w:r w:rsidR="00003CF3" w:rsidRPr="00A2012D">
        <w:rPr>
          <w:rFonts w:ascii="Palatino Linotype" w:eastAsiaTheme="minorEastAsia" w:hAnsi="Palatino Linotype" w:cstheme="minorBidi"/>
          <w:color w:val="000000" w:themeColor="text1"/>
          <w:lang w:val="es-MX"/>
        </w:rPr>
        <w:t>de dos mil veintidós</w:t>
      </w:r>
      <w:r w:rsidRPr="00A2012D">
        <w:rPr>
          <w:rFonts w:ascii="Palatino Linotype" w:eastAsiaTheme="minorEastAsia" w:hAnsi="Palatino Linotype" w:cstheme="minorBidi"/>
          <w:color w:val="000000" w:themeColor="text1"/>
          <w:lang w:val="es-ES_tradnl"/>
        </w:rPr>
        <w:t xml:space="preserve">. </w:t>
      </w:r>
    </w:p>
    <w:p w14:paraId="79BA84B1" w14:textId="5C0D1111" w:rsidR="00C36DF2" w:rsidRPr="00A2012D" w:rsidRDefault="00C36DF2" w:rsidP="00207DF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2012D">
        <w:rPr>
          <w:rFonts w:ascii="Palatino Linotype" w:eastAsiaTheme="minorEastAsia" w:hAnsi="Palatino Linotype" w:cstheme="minorBidi"/>
          <w:b/>
          <w:color w:val="000000" w:themeColor="text1"/>
          <w:lang w:val="es-ES_tradnl"/>
        </w:rPr>
        <w:t>VISTO</w:t>
      </w:r>
      <w:r w:rsidRPr="00A2012D">
        <w:rPr>
          <w:rFonts w:ascii="Palatino Linotype" w:eastAsiaTheme="minorEastAsia" w:hAnsi="Palatino Linotype" w:cstheme="minorBidi"/>
          <w:color w:val="000000" w:themeColor="text1"/>
          <w:lang w:val="es-ES_tradnl"/>
        </w:rPr>
        <w:t xml:space="preserve"> el expediente electrónico formado con motivo del recurso de revisión</w:t>
      </w:r>
      <w:r w:rsidRPr="00A2012D">
        <w:rPr>
          <w:rFonts w:ascii="Palatino Linotype" w:eastAsiaTheme="minorEastAsia" w:hAnsi="Palatino Linotype" w:cstheme="minorBidi"/>
          <w:b/>
          <w:bCs/>
          <w:color w:val="000000" w:themeColor="text1"/>
        </w:rPr>
        <w:t> </w:t>
      </w:r>
      <w:r w:rsidR="004D08C2" w:rsidRPr="00A2012D">
        <w:rPr>
          <w:rFonts w:ascii="Palatino Linotype" w:eastAsiaTheme="minorEastAsia" w:hAnsi="Palatino Linotype" w:cstheme="minorBidi"/>
          <w:b/>
          <w:bCs/>
          <w:color w:val="000000" w:themeColor="text1"/>
        </w:rPr>
        <w:t>11938/INFOEM/IP/RR/2022</w:t>
      </w:r>
      <w:r w:rsidRPr="00A2012D">
        <w:rPr>
          <w:rFonts w:ascii="Palatino Linotype" w:eastAsiaTheme="minorEastAsia" w:hAnsi="Palatino Linotype" w:cstheme="minorBidi"/>
          <w:b/>
          <w:bCs/>
          <w:color w:val="000000" w:themeColor="text1"/>
        </w:rPr>
        <w:t xml:space="preserve">, </w:t>
      </w:r>
      <w:r w:rsidR="004D08C2" w:rsidRPr="00A2012D">
        <w:rPr>
          <w:rFonts w:ascii="Palatino Linotype" w:eastAsiaTheme="minorEastAsia" w:hAnsi="Palatino Linotype" w:cstheme="minorBidi"/>
          <w:color w:val="000000" w:themeColor="text1"/>
          <w:lang w:val="es-ES_tradnl"/>
        </w:rPr>
        <w:t xml:space="preserve">promovido por </w:t>
      </w:r>
      <w:r w:rsidR="00A2012D" w:rsidRPr="00A2012D">
        <w:rPr>
          <w:rFonts w:ascii="Palatino Linotype" w:eastAsiaTheme="minorEastAsia" w:hAnsi="Palatino Linotype" w:cstheme="minorBidi"/>
          <w:b/>
          <w:color w:val="000000" w:themeColor="text1"/>
          <w:lang w:val="es-ES_tradnl"/>
        </w:rPr>
        <w:t>XXXX XXXX XXXX</w:t>
      </w:r>
      <w:r w:rsidR="000F1EB2" w:rsidRPr="00A2012D">
        <w:rPr>
          <w:rFonts w:ascii="Palatino Linotype" w:eastAsiaTheme="minorEastAsia" w:hAnsi="Palatino Linotype" w:cstheme="minorBidi"/>
          <w:b/>
          <w:color w:val="000000" w:themeColor="text1"/>
          <w:lang w:val="es-ES_tradnl"/>
        </w:rPr>
        <w:t xml:space="preserve"> </w:t>
      </w:r>
      <w:r w:rsidRPr="00A2012D">
        <w:rPr>
          <w:rFonts w:ascii="Palatino Linotype" w:eastAsiaTheme="minorEastAsia" w:hAnsi="Palatino Linotype" w:cstheme="minorBidi"/>
          <w:color w:val="000000" w:themeColor="text1"/>
          <w:lang w:val="es-ES_tradnl"/>
        </w:rPr>
        <w:t xml:space="preserve">en su calidad de </w:t>
      </w:r>
      <w:r w:rsidRPr="00A2012D">
        <w:rPr>
          <w:rFonts w:ascii="Palatino Linotype" w:eastAsiaTheme="minorEastAsia" w:hAnsi="Palatino Linotype" w:cstheme="minorBidi"/>
          <w:b/>
          <w:color w:val="000000" w:themeColor="text1"/>
          <w:lang w:val="es-ES_tradnl"/>
        </w:rPr>
        <w:t>RECURRENTE</w:t>
      </w:r>
      <w:r w:rsidRPr="00A2012D">
        <w:rPr>
          <w:rFonts w:ascii="Palatino Linotype" w:eastAsiaTheme="minorEastAsia" w:hAnsi="Palatino Linotype" w:cstheme="minorBidi"/>
          <w:color w:val="000000" w:themeColor="text1"/>
          <w:lang w:val="es-ES_tradnl"/>
        </w:rPr>
        <w:t>, en contra de la respue</w:t>
      </w:r>
      <w:r w:rsidR="00861CF9" w:rsidRPr="00A2012D">
        <w:rPr>
          <w:rFonts w:ascii="Palatino Linotype" w:eastAsiaTheme="minorEastAsia" w:hAnsi="Palatino Linotype" w:cstheme="minorBidi"/>
          <w:color w:val="000000" w:themeColor="text1"/>
          <w:lang w:val="es-ES_tradnl"/>
        </w:rPr>
        <w:t>sta del</w:t>
      </w:r>
      <w:r w:rsidRPr="00A2012D">
        <w:rPr>
          <w:rFonts w:ascii="Palatino Linotype" w:eastAsiaTheme="minorEastAsia" w:hAnsi="Palatino Linotype" w:cstheme="minorBidi"/>
          <w:color w:val="000000" w:themeColor="text1"/>
          <w:lang w:val="es-ES_tradnl"/>
        </w:rPr>
        <w:t xml:space="preserve"> </w:t>
      </w:r>
      <w:r w:rsidR="004D08C2" w:rsidRPr="00A2012D">
        <w:rPr>
          <w:rFonts w:ascii="Palatino Linotype" w:eastAsiaTheme="minorEastAsia" w:hAnsi="Palatino Linotype" w:cstheme="minorBidi"/>
          <w:b/>
          <w:color w:val="000000" w:themeColor="text1"/>
          <w:lang w:val="es-ES_tradnl"/>
        </w:rPr>
        <w:t>Ayuntamiento de Huehuetoca</w:t>
      </w:r>
      <w:r w:rsidR="004D3F79" w:rsidRPr="00A2012D">
        <w:rPr>
          <w:rFonts w:ascii="Palatino Linotype" w:eastAsiaTheme="minorEastAsia" w:hAnsi="Palatino Linotype" w:cstheme="minorBidi"/>
          <w:b/>
          <w:bCs/>
          <w:color w:val="000000" w:themeColor="text1"/>
        </w:rPr>
        <w:t xml:space="preserve"> </w:t>
      </w:r>
      <w:r w:rsidRPr="00A2012D">
        <w:rPr>
          <w:rFonts w:ascii="Palatino Linotype" w:eastAsiaTheme="minorEastAsia" w:hAnsi="Palatino Linotype" w:cstheme="minorBidi"/>
          <w:color w:val="000000" w:themeColor="text1"/>
          <w:lang w:val="es-ES_tradnl"/>
        </w:rPr>
        <w:t>en lo</w:t>
      </w:r>
      <w:r w:rsidRPr="00A2012D">
        <w:rPr>
          <w:rFonts w:ascii="Palatino Linotype" w:eastAsiaTheme="minorEastAsia" w:hAnsi="Palatino Linotype" w:cstheme="minorBidi"/>
          <w:b/>
          <w:color w:val="000000" w:themeColor="text1"/>
          <w:lang w:val="es-ES_tradnl"/>
        </w:rPr>
        <w:t xml:space="preserve"> </w:t>
      </w:r>
      <w:r w:rsidRPr="00A2012D">
        <w:rPr>
          <w:rFonts w:ascii="Palatino Linotype" w:eastAsiaTheme="minorEastAsia" w:hAnsi="Palatino Linotype" w:cstheme="minorBidi"/>
          <w:color w:val="000000" w:themeColor="text1"/>
          <w:lang w:val="es-ES_tradnl"/>
        </w:rPr>
        <w:t>sucesivo el</w:t>
      </w:r>
      <w:r w:rsidRPr="00A2012D">
        <w:rPr>
          <w:rFonts w:ascii="Palatino Linotype" w:eastAsiaTheme="minorEastAsia" w:hAnsi="Palatino Linotype" w:cstheme="minorBidi"/>
          <w:b/>
          <w:color w:val="000000" w:themeColor="text1"/>
          <w:lang w:val="es-ES_tradnl"/>
        </w:rPr>
        <w:t xml:space="preserve"> SUJETO OBLIGADO, </w:t>
      </w:r>
      <w:r w:rsidRPr="00A2012D">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A2012D" w:rsidRDefault="00EA0165" w:rsidP="00207DF9">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A2012D">
        <w:rPr>
          <w:rFonts w:ascii="Palatino Linotype" w:hAnsi="Palatino Linotype"/>
          <w:b/>
          <w:color w:val="000000" w:themeColor="text1"/>
          <w:sz w:val="24"/>
          <w:szCs w:val="24"/>
          <w:lang w:val="es-MX" w:eastAsia="en-US"/>
        </w:rPr>
        <w:t>ANTECEDENTES</w:t>
      </w:r>
      <w:bookmarkEnd w:id="0"/>
      <w:bookmarkEnd w:id="1"/>
      <w:bookmarkEnd w:id="2"/>
      <w:bookmarkEnd w:id="3"/>
    </w:p>
    <w:p w14:paraId="209E9585" w14:textId="1BCF7081" w:rsidR="004A759A" w:rsidRPr="00A2012D" w:rsidRDefault="0083164C" w:rsidP="00207DF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2012D">
        <w:rPr>
          <w:rFonts w:ascii="Palatino Linotype" w:eastAsia="Calibri" w:hAnsi="Palatino Linotype" w:cs="Arial"/>
          <w:color w:val="000000" w:themeColor="text1"/>
        </w:rPr>
        <w:t>El tres (03) de mayo</w:t>
      </w:r>
      <w:r w:rsidR="00C5605D" w:rsidRPr="00A2012D">
        <w:rPr>
          <w:rFonts w:ascii="Palatino Linotype" w:eastAsia="Calibri" w:hAnsi="Palatino Linotype" w:cs="Arial"/>
          <w:color w:val="000000" w:themeColor="text1"/>
        </w:rPr>
        <w:t xml:space="preserve"> </w:t>
      </w:r>
      <w:r w:rsidR="004A759A" w:rsidRPr="00A2012D">
        <w:rPr>
          <w:rFonts w:ascii="Palatino Linotype" w:eastAsia="Calibri" w:hAnsi="Palatino Linotype" w:cs="Arial"/>
          <w:color w:val="000000" w:themeColor="text1"/>
        </w:rPr>
        <w:t>de dos mil veintidós, el</w:t>
      </w:r>
      <w:r w:rsidR="004A759A" w:rsidRPr="00A2012D">
        <w:rPr>
          <w:rFonts w:ascii="Palatino Linotype" w:hAnsi="Palatino Linotype"/>
          <w:color w:val="000000" w:themeColor="text1"/>
        </w:rPr>
        <w:t xml:space="preserve"> particular presentó</w:t>
      </w:r>
      <w:r w:rsidR="004A759A" w:rsidRPr="00A2012D">
        <w:rPr>
          <w:rFonts w:ascii="Palatino Linotype" w:hAnsi="Palatino Linotype"/>
          <w:b/>
          <w:color w:val="000000" w:themeColor="text1"/>
        </w:rPr>
        <w:t xml:space="preserve"> </w:t>
      </w:r>
      <w:r w:rsidR="003034E4" w:rsidRPr="00A2012D">
        <w:rPr>
          <w:rFonts w:ascii="Palatino Linotype" w:hAnsi="Palatino Linotype"/>
          <w:bCs/>
          <w:color w:val="000000" w:themeColor="text1"/>
        </w:rPr>
        <w:t xml:space="preserve">a través </w:t>
      </w:r>
      <w:r w:rsidR="003034E4" w:rsidRPr="00A2012D">
        <w:rPr>
          <w:rFonts w:ascii="Palatino Linotype" w:eastAsia="Calibri" w:hAnsi="Palatino Linotype" w:cs="Arial"/>
          <w:color w:val="000000" w:themeColor="text1"/>
        </w:rPr>
        <w:t xml:space="preserve">del Sistema de Acceso a la Información Mexiquense (SAIMEX), </w:t>
      </w:r>
      <w:r w:rsidR="004A759A" w:rsidRPr="00A2012D">
        <w:rPr>
          <w:rFonts w:ascii="Palatino Linotype" w:eastAsia="Calibri" w:hAnsi="Palatino Linotype" w:cs="Arial"/>
          <w:color w:val="000000" w:themeColor="text1"/>
        </w:rPr>
        <w:t>la solicitud de información pública registrada con el número</w:t>
      </w:r>
      <w:r w:rsidRPr="00A2012D">
        <w:rPr>
          <w:rFonts w:ascii="Palatino Linotype" w:hAnsi="Palatino Linotype"/>
          <w:b/>
          <w:bCs/>
          <w:color w:val="000000" w:themeColor="text1"/>
        </w:rPr>
        <w:t xml:space="preserve"> 00080/HUEHUETO/IP/2022</w:t>
      </w:r>
      <w:r w:rsidR="004A759A" w:rsidRPr="00A2012D">
        <w:rPr>
          <w:rFonts w:ascii="Palatino Linotype" w:hAnsi="Palatino Linotype"/>
          <w:b/>
          <w:bCs/>
          <w:color w:val="000000" w:themeColor="text1"/>
        </w:rPr>
        <w:t>,</w:t>
      </w:r>
      <w:r w:rsidR="004A759A" w:rsidRPr="00A2012D">
        <w:rPr>
          <w:rFonts w:ascii="Palatino Linotype" w:eastAsia="Calibri" w:hAnsi="Palatino Linotype" w:cs="Arial"/>
          <w:color w:val="000000" w:themeColor="text1"/>
        </w:rPr>
        <w:t xml:space="preserve"> mediante la cual requirió lo siguiente:</w:t>
      </w:r>
    </w:p>
    <w:p w14:paraId="119BF7E0" w14:textId="5743965A" w:rsidR="00EA0165" w:rsidRPr="00A2012D" w:rsidRDefault="004A759A" w:rsidP="00207DF9">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A2012D">
        <w:rPr>
          <w:rFonts w:ascii="Palatino Linotype" w:eastAsiaTheme="minorEastAsia" w:hAnsi="Palatino Linotype" w:cstheme="minorBidi"/>
          <w:i/>
          <w:color w:val="000000" w:themeColor="text1"/>
          <w:lang w:val="es-ES_tradnl"/>
        </w:rPr>
        <w:t>"</w:t>
      </w:r>
      <w:r w:rsidR="00C5605D" w:rsidRPr="00A2012D">
        <w:rPr>
          <w:rFonts w:ascii="Palatino Linotype" w:eastAsiaTheme="minorEastAsia" w:hAnsi="Palatino Linotype" w:cstheme="minorBidi"/>
          <w:i/>
          <w:color w:val="000000" w:themeColor="text1"/>
          <w:lang w:val="es-ES_tradnl"/>
        </w:rPr>
        <w:tab/>
      </w:r>
      <w:r w:rsidR="0083164C" w:rsidRPr="00A2012D">
        <w:rPr>
          <w:rFonts w:ascii="Palatino Linotype" w:eastAsiaTheme="minorEastAsia" w:hAnsi="Palatino Linotype" w:cstheme="minorBidi"/>
          <w:i/>
          <w:color w:val="000000" w:themeColor="text1"/>
          <w:lang w:val="es-ES_tradnl"/>
        </w:rPr>
        <w:t>Estadisticas oficiales de criminalidd en el municipio de huehuetoca, dividido en violaciones,asalta a trausentes,homicidios,asalto a casa,negocios y mas durante los meses enero-abril del 2022 dividido por regiones o comunidades cuales son las de mayor indice de criminalidad</w:t>
      </w:r>
      <w:r w:rsidRPr="00A2012D">
        <w:rPr>
          <w:rFonts w:ascii="Palatino Linotype" w:eastAsiaTheme="minorEastAsia" w:hAnsi="Palatino Linotype" w:cstheme="minorBidi"/>
          <w:i/>
          <w:color w:val="000000" w:themeColor="text1"/>
          <w:lang w:val="es-ES_tradnl"/>
        </w:rPr>
        <w:t>"</w:t>
      </w:r>
      <w:r w:rsidR="00EA0165" w:rsidRPr="00A2012D">
        <w:rPr>
          <w:rFonts w:ascii="Palatino Linotype" w:eastAsiaTheme="minorEastAsia" w:hAnsi="Palatino Linotype" w:cstheme="minorBidi"/>
          <w:color w:val="000000" w:themeColor="text1"/>
          <w:lang w:val="es-ES_tradnl"/>
        </w:rPr>
        <w:t>(Sic).</w:t>
      </w:r>
    </w:p>
    <w:p w14:paraId="1046CCE1" w14:textId="304A6F03" w:rsidR="00A415DB" w:rsidRPr="00A2012D" w:rsidRDefault="00A415DB" w:rsidP="00207DF9">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224E4C63" w14:textId="393828BA" w:rsidR="00723252" w:rsidRPr="00A2012D" w:rsidRDefault="00723252" w:rsidP="00207DF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2012D">
        <w:rPr>
          <w:rFonts w:ascii="Palatino Linotype" w:hAnsi="Palatino Linotype" w:cs="Arial"/>
          <w:color w:val="000000" w:themeColor="text1"/>
        </w:rPr>
        <w:t xml:space="preserve">Modalidad de entrega: A través del </w:t>
      </w:r>
      <w:r w:rsidR="00C80195" w:rsidRPr="00A2012D">
        <w:rPr>
          <w:rFonts w:ascii="Palatino Linotype" w:hAnsi="Palatino Linotype" w:cs="Arial"/>
          <w:b/>
          <w:color w:val="000000" w:themeColor="text1"/>
        </w:rPr>
        <w:t>SAIMEX.</w:t>
      </w:r>
    </w:p>
    <w:p w14:paraId="697FB0BE" w14:textId="77777777" w:rsidR="00C80195" w:rsidRPr="00A2012D" w:rsidRDefault="00C80195" w:rsidP="00207DF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01B8DB10" w:rsidR="002B2B24" w:rsidRPr="00A2012D" w:rsidRDefault="00285D08" w:rsidP="00207DF9">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A2012D">
        <w:rPr>
          <w:rFonts w:ascii="Palatino Linotype" w:eastAsiaTheme="minorEastAsia" w:hAnsi="Palatino Linotype" w:cstheme="minorBidi"/>
          <w:color w:val="000000" w:themeColor="text1"/>
          <w:lang w:val="es-ES_tradnl"/>
        </w:rPr>
        <w:lastRenderedPageBreak/>
        <w:t xml:space="preserve">El </w:t>
      </w:r>
      <w:r w:rsidR="0083164C" w:rsidRPr="00A2012D">
        <w:rPr>
          <w:rFonts w:ascii="Palatino Linotype" w:eastAsiaTheme="minorEastAsia" w:hAnsi="Palatino Linotype" w:cstheme="minorBidi"/>
          <w:color w:val="000000" w:themeColor="text1"/>
          <w:lang w:val="es-ES_tradnl"/>
        </w:rPr>
        <w:t>dos (02</w:t>
      </w:r>
      <w:r w:rsidR="00BA3CDE" w:rsidRPr="00A2012D">
        <w:rPr>
          <w:rFonts w:ascii="Palatino Linotype" w:eastAsiaTheme="minorEastAsia" w:hAnsi="Palatino Linotype" w:cstheme="minorBidi"/>
          <w:color w:val="000000" w:themeColor="text1"/>
          <w:lang w:val="es-ES_tradnl"/>
        </w:rPr>
        <w:t>) de</w:t>
      </w:r>
      <w:r w:rsidR="005F4E59" w:rsidRPr="00A2012D">
        <w:rPr>
          <w:rFonts w:ascii="Palatino Linotype" w:eastAsiaTheme="minorEastAsia" w:hAnsi="Palatino Linotype" w:cstheme="minorBidi"/>
          <w:color w:val="000000" w:themeColor="text1"/>
          <w:lang w:val="es-ES_tradnl"/>
        </w:rPr>
        <w:t xml:space="preserve"> junio</w:t>
      </w:r>
      <w:r w:rsidR="00C36DF2" w:rsidRPr="00A2012D">
        <w:rPr>
          <w:rFonts w:ascii="Palatino Linotype" w:eastAsiaTheme="minorEastAsia" w:hAnsi="Palatino Linotype" w:cstheme="minorBidi"/>
          <w:color w:val="000000" w:themeColor="text1"/>
          <w:lang w:val="es-ES_tradnl"/>
        </w:rPr>
        <w:t xml:space="preserve"> </w:t>
      </w:r>
      <w:r w:rsidR="003915BA" w:rsidRPr="00A2012D">
        <w:rPr>
          <w:rFonts w:ascii="Palatino Linotype" w:eastAsiaTheme="minorEastAsia" w:hAnsi="Palatino Linotype" w:cstheme="minorBidi"/>
          <w:color w:val="000000" w:themeColor="text1"/>
          <w:lang w:val="es-ES_tradnl"/>
        </w:rPr>
        <w:t>de dos mil veintidós</w:t>
      </w:r>
      <w:r w:rsidR="00EA0165" w:rsidRPr="00A2012D">
        <w:rPr>
          <w:rFonts w:ascii="Palatino Linotype" w:eastAsiaTheme="minorEastAsia" w:hAnsi="Palatino Linotype" w:cstheme="minorBidi"/>
          <w:color w:val="000000" w:themeColor="text1"/>
          <w:lang w:val="es-ES_tradnl"/>
        </w:rPr>
        <w:t xml:space="preserve">, el </w:t>
      </w:r>
      <w:r w:rsidR="00EA0165" w:rsidRPr="00A2012D">
        <w:rPr>
          <w:rFonts w:ascii="Palatino Linotype" w:eastAsiaTheme="minorEastAsia" w:hAnsi="Palatino Linotype" w:cstheme="minorBidi"/>
          <w:b/>
          <w:color w:val="000000" w:themeColor="text1"/>
          <w:lang w:val="es-ES_tradnl"/>
        </w:rPr>
        <w:t>SUJETO OBLIGADO</w:t>
      </w:r>
      <w:r w:rsidR="00EA0165" w:rsidRPr="00A2012D">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A2012D" w:rsidRDefault="00D01CEF" w:rsidP="00207DF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AAEE15B" w14:textId="77777777" w:rsidR="005F4E59" w:rsidRPr="00A2012D" w:rsidRDefault="00EA0165" w:rsidP="00207DF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w:t>
      </w:r>
      <w:r w:rsidR="005F4E59" w:rsidRPr="00A2012D">
        <w:rPr>
          <w:rFonts w:ascii="Palatino Linotype" w:eastAsiaTheme="minorEastAsia" w:hAnsi="Palatino Linotype" w:cstheme="minorBidi"/>
          <w:i/>
          <w:noProof/>
          <w:color w:val="000000" w:themeColor="text1"/>
          <w:lang w:val="es-MX" w:eastAsia="es-MX"/>
        </w:rPr>
        <w:t>Huehuetoca, México a 02 de Junio de 2022</w:t>
      </w:r>
    </w:p>
    <w:p w14:paraId="52084B21" w14:textId="77777777" w:rsidR="005F4E59" w:rsidRPr="00A2012D" w:rsidRDefault="005F4E59" w:rsidP="00207DF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Nombre del solicitante: C. Solicitante</w:t>
      </w:r>
    </w:p>
    <w:p w14:paraId="2337207C" w14:textId="77777777" w:rsidR="005F4E59" w:rsidRPr="00A2012D" w:rsidRDefault="005F4E59" w:rsidP="00207DF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Folio de la solicitud: 00080/HUEHUETO/IP/2022</w:t>
      </w:r>
    </w:p>
    <w:p w14:paraId="4ECE333B" w14:textId="77777777" w:rsidR="005F4E59" w:rsidRPr="00A2012D" w:rsidRDefault="005F4E59" w:rsidP="00207DF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4E5F351" w14:textId="77777777" w:rsidR="005F4E59" w:rsidRPr="00A2012D" w:rsidRDefault="005F4E59" w:rsidP="00207DF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904396" w14:textId="77777777" w:rsidR="005F4E59" w:rsidRPr="00A2012D" w:rsidRDefault="005F4E59" w:rsidP="00207DF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4B41BBA" w14:textId="77777777" w:rsidR="005F4E59" w:rsidRPr="00A2012D" w:rsidRDefault="005F4E59" w:rsidP="00207DF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AL PRESENTE ANEXO EN FORMATO PDF LA CONTESTACION AL REQUERIMIENTO MARCADO CON NUMERO DE FOLIO 00080/HUEHUETO/IP/2022 SIGNADO POR EL DIRECTOR DE SEGURIDAD PUBLICA Y VIALIDAD MUNICIPAL.</w:t>
      </w:r>
    </w:p>
    <w:p w14:paraId="547DB393" w14:textId="77777777" w:rsidR="005F4E59" w:rsidRPr="00A2012D" w:rsidRDefault="005F4E59" w:rsidP="00207DF9">
      <w:pPr>
        <w:spacing w:line="360" w:lineRule="auto"/>
        <w:ind w:left="567" w:right="567"/>
        <w:rPr>
          <w:rFonts w:ascii="Palatino Linotype" w:eastAsiaTheme="minorEastAsia" w:hAnsi="Palatino Linotype" w:cstheme="minorBidi"/>
          <w:i/>
          <w:noProof/>
          <w:color w:val="000000" w:themeColor="text1"/>
          <w:lang w:val="es-MX" w:eastAsia="es-MX"/>
        </w:rPr>
      </w:pPr>
    </w:p>
    <w:p w14:paraId="1C989C58" w14:textId="77777777" w:rsidR="005F4E59" w:rsidRPr="00A2012D" w:rsidRDefault="005F4E59" w:rsidP="00207DF9">
      <w:pPr>
        <w:spacing w:line="360" w:lineRule="auto"/>
        <w:ind w:left="567" w:right="567"/>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ATENTAMENTE</w:t>
      </w:r>
    </w:p>
    <w:p w14:paraId="3FD7499C" w14:textId="25B2936B" w:rsidR="00D01CEF" w:rsidRPr="00A2012D" w:rsidRDefault="005F4E59" w:rsidP="00207DF9">
      <w:pPr>
        <w:spacing w:line="360" w:lineRule="auto"/>
        <w:ind w:left="567" w:right="567"/>
        <w:rPr>
          <w:rFonts w:ascii="Palatino Linotype" w:eastAsiaTheme="minorEastAsia" w:hAnsi="Palatino Linotype" w:cstheme="minorBidi"/>
          <w:i/>
          <w:noProof/>
          <w:color w:val="000000" w:themeColor="text1"/>
          <w:lang w:val="es-MX" w:eastAsia="es-MX"/>
        </w:rPr>
      </w:pPr>
      <w:r w:rsidRPr="00A2012D">
        <w:rPr>
          <w:rFonts w:ascii="Palatino Linotype" w:eastAsiaTheme="minorEastAsia" w:hAnsi="Palatino Linotype" w:cstheme="minorBidi"/>
          <w:i/>
          <w:noProof/>
          <w:color w:val="000000" w:themeColor="text1"/>
          <w:lang w:val="es-MX" w:eastAsia="es-MX"/>
        </w:rPr>
        <w:t>C. CUAUHTEMOC CORTES ALVAREZ</w:t>
      </w:r>
      <w:r w:rsidR="001A0598" w:rsidRPr="00A2012D">
        <w:rPr>
          <w:rFonts w:ascii="Palatino Linotype" w:eastAsiaTheme="minorEastAsia" w:hAnsi="Palatino Linotype" w:cstheme="minorBidi"/>
          <w:i/>
          <w:noProof/>
          <w:color w:val="000000" w:themeColor="text1"/>
          <w:lang w:val="es-MX" w:eastAsia="es-MX"/>
        </w:rPr>
        <w:t>” (Sic)</w:t>
      </w:r>
    </w:p>
    <w:p w14:paraId="7F7BAB7C" w14:textId="77777777" w:rsidR="00E3070E" w:rsidRPr="00A2012D" w:rsidRDefault="00E3070E" w:rsidP="00207DF9">
      <w:pPr>
        <w:spacing w:line="360" w:lineRule="auto"/>
        <w:ind w:right="567"/>
        <w:rPr>
          <w:rFonts w:ascii="Palatino Linotype" w:eastAsiaTheme="minorEastAsia" w:hAnsi="Palatino Linotype" w:cstheme="minorBidi"/>
          <w:i/>
          <w:noProof/>
          <w:color w:val="000000" w:themeColor="text1"/>
          <w:lang w:val="es-MX" w:eastAsia="es-MX"/>
        </w:rPr>
      </w:pPr>
    </w:p>
    <w:p w14:paraId="1F6B3E00" w14:textId="64C0D4D6" w:rsidR="00DA4198" w:rsidRPr="00A2012D" w:rsidRDefault="00EA0165" w:rsidP="00207DF9">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2012D">
        <w:rPr>
          <w:rFonts w:ascii="Palatino Linotype" w:eastAsiaTheme="minorEastAsia" w:hAnsi="Palatino Linotype" w:cstheme="minorBidi"/>
          <w:color w:val="000000" w:themeColor="text1"/>
          <w:lang w:val="es-ES_tradnl"/>
        </w:rPr>
        <w:t xml:space="preserve">Asimismo, el </w:t>
      </w:r>
      <w:r w:rsidRPr="00A2012D">
        <w:rPr>
          <w:rFonts w:ascii="Palatino Linotype" w:eastAsiaTheme="minorEastAsia" w:hAnsi="Palatino Linotype" w:cstheme="minorBidi"/>
          <w:b/>
          <w:bCs/>
          <w:color w:val="000000" w:themeColor="text1"/>
          <w:lang w:val="es-ES_tradnl"/>
        </w:rPr>
        <w:t>SUJETO OBLIGADO</w:t>
      </w:r>
      <w:r w:rsidR="00982703" w:rsidRPr="00A2012D">
        <w:rPr>
          <w:rFonts w:ascii="Palatino Linotype" w:eastAsiaTheme="minorEastAsia" w:hAnsi="Palatino Linotype" w:cstheme="minorBidi"/>
          <w:color w:val="000000" w:themeColor="text1"/>
          <w:lang w:val="es-ES_tradnl"/>
        </w:rPr>
        <w:t xml:space="preserve"> adjuntó a su respuesta el </w:t>
      </w:r>
      <w:r w:rsidR="00F11AAF" w:rsidRPr="00A2012D">
        <w:rPr>
          <w:rFonts w:ascii="Palatino Linotype" w:eastAsiaTheme="minorEastAsia" w:hAnsi="Palatino Linotype" w:cstheme="minorBidi"/>
          <w:color w:val="000000" w:themeColor="text1"/>
          <w:lang w:val="es-ES_tradnl"/>
        </w:rPr>
        <w:t>archivo</w:t>
      </w:r>
      <w:r w:rsidR="00982703" w:rsidRPr="00A2012D">
        <w:rPr>
          <w:rFonts w:ascii="Palatino Linotype" w:eastAsiaTheme="minorEastAsia" w:hAnsi="Palatino Linotype" w:cstheme="minorBidi"/>
          <w:color w:val="000000" w:themeColor="text1"/>
          <w:lang w:val="es-ES_tradnl"/>
        </w:rPr>
        <w:t xml:space="preserve"> </w:t>
      </w:r>
      <w:r w:rsidRPr="00A2012D">
        <w:rPr>
          <w:rFonts w:ascii="Palatino Linotype" w:eastAsiaTheme="minorEastAsia" w:hAnsi="Palatino Linotype" w:cstheme="minorBidi"/>
          <w:color w:val="000000" w:themeColor="text1"/>
          <w:lang w:val="es-ES_tradnl"/>
        </w:rPr>
        <w:t>el</w:t>
      </w:r>
      <w:r w:rsidR="00982703" w:rsidRPr="00A2012D">
        <w:rPr>
          <w:rFonts w:ascii="Palatino Linotype" w:eastAsiaTheme="minorEastAsia" w:hAnsi="Palatino Linotype" w:cstheme="minorBidi"/>
          <w:color w:val="000000" w:themeColor="text1"/>
          <w:lang w:val="es-ES_tradnl"/>
        </w:rPr>
        <w:t xml:space="preserve"> electrónico </w:t>
      </w:r>
      <w:r w:rsidRPr="00A2012D">
        <w:rPr>
          <w:rFonts w:ascii="Palatino Linotype" w:eastAsiaTheme="minorEastAsia" w:hAnsi="Palatino Linotype" w:cstheme="minorBidi"/>
          <w:color w:val="000000" w:themeColor="text1"/>
          <w:lang w:val="es-ES_tradnl"/>
        </w:rPr>
        <w:t>que se describe</w:t>
      </w:r>
      <w:r w:rsidR="00BF0B64" w:rsidRPr="00A2012D">
        <w:rPr>
          <w:rFonts w:ascii="Palatino Linotype" w:eastAsiaTheme="minorEastAsia" w:hAnsi="Palatino Linotype" w:cstheme="minorBidi"/>
          <w:color w:val="000000" w:themeColor="text1"/>
          <w:lang w:val="es-ES_tradnl"/>
        </w:rPr>
        <w:t>n</w:t>
      </w:r>
      <w:r w:rsidRPr="00A2012D">
        <w:rPr>
          <w:rFonts w:ascii="Palatino Linotype" w:eastAsiaTheme="minorEastAsia" w:hAnsi="Palatino Linotype" w:cstheme="minorBidi"/>
          <w:color w:val="000000" w:themeColor="text1"/>
          <w:lang w:val="es-ES_tradnl"/>
        </w:rPr>
        <w:t xml:space="preserve"> a continuación:</w:t>
      </w:r>
    </w:p>
    <w:p w14:paraId="54B212A6" w14:textId="77777777" w:rsidR="00982703" w:rsidRPr="00A2012D" w:rsidRDefault="00982703" w:rsidP="00207DF9">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9A91C17" w14:textId="4C99F39D" w:rsidR="00DA4198" w:rsidRPr="00A2012D" w:rsidRDefault="005F4E59" w:rsidP="00207DF9">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A2012D">
        <w:rPr>
          <w:rFonts w:ascii="Palatino Linotype" w:eastAsiaTheme="minorEastAsia" w:hAnsi="Palatino Linotype" w:cstheme="minorBidi"/>
          <w:b/>
          <w:color w:val="000000" w:themeColor="text1"/>
          <w:u w:val="single"/>
          <w:lang w:val="es-ES_tradnl"/>
        </w:rPr>
        <w:lastRenderedPageBreak/>
        <w:t>00080.pdf</w:t>
      </w:r>
      <w:r w:rsidRPr="00A2012D">
        <w:rPr>
          <w:rFonts w:ascii="Palatino Linotype" w:eastAsiaTheme="minorEastAsia" w:hAnsi="Palatino Linotype" w:cstheme="minorBidi"/>
          <w:color w:val="000000" w:themeColor="text1"/>
          <w:lang w:val="es-ES_tradnl"/>
        </w:rPr>
        <w:t>:</w:t>
      </w:r>
      <w:r w:rsidR="00982703" w:rsidRPr="00A2012D">
        <w:rPr>
          <w:rFonts w:ascii="Palatino Linotype" w:eastAsiaTheme="minorEastAsia" w:hAnsi="Palatino Linotype" w:cstheme="minorBidi"/>
          <w:color w:val="000000" w:themeColor="text1"/>
          <w:lang w:val="es-ES_tradnl"/>
        </w:rPr>
        <w:t xml:space="preserve">Documento electrónico suscrito por el Director de Seguridad Pública y Vialidad Municipal, mediante el cual informa que dicha información está disponible en la página de la Secretaria del Secretariado Ejecutivo del Sistema Nacional de Seguridad Publica. </w:t>
      </w:r>
    </w:p>
    <w:p w14:paraId="59026999" w14:textId="77777777" w:rsidR="00982703" w:rsidRPr="00A2012D" w:rsidRDefault="00982703" w:rsidP="00207DF9">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u w:val="single"/>
          <w:lang w:val="es-ES_tradnl"/>
        </w:rPr>
      </w:pPr>
    </w:p>
    <w:p w14:paraId="4BB5C5BA" w14:textId="42D6EDC5" w:rsidR="00EA0165" w:rsidRPr="00A2012D" w:rsidRDefault="00EA0165" w:rsidP="00207D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2012D">
        <w:rPr>
          <w:rFonts w:ascii="Palatino Linotype" w:hAnsi="Palatino Linotype" w:cs="Arial"/>
          <w:color w:val="000000" w:themeColor="text1"/>
        </w:rPr>
        <w:t xml:space="preserve">Derivado de la respuesta emitida por el </w:t>
      </w:r>
      <w:r w:rsidRPr="00A2012D">
        <w:rPr>
          <w:rFonts w:ascii="Palatino Linotype" w:hAnsi="Palatino Linotype" w:cs="Arial"/>
          <w:b/>
          <w:color w:val="000000" w:themeColor="text1"/>
        </w:rPr>
        <w:t>SUJETO OBLIGADO</w:t>
      </w:r>
      <w:r w:rsidRPr="00A2012D">
        <w:rPr>
          <w:rFonts w:ascii="Palatino Linotype" w:hAnsi="Palatino Linotype" w:cs="Arial"/>
          <w:color w:val="000000" w:themeColor="text1"/>
        </w:rPr>
        <w:t>, e</w:t>
      </w:r>
      <w:r w:rsidR="00982703" w:rsidRPr="00A2012D">
        <w:rPr>
          <w:rFonts w:ascii="Palatino Linotype" w:hAnsi="Palatino Linotype" w:cs="Arial"/>
          <w:color w:val="000000" w:themeColor="text1"/>
        </w:rPr>
        <w:t>l veintiuno (21</w:t>
      </w:r>
      <w:r w:rsidR="00AB7DB9" w:rsidRPr="00A2012D">
        <w:rPr>
          <w:rFonts w:ascii="Palatino Linotype" w:hAnsi="Palatino Linotype" w:cs="Arial"/>
          <w:color w:val="000000" w:themeColor="text1"/>
        </w:rPr>
        <w:t>)</w:t>
      </w:r>
      <w:r w:rsidR="00982703" w:rsidRPr="00A2012D">
        <w:rPr>
          <w:rFonts w:ascii="Palatino Linotype" w:hAnsi="Palatino Linotype" w:cs="Arial"/>
          <w:color w:val="000000" w:themeColor="text1"/>
        </w:rPr>
        <w:t xml:space="preserve"> de junio </w:t>
      </w:r>
      <w:r w:rsidR="00917444" w:rsidRPr="00A2012D">
        <w:rPr>
          <w:rFonts w:ascii="Palatino Linotype" w:hAnsi="Palatino Linotype" w:cs="Arial"/>
          <w:color w:val="000000" w:themeColor="text1"/>
        </w:rPr>
        <w:t>d</w:t>
      </w:r>
      <w:r w:rsidR="00233D1C" w:rsidRPr="00A2012D">
        <w:rPr>
          <w:rFonts w:ascii="Palatino Linotype" w:hAnsi="Palatino Linotype" w:cs="Arial"/>
          <w:color w:val="000000" w:themeColor="text1"/>
        </w:rPr>
        <w:t xml:space="preserve">e dos mil </w:t>
      </w:r>
      <w:r w:rsidR="008225FA" w:rsidRPr="00A2012D">
        <w:rPr>
          <w:rFonts w:ascii="Palatino Linotype" w:hAnsi="Palatino Linotype" w:cs="Arial"/>
          <w:color w:val="000000" w:themeColor="text1"/>
        </w:rPr>
        <w:t>veintidós</w:t>
      </w:r>
      <w:r w:rsidRPr="00A2012D">
        <w:rPr>
          <w:rFonts w:ascii="Palatino Linotype" w:hAnsi="Palatino Linotype" w:cs="Arial"/>
          <w:color w:val="000000" w:themeColor="text1"/>
        </w:rPr>
        <w:t xml:space="preserve">, el particular </w:t>
      </w:r>
      <w:r w:rsidR="00861CF9" w:rsidRPr="00A2012D">
        <w:rPr>
          <w:rFonts w:ascii="Palatino Linotype" w:hAnsi="Palatino Linotype" w:cs="Arial"/>
          <w:color w:val="000000" w:themeColor="text1"/>
        </w:rPr>
        <w:t>interpuso el recurso de revisión</w:t>
      </w:r>
      <w:r w:rsidR="00753147" w:rsidRPr="00A2012D">
        <w:rPr>
          <w:rFonts w:ascii="Palatino Linotype" w:eastAsiaTheme="minorEastAsia" w:hAnsi="Palatino Linotype" w:cstheme="minorBidi"/>
          <w:color w:val="000000" w:themeColor="text1"/>
          <w:lang w:val="es-ES_tradnl"/>
        </w:rPr>
        <w:t xml:space="preserve"> </w:t>
      </w:r>
      <w:r w:rsidR="004D08C2" w:rsidRPr="00A2012D">
        <w:rPr>
          <w:rFonts w:ascii="Palatino Linotype" w:eastAsiaTheme="minorEastAsia" w:hAnsi="Palatino Linotype" w:cstheme="minorBidi"/>
          <w:b/>
          <w:color w:val="000000" w:themeColor="text1"/>
        </w:rPr>
        <w:t>11938/INFOEM/IP/RR/2022</w:t>
      </w:r>
      <w:r w:rsidRPr="00A2012D">
        <w:rPr>
          <w:rFonts w:ascii="Palatino Linotype" w:eastAsia="Calibri" w:hAnsi="Palatino Linotype" w:cs="Arial"/>
          <w:b/>
          <w:color w:val="000000" w:themeColor="text1"/>
        </w:rPr>
        <w:t>;</w:t>
      </w:r>
      <w:r w:rsidRPr="00A2012D">
        <w:rPr>
          <w:rFonts w:ascii="Palatino Linotype" w:hAnsi="Palatino Linotype" w:cs="Arial"/>
          <w:color w:val="000000" w:themeColor="text1"/>
        </w:rPr>
        <w:t xml:space="preserve"> impugnación en la que refirió lo siguiente:</w:t>
      </w:r>
    </w:p>
    <w:p w14:paraId="176F4252" w14:textId="77777777" w:rsidR="00EA0165" w:rsidRPr="00A2012D" w:rsidRDefault="00EA0165" w:rsidP="00207DF9">
      <w:pPr>
        <w:tabs>
          <w:tab w:val="left" w:pos="426"/>
        </w:tabs>
        <w:spacing w:line="360" w:lineRule="auto"/>
        <w:ind w:left="284"/>
        <w:contextualSpacing/>
        <w:jc w:val="both"/>
        <w:rPr>
          <w:rFonts w:ascii="Palatino Linotype" w:hAnsi="Palatino Linotype" w:cs="Arial"/>
          <w:color w:val="000000" w:themeColor="text1"/>
        </w:rPr>
      </w:pPr>
    </w:p>
    <w:p w14:paraId="224FFDC9" w14:textId="04661F8C" w:rsidR="00EA0165" w:rsidRPr="00A2012D" w:rsidRDefault="00EA0165" w:rsidP="00207DF9">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A2012D">
        <w:rPr>
          <w:rFonts w:ascii="Palatino Linotype" w:hAnsi="Palatino Linotype" w:cs="Arial"/>
          <w:b/>
          <w:color w:val="000000" w:themeColor="text1"/>
        </w:rPr>
        <w:t>Acto impugnado:</w:t>
      </w:r>
      <w:r w:rsidRPr="00A2012D">
        <w:rPr>
          <w:rFonts w:ascii="Palatino Linotype" w:hAnsi="Palatino Linotype" w:cs="Arial"/>
          <w:color w:val="000000" w:themeColor="text1"/>
        </w:rPr>
        <w:t xml:space="preserve"> </w:t>
      </w:r>
      <w:r w:rsidRPr="00A2012D">
        <w:rPr>
          <w:rFonts w:ascii="Palatino Linotype" w:hAnsi="Palatino Linotype" w:cs="Arial"/>
          <w:i/>
          <w:color w:val="000000" w:themeColor="text1"/>
        </w:rPr>
        <w:t>“</w:t>
      </w:r>
      <w:r w:rsidR="00982703" w:rsidRPr="00A2012D">
        <w:rPr>
          <w:rFonts w:ascii="Palatino Linotype" w:hAnsi="Palatino Linotype" w:cs="Arial"/>
          <w:i/>
          <w:color w:val="000000" w:themeColor="text1"/>
        </w:rPr>
        <w:t>me menciona que tengo la plataforma nacional de seguridad, sin embargo es su obligacion como seguridad publica proporcionar los datos de manera local como esta la seguridad, en hoja membretada del ayuntamiento no de una pagina nacional</w:t>
      </w:r>
      <w:r w:rsidR="00FC189C" w:rsidRPr="00A2012D">
        <w:rPr>
          <w:rFonts w:ascii="Palatino Linotype" w:hAnsi="Palatino Linotype" w:cs="Arial"/>
          <w:i/>
          <w:color w:val="000000" w:themeColor="text1"/>
        </w:rPr>
        <w:t>”</w:t>
      </w:r>
      <w:r w:rsidR="00FC189C" w:rsidRPr="00A2012D">
        <w:rPr>
          <w:rFonts w:ascii="Palatino Linotype" w:hAnsi="Palatino Linotype" w:cs="Arial"/>
          <w:color w:val="000000" w:themeColor="text1"/>
        </w:rPr>
        <w:t xml:space="preserve"> (</w:t>
      </w:r>
      <w:r w:rsidRPr="00A2012D">
        <w:rPr>
          <w:rFonts w:ascii="Palatino Linotype" w:hAnsi="Palatino Linotype" w:cs="Arial"/>
          <w:color w:val="000000" w:themeColor="text1"/>
        </w:rPr>
        <w:t>Sic).</w:t>
      </w:r>
    </w:p>
    <w:p w14:paraId="71C7D21F" w14:textId="77777777" w:rsidR="00EA0165" w:rsidRPr="00A2012D" w:rsidRDefault="00EA0165" w:rsidP="00207DF9">
      <w:pPr>
        <w:tabs>
          <w:tab w:val="left" w:pos="0"/>
        </w:tabs>
        <w:spacing w:line="360" w:lineRule="auto"/>
        <w:ind w:left="567" w:right="616"/>
        <w:contextualSpacing/>
        <w:jc w:val="both"/>
        <w:rPr>
          <w:rFonts w:ascii="Palatino Linotype" w:hAnsi="Palatino Linotype" w:cs="Arial"/>
          <w:color w:val="000000" w:themeColor="text1"/>
        </w:rPr>
      </w:pPr>
    </w:p>
    <w:p w14:paraId="53357729" w14:textId="1E8C3995" w:rsidR="00DE6F0F" w:rsidRPr="00A2012D" w:rsidRDefault="00EA0165" w:rsidP="00207DF9">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A2012D">
        <w:rPr>
          <w:rFonts w:ascii="Palatino Linotype" w:hAnsi="Palatino Linotype" w:cs="Arial"/>
          <w:b/>
          <w:color w:val="000000" w:themeColor="text1"/>
        </w:rPr>
        <w:t>Razones o motivos de inconformidad:</w:t>
      </w:r>
      <w:r w:rsidRPr="00A2012D">
        <w:rPr>
          <w:rFonts w:ascii="Palatino Linotype" w:hAnsi="Palatino Linotype" w:cs="Arial"/>
          <w:color w:val="000000" w:themeColor="text1"/>
        </w:rPr>
        <w:t xml:space="preserve"> </w:t>
      </w:r>
      <w:r w:rsidRPr="00A2012D">
        <w:rPr>
          <w:rFonts w:ascii="Palatino Linotype" w:hAnsi="Palatino Linotype" w:cs="Arial"/>
          <w:i/>
          <w:color w:val="000000" w:themeColor="text1"/>
        </w:rPr>
        <w:t>“</w:t>
      </w:r>
      <w:r w:rsidR="00982703" w:rsidRPr="00A2012D">
        <w:rPr>
          <w:rFonts w:ascii="Palatino Linotype" w:hAnsi="Palatino Linotype" w:cs="Arial"/>
          <w:i/>
          <w:color w:val="000000" w:themeColor="text1"/>
        </w:rPr>
        <w:t>no da informacion concreta</w:t>
      </w:r>
      <w:r w:rsidR="006A0C21" w:rsidRPr="00A2012D">
        <w:rPr>
          <w:rFonts w:ascii="Palatino Linotype" w:hAnsi="Palatino Linotype" w:cs="Arial"/>
          <w:i/>
          <w:color w:val="000000" w:themeColor="text1"/>
        </w:rPr>
        <w:t>”</w:t>
      </w:r>
      <w:r w:rsidRPr="00A2012D">
        <w:rPr>
          <w:rFonts w:ascii="Palatino Linotype" w:hAnsi="Palatino Linotype" w:cs="Arial"/>
          <w:i/>
          <w:color w:val="000000" w:themeColor="text1"/>
        </w:rPr>
        <w:t xml:space="preserve"> </w:t>
      </w:r>
      <w:r w:rsidRPr="00A2012D">
        <w:rPr>
          <w:rFonts w:ascii="Palatino Linotype" w:hAnsi="Palatino Linotype" w:cs="Arial"/>
          <w:color w:val="000000" w:themeColor="text1"/>
        </w:rPr>
        <w:t>(Sic).</w:t>
      </w:r>
      <w:r w:rsidR="00DE6F0F" w:rsidRPr="00A2012D">
        <w:rPr>
          <w:rFonts w:ascii="Palatino Linotype" w:hAnsi="Palatino Linotype" w:cs="Arial"/>
          <w:color w:val="000000" w:themeColor="text1"/>
        </w:rPr>
        <w:t xml:space="preserve"> </w:t>
      </w:r>
    </w:p>
    <w:p w14:paraId="552C6645" w14:textId="77777777" w:rsidR="001B234C" w:rsidRPr="00A2012D" w:rsidRDefault="001B234C" w:rsidP="00207DF9">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A2012D" w:rsidRDefault="00EA0165" w:rsidP="00207DF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2012D">
        <w:rPr>
          <w:rFonts w:ascii="Palatino Linotype" w:hAnsi="Palatino Linotype" w:cs="Arial"/>
          <w:color w:val="000000" w:themeColor="text1"/>
        </w:rPr>
        <w:t xml:space="preserve">Se registró el recurso de revisión bajo el número de expediente </w:t>
      </w:r>
      <w:r w:rsidRPr="00A2012D">
        <w:rPr>
          <w:rFonts w:ascii="Palatino Linotype" w:eastAsiaTheme="minorEastAsia" w:hAnsi="Palatino Linotype" w:cs="Arial"/>
          <w:bCs/>
          <w:color w:val="000000" w:themeColor="text1"/>
          <w:lang w:val="es-ES_tradnl"/>
        </w:rPr>
        <w:t xml:space="preserve">al rubro indicado, asimismo, con fundamento en lo dispuesto por el </w:t>
      </w:r>
      <w:r w:rsidRPr="00A2012D">
        <w:rPr>
          <w:rFonts w:ascii="Palatino Linotype" w:eastAsia="Calibri" w:hAnsi="Palatino Linotype" w:cs="Arial"/>
          <w:color w:val="000000" w:themeColor="text1"/>
        </w:rPr>
        <w:t xml:space="preserve">artículo 185 fracción I de la </w:t>
      </w:r>
      <w:r w:rsidRPr="00A2012D">
        <w:rPr>
          <w:rFonts w:ascii="Palatino Linotype" w:eastAsia="Calibri" w:hAnsi="Palatino Linotype" w:cs="Arial"/>
          <w:b/>
          <w:color w:val="000000" w:themeColor="text1"/>
        </w:rPr>
        <w:t xml:space="preserve">Ley de Transparencia y Acceso a la Información Pública del Estado de México y Municipios </w:t>
      </w:r>
      <w:r w:rsidR="005E6282" w:rsidRPr="00A2012D">
        <w:rPr>
          <w:rFonts w:ascii="Palatino Linotype" w:hAnsi="Palatino Linotype" w:cs="Arial"/>
          <w:color w:val="000000" w:themeColor="text1"/>
        </w:rPr>
        <w:t>se turnó a</w:t>
      </w:r>
      <w:r w:rsidR="00351568" w:rsidRPr="00A2012D">
        <w:rPr>
          <w:rFonts w:ascii="Palatino Linotype" w:hAnsi="Palatino Linotype" w:cs="Arial"/>
          <w:color w:val="000000" w:themeColor="text1"/>
        </w:rPr>
        <w:t xml:space="preserve"> la </w:t>
      </w:r>
      <w:r w:rsidR="00E3149E" w:rsidRPr="00A2012D">
        <w:rPr>
          <w:rFonts w:ascii="Palatino Linotype" w:hAnsi="Palatino Linotype" w:cs="Arial"/>
          <w:b/>
          <w:color w:val="000000" w:themeColor="text1"/>
        </w:rPr>
        <w:t>C</w:t>
      </w:r>
      <w:r w:rsidR="00351568" w:rsidRPr="00A2012D">
        <w:rPr>
          <w:rFonts w:ascii="Palatino Linotype" w:hAnsi="Palatino Linotype" w:cs="Arial"/>
          <w:b/>
          <w:color w:val="000000" w:themeColor="text1"/>
        </w:rPr>
        <w:t>omisionada María del Rosario Mejía Ayala</w:t>
      </w:r>
      <w:r w:rsidRPr="00A2012D">
        <w:rPr>
          <w:rFonts w:ascii="Palatino Linotype" w:hAnsi="Palatino Linotype" w:cs="Arial"/>
          <w:b/>
          <w:color w:val="000000" w:themeColor="text1"/>
        </w:rPr>
        <w:t xml:space="preserve">, </w:t>
      </w:r>
      <w:r w:rsidRPr="00A2012D">
        <w:rPr>
          <w:rFonts w:ascii="Palatino Linotype" w:hAnsi="Palatino Linotype" w:cs="Arial"/>
          <w:color w:val="000000" w:themeColor="text1"/>
        </w:rPr>
        <w:t xml:space="preserve">con el objeto de </w:t>
      </w:r>
      <w:r w:rsidRPr="00A2012D">
        <w:rPr>
          <w:rFonts w:ascii="Palatino Linotype" w:hAnsi="Palatino Linotype" w:cs="Arial"/>
          <w:color w:val="000000" w:themeColor="text1"/>
          <w:lang w:val="es-MX"/>
        </w:rPr>
        <w:t>su análisis.</w:t>
      </w:r>
    </w:p>
    <w:p w14:paraId="49F28BD1" w14:textId="77777777" w:rsidR="00EA0165" w:rsidRPr="00A2012D" w:rsidRDefault="00EA0165" w:rsidP="00207DF9">
      <w:pPr>
        <w:tabs>
          <w:tab w:val="left" w:pos="426"/>
        </w:tabs>
        <w:spacing w:line="360" w:lineRule="auto"/>
        <w:contextualSpacing/>
        <w:jc w:val="both"/>
        <w:rPr>
          <w:rFonts w:ascii="Palatino Linotype" w:eastAsia="Calibri" w:hAnsi="Palatino Linotype" w:cs="Arial"/>
          <w:color w:val="000000" w:themeColor="text1"/>
        </w:rPr>
      </w:pPr>
    </w:p>
    <w:p w14:paraId="78EABB65" w14:textId="65337097" w:rsidR="00EA0165" w:rsidRPr="00A2012D" w:rsidRDefault="00351568" w:rsidP="00207DF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2012D">
        <w:rPr>
          <w:rFonts w:ascii="Palatino Linotype" w:hAnsi="Palatino Linotype" w:cs="Arial"/>
          <w:color w:val="000000" w:themeColor="text1"/>
        </w:rPr>
        <w:lastRenderedPageBreak/>
        <w:t xml:space="preserve">La </w:t>
      </w:r>
      <w:r w:rsidRPr="00A2012D">
        <w:rPr>
          <w:rFonts w:ascii="Palatino Linotype" w:hAnsi="Palatino Linotype" w:cs="Arial"/>
          <w:b/>
          <w:color w:val="000000" w:themeColor="text1"/>
        </w:rPr>
        <w:t>Comisionada María del Rosario Mejía Ayala</w:t>
      </w:r>
      <w:r w:rsidR="00EA0165" w:rsidRPr="00A2012D">
        <w:rPr>
          <w:rFonts w:ascii="Palatino Linotype" w:eastAsia="Calibri" w:hAnsi="Palatino Linotype" w:cs="Arial"/>
          <w:color w:val="000000" w:themeColor="text1"/>
        </w:rPr>
        <w:t>, con fundamento en lo dispuesto por el artículo 185 fracción II de la ley de la materia, a t</w:t>
      </w:r>
      <w:r w:rsidR="007A237F" w:rsidRPr="00A2012D">
        <w:rPr>
          <w:rFonts w:ascii="Palatino Linotype" w:eastAsia="Calibri" w:hAnsi="Palatino Linotype" w:cs="Arial"/>
          <w:color w:val="000000" w:themeColor="text1"/>
        </w:rPr>
        <w:t xml:space="preserve">ravés del </w:t>
      </w:r>
      <w:r w:rsidR="00C85470" w:rsidRPr="00A2012D">
        <w:rPr>
          <w:rFonts w:ascii="Palatino Linotype" w:eastAsia="Calibri" w:hAnsi="Palatino Linotype" w:cs="Arial"/>
          <w:color w:val="000000" w:themeColor="text1"/>
        </w:rPr>
        <w:t xml:space="preserve">acuerdo de admisión de </w:t>
      </w:r>
      <w:r w:rsidR="008B38E8" w:rsidRPr="00A2012D">
        <w:rPr>
          <w:rFonts w:ascii="Palatino Linotype" w:eastAsia="Calibri" w:hAnsi="Palatino Linotype" w:cs="Arial"/>
          <w:color w:val="000000" w:themeColor="text1"/>
        </w:rPr>
        <w:t>veintiocho</w:t>
      </w:r>
      <w:r w:rsidR="004976F3" w:rsidRPr="00A2012D">
        <w:rPr>
          <w:rFonts w:ascii="Palatino Linotype" w:eastAsia="Calibri" w:hAnsi="Palatino Linotype" w:cs="Arial"/>
          <w:color w:val="000000" w:themeColor="text1"/>
        </w:rPr>
        <w:t xml:space="preserve"> (</w:t>
      </w:r>
      <w:r w:rsidR="008B38E8" w:rsidRPr="00A2012D">
        <w:rPr>
          <w:rFonts w:ascii="Palatino Linotype" w:eastAsia="Calibri" w:hAnsi="Palatino Linotype" w:cs="Arial"/>
          <w:color w:val="000000" w:themeColor="text1"/>
        </w:rPr>
        <w:t>28</w:t>
      </w:r>
      <w:r w:rsidR="00EA0165" w:rsidRPr="00A2012D">
        <w:rPr>
          <w:rFonts w:ascii="Palatino Linotype" w:eastAsia="Calibri" w:hAnsi="Palatino Linotype" w:cs="Arial"/>
          <w:color w:val="000000" w:themeColor="text1"/>
        </w:rPr>
        <w:t>) de</w:t>
      </w:r>
      <w:r w:rsidR="008B38E8" w:rsidRPr="00A2012D">
        <w:rPr>
          <w:rFonts w:ascii="Palatino Linotype" w:eastAsia="Calibri" w:hAnsi="Palatino Linotype" w:cs="Arial"/>
          <w:color w:val="000000" w:themeColor="text1"/>
        </w:rPr>
        <w:t xml:space="preserve"> junio</w:t>
      </w:r>
      <w:r w:rsidR="00513EC5" w:rsidRPr="00A2012D">
        <w:rPr>
          <w:rFonts w:ascii="Palatino Linotype" w:eastAsia="Calibri" w:hAnsi="Palatino Linotype" w:cs="Arial"/>
          <w:color w:val="000000" w:themeColor="text1"/>
        </w:rPr>
        <w:t xml:space="preserve"> </w:t>
      </w:r>
      <w:r w:rsidR="008225FA" w:rsidRPr="00A2012D">
        <w:rPr>
          <w:rFonts w:ascii="Palatino Linotype" w:eastAsia="Calibri" w:hAnsi="Palatino Linotype" w:cs="Arial"/>
          <w:color w:val="000000" w:themeColor="text1"/>
        </w:rPr>
        <w:t>de dos mil veintidós</w:t>
      </w:r>
      <w:r w:rsidR="00EA0165" w:rsidRPr="00A2012D">
        <w:rPr>
          <w:rFonts w:ascii="Palatino Linotype" w:eastAsia="Calibri" w:hAnsi="Palatino Linotype" w:cs="Arial"/>
          <w:color w:val="000000" w:themeColor="text1"/>
        </w:rPr>
        <w:t xml:space="preserve">, puso a disposición de las partes el expediente electrónico </w:t>
      </w:r>
      <w:r w:rsidR="00EA0165" w:rsidRPr="00A2012D">
        <w:rPr>
          <w:rFonts w:ascii="Palatino Linotype" w:eastAsia="Calibri" w:hAnsi="Palatino Linotype" w:cs="Arial"/>
          <w:color w:val="000000" w:themeColor="text1"/>
          <w:lang w:val="es-ES_tradnl"/>
        </w:rPr>
        <w:t xml:space="preserve">vía </w:t>
      </w:r>
      <w:r w:rsidR="00EA0165" w:rsidRPr="00A2012D">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2012D">
        <w:rPr>
          <w:rFonts w:ascii="Palatino Linotype" w:eastAsia="Calibri" w:hAnsi="Palatino Linotype" w:cs="Arial"/>
          <w:b/>
          <w:color w:val="000000" w:themeColor="text1"/>
        </w:rPr>
        <w:t>SUJETO OBLIGADO</w:t>
      </w:r>
      <w:r w:rsidR="00EA0165" w:rsidRPr="00A2012D">
        <w:rPr>
          <w:rFonts w:ascii="Palatino Linotype" w:eastAsia="Calibri" w:hAnsi="Palatino Linotype" w:cs="Arial"/>
          <w:color w:val="000000" w:themeColor="text1"/>
        </w:rPr>
        <w:t xml:space="preserve"> presentara el</w:t>
      </w:r>
      <w:r w:rsidR="00266490" w:rsidRPr="00A2012D">
        <w:rPr>
          <w:rFonts w:ascii="Palatino Linotype" w:eastAsia="Calibri" w:hAnsi="Palatino Linotype" w:cs="Arial"/>
          <w:color w:val="000000" w:themeColor="text1"/>
        </w:rPr>
        <w:t xml:space="preserve"> </w:t>
      </w:r>
      <w:r w:rsidR="004976F3" w:rsidRPr="00A2012D">
        <w:rPr>
          <w:rFonts w:ascii="Palatino Linotype" w:eastAsia="Calibri" w:hAnsi="Palatino Linotype" w:cs="Arial"/>
          <w:color w:val="000000" w:themeColor="text1"/>
        </w:rPr>
        <w:t>informe justificado procedente.</w:t>
      </w:r>
      <w:r w:rsidR="008225FA" w:rsidRPr="00A2012D">
        <w:rPr>
          <w:rFonts w:ascii="Palatino Linotype" w:eastAsia="Calibri" w:hAnsi="Palatino Linotype" w:cs="Arial"/>
          <w:color w:val="000000" w:themeColor="text1"/>
        </w:rPr>
        <w:t xml:space="preserve"> </w:t>
      </w:r>
    </w:p>
    <w:p w14:paraId="55550857" w14:textId="77777777" w:rsidR="00861CF9" w:rsidRPr="00A2012D" w:rsidRDefault="00861CF9" w:rsidP="00207DF9">
      <w:pPr>
        <w:pStyle w:val="Prrafodelista"/>
        <w:spacing w:line="360" w:lineRule="auto"/>
        <w:jc w:val="center"/>
        <w:rPr>
          <w:rFonts w:ascii="Palatino Linotype" w:eastAsia="Calibri" w:hAnsi="Palatino Linotype" w:cs="Arial"/>
          <w:color w:val="000000" w:themeColor="text1"/>
        </w:rPr>
      </w:pPr>
    </w:p>
    <w:p w14:paraId="458DCEFE" w14:textId="3D98C1E3" w:rsidR="00861CF9" w:rsidRPr="00A2012D" w:rsidRDefault="00861CF9" w:rsidP="00207DF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2012D">
        <w:rPr>
          <w:rFonts w:ascii="Palatino Linotype" w:eastAsia="Calibri" w:hAnsi="Palatino Linotype" w:cs="Arial"/>
          <w:color w:val="000000" w:themeColor="text1"/>
        </w:rPr>
        <w:t xml:space="preserve">De </w:t>
      </w:r>
      <w:r w:rsidRPr="00A2012D">
        <w:rPr>
          <w:rFonts w:ascii="Palatino Linotype" w:eastAsiaTheme="minorEastAsia" w:hAnsi="Palatino Linotype" w:cstheme="minorBidi"/>
          <w:color w:val="000000"/>
        </w:rPr>
        <w:t xml:space="preserve">las </w:t>
      </w:r>
      <w:r w:rsidRPr="00A2012D">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A2012D">
        <w:rPr>
          <w:rFonts w:ascii="Palatino Linotype" w:eastAsiaTheme="minorEastAsia" w:hAnsi="Palatino Linotype" w:cstheme="minorBidi"/>
          <w:b/>
          <w:color w:val="000000"/>
          <w:lang w:val="es-ES_tradnl"/>
        </w:rPr>
        <w:t>SUJETO OBLIGADO</w:t>
      </w:r>
      <w:r w:rsidR="00C85470" w:rsidRPr="00A2012D">
        <w:rPr>
          <w:rFonts w:ascii="Palatino Linotype" w:eastAsiaTheme="minorEastAsia" w:hAnsi="Palatino Linotype" w:cstheme="minorBidi"/>
          <w:b/>
          <w:color w:val="000000"/>
          <w:lang w:val="es-ES_tradnl"/>
        </w:rPr>
        <w:t xml:space="preserve"> </w:t>
      </w:r>
      <w:r w:rsidR="00E64307" w:rsidRPr="00A2012D">
        <w:rPr>
          <w:rFonts w:ascii="Palatino Linotype" w:eastAsiaTheme="minorEastAsia" w:hAnsi="Palatino Linotype" w:cstheme="minorBidi"/>
          <w:color w:val="000000"/>
          <w:lang w:val="es-ES_tradnl"/>
        </w:rPr>
        <w:t xml:space="preserve">rindió informe </w:t>
      </w:r>
      <w:r w:rsidR="008B38E8" w:rsidRPr="00A2012D">
        <w:rPr>
          <w:rFonts w:ascii="Palatino Linotype" w:eastAsiaTheme="minorEastAsia" w:hAnsi="Palatino Linotype" w:cstheme="minorBidi"/>
          <w:color w:val="000000"/>
          <w:lang w:val="es-ES_tradnl"/>
        </w:rPr>
        <w:t>justificado, en el que anexo el documento que a continuación se describe</w:t>
      </w:r>
      <w:r w:rsidR="00E64307" w:rsidRPr="00A2012D">
        <w:rPr>
          <w:rFonts w:ascii="Palatino Linotype" w:eastAsiaTheme="minorEastAsia" w:hAnsi="Palatino Linotype" w:cstheme="minorBidi"/>
          <w:color w:val="000000"/>
          <w:lang w:val="es-ES_tradnl"/>
        </w:rPr>
        <w:t xml:space="preserve">: </w:t>
      </w:r>
    </w:p>
    <w:p w14:paraId="4BA0B8A6" w14:textId="77777777" w:rsidR="00F02548" w:rsidRPr="00A2012D" w:rsidRDefault="00F02548" w:rsidP="00207DF9">
      <w:pPr>
        <w:pStyle w:val="Prrafodelista"/>
        <w:tabs>
          <w:tab w:val="left" w:pos="284"/>
        </w:tabs>
        <w:spacing w:before="240" w:after="240" w:line="360" w:lineRule="auto"/>
        <w:ind w:left="0"/>
        <w:contextualSpacing/>
        <w:rPr>
          <w:rFonts w:ascii="Palatino Linotype" w:eastAsia="Calibri" w:hAnsi="Palatino Linotype" w:cs="Arial"/>
          <w:color w:val="000000" w:themeColor="text1"/>
        </w:rPr>
      </w:pPr>
    </w:p>
    <w:p w14:paraId="14C96E5E" w14:textId="45BAB133" w:rsidR="00513EC5" w:rsidRPr="00A2012D" w:rsidRDefault="0032056A" w:rsidP="00207DF9">
      <w:pPr>
        <w:pStyle w:val="Prrafodelista"/>
        <w:numPr>
          <w:ilvl w:val="0"/>
          <w:numId w:val="36"/>
        </w:numPr>
        <w:spacing w:line="360" w:lineRule="auto"/>
        <w:ind w:left="993" w:firstLine="0"/>
        <w:jc w:val="both"/>
        <w:rPr>
          <w:rFonts w:ascii="Palatino Linotype" w:eastAsia="Calibri" w:hAnsi="Palatino Linotype" w:cs="Arial"/>
          <w:b/>
          <w:color w:val="000000" w:themeColor="text1"/>
          <w:u w:val="single"/>
        </w:rPr>
      </w:pPr>
      <w:r w:rsidRPr="00A2012D">
        <w:rPr>
          <w:rFonts w:ascii="Palatino Linotype" w:eastAsia="Calibri" w:hAnsi="Palatino Linotype" w:cs="Arial"/>
          <w:b/>
          <w:color w:val="000000" w:themeColor="text1"/>
          <w:u w:val="single"/>
        </w:rPr>
        <w:t>11938-INFOEM-IP-RR.pdf</w:t>
      </w:r>
      <w:r w:rsidRPr="00A2012D">
        <w:rPr>
          <w:rFonts w:ascii="Palatino Linotype" w:eastAsia="Calibri" w:hAnsi="Palatino Linotype" w:cs="Arial"/>
          <w:color w:val="000000" w:themeColor="text1"/>
        </w:rPr>
        <w:t>:</w:t>
      </w:r>
      <w:r w:rsidR="00F02548" w:rsidRPr="00A2012D">
        <w:rPr>
          <w:rFonts w:ascii="Palatino Linotype" w:eastAsia="Calibri" w:hAnsi="Palatino Linotype" w:cs="Arial"/>
          <w:color w:val="000000" w:themeColor="text1"/>
        </w:rPr>
        <w:t xml:space="preserve"> </w:t>
      </w:r>
      <w:r w:rsidRPr="00A2012D">
        <w:rPr>
          <w:rFonts w:ascii="Palatino Linotype" w:eastAsia="Calibri" w:hAnsi="Palatino Linotype" w:cs="Arial"/>
          <w:color w:val="000000" w:themeColor="text1"/>
        </w:rPr>
        <w:t>Documento suscrito por el Director de Seguridad Pública y Vialidad Municipal, por medio del cual remite la informaci</w:t>
      </w:r>
      <w:r w:rsidR="00070329" w:rsidRPr="00A2012D">
        <w:rPr>
          <w:rFonts w:ascii="Palatino Linotype" w:eastAsia="Calibri" w:hAnsi="Palatino Linotype" w:cs="Arial"/>
          <w:color w:val="000000" w:themeColor="text1"/>
        </w:rPr>
        <w:t xml:space="preserve">ón solicitada con la que cuenta, de </w:t>
      </w:r>
      <w:r w:rsidR="00F02548" w:rsidRPr="00A2012D">
        <w:rPr>
          <w:rFonts w:ascii="Palatino Linotype" w:eastAsia="Calibri" w:hAnsi="Palatino Linotype" w:cs="Arial"/>
          <w:color w:val="000000" w:themeColor="text1"/>
        </w:rPr>
        <w:t>los archivos de la Dirección de Seguridad Pública</w:t>
      </w:r>
      <w:r w:rsidR="00473CB0" w:rsidRPr="00A2012D">
        <w:rPr>
          <w:rFonts w:ascii="Palatino Linotype" w:eastAsia="Calibri" w:hAnsi="Palatino Linotype" w:cs="Arial"/>
          <w:color w:val="000000" w:themeColor="text1"/>
        </w:rPr>
        <w:t xml:space="preserve"> y Vialidad Municipal</w:t>
      </w:r>
      <w:r w:rsidR="00F02548" w:rsidRPr="00A2012D">
        <w:rPr>
          <w:rFonts w:ascii="Palatino Linotype" w:eastAsia="Calibri" w:hAnsi="Palatino Linotype" w:cs="Arial"/>
          <w:color w:val="000000" w:themeColor="text1"/>
        </w:rPr>
        <w:t xml:space="preserve">, la cual fue recaba de las bases del centro de comando y comunicación C-2 información referente a los meses de enero- abril del dos mil veintidós. </w:t>
      </w:r>
    </w:p>
    <w:p w14:paraId="3FFE125F" w14:textId="77777777" w:rsidR="00513EC5" w:rsidRPr="00A2012D" w:rsidRDefault="00513EC5" w:rsidP="00207DF9">
      <w:pPr>
        <w:pStyle w:val="Prrafodelista"/>
        <w:spacing w:line="360" w:lineRule="auto"/>
        <w:ind w:left="1440"/>
        <w:jc w:val="both"/>
        <w:rPr>
          <w:rFonts w:ascii="Palatino Linotype" w:eastAsia="Calibri" w:hAnsi="Palatino Linotype" w:cs="Arial"/>
          <w:color w:val="000000" w:themeColor="text1"/>
        </w:rPr>
      </w:pPr>
    </w:p>
    <w:p w14:paraId="545FEB7A" w14:textId="6EE859E4" w:rsidR="005763D3" w:rsidRPr="00A2012D" w:rsidRDefault="00966CCA" w:rsidP="00207DF9">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2012D">
        <w:rPr>
          <w:rFonts w:ascii="Palatino Linotype" w:eastAsiaTheme="minorEastAsia" w:hAnsi="Palatino Linotype" w:cstheme="minorBidi"/>
          <w:color w:val="000000" w:themeColor="text1"/>
          <w:lang w:val="es-MX"/>
        </w:rPr>
        <w:t>E</w:t>
      </w:r>
      <w:r w:rsidR="00070329" w:rsidRPr="00A2012D">
        <w:rPr>
          <w:rFonts w:ascii="Palatino Linotype" w:eastAsiaTheme="minorEastAsia" w:hAnsi="Palatino Linotype" w:cstheme="minorBidi"/>
          <w:color w:val="000000" w:themeColor="text1"/>
          <w:lang w:val="es-MX"/>
        </w:rPr>
        <w:t>l trece</w:t>
      </w:r>
      <w:r w:rsidR="00F36AA6" w:rsidRPr="00A2012D">
        <w:rPr>
          <w:rFonts w:ascii="Palatino Linotype" w:eastAsiaTheme="minorEastAsia" w:hAnsi="Palatino Linotype" w:cstheme="minorBidi"/>
          <w:color w:val="000000" w:themeColor="text1"/>
          <w:lang w:val="es-MX"/>
        </w:rPr>
        <w:t xml:space="preserve"> (</w:t>
      </w:r>
      <w:r w:rsidR="00070329" w:rsidRPr="00A2012D">
        <w:rPr>
          <w:rFonts w:ascii="Palatino Linotype" w:eastAsiaTheme="minorEastAsia" w:hAnsi="Palatino Linotype" w:cstheme="minorBidi"/>
          <w:color w:val="000000" w:themeColor="text1"/>
          <w:lang w:val="es-MX"/>
        </w:rPr>
        <w:t>13</w:t>
      </w:r>
      <w:r w:rsidR="008A744C" w:rsidRPr="00A2012D">
        <w:rPr>
          <w:rFonts w:ascii="Palatino Linotype" w:eastAsiaTheme="minorEastAsia" w:hAnsi="Palatino Linotype" w:cstheme="minorBidi"/>
          <w:color w:val="000000" w:themeColor="text1"/>
          <w:lang w:val="es-MX"/>
        </w:rPr>
        <w:t>) de octubre</w:t>
      </w:r>
      <w:r w:rsidR="00861CF9" w:rsidRPr="00A2012D">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7C5BEF9C" w14:textId="77777777" w:rsidR="005763D3" w:rsidRPr="00A2012D" w:rsidRDefault="005763D3" w:rsidP="00207DF9">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87913" w14:textId="77777777" w:rsidR="00F025CD" w:rsidRPr="00A2012D" w:rsidRDefault="00AA0E56" w:rsidP="00207DF9">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2012D">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C9CDA" w14:textId="77777777" w:rsidR="00F025CD" w:rsidRPr="00A2012D" w:rsidRDefault="00F025CD" w:rsidP="00207DF9">
      <w:pPr>
        <w:pStyle w:val="Prrafodelista"/>
        <w:spacing w:line="360" w:lineRule="auto"/>
        <w:rPr>
          <w:rFonts w:ascii="Palatino Linotype" w:eastAsia="MS Mincho" w:hAnsi="Palatino Linotype" w:cs="Arial"/>
        </w:rPr>
      </w:pPr>
    </w:p>
    <w:p w14:paraId="3A8E63BF" w14:textId="77777777" w:rsidR="00487BC2" w:rsidRPr="00A2012D" w:rsidRDefault="00AA0E56" w:rsidP="00207DF9">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2012D">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CED779" w14:textId="77777777" w:rsidR="00487BC2" w:rsidRPr="00A2012D" w:rsidRDefault="00487BC2" w:rsidP="00207DF9">
      <w:pPr>
        <w:pStyle w:val="Prrafodelista"/>
        <w:spacing w:line="360" w:lineRule="auto"/>
        <w:rPr>
          <w:rFonts w:ascii="Palatino Linotype" w:eastAsia="MS Mincho" w:hAnsi="Palatino Linotype" w:cs="Arial"/>
        </w:rPr>
      </w:pPr>
    </w:p>
    <w:p w14:paraId="1EEC8C8A" w14:textId="03955AF3" w:rsidR="00AA0E56" w:rsidRPr="00A2012D" w:rsidRDefault="00AA0E56" w:rsidP="00207DF9">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2012D">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2D0378" w14:textId="77777777" w:rsidR="00487BC2" w:rsidRPr="00A2012D" w:rsidRDefault="00487BC2" w:rsidP="00207DF9">
      <w:pPr>
        <w:tabs>
          <w:tab w:val="left" w:pos="284"/>
        </w:tabs>
        <w:spacing w:before="240" w:after="240" w:line="360" w:lineRule="auto"/>
        <w:ind w:right="49"/>
        <w:contextualSpacing/>
        <w:jc w:val="both"/>
        <w:rPr>
          <w:rFonts w:ascii="Palatino Linotype" w:eastAsia="MS Mincho" w:hAnsi="Palatino Linotype" w:cs="Arial"/>
        </w:rPr>
      </w:pPr>
    </w:p>
    <w:p w14:paraId="4DC56D0B" w14:textId="674D5741" w:rsidR="00AA0E56" w:rsidRPr="00A2012D" w:rsidRDefault="00AA0E56" w:rsidP="00207DF9">
      <w:pPr>
        <w:pStyle w:val="Prrafodelista"/>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A2012D">
        <w:rPr>
          <w:rFonts w:ascii="Palatino Linotype" w:eastAsia="MS Mincho" w:hAnsi="Palatino Linotype" w:cs="Arial"/>
        </w:rPr>
        <w:t xml:space="preserve">En ese sentido, el legislador fijó los términos procesales en las leyes, de manera general, sin que pudiera prever la variada gama de casos que son resueltos </w:t>
      </w:r>
      <w:r w:rsidRPr="00A2012D">
        <w:rPr>
          <w:rFonts w:ascii="Palatino Linotype" w:eastAsia="MS Mincho" w:hAnsi="Palatino Linotype" w:cs="Arial"/>
        </w:rPr>
        <w:lastRenderedPageBreak/>
        <w:t>por los órganos jurisdiccionales o cuasi jurisdiccionales, tanto por la complejidad de los hechos, como por el número de casos que conocen.</w:t>
      </w:r>
    </w:p>
    <w:p w14:paraId="29F52D38" w14:textId="77777777" w:rsidR="00AA0E56" w:rsidRPr="00A2012D" w:rsidRDefault="00AA0E56" w:rsidP="00207DF9">
      <w:pPr>
        <w:spacing w:line="360" w:lineRule="auto"/>
        <w:ind w:left="720"/>
        <w:contextualSpacing/>
        <w:rPr>
          <w:rFonts w:ascii="Palatino Linotype" w:eastAsia="MS Mincho" w:hAnsi="Palatino Linotype" w:cs="Arial"/>
        </w:rPr>
      </w:pPr>
    </w:p>
    <w:p w14:paraId="3DD4783D" w14:textId="77777777" w:rsidR="00AA0E56" w:rsidRPr="00A2012D" w:rsidRDefault="00AA0E56" w:rsidP="00207DF9">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A2012D">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 xml:space="preserve"> </w:t>
      </w:r>
    </w:p>
    <w:p w14:paraId="24D51EEF"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a)      Complejidad del asunto: La complejidad de la prueba, la pluralidad de sujetos procesales, el tiempo transcurrido, las características y contexto del recurso.</w:t>
      </w:r>
    </w:p>
    <w:p w14:paraId="1F1083C7"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b)     Actividad Procesal del interesado: Acciones u omisiones del interesado.</w:t>
      </w:r>
    </w:p>
    <w:p w14:paraId="579C31AC"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c)      Conducta de la Autoridad: Las Acciones u omisiones realizadas en el procedimiento. Así como si la autoridad actuó con la debida diligencia.</w:t>
      </w:r>
    </w:p>
    <w:p w14:paraId="1E2A7F29"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A2012D" w:rsidRDefault="00AA0E56" w:rsidP="00207DF9">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2012D">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5C67B"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A2012D" w:rsidRDefault="00AA0E56" w:rsidP="00207DF9">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2012D">
        <w:rPr>
          <w:rFonts w:ascii="Palatino Linotype" w:eastAsia="MS Mincho" w:hAnsi="Palatino Linotype" w:cs="Arial"/>
        </w:rPr>
        <w:t xml:space="preserve">Argumento que encuentra sustento en la jurisprudencia P./J. 32/92 emitida por el Pleno de la Suprema Corte de Justicia de la Nación de rubro “TÉRMINOS </w:t>
      </w:r>
      <w:r w:rsidRPr="00A2012D">
        <w:rPr>
          <w:rFonts w:ascii="Palatino Linotype" w:eastAsia="MS Mincho" w:hAnsi="Palatino Linotype" w:cs="Arial"/>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685294" w14:textId="77777777" w:rsidR="00AA0E56" w:rsidRPr="00A2012D" w:rsidRDefault="00AA0E56" w:rsidP="00207DF9">
      <w:pPr>
        <w:spacing w:line="360" w:lineRule="auto"/>
        <w:ind w:left="720"/>
        <w:contextualSpacing/>
        <w:rPr>
          <w:rFonts w:ascii="Palatino Linotype" w:eastAsia="MS Mincho" w:hAnsi="Palatino Linotype" w:cs="Arial"/>
        </w:rPr>
      </w:pPr>
    </w:p>
    <w:p w14:paraId="7434CA1C" w14:textId="77777777" w:rsidR="00AA0E56" w:rsidRPr="00A2012D" w:rsidRDefault="00AA0E56" w:rsidP="00207DF9">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2012D">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A85EA" w14:textId="77777777" w:rsidR="00AA0E56" w:rsidRPr="00A2012D" w:rsidRDefault="00AA0E56" w:rsidP="00207DF9">
      <w:pPr>
        <w:spacing w:line="360" w:lineRule="auto"/>
        <w:ind w:left="720"/>
        <w:contextualSpacing/>
        <w:rPr>
          <w:rFonts w:ascii="Palatino Linotype" w:eastAsia="MS Mincho" w:hAnsi="Palatino Linotype" w:cs="Arial"/>
        </w:rPr>
      </w:pPr>
    </w:p>
    <w:p w14:paraId="683031A8" w14:textId="77777777" w:rsidR="00AA0E56" w:rsidRPr="00A2012D" w:rsidRDefault="00AA0E56" w:rsidP="00207DF9">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2012D">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1BEDD718"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E617E20"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t xml:space="preserve"> </w:t>
      </w:r>
    </w:p>
    <w:p w14:paraId="4D305343"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r w:rsidRPr="00A2012D">
        <w:rPr>
          <w:rFonts w:ascii="Palatino Linotype" w:eastAsia="MS Mincho" w:hAnsi="Palatino Linotype" w:cs="Arial"/>
        </w:rPr>
        <w:lastRenderedPageBreak/>
        <w:t>“PLAZO RAZONABLE PARA RESOLVER. CONCEPTO Y ELEMENTOS QUE LO INTEGRAN A LA LUZ DEL DERECHO INTERNACIONAL DE LOS DERECHOS HUMANOS.”, visible en el Seminario Judicial de la Federación y su gaceta, con el registro digital 2002350.</w:t>
      </w:r>
    </w:p>
    <w:p w14:paraId="51F70FAC" w14:textId="77777777" w:rsidR="00AA0E56" w:rsidRPr="00A2012D" w:rsidRDefault="00AA0E56" w:rsidP="00207DF9">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A2012D" w:rsidRDefault="00AA0E56" w:rsidP="00207DF9">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2012D">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A2012D" w:rsidRDefault="00AA0E56" w:rsidP="00207DF9">
      <w:pPr>
        <w:spacing w:after="160" w:line="360" w:lineRule="auto"/>
        <w:ind w:right="49"/>
        <w:contextualSpacing/>
        <w:jc w:val="both"/>
        <w:rPr>
          <w:rFonts w:ascii="Palatino Linotype" w:hAnsi="Palatino Linotype"/>
          <w:lang w:val="es-ES_tradnl"/>
        </w:rPr>
      </w:pPr>
    </w:p>
    <w:p w14:paraId="7D15F30F" w14:textId="7DE13E4A" w:rsidR="00A47AE2" w:rsidRPr="00A2012D" w:rsidRDefault="00AA0E56" w:rsidP="00207DF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2012D">
        <w:rPr>
          <w:rFonts w:ascii="Palatino Linotype" w:eastAsiaTheme="minorEastAsia" w:hAnsi="Palatino Linotype" w:cstheme="minorBidi"/>
          <w:color w:val="000000" w:themeColor="text1"/>
          <w:lang w:val="es-ES_tradnl"/>
        </w:rPr>
        <w:t xml:space="preserve"> </w:t>
      </w:r>
      <w:r w:rsidR="00A47AE2" w:rsidRPr="00A2012D">
        <w:rPr>
          <w:rFonts w:ascii="Palatino Linotype" w:eastAsiaTheme="minorEastAsia" w:hAnsi="Palatino Linotype" w:cstheme="minorBidi"/>
          <w:color w:val="000000" w:themeColor="text1"/>
          <w:lang w:val="es-ES_tradnl"/>
        </w:rPr>
        <w:t>Así las cosas, la</w:t>
      </w:r>
      <w:r w:rsidR="00A47AE2" w:rsidRPr="00A2012D">
        <w:rPr>
          <w:rFonts w:ascii="Palatino Linotype" w:eastAsiaTheme="minorEastAsia" w:hAnsi="Palatino Linotype" w:cstheme="minorBidi"/>
          <w:b/>
          <w:color w:val="000000" w:themeColor="text1"/>
          <w:lang w:val="es-ES_tradnl"/>
        </w:rPr>
        <w:t xml:space="preserve"> Comisionada María del Rosario Mejía Ayala</w:t>
      </w:r>
      <w:r w:rsidR="00A47AE2" w:rsidRPr="00A2012D">
        <w:rPr>
          <w:rFonts w:ascii="Palatino Linotype" w:eastAsiaTheme="minorEastAsia" w:hAnsi="Palatino Linotype" w:cstheme="minorBidi"/>
          <w:color w:val="000000" w:themeColor="text1"/>
          <w:lang w:val="es-ES_tradnl"/>
        </w:rPr>
        <w:t xml:space="preserve"> decretó el cierre de instrucción </w:t>
      </w:r>
      <w:r w:rsidR="00FA6732" w:rsidRPr="00A2012D">
        <w:rPr>
          <w:rFonts w:ascii="Palatino Linotype" w:eastAsiaTheme="minorEastAsia" w:hAnsi="Palatino Linotype" w:cstheme="minorBidi"/>
          <w:color w:val="000000" w:themeColor="text1"/>
          <w:lang w:val="es-ES_tradnl"/>
        </w:rPr>
        <w:t>med</w:t>
      </w:r>
      <w:r w:rsidR="00F36AA6" w:rsidRPr="00A2012D">
        <w:rPr>
          <w:rFonts w:ascii="Palatino Linotype" w:eastAsiaTheme="minorEastAsia" w:hAnsi="Palatino Linotype" w:cstheme="minorBidi"/>
          <w:color w:val="000000" w:themeColor="text1"/>
          <w:lang w:val="es-ES_tradnl"/>
        </w:rPr>
        <w:t>iante acuerdo de f</w:t>
      </w:r>
      <w:r w:rsidR="0011186A" w:rsidRPr="00A2012D">
        <w:rPr>
          <w:rFonts w:ascii="Palatino Linotype" w:eastAsiaTheme="minorEastAsia" w:hAnsi="Palatino Linotype" w:cstheme="minorBidi"/>
          <w:color w:val="000000" w:themeColor="text1"/>
          <w:lang w:val="es-ES_tradnl"/>
        </w:rPr>
        <w:t xml:space="preserve">echa </w:t>
      </w:r>
      <w:r w:rsidR="00207DF9" w:rsidRPr="00A2012D">
        <w:rPr>
          <w:rFonts w:ascii="Palatino Linotype" w:eastAsiaTheme="minorEastAsia" w:hAnsi="Palatino Linotype" w:cstheme="minorBidi"/>
          <w:color w:val="000000" w:themeColor="text1"/>
          <w:lang w:val="es-ES_tradnl"/>
        </w:rPr>
        <w:t>dieciocho</w:t>
      </w:r>
      <w:r w:rsidR="00966CCA" w:rsidRPr="00A2012D">
        <w:rPr>
          <w:rFonts w:ascii="Palatino Linotype" w:eastAsiaTheme="minorEastAsia" w:hAnsi="Palatino Linotype" w:cstheme="minorBidi"/>
          <w:color w:val="000000" w:themeColor="text1"/>
          <w:lang w:val="es-ES_tradnl"/>
        </w:rPr>
        <w:t xml:space="preserve"> (1</w:t>
      </w:r>
      <w:r w:rsidR="00207DF9" w:rsidRPr="00A2012D">
        <w:rPr>
          <w:rFonts w:ascii="Palatino Linotype" w:eastAsiaTheme="minorEastAsia" w:hAnsi="Palatino Linotype" w:cstheme="minorBidi"/>
          <w:color w:val="000000" w:themeColor="text1"/>
          <w:lang w:val="es-ES_tradnl"/>
        </w:rPr>
        <w:t>8</w:t>
      </w:r>
      <w:r w:rsidR="00A47AE2" w:rsidRPr="00A2012D">
        <w:rPr>
          <w:rFonts w:ascii="Palatino Linotype" w:eastAsiaTheme="minorEastAsia" w:hAnsi="Palatino Linotype" w:cstheme="minorBidi"/>
          <w:color w:val="000000" w:themeColor="text1"/>
          <w:lang w:val="es-ES_tradnl"/>
        </w:rPr>
        <w:t>) de</w:t>
      </w:r>
      <w:r w:rsidR="008A744C" w:rsidRPr="00A2012D">
        <w:rPr>
          <w:rFonts w:ascii="Palatino Linotype" w:eastAsiaTheme="minorEastAsia" w:hAnsi="Palatino Linotype" w:cstheme="minorBidi"/>
          <w:color w:val="000000" w:themeColor="text1"/>
          <w:lang w:val="es-ES_tradnl"/>
        </w:rPr>
        <w:t xml:space="preserve"> octubre</w:t>
      </w:r>
      <w:r w:rsidR="008225FA" w:rsidRPr="00A2012D">
        <w:rPr>
          <w:rFonts w:ascii="Palatino Linotype" w:eastAsiaTheme="minorEastAsia" w:hAnsi="Palatino Linotype" w:cstheme="minorBidi"/>
          <w:color w:val="000000" w:themeColor="text1"/>
          <w:lang w:val="es-ES_tradnl"/>
        </w:rPr>
        <w:t xml:space="preserve"> </w:t>
      </w:r>
      <w:r w:rsidR="00A47AE2" w:rsidRPr="00A2012D">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A2012D" w:rsidRDefault="0028674A" w:rsidP="00207DF9">
      <w:pPr>
        <w:spacing w:line="360" w:lineRule="auto"/>
        <w:rPr>
          <w:rFonts w:ascii="Palatino Linotype" w:hAnsi="Palatino Linotype"/>
          <w:lang w:val="es-ES_tradnl" w:eastAsia="en-US"/>
        </w:rPr>
      </w:pPr>
      <w:bookmarkStart w:id="6" w:name="_Toc68804758"/>
    </w:p>
    <w:p w14:paraId="0D7AA06B" w14:textId="2A5AEBF2" w:rsidR="00EA0165" w:rsidRPr="00A2012D" w:rsidRDefault="00EA0165" w:rsidP="00207DF9">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A2012D">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A2012D" w:rsidRDefault="00EA0165" w:rsidP="00207DF9">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A2012D">
        <w:rPr>
          <w:rFonts w:ascii="Palatino Linotype" w:hAnsi="Palatino Linotype"/>
          <w:b/>
          <w:color w:val="000000" w:themeColor="text1"/>
          <w:sz w:val="24"/>
          <w:szCs w:val="24"/>
          <w:lang w:val="es-MX" w:eastAsia="en-US"/>
        </w:rPr>
        <w:t>PRIMERO. De la competencia</w:t>
      </w:r>
      <w:bookmarkEnd w:id="8"/>
      <w:bookmarkEnd w:id="9"/>
      <w:bookmarkEnd w:id="10"/>
      <w:r w:rsidR="00537427" w:rsidRPr="00A2012D">
        <w:rPr>
          <w:rFonts w:ascii="Palatino Linotype" w:hAnsi="Palatino Linotype"/>
          <w:b/>
          <w:color w:val="000000" w:themeColor="text1"/>
          <w:sz w:val="24"/>
          <w:szCs w:val="24"/>
          <w:lang w:val="es-MX" w:eastAsia="en-US"/>
        </w:rPr>
        <w:t>.</w:t>
      </w:r>
      <w:bookmarkEnd w:id="11"/>
    </w:p>
    <w:p w14:paraId="341F67EC" w14:textId="77777777" w:rsidR="00EA0165" w:rsidRPr="00A2012D" w:rsidRDefault="00EA0165" w:rsidP="00207DF9">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A2012D" w:rsidRDefault="00EA0165" w:rsidP="00207DF9">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A2012D">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2012D">
        <w:rPr>
          <w:rFonts w:ascii="Palatino Linotype" w:eastAsia="Calibri" w:hAnsi="Palatino Linotype"/>
          <w:b/>
        </w:rPr>
        <w:t>Constitución Política de los Estados Unidos Mexicanos</w:t>
      </w:r>
      <w:r w:rsidRPr="00A2012D">
        <w:rPr>
          <w:rFonts w:ascii="Palatino Linotype" w:eastAsia="Calibri" w:hAnsi="Palatino Linotype"/>
        </w:rPr>
        <w:t xml:space="preserve">; </w:t>
      </w:r>
      <w:r w:rsidRPr="00A2012D">
        <w:rPr>
          <w:rFonts w:ascii="Palatino Linotype" w:eastAsia="Calibri" w:hAnsi="Palatino Linotype" w:cs="Arial"/>
          <w:bCs/>
          <w:color w:val="222222"/>
          <w:shd w:val="clear" w:color="auto" w:fill="FFFFFF"/>
          <w:lang w:eastAsia="en-US"/>
        </w:rPr>
        <w:t>5, párrafo</w:t>
      </w:r>
      <w:r w:rsidR="00543BF9" w:rsidRPr="00A2012D">
        <w:rPr>
          <w:rFonts w:ascii="Palatino Linotype" w:eastAsia="Calibri" w:hAnsi="Palatino Linotype"/>
          <w:lang w:val="es-MX" w:eastAsia="en-US"/>
        </w:rPr>
        <w:t xml:space="preserve"> trigésimo, trigésimo primero y trigésimo segundo, fracciones I, II, III, IV y V</w:t>
      </w:r>
      <w:r w:rsidR="00543BF9" w:rsidRPr="00A2012D">
        <w:rPr>
          <w:rFonts w:ascii="Palatino Linotype" w:eastAsia="MS Mincho" w:hAnsi="Palatino Linotype"/>
          <w:lang w:val="es-ES_tradnl"/>
        </w:rPr>
        <w:t xml:space="preserve"> </w:t>
      </w:r>
      <w:r w:rsidRPr="00A2012D">
        <w:rPr>
          <w:rFonts w:ascii="Palatino Linotype" w:eastAsia="Calibri" w:hAnsi="Palatino Linotype"/>
        </w:rPr>
        <w:t xml:space="preserve">de la </w:t>
      </w:r>
      <w:r w:rsidRPr="00A2012D">
        <w:rPr>
          <w:rFonts w:ascii="Palatino Linotype" w:eastAsia="Calibri" w:hAnsi="Palatino Linotype"/>
          <w:b/>
        </w:rPr>
        <w:t>Constitución Política del Estado Libre y Soberano de México</w:t>
      </w:r>
      <w:r w:rsidRPr="00A2012D">
        <w:rPr>
          <w:rFonts w:ascii="Palatino Linotype" w:eastAsia="Calibri" w:hAnsi="Palatino Linotype"/>
        </w:rPr>
        <w:t xml:space="preserve">; artículos 1, 2 fracción II, 13, 29, 36 fracciones I y II, 176, 178, 179, 181 párrafo tercero y 185 </w:t>
      </w:r>
      <w:r w:rsidRPr="00A2012D">
        <w:rPr>
          <w:rFonts w:ascii="Palatino Linotype" w:eastAsia="Calibri" w:hAnsi="Palatino Linotype" w:cs="Arial"/>
        </w:rPr>
        <w:t xml:space="preserve">de la </w:t>
      </w:r>
      <w:r w:rsidRPr="00A2012D">
        <w:rPr>
          <w:rFonts w:ascii="Palatino Linotype" w:eastAsia="Calibri" w:hAnsi="Palatino Linotype" w:cs="Arial"/>
          <w:b/>
        </w:rPr>
        <w:t xml:space="preserve">Ley de </w:t>
      </w:r>
      <w:r w:rsidRPr="00A2012D">
        <w:rPr>
          <w:rFonts w:ascii="Palatino Linotype" w:eastAsia="Calibri" w:hAnsi="Palatino Linotype" w:cs="Arial"/>
          <w:b/>
        </w:rPr>
        <w:lastRenderedPageBreak/>
        <w:t>Transparencia y Acceso a la Información Pública del Estado de México y Municipios</w:t>
      </w:r>
      <w:r w:rsidRPr="00A2012D">
        <w:rPr>
          <w:rFonts w:ascii="Palatino Linotype" w:eastAsia="Calibri" w:hAnsi="Palatino Linotype" w:cs="Arial"/>
        </w:rPr>
        <w:t xml:space="preserve">; </w:t>
      </w:r>
      <w:r w:rsidRPr="00A2012D">
        <w:rPr>
          <w:rFonts w:ascii="Palatino Linotype" w:eastAsia="Calibri" w:hAnsi="Palatino Linotype" w:cs="Arial"/>
          <w:b/>
        </w:rPr>
        <w:t>7, 9 fracciones I y XXIV, y 11</w:t>
      </w:r>
      <w:r w:rsidRPr="00A2012D">
        <w:rPr>
          <w:rFonts w:ascii="Palatino Linotype" w:eastAsia="Calibri" w:hAnsi="Palatino Linotype" w:cs="Arial"/>
        </w:rPr>
        <w:t xml:space="preserve"> del </w:t>
      </w:r>
      <w:r w:rsidRPr="00A2012D">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A2012D">
        <w:rPr>
          <w:rFonts w:ascii="Palatino Linotype" w:eastAsia="Calibri" w:hAnsi="Palatino Linotype" w:cs="Arial"/>
          <w:b/>
        </w:rPr>
        <w:t>.</w:t>
      </w:r>
    </w:p>
    <w:p w14:paraId="343B0FCF" w14:textId="413622B7" w:rsidR="00EA0165" w:rsidRPr="00A2012D" w:rsidRDefault="00EA0165" w:rsidP="00207DF9">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A2012D">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A2012D" w:rsidRDefault="00C36DF2" w:rsidP="00207DF9">
      <w:pPr>
        <w:pStyle w:val="Ttulo1"/>
        <w:spacing w:line="360" w:lineRule="auto"/>
        <w:rPr>
          <w:rFonts w:ascii="Palatino Linotype" w:hAnsi="Palatino Linotype"/>
          <w:b/>
          <w:color w:val="000000" w:themeColor="text1"/>
          <w:sz w:val="24"/>
          <w:szCs w:val="24"/>
          <w:lang w:val="es-MX" w:eastAsia="en-US"/>
        </w:rPr>
      </w:pPr>
      <w:bookmarkStart w:id="16" w:name="_Toc102644133"/>
      <w:r w:rsidRPr="00A2012D">
        <w:rPr>
          <w:rFonts w:ascii="Palatino Linotype" w:hAnsi="Palatino Linotype"/>
          <w:b/>
          <w:color w:val="000000" w:themeColor="text1"/>
          <w:sz w:val="24"/>
          <w:szCs w:val="24"/>
          <w:lang w:val="es-MX" w:eastAsia="en-US"/>
        </w:rPr>
        <w:t>I. De la interposición del recurso.</w:t>
      </w:r>
      <w:bookmarkEnd w:id="16"/>
      <w:r w:rsidRPr="00A2012D">
        <w:rPr>
          <w:rFonts w:ascii="Palatino Linotype" w:hAnsi="Palatino Linotype"/>
          <w:b/>
          <w:color w:val="000000" w:themeColor="text1"/>
          <w:sz w:val="24"/>
          <w:szCs w:val="24"/>
          <w:lang w:val="es-MX" w:eastAsia="en-US"/>
        </w:rPr>
        <w:t xml:space="preserve"> </w:t>
      </w:r>
    </w:p>
    <w:p w14:paraId="40D53B59" w14:textId="77777777" w:rsidR="00C36DF2" w:rsidRPr="00A2012D" w:rsidRDefault="00C36DF2" w:rsidP="00207DF9">
      <w:pPr>
        <w:keepNext/>
        <w:keepLines/>
        <w:tabs>
          <w:tab w:val="left" w:pos="0"/>
        </w:tabs>
        <w:spacing w:line="360" w:lineRule="auto"/>
        <w:contextualSpacing/>
        <w:outlineLvl w:val="0"/>
        <w:rPr>
          <w:rFonts w:ascii="Palatino Linotype" w:eastAsia="MS Gothic" w:hAnsi="Palatino Linotype"/>
          <w:b/>
          <w:lang w:val="es-MX" w:eastAsia="en-US"/>
        </w:rPr>
      </w:pPr>
    </w:p>
    <w:p w14:paraId="596A4157" w14:textId="35BD00A6" w:rsidR="008F002A" w:rsidRPr="00A2012D" w:rsidRDefault="008F002A" w:rsidP="00207DF9">
      <w:pPr>
        <w:numPr>
          <w:ilvl w:val="0"/>
          <w:numId w:val="2"/>
        </w:numPr>
        <w:spacing w:after="160" w:line="360" w:lineRule="auto"/>
        <w:ind w:left="0" w:right="49" w:firstLine="0"/>
        <w:contextualSpacing/>
        <w:jc w:val="both"/>
        <w:rPr>
          <w:rFonts w:ascii="Palatino Linotype" w:eastAsia="Calibri" w:hAnsi="Palatino Linotype" w:cs="Arial"/>
        </w:rPr>
      </w:pPr>
      <w:r w:rsidRPr="00A2012D">
        <w:rPr>
          <w:rFonts w:ascii="Palatino Linotype" w:eastAsia="Calibri" w:hAnsi="Palatino Linotype" w:cs="Arial"/>
          <w:lang w:val="es-ES_tradnl"/>
        </w:rPr>
        <w:t xml:space="preserve">El medio de impugnación fue presentado a través del </w:t>
      </w:r>
      <w:r w:rsidRPr="00A2012D">
        <w:rPr>
          <w:rFonts w:ascii="Palatino Linotype" w:eastAsia="Calibri" w:hAnsi="Palatino Linotype" w:cs="Arial"/>
          <w:b/>
          <w:lang w:val="es-ES_tradnl"/>
        </w:rPr>
        <w:t>SAIMEX,</w:t>
      </w:r>
      <w:r w:rsidRPr="00A2012D">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A2012D">
        <w:rPr>
          <w:rFonts w:ascii="Palatino Linotype" w:eastAsia="Calibri" w:hAnsi="Palatino Linotype" w:cs="Arial"/>
          <w:b/>
          <w:lang w:val="es-ES_tradnl"/>
        </w:rPr>
        <w:t>SUJETO OBLIGADO</w:t>
      </w:r>
      <w:r w:rsidRPr="00A2012D">
        <w:rPr>
          <w:rFonts w:ascii="Palatino Linotype" w:eastAsia="Calibri" w:hAnsi="Palatino Linotype" w:cs="Arial"/>
          <w:lang w:val="es-ES_tradnl"/>
        </w:rPr>
        <w:t xml:space="preserve"> en</w:t>
      </w:r>
      <w:r w:rsidR="00966CCA" w:rsidRPr="00A2012D">
        <w:rPr>
          <w:rFonts w:ascii="Palatino Linotype" w:eastAsia="Calibri" w:hAnsi="Palatino Linotype" w:cs="Arial"/>
          <w:lang w:val="es-ES_tradnl"/>
        </w:rPr>
        <w:t xml:space="preserve">tregó respuesta el día </w:t>
      </w:r>
      <w:r w:rsidR="00070329" w:rsidRPr="00A2012D">
        <w:rPr>
          <w:rFonts w:ascii="Palatino Linotype" w:eastAsia="Calibri" w:hAnsi="Palatino Linotype" w:cs="Arial"/>
          <w:lang w:val="es-ES_tradnl"/>
        </w:rPr>
        <w:t xml:space="preserve">dos (02) de junio </w:t>
      </w:r>
      <w:r w:rsidRPr="00A2012D">
        <w:rPr>
          <w:rFonts w:ascii="Palatino Linotype" w:eastAsia="Calibri" w:hAnsi="Palatino Linotype" w:cs="Arial"/>
          <w:lang w:val="es-ES_tradnl"/>
        </w:rPr>
        <w:t>de dos mil veintidós</w:t>
      </w:r>
      <w:r w:rsidRPr="00A2012D">
        <w:rPr>
          <w:rFonts w:ascii="Palatino Linotype" w:eastAsia="Calibri" w:hAnsi="Palatino Linotype" w:cs="Arial"/>
          <w:lang w:val="es-MX" w:eastAsia="en-US"/>
        </w:rPr>
        <w:t>, el plazo para interponer el recurso de rev</w:t>
      </w:r>
      <w:r w:rsidR="00070329" w:rsidRPr="00A2012D">
        <w:rPr>
          <w:rFonts w:ascii="Palatino Linotype" w:eastAsia="Calibri" w:hAnsi="Palatino Linotype" w:cs="Arial"/>
          <w:lang w:val="es-MX" w:eastAsia="en-US"/>
        </w:rPr>
        <w:t>isión trascurrió del tres (03) al veintitrés (23) de junio</w:t>
      </w:r>
      <w:r w:rsidRPr="00A2012D">
        <w:rPr>
          <w:rFonts w:ascii="Palatino Linotype" w:eastAsia="Calibri" w:hAnsi="Palatino Linotype" w:cs="Arial"/>
          <w:lang w:val="es-MX" w:eastAsia="en-US"/>
        </w:rPr>
        <w:t xml:space="preserve"> de dos mil veintidós; </w:t>
      </w:r>
      <w:r w:rsidRPr="00A2012D">
        <w:rPr>
          <w:rFonts w:ascii="Palatino Linotype" w:eastAsia="Calibri" w:hAnsi="Palatino Linotype" w:cs="Arial"/>
        </w:rPr>
        <w:t>en consecuencia, present</w:t>
      </w:r>
      <w:r w:rsidR="00070329" w:rsidRPr="00A2012D">
        <w:rPr>
          <w:rFonts w:ascii="Palatino Linotype" w:eastAsia="Calibri" w:hAnsi="Palatino Linotype" w:cs="Arial"/>
        </w:rPr>
        <w:t>ó su inconformidad el veintiuno (21) de junio</w:t>
      </w:r>
      <w:r w:rsidR="00E1380A" w:rsidRPr="00A2012D">
        <w:rPr>
          <w:rFonts w:ascii="Palatino Linotype" w:eastAsia="Calibri" w:hAnsi="Palatino Linotype" w:cs="Arial"/>
        </w:rPr>
        <w:t xml:space="preserve"> </w:t>
      </w:r>
      <w:r w:rsidR="00117BE4" w:rsidRPr="00A2012D">
        <w:rPr>
          <w:rFonts w:ascii="Palatino Linotype" w:eastAsia="Calibri" w:hAnsi="Palatino Linotype" w:cs="Arial"/>
        </w:rPr>
        <w:t>de dos mil veintidós, por lo que se encuentra dentro de los márgenes temporales previstos en el artículo 178 de la Ley de Transparencia y Acceso a la Información Pública del Estado de México y Municipios vigente.</w:t>
      </w:r>
    </w:p>
    <w:p w14:paraId="3F18C8E9" w14:textId="77777777" w:rsidR="00117BE4" w:rsidRPr="00A2012D" w:rsidRDefault="00117BE4" w:rsidP="00207DF9">
      <w:pPr>
        <w:spacing w:after="160" w:line="360" w:lineRule="auto"/>
        <w:ind w:right="49"/>
        <w:contextualSpacing/>
        <w:jc w:val="both"/>
        <w:rPr>
          <w:rFonts w:ascii="Palatino Linotype" w:eastAsia="Calibri" w:hAnsi="Palatino Linotype" w:cs="Arial"/>
        </w:rPr>
      </w:pPr>
    </w:p>
    <w:p w14:paraId="516D7235" w14:textId="77777777" w:rsidR="00C36DF2" w:rsidRPr="00A2012D" w:rsidRDefault="00C36DF2" w:rsidP="00207DF9">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A2012D">
        <w:rPr>
          <w:rFonts w:ascii="Palatino Linotype" w:eastAsia="Calibri" w:hAnsi="Palatino Linotype"/>
          <w:b/>
        </w:rPr>
        <w:t xml:space="preserve">III. </w:t>
      </w:r>
      <w:bookmarkStart w:id="22" w:name="_Toc89964363"/>
      <w:bookmarkStart w:id="23" w:name="_Toc98350362"/>
      <w:bookmarkStart w:id="24" w:name="_Toc67587987"/>
      <w:bookmarkStart w:id="25" w:name="_Toc68804763"/>
      <w:bookmarkEnd w:id="17"/>
      <w:r w:rsidRPr="00A2012D">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A2012D">
        <w:rPr>
          <w:rFonts w:ascii="Palatino Linotype" w:eastAsiaTheme="majorEastAsia" w:hAnsi="Palatino Linotype" w:cstheme="majorBidi"/>
          <w:b/>
          <w:color w:val="000000" w:themeColor="text1"/>
          <w:lang w:val="es-MX" w:eastAsia="en-US"/>
        </w:rPr>
        <w:t xml:space="preserve"> </w:t>
      </w:r>
    </w:p>
    <w:p w14:paraId="6EC336F7" w14:textId="77777777" w:rsidR="00C36DF2" w:rsidRPr="00A2012D" w:rsidRDefault="00C36DF2" w:rsidP="00207DF9">
      <w:pPr>
        <w:spacing w:line="360" w:lineRule="auto"/>
        <w:rPr>
          <w:rFonts w:ascii="Palatino Linotype" w:hAnsi="Palatino Linotype"/>
          <w:lang w:val="es-MX" w:eastAsia="en-US"/>
        </w:rPr>
      </w:pPr>
    </w:p>
    <w:p w14:paraId="2CAA4C68" w14:textId="44D8FBEA" w:rsidR="00A2042B" w:rsidRPr="00A2012D" w:rsidRDefault="00C36DF2" w:rsidP="00207DF9">
      <w:pPr>
        <w:numPr>
          <w:ilvl w:val="0"/>
          <w:numId w:val="2"/>
        </w:numPr>
        <w:spacing w:after="160" w:line="360" w:lineRule="auto"/>
        <w:ind w:left="0" w:right="49" w:firstLine="0"/>
        <w:contextualSpacing/>
        <w:jc w:val="both"/>
        <w:rPr>
          <w:rFonts w:ascii="Palatino Linotype" w:hAnsi="Palatino Linotype"/>
          <w:lang w:val="es-ES_tradnl"/>
        </w:rPr>
      </w:pPr>
      <w:r w:rsidRPr="00A2012D">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A2012D">
        <w:rPr>
          <w:rFonts w:ascii="Palatino Linotype" w:eastAsia="Calibri" w:hAnsi="Palatino Linotype" w:cs="Arial"/>
          <w:lang w:val="es-ES_tradnl"/>
        </w:rPr>
        <w:lastRenderedPageBreak/>
        <w:t>de Datos Personales del Estado de México y Municipios, conozca y resuelva el presente recurso.</w:t>
      </w:r>
    </w:p>
    <w:p w14:paraId="4DBFFAA0" w14:textId="77777777" w:rsidR="003C5916" w:rsidRPr="00A2012D" w:rsidRDefault="003C5916" w:rsidP="00207DF9">
      <w:pPr>
        <w:tabs>
          <w:tab w:val="left" w:pos="426"/>
        </w:tabs>
        <w:spacing w:line="360" w:lineRule="auto"/>
        <w:jc w:val="both"/>
        <w:rPr>
          <w:rFonts w:ascii="Palatino Linotype" w:eastAsiaTheme="minorEastAsia" w:hAnsi="Palatino Linotype" w:cstheme="minorBidi"/>
          <w:color w:val="000000" w:themeColor="text1"/>
          <w:lang w:val="es-MX"/>
        </w:rPr>
      </w:pPr>
      <w:bookmarkStart w:id="26" w:name="_Toc459174366"/>
      <w:bookmarkStart w:id="27" w:name="_Toc459659884"/>
      <w:bookmarkStart w:id="28" w:name="_Toc461687280"/>
      <w:bookmarkStart w:id="29" w:name="_Toc462771051"/>
      <w:bookmarkStart w:id="30" w:name="_Toc464139201"/>
    </w:p>
    <w:p w14:paraId="58FEAC42" w14:textId="77777777" w:rsidR="003C5916" w:rsidRPr="00A2012D" w:rsidRDefault="003C5916" w:rsidP="00207DF9">
      <w:pPr>
        <w:tabs>
          <w:tab w:val="left" w:pos="426"/>
        </w:tabs>
        <w:spacing w:line="360" w:lineRule="auto"/>
        <w:jc w:val="both"/>
        <w:outlineLvl w:val="1"/>
        <w:rPr>
          <w:rFonts w:ascii="Palatino Linotype" w:eastAsiaTheme="minorEastAsia" w:hAnsi="Palatino Linotype" w:cs="Arial"/>
          <w:b/>
          <w:color w:val="000000" w:themeColor="text1"/>
          <w:lang w:val="es-MX"/>
        </w:rPr>
      </w:pPr>
      <w:bookmarkStart w:id="31" w:name="_Toc86945042"/>
      <w:r w:rsidRPr="00A2012D">
        <w:rPr>
          <w:rFonts w:ascii="Palatino Linotype" w:eastAsiaTheme="minorEastAsia" w:hAnsi="Palatino Linotype" w:cstheme="minorBidi"/>
          <w:b/>
          <w:color w:val="000000" w:themeColor="text1"/>
          <w:lang w:val="es-MX"/>
        </w:rPr>
        <w:t>TERCERO.</w:t>
      </w:r>
      <w:r w:rsidRPr="00A2012D">
        <w:rPr>
          <w:rFonts w:ascii="Palatino Linotype" w:eastAsiaTheme="minorEastAsia" w:hAnsi="Palatino Linotype" w:cs="Arial"/>
          <w:b/>
          <w:color w:val="000000" w:themeColor="text1"/>
          <w:lang w:val="es-MX"/>
        </w:rPr>
        <w:t xml:space="preserve"> De las causales de sobreseimiento.</w:t>
      </w:r>
      <w:bookmarkEnd w:id="31"/>
    </w:p>
    <w:p w14:paraId="0BAFF5A0" w14:textId="3A460446" w:rsidR="003C5916" w:rsidRPr="00A2012D" w:rsidRDefault="003C5916" w:rsidP="00207DF9">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bookmarkStart w:id="32" w:name="_Toc466377653"/>
      <w:bookmarkStart w:id="33" w:name="_Toc466371865"/>
      <w:r w:rsidRPr="00A2012D">
        <w:rPr>
          <w:rFonts w:ascii="Palatino Linotype" w:eastAsiaTheme="minorEastAsia" w:hAnsi="Palatino Linotype" w:cstheme="minorBidi"/>
          <w:b/>
          <w:bCs/>
          <w:color w:val="000000" w:themeColor="text1"/>
          <w:lang w:val="es-MX"/>
        </w:rPr>
        <w:t>De los límites del derecho de acceso a la información.</w:t>
      </w:r>
    </w:p>
    <w:p w14:paraId="786EC274" w14:textId="2A11B9AC" w:rsidR="003C5916" w:rsidRPr="00A2012D" w:rsidRDefault="003C5916" w:rsidP="00207DF9">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Previo a iniciar el análisis de las actuaciones que integran el expediente digital formado con motivo del recurso de revisión</w:t>
      </w:r>
      <w:r w:rsidRPr="00A2012D">
        <w:rPr>
          <w:rFonts w:ascii="Palatino Linotype" w:eastAsiaTheme="minorEastAsia" w:hAnsi="Palatino Linotype" w:cstheme="minorBidi"/>
          <w:b/>
          <w:bCs/>
        </w:rPr>
        <w:t xml:space="preserve"> </w:t>
      </w:r>
      <w:r w:rsidR="004D08C2" w:rsidRPr="00A2012D">
        <w:rPr>
          <w:rFonts w:ascii="Palatino Linotype" w:eastAsiaTheme="minorEastAsia" w:hAnsi="Palatino Linotype" w:cstheme="minorBidi"/>
          <w:b/>
          <w:bCs/>
        </w:rPr>
        <w:t>11938/INFOEM/IP/RR/2022</w:t>
      </w:r>
      <w:r w:rsidRPr="00A2012D">
        <w:rPr>
          <w:rFonts w:ascii="Palatino Linotype" w:eastAsiaTheme="minorEastAsia" w:hAnsi="Palatino Linotype" w:cstheme="minorBidi"/>
        </w:rPr>
        <w:t xml:space="preserve">, se considera importante </w:t>
      </w:r>
      <w:r w:rsidRPr="00A2012D">
        <w:rPr>
          <w:rFonts w:ascii="Palatino Linotype" w:eastAsia="MS Mincho" w:hAnsi="Palatino Linotype"/>
          <w:color w:val="000000"/>
          <w:lang w:val="es-MX"/>
        </w:rPr>
        <w:t>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4C26D958"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96CF2E4"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b/>
          <w:i/>
          <w:lang w:val="es-MX"/>
        </w:rPr>
        <w:t>INFORMACIÓN PÚBLICA, CONCEPTO DE, EN MATERIA DE TRANSPARENCIA. INTERPRETACIÓN TEMÁTICA DE LOS ARTÍCULOS 2, FRACCIÓN V, XV, Y XVI, 3, 4,11 Y 41.</w:t>
      </w:r>
      <w:r w:rsidRPr="00A2012D">
        <w:rPr>
          <w:rFonts w:ascii="Palatino Linotype" w:eastAsia="Palatino Linotype" w:hAnsi="Palatino Linotype" w:cs="Palatino Linotype"/>
          <w:i/>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AEDA36"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i/>
          <w:lang w:val="es-MX"/>
        </w:rPr>
        <w:t>En consecuencia el acceso a la información se refiere a que se cumplan cualquiera de los siguientes tres supuestos:</w:t>
      </w:r>
    </w:p>
    <w:p w14:paraId="55F62B19"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i/>
          <w:lang w:val="es-MX"/>
        </w:rPr>
        <w:lastRenderedPageBreak/>
        <w:t>Que se trate de información registrada en cualquier soporte documental, que en ejercicio de las atribuciones conferidas, sea generada por los Sujetos Obligados;</w:t>
      </w:r>
    </w:p>
    <w:p w14:paraId="5FE043FC"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i/>
          <w:lang w:val="es-MX"/>
        </w:rPr>
        <w:t>Que se trate de información registrada en cualquier soporte documental, que en ejercicio de las atribuciones conferidas, sea administrada por los Sujetos Obligados, y</w:t>
      </w:r>
    </w:p>
    <w:p w14:paraId="399CF596" w14:textId="77777777" w:rsidR="003C5916" w:rsidRPr="00A2012D" w:rsidRDefault="003C5916" w:rsidP="00207DF9">
      <w:pPr>
        <w:spacing w:line="360" w:lineRule="auto"/>
        <w:ind w:left="567" w:right="567"/>
        <w:jc w:val="both"/>
        <w:rPr>
          <w:rFonts w:ascii="Palatino Linotype" w:eastAsia="Palatino Linotype" w:hAnsi="Palatino Linotype" w:cs="Palatino Linotype"/>
          <w:lang w:val="es-MX"/>
        </w:rPr>
      </w:pPr>
      <w:r w:rsidRPr="00A2012D">
        <w:rPr>
          <w:rFonts w:ascii="Palatino Linotype" w:eastAsia="Palatino Linotype" w:hAnsi="Palatino Linotype" w:cs="Palatino Linotype"/>
          <w:i/>
          <w:lang w:val="es-MX"/>
        </w:rPr>
        <w:t>Que se trate de información registrada en cualquier soporte documental, que en ejercicio de las atribuciones conferidas, se encuentre en posesión de los Sujetos Obligados.”</w:t>
      </w:r>
    </w:p>
    <w:p w14:paraId="55864991"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BC123DC"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 xml:space="preserve">El </w:t>
      </w:r>
      <w:r w:rsidRPr="00A2012D">
        <w:rPr>
          <w:rFonts w:ascii="Palatino Linotype" w:eastAsia="MS Mincho" w:hAnsi="Palatino Linotype"/>
          <w:color w:val="000000"/>
          <w:lang w:val="es-MX"/>
        </w:rPr>
        <w:t>derecho de acceso a la información encuentra su materia elemental en los documentos, y la Ley de Transparencia local nos brinda el siguiente concepto</w:t>
      </w:r>
      <w:r w:rsidRPr="00A2012D">
        <w:rPr>
          <w:rFonts w:ascii="Palatino Linotype" w:hAnsi="Palatino Linotype"/>
          <w:vertAlign w:val="superscript"/>
        </w:rPr>
        <w:footnoteReference w:id="1"/>
      </w:r>
      <w:r w:rsidRPr="00A2012D">
        <w:rPr>
          <w:rFonts w:ascii="Palatino Linotype" w:eastAsia="MS Mincho" w:hAnsi="Palatino Linotype"/>
          <w:color w:val="000000"/>
          <w:lang w:val="es-MX"/>
        </w:rPr>
        <w:t>, para darnos un mejor panorama:</w:t>
      </w:r>
    </w:p>
    <w:p w14:paraId="5B895CC7"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3FB91E6D" w14:textId="77777777" w:rsidR="003C5916" w:rsidRPr="00A2012D" w:rsidRDefault="003C5916" w:rsidP="00207DF9">
      <w:pPr>
        <w:spacing w:line="360" w:lineRule="auto"/>
        <w:ind w:left="567" w:right="567"/>
        <w:jc w:val="both"/>
        <w:rPr>
          <w:rFonts w:ascii="Palatino Linotype" w:eastAsia="Palatino Linotype" w:hAnsi="Palatino Linotype" w:cs="Palatino Linotype"/>
          <w:iCs/>
          <w:lang w:val="es-MX"/>
        </w:rPr>
      </w:pPr>
      <w:r w:rsidRPr="00A2012D">
        <w:rPr>
          <w:rFonts w:ascii="Palatino Linotype" w:eastAsia="Palatino Linotype" w:hAnsi="Palatino Linotype" w:cs="Palatino Linotype"/>
          <w:b/>
          <w:i/>
          <w:lang w:val="es-MX"/>
        </w:rPr>
        <w:t xml:space="preserve">“XI. Documento: </w:t>
      </w:r>
      <w:r w:rsidRPr="00A2012D">
        <w:rPr>
          <w:rFonts w:ascii="Palatino Linotype" w:eastAsia="Palatino Linotype" w:hAnsi="Palatino Linotype" w:cs="Palatino Linotype"/>
          <w:b/>
          <w:bCs/>
          <w:i/>
          <w:lang w:val="es-MX"/>
        </w:rPr>
        <w:t>Los</w:t>
      </w:r>
      <w:r w:rsidRPr="00A2012D">
        <w:rPr>
          <w:rFonts w:ascii="Palatino Linotype" w:eastAsia="Palatino Linotype" w:hAnsi="Palatino Linotype" w:cs="Palatino Linotype"/>
          <w:i/>
          <w:lang w:val="es-MX"/>
        </w:rPr>
        <w:t xml:space="preserve"> expedientes, </w:t>
      </w:r>
      <w:r w:rsidRPr="00A2012D">
        <w:rPr>
          <w:rFonts w:ascii="Palatino Linotype" w:eastAsia="Palatino Linotype" w:hAnsi="Palatino Linotype" w:cs="Palatino Linotype"/>
          <w:b/>
          <w:bCs/>
          <w:i/>
          <w:lang w:val="es-MX"/>
        </w:rPr>
        <w:t>reportes</w:t>
      </w:r>
      <w:r w:rsidRPr="00A2012D">
        <w:rPr>
          <w:rFonts w:ascii="Palatino Linotype" w:eastAsia="Palatino Linotype" w:hAnsi="Palatino Linotype" w:cs="Palatino Linotype"/>
          <w:i/>
          <w:lang w:val="es-MX"/>
        </w:rPr>
        <w:t xml:space="preserve">, estudios, actas, resoluciones, </w:t>
      </w:r>
      <w:r w:rsidRPr="00A2012D">
        <w:rPr>
          <w:rFonts w:ascii="Palatino Linotype" w:eastAsia="Palatino Linotype" w:hAnsi="Palatino Linotype" w:cs="Palatino Linotype"/>
          <w:b/>
          <w:bCs/>
          <w:i/>
          <w:lang w:val="es-MX"/>
        </w:rPr>
        <w:t>oficios</w:t>
      </w:r>
      <w:r w:rsidRPr="00A2012D">
        <w:rPr>
          <w:rFonts w:ascii="Palatino Linotype" w:eastAsia="Palatino Linotype" w:hAnsi="Palatino Linotype" w:cs="Palatino Linotype"/>
          <w:i/>
          <w:lang w:val="es-MX"/>
        </w:rPr>
        <w:t xml:space="preserve">, correspondencia, acuerdos, directivas, directrices, circulares, contratos, convenios, instructivos, </w:t>
      </w:r>
      <w:r w:rsidRPr="00A2012D">
        <w:rPr>
          <w:rFonts w:ascii="Palatino Linotype" w:eastAsia="Palatino Linotype" w:hAnsi="Palatino Linotype" w:cs="Palatino Linotype"/>
          <w:b/>
          <w:bCs/>
          <w:i/>
          <w:lang w:val="es-MX"/>
        </w:rPr>
        <w:t>notas</w:t>
      </w:r>
      <w:r w:rsidRPr="00A2012D">
        <w:rPr>
          <w:rFonts w:ascii="Palatino Linotype" w:eastAsia="Palatino Linotype" w:hAnsi="Palatino Linotype" w:cs="Palatino Linotype"/>
          <w:i/>
          <w:lang w:val="es-MX"/>
        </w:rPr>
        <w:t xml:space="preserve">, memorandos, estadísticas o bien, cualquier otro registro </w:t>
      </w:r>
      <w:r w:rsidRPr="00A2012D">
        <w:rPr>
          <w:rFonts w:ascii="Palatino Linotype" w:eastAsia="Palatino Linotype" w:hAnsi="Palatino Linotype" w:cs="Palatino Linotype"/>
          <w:b/>
          <w:bCs/>
          <w:i/>
          <w:lang w:val="es-MX"/>
        </w:rPr>
        <w:t>que documente el ejercicio de las facultades, funciones y competencias de los</w:t>
      </w:r>
      <w:r w:rsidRPr="00A2012D">
        <w:rPr>
          <w:rFonts w:ascii="Palatino Linotype" w:eastAsia="Palatino Linotype" w:hAnsi="Palatino Linotype" w:cs="Palatino Linotype"/>
          <w:i/>
          <w:lang w:val="es-MX"/>
        </w:rPr>
        <w:t xml:space="preserve"> sujetos obligados, sus </w:t>
      </w:r>
      <w:r w:rsidRPr="00A2012D">
        <w:rPr>
          <w:rFonts w:ascii="Palatino Linotype" w:eastAsia="Palatino Linotype" w:hAnsi="Palatino Linotype" w:cs="Palatino Linotype"/>
          <w:b/>
          <w:bCs/>
          <w:i/>
          <w:lang w:val="es-MX"/>
        </w:rPr>
        <w:t>servidores públicos</w:t>
      </w:r>
      <w:r w:rsidRPr="00A2012D">
        <w:rPr>
          <w:rFonts w:ascii="Palatino Linotype" w:eastAsia="Palatino Linotype" w:hAnsi="Palatino Linotype" w:cs="Palatino Linotype"/>
          <w:i/>
          <w:lang w:val="es-MX"/>
        </w:rPr>
        <w:t xml:space="preserve"> e integrantes, </w:t>
      </w:r>
      <w:r w:rsidRPr="00A2012D">
        <w:rPr>
          <w:rFonts w:ascii="Palatino Linotype" w:eastAsia="Palatino Linotype" w:hAnsi="Palatino Linotype" w:cs="Palatino Linotype"/>
          <w:b/>
          <w:bCs/>
          <w:i/>
          <w:lang w:val="es-MX"/>
        </w:rPr>
        <w:t>sin importar su fuente o fecha de elaboración</w:t>
      </w:r>
      <w:r w:rsidRPr="00A2012D">
        <w:rPr>
          <w:rFonts w:ascii="Palatino Linotype" w:eastAsia="Palatino Linotype" w:hAnsi="Palatino Linotype" w:cs="Palatino Linotype"/>
          <w:i/>
          <w:lang w:val="es-MX"/>
        </w:rPr>
        <w:t xml:space="preserve">. Los documentos </w:t>
      </w:r>
      <w:r w:rsidRPr="00A2012D">
        <w:rPr>
          <w:rFonts w:ascii="Palatino Linotype" w:eastAsia="Palatino Linotype" w:hAnsi="Palatino Linotype" w:cs="Palatino Linotype"/>
          <w:b/>
          <w:bCs/>
          <w:i/>
          <w:lang w:val="es-MX"/>
        </w:rPr>
        <w:t>podrán estar en cualquier medio, sea escrito, impreso</w:t>
      </w:r>
      <w:r w:rsidRPr="00A2012D">
        <w:rPr>
          <w:rFonts w:ascii="Palatino Linotype" w:eastAsia="Palatino Linotype" w:hAnsi="Palatino Linotype" w:cs="Palatino Linotype"/>
          <w:i/>
          <w:lang w:val="es-MX"/>
        </w:rPr>
        <w:t>,  sonoro, visual, electrónico, informático u holográfico;”</w:t>
      </w:r>
    </w:p>
    <w:p w14:paraId="3BD11729" w14:textId="77777777" w:rsidR="003C5916" w:rsidRPr="00A2012D" w:rsidRDefault="003C5916" w:rsidP="00207DF9">
      <w:pPr>
        <w:spacing w:line="360" w:lineRule="auto"/>
        <w:ind w:left="567" w:right="567"/>
        <w:jc w:val="both"/>
        <w:rPr>
          <w:rFonts w:ascii="Palatino Linotype" w:eastAsia="Palatino Linotype" w:hAnsi="Palatino Linotype" w:cs="Palatino Linotype"/>
          <w:iCs/>
          <w:lang w:val="es-MX"/>
        </w:rPr>
      </w:pPr>
      <w:r w:rsidRPr="00A2012D">
        <w:rPr>
          <w:rFonts w:ascii="Palatino Linotype" w:eastAsia="Palatino Linotype" w:hAnsi="Palatino Linotype" w:cs="Palatino Linotype"/>
          <w:iCs/>
          <w:lang w:val="es-MX"/>
        </w:rPr>
        <w:t>(Énfasis añadido)</w:t>
      </w:r>
    </w:p>
    <w:p w14:paraId="5F725862"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0B5954C"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lastRenderedPageBreak/>
        <w:t xml:space="preserve">Correlativo </w:t>
      </w:r>
      <w:r w:rsidRPr="00A2012D">
        <w:rPr>
          <w:rFonts w:ascii="Palatino Linotype" w:eastAsia="MS Mincho" w:hAnsi="Palatino Linotype"/>
          <w:color w:val="000000"/>
          <w:lang w:val="es-MX"/>
        </w:rPr>
        <w:t>a lo anterior, debemos tomar en cuenta los artículos 4 y 12, de la Ley de Transparencia y Acceso a la Información Pública del Estado de México y Municipios, los cuales establecen lo siguiente:</w:t>
      </w:r>
    </w:p>
    <w:p w14:paraId="112D5B74"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41A38A0"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b/>
          <w:i/>
          <w:lang w:val="es-MX"/>
        </w:rPr>
        <w:t xml:space="preserve">“Artículo 4. </w:t>
      </w:r>
      <w:r w:rsidRPr="00A2012D">
        <w:rPr>
          <w:rFonts w:ascii="Palatino Linotype" w:eastAsia="Palatino Linotype" w:hAnsi="Palatino Linotype" w:cs="Palatino Linotyp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CFB108A"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b/>
          <w:i/>
          <w:lang w:val="es-MX"/>
        </w:rPr>
        <w:t>Toda la información generada, obtenida, adquirida, transformada, administrada o en posesión de los sujetos obligados es pública y accesible de manera permanente a cualquier persona</w:t>
      </w:r>
      <w:r w:rsidRPr="00A2012D">
        <w:rPr>
          <w:rFonts w:ascii="Palatino Linotype" w:eastAsia="Palatino Linotype" w:hAnsi="Palatino Linotype" w:cs="Palatino Linotype"/>
          <w:i/>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B663BC" w14:textId="77777777" w:rsidR="003C5916" w:rsidRPr="00A2012D" w:rsidRDefault="003C5916" w:rsidP="00207DF9">
      <w:pPr>
        <w:spacing w:line="360" w:lineRule="auto"/>
        <w:ind w:left="567" w:right="567"/>
        <w:jc w:val="both"/>
        <w:rPr>
          <w:rFonts w:ascii="Palatino Linotype" w:eastAsia="Palatino Linotype" w:hAnsi="Palatino Linotype" w:cs="Palatino Linotype"/>
          <w:b/>
          <w:i/>
          <w:lang w:val="es-MX"/>
        </w:rPr>
      </w:pPr>
      <w:r w:rsidRPr="00A2012D">
        <w:rPr>
          <w:rFonts w:ascii="Palatino Linotype" w:eastAsia="Palatino Linotype" w:hAnsi="Palatino Linotype" w:cs="Palatino Linotype"/>
          <w:b/>
          <w:i/>
          <w:lang w:val="es-MX"/>
        </w:rPr>
        <w:t>Los sujetos obligados deben poner en práctica, políticas y programas de acceso a la información que se apeguen a criterios de publicidad, veracidad, oportunidad, precisión y suficiencia en beneficio de los solicitantes.</w:t>
      </w:r>
    </w:p>
    <w:p w14:paraId="2E1D08D3" w14:textId="77777777" w:rsidR="003C5916" w:rsidRPr="00A2012D" w:rsidRDefault="003C5916" w:rsidP="00207DF9">
      <w:pPr>
        <w:spacing w:line="360" w:lineRule="auto"/>
        <w:ind w:right="567"/>
        <w:jc w:val="both"/>
        <w:rPr>
          <w:rFonts w:ascii="Palatino Linotype" w:eastAsia="Palatino Linotype" w:hAnsi="Palatino Linotype" w:cs="Palatino Linotype"/>
          <w:i/>
          <w:color w:val="000000"/>
          <w:lang w:val="es-MX"/>
        </w:rPr>
      </w:pPr>
    </w:p>
    <w:p w14:paraId="2AE86537"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b/>
          <w:i/>
          <w:lang w:val="es-MX"/>
        </w:rPr>
        <w:t>Artículo 12. Quienes generen, recopilen, administren, manejen, procesen, archiven o conserven información pública serán responsables de la misma en los términos de las disposiciones jurídicas aplicables</w:t>
      </w:r>
      <w:r w:rsidRPr="00A2012D">
        <w:rPr>
          <w:rFonts w:ascii="Palatino Linotype" w:eastAsia="Palatino Linotype" w:hAnsi="Palatino Linotype" w:cs="Palatino Linotype"/>
          <w:i/>
          <w:lang w:val="es-MX"/>
        </w:rPr>
        <w:t xml:space="preserve">. </w:t>
      </w:r>
    </w:p>
    <w:p w14:paraId="307FAB4D" w14:textId="77777777" w:rsidR="003C5916" w:rsidRPr="00A2012D" w:rsidRDefault="003C5916" w:rsidP="00207DF9">
      <w:pPr>
        <w:spacing w:line="360" w:lineRule="auto"/>
        <w:ind w:left="567" w:right="567"/>
        <w:jc w:val="both"/>
        <w:rPr>
          <w:rFonts w:ascii="Palatino Linotype" w:eastAsia="Palatino Linotype" w:hAnsi="Palatino Linotype" w:cs="Palatino Linotype"/>
          <w:i/>
          <w:lang w:val="es-MX"/>
        </w:rPr>
      </w:pPr>
      <w:r w:rsidRPr="00A2012D">
        <w:rPr>
          <w:rFonts w:ascii="Palatino Linotype" w:eastAsia="Palatino Linotype" w:hAnsi="Palatino Linotype" w:cs="Palatino Linotype"/>
          <w:i/>
          <w:lang w:val="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CDB64EB" w14:textId="77777777" w:rsidR="003C5916" w:rsidRPr="00A2012D" w:rsidRDefault="003C5916" w:rsidP="00207DF9">
      <w:pPr>
        <w:spacing w:line="360" w:lineRule="auto"/>
        <w:ind w:left="567" w:right="567"/>
        <w:jc w:val="both"/>
        <w:rPr>
          <w:rFonts w:ascii="Palatino Linotype" w:eastAsia="Palatino Linotype" w:hAnsi="Palatino Linotype" w:cs="Palatino Linotype"/>
          <w:lang w:val="es-MX"/>
        </w:rPr>
      </w:pPr>
      <w:r w:rsidRPr="00A2012D">
        <w:rPr>
          <w:rFonts w:ascii="Palatino Linotype" w:eastAsia="Palatino Linotype" w:hAnsi="Palatino Linotype" w:cs="Palatino Linotype"/>
          <w:lang w:val="es-MX"/>
        </w:rPr>
        <w:t>(Énfasis añadido)</w:t>
      </w:r>
    </w:p>
    <w:p w14:paraId="77BB4AD5"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6732C7CF"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 xml:space="preserve">Es </w:t>
      </w:r>
      <w:r w:rsidRPr="00A2012D">
        <w:rPr>
          <w:rFonts w:ascii="Palatino Linotype" w:eastAsia="MS Mincho" w:hAnsi="Palatino Linotype"/>
          <w:color w:val="000000"/>
          <w:lang w:val="es-MX"/>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22848E9"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E81DE05"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 xml:space="preserve">Por </w:t>
      </w:r>
      <w:r w:rsidRPr="00A2012D">
        <w:rPr>
          <w:rFonts w:ascii="Palatino Linotype" w:eastAsia="MS Mincho" w:hAnsi="Palatino Linotype"/>
          <w:color w:val="000000"/>
          <w:lang w:val="es-MX"/>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A2012D">
        <w:rPr>
          <w:rFonts w:ascii="Palatino Linotype" w:hAnsi="Palatino Linotype"/>
          <w:vertAlign w:val="superscript"/>
        </w:rPr>
        <w:footnoteReference w:id="2"/>
      </w:r>
      <w:r w:rsidRPr="00A2012D">
        <w:rPr>
          <w:rFonts w:ascii="Palatino Linotype" w:eastAsia="MS Mincho" w:hAnsi="Palatino Linotype"/>
          <w:color w:val="000000"/>
          <w:lang w:val="es-MX"/>
        </w:rPr>
        <w:t>.</w:t>
      </w:r>
    </w:p>
    <w:p w14:paraId="572F5BAD"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EDCF169"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 xml:space="preserve">En </w:t>
      </w:r>
      <w:r w:rsidRPr="00A2012D">
        <w:rPr>
          <w:rFonts w:ascii="Palatino Linotype" w:eastAsia="MS Mincho" w:hAnsi="Palatino Linotype"/>
          <w:color w:val="000000"/>
          <w:lang w:val="es-MX"/>
        </w:rPr>
        <w:t xml:space="preserve">ese sentido, por un lado, se tiene la obligación de documentar todos los actos que se lleven a cabo en el ejercicio de sus funciones, atribuciones y competencias; mientras que por otro, se ven impuestos por la obligación de hacer pública toda </w:t>
      </w:r>
      <w:r w:rsidRPr="00A2012D">
        <w:rPr>
          <w:rFonts w:ascii="Palatino Linotype" w:eastAsia="MS Mincho" w:hAnsi="Palatino Linotype"/>
          <w:color w:val="000000"/>
          <w:lang w:val="es-MX"/>
        </w:rPr>
        <w:lastRenderedPageBreak/>
        <w:t>aquella información que se encuentre en su posesión en estricto apego a los principios de eficacia</w:t>
      </w:r>
      <w:r w:rsidRPr="00A2012D">
        <w:rPr>
          <w:rFonts w:ascii="Palatino Linotype" w:hAnsi="Palatino Linotype"/>
          <w:vertAlign w:val="superscript"/>
        </w:rPr>
        <w:footnoteReference w:id="3"/>
      </w:r>
      <w:r w:rsidRPr="00A2012D">
        <w:rPr>
          <w:rFonts w:ascii="Palatino Linotype" w:eastAsia="MS Mincho" w:hAnsi="Palatino Linotype"/>
          <w:color w:val="000000"/>
          <w:lang w:val="es-MX"/>
        </w:rPr>
        <w:t xml:space="preserve"> y máxima publicidad; sobre éste último se debe poner mayor énfasis, puesto que establece que </w:t>
      </w:r>
      <w:r w:rsidRPr="00A2012D">
        <w:rPr>
          <w:rFonts w:ascii="Palatino Linotype" w:eastAsia="MS Mincho" w:hAnsi="Palatino Linotype"/>
          <w:b/>
          <w:color w:val="000000"/>
          <w:u w:val="single"/>
          <w:lang w:val="es-MX"/>
        </w:rPr>
        <w:t>toda la información en posesión de los Sujetos Obligados será</w:t>
      </w:r>
      <w:r w:rsidRPr="00A2012D">
        <w:rPr>
          <w:rFonts w:ascii="Palatino Linotype" w:eastAsia="MS Mincho" w:hAnsi="Palatino Linotype"/>
          <w:color w:val="000000"/>
          <w:lang w:val="es-MX"/>
        </w:rPr>
        <w:t xml:space="preserve"> pública, completa, </w:t>
      </w:r>
      <w:r w:rsidRPr="00A2012D">
        <w:rPr>
          <w:rFonts w:ascii="Palatino Linotype" w:eastAsia="MS Mincho" w:hAnsi="Palatino Linotype"/>
          <w:b/>
          <w:color w:val="000000"/>
          <w:u w:val="single"/>
          <w:lang w:val="es-MX"/>
        </w:rPr>
        <w:t>oportuna</w:t>
      </w:r>
      <w:r w:rsidRPr="00A2012D">
        <w:rPr>
          <w:rFonts w:ascii="Palatino Linotype" w:eastAsia="MS Mincho" w:hAnsi="Palatino Linotype"/>
          <w:color w:val="000000"/>
          <w:lang w:val="es-MX"/>
        </w:rPr>
        <w:t xml:space="preserve"> y </w:t>
      </w:r>
      <w:r w:rsidRPr="00A2012D">
        <w:rPr>
          <w:rFonts w:ascii="Palatino Linotype" w:eastAsia="MS Mincho" w:hAnsi="Palatino Linotype"/>
          <w:b/>
          <w:color w:val="000000"/>
          <w:u w:val="single"/>
          <w:lang w:val="es-MX"/>
        </w:rPr>
        <w:t>accesible</w:t>
      </w:r>
      <w:r w:rsidRPr="00A2012D">
        <w:rPr>
          <w:rFonts w:ascii="Palatino Linotype" w:eastAsia="MS Mincho" w:hAnsi="Palatino Linotype"/>
          <w:color w:val="000000"/>
          <w:lang w:val="es-MX"/>
        </w:rPr>
        <w:t xml:space="preserve">, </w:t>
      </w:r>
      <w:r w:rsidRPr="00A2012D">
        <w:rPr>
          <w:rFonts w:ascii="Palatino Linotype" w:eastAsia="MS Mincho" w:hAnsi="Palatino Linotype"/>
          <w:b/>
          <w:color w:val="000000"/>
          <w:lang w:val="es-MX"/>
        </w:rPr>
        <w:t>lo que permite que la ciudadanía tenga un amplio acceso sobre lo que es el actuar de las autoridades</w:t>
      </w:r>
      <w:r w:rsidRPr="00A2012D">
        <w:rPr>
          <w:rFonts w:ascii="Palatino Linotype" w:eastAsia="MS Mincho" w:hAnsi="Palatino Linotype"/>
          <w:color w:val="000000"/>
          <w:lang w:val="es-MX"/>
        </w:rPr>
        <w:t>.</w:t>
      </w:r>
    </w:p>
    <w:p w14:paraId="0D2622C3"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B104F9C"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 xml:space="preserve">Robustece </w:t>
      </w:r>
      <w:r w:rsidRPr="00A2012D">
        <w:rPr>
          <w:rFonts w:ascii="Palatino Linotype" w:eastAsia="MS Mincho" w:hAnsi="Palatino Linotype"/>
          <w:color w:val="000000"/>
          <w:lang w:val="es-MX"/>
        </w:rPr>
        <w:t>lo anterior la Tesis aislada identificada con la clave I.4º.A.40 A del Cuarto Tribunal colegiado en Materia Administrativa del Primer Circuito, publicada en el Seminario Judicial de la Federación y su Gaceta en el libro XVIII, Marzo 2013, Página 1899:</w:t>
      </w:r>
    </w:p>
    <w:p w14:paraId="0BCAD311"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F0FD9E9" w14:textId="77777777" w:rsidR="003C5916" w:rsidRPr="00A2012D" w:rsidRDefault="003C5916" w:rsidP="00207DF9">
      <w:pPr>
        <w:tabs>
          <w:tab w:val="left" w:pos="142"/>
          <w:tab w:val="left" w:pos="284"/>
          <w:tab w:val="left" w:pos="426"/>
        </w:tabs>
        <w:spacing w:line="360" w:lineRule="auto"/>
        <w:ind w:left="567" w:right="567"/>
        <w:jc w:val="both"/>
        <w:rPr>
          <w:rFonts w:ascii="Palatino Linotype" w:eastAsia="Palatino Linotype" w:hAnsi="Palatino Linotype" w:cs="Palatino Linotype"/>
          <w:color w:val="000000"/>
          <w:lang w:val="es-MX"/>
        </w:rPr>
      </w:pPr>
      <w:r w:rsidRPr="00A2012D">
        <w:rPr>
          <w:rFonts w:ascii="Palatino Linotype" w:eastAsia="Palatino Linotype" w:hAnsi="Palatino Linotype" w:cs="Palatino Linotype"/>
          <w:b/>
          <w:i/>
          <w:color w:val="000000"/>
          <w:lang w:val="es-MX"/>
        </w:rPr>
        <w:t>ACCESO A LA INFORMACIÓN. IMPLICACIÓN DEL PRINCIPIO DE MÁXIMA PUBLICIDAD EN EL DERECHO FUNDAMENTAL RELATIVO.</w:t>
      </w:r>
      <w:r w:rsidRPr="00A2012D">
        <w:rPr>
          <w:rFonts w:ascii="Palatino Linotype" w:eastAsia="Palatino Linotype" w:hAnsi="Palatino Linotype" w:cs="Palatino Linotype"/>
          <w:i/>
          <w:color w:val="000000"/>
          <w:lang w:val="es-MX"/>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A2012D">
        <w:rPr>
          <w:rFonts w:ascii="Palatino Linotype" w:eastAsia="Palatino Linotype" w:hAnsi="Palatino Linotype" w:cs="Palatino Linotype"/>
          <w:i/>
          <w:color w:val="000000"/>
          <w:lang w:val="es-MX"/>
        </w:rPr>
        <w:lastRenderedPageBreak/>
        <w:t>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E27BC54"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5709F94"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rPr>
        <w:t xml:space="preserve">Tal </w:t>
      </w:r>
      <w:r w:rsidRPr="00A2012D">
        <w:rPr>
          <w:rFonts w:ascii="Palatino Linotype" w:eastAsia="MS Mincho" w:hAnsi="Palatino Linotype"/>
          <w:color w:val="000000"/>
          <w:lang w:val="es-MX"/>
        </w:rPr>
        <w:t xml:space="preserve">y como se ha señalado, </w:t>
      </w:r>
      <w:r w:rsidRPr="00A2012D">
        <w:rPr>
          <w:rFonts w:ascii="Palatino Linotype" w:eastAsia="MS Mincho" w:hAnsi="Palatino Linotype"/>
          <w:b/>
          <w:bCs/>
          <w:color w:val="000000"/>
          <w:lang w:val="es-MX"/>
        </w:rPr>
        <w:t>el derecho de acceso a la información se basa en permitir que la ciudadanía conozca de primera mano toda aquella información que se encuentra en posesión de los Sujetos Obligados</w:t>
      </w:r>
      <w:r w:rsidRPr="00A2012D">
        <w:rPr>
          <w:rFonts w:ascii="Palatino Linotype" w:eastAsia="MS Mincho" w:hAnsi="Palatino Linotype"/>
          <w:color w:val="000000"/>
          <w:lang w:val="es-MX"/>
        </w:rPr>
        <w:t xml:space="preserve">, ya sea porque la genera, posee o administra; </w:t>
      </w:r>
      <w:r w:rsidRPr="00A2012D">
        <w:rPr>
          <w:rFonts w:ascii="Palatino Linotype" w:eastAsia="MS Mincho" w:hAnsi="Palatino Linotype"/>
          <w:b/>
          <w:bCs/>
          <w:color w:val="000000"/>
          <w:lang w:val="es-MX"/>
        </w:rPr>
        <w:t>toda vez que</w:t>
      </w:r>
      <w:r w:rsidRPr="00A2012D">
        <w:rPr>
          <w:rFonts w:ascii="Palatino Linotype" w:eastAsia="MS Mincho" w:hAnsi="Palatino Linotype"/>
          <w:color w:val="000000"/>
          <w:lang w:val="es-MX"/>
        </w:rPr>
        <w:t xml:space="preserve">, a través de dicha acción, </w:t>
      </w:r>
      <w:r w:rsidRPr="00A2012D">
        <w:rPr>
          <w:rFonts w:ascii="Palatino Linotype" w:eastAsia="MS Mincho" w:hAnsi="Palatino Linotype"/>
          <w:b/>
          <w:color w:val="000000"/>
          <w:lang w:val="es-MX"/>
        </w:rPr>
        <w:t>permite que las personas ejerzan un medio de control sobre las acciones que se están ejerciendo y evaluar su desempeño</w:t>
      </w:r>
      <w:r w:rsidRPr="00A2012D">
        <w:rPr>
          <w:rFonts w:ascii="Palatino Linotype" w:eastAsia="MS Mincho" w:hAnsi="Palatino Linotype"/>
          <w:color w:val="000000"/>
          <w:lang w:val="es-MX"/>
        </w:rPr>
        <w:t>.</w:t>
      </w:r>
    </w:p>
    <w:p w14:paraId="7CA6F263"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BADC976" w14:textId="77777777" w:rsidR="003C5916" w:rsidRPr="00A2012D" w:rsidRDefault="003C5916" w:rsidP="00207DF9">
      <w:pPr>
        <w:tabs>
          <w:tab w:val="left" w:pos="426"/>
        </w:tabs>
        <w:spacing w:line="360" w:lineRule="auto"/>
        <w:ind w:right="51"/>
        <w:contextualSpacing/>
        <w:jc w:val="both"/>
        <w:outlineLvl w:val="2"/>
        <w:rPr>
          <w:rFonts w:ascii="Palatino Linotype" w:eastAsiaTheme="minorEastAsia" w:hAnsi="Palatino Linotype" w:cstheme="minorBidi"/>
          <w:b/>
          <w:bCs/>
          <w:color w:val="000000" w:themeColor="text1"/>
          <w:lang w:val="es-MX"/>
        </w:rPr>
      </w:pPr>
      <w:r w:rsidRPr="00A2012D">
        <w:rPr>
          <w:rFonts w:ascii="Palatino Linotype" w:eastAsiaTheme="minorEastAsia" w:hAnsi="Palatino Linotype" w:cstheme="minorBidi"/>
          <w:b/>
          <w:bCs/>
          <w:color w:val="000000" w:themeColor="text1"/>
          <w:lang w:val="es-MX"/>
        </w:rPr>
        <w:t>De la atención a la solicitud de información.</w:t>
      </w:r>
    </w:p>
    <w:p w14:paraId="45167355"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5D61D779" w14:textId="1079D5D0"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lang w:val="es-MX"/>
        </w:rPr>
        <w:lastRenderedPageBreak/>
        <w:t xml:space="preserve">Expuesto lo anterior, de la lectura a la solicitud de información </w:t>
      </w:r>
      <w:r w:rsidR="00E1380A" w:rsidRPr="00A2012D">
        <w:rPr>
          <w:rFonts w:ascii="Palatino Linotype" w:eastAsiaTheme="minorEastAsia" w:hAnsi="Palatino Linotype" w:cstheme="minorBidi"/>
          <w:b/>
          <w:bCs/>
        </w:rPr>
        <w:t>00080/HUEHUETO/IP/2022</w:t>
      </w:r>
      <w:r w:rsidRPr="00A2012D">
        <w:rPr>
          <w:rFonts w:ascii="Palatino Linotype" w:eastAsiaTheme="minorEastAsia" w:hAnsi="Palatino Linotype" w:cstheme="minorBidi"/>
          <w:lang w:val="es-MX"/>
        </w:rPr>
        <w:t xml:space="preserve">, se advierte que el particular requirió al </w:t>
      </w:r>
      <w:r w:rsidR="004D08C2" w:rsidRPr="00A2012D">
        <w:rPr>
          <w:rFonts w:ascii="Palatino Linotype" w:eastAsiaTheme="minorEastAsia" w:hAnsi="Palatino Linotype" w:cstheme="minorBidi"/>
          <w:b/>
          <w:bCs/>
        </w:rPr>
        <w:t>Ayuntamiento de Huehuetoca</w:t>
      </w:r>
      <w:r w:rsidRPr="00A2012D">
        <w:rPr>
          <w:rFonts w:ascii="Palatino Linotype" w:eastAsiaTheme="minorEastAsia" w:hAnsi="Palatino Linotype" w:cstheme="minorBidi"/>
          <w:lang w:val="es-MX"/>
        </w:rPr>
        <w:t xml:space="preserve"> lo siguiente</w:t>
      </w:r>
      <w:r w:rsidRPr="00A2012D">
        <w:rPr>
          <w:rFonts w:ascii="Palatino Linotype" w:eastAsiaTheme="minorEastAsia" w:hAnsi="Palatino Linotype" w:cs="Arial"/>
          <w:color w:val="000000" w:themeColor="text1"/>
          <w:lang w:val="es-MX"/>
        </w:rPr>
        <w:t>:</w:t>
      </w:r>
    </w:p>
    <w:p w14:paraId="081B6434" w14:textId="72AB1092" w:rsidR="00AE5BEF" w:rsidRPr="00A2012D" w:rsidRDefault="00E1380A" w:rsidP="00207DF9">
      <w:pPr>
        <w:pStyle w:val="Prrafodelista"/>
        <w:tabs>
          <w:tab w:val="left" w:pos="1134"/>
        </w:tabs>
        <w:spacing w:line="360" w:lineRule="auto"/>
        <w:ind w:left="567" w:right="616"/>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w:t>
      </w:r>
      <w:r w:rsidRPr="00A2012D">
        <w:rPr>
          <w:rFonts w:ascii="Palatino Linotype" w:eastAsiaTheme="minorEastAsia" w:hAnsi="Palatino Linotype" w:cstheme="minorBidi"/>
          <w:i/>
          <w:color w:val="000000" w:themeColor="text1"/>
          <w:lang w:val="es-MX"/>
        </w:rPr>
        <w:t>Estadisticas oficiales de criminalidd en el municipio de huehuetoca, dividido en violaciones,asalta a trausentes,homicidios,asalto a casa,negocios y mas durante los meses enero-abril del 2022 dividido por regiones o comunidades cuales son las de mayor indice de criminalidad</w:t>
      </w:r>
      <w:r w:rsidRPr="00A2012D">
        <w:rPr>
          <w:rFonts w:ascii="Palatino Linotype" w:eastAsiaTheme="minorEastAsia" w:hAnsi="Palatino Linotype" w:cstheme="minorBidi"/>
          <w:color w:val="000000" w:themeColor="text1"/>
          <w:lang w:val="es-MX"/>
        </w:rPr>
        <w:t>”(Sic).</w:t>
      </w:r>
    </w:p>
    <w:p w14:paraId="1D53D5B0" w14:textId="77777777" w:rsidR="00AE5BEF" w:rsidRPr="00A2012D" w:rsidRDefault="003C5916" w:rsidP="00207DF9">
      <w:pPr>
        <w:numPr>
          <w:ilvl w:val="0"/>
          <w:numId w:val="2"/>
        </w:numPr>
        <w:spacing w:line="360" w:lineRule="auto"/>
        <w:ind w:left="0" w:firstLine="0"/>
        <w:contextualSpacing/>
        <w:jc w:val="both"/>
        <w:rPr>
          <w:rFonts w:ascii="Palatino Linotype" w:eastAsiaTheme="minorEastAsia" w:hAnsi="Palatino Linotype" w:cstheme="minorBidi"/>
          <w:i/>
          <w:color w:val="000000" w:themeColor="text1"/>
          <w:lang w:val="es-MX"/>
        </w:rPr>
      </w:pPr>
      <w:r w:rsidRPr="00A2012D">
        <w:rPr>
          <w:rFonts w:ascii="Palatino Linotype" w:eastAsiaTheme="minorEastAsia" w:hAnsi="Palatino Linotype" w:cstheme="minorBidi"/>
          <w:color w:val="000000" w:themeColor="text1"/>
          <w:lang w:val="es-MX"/>
        </w:rPr>
        <w:t xml:space="preserve">Empero, dentro de los documentos que presentó el </w:t>
      </w:r>
      <w:r w:rsidRPr="00A2012D">
        <w:rPr>
          <w:rFonts w:ascii="Palatino Linotype" w:eastAsiaTheme="minorEastAsia" w:hAnsi="Palatino Linotype" w:cstheme="minorBidi"/>
          <w:b/>
          <w:color w:val="000000" w:themeColor="text1"/>
          <w:lang w:val="es-MX"/>
        </w:rPr>
        <w:t xml:space="preserve">SUJETO OBLIGADO </w:t>
      </w:r>
      <w:r w:rsidRPr="00A2012D">
        <w:rPr>
          <w:rFonts w:ascii="Palatino Linotype" w:eastAsiaTheme="minorEastAsia" w:hAnsi="Palatino Linotype" w:cstheme="minorBidi"/>
          <w:color w:val="000000" w:themeColor="text1"/>
          <w:lang w:val="es-MX"/>
        </w:rPr>
        <w:t>mediante informe justi</w:t>
      </w:r>
      <w:r w:rsidR="00AE5BEF" w:rsidRPr="00A2012D">
        <w:rPr>
          <w:rFonts w:ascii="Palatino Linotype" w:eastAsiaTheme="minorEastAsia" w:hAnsi="Palatino Linotype" w:cstheme="minorBidi"/>
          <w:color w:val="000000" w:themeColor="text1"/>
          <w:lang w:val="es-MX"/>
        </w:rPr>
        <w:t>ficado, destaca lo siguiente:</w:t>
      </w:r>
    </w:p>
    <w:p w14:paraId="58646615" w14:textId="054839AC" w:rsidR="00283030" w:rsidRPr="00A2012D" w:rsidRDefault="00313559" w:rsidP="00207DF9">
      <w:pPr>
        <w:spacing w:line="360" w:lineRule="auto"/>
        <w:ind w:left="567" w:right="616"/>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i/>
          <w:color w:val="000000" w:themeColor="text1"/>
          <w:lang w:val="es-MX"/>
        </w:rPr>
        <w:t>“</w:t>
      </w:r>
      <w:r w:rsidR="00283030" w:rsidRPr="00A2012D">
        <w:rPr>
          <w:rFonts w:ascii="Palatino Linotype" w:eastAsiaTheme="minorEastAsia" w:hAnsi="Palatino Linotype" w:cstheme="minorBidi"/>
          <w:i/>
          <w:color w:val="000000" w:themeColor="text1"/>
          <w:lang w:val="es-MX"/>
        </w:rPr>
        <w:t>Se envía la información solicitada, con la que cuenta los archivos de esta Dirección de Seguridad Pública y Vialidad Municipal de Huehuetoca, la cual es recabada de la base de datos del centro de comunicación C-2, informe del mes de enero-abril del 2022.</w:t>
      </w:r>
      <w:r w:rsidRPr="00A2012D">
        <w:rPr>
          <w:rFonts w:ascii="Palatino Linotype" w:eastAsiaTheme="minorEastAsia" w:hAnsi="Palatino Linotype" w:cstheme="minorBidi"/>
          <w:i/>
          <w:color w:val="000000" w:themeColor="text1"/>
          <w:lang w:val="es-MX"/>
        </w:rPr>
        <w:t>”</w:t>
      </w:r>
      <w:r w:rsidRPr="00A2012D">
        <w:rPr>
          <w:rFonts w:ascii="Palatino Linotype" w:eastAsiaTheme="minorEastAsia" w:hAnsi="Palatino Linotype" w:cstheme="minorBidi"/>
          <w:color w:val="000000" w:themeColor="text1"/>
          <w:lang w:val="es-MX"/>
        </w:rPr>
        <w:t>(Sic).</w:t>
      </w:r>
    </w:p>
    <w:p w14:paraId="1D134A28" w14:textId="4700F594" w:rsidR="00313559" w:rsidRPr="00A2012D" w:rsidRDefault="00313559" w:rsidP="00207DF9">
      <w:pPr>
        <w:spacing w:line="360" w:lineRule="auto"/>
        <w:contextualSpacing/>
        <w:jc w:val="center"/>
        <w:rPr>
          <w:rFonts w:ascii="Palatino Linotype" w:eastAsiaTheme="minorEastAsia" w:hAnsi="Palatino Linotype" w:cstheme="minorBidi"/>
          <w:i/>
          <w:color w:val="000000" w:themeColor="text1"/>
          <w:lang w:val="es-MX"/>
        </w:rPr>
      </w:pPr>
      <w:r w:rsidRPr="00A2012D">
        <w:rPr>
          <w:rFonts w:ascii="Palatino Linotype" w:hAnsi="Palatino Linotype"/>
          <w:noProof/>
          <w:lang w:val="es-MX" w:eastAsia="es-MX"/>
        </w:rPr>
        <w:drawing>
          <wp:inline distT="0" distB="0" distL="0" distR="0" wp14:anchorId="0ADA0F80" wp14:editId="7E11F395">
            <wp:extent cx="4486275" cy="1965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67" t="21452" r="16497" b="34287"/>
                    <a:stretch/>
                  </pic:blipFill>
                  <pic:spPr bwMode="auto">
                    <a:xfrm>
                      <a:off x="0" y="0"/>
                      <a:ext cx="4488845" cy="1966886"/>
                    </a:xfrm>
                    <a:prstGeom prst="rect">
                      <a:avLst/>
                    </a:prstGeom>
                    <a:ln>
                      <a:noFill/>
                    </a:ln>
                    <a:extLst>
                      <a:ext uri="{53640926-AAD7-44D8-BBD7-CCE9431645EC}">
                        <a14:shadowObscured xmlns:a14="http://schemas.microsoft.com/office/drawing/2010/main"/>
                      </a:ext>
                    </a:extLst>
                  </pic:spPr>
                </pic:pic>
              </a:graphicData>
            </a:graphic>
          </wp:inline>
        </w:drawing>
      </w:r>
    </w:p>
    <w:p w14:paraId="11BA89BA" w14:textId="77777777" w:rsidR="00313559" w:rsidRPr="00A2012D" w:rsidRDefault="00313559" w:rsidP="00207DF9">
      <w:pPr>
        <w:spacing w:line="360" w:lineRule="auto"/>
        <w:contextualSpacing/>
        <w:jc w:val="both"/>
        <w:rPr>
          <w:rFonts w:ascii="Palatino Linotype" w:eastAsiaTheme="minorEastAsia" w:hAnsi="Palatino Linotype" w:cstheme="minorBidi"/>
          <w:color w:val="000000" w:themeColor="text1"/>
          <w:lang w:val="es-MX"/>
        </w:rPr>
      </w:pPr>
    </w:p>
    <w:p w14:paraId="00A56F63" w14:textId="60140CF3" w:rsidR="00417057" w:rsidRPr="00A2012D" w:rsidRDefault="00313559" w:rsidP="00207DF9">
      <w:pPr>
        <w:pStyle w:val="Prrafodelista"/>
        <w:spacing w:line="360" w:lineRule="auto"/>
        <w:ind w:left="0"/>
        <w:jc w:val="center"/>
        <w:rPr>
          <w:rFonts w:ascii="Palatino Linotype" w:eastAsiaTheme="minorEastAsia" w:hAnsi="Palatino Linotype" w:cstheme="minorBidi"/>
          <w:color w:val="000000" w:themeColor="text1"/>
          <w:lang w:val="es-MX"/>
        </w:rPr>
      </w:pPr>
      <w:r w:rsidRPr="00A2012D">
        <w:rPr>
          <w:rFonts w:ascii="Palatino Linotype" w:hAnsi="Palatino Linotype"/>
          <w:noProof/>
          <w:lang w:val="es-MX" w:eastAsia="es-MX"/>
        </w:rPr>
        <w:lastRenderedPageBreak/>
        <w:drawing>
          <wp:inline distT="0" distB="0" distL="0" distR="0" wp14:anchorId="7C41BB76" wp14:editId="6BD450A6">
            <wp:extent cx="4762500" cy="502708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62" t="15207" r="27868" b="12563"/>
                    <a:stretch/>
                  </pic:blipFill>
                  <pic:spPr bwMode="auto">
                    <a:xfrm>
                      <a:off x="0" y="0"/>
                      <a:ext cx="4766611" cy="5031422"/>
                    </a:xfrm>
                    <a:prstGeom prst="rect">
                      <a:avLst/>
                    </a:prstGeom>
                    <a:ln>
                      <a:noFill/>
                    </a:ln>
                    <a:extLst>
                      <a:ext uri="{53640926-AAD7-44D8-BBD7-CCE9431645EC}">
                        <a14:shadowObscured xmlns:a14="http://schemas.microsoft.com/office/drawing/2010/main"/>
                      </a:ext>
                    </a:extLst>
                  </pic:spPr>
                </pic:pic>
              </a:graphicData>
            </a:graphic>
          </wp:inline>
        </w:drawing>
      </w:r>
    </w:p>
    <w:p w14:paraId="4B26E20C" w14:textId="06AFC2F5" w:rsidR="00313559" w:rsidRPr="00A2012D" w:rsidRDefault="00313559" w:rsidP="00207DF9">
      <w:pPr>
        <w:pStyle w:val="Prrafodelista"/>
        <w:spacing w:line="360" w:lineRule="auto"/>
        <w:ind w:left="567"/>
        <w:rPr>
          <w:rFonts w:ascii="Palatino Linotype" w:eastAsiaTheme="minorEastAsia" w:hAnsi="Palatino Linotype" w:cstheme="minorBidi"/>
          <w:color w:val="000000" w:themeColor="text1"/>
          <w:lang w:val="es-MX"/>
        </w:rPr>
      </w:pPr>
      <w:r w:rsidRPr="00A2012D">
        <w:rPr>
          <w:rFonts w:ascii="Palatino Linotype" w:hAnsi="Palatino Linotype"/>
          <w:noProof/>
          <w:lang w:val="es-MX" w:eastAsia="es-MX"/>
        </w:rPr>
        <w:drawing>
          <wp:inline distT="0" distB="0" distL="0" distR="0" wp14:anchorId="1FD6E575" wp14:editId="3409C3C0">
            <wp:extent cx="4486275" cy="19278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13" t="35029" r="29226" b="35916"/>
                    <a:stretch/>
                  </pic:blipFill>
                  <pic:spPr bwMode="auto">
                    <a:xfrm>
                      <a:off x="0" y="0"/>
                      <a:ext cx="4504881" cy="1935832"/>
                    </a:xfrm>
                    <a:prstGeom prst="rect">
                      <a:avLst/>
                    </a:prstGeom>
                    <a:ln>
                      <a:noFill/>
                    </a:ln>
                    <a:extLst>
                      <a:ext uri="{53640926-AAD7-44D8-BBD7-CCE9431645EC}">
                        <a14:shadowObscured xmlns:a14="http://schemas.microsoft.com/office/drawing/2010/main"/>
                      </a:ext>
                    </a:extLst>
                  </pic:spPr>
                </pic:pic>
              </a:graphicData>
            </a:graphic>
          </wp:inline>
        </w:drawing>
      </w:r>
    </w:p>
    <w:p w14:paraId="1C76E353" w14:textId="4B732512"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lastRenderedPageBreak/>
        <w:t xml:space="preserve">De lo anterior se coligue que se modificó el núcleo de su respuesta inicial, toda vez que se interpuso el recurso de revisión, sin embargo, </w:t>
      </w:r>
      <w:r w:rsidRPr="00A2012D">
        <w:rPr>
          <w:rFonts w:ascii="Palatino Linotype" w:eastAsiaTheme="minorEastAsia" w:hAnsi="Palatino Linotype" w:cstheme="minorBidi"/>
          <w:i/>
          <w:color w:val="000000" w:themeColor="text1"/>
          <w:lang w:val="es-MX"/>
        </w:rPr>
        <w:t>a posteriori</w:t>
      </w:r>
      <w:r w:rsidRPr="00A2012D">
        <w:rPr>
          <w:rFonts w:ascii="Palatino Linotype" w:eastAsiaTheme="minorEastAsia" w:hAnsi="Palatino Linotype" w:cstheme="minorBidi"/>
          <w:color w:val="000000" w:themeColor="text1"/>
          <w:lang w:val="es-MX"/>
        </w:rPr>
        <w:t>, en vía de informe justificado,</w:t>
      </w:r>
      <w:r w:rsidR="00313559" w:rsidRPr="00A2012D">
        <w:rPr>
          <w:rFonts w:ascii="Palatino Linotype" w:eastAsiaTheme="minorEastAsia" w:hAnsi="Palatino Linotype" w:cstheme="minorBidi"/>
          <w:color w:val="000000" w:themeColor="text1"/>
          <w:lang w:val="es-MX"/>
        </w:rPr>
        <w:t xml:space="preserve"> anexo la información que obra en sus archivos de la Dirección de Seguridad y Vialidad Municipal, recabada de la base de datos del Centro de comando y comunicación C-2.</w:t>
      </w:r>
    </w:p>
    <w:p w14:paraId="17FBA26C"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B92D6B6" w14:textId="33D010FE" w:rsidR="003C5916" w:rsidRPr="00A2012D" w:rsidRDefault="00CD450E"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E</w:t>
      </w:r>
      <w:r w:rsidR="003C5916" w:rsidRPr="00A2012D">
        <w:rPr>
          <w:rFonts w:ascii="Palatino Linotype" w:hAnsi="Palatino Linotype" w:cs="Arial"/>
          <w:lang w:val="es-MX"/>
        </w:rPr>
        <w:t xml:space="preserv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3C5916" w:rsidRPr="00A2012D">
        <w:rPr>
          <w:rFonts w:ascii="Palatino Linotype" w:hAnsi="Palatino Linotype" w:cs="Arial"/>
          <w:bCs/>
          <w:iCs/>
          <w:lang w:val="es-MX"/>
        </w:rPr>
        <w:t>SAIMEX</w:t>
      </w:r>
      <w:r w:rsidR="003C5916" w:rsidRPr="00A2012D">
        <w:rPr>
          <w:rFonts w:ascii="Palatino Linotype" w:hAnsi="Palatino Linotype" w:cs="Arial"/>
          <w:lang w:val="es-MX"/>
        </w:rPr>
        <w:t>.</w:t>
      </w:r>
    </w:p>
    <w:p w14:paraId="3B43D6EA"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34989DD5"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Sirve </w:t>
      </w:r>
      <w:r w:rsidRPr="00A2012D">
        <w:rPr>
          <w:rFonts w:ascii="Palatino Linotype" w:hAnsi="Palatino Linotype" w:cs="Arial"/>
          <w:lang w:val="es-MX"/>
        </w:rPr>
        <w:t>de apoyo a lo anterior por analogía, el Criterio 31-10 emitido por el ahora Instituto Nacional de Transparencia, Acceso a la Información y Protección de Datos Personales, que a la letra dice:</w:t>
      </w:r>
    </w:p>
    <w:p w14:paraId="5DEBD183"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3AD18653" w14:textId="77777777" w:rsidR="003C5916" w:rsidRPr="00A2012D" w:rsidRDefault="003C5916" w:rsidP="00207DF9">
      <w:pPr>
        <w:autoSpaceDE w:val="0"/>
        <w:autoSpaceDN w:val="0"/>
        <w:adjustRightInd w:val="0"/>
        <w:spacing w:line="360" w:lineRule="auto"/>
        <w:ind w:left="567" w:right="567"/>
        <w:jc w:val="both"/>
        <w:rPr>
          <w:rFonts w:ascii="Palatino Linotype" w:eastAsiaTheme="minorHAnsi" w:hAnsi="Palatino Linotype" w:cs="Arial"/>
          <w:color w:val="000000"/>
          <w:lang w:val="es-MX" w:eastAsia="en-US"/>
        </w:rPr>
      </w:pPr>
      <w:r w:rsidRPr="00A2012D">
        <w:rPr>
          <w:rFonts w:ascii="Palatino Linotype" w:eastAsiaTheme="minorHAnsi" w:hAnsi="Palatino Linotype" w:cs="Arial"/>
          <w:b/>
          <w:i/>
          <w:color w:val="000000"/>
          <w:lang w:val="es-MX" w:eastAsia="en-US"/>
        </w:rPr>
        <w:t>EL INSTITUTO FEDERAL DE ACCESO A LA INFORMACIÓN Y PROTECCIÓN DE DATOS</w:t>
      </w:r>
      <w:r w:rsidRPr="00A2012D">
        <w:rPr>
          <w:rFonts w:ascii="Palatino Linotype" w:eastAsiaTheme="minorHAnsi" w:hAnsi="Palatino Linotype" w:cs="Arial"/>
          <w:i/>
          <w:color w:val="000000"/>
          <w:lang w:val="es-MX" w:eastAsia="en-US"/>
        </w:rPr>
        <w:t xml:space="preserve"> </w:t>
      </w:r>
      <w:r w:rsidRPr="00A2012D">
        <w:rPr>
          <w:rFonts w:ascii="Palatino Linotype" w:eastAsiaTheme="minorHAnsi" w:hAnsi="Palatino Linotype" w:cs="Arial"/>
          <w:b/>
          <w:i/>
          <w:color w:val="000000"/>
          <w:lang w:val="es-MX" w:eastAsia="en-US"/>
        </w:rPr>
        <w:t>NO CUENTA CON FACULTADES PARA PRONUNCIARSE RESPECTO DE LA VERACIDAD DE LOS DOCUMENTOS PROPORCIONADOS POR LOS SUJETOS OBLIGADOS.</w:t>
      </w:r>
      <w:r w:rsidRPr="00A2012D">
        <w:rPr>
          <w:rFonts w:ascii="Palatino Linotype" w:eastAsiaTheme="minorHAnsi" w:hAnsi="Palatino Linotype" w:cs="Arial"/>
          <w:i/>
          <w:color w:val="000000"/>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w:t>
      </w:r>
      <w:r w:rsidRPr="00A2012D">
        <w:rPr>
          <w:rFonts w:ascii="Palatino Linotype" w:eastAsiaTheme="minorHAnsi" w:hAnsi="Palatino Linotype" w:cs="Arial"/>
          <w:i/>
          <w:color w:val="000000"/>
          <w:lang w:val="es-MX" w:eastAsia="en-US"/>
        </w:rPr>
        <w:lastRenderedPageBreak/>
        <w:t xml:space="preserve">solicitudes de acceso a la información; y proteger los datos personales en poder de las dependencias y entidades. Sin embargo, </w:t>
      </w:r>
      <w:r w:rsidRPr="00A2012D">
        <w:rPr>
          <w:rFonts w:ascii="Palatino Linotype" w:eastAsiaTheme="minorHAnsi" w:hAnsi="Palatino Linotype" w:cs="Arial"/>
          <w:b/>
          <w:i/>
          <w:color w:val="000000"/>
          <w:lang w:val="es-MX" w:eastAsia="en-US"/>
        </w:rPr>
        <w:t>no está facultado para pronunciarse sobre la veracidad de la información proporcionada por las autoridades en respuesta a las solicitudes de información que les presentan los particulares</w:t>
      </w:r>
      <w:r w:rsidRPr="00A2012D">
        <w:rPr>
          <w:rFonts w:ascii="Palatino Linotype" w:eastAsiaTheme="minorHAnsi" w:hAnsi="Palatino Linotype" w:cs="Arial"/>
          <w:i/>
          <w:color w:val="000000"/>
          <w:lang w:val="es-MX" w:eastAsia="en-US"/>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2012D">
        <w:rPr>
          <w:rFonts w:ascii="Palatino Linotype" w:eastAsiaTheme="minorHAnsi" w:hAnsi="Palatino Linotype" w:cs="Arial"/>
          <w:i/>
          <w:color w:val="000000"/>
          <w:lang w:val="es-MX" w:eastAsia="en-US"/>
        </w:rPr>
        <w:br/>
      </w:r>
      <w:r w:rsidRPr="00A2012D">
        <w:rPr>
          <w:rFonts w:ascii="Palatino Linotype" w:eastAsiaTheme="minorHAnsi" w:hAnsi="Palatino Linotype" w:cs="Arial"/>
          <w:color w:val="000000"/>
          <w:lang w:val="es-MX" w:eastAsia="en-US"/>
        </w:rPr>
        <w:t>(Énfasis añadido)</w:t>
      </w:r>
    </w:p>
    <w:p w14:paraId="131B0209"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E29CB9E"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En </w:t>
      </w:r>
      <w:r w:rsidRPr="00A2012D">
        <w:rPr>
          <w:rFonts w:ascii="Palatino Linotype" w:hAnsi="Palatino Linotype" w:cs="Arial"/>
          <w:lang w:val="es-MX"/>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747536A6"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FBE7EBB" w14:textId="77777777" w:rsidR="003C5916" w:rsidRPr="00A2012D" w:rsidRDefault="003C5916" w:rsidP="00207DF9">
      <w:pPr>
        <w:spacing w:line="360" w:lineRule="auto"/>
        <w:ind w:left="567" w:right="567"/>
        <w:contextualSpacing/>
        <w:jc w:val="both"/>
        <w:rPr>
          <w:rFonts w:ascii="Palatino Linotype" w:eastAsiaTheme="minorEastAsia" w:hAnsi="Palatino Linotype" w:cs="Arial"/>
          <w:b/>
          <w:i/>
          <w:lang w:val="es-MX"/>
        </w:rPr>
      </w:pPr>
      <w:r w:rsidRPr="00A2012D">
        <w:rPr>
          <w:rFonts w:ascii="Palatino Linotype" w:eastAsiaTheme="minorEastAsia" w:hAnsi="Palatino Linotype" w:cs="Arial"/>
          <w:b/>
          <w:i/>
          <w:lang w:val="es-MX"/>
        </w:rPr>
        <w:t>Artículo 3.-</w:t>
      </w:r>
      <w:r w:rsidRPr="00A2012D">
        <w:rPr>
          <w:rFonts w:ascii="Palatino Linotype" w:eastAsiaTheme="minorEastAsia" w:hAnsi="Palatino Linotype" w:cs="Arial"/>
          <w:i/>
          <w:lang w:val="es-MX"/>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A2012D">
        <w:rPr>
          <w:rFonts w:ascii="Palatino Linotype" w:eastAsiaTheme="minorEastAsia" w:hAnsi="Palatino Linotype" w:cs="Arial"/>
          <w:b/>
          <w:i/>
          <w:lang w:val="es-MX"/>
        </w:rPr>
        <w:t>Los Sujetos Obligados deben poner en práctica, políticas y programas de acceso a la información que se apeguen a criterios de publicidad, veracidad, oportunidad, precisión y suficiencia en beneficio de los solicitantes.</w:t>
      </w:r>
    </w:p>
    <w:p w14:paraId="5A10B2A9" w14:textId="77777777" w:rsidR="003C5916" w:rsidRPr="00A2012D" w:rsidRDefault="003C5916" w:rsidP="00207DF9">
      <w:pPr>
        <w:spacing w:line="360" w:lineRule="auto"/>
        <w:ind w:left="567" w:right="567"/>
        <w:contextualSpacing/>
        <w:jc w:val="both"/>
        <w:rPr>
          <w:rFonts w:ascii="Palatino Linotype" w:eastAsiaTheme="minorEastAsia" w:hAnsi="Palatino Linotype" w:cs="Arial"/>
          <w:iCs/>
          <w:lang w:val="es-MX"/>
        </w:rPr>
      </w:pPr>
      <w:r w:rsidRPr="00A2012D">
        <w:rPr>
          <w:rFonts w:ascii="Palatino Linotype" w:eastAsiaTheme="minorEastAsia" w:hAnsi="Palatino Linotype" w:cs="Arial"/>
          <w:iCs/>
          <w:lang w:val="es-MX"/>
        </w:rPr>
        <w:lastRenderedPageBreak/>
        <w:t>(Énfasis añadido)</w:t>
      </w:r>
    </w:p>
    <w:p w14:paraId="4DA2D85B"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B530887"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Disposiciones que compelen al </w:t>
      </w:r>
      <w:r w:rsidRPr="00A2012D">
        <w:rPr>
          <w:rFonts w:ascii="Palatino Linotype" w:eastAsiaTheme="minorEastAsia" w:hAnsi="Palatino Linotype" w:cstheme="minorBidi"/>
          <w:b/>
          <w:color w:val="000000" w:themeColor="text1"/>
          <w:lang w:val="es-MX"/>
        </w:rPr>
        <w:t>SUJETO OBLIGADO</w:t>
      </w:r>
      <w:r w:rsidRPr="00A2012D">
        <w:rPr>
          <w:rFonts w:ascii="Palatino Linotype" w:eastAsiaTheme="minorEastAsia" w:hAnsi="Palatino Linotype" w:cstheme="minorBidi"/>
          <w:color w:val="000000" w:themeColor="text1"/>
          <w:lang w:val="es-MX"/>
        </w:rPr>
        <w:t xml:space="preserve"> a apegarse en todo momento a los criterios ya expuestos, impidiendo a este Órgano Colegiado </w:t>
      </w:r>
    </w:p>
    <w:p w14:paraId="3B7B0B58" w14:textId="77777777" w:rsidR="003C5916" w:rsidRPr="00A2012D" w:rsidRDefault="003C5916" w:rsidP="00207DF9">
      <w:pPr>
        <w:tabs>
          <w:tab w:val="left" w:pos="426"/>
        </w:tabs>
        <w:spacing w:line="360" w:lineRule="auto"/>
        <w:ind w:right="51"/>
        <w:contextualSpacing/>
        <w:jc w:val="both"/>
        <w:outlineLvl w:val="2"/>
        <w:rPr>
          <w:rFonts w:ascii="Palatino Linotype" w:eastAsiaTheme="minorEastAsia" w:hAnsi="Palatino Linotype" w:cstheme="minorBidi"/>
          <w:b/>
          <w:color w:val="000000" w:themeColor="text1"/>
          <w:lang w:val="es-MX"/>
        </w:rPr>
      </w:pPr>
    </w:p>
    <w:p w14:paraId="7A6F02CF" w14:textId="77777777" w:rsidR="003C5916" w:rsidRPr="00A2012D" w:rsidRDefault="003C5916" w:rsidP="00207DF9">
      <w:pPr>
        <w:tabs>
          <w:tab w:val="left" w:pos="426"/>
        </w:tabs>
        <w:spacing w:line="360" w:lineRule="auto"/>
        <w:ind w:right="51"/>
        <w:contextualSpacing/>
        <w:jc w:val="both"/>
        <w:outlineLvl w:val="2"/>
        <w:rPr>
          <w:rFonts w:ascii="Palatino Linotype" w:eastAsiaTheme="minorEastAsia" w:hAnsi="Palatino Linotype" w:cstheme="minorBidi"/>
          <w:b/>
          <w:color w:val="000000" w:themeColor="text1"/>
          <w:lang w:val="es-MX"/>
        </w:rPr>
      </w:pPr>
      <w:r w:rsidRPr="00A2012D">
        <w:rPr>
          <w:rFonts w:ascii="Palatino Linotype" w:eastAsiaTheme="minorEastAsia" w:hAnsi="Palatino Linotype" w:cstheme="minorBidi"/>
          <w:b/>
          <w:color w:val="000000" w:themeColor="text1"/>
          <w:lang w:val="es-MX"/>
        </w:rPr>
        <w:t>Del sobreseimiento.</w:t>
      </w:r>
    </w:p>
    <w:p w14:paraId="0FCBC938"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7F3334D"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Así las cosas, conviene señalar que </w:t>
      </w:r>
      <w:r w:rsidRPr="00A2012D">
        <w:rPr>
          <w:rFonts w:ascii="Palatino Linotype" w:eastAsia="MS Mincho" w:hAnsi="Palatino Linotype"/>
          <w:color w:val="000000"/>
          <w:lang w:val="es-MX"/>
        </w:rPr>
        <w:t>el artículo 192</w:t>
      </w:r>
      <w:r w:rsidRPr="00A2012D">
        <w:rPr>
          <w:rFonts w:ascii="Palatino Linotype" w:eastAsiaTheme="minorEastAsia" w:hAnsi="Palatino Linotype" w:cstheme="minorBidi"/>
          <w:lang w:val="es-MX"/>
        </w:rPr>
        <w:t xml:space="preserve"> de la </w:t>
      </w:r>
      <w:r w:rsidRPr="00A2012D">
        <w:rPr>
          <w:rFonts w:ascii="Palatino Linotype" w:eastAsia="MS Mincho" w:hAnsi="Palatino Linotype"/>
          <w:color w:val="000000"/>
          <w:lang w:val="es-MX"/>
        </w:rPr>
        <w:t>Ley de Transparencia y Acceso a la Información Pública del Estado de México y Municipios, establece lo siguiente:</w:t>
      </w:r>
    </w:p>
    <w:p w14:paraId="6803CF29"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52F4EF4" w14:textId="77777777" w:rsidR="003C5916" w:rsidRPr="00A2012D" w:rsidRDefault="003C5916" w:rsidP="00207DF9">
      <w:pPr>
        <w:tabs>
          <w:tab w:val="left" w:pos="426"/>
        </w:tabs>
        <w:spacing w:line="360" w:lineRule="auto"/>
        <w:ind w:left="567" w:right="567"/>
        <w:contextualSpacing/>
        <w:jc w:val="both"/>
        <w:rPr>
          <w:rFonts w:ascii="Palatino Linotype" w:eastAsiaTheme="minorEastAsia" w:hAnsi="Palatino Linotype" w:cstheme="minorBidi"/>
          <w:i/>
          <w:lang w:val="es-MX"/>
        </w:rPr>
      </w:pPr>
      <w:r w:rsidRPr="00A2012D">
        <w:rPr>
          <w:rFonts w:ascii="Palatino Linotype" w:eastAsiaTheme="minorEastAsia" w:hAnsi="Palatino Linotype" w:cstheme="minorBidi"/>
          <w:i/>
          <w:lang w:val="es-MX"/>
        </w:rPr>
        <w:t>“</w:t>
      </w:r>
      <w:r w:rsidRPr="00A2012D">
        <w:rPr>
          <w:rFonts w:ascii="Palatino Linotype" w:eastAsiaTheme="minorEastAsia" w:hAnsi="Palatino Linotype" w:cstheme="minorBidi"/>
          <w:b/>
          <w:i/>
          <w:lang w:val="es-MX"/>
        </w:rPr>
        <w:t>Artículo 192.</w:t>
      </w:r>
      <w:r w:rsidRPr="00A2012D">
        <w:rPr>
          <w:rFonts w:ascii="Palatino Linotype" w:eastAsiaTheme="minorEastAsia" w:hAnsi="Palatino Linotype" w:cstheme="minorBidi"/>
          <w:i/>
          <w:lang w:val="es-MX"/>
        </w:rPr>
        <w:t xml:space="preserve"> El recurso será sobreseído, en todo o en parte, cuando una vez admitido, se actualicen alguno de los siguientes supuestos:</w:t>
      </w:r>
    </w:p>
    <w:p w14:paraId="32F4D888" w14:textId="77777777" w:rsidR="003C5916" w:rsidRPr="00A2012D" w:rsidRDefault="003C5916" w:rsidP="00207DF9">
      <w:pPr>
        <w:tabs>
          <w:tab w:val="left" w:pos="426"/>
        </w:tabs>
        <w:spacing w:line="360" w:lineRule="auto"/>
        <w:ind w:left="567" w:right="567"/>
        <w:contextualSpacing/>
        <w:jc w:val="both"/>
        <w:rPr>
          <w:rFonts w:ascii="Palatino Linotype" w:eastAsiaTheme="minorEastAsia" w:hAnsi="Palatino Linotype" w:cstheme="minorBidi"/>
          <w:i/>
          <w:lang w:val="es-MX"/>
        </w:rPr>
      </w:pPr>
      <w:r w:rsidRPr="00A2012D">
        <w:rPr>
          <w:rFonts w:ascii="Palatino Linotype" w:eastAsiaTheme="minorEastAsia" w:hAnsi="Palatino Linotype" w:cstheme="minorBidi"/>
          <w:i/>
          <w:lang w:val="es-MX"/>
        </w:rPr>
        <w:t>(…)</w:t>
      </w:r>
    </w:p>
    <w:p w14:paraId="7623B6D7" w14:textId="77777777" w:rsidR="003C5916" w:rsidRPr="00A2012D" w:rsidRDefault="003C5916" w:rsidP="00207DF9">
      <w:pPr>
        <w:tabs>
          <w:tab w:val="left" w:pos="426"/>
        </w:tabs>
        <w:spacing w:line="360" w:lineRule="auto"/>
        <w:ind w:left="567" w:right="567"/>
        <w:contextualSpacing/>
        <w:jc w:val="both"/>
        <w:rPr>
          <w:rFonts w:ascii="Palatino Linotype" w:eastAsiaTheme="minorEastAsia" w:hAnsi="Palatino Linotype" w:cstheme="minorBidi"/>
          <w:i/>
          <w:lang w:val="es-MX"/>
        </w:rPr>
      </w:pPr>
      <w:r w:rsidRPr="00A2012D">
        <w:rPr>
          <w:rFonts w:ascii="Palatino Linotype" w:eastAsiaTheme="minorEastAsia" w:hAnsi="Palatino Linotype" w:cstheme="minorBidi"/>
          <w:b/>
          <w:i/>
          <w:lang w:val="es-MX"/>
        </w:rPr>
        <w:t>III.</w:t>
      </w:r>
      <w:r w:rsidRPr="00A2012D">
        <w:rPr>
          <w:rFonts w:ascii="Palatino Linotype" w:eastAsiaTheme="minorEastAsia" w:hAnsi="Palatino Linotype" w:cstheme="minorBidi"/>
          <w:i/>
          <w:lang w:val="es-MX"/>
        </w:rPr>
        <w:t xml:space="preserve"> </w:t>
      </w:r>
      <w:r w:rsidRPr="00A2012D">
        <w:rPr>
          <w:rFonts w:ascii="Palatino Linotype" w:eastAsiaTheme="minorEastAsia" w:hAnsi="Palatino Linotype" w:cstheme="minorBidi"/>
          <w:b/>
          <w:i/>
          <w:lang w:val="es-MX"/>
        </w:rPr>
        <w:t>El sujeto obligado responsable del acto lo modifique</w:t>
      </w:r>
      <w:r w:rsidRPr="00A2012D">
        <w:rPr>
          <w:rFonts w:ascii="Palatino Linotype" w:eastAsiaTheme="minorEastAsia" w:hAnsi="Palatino Linotype" w:cstheme="minorBidi"/>
          <w:i/>
          <w:lang w:val="es-MX"/>
        </w:rPr>
        <w:t xml:space="preserve"> o revoque de tal manera que el recurso de revisión quede sin materia;</w:t>
      </w:r>
    </w:p>
    <w:p w14:paraId="532A435A" w14:textId="77777777" w:rsidR="003C5916" w:rsidRPr="00A2012D" w:rsidRDefault="003C5916" w:rsidP="00207DF9">
      <w:pPr>
        <w:tabs>
          <w:tab w:val="left" w:pos="426"/>
        </w:tabs>
        <w:spacing w:line="360" w:lineRule="auto"/>
        <w:ind w:left="567" w:right="567"/>
        <w:contextualSpacing/>
        <w:jc w:val="both"/>
        <w:rPr>
          <w:rFonts w:ascii="Palatino Linotype" w:eastAsiaTheme="minorEastAsia" w:hAnsi="Palatino Linotype" w:cstheme="minorBidi"/>
          <w:i/>
          <w:lang w:val="es-MX"/>
        </w:rPr>
      </w:pPr>
      <w:r w:rsidRPr="00A2012D">
        <w:rPr>
          <w:rFonts w:ascii="Palatino Linotype" w:eastAsiaTheme="minorEastAsia" w:hAnsi="Palatino Linotype" w:cstheme="minorBidi"/>
          <w:i/>
          <w:lang w:val="es-MX"/>
        </w:rPr>
        <w:t>(…)”</w:t>
      </w:r>
    </w:p>
    <w:p w14:paraId="1766A73E" w14:textId="77777777" w:rsidR="003C5916" w:rsidRPr="00A2012D" w:rsidRDefault="003C5916" w:rsidP="00207DF9">
      <w:pPr>
        <w:tabs>
          <w:tab w:val="left" w:pos="426"/>
        </w:tabs>
        <w:spacing w:line="360" w:lineRule="auto"/>
        <w:ind w:left="567" w:right="567"/>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lang w:val="es-MX"/>
        </w:rPr>
        <w:t>(Énfasis añadido)</w:t>
      </w:r>
    </w:p>
    <w:p w14:paraId="582ABD4E"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AAD339F"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Precisado </w:t>
      </w:r>
      <w:r w:rsidRPr="00A2012D">
        <w:rPr>
          <w:rFonts w:ascii="Palatino Linotype" w:eastAsiaTheme="minorEastAsia" w:hAnsi="Palatino Linotype" w:cstheme="minorBidi"/>
          <w:lang w:val="es-MX" w:eastAsia="en-US"/>
        </w:rPr>
        <w:t xml:space="preserve">lo anterior, </w:t>
      </w:r>
      <w:r w:rsidRPr="00A2012D">
        <w:rPr>
          <w:rFonts w:ascii="Palatino Linotype" w:eastAsia="Batang" w:hAnsi="Palatino Linotype" w:cs="Arial"/>
          <w:lang w:val="es-MX"/>
        </w:rPr>
        <w:t xml:space="preserve">por lo que hace a las causas de sobreseimiento contenidas en </w:t>
      </w:r>
      <w:r w:rsidRPr="00A2012D">
        <w:rPr>
          <w:rFonts w:ascii="Palatino Linotype" w:eastAsiaTheme="minorEastAsia" w:hAnsi="Palatino Linotype" w:cs="Arial"/>
          <w:lang w:val="es-MX"/>
        </w:rPr>
        <w:t xml:space="preserve">la fracción III del artículo 192 </w:t>
      </w:r>
      <w:r w:rsidRPr="00A2012D">
        <w:rPr>
          <w:rFonts w:ascii="Palatino Linotype" w:eastAsia="Batang" w:hAnsi="Palatino Linotype" w:cs="Arial"/>
          <w:lang w:val="es-MX"/>
        </w:rPr>
        <w:t xml:space="preserve">de la </w:t>
      </w:r>
      <w:r w:rsidRPr="00A2012D">
        <w:rPr>
          <w:rFonts w:ascii="Palatino Linotype" w:eastAsia="Batang" w:hAnsi="Palatino Linotype" w:cs="Arial"/>
          <w:b/>
          <w:lang w:val="es-MX"/>
        </w:rPr>
        <w:t>Ley de Transparencia y Acceso a la Información Pública del Estado de México y Municipios</w:t>
      </w:r>
      <w:r w:rsidRPr="00A2012D">
        <w:rPr>
          <w:rFonts w:ascii="Palatino Linotype" w:eastAsia="Batang" w:hAnsi="Palatino Linotype" w:cs="Arial"/>
          <w:lang w:val="es-MX"/>
        </w:rPr>
        <w:t xml:space="preserve">, es oportuno señalar que estos requisitos privilegian la existencia de elementos de fondo, tales como el desistimiento o fallecimiento del </w:t>
      </w:r>
      <w:r w:rsidRPr="00A2012D">
        <w:rPr>
          <w:rFonts w:ascii="Palatino Linotype" w:eastAsia="Batang" w:hAnsi="Palatino Linotype" w:cs="Arial"/>
          <w:b/>
          <w:lang w:val="es-MX"/>
        </w:rPr>
        <w:t>RECURRENTE,</w:t>
      </w:r>
      <w:r w:rsidRPr="00A2012D">
        <w:rPr>
          <w:rFonts w:ascii="Palatino Linotype" w:eastAsia="Batang" w:hAnsi="Palatino Linotype" w:cs="Arial"/>
          <w:lang w:val="es-MX"/>
        </w:rPr>
        <w:t xml:space="preserve"> o que el </w:t>
      </w:r>
      <w:r w:rsidRPr="00A2012D">
        <w:rPr>
          <w:rFonts w:ascii="Palatino Linotype" w:eastAsia="Batang" w:hAnsi="Palatino Linotype" w:cs="Arial"/>
          <w:b/>
          <w:lang w:val="es-MX"/>
        </w:rPr>
        <w:t>SUJETO OBLIGADO</w:t>
      </w:r>
      <w:r w:rsidRPr="00A2012D">
        <w:rPr>
          <w:rFonts w:ascii="Palatino Linotype" w:eastAsia="Batang" w:hAnsi="Palatino Linotype" w:cs="Arial"/>
          <w:lang w:val="es-MX"/>
        </w:rPr>
        <w:t xml:space="preserve"> </w:t>
      </w:r>
      <w:r w:rsidRPr="00A2012D">
        <w:rPr>
          <w:rFonts w:ascii="Palatino Linotype" w:eastAsia="Batang" w:hAnsi="Palatino Linotype" w:cs="Arial"/>
          <w:b/>
          <w:u w:val="single"/>
          <w:lang w:val="es-MX"/>
        </w:rPr>
        <w:t>modifique o revoque el acto</w:t>
      </w:r>
      <w:r w:rsidRPr="00A2012D">
        <w:rPr>
          <w:rFonts w:ascii="Palatino Linotype" w:eastAsia="Batang" w:hAnsi="Palatino Linotype" w:cs="Arial"/>
          <w:lang w:val="es-MX"/>
        </w:rPr>
        <w:t xml:space="preserve">; de ahí que la actualización de alguno de éstos trae </w:t>
      </w:r>
      <w:r w:rsidRPr="00A2012D">
        <w:rPr>
          <w:rFonts w:ascii="Palatino Linotype" w:eastAsia="Batang" w:hAnsi="Palatino Linotype" w:cs="Arial"/>
          <w:lang w:val="es-MX"/>
        </w:rPr>
        <w:lastRenderedPageBreak/>
        <w:t>como consecuencia que el medio de impugnación se concluya sin que se analice el objeto de estudio planteado, es decir se sobresea.</w:t>
      </w:r>
    </w:p>
    <w:p w14:paraId="61A2563E"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BD36F8D"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lang w:val="es-MX"/>
        </w:rPr>
        <w:t xml:space="preserve">Por </w:t>
      </w:r>
      <w:r w:rsidRPr="00A2012D">
        <w:rPr>
          <w:rFonts w:ascii="Palatino Linotype" w:eastAsia="Batang" w:hAnsi="Palatino Linotype" w:cs="Arial"/>
        </w:rPr>
        <w:t>otra parte, la doctrina establece que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96B44B2" w14:textId="77777777" w:rsidR="003C5916" w:rsidRPr="00A2012D" w:rsidRDefault="003C5916" w:rsidP="00207DF9">
      <w:pPr>
        <w:tabs>
          <w:tab w:val="left" w:pos="426"/>
        </w:tabs>
        <w:spacing w:line="360" w:lineRule="auto"/>
        <w:ind w:right="51"/>
        <w:contextualSpacing/>
        <w:jc w:val="both"/>
        <w:rPr>
          <w:rFonts w:ascii="Palatino Linotype" w:eastAsia="Batang" w:hAnsi="Palatino Linotype" w:cs="Arial"/>
        </w:rPr>
      </w:pPr>
    </w:p>
    <w:p w14:paraId="53373DA6" w14:textId="77777777" w:rsidR="003C5916" w:rsidRPr="00A2012D" w:rsidRDefault="003C5916" w:rsidP="00207DF9">
      <w:pPr>
        <w:autoSpaceDE w:val="0"/>
        <w:autoSpaceDN w:val="0"/>
        <w:adjustRightInd w:val="0"/>
        <w:spacing w:line="360" w:lineRule="auto"/>
        <w:ind w:left="720" w:right="616"/>
        <w:contextualSpacing/>
        <w:jc w:val="both"/>
        <w:rPr>
          <w:rFonts w:ascii="Palatino Linotype" w:eastAsia="Batang" w:hAnsi="Palatino Linotype" w:cs="Arial"/>
          <w:iCs/>
          <w:lang w:val="es-AR"/>
        </w:rPr>
      </w:pPr>
      <w:r w:rsidRPr="00A2012D">
        <w:rPr>
          <w:rFonts w:ascii="Palatino Linotype" w:eastAsia="Batang" w:hAnsi="Palatino Linotype" w:cs="Arial"/>
          <w:b/>
          <w:i/>
          <w:lang w:val="es-AR"/>
        </w:rPr>
        <w:t>SOBRESEIMIENTO EN EL JUICIO DE AMPARO DIRECTO. IMPIDE EL ESTUDIO DE LAS VIOLACIONES PROCESALES PLANTEADAS EN LOS CONCEPTOS DE VIOLACIÓN. “El sobreseimiento</w:t>
      </w:r>
      <w:r w:rsidRPr="00A2012D">
        <w:rPr>
          <w:rFonts w:ascii="Palatino Linotype" w:eastAsia="Batang" w:hAnsi="Palatino Linotype" w:cs="Arial"/>
          <w:i/>
          <w:lang w:val="es-AR"/>
        </w:rPr>
        <w:t xml:space="preserve"> en el juicio de amparo directo </w:t>
      </w:r>
      <w:r w:rsidRPr="00A2012D">
        <w:rPr>
          <w:rFonts w:ascii="Palatino Linotype" w:eastAsia="Batang" w:hAnsi="Palatino Linotype" w:cs="Arial"/>
          <w:b/>
          <w:i/>
          <w:lang w:val="es-AR"/>
        </w:rPr>
        <w:t>provoca la terminación de la controversia planteada</w:t>
      </w:r>
      <w:r w:rsidRPr="00A2012D">
        <w:rPr>
          <w:rFonts w:ascii="Palatino Linotype" w:eastAsia="Batang" w:hAnsi="Palatino Linotype" w:cs="Arial"/>
          <w:i/>
          <w:lang w:val="es-AR"/>
        </w:rPr>
        <w:t xml:space="preserve"> por el quejoso en la demanda de amparo</w:t>
      </w:r>
      <w:r w:rsidRPr="00A2012D">
        <w:rPr>
          <w:rFonts w:ascii="Palatino Linotype" w:eastAsia="Batang" w:hAnsi="Palatino Linotype" w:cs="Arial"/>
          <w:b/>
          <w:i/>
          <w:lang w:val="es-AR"/>
        </w:rPr>
        <w:t>, sin hacer un pronunciamiento de fondo sobre la legalidad o ilegalidad de la sentencia reclamada</w:t>
      </w:r>
      <w:r w:rsidRPr="00A2012D">
        <w:rPr>
          <w:rFonts w:ascii="Palatino Linotype" w:eastAsia="Batang" w:hAnsi="Palatino Linotype" w:cs="Arial"/>
          <w:i/>
          <w:lang w:val="es-AR"/>
        </w:rPr>
        <w:t xml:space="preserve">. </w:t>
      </w:r>
      <w:r w:rsidRPr="00A2012D">
        <w:rPr>
          <w:rFonts w:ascii="Palatino Linotype" w:eastAsia="Batang" w:hAnsi="Palatino Linotype" w:cs="Arial"/>
          <w:b/>
          <w:i/>
          <w:lang w:val="es-AR"/>
        </w:rPr>
        <w:t xml:space="preserve">Por consiguiente, si al sobreseerse en el juicio de amparo </w:t>
      </w:r>
      <w:r w:rsidRPr="00A2012D">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A2012D">
        <w:rPr>
          <w:rFonts w:ascii="Palatino Linotype" w:eastAsia="Batang" w:hAnsi="Palatino Linotype" w:cs="Arial"/>
          <w:i/>
          <w:lang w:val="es-AR"/>
        </w:rPr>
        <w:t>.”</w:t>
      </w:r>
    </w:p>
    <w:p w14:paraId="0944F31B" w14:textId="77777777" w:rsidR="003C5916" w:rsidRPr="00A2012D" w:rsidRDefault="003C5916" w:rsidP="00207DF9">
      <w:pPr>
        <w:autoSpaceDE w:val="0"/>
        <w:autoSpaceDN w:val="0"/>
        <w:adjustRightInd w:val="0"/>
        <w:spacing w:line="360" w:lineRule="auto"/>
        <w:ind w:left="720" w:right="616"/>
        <w:contextualSpacing/>
        <w:jc w:val="both"/>
        <w:rPr>
          <w:rFonts w:ascii="Palatino Linotype" w:eastAsia="Batang" w:hAnsi="Palatino Linotype" w:cs="Arial"/>
          <w:iCs/>
          <w:lang w:val="es-AR"/>
        </w:rPr>
      </w:pPr>
      <w:r w:rsidRPr="00A2012D">
        <w:rPr>
          <w:rFonts w:ascii="Palatino Linotype" w:eastAsia="Batang" w:hAnsi="Palatino Linotype" w:cs="Arial"/>
          <w:iCs/>
          <w:lang w:val="es-AR"/>
        </w:rPr>
        <w:t>(Énfasis añadido)</w:t>
      </w:r>
    </w:p>
    <w:p w14:paraId="352F1891"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6ACE50A2"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t xml:space="preserve">De este modo, se puede deducir que en las resoluciones dictadas por el Pleno de este Instituto, en las que se decreta el sobreseimiento de un recurso de revisión </w:t>
      </w:r>
      <w:r w:rsidRPr="00A2012D">
        <w:rPr>
          <w:rFonts w:ascii="Palatino Linotype" w:eastAsia="Batang" w:hAnsi="Palatino Linotype" w:cs="Arial"/>
        </w:rPr>
        <w:lastRenderedPageBreak/>
        <w:t xml:space="preserve">por la actualización de alguno de los supuestos jurídicos contemplados en el artículo </w:t>
      </w:r>
      <w:r w:rsidRPr="00A2012D">
        <w:rPr>
          <w:rFonts w:ascii="Palatino Linotype" w:eastAsia="Batang" w:hAnsi="Palatino Linotype" w:cs="Arial"/>
          <w:b/>
        </w:rPr>
        <w:t xml:space="preserve">192 </w:t>
      </w:r>
      <w:r w:rsidRPr="00A2012D">
        <w:rPr>
          <w:rFonts w:ascii="Palatino Linotype" w:eastAsia="Batang" w:hAnsi="Palatino Linotype" w:cs="Arial"/>
        </w:rPr>
        <w:t xml:space="preserve">de la </w:t>
      </w:r>
      <w:r w:rsidRPr="00A2012D">
        <w:rPr>
          <w:rFonts w:ascii="Palatino Linotype" w:eastAsia="Batang" w:hAnsi="Palatino Linotype" w:cs="Arial"/>
          <w:b/>
        </w:rPr>
        <w:t>Ley de Transparencia y Acceso a la Información Pública del Estado de México y Municipios</w:t>
      </w:r>
      <w:r w:rsidRPr="00A2012D">
        <w:rPr>
          <w:rFonts w:ascii="Palatino Linotype" w:eastAsia="Batang" w:hAnsi="Palatino Linotype" w:cs="Arial"/>
        </w:rPr>
        <w:t>, nos encontramos ante un sobreseimiento definitivo toda vez que pone fin al procedimiento sin entrar al estudio de fondo de éste.</w:t>
      </w:r>
    </w:p>
    <w:p w14:paraId="07F84E84"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5BE8D493"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t xml:space="preserve">Para </w:t>
      </w:r>
      <w:r w:rsidRPr="00A2012D">
        <w:rPr>
          <w:rFonts w:ascii="Palatino Linotype" w:eastAsia="Calibri" w:hAnsi="Palatino Linotype" w:cs="Arial"/>
        </w:rPr>
        <w:t xml:space="preserve">los efectos de esta resolución, es oportuno precisar los alcances jurídicos de la </w:t>
      </w:r>
      <w:r w:rsidRPr="00A2012D">
        <w:rPr>
          <w:rFonts w:ascii="Palatino Linotype" w:eastAsia="Calibri" w:hAnsi="Palatino Linotype" w:cs="Arial"/>
          <w:b/>
        </w:rPr>
        <w:t>fracción III</w:t>
      </w:r>
      <w:r w:rsidRPr="00A2012D">
        <w:rPr>
          <w:rFonts w:ascii="Palatino Linotype" w:eastAsia="Calibri" w:hAnsi="Palatino Linotype" w:cs="Arial"/>
        </w:rPr>
        <w:t xml:space="preserve"> de la disposición legal transcrita. Así, procede el sobreseimiento del recurso de revisión cuando el </w:t>
      </w:r>
      <w:r w:rsidRPr="00A2012D">
        <w:rPr>
          <w:rFonts w:ascii="Palatino Linotype" w:eastAsia="Calibri" w:hAnsi="Palatino Linotype" w:cs="Arial"/>
          <w:b/>
        </w:rPr>
        <w:t>SUJETO OBLIGADO</w:t>
      </w:r>
      <w:r w:rsidRPr="00A2012D">
        <w:rPr>
          <w:rFonts w:ascii="Palatino Linotype" w:eastAsia="Calibri" w:hAnsi="Palatino Linotype" w:cs="Arial"/>
        </w:rPr>
        <w:t>:</w:t>
      </w:r>
    </w:p>
    <w:p w14:paraId="0E2FF534" w14:textId="77777777" w:rsidR="003C5916" w:rsidRPr="00A2012D" w:rsidRDefault="003C5916" w:rsidP="00207DF9">
      <w:pPr>
        <w:numPr>
          <w:ilvl w:val="1"/>
          <w:numId w:val="2"/>
        </w:numPr>
        <w:tabs>
          <w:tab w:val="left" w:pos="426"/>
        </w:tabs>
        <w:spacing w:line="360" w:lineRule="auto"/>
        <w:ind w:left="993"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b/>
          <w:color w:val="000000" w:themeColor="text1"/>
          <w:lang w:val="es-MX"/>
        </w:rPr>
        <w:t xml:space="preserve">Modifique </w:t>
      </w:r>
      <w:r w:rsidRPr="00A2012D">
        <w:rPr>
          <w:rFonts w:ascii="Palatino Linotype" w:eastAsia="Calibri" w:hAnsi="Palatino Linotype" w:cs="Arial"/>
          <w:b/>
        </w:rPr>
        <w:t>el acto impugnado:</w:t>
      </w:r>
      <w:r w:rsidRPr="00A2012D">
        <w:rPr>
          <w:rFonts w:ascii="Palatino Linotype" w:eastAsia="Calibri" w:hAnsi="Palatino Linotype" w:cs="Arial"/>
        </w:rPr>
        <w:t xml:space="preserve"> Se actualiza cuando el </w:t>
      </w:r>
      <w:r w:rsidRPr="00A2012D">
        <w:rPr>
          <w:rFonts w:ascii="Palatino Linotype" w:eastAsia="Calibri" w:hAnsi="Palatino Linotype" w:cs="Arial"/>
          <w:b/>
        </w:rPr>
        <w:t>SUJETO OBLIGADO</w:t>
      </w:r>
      <w:r w:rsidRPr="00A2012D">
        <w:rPr>
          <w:rFonts w:ascii="Palatino Linotype" w:eastAsia="Calibri" w:hAnsi="Palatino Linotype" w:cs="Arial"/>
        </w:rPr>
        <w:t xml:space="preserve"> después de haber otorgado una respuesta y hasta antes de dictada la resolución del recurso de revisión, emite una diversa en la que subsane las deficiencias que hubiera tenido.</w:t>
      </w:r>
    </w:p>
    <w:p w14:paraId="60DE91A6" w14:textId="77777777" w:rsidR="003C5916" w:rsidRPr="00A2012D" w:rsidRDefault="003C5916" w:rsidP="00207DF9">
      <w:pPr>
        <w:numPr>
          <w:ilvl w:val="1"/>
          <w:numId w:val="2"/>
        </w:numPr>
        <w:tabs>
          <w:tab w:val="left" w:pos="426"/>
        </w:tabs>
        <w:spacing w:line="360" w:lineRule="auto"/>
        <w:ind w:left="993"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b/>
          <w:color w:val="000000" w:themeColor="text1"/>
          <w:lang w:val="es-MX"/>
        </w:rPr>
        <w:t xml:space="preserve">Revoque </w:t>
      </w:r>
      <w:r w:rsidRPr="00A2012D">
        <w:rPr>
          <w:rFonts w:ascii="Palatino Linotype" w:eastAsia="Calibri" w:hAnsi="Palatino Linotype" w:cs="Arial"/>
          <w:b/>
        </w:rPr>
        <w:t xml:space="preserve">el acto impugnado: </w:t>
      </w:r>
      <w:r w:rsidRPr="00A2012D">
        <w:rPr>
          <w:rFonts w:ascii="Palatino Linotype" w:eastAsia="Calibri" w:hAnsi="Palatino Linotype" w:cs="Arial"/>
        </w:rPr>
        <w:t xml:space="preserve">En este supuesto, el </w:t>
      </w:r>
      <w:r w:rsidRPr="00A2012D">
        <w:rPr>
          <w:rFonts w:ascii="Palatino Linotype" w:eastAsia="Calibri" w:hAnsi="Palatino Linotype" w:cs="Arial"/>
          <w:b/>
        </w:rPr>
        <w:t>SUJETO OBLIGADO</w:t>
      </w:r>
      <w:r w:rsidRPr="00A2012D">
        <w:rPr>
          <w:rFonts w:ascii="Palatino Linotype" w:eastAsia="Calibri" w:hAnsi="Palatino Linotype" w:cs="Arial"/>
        </w:rPr>
        <w:t xml:space="preserve"> deja sin efectos la primera respuesta y en su lugar emite otra que satisfaga lo solicitado por el particular.</w:t>
      </w:r>
    </w:p>
    <w:p w14:paraId="55866B44"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0CDE101"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t xml:space="preserve">Las </w:t>
      </w:r>
      <w:r w:rsidRPr="00A2012D">
        <w:rPr>
          <w:rFonts w:ascii="Palatino Linotype" w:eastAsia="Calibri" w:hAnsi="Palatino Linotype"/>
        </w:rPr>
        <w:t xml:space="preserve">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A2012D">
        <w:rPr>
          <w:rFonts w:ascii="Palatino Linotype" w:eastAsia="Calibri" w:hAnsi="Palatino Linotype"/>
          <w:u w:val="single"/>
        </w:rPr>
        <w:t>cuando ha sido satisfecha la pretensión del particular</w:t>
      </w:r>
      <w:r w:rsidRPr="00A2012D">
        <w:rPr>
          <w:rFonts w:ascii="Palatino Linotype" w:eastAsia="Calibri" w:hAnsi="Palatino Linotype"/>
        </w:rPr>
        <w:t>, ya sea porque se hizo la entrega de la información solicitada o porque se completó la misma.</w:t>
      </w:r>
    </w:p>
    <w:p w14:paraId="153D99EA"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7466279"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lastRenderedPageBreak/>
        <w:t xml:space="preserve">En </w:t>
      </w:r>
      <w:r w:rsidRPr="00A2012D">
        <w:rPr>
          <w:rFonts w:ascii="Palatino Linotype" w:eastAsia="Calibri" w:hAnsi="Palatino Linotype" w:cs="Arial"/>
        </w:rPr>
        <w:t xml:space="preserve">el presente asunto, este Pleno advierte que el </w:t>
      </w:r>
      <w:r w:rsidRPr="00A2012D">
        <w:rPr>
          <w:rFonts w:ascii="Palatino Linotype" w:hAnsi="Palatino Linotype" w:cs="Arial"/>
          <w:b/>
        </w:rPr>
        <w:t>SUJETO OBLIGADO</w:t>
      </w:r>
      <w:r w:rsidRPr="00A2012D">
        <w:rPr>
          <w:rFonts w:ascii="Palatino Linotype" w:hAnsi="Palatino Linotype" w:cs="Arial"/>
          <w:bCs/>
        </w:rPr>
        <w:t>,</w:t>
      </w:r>
      <w:r w:rsidRPr="00A2012D">
        <w:rPr>
          <w:rFonts w:ascii="Palatino Linotype" w:eastAsia="Calibri" w:hAnsi="Palatino Linotype" w:cs="Arial"/>
        </w:rPr>
        <w:t xml:space="preserve"> con la información enviada a este Órgano Garante en vía de Informe Justificado, </w:t>
      </w:r>
      <w:r w:rsidRPr="00A2012D">
        <w:rPr>
          <w:rFonts w:ascii="Palatino Linotype" w:eastAsia="Calibri" w:hAnsi="Palatino Linotype" w:cs="Arial"/>
          <w:b/>
        </w:rPr>
        <w:t>modifica</w:t>
      </w:r>
      <w:r w:rsidRPr="00A2012D">
        <w:rPr>
          <w:rFonts w:ascii="Palatino Linotype" w:eastAsia="Calibri" w:hAnsi="Palatino Linotype" w:cs="Arial"/>
        </w:rPr>
        <w:t xml:space="preserve"> </w:t>
      </w:r>
      <w:r w:rsidRPr="00A2012D">
        <w:rPr>
          <w:rFonts w:ascii="Palatino Linotype" w:eastAsia="Calibri" w:hAnsi="Palatino Linotype" w:cs="Arial"/>
          <w:u w:val="single"/>
        </w:rPr>
        <w:t>el acto que le dio origen al recurso de revisión, por lo que trae como consecuencia que el mismo quede sin materia</w:t>
      </w:r>
      <w:r w:rsidRPr="00A2012D">
        <w:rPr>
          <w:rFonts w:ascii="Palatino Linotype" w:eastAsia="Calibri" w:hAnsi="Palatino Linotype" w:cs="Arial"/>
        </w:rPr>
        <w:t>, actualizándose de este modo la hipótesis jurídica contenida en la fracción III del citado artículo 192.</w:t>
      </w:r>
    </w:p>
    <w:p w14:paraId="623CAC33"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CA6FE43"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t xml:space="preserve">De </w:t>
      </w:r>
      <w:r w:rsidRPr="00A2012D">
        <w:rPr>
          <w:rFonts w:ascii="Palatino Linotype" w:eastAsia="Calibri" w:hAnsi="Palatino Linotype" w:cs="Arial"/>
        </w:rPr>
        <w:t xml:space="preserve">este modo, cuando el </w:t>
      </w:r>
      <w:r w:rsidRPr="00A2012D">
        <w:rPr>
          <w:rFonts w:ascii="Palatino Linotype" w:eastAsia="Calibri" w:hAnsi="Palatino Linotype" w:cs="Arial"/>
          <w:b/>
        </w:rPr>
        <w:t xml:space="preserve">SUJETO OBLIGADO, </w:t>
      </w:r>
      <w:r w:rsidRPr="00A2012D">
        <w:rPr>
          <w:rFonts w:ascii="Palatino Linotype" w:eastAsia="Calibri" w:hAnsi="Palatino Linotype" w:cs="Arial"/>
        </w:rPr>
        <w:t xml:space="preserve">antes de que se dicte resolución definitiva, entrega la información solicitada o completa la respuesta que en un primer momento fue incompleta o no correspondió con lo solicitado; </w:t>
      </w:r>
      <w:r w:rsidRPr="00A2012D">
        <w:rPr>
          <w:rFonts w:ascii="Palatino Linotype" w:eastAsia="Calibri" w:hAnsi="Palatino Linotype" w:cs="Arial"/>
          <w:b/>
        </w:rPr>
        <w:t>el recurso de revisión que al efecto se haya interpuesto quedará sin materia</w:t>
      </w:r>
      <w:r w:rsidRPr="00A2012D">
        <w:rPr>
          <w:rFonts w:ascii="Palatino Linotype" w:eastAsia="Calibri" w:hAnsi="Palatino Linotype" w:cs="Arial"/>
        </w:rPr>
        <w:t xml:space="preserve"> lo que imposibilita el estudio de fondo de la </w:t>
      </w:r>
      <w:r w:rsidRPr="00A2012D">
        <w:rPr>
          <w:rFonts w:ascii="Palatino Linotype" w:eastAsia="Calibri" w:hAnsi="Palatino Linotype" w:cs="Arial"/>
          <w:i/>
        </w:rPr>
        <w:t>litis</w:t>
      </w:r>
      <w:r w:rsidRPr="00A2012D">
        <w:rPr>
          <w:rFonts w:ascii="Palatino Linotype" w:eastAsia="Calibri" w:hAnsi="Palatino Linotype" w:cs="Arial"/>
        </w:rPr>
        <w:t xml:space="preserve"> planteada, debido a que la afectación en su esfera de derechos fue restituida por la propia autoridad que emitió el acto motivo de impugnación</w:t>
      </w:r>
      <w:r w:rsidRPr="00A2012D">
        <w:rPr>
          <w:rFonts w:ascii="Palatino Linotype" w:eastAsiaTheme="minorEastAsia" w:hAnsi="Palatino Linotype" w:cstheme="minorBidi"/>
          <w:lang w:val="es-MX"/>
        </w:rPr>
        <w:t>.</w:t>
      </w:r>
    </w:p>
    <w:p w14:paraId="3D753319"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543608FE"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t xml:space="preserve">Por </w:t>
      </w:r>
      <w:r w:rsidRPr="00A2012D">
        <w:rPr>
          <w:rFonts w:ascii="Palatino Linotype" w:eastAsia="Calibri" w:hAnsi="Palatino Linotype" w:cs="Arial"/>
        </w:rPr>
        <w:t xml:space="preserve">lo tanto, para que se actualice el sobreseimiento de un recurso de revisión, el </w:t>
      </w:r>
      <w:r w:rsidRPr="00A2012D">
        <w:rPr>
          <w:rFonts w:ascii="Palatino Linotype" w:eastAsia="Calibri" w:hAnsi="Palatino Linotype" w:cs="Arial"/>
          <w:b/>
        </w:rPr>
        <w:t>SUJETO OBLIGADO</w:t>
      </w:r>
      <w:r w:rsidRPr="00A2012D">
        <w:rPr>
          <w:rFonts w:ascii="Palatino Linotype" w:eastAsia="Calibri" w:hAnsi="Palatino Linotype" w:cs="Arial"/>
        </w:rPr>
        <w:t xml:space="preserve"> puede entregar o completar la información al momento de rendir su informe de justificación </w:t>
      </w:r>
      <w:r w:rsidRPr="00A2012D">
        <w:rPr>
          <w:rFonts w:ascii="Palatino Linotype" w:eastAsiaTheme="minorEastAsia" w:hAnsi="Palatino Linotype" w:cstheme="minorBidi"/>
          <w:u w:val="single"/>
          <w:lang w:val="es-MX"/>
        </w:rPr>
        <w:t>dentro de los siete días previstos para manifestar lo que a su derecho convenga, lo anterior también puede ocurrir posteriormente, siempre y cuando el Pleno del Instituto no haya dictado resolución definitiva.</w:t>
      </w:r>
    </w:p>
    <w:p w14:paraId="3803D9FB"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06CE46A2"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Batang" w:hAnsi="Palatino Linotype" w:cs="Arial"/>
        </w:rPr>
        <w:t xml:space="preserve">Finalmente, </w:t>
      </w:r>
      <w:r w:rsidRPr="00A2012D">
        <w:rPr>
          <w:rFonts w:ascii="Palatino Linotype" w:eastAsiaTheme="minorEastAsia" w:hAnsi="Palatino Linotype" w:cs="Arial"/>
          <w:lang w:val="es-CO"/>
        </w:rPr>
        <w:t xml:space="preserve">en términos del artículo 186, fracción I, de la Ley de Transparencia y Acceso a la Información Pública del Estado de México y Municipios, este Pleno determina el </w:t>
      </w:r>
      <w:r w:rsidRPr="00A2012D">
        <w:rPr>
          <w:rFonts w:ascii="Palatino Linotype" w:eastAsiaTheme="minorEastAsia" w:hAnsi="Palatino Linotype" w:cs="Arial"/>
          <w:b/>
          <w:lang w:val="es-CO"/>
        </w:rPr>
        <w:t xml:space="preserve">SOBRESEIMIENTO </w:t>
      </w:r>
      <w:r w:rsidRPr="00A2012D">
        <w:rPr>
          <w:rFonts w:ascii="Palatino Linotype" w:eastAsiaTheme="minorEastAsia" w:hAnsi="Palatino Linotype" w:cs="Arial"/>
          <w:lang w:val="es-CO"/>
        </w:rPr>
        <w:t xml:space="preserve">del presente recurso de revisión, toda vez que la afectación al derecho de acceso a la información pública establecido </w:t>
      </w:r>
      <w:r w:rsidRPr="00A2012D">
        <w:rPr>
          <w:rFonts w:ascii="Palatino Linotype" w:eastAsiaTheme="minorEastAsia" w:hAnsi="Palatino Linotype" w:cs="Arial"/>
          <w:lang w:val="es-CO"/>
        </w:rPr>
        <w:lastRenderedPageBreak/>
        <w:t>constitucionalmente a favor del particular ha sido resarcida al proporcionar la información que ha sido observada por este Órgano Garante.</w:t>
      </w:r>
    </w:p>
    <w:p w14:paraId="32785D2A"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4E9AE375" w14:textId="77777777" w:rsidR="003C5916" w:rsidRPr="00A2012D" w:rsidRDefault="003C5916" w:rsidP="00207DF9">
      <w:pPr>
        <w:tabs>
          <w:tab w:val="left" w:pos="426"/>
        </w:tabs>
        <w:spacing w:line="360" w:lineRule="auto"/>
        <w:ind w:right="51"/>
        <w:contextualSpacing/>
        <w:jc w:val="both"/>
        <w:outlineLvl w:val="1"/>
        <w:rPr>
          <w:rFonts w:ascii="Palatino Linotype" w:eastAsiaTheme="minorEastAsia" w:hAnsi="Palatino Linotype" w:cstheme="minorBidi"/>
          <w:b/>
          <w:bCs/>
          <w:color w:val="000000" w:themeColor="text1"/>
          <w:lang w:val="es-MX"/>
        </w:rPr>
      </w:pPr>
      <w:bookmarkStart w:id="34" w:name="_Toc86945046"/>
      <w:r w:rsidRPr="00A2012D">
        <w:rPr>
          <w:rFonts w:ascii="Palatino Linotype" w:eastAsiaTheme="minorEastAsia" w:hAnsi="Palatino Linotype" w:cstheme="minorBidi"/>
          <w:b/>
          <w:bCs/>
          <w:color w:val="000000" w:themeColor="text1"/>
          <w:lang w:val="es-MX"/>
        </w:rPr>
        <w:t>CUARTO. Decisión</w:t>
      </w:r>
      <w:bookmarkEnd w:id="34"/>
    </w:p>
    <w:p w14:paraId="2714D91F"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620A9220" w14:textId="45A5E761" w:rsidR="00487BC2"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Luego de analizar todas y cada una de las constancias que obran en el expediente digital formado en el </w:t>
      </w:r>
      <w:r w:rsidRPr="00A2012D">
        <w:rPr>
          <w:rFonts w:ascii="Palatino Linotype" w:eastAsiaTheme="minorEastAsia" w:hAnsi="Palatino Linotype" w:cstheme="minorBidi"/>
          <w:b/>
          <w:color w:val="000000" w:themeColor="text1"/>
          <w:lang w:val="es-MX"/>
        </w:rPr>
        <w:t>SAIMEX</w:t>
      </w:r>
      <w:r w:rsidRPr="00A2012D">
        <w:rPr>
          <w:rFonts w:ascii="Palatino Linotype" w:eastAsiaTheme="minorEastAsia" w:hAnsi="Palatino Linotype" w:cstheme="minorBidi"/>
          <w:color w:val="000000" w:themeColor="text1"/>
          <w:lang w:val="es-MX"/>
        </w:rPr>
        <w:t xml:space="preserve">, por cuanto hace a la interposición del recurso de revisión, se demostró que el </w:t>
      </w:r>
      <w:r w:rsidRPr="00A2012D">
        <w:rPr>
          <w:rFonts w:ascii="Palatino Linotype" w:eastAsiaTheme="minorEastAsia" w:hAnsi="Palatino Linotype" w:cstheme="minorBidi"/>
          <w:b/>
          <w:color w:val="000000" w:themeColor="text1"/>
          <w:lang w:val="es-MX"/>
        </w:rPr>
        <w:t>SUJETO OBLIGADO</w:t>
      </w:r>
      <w:r w:rsidRPr="00A2012D">
        <w:rPr>
          <w:rFonts w:ascii="Palatino Linotype" w:eastAsiaTheme="minorEastAsia" w:hAnsi="Palatino Linotype" w:cstheme="minorBidi"/>
          <w:color w:val="000000" w:themeColor="text1"/>
          <w:lang w:val="es-MX"/>
        </w:rPr>
        <w:t xml:space="preserve"> perfeccionó su respuesta mediante su informe justificado</w:t>
      </w:r>
      <w:r w:rsidR="00D52CED" w:rsidRPr="00A2012D">
        <w:rPr>
          <w:rFonts w:ascii="Palatino Linotype" w:eastAsiaTheme="minorEastAsia" w:hAnsi="Palatino Linotype" w:cstheme="minorBidi"/>
          <w:color w:val="000000" w:themeColor="text1"/>
          <w:lang w:val="es-MX"/>
        </w:rPr>
        <w:t xml:space="preserve">. </w:t>
      </w:r>
    </w:p>
    <w:p w14:paraId="7F7DED4B"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D0549B7" w14:textId="23F0BEF1"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lang w:val="es-MX"/>
        </w:rPr>
        <w:t xml:space="preserve">Por </w:t>
      </w:r>
      <w:r w:rsidRPr="00A2012D">
        <w:rPr>
          <w:rFonts w:ascii="Palatino Linotype" w:eastAsia="MS Mincho" w:hAnsi="Palatino Linotype" w:cstheme="majorBidi"/>
          <w:lang w:val="es-MX"/>
        </w:rPr>
        <w:t>lo tanto,</w:t>
      </w:r>
      <w:r w:rsidRPr="00A2012D">
        <w:rPr>
          <w:rFonts w:ascii="Palatino Linotype" w:eastAsia="MS Mincho" w:hAnsi="Palatino Linotype" w:cstheme="majorBidi"/>
        </w:rPr>
        <w:t xml:space="preserve"> en consecuencia y en mérito de lo expuesto en líneas anteriores, con fundamento en la fracción III del artículo 192,</w:t>
      </w:r>
      <w:r w:rsidRPr="00A2012D">
        <w:rPr>
          <w:rFonts w:ascii="Palatino Linotype" w:eastAsia="MS Mincho" w:hAnsi="Palatino Linotype" w:cstheme="majorBidi"/>
          <w:b/>
        </w:rPr>
        <w:t xml:space="preserve"> </w:t>
      </w:r>
      <w:r w:rsidRPr="00A2012D">
        <w:rPr>
          <w:rFonts w:ascii="Palatino Linotype" w:eastAsia="MS Mincho" w:hAnsi="Palatino Linotype" w:cstheme="majorBidi"/>
        </w:rPr>
        <w:t xml:space="preserve">de la Ley de Transparencia y Acceso a la Información Pública del Estado de México y Municipios, se </w:t>
      </w:r>
      <w:r w:rsidRPr="00A2012D">
        <w:rPr>
          <w:rFonts w:ascii="Palatino Linotype" w:eastAsia="MS Mincho" w:hAnsi="Palatino Linotype" w:cstheme="majorBidi"/>
          <w:b/>
        </w:rPr>
        <w:t xml:space="preserve">SOBRESEE </w:t>
      </w:r>
      <w:r w:rsidRPr="00A2012D">
        <w:rPr>
          <w:rFonts w:ascii="Palatino Linotype" w:eastAsia="MS Mincho" w:hAnsi="Palatino Linotype" w:cstheme="majorBidi"/>
        </w:rPr>
        <w:t xml:space="preserve">el recurso de revisión </w:t>
      </w:r>
      <w:r w:rsidR="004D08C2" w:rsidRPr="00A2012D">
        <w:rPr>
          <w:rFonts w:ascii="Palatino Linotype" w:eastAsia="MS Mincho" w:hAnsi="Palatino Linotype" w:cstheme="majorBidi"/>
          <w:b/>
          <w:bCs/>
        </w:rPr>
        <w:t>11938/INFOEM/IP/RR/2022</w:t>
      </w:r>
      <w:r w:rsidRPr="00A2012D">
        <w:rPr>
          <w:rFonts w:ascii="Palatino Linotype" w:eastAsia="MS Mincho" w:hAnsi="Palatino Linotype" w:cstheme="majorBidi"/>
        </w:rPr>
        <w:t>, que ha sido materia del presente fallo.</w:t>
      </w:r>
    </w:p>
    <w:p w14:paraId="6EE9A182" w14:textId="77777777" w:rsidR="003C5916" w:rsidRPr="00A2012D" w:rsidRDefault="003C5916" w:rsidP="00207DF9">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3E5E2A1" w14:textId="77777777" w:rsidR="003C5916" w:rsidRPr="00A2012D" w:rsidRDefault="003C5916" w:rsidP="00207DF9">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2012D">
        <w:rPr>
          <w:rFonts w:ascii="Palatino Linotype" w:eastAsiaTheme="minorEastAsia" w:hAnsi="Palatino Linotype" w:cstheme="minorBidi"/>
          <w:color w:val="000000" w:themeColor="text1"/>
        </w:rPr>
        <w:t xml:space="preserve">Por </w:t>
      </w:r>
      <w:r w:rsidRPr="00A2012D">
        <w:rPr>
          <w:rFonts w:ascii="Palatino Linotype" w:eastAsiaTheme="minorEastAsia" w:hAnsi="Palatino Linotype" w:cstheme="minorBidi"/>
          <w:color w:val="000000" w:themeColor="text1"/>
          <w:lang w:val="es-MX"/>
        </w:rPr>
        <w:t xml:space="preserve">lo anteriormente expuesto y fundado, este </w:t>
      </w:r>
      <w:r w:rsidRPr="00A2012D">
        <w:rPr>
          <w:rFonts w:ascii="Palatino Linotype" w:eastAsiaTheme="minorEastAsia" w:hAnsi="Palatino Linotype" w:cstheme="minorBidi"/>
          <w:b/>
          <w:color w:val="000000" w:themeColor="text1"/>
          <w:lang w:val="es-MX"/>
        </w:rPr>
        <w:t>ÓRGANO GARANTE</w:t>
      </w:r>
      <w:r w:rsidRPr="00A2012D">
        <w:rPr>
          <w:rFonts w:ascii="Palatino Linotype" w:eastAsiaTheme="minorEastAsia" w:hAnsi="Palatino Linotype" w:cstheme="minorBidi"/>
          <w:color w:val="000000" w:themeColor="text1"/>
          <w:lang w:val="es-MX"/>
        </w:rPr>
        <w:t xml:space="preserve"> emite los siguientes: ------------------------------------------------------------------------------------------------------------------------------------------------------------------------------------------------------------</w:t>
      </w:r>
    </w:p>
    <w:p w14:paraId="7533EB44" w14:textId="08AA5B32" w:rsidR="003C5916" w:rsidRPr="00A2012D" w:rsidRDefault="003C5916" w:rsidP="00207DF9">
      <w:pPr>
        <w:spacing w:line="360" w:lineRule="auto"/>
        <w:rPr>
          <w:rFonts w:ascii="Palatino Linotype" w:eastAsiaTheme="minorEastAsia" w:hAnsi="Palatino Linotype" w:cstheme="minorBidi"/>
          <w:color w:val="000000" w:themeColor="text1"/>
          <w:lang w:val="es-MX"/>
        </w:rPr>
      </w:pPr>
    </w:p>
    <w:p w14:paraId="63D5730E" w14:textId="77777777" w:rsidR="003C5916" w:rsidRPr="00A2012D" w:rsidRDefault="003C5916" w:rsidP="00207DF9">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35" w:name="_Toc86945047"/>
      <w:bookmarkStart w:id="36" w:name="_Toc497905366"/>
      <w:bookmarkStart w:id="37" w:name="_Toc495427547"/>
      <w:r w:rsidRPr="00A2012D">
        <w:rPr>
          <w:rFonts w:ascii="Palatino Linotype" w:eastAsiaTheme="majorEastAsia" w:hAnsi="Palatino Linotype" w:cstheme="majorBidi"/>
          <w:b/>
          <w:color w:val="000000" w:themeColor="text1"/>
          <w:lang w:val="es-MX" w:eastAsia="en-US"/>
        </w:rPr>
        <w:t>R E S O L U T I V O S</w:t>
      </w:r>
      <w:bookmarkEnd w:id="32"/>
      <w:bookmarkEnd w:id="33"/>
      <w:bookmarkEnd w:id="35"/>
      <w:bookmarkEnd w:id="36"/>
      <w:bookmarkEnd w:id="37"/>
    </w:p>
    <w:p w14:paraId="0EABDAE6" w14:textId="77777777" w:rsidR="003C5916" w:rsidRPr="00A2012D" w:rsidRDefault="003C5916" w:rsidP="00207DF9">
      <w:pPr>
        <w:spacing w:line="360" w:lineRule="auto"/>
        <w:jc w:val="both"/>
        <w:rPr>
          <w:rFonts w:ascii="Palatino Linotype" w:eastAsiaTheme="minorEastAsia" w:hAnsi="Palatino Linotype" w:cstheme="minorBidi"/>
          <w:b/>
          <w:lang w:val="es-ES_tradnl"/>
        </w:rPr>
      </w:pPr>
    </w:p>
    <w:p w14:paraId="71F951DD" w14:textId="39FC24B7" w:rsidR="003C5916" w:rsidRPr="00A2012D" w:rsidRDefault="003C5916" w:rsidP="00207DF9">
      <w:pPr>
        <w:spacing w:line="360" w:lineRule="auto"/>
        <w:jc w:val="both"/>
        <w:rPr>
          <w:rFonts w:ascii="Palatino Linotype" w:eastAsiaTheme="minorEastAsia" w:hAnsi="Palatino Linotype" w:cstheme="minorBidi"/>
          <w:lang w:val="es-ES_tradnl"/>
        </w:rPr>
      </w:pPr>
      <w:r w:rsidRPr="00A2012D">
        <w:rPr>
          <w:rFonts w:ascii="Palatino Linotype" w:eastAsiaTheme="minorEastAsia" w:hAnsi="Palatino Linotype" w:cstheme="minorBidi"/>
          <w:b/>
          <w:lang w:val="es-ES_tradnl"/>
        </w:rPr>
        <w:t xml:space="preserve">PRIMERO. </w:t>
      </w:r>
      <w:r w:rsidRPr="00A2012D">
        <w:rPr>
          <w:rFonts w:ascii="Palatino Linotype" w:eastAsiaTheme="minorEastAsia" w:hAnsi="Palatino Linotype" w:cstheme="minorBidi"/>
          <w:lang w:val="es-ES_tradnl"/>
        </w:rPr>
        <w:t xml:space="preserve">Se </w:t>
      </w:r>
      <w:r w:rsidRPr="00A2012D">
        <w:rPr>
          <w:rFonts w:ascii="Palatino Linotype" w:eastAsiaTheme="minorEastAsia" w:hAnsi="Palatino Linotype" w:cstheme="minorBidi"/>
          <w:b/>
          <w:lang w:val="es-ES_tradnl"/>
        </w:rPr>
        <w:t>SOBRESEE</w:t>
      </w:r>
      <w:r w:rsidRPr="00A2012D">
        <w:rPr>
          <w:rFonts w:ascii="Palatino Linotype" w:eastAsiaTheme="minorEastAsia" w:hAnsi="Palatino Linotype" w:cstheme="minorBidi"/>
          <w:lang w:val="es-ES_tradnl"/>
        </w:rPr>
        <w:t xml:space="preserve"> el recurso de revisión número </w:t>
      </w:r>
      <w:r w:rsidR="004D08C2" w:rsidRPr="00A2012D">
        <w:rPr>
          <w:rFonts w:ascii="Palatino Linotype" w:eastAsiaTheme="minorEastAsia" w:hAnsi="Palatino Linotype" w:cstheme="minorBidi"/>
          <w:b/>
          <w:bCs/>
        </w:rPr>
        <w:t>11938/INFOEM/IP/RR/2022</w:t>
      </w:r>
      <w:r w:rsidRPr="00A2012D">
        <w:rPr>
          <w:rFonts w:ascii="Palatino Linotype" w:eastAsiaTheme="minorEastAsia" w:hAnsi="Palatino Linotype" w:cstheme="minorBidi"/>
          <w:lang w:val="es-ES_tradnl"/>
        </w:rPr>
        <w:t xml:space="preserve">, conforme al artículo </w:t>
      </w:r>
      <w:r w:rsidRPr="00A2012D">
        <w:rPr>
          <w:rFonts w:ascii="Palatino Linotype" w:eastAsiaTheme="minorEastAsia" w:hAnsi="Palatino Linotype" w:cstheme="minorBidi"/>
          <w:b/>
          <w:lang w:val="es-ES_tradnl"/>
        </w:rPr>
        <w:t>192 fracción III</w:t>
      </w:r>
      <w:r w:rsidRPr="00A2012D">
        <w:rPr>
          <w:rFonts w:ascii="Palatino Linotype" w:eastAsiaTheme="minorEastAsia" w:hAnsi="Palatino Linotype" w:cstheme="minorBidi"/>
          <w:lang w:val="es-ES_tradnl"/>
        </w:rPr>
        <w:t xml:space="preserve"> de la Ley de Transparencia y Acceso a la Información Pública del Estado de México y Municipios, </w:t>
      </w:r>
      <w:r w:rsidR="00207DF9" w:rsidRPr="00A2012D">
        <w:rPr>
          <w:rFonts w:ascii="Palatino Linotype" w:eastAsiaTheme="minorEastAsia" w:hAnsi="Palatino Linotype" w:cstheme="minorBidi"/>
          <w:lang w:val="es-ES_tradnl"/>
        </w:rPr>
        <w:lastRenderedPageBreak/>
        <w:t xml:space="preserve">en atención a que el </w:t>
      </w:r>
      <w:r w:rsidR="00207DF9" w:rsidRPr="00A2012D">
        <w:rPr>
          <w:rFonts w:ascii="Palatino Linotype" w:eastAsiaTheme="minorEastAsia" w:hAnsi="Palatino Linotype" w:cstheme="minorBidi"/>
          <w:b/>
          <w:lang w:val="es-ES_tradnl"/>
        </w:rPr>
        <w:t>SUJETO OBLIGADO</w:t>
      </w:r>
      <w:r w:rsidR="00207DF9" w:rsidRPr="00A2012D">
        <w:rPr>
          <w:rFonts w:ascii="Palatino Linotype" w:eastAsiaTheme="minorEastAsia" w:hAnsi="Palatino Linotype" w:cstheme="minorBidi"/>
          <w:lang w:val="es-ES_tradnl"/>
        </w:rPr>
        <w:t xml:space="preserve"> responsable del acto, mediante informe justificado modificó la respuesta incompleta y por ende quedó sin materia al entregar a cabalidad lo peticionado por el </w:t>
      </w:r>
      <w:r w:rsidR="00207DF9" w:rsidRPr="00A2012D">
        <w:rPr>
          <w:rFonts w:ascii="Palatino Linotype" w:eastAsiaTheme="minorEastAsia" w:hAnsi="Palatino Linotype" w:cstheme="minorBidi"/>
          <w:b/>
          <w:lang w:val="es-ES_tradnl"/>
        </w:rPr>
        <w:t>RECURRENTE</w:t>
      </w:r>
      <w:r w:rsidR="00207DF9" w:rsidRPr="00A2012D">
        <w:rPr>
          <w:rFonts w:ascii="Palatino Linotype" w:eastAsiaTheme="minorEastAsia" w:hAnsi="Palatino Linotype" w:cstheme="minorBidi"/>
          <w:lang w:val="es-ES_tradnl"/>
        </w:rPr>
        <w:t xml:space="preserve"> </w:t>
      </w:r>
      <w:r w:rsidRPr="00A2012D">
        <w:rPr>
          <w:rFonts w:ascii="Palatino Linotype" w:eastAsiaTheme="minorEastAsia" w:hAnsi="Palatino Linotype" w:cstheme="minorBidi"/>
          <w:lang w:val="es-ES_tradnl"/>
        </w:rPr>
        <w:t>en t</w:t>
      </w:r>
      <w:r w:rsidR="00207DF9" w:rsidRPr="00A2012D">
        <w:rPr>
          <w:rFonts w:ascii="Palatino Linotype" w:eastAsiaTheme="minorEastAsia" w:hAnsi="Palatino Linotype" w:cstheme="minorBidi"/>
          <w:lang w:val="es-ES_tradnl"/>
        </w:rPr>
        <w:t xml:space="preserve">érminos del Considerando </w:t>
      </w:r>
      <w:r w:rsidR="00207DF9" w:rsidRPr="00A2012D">
        <w:rPr>
          <w:rFonts w:ascii="Palatino Linotype" w:eastAsiaTheme="minorEastAsia" w:hAnsi="Palatino Linotype" w:cstheme="minorBidi"/>
          <w:b/>
          <w:lang w:val="es-ES_tradnl"/>
        </w:rPr>
        <w:t xml:space="preserve">TERCERO </w:t>
      </w:r>
      <w:r w:rsidRPr="00A2012D">
        <w:rPr>
          <w:rFonts w:ascii="Palatino Linotype" w:eastAsiaTheme="minorEastAsia" w:hAnsi="Palatino Linotype" w:cstheme="minorBidi"/>
          <w:lang w:val="es-ES_tradnl"/>
        </w:rPr>
        <w:t>de la presente Resolución.</w:t>
      </w:r>
    </w:p>
    <w:p w14:paraId="04C680DA" w14:textId="77777777" w:rsidR="003C5916" w:rsidRPr="00A2012D" w:rsidRDefault="003C5916" w:rsidP="00207DF9">
      <w:pPr>
        <w:spacing w:line="360" w:lineRule="auto"/>
        <w:jc w:val="both"/>
        <w:rPr>
          <w:rFonts w:ascii="Palatino Linotype" w:eastAsiaTheme="minorEastAsia" w:hAnsi="Palatino Linotype" w:cstheme="minorBidi"/>
          <w:lang w:val="es-ES_tradnl"/>
        </w:rPr>
      </w:pPr>
    </w:p>
    <w:p w14:paraId="4E49DE85" w14:textId="77777777" w:rsidR="003C5916" w:rsidRPr="00A2012D" w:rsidRDefault="003C5916" w:rsidP="00207DF9">
      <w:pPr>
        <w:spacing w:line="360" w:lineRule="auto"/>
        <w:jc w:val="both"/>
        <w:rPr>
          <w:rFonts w:ascii="Palatino Linotype" w:eastAsia="Calibri" w:hAnsi="Palatino Linotype" w:cs="Arial"/>
          <w:b/>
          <w:bCs/>
        </w:rPr>
      </w:pPr>
      <w:r w:rsidRPr="00A2012D">
        <w:rPr>
          <w:rFonts w:ascii="Palatino Linotype" w:eastAsia="Calibri" w:hAnsi="Palatino Linotype" w:cs="Arial"/>
          <w:b/>
          <w:bCs/>
        </w:rPr>
        <w:t xml:space="preserve">SEGUNDO. Notifíquese </w:t>
      </w:r>
      <w:r w:rsidRPr="00A2012D">
        <w:rPr>
          <w:rFonts w:ascii="Palatino Linotype" w:eastAsia="Calibri" w:hAnsi="Palatino Linotype" w:cs="Arial"/>
          <w:bCs/>
        </w:rPr>
        <w:t xml:space="preserve">a través del Sistema de Acceso a la Información Mexiquense </w:t>
      </w:r>
      <w:r w:rsidRPr="00A2012D">
        <w:rPr>
          <w:rFonts w:ascii="Palatino Linotype" w:eastAsia="Calibri" w:hAnsi="Palatino Linotype" w:cs="Arial"/>
          <w:b/>
          <w:bCs/>
        </w:rPr>
        <w:t xml:space="preserve">(SAIMEX) </w:t>
      </w:r>
      <w:r w:rsidRPr="00A2012D">
        <w:rPr>
          <w:rFonts w:ascii="Palatino Linotype" w:eastAsia="Calibri" w:hAnsi="Palatino Linotype" w:cs="Arial"/>
          <w:bCs/>
        </w:rPr>
        <w:t>la presente resolución a la Titular de la Unidad de Transparencia del</w:t>
      </w:r>
      <w:r w:rsidRPr="00A2012D">
        <w:rPr>
          <w:rFonts w:ascii="Palatino Linotype" w:eastAsia="Calibri" w:hAnsi="Palatino Linotype" w:cs="Arial"/>
          <w:b/>
          <w:bCs/>
        </w:rPr>
        <w:t xml:space="preserve"> SUJETO OBLIGADO. </w:t>
      </w:r>
    </w:p>
    <w:p w14:paraId="02EA7E6B" w14:textId="77777777" w:rsidR="003C5916" w:rsidRPr="00A2012D" w:rsidRDefault="003C5916" w:rsidP="00207DF9">
      <w:pPr>
        <w:spacing w:line="360" w:lineRule="auto"/>
        <w:jc w:val="both"/>
        <w:rPr>
          <w:rFonts w:ascii="Palatino Linotype" w:eastAsia="Palatino Linotype" w:hAnsi="Palatino Linotype" w:cs="Palatino Linotype"/>
          <w:b/>
          <w:lang w:val="es-ES_tradnl"/>
        </w:rPr>
      </w:pPr>
    </w:p>
    <w:p w14:paraId="79008A23" w14:textId="663F0171" w:rsidR="003C5916" w:rsidRPr="00A2012D" w:rsidRDefault="003C5916" w:rsidP="00207DF9">
      <w:pPr>
        <w:spacing w:line="360" w:lineRule="auto"/>
        <w:jc w:val="both"/>
        <w:rPr>
          <w:rFonts w:ascii="Palatino Linotype" w:hAnsi="Palatino Linotype"/>
          <w:color w:val="222222"/>
          <w:lang w:eastAsia="es-MX"/>
        </w:rPr>
      </w:pPr>
      <w:r w:rsidRPr="00A2012D">
        <w:rPr>
          <w:rFonts w:ascii="Palatino Linotype" w:hAnsi="Palatino Linotype" w:cs="Arial"/>
          <w:b/>
          <w:lang w:val="es-ES_tradnl"/>
        </w:rPr>
        <w:t xml:space="preserve">TERCERO. </w:t>
      </w:r>
      <w:r w:rsidRPr="00A2012D">
        <w:rPr>
          <w:rFonts w:ascii="Palatino Linotype" w:hAnsi="Palatino Linotype"/>
          <w:b/>
          <w:bCs/>
          <w:color w:val="222222"/>
        </w:rPr>
        <w:t xml:space="preserve">Notifíquese </w:t>
      </w:r>
      <w:r w:rsidRPr="00A2012D">
        <w:rPr>
          <w:rFonts w:ascii="Palatino Linotype" w:hAnsi="Palatino Linotype"/>
          <w:bCs/>
          <w:color w:val="222222"/>
        </w:rPr>
        <w:t xml:space="preserve">al </w:t>
      </w:r>
      <w:r w:rsidRPr="00A2012D">
        <w:rPr>
          <w:rFonts w:ascii="Palatino Linotype" w:hAnsi="Palatino Linotype"/>
          <w:b/>
          <w:bCs/>
          <w:color w:val="222222"/>
        </w:rPr>
        <w:t>RECURRENTE</w:t>
      </w:r>
      <w:r w:rsidRPr="00A2012D">
        <w:rPr>
          <w:rFonts w:ascii="Palatino Linotype" w:eastAsiaTheme="minorEastAsia" w:hAnsi="Palatino Linotype" w:cstheme="minorBidi"/>
          <w:b/>
          <w:lang w:val="es-ES_tradnl"/>
        </w:rPr>
        <w:t xml:space="preserve"> </w:t>
      </w:r>
      <w:r w:rsidRPr="00A2012D">
        <w:rPr>
          <w:rFonts w:ascii="Palatino Linotype" w:hAnsi="Palatino Linotype"/>
          <w:color w:val="222222"/>
          <w:lang w:eastAsia="es-MX"/>
        </w:rPr>
        <w:t xml:space="preserve">la presente resolución, vía Sistema de Acceso a la </w:t>
      </w:r>
      <w:r w:rsidR="00487BC2" w:rsidRPr="00A2012D">
        <w:rPr>
          <w:rFonts w:ascii="Palatino Linotype" w:hAnsi="Palatino Linotype"/>
          <w:color w:val="222222"/>
          <w:lang w:eastAsia="es-MX"/>
        </w:rPr>
        <w:t>Información Mexiquense</w:t>
      </w:r>
      <w:r w:rsidR="00D52CED" w:rsidRPr="00A2012D">
        <w:rPr>
          <w:rFonts w:ascii="Palatino Linotype" w:hAnsi="Palatino Linotype"/>
          <w:color w:val="222222"/>
          <w:lang w:eastAsia="es-MX"/>
        </w:rPr>
        <w:t xml:space="preserve"> (SAIMEX).</w:t>
      </w:r>
    </w:p>
    <w:p w14:paraId="24C0548F" w14:textId="77777777" w:rsidR="003C5916" w:rsidRPr="00A2012D" w:rsidRDefault="003C5916" w:rsidP="00207DF9">
      <w:pPr>
        <w:spacing w:line="360" w:lineRule="auto"/>
        <w:jc w:val="both"/>
        <w:rPr>
          <w:rFonts w:ascii="Palatino Linotype" w:hAnsi="Palatino Linotype"/>
          <w:color w:val="222222"/>
          <w:lang w:eastAsia="es-MX"/>
        </w:rPr>
      </w:pPr>
    </w:p>
    <w:p w14:paraId="0178B577" w14:textId="77777777" w:rsidR="003C5916" w:rsidRPr="00A2012D" w:rsidRDefault="003C5916" w:rsidP="00207DF9">
      <w:pPr>
        <w:spacing w:line="360" w:lineRule="auto"/>
        <w:jc w:val="both"/>
        <w:rPr>
          <w:rFonts w:ascii="Palatino Linotype" w:eastAsia="MS Mincho" w:hAnsi="Palatino Linotype"/>
          <w:color w:val="000000"/>
        </w:rPr>
      </w:pPr>
      <w:r w:rsidRPr="00A2012D">
        <w:rPr>
          <w:rFonts w:ascii="Palatino Linotype" w:eastAsia="MS Mincho" w:hAnsi="Palatino Linotype"/>
          <w:b/>
          <w:lang w:val="es-MX"/>
        </w:rPr>
        <w:t>CUARTO.</w:t>
      </w:r>
      <w:r w:rsidRPr="00A2012D">
        <w:rPr>
          <w:rFonts w:ascii="Palatino Linotype" w:eastAsia="MS Mincho" w:hAnsi="Palatino Linotype"/>
          <w:lang w:val="es-MX"/>
        </w:rPr>
        <w:t xml:space="preserve"> </w:t>
      </w:r>
      <w:r w:rsidRPr="00A2012D">
        <w:rPr>
          <w:rFonts w:ascii="Palatino Linotype" w:eastAsia="MS Mincho" w:hAnsi="Palatino Linotype"/>
        </w:rPr>
        <w:t>Se hace del conocimiento de</w:t>
      </w:r>
      <w:r w:rsidRPr="00A2012D">
        <w:rPr>
          <w:rFonts w:ascii="Palatino Linotype" w:eastAsiaTheme="minorEastAsia" w:hAnsi="Palatino Linotype" w:cstheme="minorBidi"/>
          <w:lang w:val="es-MX"/>
        </w:rPr>
        <w:t>l</w:t>
      </w:r>
      <w:r w:rsidRPr="00A2012D">
        <w:rPr>
          <w:rFonts w:ascii="Palatino Linotype" w:eastAsiaTheme="minorEastAsia" w:hAnsi="Palatino Linotype" w:cstheme="minorBidi"/>
          <w:b/>
          <w:lang w:val="es-MX"/>
        </w:rPr>
        <w:t xml:space="preserve"> RECURRENTE </w:t>
      </w:r>
      <w:r w:rsidRPr="00A2012D">
        <w:rPr>
          <w:rFonts w:ascii="Palatino Linotype" w:eastAsia="MS Mincho" w:hAnsi="Palatino Linotype"/>
        </w:rPr>
        <w:t xml:space="preserve">que, </w:t>
      </w:r>
      <w:r w:rsidRPr="00A2012D">
        <w:rPr>
          <w:rFonts w:ascii="Palatino Linotype" w:eastAsia="MS Mincho" w:hAnsi="Palatino Linotype"/>
          <w:color w:val="000000"/>
          <w:lang w:val="es-MX"/>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A2012D">
        <w:rPr>
          <w:rFonts w:ascii="Palatino Linotype" w:eastAsia="MS Mincho" w:hAnsi="Palatino Linotype"/>
          <w:bCs/>
          <w:color w:val="000000"/>
        </w:rPr>
        <w:t xml:space="preserve">juicio de amparo </w:t>
      </w:r>
      <w:r w:rsidRPr="00A2012D">
        <w:rPr>
          <w:rFonts w:ascii="Palatino Linotype" w:eastAsia="MS Mincho" w:hAnsi="Palatino Linotype"/>
          <w:color w:val="000000"/>
        </w:rPr>
        <w:t>en los términos de las Leyes aplicables.</w:t>
      </w:r>
    </w:p>
    <w:p w14:paraId="0ED63C99" w14:textId="77777777" w:rsidR="003C5916" w:rsidRPr="00A2012D" w:rsidRDefault="003C5916" w:rsidP="00207DF9">
      <w:pPr>
        <w:spacing w:line="360" w:lineRule="auto"/>
        <w:jc w:val="both"/>
        <w:rPr>
          <w:rFonts w:ascii="Palatino Linotype" w:eastAsia="MS Mincho" w:hAnsi="Palatino Linotype"/>
        </w:rPr>
      </w:pPr>
    </w:p>
    <w:p w14:paraId="5EAFB1BB" w14:textId="77777777" w:rsidR="009B2D25" w:rsidRDefault="009B2D25" w:rsidP="009B2D25">
      <w:pPr>
        <w:spacing w:before="240" w:after="240" w:line="360" w:lineRule="auto"/>
        <w:jc w:val="both"/>
        <w:rPr>
          <w:rFonts w:ascii="Palatino Linotype" w:hAnsi="Palatino Linotype"/>
        </w:rPr>
      </w:pPr>
      <w:r w:rsidRPr="00A2012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A2012D">
        <w:rPr>
          <w:rFonts w:ascii="Palatino Linotype" w:hAnsi="Palatino Linotype"/>
        </w:rPr>
        <w:lastRenderedPageBreak/>
        <w:t>RAMÍREZ PEÑA EN LA TRIGÉSIMA OCTAVA SESIÓN ORDINARIA CELEBRADA EL DIECINUEVE (19) DE OCTUBRE DE DOS MIL VEINTIDÓS, ANTE EL SECRETARIO TÉCNICO DEL PLENO ALEXIS TAPIA RAMÍREZ.</w:t>
      </w:r>
      <w:bookmarkStart w:id="38" w:name="_GoBack"/>
      <w:bookmarkEnd w:id="38"/>
      <w:r w:rsidRPr="00624AAD">
        <w:rPr>
          <w:rFonts w:ascii="Palatino Linotype" w:hAnsi="Palatino Linotype"/>
        </w:rPr>
        <w:t xml:space="preserve"> </w:t>
      </w:r>
    </w:p>
    <w:p w14:paraId="3371C6B8"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2EE162DA"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179A0F27"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0C44095D"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2927DF1F"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79A773C9"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2811E9D2"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5243E43F"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11981F41"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13F3B657"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07A6E427"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288B56A7"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04881E23"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400FA1E9" w14:textId="77777777" w:rsidR="00D52CED" w:rsidRPr="00207DF9" w:rsidRDefault="00D52CED" w:rsidP="00207DF9">
      <w:pPr>
        <w:spacing w:before="240" w:after="240" w:line="360" w:lineRule="auto"/>
        <w:jc w:val="both"/>
        <w:rPr>
          <w:rFonts w:ascii="Palatino Linotype" w:eastAsiaTheme="minorEastAsia" w:hAnsi="Palatino Linotype" w:cstheme="minorBidi"/>
          <w:lang w:val="es-MX"/>
        </w:rPr>
      </w:pPr>
    </w:p>
    <w:p w14:paraId="5567B59F" w14:textId="77777777" w:rsidR="003C5916" w:rsidRPr="00207DF9" w:rsidRDefault="003C5916" w:rsidP="00207DF9">
      <w:pPr>
        <w:spacing w:line="360" w:lineRule="auto"/>
        <w:rPr>
          <w:rFonts w:ascii="Palatino Linotype" w:hAnsi="Palatino Linotype"/>
        </w:rPr>
      </w:pPr>
    </w:p>
    <w:p w14:paraId="38D9F738" w14:textId="2A255571" w:rsidR="002C7E93" w:rsidRPr="00207DF9" w:rsidRDefault="002C7E93" w:rsidP="00207DF9">
      <w:pPr>
        <w:spacing w:line="360" w:lineRule="auto"/>
        <w:rPr>
          <w:rFonts w:ascii="Palatino Linotype" w:hAnsi="Palatino Linotype"/>
          <w:lang w:val="es-MX" w:eastAsia="en-US"/>
        </w:rPr>
      </w:pPr>
    </w:p>
    <w:bookmarkEnd w:id="26"/>
    <w:bookmarkEnd w:id="27"/>
    <w:bookmarkEnd w:id="28"/>
    <w:bookmarkEnd w:id="29"/>
    <w:bookmarkEnd w:id="30"/>
    <w:p w14:paraId="276C69EA" w14:textId="77777777" w:rsidR="00F025CD" w:rsidRPr="00207DF9" w:rsidRDefault="00F025CD" w:rsidP="00207DF9">
      <w:pPr>
        <w:pStyle w:val="Prrafodelista"/>
        <w:spacing w:before="240" w:after="240" w:line="360" w:lineRule="auto"/>
        <w:ind w:left="0"/>
        <w:jc w:val="both"/>
        <w:rPr>
          <w:rFonts w:ascii="Palatino Linotype" w:hAnsi="Palatino Linotype"/>
          <w:lang w:val="es-ES_tradnl"/>
        </w:rPr>
      </w:pPr>
    </w:p>
    <w:sectPr w:rsidR="00F025CD" w:rsidRPr="00207DF9"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59889" w14:textId="77777777" w:rsidR="00D1687F" w:rsidRDefault="00D1687F" w:rsidP="00C80F8C">
      <w:r>
        <w:separator/>
      </w:r>
    </w:p>
  </w:endnote>
  <w:endnote w:type="continuationSeparator" w:id="0">
    <w:p w14:paraId="5098CFDD" w14:textId="77777777" w:rsidR="00D1687F" w:rsidRDefault="00D168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D715D9" w:rsidRPr="00817AAB" w:rsidRDefault="00D715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2012D">
      <w:rPr>
        <w:rFonts w:ascii="Palatino Linotype" w:hAnsi="Palatino Linotype" w:cs="Arial"/>
        <w:b/>
        <w:bCs/>
        <w:noProof/>
      </w:rPr>
      <w:t>13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2012D">
      <w:rPr>
        <w:rFonts w:ascii="Palatino Linotype" w:hAnsi="Palatino Linotype" w:cs="Arial"/>
        <w:b/>
        <w:bCs/>
        <w:noProof/>
      </w:rPr>
      <w:t>27</w:t>
    </w:r>
    <w:r w:rsidRPr="00817AAB">
      <w:rPr>
        <w:rFonts w:ascii="Palatino Linotype" w:hAnsi="Palatino Linotype" w:cs="Arial"/>
        <w:b/>
        <w:bCs/>
      </w:rPr>
      <w:fldChar w:fldCharType="end"/>
    </w:r>
  </w:p>
  <w:p w14:paraId="1192A578" w14:textId="77777777" w:rsidR="00D715D9" w:rsidRDefault="00D715D9" w:rsidP="00935A0D">
    <w:pPr>
      <w:pStyle w:val="Piedepgina"/>
      <w:rPr>
        <w:rFonts w:ascii="Times New Roman" w:hAnsi="Times New Roman" w:cs="Times New Roman"/>
      </w:rPr>
    </w:pPr>
  </w:p>
  <w:p w14:paraId="14A770F8" w14:textId="77777777" w:rsidR="00D715D9" w:rsidRDefault="00D715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D715D9" w:rsidRDefault="00D715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2012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2012D">
      <w:rPr>
        <w:rFonts w:ascii="Arial" w:hAnsi="Arial" w:cs="Arial"/>
        <w:b/>
        <w:bCs/>
        <w:noProof/>
        <w:sz w:val="20"/>
        <w:szCs w:val="20"/>
      </w:rPr>
      <w:t>27</w:t>
    </w:r>
    <w:r>
      <w:rPr>
        <w:rFonts w:ascii="Arial" w:hAnsi="Arial" w:cs="Arial"/>
        <w:b/>
        <w:bCs/>
        <w:sz w:val="20"/>
        <w:szCs w:val="20"/>
      </w:rPr>
      <w:fldChar w:fldCharType="end"/>
    </w:r>
  </w:p>
  <w:p w14:paraId="5D98ABD5" w14:textId="77777777" w:rsidR="00D715D9" w:rsidRDefault="00D7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0B719" w14:textId="77777777" w:rsidR="00D1687F" w:rsidRDefault="00D1687F" w:rsidP="00C80F8C">
      <w:r>
        <w:separator/>
      </w:r>
    </w:p>
  </w:footnote>
  <w:footnote w:type="continuationSeparator" w:id="0">
    <w:p w14:paraId="5FFCD931" w14:textId="77777777" w:rsidR="00D1687F" w:rsidRDefault="00D1687F" w:rsidP="00C80F8C">
      <w:r>
        <w:continuationSeparator/>
      </w:r>
    </w:p>
  </w:footnote>
  <w:footnote w:id="1">
    <w:p w14:paraId="06AF7CC4" w14:textId="77777777" w:rsidR="003C5916" w:rsidRDefault="003C5916" w:rsidP="003C5916">
      <w:pP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1552232D" w14:textId="77777777" w:rsidR="003C5916" w:rsidRDefault="003C5916" w:rsidP="003C5916">
      <w:pP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0B1C4320" w14:textId="77777777" w:rsidR="003C5916" w:rsidRDefault="003C5916" w:rsidP="003C5916">
      <w:pP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5647EAEE" w14:textId="77777777" w:rsidR="003C5916" w:rsidRDefault="003C5916" w:rsidP="003C5916">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200C912B" w14:textId="77777777" w:rsidR="003C5916" w:rsidRDefault="003C5916" w:rsidP="003C5916">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D29D6E5" w14:textId="77777777" w:rsidR="003C5916" w:rsidRDefault="003C5916" w:rsidP="003C5916">
      <w:pPr>
        <w:rPr>
          <w:color w:val="000000"/>
          <w:sz w:val="20"/>
          <w:szCs w:val="20"/>
        </w:rPr>
      </w:pPr>
      <w:r>
        <w:rPr>
          <w:color w:val="000000"/>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715D9" w14:paraId="6B4E3B81" w14:textId="77777777" w:rsidTr="00B4299A">
      <w:tc>
        <w:tcPr>
          <w:tcW w:w="2701" w:type="dxa"/>
          <w:vAlign w:val="center"/>
          <w:hideMark/>
        </w:tcPr>
        <w:p w14:paraId="0ABBC6C0" w14:textId="1226DAAF"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A345E29" w:rsidR="00D715D9" w:rsidRPr="00B4299A" w:rsidRDefault="004D08C2" w:rsidP="004D3F79">
          <w:pPr>
            <w:rPr>
              <w:rFonts w:ascii="Palatino Linotype" w:hAnsi="Palatino Linotype"/>
              <w:b/>
              <w:szCs w:val="22"/>
              <w:lang w:val="es-ES_tradnl"/>
            </w:rPr>
          </w:pPr>
          <w:r w:rsidRPr="004D08C2">
            <w:rPr>
              <w:rFonts w:ascii="Palatino Linotype" w:hAnsi="Palatino Linotype"/>
              <w:b/>
              <w:szCs w:val="22"/>
              <w:lang w:val="es-ES_tradnl"/>
            </w:rPr>
            <w:t>11938/INFOEM/IP/RR/2022</w:t>
          </w:r>
        </w:p>
      </w:tc>
    </w:tr>
    <w:tr w:rsidR="00D715D9" w14:paraId="31CB780F" w14:textId="77777777" w:rsidTr="00B4299A">
      <w:trPr>
        <w:trHeight w:val="228"/>
      </w:trPr>
      <w:tc>
        <w:tcPr>
          <w:tcW w:w="2701" w:type="dxa"/>
          <w:vAlign w:val="center"/>
          <w:hideMark/>
        </w:tcPr>
        <w:p w14:paraId="4F49CB4A" w14:textId="6966D32E"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50EA414" w:rsidR="00D715D9" w:rsidRPr="00B4299A" w:rsidRDefault="004D08C2" w:rsidP="00DD6A6D">
          <w:pPr>
            <w:jc w:val="both"/>
            <w:rPr>
              <w:rFonts w:ascii="Palatino Linotype" w:hAnsi="Palatino Linotype"/>
              <w:b/>
              <w:szCs w:val="22"/>
              <w:lang w:val="es-ES_tradnl"/>
            </w:rPr>
          </w:pPr>
          <w:r w:rsidRPr="004D08C2">
            <w:rPr>
              <w:rFonts w:ascii="Palatino Linotype" w:hAnsi="Palatino Linotype"/>
              <w:b/>
              <w:szCs w:val="22"/>
              <w:lang w:val="es-ES_tradnl"/>
            </w:rPr>
            <w:t>Ayuntamiento de Huehuetoca</w:t>
          </w:r>
        </w:p>
      </w:tc>
    </w:tr>
    <w:tr w:rsidR="00D715D9" w14:paraId="69050F56" w14:textId="77777777" w:rsidTr="00B4299A">
      <w:tc>
        <w:tcPr>
          <w:tcW w:w="2701" w:type="dxa"/>
          <w:vAlign w:val="center"/>
          <w:hideMark/>
        </w:tcPr>
        <w:p w14:paraId="65C9B735" w14:textId="75C78F81" w:rsidR="00D715D9" w:rsidRPr="00B4299A" w:rsidRDefault="00D715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715D9" w:rsidRPr="00B4299A" w:rsidRDefault="00D715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715D9" w:rsidRDefault="00D715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715D9" w:rsidRDefault="00D715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715D9" w:rsidRDefault="00D715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220559B">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715D9" w14:paraId="477E149B" w14:textId="77777777" w:rsidTr="00CB57FD">
      <w:trPr>
        <w:trHeight w:val="277"/>
      </w:trPr>
      <w:tc>
        <w:tcPr>
          <w:tcW w:w="2693" w:type="dxa"/>
          <w:vAlign w:val="center"/>
          <w:hideMark/>
        </w:tcPr>
        <w:p w14:paraId="5C0586E4" w14:textId="77777777"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A1274BC" w:rsidR="00D715D9" w:rsidRPr="009B3353" w:rsidRDefault="004D08C2" w:rsidP="00761460">
          <w:pPr>
            <w:rPr>
              <w:rFonts w:ascii="Palatino Linotype" w:hAnsi="Palatino Linotype"/>
              <w:b/>
              <w:szCs w:val="22"/>
              <w:lang w:val="es-ES_tradnl"/>
            </w:rPr>
          </w:pPr>
          <w:r w:rsidRPr="004D08C2">
            <w:rPr>
              <w:rFonts w:ascii="Palatino Linotype" w:hAnsi="Palatino Linotype"/>
              <w:b/>
              <w:szCs w:val="22"/>
              <w:lang w:val="es-ES_tradnl"/>
            </w:rPr>
            <w:t>11938/INFOEM/IP/RR/2022</w:t>
          </w:r>
        </w:p>
      </w:tc>
    </w:tr>
    <w:tr w:rsidR="00D715D9" w14:paraId="5B5BE21C" w14:textId="77777777" w:rsidTr="00CB57FD">
      <w:tc>
        <w:tcPr>
          <w:tcW w:w="2693" w:type="dxa"/>
          <w:vAlign w:val="center"/>
          <w:hideMark/>
        </w:tcPr>
        <w:p w14:paraId="4AE96902" w14:textId="4E063913"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3B4DE0C" w:rsidR="00D715D9" w:rsidRPr="009B3353" w:rsidRDefault="00A2012D" w:rsidP="00DA23E7">
          <w:pPr>
            <w:rPr>
              <w:rFonts w:ascii="Palatino Linotype" w:hAnsi="Palatino Linotype"/>
              <w:b/>
              <w:szCs w:val="22"/>
              <w:lang w:val="es-ES_tradnl"/>
            </w:rPr>
          </w:pPr>
          <w:r>
            <w:rPr>
              <w:rFonts w:ascii="Palatino Linotype" w:hAnsi="Palatino Linotype"/>
              <w:b/>
              <w:szCs w:val="22"/>
              <w:lang w:val="es-ES_tradnl"/>
            </w:rPr>
            <w:t>XXXX XXX XXX</w:t>
          </w:r>
        </w:p>
      </w:tc>
    </w:tr>
    <w:tr w:rsidR="00D715D9" w14:paraId="22601A11" w14:textId="77777777" w:rsidTr="00CB57FD">
      <w:trPr>
        <w:trHeight w:val="228"/>
      </w:trPr>
      <w:tc>
        <w:tcPr>
          <w:tcW w:w="2693" w:type="dxa"/>
          <w:vAlign w:val="center"/>
          <w:hideMark/>
        </w:tcPr>
        <w:p w14:paraId="6EFE221D" w14:textId="49C5F800"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D8BB617" w:rsidR="00D715D9" w:rsidRPr="009B3353" w:rsidRDefault="004D08C2" w:rsidP="00DD6A6D">
          <w:pPr>
            <w:jc w:val="both"/>
            <w:rPr>
              <w:rFonts w:ascii="Palatino Linotype" w:eastAsia="Calibri" w:hAnsi="Palatino Linotype"/>
              <w:b/>
              <w:szCs w:val="22"/>
              <w:lang w:val="es-MX" w:eastAsia="en-US"/>
            </w:rPr>
          </w:pPr>
          <w:r w:rsidRPr="004D08C2">
            <w:rPr>
              <w:rFonts w:ascii="Palatino Linotype" w:eastAsia="Calibri" w:hAnsi="Palatino Linotype"/>
              <w:b/>
              <w:szCs w:val="22"/>
              <w:lang w:val="es-MX" w:eastAsia="en-US"/>
            </w:rPr>
            <w:t>Ayuntamiento de Huehuetoca</w:t>
          </w:r>
        </w:p>
      </w:tc>
    </w:tr>
    <w:tr w:rsidR="00D715D9" w14:paraId="2D6C630E" w14:textId="77777777" w:rsidTr="00CB57FD">
      <w:tc>
        <w:tcPr>
          <w:tcW w:w="2693" w:type="dxa"/>
          <w:vAlign w:val="center"/>
          <w:hideMark/>
        </w:tcPr>
        <w:p w14:paraId="5BD4C6DB" w14:textId="7CF21504" w:rsidR="00D715D9" w:rsidRPr="009B3353" w:rsidRDefault="00D715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715D9" w:rsidRPr="009B3353" w:rsidRDefault="00D715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715D9" w:rsidRDefault="00D715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5344F"/>
    <w:multiLevelType w:val="hybridMultilevel"/>
    <w:tmpl w:val="EA1279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2622DD"/>
    <w:multiLevelType w:val="hybridMultilevel"/>
    <w:tmpl w:val="61EE451C"/>
    <w:lvl w:ilvl="0" w:tplc="F2A2EEAA">
      <w:start w:val="12"/>
      <w:numFmt w:val="decimal"/>
      <w:lvlText w:val="%1."/>
      <w:lvlJc w:val="left"/>
      <w:pPr>
        <w:ind w:left="1713" w:hanging="360"/>
      </w:pPr>
      <w:rPr>
        <w:rFonts w:hint="default"/>
        <w:b/>
        <w:i w:val="0"/>
      </w:rPr>
    </w:lvl>
    <w:lvl w:ilvl="1" w:tplc="080A0003">
      <w:start w:val="1"/>
      <w:numFmt w:val="bullet"/>
      <w:lvlText w:val="o"/>
      <w:lvlJc w:val="left"/>
      <w:pPr>
        <w:ind w:left="2433" w:hanging="360"/>
      </w:pPr>
      <w:rPr>
        <w:rFonts w:ascii="Courier New" w:hAnsi="Courier New" w:cs="Courier New" w:hint="default"/>
      </w:rPr>
    </w:lvl>
    <w:lvl w:ilvl="2" w:tplc="080A0005">
      <w:start w:val="1"/>
      <w:numFmt w:val="bullet"/>
      <w:lvlText w:val=""/>
      <w:lvlJc w:val="left"/>
      <w:pPr>
        <w:ind w:left="3153" w:hanging="360"/>
      </w:pPr>
      <w:rPr>
        <w:rFonts w:ascii="Wingdings" w:hAnsi="Wingdings" w:hint="default"/>
      </w:rPr>
    </w:lvl>
    <w:lvl w:ilvl="3" w:tplc="080A0001">
      <w:start w:val="1"/>
      <w:numFmt w:val="bullet"/>
      <w:lvlText w:val=""/>
      <w:lvlJc w:val="left"/>
      <w:pPr>
        <w:ind w:left="3873" w:hanging="360"/>
      </w:pPr>
      <w:rPr>
        <w:rFonts w:ascii="Symbol" w:hAnsi="Symbol" w:hint="default"/>
      </w:rPr>
    </w:lvl>
    <w:lvl w:ilvl="4" w:tplc="080A0003">
      <w:start w:val="1"/>
      <w:numFmt w:val="bullet"/>
      <w:lvlText w:val="o"/>
      <w:lvlJc w:val="left"/>
      <w:pPr>
        <w:ind w:left="4593" w:hanging="360"/>
      </w:pPr>
      <w:rPr>
        <w:rFonts w:ascii="Courier New" w:hAnsi="Courier New" w:cs="Courier New" w:hint="default"/>
      </w:rPr>
    </w:lvl>
    <w:lvl w:ilvl="5" w:tplc="080A0005">
      <w:start w:val="1"/>
      <w:numFmt w:val="bullet"/>
      <w:lvlText w:val=""/>
      <w:lvlJc w:val="left"/>
      <w:pPr>
        <w:ind w:left="5313" w:hanging="360"/>
      </w:pPr>
      <w:rPr>
        <w:rFonts w:ascii="Wingdings" w:hAnsi="Wingdings" w:hint="default"/>
      </w:rPr>
    </w:lvl>
    <w:lvl w:ilvl="6" w:tplc="080A0001">
      <w:start w:val="1"/>
      <w:numFmt w:val="bullet"/>
      <w:lvlText w:val=""/>
      <w:lvlJc w:val="left"/>
      <w:pPr>
        <w:ind w:left="6033" w:hanging="360"/>
      </w:pPr>
      <w:rPr>
        <w:rFonts w:ascii="Symbol" w:hAnsi="Symbol" w:hint="default"/>
      </w:rPr>
    </w:lvl>
    <w:lvl w:ilvl="7" w:tplc="080A0003">
      <w:start w:val="1"/>
      <w:numFmt w:val="bullet"/>
      <w:lvlText w:val="o"/>
      <w:lvlJc w:val="left"/>
      <w:pPr>
        <w:ind w:left="6753" w:hanging="360"/>
      </w:pPr>
      <w:rPr>
        <w:rFonts w:ascii="Courier New" w:hAnsi="Courier New" w:cs="Courier New" w:hint="default"/>
      </w:rPr>
    </w:lvl>
    <w:lvl w:ilvl="8" w:tplc="080A0005">
      <w:start w:val="1"/>
      <w:numFmt w:val="bullet"/>
      <w:lvlText w:val=""/>
      <w:lvlJc w:val="left"/>
      <w:pPr>
        <w:ind w:left="7473" w:hanging="360"/>
      </w:pPr>
      <w:rPr>
        <w:rFonts w:ascii="Wingdings" w:hAnsi="Wingdings" w:hint="default"/>
      </w:rPr>
    </w:lvl>
  </w:abstractNum>
  <w:abstractNum w:abstractNumId="2" w15:restartNumberingAfterBreak="0">
    <w:nsid w:val="0AB441B3"/>
    <w:multiLevelType w:val="hybridMultilevel"/>
    <w:tmpl w:val="845A154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5" w15:restartNumberingAfterBreak="0">
    <w:nsid w:val="1882646A"/>
    <w:multiLevelType w:val="hybridMultilevel"/>
    <w:tmpl w:val="1F5A4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E52EE6"/>
    <w:multiLevelType w:val="hybridMultilevel"/>
    <w:tmpl w:val="D20A5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D7F27"/>
    <w:multiLevelType w:val="hybridMultilevel"/>
    <w:tmpl w:val="BC885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3"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9313E5"/>
    <w:multiLevelType w:val="hybridMultilevel"/>
    <w:tmpl w:val="F3D84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BE6AA5"/>
    <w:multiLevelType w:val="hybridMultilevel"/>
    <w:tmpl w:val="26D2BB5A"/>
    <w:lvl w:ilvl="0" w:tplc="080A0001">
      <w:start w:val="1"/>
      <w:numFmt w:val="bullet"/>
      <w:lvlText w:val=""/>
      <w:lvlJc w:val="left"/>
      <w:pPr>
        <w:ind w:left="2073" w:hanging="360"/>
      </w:pPr>
      <w:rPr>
        <w:rFonts w:ascii="Symbol" w:hAnsi="Symbol" w:hint="default"/>
      </w:rPr>
    </w:lvl>
    <w:lvl w:ilvl="1" w:tplc="080A0003" w:tentative="1">
      <w:start w:val="1"/>
      <w:numFmt w:val="bullet"/>
      <w:lvlText w:val="o"/>
      <w:lvlJc w:val="left"/>
      <w:pPr>
        <w:ind w:left="2793" w:hanging="360"/>
      </w:pPr>
      <w:rPr>
        <w:rFonts w:ascii="Courier New" w:hAnsi="Courier New" w:cs="Courier New" w:hint="default"/>
      </w:rPr>
    </w:lvl>
    <w:lvl w:ilvl="2" w:tplc="080A0005" w:tentative="1">
      <w:start w:val="1"/>
      <w:numFmt w:val="bullet"/>
      <w:lvlText w:val=""/>
      <w:lvlJc w:val="left"/>
      <w:pPr>
        <w:ind w:left="3513" w:hanging="360"/>
      </w:pPr>
      <w:rPr>
        <w:rFonts w:ascii="Wingdings" w:hAnsi="Wingdings" w:hint="default"/>
      </w:rPr>
    </w:lvl>
    <w:lvl w:ilvl="3" w:tplc="080A0001" w:tentative="1">
      <w:start w:val="1"/>
      <w:numFmt w:val="bullet"/>
      <w:lvlText w:val=""/>
      <w:lvlJc w:val="left"/>
      <w:pPr>
        <w:ind w:left="4233" w:hanging="360"/>
      </w:pPr>
      <w:rPr>
        <w:rFonts w:ascii="Symbol" w:hAnsi="Symbol" w:hint="default"/>
      </w:rPr>
    </w:lvl>
    <w:lvl w:ilvl="4" w:tplc="080A0003" w:tentative="1">
      <w:start w:val="1"/>
      <w:numFmt w:val="bullet"/>
      <w:lvlText w:val="o"/>
      <w:lvlJc w:val="left"/>
      <w:pPr>
        <w:ind w:left="4953" w:hanging="360"/>
      </w:pPr>
      <w:rPr>
        <w:rFonts w:ascii="Courier New" w:hAnsi="Courier New" w:cs="Courier New" w:hint="default"/>
      </w:rPr>
    </w:lvl>
    <w:lvl w:ilvl="5" w:tplc="080A0005" w:tentative="1">
      <w:start w:val="1"/>
      <w:numFmt w:val="bullet"/>
      <w:lvlText w:val=""/>
      <w:lvlJc w:val="left"/>
      <w:pPr>
        <w:ind w:left="5673" w:hanging="360"/>
      </w:pPr>
      <w:rPr>
        <w:rFonts w:ascii="Wingdings" w:hAnsi="Wingdings" w:hint="default"/>
      </w:rPr>
    </w:lvl>
    <w:lvl w:ilvl="6" w:tplc="080A0001" w:tentative="1">
      <w:start w:val="1"/>
      <w:numFmt w:val="bullet"/>
      <w:lvlText w:val=""/>
      <w:lvlJc w:val="left"/>
      <w:pPr>
        <w:ind w:left="6393" w:hanging="360"/>
      </w:pPr>
      <w:rPr>
        <w:rFonts w:ascii="Symbol" w:hAnsi="Symbol" w:hint="default"/>
      </w:rPr>
    </w:lvl>
    <w:lvl w:ilvl="7" w:tplc="080A0003" w:tentative="1">
      <w:start w:val="1"/>
      <w:numFmt w:val="bullet"/>
      <w:lvlText w:val="o"/>
      <w:lvlJc w:val="left"/>
      <w:pPr>
        <w:ind w:left="7113" w:hanging="360"/>
      </w:pPr>
      <w:rPr>
        <w:rFonts w:ascii="Courier New" w:hAnsi="Courier New" w:cs="Courier New" w:hint="default"/>
      </w:rPr>
    </w:lvl>
    <w:lvl w:ilvl="8" w:tplc="080A0005" w:tentative="1">
      <w:start w:val="1"/>
      <w:numFmt w:val="bullet"/>
      <w:lvlText w:val=""/>
      <w:lvlJc w:val="left"/>
      <w:pPr>
        <w:ind w:left="7833" w:hanging="360"/>
      </w:pPr>
      <w:rPr>
        <w:rFonts w:ascii="Wingdings" w:hAnsi="Wingdings" w:hint="default"/>
      </w:rPr>
    </w:lvl>
  </w:abstractNum>
  <w:abstractNum w:abstractNumId="19" w15:restartNumberingAfterBreak="0">
    <w:nsid w:val="50481C3E"/>
    <w:multiLevelType w:val="hybridMultilevel"/>
    <w:tmpl w:val="4CE08C34"/>
    <w:lvl w:ilvl="0" w:tplc="9E3278B6">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7560FD"/>
    <w:multiLevelType w:val="hybridMultilevel"/>
    <w:tmpl w:val="4F04DE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15:restartNumberingAfterBreak="0">
    <w:nsid w:val="519A3C11"/>
    <w:multiLevelType w:val="hybridMultilevel"/>
    <w:tmpl w:val="2636710A"/>
    <w:lvl w:ilvl="0" w:tplc="F2A2EEAA">
      <w:start w:val="12"/>
      <w:numFmt w:val="decimal"/>
      <w:lvlText w:val="%1."/>
      <w:lvlJc w:val="left"/>
      <w:pPr>
        <w:ind w:left="4188" w:hanging="360"/>
      </w:pPr>
      <w:rPr>
        <w:rFonts w:hint="default"/>
        <w:b/>
        <w:i w:val="0"/>
      </w:rPr>
    </w:lvl>
    <w:lvl w:ilvl="1" w:tplc="080A0019">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2" w15:restartNumberingAfterBreak="0">
    <w:nsid w:val="5C1C54E3"/>
    <w:multiLevelType w:val="hybridMultilevel"/>
    <w:tmpl w:val="BE44E43A"/>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3" w15:restartNumberingAfterBreak="0">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7"/>
  </w:num>
  <w:num w:numId="2">
    <w:abstractNumId w:val="28"/>
  </w:num>
  <w:num w:numId="3">
    <w:abstractNumId w:val="13"/>
  </w:num>
  <w:num w:numId="4">
    <w:abstractNumId w:val="8"/>
  </w:num>
  <w:num w:numId="5">
    <w:abstractNumId w:val="10"/>
  </w:num>
  <w:num w:numId="6">
    <w:abstractNumId w:val="3"/>
  </w:num>
  <w:num w:numId="7">
    <w:abstractNumId w:val="29"/>
  </w:num>
  <w:num w:numId="8">
    <w:abstractNumId w:val="27"/>
  </w:num>
  <w:num w:numId="9">
    <w:abstractNumId w:val="23"/>
  </w:num>
  <w:num w:numId="10">
    <w:abstractNumId w:val="30"/>
  </w:num>
  <w:num w:numId="11">
    <w:abstractNumId w:val="21"/>
  </w:num>
  <w:num w:numId="12">
    <w:abstractNumId w:val="4"/>
  </w:num>
  <w:num w:numId="13">
    <w:abstractNumId w:val="31"/>
  </w:num>
  <w:num w:numId="14">
    <w:abstractNumId w:val="17"/>
  </w:num>
  <w:num w:numId="15">
    <w:abstractNumId w:val="15"/>
  </w:num>
  <w:num w:numId="16">
    <w:abstractNumId w:val="26"/>
  </w:num>
  <w:num w:numId="17">
    <w:abstractNumId w:val="24"/>
  </w:num>
  <w:num w:numId="18">
    <w:abstractNumId w:val="16"/>
  </w:num>
  <w:num w:numId="19">
    <w:abstractNumId w:val="11"/>
  </w:num>
  <w:num w:numId="20">
    <w:abstractNumId w:val="12"/>
  </w:num>
  <w:num w:numId="21">
    <w:abstractNumId w:val="25"/>
  </w:num>
  <w:num w:numId="22">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num>
  <w:num w:numId="28">
    <w:abstractNumId w:val="18"/>
  </w:num>
  <w:num w:numId="29">
    <w:abstractNumId w:val="5"/>
  </w:num>
  <w:num w:numId="30">
    <w:abstractNumId w:val="14"/>
  </w:num>
  <w:num w:numId="31">
    <w:abstractNumId w:val="19"/>
  </w:num>
  <w:num w:numId="32">
    <w:abstractNumId w:val="0"/>
  </w:num>
  <w:num w:numId="33">
    <w:abstractNumId w:val="22"/>
  </w:num>
  <w:num w:numId="34">
    <w:abstractNumId w:val="2"/>
  </w:num>
  <w:num w:numId="35">
    <w:abstractNumId w:val="6"/>
  </w:num>
  <w:num w:numId="36">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B8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329"/>
    <w:rsid w:val="00070A81"/>
    <w:rsid w:val="00071462"/>
    <w:rsid w:val="00071A99"/>
    <w:rsid w:val="00072BEF"/>
    <w:rsid w:val="00072D06"/>
    <w:rsid w:val="00072DA0"/>
    <w:rsid w:val="00074010"/>
    <w:rsid w:val="000752EF"/>
    <w:rsid w:val="00075D7A"/>
    <w:rsid w:val="00076CAF"/>
    <w:rsid w:val="0007730D"/>
    <w:rsid w:val="00077347"/>
    <w:rsid w:val="00077788"/>
    <w:rsid w:val="00077C21"/>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1EB2"/>
    <w:rsid w:val="000F219C"/>
    <w:rsid w:val="000F231E"/>
    <w:rsid w:val="000F2783"/>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901"/>
    <w:rsid w:val="00111A41"/>
    <w:rsid w:val="00111D7F"/>
    <w:rsid w:val="00112892"/>
    <w:rsid w:val="00112B9F"/>
    <w:rsid w:val="00114D4B"/>
    <w:rsid w:val="00114DDF"/>
    <w:rsid w:val="00115AAD"/>
    <w:rsid w:val="00116064"/>
    <w:rsid w:val="00117030"/>
    <w:rsid w:val="00117BE4"/>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18"/>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26C7"/>
    <w:rsid w:val="001734E8"/>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0DBC"/>
    <w:rsid w:val="001F174A"/>
    <w:rsid w:val="001F1B46"/>
    <w:rsid w:val="001F1F7D"/>
    <w:rsid w:val="001F20AB"/>
    <w:rsid w:val="001F21C4"/>
    <w:rsid w:val="001F2CA8"/>
    <w:rsid w:val="001F41FB"/>
    <w:rsid w:val="001F465A"/>
    <w:rsid w:val="001F4E10"/>
    <w:rsid w:val="001F501F"/>
    <w:rsid w:val="001F6D50"/>
    <w:rsid w:val="0020054B"/>
    <w:rsid w:val="002008C3"/>
    <w:rsid w:val="00201E21"/>
    <w:rsid w:val="00203E4E"/>
    <w:rsid w:val="00204C2A"/>
    <w:rsid w:val="00205361"/>
    <w:rsid w:val="00205ADF"/>
    <w:rsid w:val="0020602B"/>
    <w:rsid w:val="002066DF"/>
    <w:rsid w:val="002070E6"/>
    <w:rsid w:val="00207DF9"/>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4EA3"/>
    <w:rsid w:val="00274F82"/>
    <w:rsid w:val="00275423"/>
    <w:rsid w:val="00275AD6"/>
    <w:rsid w:val="00276D8F"/>
    <w:rsid w:val="00276F2E"/>
    <w:rsid w:val="00276FDC"/>
    <w:rsid w:val="0027702B"/>
    <w:rsid w:val="00277F70"/>
    <w:rsid w:val="00280FF5"/>
    <w:rsid w:val="002817BA"/>
    <w:rsid w:val="00281EF2"/>
    <w:rsid w:val="00282135"/>
    <w:rsid w:val="00283030"/>
    <w:rsid w:val="00283308"/>
    <w:rsid w:val="00284224"/>
    <w:rsid w:val="002856CF"/>
    <w:rsid w:val="002856DC"/>
    <w:rsid w:val="00285D08"/>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6B"/>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6F0D"/>
    <w:rsid w:val="002E03BC"/>
    <w:rsid w:val="002E1D63"/>
    <w:rsid w:val="002E2669"/>
    <w:rsid w:val="002E4EC0"/>
    <w:rsid w:val="002E5744"/>
    <w:rsid w:val="002E578A"/>
    <w:rsid w:val="002E6172"/>
    <w:rsid w:val="002E6B74"/>
    <w:rsid w:val="002E76D5"/>
    <w:rsid w:val="002F1C44"/>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4E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59"/>
    <w:rsid w:val="003135C2"/>
    <w:rsid w:val="0031395E"/>
    <w:rsid w:val="00313AFB"/>
    <w:rsid w:val="00314023"/>
    <w:rsid w:val="00314587"/>
    <w:rsid w:val="003156AE"/>
    <w:rsid w:val="00315780"/>
    <w:rsid w:val="00315891"/>
    <w:rsid w:val="00316240"/>
    <w:rsid w:val="0031687C"/>
    <w:rsid w:val="003172C3"/>
    <w:rsid w:val="0032056A"/>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463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6B65"/>
    <w:rsid w:val="003771DD"/>
    <w:rsid w:val="00377B34"/>
    <w:rsid w:val="003808C9"/>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916"/>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D6DA5"/>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852"/>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057"/>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3CB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BC2"/>
    <w:rsid w:val="00487F15"/>
    <w:rsid w:val="0049105B"/>
    <w:rsid w:val="004912A0"/>
    <w:rsid w:val="0049206E"/>
    <w:rsid w:val="004928DE"/>
    <w:rsid w:val="00493E2F"/>
    <w:rsid w:val="00494CB5"/>
    <w:rsid w:val="004954D8"/>
    <w:rsid w:val="0049576C"/>
    <w:rsid w:val="00495836"/>
    <w:rsid w:val="004967E8"/>
    <w:rsid w:val="004976F3"/>
    <w:rsid w:val="004A0812"/>
    <w:rsid w:val="004A0EA8"/>
    <w:rsid w:val="004A14D9"/>
    <w:rsid w:val="004A21F6"/>
    <w:rsid w:val="004A2680"/>
    <w:rsid w:val="004A4608"/>
    <w:rsid w:val="004A4B61"/>
    <w:rsid w:val="004A5E2D"/>
    <w:rsid w:val="004A6E0B"/>
    <w:rsid w:val="004A6EFE"/>
    <w:rsid w:val="004A70A0"/>
    <w:rsid w:val="004A755A"/>
    <w:rsid w:val="004A759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8C2"/>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10866"/>
    <w:rsid w:val="00511092"/>
    <w:rsid w:val="00511602"/>
    <w:rsid w:val="005119CD"/>
    <w:rsid w:val="00513EAE"/>
    <w:rsid w:val="00513EC5"/>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A51"/>
    <w:rsid w:val="00541397"/>
    <w:rsid w:val="005413A9"/>
    <w:rsid w:val="00541C7E"/>
    <w:rsid w:val="00542386"/>
    <w:rsid w:val="00542D8A"/>
    <w:rsid w:val="00543427"/>
    <w:rsid w:val="00543BF9"/>
    <w:rsid w:val="00544117"/>
    <w:rsid w:val="00544E0A"/>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39D"/>
    <w:rsid w:val="00585113"/>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324"/>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4E59"/>
    <w:rsid w:val="005F557E"/>
    <w:rsid w:val="005F5725"/>
    <w:rsid w:val="005F666A"/>
    <w:rsid w:val="005F684F"/>
    <w:rsid w:val="005F6C07"/>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498D"/>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3252"/>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3147"/>
    <w:rsid w:val="00754866"/>
    <w:rsid w:val="00755299"/>
    <w:rsid w:val="00755944"/>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F1"/>
    <w:rsid w:val="007C46DC"/>
    <w:rsid w:val="007C4965"/>
    <w:rsid w:val="007C513F"/>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58F"/>
    <w:rsid w:val="008246C9"/>
    <w:rsid w:val="00824873"/>
    <w:rsid w:val="008254D3"/>
    <w:rsid w:val="00825CA4"/>
    <w:rsid w:val="00826018"/>
    <w:rsid w:val="0082641D"/>
    <w:rsid w:val="008266BC"/>
    <w:rsid w:val="0083164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44C"/>
    <w:rsid w:val="008A7C97"/>
    <w:rsid w:val="008A7EBE"/>
    <w:rsid w:val="008B0803"/>
    <w:rsid w:val="008B1154"/>
    <w:rsid w:val="008B1273"/>
    <w:rsid w:val="008B18BC"/>
    <w:rsid w:val="008B1D10"/>
    <w:rsid w:val="008B2258"/>
    <w:rsid w:val="008B36C5"/>
    <w:rsid w:val="008B38E8"/>
    <w:rsid w:val="008B542E"/>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10C"/>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02A"/>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365"/>
    <w:rsid w:val="00966926"/>
    <w:rsid w:val="00966C2B"/>
    <w:rsid w:val="00966CCA"/>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703"/>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2D25"/>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12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62A"/>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5BEF"/>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2C5"/>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D3"/>
    <w:rsid w:val="00BA69F4"/>
    <w:rsid w:val="00BA7F80"/>
    <w:rsid w:val="00BB0764"/>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9EB"/>
    <w:rsid w:val="00BE3B2F"/>
    <w:rsid w:val="00BE421A"/>
    <w:rsid w:val="00BE66D6"/>
    <w:rsid w:val="00BE67A1"/>
    <w:rsid w:val="00BE732D"/>
    <w:rsid w:val="00BF0540"/>
    <w:rsid w:val="00BF0748"/>
    <w:rsid w:val="00BF0B64"/>
    <w:rsid w:val="00BF212E"/>
    <w:rsid w:val="00BF2EA7"/>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50"/>
    <w:rsid w:val="00C53E72"/>
    <w:rsid w:val="00C546A6"/>
    <w:rsid w:val="00C548CF"/>
    <w:rsid w:val="00C54BE5"/>
    <w:rsid w:val="00C558F9"/>
    <w:rsid w:val="00C5605D"/>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195"/>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39D2"/>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50E"/>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4F9A"/>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87F"/>
    <w:rsid w:val="00D16EAC"/>
    <w:rsid w:val="00D17381"/>
    <w:rsid w:val="00D17DCA"/>
    <w:rsid w:val="00D21482"/>
    <w:rsid w:val="00D217A4"/>
    <w:rsid w:val="00D236C3"/>
    <w:rsid w:val="00D24764"/>
    <w:rsid w:val="00D24A5F"/>
    <w:rsid w:val="00D24ECD"/>
    <w:rsid w:val="00D25ADE"/>
    <w:rsid w:val="00D269B7"/>
    <w:rsid w:val="00D2728D"/>
    <w:rsid w:val="00D27298"/>
    <w:rsid w:val="00D272F3"/>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2CED"/>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876"/>
    <w:rsid w:val="00D70B6F"/>
    <w:rsid w:val="00D71102"/>
    <w:rsid w:val="00D71585"/>
    <w:rsid w:val="00D715D9"/>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198"/>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A6D"/>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F0F"/>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E00BFD"/>
    <w:rsid w:val="00E01862"/>
    <w:rsid w:val="00E0197E"/>
    <w:rsid w:val="00E020A1"/>
    <w:rsid w:val="00E023C9"/>
    <w:rsid w:val="00E02A38"/>
    <w:rsid w:val="00E02B90"/>
    <w:rsid w:val="00E02C5A"/>
    <w:rsid w:val="00E03650"/>
    <w:rsid w:val="00E03758"/>
    <w:rsid w:val="00E04B3C"/>
    <w:rsid w:val="00E05C70"/>
    <w:rsid w:val="00E05C8E"/>
    <w:rsid w:val="00E05DED"/>
    <w:rsid w:val="00E06941"/>
    <w:rsid w:val="00E06C29"/>
    <w:rsid w:val="00E072DB"/>
    <w:rsid w:val="00E07911"/>
    <w:rsid w:val="00E10D95"/>
    <w:rsid w:val="00E1303E"/>
    <w:rsid w:val="00E136DD"/>
    <w:rsid w:val="00E1380A"/>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307"/>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2548"/>
    <w:rsid w:val="00F025CD"/>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F8F0A35-92CB-4F86-BEE4-487BCB03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0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56243495">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74609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6224624">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199722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77043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BC0D2-690E-4626-AB99-FE8DEC38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5016</Words>
  <Characters>27593</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4</cp:revision>
  <cp:lastPrinted>2021-11-30T23:45:00Z</cp:lastPrinted>
  <dcterms:created xsi:type="dcterms:W3CDTF">2022-10-12T20:13:00Z</dcterms:created>
  <dcterms:modified xsi:type="dcterms:W3CDTF">2022-11-13T04:26:00Z</dcterms:modified>
</cp:coreProperties>
</file>