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820CD" w:rsidP="00710DA7" w:rsidRDefault="005820CD" w14:paraId="193CB922" w14:textId="77777777">
      <w:pPr>
        <w:spacing w:line="360" w:lineRule="auto"/>
        <w:jc w:val="both"/>
        <w:rPr>
          <w:rFonts w:ascii="Palatino Linotype" w:hAnsi="Palatino Linotype" w:cs="Tahoma"/>
          <w:bCs/>
          <w:sz w:val="22"/>
          <w:szCs w:val="22"/>
        </w:rPr>
      </w:pPr>
    </w:p>
    <w:p w:rsidRPr="00ED5C85" w:rsidR="007E363C" w:rsidP="00710DA7" w:rsidRDefault="007E363C" w14:paraId="75F1A75D" w14:textId="22307F57">
      <w:pPr>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846C9">
        <w:rPr>
          <w:rFonts w:ascii="Palatino Linotype" w:hAnsi="Palatino Linotype" w:cs="Tahoma"/>
          <w:bCs/>
          <w:sz w:val="22"/>
          <w:szCs w:val="22"/>
        </w:rPr>
        <w:t xml:space="preserve">veinticuatro de agosto de </w:t>
      </w:r>
      <w:r w:rsidRPr="00ED5C85" w:rsidR="003C449B">
        <w:rPr>
          <w:rFonts w:ascii="Palatino Linotype" w:hAnsi="Palatino Linotype" w:cs="Tahoma"/>
          <w:bCs/>
          <w:sz w:val="22"/>
          <w:szCs w:val="22"/>
        </w:rPr>
        <w:t>dos mil veintidós.</w:t>
      </w:r>
    </w:p>
    <w:p w:rsidRPr="00ED5C85" w:rsidR="00D83309" w:rsidP="00710DA7" w:rsidRDefault="00D83309" w14:paraId="69684B8C" w14:textId="77777777">
      <w:pPr>
        <w:spacing w:line="360" w:lineRule="auto"/>
        <w:jc w:val="both"/>
        <w:rPr>
          <w:rFonts w:ascii="Palatino Linotype" w:hAnsi="Palatino Linotype" w:cs="Tahoma"/>
          <w:bCs/>
          <w:sz w:val="22"/>
          <w:szCs w:val="22"/>
        </w:rPr>
      </w:pPr>
    </w:p>
    <w:p w:rsidRPr="00ED5C85" w:rsidR="007E363C" w:rsidP="7A5821C1" w:rsidRDefault="007E363C" w14:paraId="52AE8B8D" w14:textId="1F15715E">
      <w:pPr>
        <w:spacing w:line="360" w:lineRule="auto"/>
        <w:jc w:val="both"/>
        <w:rPr>
          <w:rFonts w:ascii="Palatino Linotype" w:hAnsi="Palatino Linotype" w:cs="Tahoma"/>
          <w:color w:val="0D0D0D"/>
          <w:sz w:val="22"/>
          <w:szCs w:val="22"/>
        </w:rPr>
      </w:pPr>
      <w:r w:rsidRPr="7A5821C1" w:rsidR="7A5821C1">
        <w:rPr>
          <w:rFonts w:ascii="Palatino Linotype" w:hAnsi="Palatino Linotype" w:cs="Tahoma"/>
          <w:b w:val="1"/>
          <w:bCs w:val="1"/>
          <w:color w:val="0D0D0D" w:themeColor="text1" w:themeTint="F2" w:themeShade="FF"/>
          <w:sz w:val="22"/>
          <w:szCs w:val="22"/>
        </w:rPr>
        <w:t xml:space="preserve">VISTO </w:t>
      </w:r>
      <w:r w:rsidRPr="7A5821C1" w:rsidR="7A5821C1">
        <w:rPr>
          <w:rFonts w:ascii="Palatino Linotype" w:hAnsi="Palatino Linotype" w:cs="Tahoma"/>
          <w:color w:val="0D0D0D" w:themeColor="text1" w:themeTint="F2" w:themeShade="FF"/>
          <w:sz w:val="22"/>
          <w:szCs w:val="22"/>
        </w:rPr>
        <w:t xml:space="preserve">el expediente conformado con motivo del Recurso de Revisión 12096/INFOEM/IP/RR/2022, interpuesto por </w:t>
      </w:r>
      <w:r w:rsidRPr="7A5821C1" w:rsidR="7A5821C1">
        <w:rPr>
          <w:rFonts w:ascii="Palatino Linotype" w:hAnsi="Palatino Linotype" w:cs="Tahoma"/>
          <w:color w:val="0D0D0D" w:themeColor="text1" w:themeTint="F2" w:themeShade="FF"/>
          <w:sz w:val="22"/>
          <w:szCs w:val="22"/>
          <w:highlight w:val="black"/>
        </w:rPr>
        <w:t>XXXXXXXXXXXXXXXXXXXXXXXX</w:t>
      </w:r>
      <w:r w:rsidRPr="7A5821C1" w:rsidR="7A5821C1">
        <w:rPr>
          <w:rFonts w:ascii="Palatino Linotype" w:hAnsi="Palatino Linotype" w:cs="Tahoma"/>
          <w:color w:val="0D0D0D" w:themeColor="text1" w:themeTint="F2" w:themeShade="FF"/>
          <w:sz w:val="22"/>
          <w:szCs w:val="22"/>
        </w:rPr>
        <w:t>, en lo sucesivo el</w:t>
      </w:r>
      <w:r w:rsidRPr="7A5821C1" w:rsidR="7A5821C1">
        <w:rPr>
          <w:rFonts w:ascii="Palatino Linotype" w:hAnsi="Palatino Linotype" w:cs="Tahoma"/>
          <w:color w:val="0D0D0D" w:themeColor="text1" w:themeTint="F2" w:themeShade="FF"/>
          <w:sz w:val="22"/>
          <w:szCs w:val="22"/>
          <w:lang w:val="es-ES"/>
        </w:rPr>
        <w:t xml:space="preserve"> </w:t>
      </w:r>
      <w:r w:rsidRPr="7A5821C1" w:rsidR="7A5821C1">
        <w:rPr>
          <w:rFonts w:ascii="Palatino Linotype" w:hAnsi="Palatino Linotype" w:cs="Tahoma"/>
          <w:color w:val="0D0D0D" w:themeColor="text1" w:themeTint="F2" w:themeShade="FF"/>
          <w:sz w:val="22"/>
          <w:szCs w:val="22"/>
        </w:rPr>
        <w:t>Recurrente o Particular,</w:t>
      </w:r>
      <w:r w:rsidRPr="7A5821C1" w:rsidR="7A5821C1">
        <w:rPr>
          <w:rFonts w:ascii="Palatino Linotype" w:hAnsi="Palatino Linotype" w:cs="Tahoma"/>
          <w:color w:val="0D0D0D" w:themeColor="text1" w:themeTint="F2" w:themeShade="FF"/>
          <w:sz w:val="22"/>
          <w:szCs w:val="22"/>
          <w:lang w:val="es-ES"/>
        </w:rPr>
        <w:t xml:space="preserve"> en contra de la respuesta del Sujeto Obligado</w:t>
      </w:r>
      <w:r w:rsidRPr="7A5821C1" w:rsidR="7A5821C1">
        <w:rPr>
          <w:rFonts w:ascii="Palatino Linotype" w:hAnsi="Palatino Linotype" w:cs="Tahoma"/>
          <w:color w:val="0D0D0D" w:themeColor="text1" w:themeTint="F2" w:themeShade="FF"/>
          <w:sz w:val="22"/>
          <w:szCs w:val="22"/>
        </w:rPr>
        <w:t>, Ayuntamiento de Tequixquiac, a la solicitud de información pública 00151/TEQUIXQU/IP/2022</w:t>
      </w:r>
      <w:r w:rsidRPr="7A5821C1" w:rsidR="7A5821C1">
        <w:rPr>
          <w:rFonts w:ascii="Palatino Linotype" w:hAnsi="Palatino Linotype" w:cs="Tahoma"/>
          <w:b w:val="1"/>
          <w:bCs w:val="1"/>
          <w:color w:val="0D0D0D" w:themeColor="text1" w:themeTint="F2" w:themeShade="FF"/>
          <w:sz w:val="22"/>
          <w:szCs w:val="22"/>
        </w:rPr>
        <w:t xml:space="preserve">, </w:t>
      </w:r>
      <w:r w:rsidRPr="7A5821C1" w:rsidR="7A5821C1">
        <w:rPr>
          <w:rFonts w:ascii="Palatino Linotype" w:hAnsi="Palatino Linotype" w:cs="Tahoma"/>
          <w:color w:val="0D0D0D" w:themeColor="text1" w:themeTint="F2" w:themeShade="FF"/>
          <w:sz w:val="22"/>
          <w:szCs w:val="22"/>
        </w:rPr>
        <w:t>se emite la presente Resolución, con base en los Antecedentes y C</w:t>
      </w:r>
      <w:r w:rsidRPr="7A5821C1" w:rsidR="7A5821C1">
        <w:rPr>
          <w:rFonts w:ascii="Palatino Linotype" w:hAnsi="Palatino Linotype" w:cs="Tahoma"/>
          <w:sz w:val="22"/>
          <w:szCs w:val="22"/>
        </w:rPr>
        <w:t>onsiderandos que a continuación se exponen:</w:t>
      </w:r>
    </w:p>
    <w:p w:rsidRPr="00ED5C85" w:rsidR="006E55D9" w:rsidP="00710DA7" w:rsidRDefault="006E55D9" w14:paraId="20ECEFE9" w14:textId="77777777">
      <w:pPr>
        <w:tabs>
          <w:tab w:val="center" w:pos="4522"/>
          <w:tab w:val="left" w:pos="7245"/>
        </w:tabs>
        <w:spacing w:line="360" w:lineRule="auto"/>
        <w:jc w:val="center"/>
        <w:rPr>
          <w:rFonts w:ascii="Palatino Linotype" w:hAnsi="Palatino Linotype" w:cs="Tahoma"/>
          <w:b/>
          <w:sz w:val="22"/>
          <w:szCs w:val="22"/>
        </w:rPr>
      </w:pPr>
    </w:p>
    <w:p w:rsidRPr="00ED5C85" w:rsidR="007E363C" w:rsidP="00710DA7" w:rsidRDefault="007E363C" w14:paraId="0075B0EB" w14:textId="06D47DDB">
      <w:pPr>
        <w:tabs>
          <w:tab w:val="center" w:pos="4522"/>
          <w:tab w:val="left" w:pos="7245"/>
        </w:tabs>
        <w:spacing w:line="360" w:lineRule="auto"/>
        <w:jc w:val="center"/>
        <w:rPr>
          <w:rFonts w:ascii="Palatino Linotype" w:hAnsi="Palatino Linotype" w:cs="Tahoma"/>
          <w:b/>
          <w:sz w:val="22"/>
          <w:szCs w:val="22"/>
        </w:rPr>
      </w:pPr>
      <w:r w:rsidRPr="00ED5C85">
        <w:rPr>
          <w:rFonts w:ascii="Palatino Linotype" w:hAnsi="Palatino Linotype" w:cs="Tahoma"/>
          <w:b/>
          <w:sz w:val="22"/>
          <w:szCs w:val="22"/>
        </w:rPr>
        <w:t>A N T E C E D E N T E S:</w:t>
      </w:r>
    </w:p>
    <w:p w:rsidRPr="00ED5C85" w:rsidR="000F585E" w:rsidP="00710DA7" w:rsidRDefault="000F585E" w14:paraId="3DABB258" w14:textId="77777777">
      <w:pPr>
        <w:pStyle w:val="Prrafodelista"/>
        <w:tabs>
          <w:tab w:val="left" w:pos="567"/>
        </w:tabs>
        <w:spacing w:line="360" w:lineRule="auto"/>
        <w:ind w:left="0"/>
        <w:contextualSpacing w:val="0"/>
        <w:rPr>
          <w:rFonts w:cs="Tahoma"/>
          <w:b/>
          <w:szCs w:val="22"/>
        </w:rPr>
      </w:pPr>
    </w:p>
    <w:p w:rsidRPr="00ED5C85" w:rsidR="007E363C" w:rsidP="00710DA7" w:rsidRDefault="007E363C" w14:paraId="253BA471" w14:textId="477063A6">
      <w:pPr>
        <w:pStyle w:val="Prrafodelista"/>
        <w:tabs>
          <w:tab w:val="left" w:pos="567"/>
        </w:tabs>
        <w:spacing w:line="360" w:lineRule="auto"/>
        <w:ind w:left="0"/>
        <w:contextualSpacing w:val="0"/>
        <w:rPr>
          <w:rFonts w:cs="Tahoma"/>
          <w:b/>
          <w:szCs w:val="22"/>
        </w:rPr>
      </w:pPr>
      <w:r w:rsidRPr="00ED5C85">
        <w:rPr>
          <w:rFonts w:cs="Tahoma"/>
          <w:b/>
          <w:szCs w:val="22"/>
        </w:rPr>
        <w:t xml:space="preserve">I. Presentación de las solicitudes de información. </w:t>
      </w:r>
    </w:p>
    <w:p w:rsidRPr="00ED5C85" w:rsidR="007E363C" w:rsidP="00710DA7" w:rsidRDefault="007E363C" w14:paraId="7C204955" w14:textId="4333875D">
      <w:pPr>
        <w:pStyle w:val="Prrafodelista"/>
        <w:tabs>
          <w:tab w:val="left" w:pos="567"/>
        </w:tabs>
        <w:spacing w:line="360" w:lineRule="auto"/>
        <w:ind w:left="0"/>
        <w:contextualSpacing w:val="0"/>
        <w:rPr>
          <w:rFonts w:cs="Tahoma"/>
          <w:szCs w:val="22"/>
        </w:rPr>
      </w:pPr>
    </w:p>
    <w:p w:rsidR="00B846C9" w:rsidP="00B846C9" w:rsidRDefault="007E363C" w14:paraId="3AF1582C" w14:textId="57D06DCB">
      <w:pPr>
        <w:tabs>
          <w:tab w:val="left" w:pos="567"/>
        </w:tabs>
        <w:spacing w:line="360" w:lineRule="auto"/>
        <w:jc w:val="both"/>
        <w:rPr>
          <w:rFonts w:ascii="Palatino Linotype" w:hAnsi="Palatino Linotype" w:cs="Tahoma"/>
          <w:sz w:val="22"/>
          <w:szCs w:val="22"/>
          <w:lang w:val="es-ES" w:eastAsia="es-ES"/>
        </w:rPr>
      </w:pPr>
      <w:r w:rsidRPr="00ED5C85">
        <w:rPr>
          <w:rFonts w:ascii="Palatino Linotype" w:hAnsi="Palatino Linotype" w:cs="Tahoma"/>
          <w:sz w:val="22"/>
          <w:szCs w:val="22"/>
        </w:rPr>
        <w:t>Con fecha</w:t>
      </w:r>
      <w:r w:rsidRPr="00ED5C85" w:rsidR="000175EE">
        <w:rPr>
          <w:rFonts w:ascii="Palatino Linotype" w:hAnsi="Palatino Linotype" w:cs="Tahoma"/>
          <w:sz w:val="22"/>
          <w:szCs w:val="22"/>
        </w:rPr>
        <w:t xml:space="preserve"> </w:t>
      </w:r>
      <w:r w:rsidR="00B846C9">
        <w:rPr>
          <w:rFonts w:ascii="Palatino Linotype" w:hAnsi="Palatino Linotype" w:cs="Tahoma"/>
          <w:sz w:val="22"/>
          <w:szCs w:val="22"/>
        </w:rPr>
        <w:t>trece de junio de dos mil veintidós, el Particular, presentó</w:t>
      </w:r>
      <w:r w:rsidRPr="00ED5C85" w:rsidR="000175EE">
        <w:rPr>
          <w:rFonts w:ascii="Palatino Linotype" w:hAnsi="Palatino Linotype" w:cs="Tahoma"/>
          <w:sz w:val="22"/>
          <w:szCs w:val="22"/>
        </w:rPr>
        <w:t xml:space="preserve"> </w:t>
      </w:r>
      <w:r w:rsidRPr="00ED5C85" w:rsidR="00652292">
        <w:rPr>
          <w:rFonts w:ascii="Palatino Linotype" w:hAnsi="Palatino Linotype" w:cs="Tahoma"/>
          <w:sz w:val="22"/>
          <w:szCs w:val="22"/>
        </w:rPr>
        <w:t>una</w:t>
      </w:r>
      <w:r w:rsidRPr="00ED5C85" w:rsidR="000175EE">
        <w:rPr>
          <w:rFonts w:ascii="Palatino Linotype" w:hAnsi="Palatino Linotype" w:cs="Tahoma"/>
          <w:sz w:val="22"/>
          <w:szCs w:val="22"/>
        </w:rPr>
        <w:t xml:space="preserve"> solicitud de acceso a la información</w:t>
      </w:r>
      <w:r w:rsidRPr="00ED5C85">
        <w:rPr>
          <w:rFonts w:ascii="Palatino Linotype" w:hAnsi="Palatino Linotype" w:cs="Tahoma"/>
          <w:sz w:val="22"/>
          <w:szCs w:val="22"/>
        </w:rPr>
        <w:t xml:space="preserve">, a través del Sistema de Acceso a la Información Mexiquense </w:t>
      </w:r>
      <w:r w:rsidRPr="00ED5C85">
        <w:rPr>
          <w:rFonts w:ascii="Palatino Linotype" w:hAnsi="Palatino Linotype" w:cs="Tahoma"/>
          <w:sz w:val="22"/>
          <w:szCs w:val="22"/>
          <w:lang w:val="es-ES"/>
        </w:rPr>
        <w:t>(SAIMEX)</w:t>
      </w:r>
      <w:r w:rsidRPr="00ED5C85">
        <w:rPr>
          <w:rFonts w:ascii="Palatino Linotype" w:hAnsi="Palatino Linotype" w:cs="Tahoma"/>
          <w:sz w:val="22"/>
          <w:szCs w:val="22"/>
        </w:rPr>
        <w:t xml:space="preserve">, ante el </w:t>
      </w:r>
      <w:r w:rsidRPr="002A2ED6" w:rsidR="002A2ED6">
        <w:rPr>
          <w:rFonts w:ascii="Palatino Linotype" w:hAnsi="Palatino Linotype" w:cs="Tahoma"/>
          <w:sz w:val="22"/>
          <w:szCs w:val="22"/>
        </w:rPr>
        <w:t>Ayuntamiento de Te</w:t>
      </w:r>
      <w:r w:rsidR="00B846C9">
        <w:rPr>
          <w:rFonts w:ascii="Palatino Linotype" w:hAnsi="Palatino Linotype" w:cs="Tahoma"/>
          <w:sz w:val="22"/>
          <w:szCs w:val="22"/>
        </w:rPr>
        <w:t>quixquiac</w:t>
      </w:r>
      <w:r w:rsidRPr="00ED5C85">
        <w:rPr>
          <w:rFonts w:ascii="Palatino Linotype" w:hAnsi="Palatino Linotype" w:cs="Tahoma"/>
          <w:b/>
          <w:sz w:val="22"/>
          <w:szCs w:val="22"/>
        </w:rPr>
        <w:t>,</w:t>
      </w:r>
      <w:r w:rsidRPr="00ED5C85" w:rsidR="00652292">
        <w:rPr>
          <w:rFonts w:ascii="Palatino Linotype" w:hAnsi="Palatino Linotype" w:cs="Tahoma"/>
          <w:sz w:val="22"/>
          <w:szCs w:val="22"/>
          <w:lang w:eastAsia="es-ES"/>
        </w:rPr>
        <w:t xml:space="preserve"> </w:t>
      </w:r>
      <w:r w:rsidR="002A2ED6">
        <w:rPr>
          <w:rFonts w:ascii="Palatino Linotype" w:hAnsi="Palatino Linotype" w:cs="Tahoma"/>
          <w:bCs/>
          <w:sz w:val="22"/>
          <w:szCs w:val="22"/>
        </w:rPr>
        <w:t xml:space="preserve">lo anterior, </w:t>
      </w:r>
      <w:r w:rsidR="002A2ED6">
        <w:rPr>
          <w:rFonts w:ascii="Palatino Linotype" w:hAnsi="Palatino Linotype" w:cs="Tahoma"/>
          <w:b/>
          <w:sz w:val="22"/>
          <w:szCs w:val="22"/>
          <w:lang w:eastAsia="es-ES"/>
        </w:rPr>
        <w:t xml:space="preserve">ya que si bien, se registró el </w:t>
      </w:r>
      <w:r w:rsidR="00B846C9">
        <w:rPr>
          <w:rFonts w:ascii="Palatino Linotype" w:hAnsi="Palatino Linotype" w:cs="Tahoma"/>
          <w:b/>
          <w:sz w:val="22"/>
          <w:szCs w:val="22"/>
          <w:lang w:eastAsia="es-ES"/>
        </w:rPr>
        <w:t xml:space="preserve">doce </w:t>
      </w:r>
      <w:r w:rsidR="002A2ED6">
        <w:rPr>
          <w:rFonts w:ascii="Palatino Linotype" w:hAnsi="Palatino Linotype" w:cs="Tahoma"/>
          <w:b/>
          <w:sz w:val="22"/>
          <w:szCs w:val="22"/>
          <w:lang w:eastAsia="es-ES"/>
        </w:rPr>
        <w:t>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002A2ED6">
        <w:rPr>
          <w:rFonts w:ascii="Palatino Linotype" w:hAnsi="Palatino Linotype" w:cs="Tahoma"/>
          <w:sz w:val="22"/>
          <w:szCs w:val="22"/>
          <w:lang w:eastAsia="es-ES"/>
        </w:rPr>
        <w:t xml:space="preserve">; </w:t>
      </w:r>
      <w:r w:rsidR="002A2ED6">
        <w:rPr>
          <w:rFonts w:ascii="Palatino Linotype" w:hAnsi="Palatino Linotype" w:cs="Tahoma"/>
          <w:sz w:val="22"/>
          <w:szCs w:val="22"/>
          <w:lang w:val="es-ES" w:eastAsia="es-ES"/>
        </w:rPr>
        <w:t>mediante la cual requirió lo siguiente:</w:t>
      </w:r>
    </w:p>
    <w:p w:rsidR="00B846C9" w:rsidP="00B846C9" w:rsidRDefault="00B846C9" w14:paraId="7210EE78" w14:textId="77777777">
      <w:pPr>
        <w:tabs>
          <w:tab w:val="left" w:pos="567"/>
        </w:tabs>
        <w:spacing w:line="360" w:lineRule="auto"/>
        <w:jc w:val="both"/>
        <w:rPr>
          <w:rFonts w:ascii="Palatino Linotype" w:hAnsi="Palatino Linotype" w:cs="Tahoma"/>
          <w:sz w:val="22"/>
          <w:szCs w:val="22"/>
          <w:lang w:val="es-ES" w:eastAsia="es-ES"/>
        </w:rPr>
      </w:pPr>
    </w:p>
    <w:p w:rsidRPr="00ED5C85" w:rsidR="00B77C83" w:rsidP="00710DA7" w:rsidRDefault="00B77C83" w14:paraId="0DC2B9C3" w14:textId="77777777">
      <w:pPr>
        <w:spacing w:line="360" w:lineRule="auto"/>
        <w:ind w:left="567" w:right="567"/>
        <w:contextualSpacing/>
        <w:rPr>
          <w:rFonts w:ascii="Palatino Linotype" w:hAnsi="Palatino Linotype" w:cs="Tahoma"/>
          <w:b/>
          <w:bCs/>
          <w:i/>
          <w:iCs/>
          <w:sz w:val="20"/>
          <w:szCs w:val="20"/>
        </w:rPr>
      </w:pPr>
      <w:r w:rsidRPr="00ED5C85">
        <w:rPr>
          <w:rFonts w:ascii="Palatino Linotype" w:hAnsi="Palatino Linotype" w:cs="Tahoma"/>
          <w:b/>
          <w:bCs/>
          <w:i/>
          <w:iCs/>
          <w:sz w:val="20"/>
          <w:szCs w:val="20"/>
        </w:rPr>
        <w:t>“DESCRIPCIÓN CLARA Y PRECISA DE LA INFORMACIÓN SOLICITADA</w:t>
      </w:r>
    </w:p>
    <w:p w:rsidRPr="00ED5C85" w:rsidR="00B77C83" w:rsidP="002A2ED6" w:rsidRDefault="00B846C9" w14:paraId="025D33E7" w14:textId="25C3BCE3">
      <w:pPr>
        <w:spacing w:line="360" w:lineRule="auto"/>
        <w:ind w:left="567" w:right="567"/>
        <w:contextualSpacing/>
        <w:jc w:val="both"/>
        <w:rPr>
          <w:rFonts w:ascii="Palatino Linotype" w:hAnsi="Palatino Linotype"/>
          <w:i/>
          <w:sz w:val="20"/>
          <w:szCs w:val="20"/>
        </w:rPr>
      </w:pPr>
      <w:r w:rsidRPr="00B846C9">
        <w:rPr>
          <w:rFonts w:ascii="Palatino Linotype" w:hAnsi="Palatino Linotype"/>
          <w:bCs/>
          <w:i/>
          <w:sz w:val="20"/>
          <w:szCs w:val="20"/>
        </w:rPr>
        <w:lastRenderedPageBreak/>
        <w:t>Favor de enviarme a través de este medio TODOS los contratos por honorarios del DIF Municipal y Ayuntamiento de municipio de Tequixquiac de la administración actual.</w:t>
      </w:r>
      <w:r w:rsidRPr="00ED5C85" w:rsidR="00B77C83">
        <w:rPr>
          <w:rFonts w:ascii="Palatino Linotype" w:hAnsi="Palatino Linotype"/>
          <w:i/>
          <w:sz w:val="20"/>
          <w:szCs w:val="20"/>
        </w:rPr>
        <w:t xml:space="preserve">” </w:t>
      </w:r>
    </w:p>
    <w:p w:rsidRPr="00ED5C85" w:rsidR="00B77C83" w:rsidP="00710DA7" w:rsidRDefault="00B77C83" w14:paraId="229F3FF4" w14:textId="77777777">
      <w:pPr>
        <w:spacing w:line="360" w:lineRule="auto"/>
        <w:ind w:left="567" w:right="567"/>
        <w:contextualSpacing/>
        <w:rPr>
          <w:rFonts w:ascii="Palatino Linotype" w:hAnsi="Palatino Linotype" w:cs="Tahoma"/>
          <w:b/>
          <w:bCs/>
          <w:i/>
          <w:iCs/>
          <w:sz w:val="20"/>
          <w:szCs w:val="20"/>
        </w:rPr>
      </w:pPr>
    </w:p>
    <w:p w:rsidRPr="00ED5C85" w:rsidR="00652292" w:rsidP="00710DA7" w:rsidRDefault="00652292" w14:paraId="49BE8AEC" w14:textId="77777777">
      <w:pPr>
        <w:tabs>
          <w:tab w:val="left" w:pos="4667"/>
        </w:tabs>
        <w:spacing w:line="360" w:lineRule="auto"/>
        <w:ind w:left="567" w:right="567"/>
        <w:jc w:val="both"/>
        <w:rPr>
          <w:rFonts w:ascii="Palatino Linotype" w:hAnsi="Palatino Linotype" w:cs="Tahoma"/>
          <w:b/>
          <w:bCs/>
          <w:i/>
          <w:iCs/>
          <w:sz w:val="20"/>
          <w:szCs w:val="20"/>
          <w:lang w:eastAsia="es-ES"/>
        </w:rPr>
      </w:pPr>
      <w:r w:rsidRPr="00ED5C85">
        <w:rPr>
          <w:rFonts w:ascii="Palatino Linotype" w:hAnsi="Palatino Linotype" w:cs="Tahoma"/>
          <w:b/>
          <w:bCs/>
          <w:i/>
          <w:iCs/>
          <w:sz w:val="20"/>
          <w:szCs w:val="20"/>
          <w:lang w:eastAsia="es-ES"/>
        </w:rPr>
        <w:t>“MODALIDAD DE ENTREGA</w:t>
      </w:r>
    </w:p>
    <w:p w:rsidRPr="00ED5C85" w:rsidR="00652292" w:rsidP="00710DA7" w:rsidRDefault="00652292" w14:paraId="2DE46424" w14:textId="77777777">
      <w:pPr>
        <w:spacing w:line="360" w:lineRule="auto"/>
        <w:ind w:left="567" w:right="567"/>
        <w:jc w:val="both"/>
        <w:rPr>
          <w:rFonts w:ascii="Palatino Linotype" w:hAnsi="Palatino Linotype" w:cs="Arial"/>
          <w:bCs/>
          <w:i/>
          <w:iCs/>
          <w:sz w:val="20"/>
          <w:szCs w:val="20"/>
          <w:lang w:eastAsia="es-ES"/>
        </w:rPr>
      </w:pPr>
      <w:r w:rsidRPr="00ED5C85">
        <w:rPr>
          <w:rFonts w:ascii="Palatino Linotype" w:hAnsi="Palatino Linotype" w:cs="Arial"/>
          <w:bCs/>
          <w:i/>
          <w:iCs/>
          <w:sz w:val="20"/>
          <w:szCs w:val="20"/>
          <w:lang w:eastAsia="es-ES"/>
        </w:rPr>
        <w:t>A través del SAIMEX”</w:t>
      </w:r>
    </w:p>
    <w:p w:rsidRPr="00ED5C85" w:rsidR="00271123" w:rsidP="00710DA7" w:rsidRDefault="00271123" w14:paraId="6784D077" w14:textId="77777777">
      <w:pPr>
        <w:tabs>
          <w:tab w:val="left" w:pos="567"/>
        </w:tabs>
        <w:spacing w:line="360" w:lineRule="auto"/>
        <w:rPr>
          <w:rFonts w:ascii="Palatino Linotype" w:hAnsi="Palatino Linotype" w:cs="Tahoma"/>
          <w:bCs/>
          <w:sz w:val="22"/>
          <w:szCs w:val="20"/>
        </w:rPr>
      </w:pPr>
    </w:p>
    <w:p w:rsidRPr="00ED5C85" w:rsidR="007E363C" w:rsidP="00710DA7" w:rsidRDefault="00795F75" w14:paraId="6D85CAFF" w14:textId="697C2046">
      <w:pPr>
        <w:pStyle w:val="Prrafodelista"/>
        <w:tabs>
          <w:tab w:val="left" w:pos="567"/>
        </w:tabs>
        <w:spacing w:line="360" w:lineRule="auto"/>
        <w:ind w:left="0"/>
        <w:contextualSpacing w:val="0"/>
        <w:rPr>
          <w:rFonts w:cs="Tahoma"/>
          <w:b/>
          <w:szCs w:val="22"/>
        </w:rPr>
      </w:pPr>
      <w:r w:rsidRPr="00ED5C85">
        <w:rPr>
          <w:rFonts w:cs="Tahoma"/>
          <w:b/>
          <w:szCs w:val="22"/>
        </w:rPr>
        <w:t xml:space="preserve">II. </w:t>
      </w:r>
      <w:r w:rsidR="002A2ED6">
        <w:rPr>
          <w:rFonts w:cs="Tahoma"/>
          <w:b/>
          <w:szCs w:val="22"/>
        </w:rPr>
        <w:t>Respuesta del Sujeto Obligado</w:t>
      </w:r>
    </w:p>
    <w:p w:rsidRPr="00ED5C85" w:rsidR="007E363C" w:rsidP="00710DA7" w:rsidRDefault="007E363C" w14:paraId="40C99A1D" w14:textId="77777777">
      <w:pPr>
        <w:pStyle w:val="Prrafodelista"/>
        <w:tabs>
          <w:tab w:val="left" w:pos="567"/>
        </w:tabs>
        <w:spacing w:line="360" w:lineRule="auto"/>
        <w:ind w:left="0"/>
        <w:contextualSpacing w:val="0"/>
        <w:rPr>
          <w:rFonts w:eastAsia="Calibri" w:cs="Tahoma"/>
          <w:b/>
          <w:szCs w:val="22"/>
          <w:lang w:eastAsia="en-US"/>
        </w:rPr>
      </w:pPr>
    </w:p>
    <w:p w:rsidRPr="00ED5C85" w:rsidR="002A6D86" w:rsidP="00710DA7" w:rsidRDefault="007E363C" w14:paraId="0D213AE2" w14:textId="61418155">
      <w:pPr>
        <w:autoSpaceDE w:val="0"/>
        <w:autoSpaceDN w:val="0"/>
        <w:adjustRightInd w:val="0"/>
        <w:spacing w:line="360" w:lineRule="auto"/>
        <w:jc w:val="both"/>
        <w:rPr>
          <w:rFonts w:ascii="Palatino Linotype" w:hAnsi="Palatino Linotype" w:cs="Tahoma"/>
          <w:sz w:val="22"/>
          <w:szCs w:val="22"/>
        </w:rPr>
      </w:pPr>
      <w:r w:rsidRPr="00ED5C85">
        <w:rPr>
          <w:rFonts w:ascii="Palatino Linotype" w:hAnsi="Palatino Linotype" w:cs="Tahoma"/>
          <w:sz w:val="22"/>
          <w:szCs w:val="22"/>
        </w:rPr>
        <w:t>Con fecha</w:t>
      </w:r>
      <w:r w:rsidRPr="00ED5C85" w:rsidR="00CF4850">
        <w:rPr>
          <w:rFonts w:ascii="Palatino Linotype" w:hAnsi="Palatino Linotype" w:cs="Tahoma"/>
          <w:sz w:val="22"/>
          <w:szCs w:val="22"/>
        </w:rPr>
        <w:t xml:space="preserve"> </w:t>
      </w:r>
      <w:r w:rsidR="00B846C9">
        <w:rPr>
          <w:rFonts w:ascii="Palatino Linotype" w:hAnsi="Palatino Linotype" w:cs="Tahoma"/>
          <w:sz w:val="22"/>
          <w:szCs w:val="22"/>
        </w:rPr>
        <w:t>catorce de junio</w:t>
      </w:r>
      <w:r w:rsidRPr="00ED5C85" w:rsidR="00CF4850">
        <w:rPr>
          <w:rFonts w:ascii="Palatino Linotype" w:hAnsi="Palatino Linotype" w:cs="Tahoma"/>
          <w:sz w:val="22"/>
          <w:szCs w:val="22"/>
        </w:rPr>
        <w:t xml:space="preserve"> de dos mil veintidós, </w:t>
      </w:r>
      <w:r w:rsidR="00A97DED">
        <w:rPr>
          <w:rFonts w:ascii="Palatino Linotype" w:hAnsi="Palatino Linotype" w:cs="Tahoma"/>
          <w:sz w:val="22"/>
          <w:szCs w:val="22"/>
        </w:rPr>
        <w:t>el</w:t>
      </w:r>
      <w:r w:rsidR="00DB1CE8">
        <w:rPr>
          <w:rFonts w:ascii="Palatino Linotype" w:hAnsi="Palatino Linotype" w:cs="Tahoma"/>
          <w:sz w:val="22"/>
          <w:szCs w:val="22"/>
        </w:rPr>
        <w:t xml:space="preserve"> Sujeto Obligado</w:t>
      </w:r>
      <w:r w:rsidR="00361A2A">
        <w:rPr>
          <w:rFonts w:ascii="Palatino Linotype" w:hAnsi="Palatino Linotype" w:cs="Tahoma"/>
          <w:sz w:val="22"/>
          <w:szCs w:val="22"/>
        </w:rPr>
        <w:t>, a través del Sistema de Acceso a la Información Mexiquense</w:t>
      </w:r>
      <w:r w:rsidRPr="00ED5C85">
        <w:rPr>
          <w:rFonts w:ascii="Palatino Linotype" w:hAnsi="Palatino Linotype" w:cs="Tahoma"/>
          <w:sz w:val="22"/>
          <w:szCs w:val="22"/>
        </w:rPr>
        <w:t>, notific</w:t>
      </w:r>
      <w:r w:rsidR="00361A2A">
        <w:rPr>
          <w:rFonts w:ascii="Palatino Linotype" w:hAnsi="Palatino Linotype" w:cs="Tahoma"/>
          <w:sz w:val="22"/>
          <w:szCs w:val="22"/>
        </w:rPr>
        <w:t>ó</w:t>
      </w:r>
      <w:r w:rsidRPr="00ED5C85">
        <w:rPr>
          <w:rFonts w:ascii="Palatino Linotype" w:hAnsi="Palatino Linotype" w:cs="Tahoma"/>
          <w:sz w:val="22"/>
          <w:szCs w:val="22"/>
        </w:rPr>
        <w:t xml:space="preserve"> al Solicitante, </w:t>
      </w:r>
      <w:r w:rsidRPr="008C04AF" w:rsidR="008C04AF">
        <w:rPr>
          <w:rFonts w:ascii="Palatino Linotype" w:hAnsi="Palatino Linotype" w:cs="Tahoma"/>
          <w:sz w:val="22"/>
          <w:szCs w:val="22"/>
        </w:rPr>
        <w:t xml:space="preserve">la respuesta a la solicitud de acceso a la información, </w:t>
      </w:r>
      <w:r w:rsidR="00361A2A">
        <w:rPr>
          <w:rFonts w:ascii="Palatino Linotype" w:hAnsi="Palatino Linotype" w:cs="Tahoma"/>
          <w:sz w:val="22"/>
          <w:szCs w:val="22"/>
        </w:rPr>
        <w:t>por medio</w:t>
      </w:r>
      <w:r w:rsidRPr="008C04AF" w:rsidR="008C04AF">
        <w:rPr>
          <w:rFonts w:ascii="Palatino Linotype" w:hAnsi="Palatino Linotype" w:cs="Tahoma"/>
          <w:sz w:val="22"/>
          <w:szCs w:val="22"/>
        </w:rPr>
        <w:t xml:space="preserve"> </w:t>
      </w:r>
      <w:r w:rsidR="00B846C9">
        <w:rPr>
          <w:rFonts w:ascii="Palatino Linotype" w:hAnsi="Palatino Linotype" w:cs="Tahoma"/>
          <w:sz w:val="22"/>
          <w:szCs w:val="22"/>
        </w:rPr>
        <w:t>de oficio de fecha catorce de junio de</w:t>
      </w:r>
      <w:r w:rsidR="00A97DED">
        <w:rPr>
          <w:rFonts w:ascii="Palatino Linotype" w:hAnsi="Palatino Linotype" w:cs="Tahoma"/>
          <w:sz w:val="22"/>
          <w:szCs w:val="22"/>
        </w:rPr>
        <w:t xml:space="preserve"> dos mil veintidós</w:t>
      </w:r>
      <w:r w:rsidRPr="008C04AF" w:rsidR="008C04AF">
        <w:rPr>
          <w:rFonts w:ascii="Palatino Linotype" w:hAnsi="Palatino Linotype" w:cs="Tahoma"/>
          <w:sz w:val="22"/>
          <w:szCs w:val="22"/>
        </w:rPr>
        <w:t xml:space="preserve">, suscrito por </w:t>
      </w:r>
      <w:r w:rsidR="00A97DED">
        <w:rPr>
          <w:rFonts w:ascii="Palatino Linotype" w:hAnsi="Palatino Linotype" w:cs="Tahoma"/>
          <w:sz w:val="22"/>
          <w:szCs w:val="22"/>
        </w:rPr>
        <w:t xml:space="preserve">la </w:t>
      </w:r>
      <w:r w:rsidR="00B846C9">
        <w:rPr>
          <w:rFonts w:ascii="Palatino Linotype" w:hAnsi="Palatino Linotype" w:cs="Tahoma"/>
          <w:sz w:val="22"/>
          <w:szCs w:val="22"/>
        </w:rPr>
        <w:t>Titular de la Unidad de Transparencia y Acceso a la Información Pública</w:t>
      </w:r>
      <w:r w:rsidRPr="008C04AF" w:rsidR="008C04AF">
        <w:rPr>
          <w:rFonts w:ascii="Palatino Linotype" w:hAnsi="Palatino Linotype" w:cs="Tahoma"/>
          <w:sz w:val="22"/>
          <w:szCs w:val="22"/>
        </w:rPr>
        <w:t xml:space="preserve">, </w:t>
      </w:r>
      <w:r w:rsidR="00361A2A">
        <w:rPr>
          <w:rFonts w:ascii="Palatino Linotype" w:hAnsi="Palatino Linotype" w:cs="Tahoma"/>
          <w:sz w:val="22"/>
          <w:szCs w:val="22"/>
        </w:rPr>
        <w:t>cuyo contenido es el siguiente:</w:t>
      </w:r>
    </w:p>
    <w:p w:rsidRPr="00A72D1C" w:rsidR="00184853" w:rsidP="008C04AF" w:rsidRDefault="00184853" w14:paraId="26C44D28" w14:textId="73BA98DF">
      <w:pPr>
        <w:autoSpaceDE w:val="0"/>
        <w:autoSpaceDN w:val="0"/>
        <w:adjustRightInd w:val="0"/>
        <w:spacing w:line="360" w:lineRule="auto"/>
        <w:rPr>
          <w:rFonts w:cs="Tahoma"/>
          <w:szCs w:val="22"/>
        </w:rPr>
      </w:pPr>
    </w:p>
    <w:p w:rsidR="008C04AF" w:rsidP="008C04AF" w:rsidRDefault="008C04AF" w14:paraId="39B3DB0C" w14:textId="77777777">
      <w:pPr>
        <w:autoSpaceDE w:val="0"/>
        <w:autoSpaceDN w:val="0"/>
        <w:adjustRightInd w:val="0"/>
        <w:spacing w:line="360" w:lineRule="auto"/>
        <w:ind w:left="567" w:right="567"/>
        <w:jc w:val="both"/>
        <w:rPr>
          <w:rFonts w:ascii="Palatino Linotype" w:hAnsi="Palatino Linotype"/>
          <w:i/>
          <w:iCs/>
          <w:noProof/>
          <w:sz w:val="20"/>
          <w:szCs w:val="20"/>
        </w:rPr>
      </w:pPr>
      <w:r>
        <w:rPr>
          <w:rFonts w:ascii="Palatino Linotype" w:hAnsi="Palatino Linotype"/>
          <w:i/>
          <w:iCs/>
          <w:noProof/>
          <w:sz w:val="20"/>
          <w:szCs w:val="20"/>
        </w:rPr>
        <w:t>“…</w:t>
      </w:r>
    </w:p>
    <w:p w:rsidR="00765DE0" w:rsidP="008C04AF" w:rsidRDefault="00B846C9" w14:paraId="5AE2D84B" w14:textId="79567A54">
      <w:pPr>
        <w:autoSpaceDE w:val="0"/>
        <w:autoSpaceDN w:val="0"/>
        <w:adjustRightInd w:val="0"/>
        <w:spacing w:line="360" w:lineRule="auto"/>
        <w:ind w:left="567" w:right="567"/>
        <w:jc w:val="both"/>
        <w:rPr>
          <w:rFonts w:ascii="Palatino Linotype" w:hAnsi="Palatino Linotype"/>
          <w:i/>
          <w:iCs/>
          <w:noProof/>
          <w:sz w:val="20"/>
          <w:szCs w:val="20"/>
        </w:rPr>
      </w:pPr>
      <w:r>
        <w:rPr>
          <w:rFonts w:ascii="Palatino Linotype" w:hAnsi="Palatino Linotype"/>
          <w:i/>
          <w:iCs/>
          <w:noProof/>
          <w:sz w:val="20"/>
          <w:szCs w:val="20"/>
        </w:rPr>
        <w:t>Con la finalidad de atender la solicitud del particular oportunamente se procedió a realizar una búsqueda exahustiva y razonable en los archivos de este Municipio de Tequixquiac, al respec</w:t>
      </w:r>
      <w:r w:rsidR="00765DE0">
        <w:rPr>
          <w:rFonts w:ascii="Palatino Linotype" w:hAnsi="Palatino Linotype"/>
          <w:i/>
          <w:iCs/>
          <w:noProof/>
          <w:sz w:val="20"/>
          <w:szCs w:val="20"/>
        </w:rPr>
        <w:t xml:space="preserve">to se hace de su conocimiento que para conocer todos los contratos del Ayuntamiento, DIF y Operagua puede realizarlo desde la página </w:t>
      </w:r>
      <w:hyperlink w:history="1" r:id="rId8">
        <w:r w:rsidRPr="00F77B82" w:rsidR="00765DE0">
          <w:rPr>
            <w:rStyle w:val="Hipervnculo"/>
            <w:rFonts w:ascii="Palatino Linotype" w:hAnsi="Palatino Linotype"/>
            <w:i/>
            <w:iCs/>
            <w:noProof/>
            <w:sz w:val="20"/>
            <w:szCs w:val="20"/>
          </w:rPr>
          <w:t>www.ipomex.org.mx/ipo3/lgt/indice/tequixquiac.web</w:t>
        </w:r>
      </w:hyperlink>
      <w:r w:rsidR="00765DE0">
        <w:rPr>
          <w:rFonts w:ascii="Palatino Linotype" w:hAnsi="Palatino Linotype"/>
          <w:i/>
          <w:iCs/>
          <w:noProof/>
          <w:sz w:val="20"/>
          <w:szCs w:val="20"/>
        </w:rPr>
        <w:t xml:space="preserve"> en la fracción XI artículo 92 Contrataciones de servicios profesionales por honorarios. </w:t>
      </w:r>
    </w:p>
    <w:p w:rsidRPr="008C04AF" w:rsidR="008C04AF" w:rsidP="008C04AF" w:rsidRDefault="008C04AF" w14:paraId="14981DBE" w14:textId="05CF88F2">
      <w:pPr>
        <w:autoSpaceDE w:val="0"/>
        <w:autoSpaceDN w:val="0"/>
        <w:adjustRightInd w:val="0"/>
        <w:spacing w:line="360" w:lineRule="auto"/>
        <w:ind w:left="567" w:right="567"/>
        <w:jc w:val="both"/>
        <w:rPr>
          <w:rFonts w:ascii="Palatino Linotype" w:hAnsi="Palatino Linotype"/>
          <w:i/>
          <w:iCs/>
          <w:noProof/>
          <w:sz w:val="20"/>
          <w:szCs w:val="20"/>
        </w:rPr>
      </w:pPr>
      <w:r>
        <w:rPr>
          <w:rFonts w:ascii="Palatino Linotype" w:hAnsi="Palatino Linotype"/>
          <w:i/>
          <w:iCs/>
          <w:noProof/>
          <w:sz w:val="20"/>
          <w:szCs w:val="20"/>
        </w:rPr>
        <w:t>…”</w:t>
      </w:r>
    </w:p>
    <w:p w:rsidRPr="00ED5C85" w:rsidR="008C04AF" w:rsidP="008C04AF" w:rsidRDefault="008C04AF" w14:paraId="2E38F592" w14:textId="77777777">
      <w:pPr>
        <w:autoSpaceDE w:val="0"/>
        <w:autoSpaceDN w:val="0"/>
        <w:adjustRightInd w:val="0"/>
        <w:spacing w:line="360" w:lineRule="auto"/>
        <w:rPr>
          <w:noProof/>
        </w:rPr>
      </w:pPr>
    </w:p>
    <w:p w:rsidRPr="00ED5C85" w:rsidR="007E363C" w:rsidP="00710DA7" w:rsidRDefault="007E363C" w14:paraId="22B4E5C2" w14:textId="77777777">
      <w:pPr>
        <w:autoSpaceDE w:val="0"/>
        <w:autoSpaceDN w:val="0"/>
        <w:adjustRightInd w:val="0"/>
        <w:spacing w:line="360" w:lineRule="auto"/>
        <w:jc w:val="both"/>
        <w:rPr>
          <w:rFonts w:ascii="Palatino Linotype" w:hAnsi="Palatino Linotype" w:cs="Tahoma"/>
          <w:b/>
          <w:sz w:val="22"/>
          <w:szCs w:val="22"/>
        </w:rPr>
      </w:pPr>
      <w:r w:rsidRPr="00ED5C85">
        <w:rPr>
          <w:rFonts w:ascii="Palatino Linotype" w:hAnsi="Palatino Linotype" w:cs="Tahoma"/>
          <w:b/>
          <w:sz w:val="22"/>
        </w:rPr>
        <w:t>III</w:t>
      </w:r>
      <w:r w:rsidRPr="00ED5C85">
        <w:rPr>
          <w:rFonts w:ascii="Palatino Linotype" w:hAnsi="Palatino Linotype" w:cs="Tahoma"/>
          <w:b/>
          <w:sz w:val="22"/>
          <w:szCs w:val="22"/>
        </w:rPr>
        <w:t xml:space="preserve">. Interposición de los Recursos de Revisión. </w:t>
      </w:r>
    </w:p>
    <w:p w:rsidRPr="00ED5C85" w:rsidR="008F48B3" w:rsidP="00710DA7" w:rsidRDefault="008F48B3" w14:paraId="71E2C109" w14:textId="77777777">
      <w:pPr>
        <w:autoSpaceDE w:val="0"/>
        <w:autoSpaceDN w:val="0"/>
        <w:adjustRightInd w:val="0"/>
        <w:spacing w:line="360" w:lineRule="auto"/>
        <w:jc w:val="both"/>
        <w:rPr>
          <w:rFonts w:ascii="Palatino Linotype" w:hAnsi="Palatino Linotype" w:cs="Tahoma"/>
          <w:b/>
          <w:sz w:val="22"/>
          <w:szCs w:val="22"/>
        </w:rPr>
      </w:pPr>
    </w:p>
    <w:p w:rsidR="00F427AC" w:rsidP="00710DA7" w:rsidRDefault="002651F9" w14:paraId="4A776759" w14:textId="69246C1C">
      <w:pPr>
        <w:autoSpaceDE w:val="0"/>
        <w:autoSpaceDN w:val="0"/>
        <w:adjustRightInd w:val="0"/>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t xml:space="preserve">Con fecha </w:t>
      </w:r>
      <w:r w:rsidR="00765DE0">
        <w:rPr>
          <w:rFonts w:ascii="Palatino Linotype" w:hAnsi="Palatino Linotype" w:cs="Tahoma"/>
          <w:bCs/>
          <w:sz w:val="22"/>
          <w:szCs w:val="22"/>
        </w:rPr>
        <w:t xml:space="preserve">veintisiete de junio de </w:t>
      </w:r>
      <w:r w:rsidRPr="00ED5C85">
        <w:rPr>
          <w:rFonts w:ascii="Palatino Linotype" w:hAnsi="Palatino Linotype" w:cs="Tahoma"/>
          <w:bCs/>
          <w:sz w:val="22"/>
          <w:szCs w:val="22"/>
        </w:rPr>
        <w:t xml:space="preserve">dos mil veintidós, se recibió en este Instituto, a través del </w:t>
      </w:r>
      <w:r w:rsidRPr="00ED5C85">
        <w:rPr>
          <w:rFonts w:ascii="Palatino Linotype" w:hAnsi="Palatino Linotype" w:cs="Tahoma"/>
          <w:bCs/>
          <w:sz w:val="22"/>
          <w:szCs w:val="22"/>
          <w:lang w:val="es-ES"/>
        </w:rPr>
        <w:t>Sistema de Acceso a la Información Mexiquense (SAIMEX)</w:t>
      </w:r>
      <w:r w:rsidRPr="00ED5C85">
        <w:rPr>
          <w:rFonts w:ascii="Palatino Linotype" w:hAnsi="Palatino Linotype" w:cs="Tahoma"/>
          <w:bCs/>
          <w:sz w:val="22"/>
          <w:szCs w:val="22"/>
        </w:rPr>
        <w:t xml:space="preserve">, </w:t>
      </w:r>
      <w:r w:rsidRPr="00ED5C85" w:rsidR="000B6308">
        <w:rPr>
          <w:rFonts w:ascii="Palatino Linotype" w:hAnsi="Palatino Linotype" w:cs="Tahoma"/>
          <w:bCs/>
          <w:sz w:val="22"/>
          <w:szCs w:val="22"/>
        </w:rPr>
        <w:t>un</w:t>
      </w:r>
      <w:r w:rsidRPr="00ED5C85">
        <w:rPr>
          <w:rFonts w:ascii="Palatino Linotype" w:hAnsi="Palatino Linotype" w:cs="Tahoma"/>
          <w:bCs/>
          <w:sz w:val="22"/>
          <w:szCs w:val="22"/>
        </w:rPr>
        <w:t xml:space="preserve"> Recurso de Revisión interpuesto por la parte Recurrente, en contra de la respuesta del Sujeto Obligado, en los siguientes términos:</w:t>
      </w:r>
    </w:p>
    <w:p w:rsidRPr="00ED5C85" w:rsidR="00D44CB7" w:rsidP="00710DA7" w:rsidRDefault="00D44CB7" w14:paraId="6546DC37" w14:textId="77777777">
      <w:pPr>
        <w:autoSpaceDE w:val="0"/>
        <w:autoSpaceDN w:val="0"/>
        <w:adjustRightInd w:val="0"/>
        <w:spacing w:line="360" w:lineRule="auto"/>
        <w:jc w:val="both"/>
        <w:rPr>
          <w:rFonts w:ascii="Palatino Linotype" w:hAnsi="Palatino Linotype" w:cs="Tahoma"/>
          <w:bCs/>
          <w:sz w:val="22"/>
          <w:szCs w:val="22"/>
        </w:rPr>
      </w:pPr>
    </w:p>
    <w:p w:rsidRPr="00ED5C85" w:rsidR="00F427AC" w:rsidP="00710DA7" w:rsidRDefault="005A4EDE" w14:paraId="291813D4" w14:textId="77777777">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“ACTO IMPUGNADO</w:t>
      </w:r>
    </w:p>
    <w:p w:rsidRPr="00ED5C85" w:rsidR="005A4EDE" w:rsidP="00710DA7" w:rsidRDefault="00765DE0" w14:paraId="0B95B3B9" w14:textId="3A8BF1B0">
      <w:pPr>
        <w:spacing w:line="360" w:lineRule="auto"/>
        <w:ind w:left="567" w:right="567"/>
        <w:jc w:val="both"/>
        <w:rPr>
          <w:rFonts w:ascii="Palatino Linotype" w:hAnsi="Palatino Linotype" w:cs="Tahoma"/>
          <w:b/>
          <w:bCs/>
          <w:i/>
          <w:sz w:val="20"/>
          <w:szCs w:val="20"/>
          <w:lang w:eastAsia="es-ES"/>
        </w:rPr>
      </w:pPr>
      <w:r w:rsidRPr="00765DE0">
        <w:rPr>
          <w:rFonts w:ascii="Palatino Linotype" w:hAnsi="Palatino Linotype" w:cs="Tahoma"/>
          <w:bCs/>
          <w:i/>
          <w:sz w:val="20"/>
          <w:szCs w:val="20"/>
          <w:lang w:eastAsia="es-ES"/>
        </w:rPr>
        <w:t>Número de Folio de la Solicitud: 00151/TEQUIXQU/IP/2022</w:t>
      </w:r>
      <w:r>
        <w:rPr>
          <w:rFonts w:ascii="Palatino Linotype" w:hAnsi="Palatino Linotype" w:cs="Tahoma"/>
          <w:bCs/>
          <w:i/>
          <w:sz w:val="20"/>
          <w:szCs w:val="20"/>
          <w:lang w:eastAsia="es-ES"/>
        </w:rPr>
        <w:t xml:space="preserve">” </w:t>
      </w:r>
    </w:p>
    <w:p w:rsidRPr="00ED5C85" w:rsidR="005A4EDE" w:rsidP="00710DA7" w:rsidRDefault="005A4EDE" w14:paraId="091C6DC4" w14:textId="77777777">
      <w:pPr>
        <w:spacing w:line="360" w:lineRule="auto"/>
        <w:ind w:left="567" w:right="567"/>
        <w:jc w:val="both"/>
        <w:rPr>
          <w:rFonts w:ascii="Palatino Linotype" w:hAnsi="Palatino Linotype" w:cs="Tahoma"/>
          <w:bCs/>
          <w:i/>
          <w:sz w:val="20"/>
          <w:szCs w:val="20"/>
          <w:lang w:eastAsia="es-ES"/>
        </w:rPr>
      </w:pPr>
    </w:p>
    <w:p w:rsidRPr="00ED5C85" w:rsidR="005A4EDE" w:rsidP="00710DA7" w:rsidRDefault="005A4EDE" w14:paraId="22ABBC77" w14:textId="77777777">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“RAZONES O MOTIVOS DE LA INCONFORMIDAD</w:t>
      </w:r>
    </w:p>
    <w:p w:rsidRPr="00ED5C85" w:rsidR="005A4EDE" w:rsidP="00710DA7" w:rsidRDefault="00765DE0" w14:paraId="3169E6EA" w14:textId="042C8236">
      <w:pPr>
        <w:spacing w:line="360" w:lineRule="auto"/>
        <w:ind w:left="567" w:right="567"/>
        <w:jc w:val="both"/>
        <w:rPr>
          <w:rFonts w:ascii="Palatino Linotype" w:hAnsi="Palatino Linotype" w:cs="Tahoma"/>
          <w:bCs/>
          <w:i/>
          <w:sz w:val="20"/>
          <w:szCs w:val="20"/>
          <w:lang w:eastAsia="es-ES"/>
        </w:rPr>
      </w:pPr>
      <w:r w:rsidRPr="00765DE0">
        <w:rPr>
          <w:rFonts w:ascii="Palatino Linotype" w:hAnsi="Palatino Linotype" w:cs="Tahoma"/>
          <w:bCs/>
          <w:i/>
          <w:sz w:val="20"/>
          <w:szCs w:val="20"/>
          <w:lang w:eastAsia="es-ES"/>
        </w:rPr>
        <w:t>NO RECIBÍ LA INFORMACIÓN SOLICITADA</w:t>
      </w:r>
      <w:r w:rsidRPr="00ED5C85" w:rsidR="005A4EDE">
        <w:rPr>
          <w:rFonts w:ascii="Palatino Linotype" w:hAnsi="Palatino Linotype" w:cs="Tahoma"/>
          <w:bCs/>
          <w:i/>
          <w:sz w:val="20"/>
          <w:szCs w:val="20"/>
          <w:lang w:eastAsia="es-ES"/>
        </w:rPr>
        <w:t xml:space="preserve">” </w:t>
      </w:r>
    </w:p>
    <w:p w:rsidRPr="00ED5C85" w:rsidR="00FF0A5B" w:rsidP="00710DA7" w:rsidRDefault="00FF0A5B" w14:paraId="238D581B" w14:textId="77777777">
      <w:pPr>
        <w:autoSpaceDE w:val="0"/>
        <w:autoSpaceDN w:val="0"/>
        <w:adjustRightInd w:val="0"/>
        <w:spacing w:line="360" w:lineRule="auto"/>
        <w:jc w:val="both"/>
        <w:rPr>
          <w:rFonts w:ascii="Palatino Linotype" w:hAnsi="Palatino Linotype" w:cs="Tahoma"/>
          <w:sz w:val="22"/>
          <w:szCs w:val="22"/>
        </w:rPr>
      </w:pPr>
    </w:p>
    <w:p w:rsidRPr="00ED5C85" w:rsidR="007E363C" w:rsidP="00710DA7" w:rsidRDefault="007E363C" w14:paraId="01D042E7" w14:textId="77777777">
      <w:pPr>
        <w:spacing w:line="360" w:lineRule="auto"/>
        <w:jc w:val="both"/>
        <w:rPr>
          <w:rFonts w:ascii="Palatino Linotype" w:hAnsi="Palatino Linotype" w:eastAsia="Batang" w:cs="Tahoma"/>
          <w:b/>
          <w:bCs/>
          <w:sz w:val="22"/>
          <w:szCs w:val="22"/>
        </w:rPr>
      </w:pPr>
      <w:r w:rsidRPr="00ED5C85">
        <w:rPr>
          <w:rFonts w:ascii="Palatino Linotype" w:hAnsi="Palatino Linotype" w:cs="Tahoma"/>
          <w:b/>
          <w:sz w:val="22"/>
          <w:szCs w:val="22"/>
        </w:rPr>
        <w:t xml:space="preserve">IV. </w:t>
      </w:r>
      <w:r w:rsidRPr="00ED5C85">
        <w:rPr>
          <w:rFonts w:ascii="Palatino Linotype" w:hAnsi="Palatino Linotype" w:eastAsia="Batang" w:cs="Tahoma"/>
          <w:b/>
          <w:bCs/>
          <w:sz w:val="22"/>
          <w:szCs w:val="22"/>
        </w:rPr>
        <w:t xml:space="preserve">Trámite de los </w:t>
      </w:r>
      <w:r w:rsidRPr="00ED5C85">
        <w:rPr>
          <w:rFonts w:ascii="Palatino Linotype" w:hAnsi="Palatino Linotype" w:cs="Tahoma"/>
          <w:b/>
          <w:sz w:val="22"/>
          <w:szCs w:val="22"/>
        </w:rPr>
        <w:t xml:space="preserve">Recursos de Revisión </w:t>
      </w:r>
      <w:r w:rsidRPr="00ED5C85">
        <w:rPr>
          <w:rFonts w:ascii="Palatino Linotype" w:hAnsi="Palatino Linotype" w:eastAsia="Batang" w:cs="Tahoma"/>
          <w:b/>
          <w:bCs/>
          <w:sz w:val="22"/>
          <w:szCs w:val="22"/>
        </w:rPr>
        <w:t>ante este Instituto.</w:t>
      </w:r>
    </w:p>
    <w:p w:rsidRPr="00ED5C85" w:rsidR="007E363C" w:rsidP="00710DA7" w:rsidRDefault="007E363C" w14:paraId="2DA34BB2" w14:textId="77777777">
      <w:pPr>
        <w:spacing w:line="360" w:lineRule="auto"/>
        <w:jc w:val="both"/>
        <w:rPr>
          <w:rFonts w:ascii="Palatino Linotype" w:hAnsi="Palatino Linotype" w:eastAsia="Batang" w:cs="Tahoma"/>
          <w:b/>
          <w:bCs/>
          <w:sz w:val="22"/>
          <w:szCs w:val="22"/>
        </w:rPr>
      </w:pPr>
    </w:p>
    <w:p w:rsidRPr="00ED5C85" w:rsidR="008A55DB" w:rsidP="00710DA7" w:rsidRDefault="007E363C" w14:paraId="33EE2C49" w14:textId="5025ED29">
      <w:pPr>
        <w:spacing w:line="360" w:lineRule="auto"/>
        <w:ind w:right="-28"/>
        <w:contextualSpacing/>
        <w:jc w:val="both"/>
        <w:rPr>
          <w:rFonts w:ascii="Palatino Linotype" w:hAnsi="Palatino Linotype" w:eastAsia="Batang" w:cs="Tahoma"/>
          <w:sz w:val="22"/>
          <w:szCs w:val="22"/>
        </w:rPr>
      </w:pPr>
      <w:r w:rsidRPr="00ED5C85">
        <w:rPr>
          <w:rFonts w:ascii="Palatino Linotype" w:hAnsi="Palatino Linotype" w:eastAsia="Batang" w:cs="Tahoma"/>
          <w:b/>
          <w:bCs/>
          <w:sz w:val="22"/>
          <w:szCs w:val="22"/>
        </w:rPr>
        <w:t xml:space="preserve">a) Turno de los </w:t>
      </w:r>
      <w:r w:rsidRPr="00ED5C85">
        <w:rPr>
          <w:rFonts w:ascii="Palatino Linotype" w:hAnsi="Palatino Linotype" w:cs="Tahoma"/>
          <w:b/>
          <w:sz w:val="22"/>
          <w:szCs w:val="22"/>
        </w:rPr>
        <w:t>Recursos de Revisión</w:t>
      </w:r>
      <w:r w:rsidRPr="00ED5C85">
        <w:rPr>
          <w:rFonts w:ascii="Palatino Linotype" w:hAnsi="Palatino Linotype" w:eastAsia="Batang" w:cs="Tahoma"/>
          <w:b/>
          <w:bCs/>
          <w:sz w:val="22"/>
          <w:szCs w:val="22"/>
        </w:rPr>
        <w:t xml:space="preserve">. </w:t>
      </w:r>
      <w:r w:rsidR="00361A2A">
        <w:rPr>
          <w:rFonts w:ascii="Palatino Linotype" w:hAnsi="Palatino Linotype" w:cs="Tahoma"/>
          <w:sz w:val="22"/>
          <w:szCs w:val="22"/>
        </w:rPr>
        <w:t>El</w:t>
      </w:r>
      <w:r w:rsidRPr="00ED5C85" w:rsidR="00A1736A">
        <w:rPr>
          <w:rFonts w:ascii="Palatino Linotype" w:hAnsi="Palatino Linotype" w:cs="Tahoma"/>
          <w:sz w:val="22"/>
          <w:szCs w:val="22"/>
        </w:rPr>
        <w:t xml:space="preserve"> </w:t>
      </w:r>
      <w:r w:rsidR="00765DE0">
        <w:rPr>
          <w:rFonts w:ascii="Palatino Linotype" w:hAnsi="Palatino Linotype" w:cs="Tahoma"/>
          <w:bCs/>
          <w:sz w:val="22"/>
          <w:szCs w:val="22"/>
        </w:rPr>
        <w:t>veintisiete de junio de</w:t>
      </w:r>
      <w:r w:rsidRPr="00ED5C85" w:rsidR="00A1736A">
        <w:rPr>
          <w:rFonts w:ascii="Palatino Linotype" w:hAnsi="Palatino Linotype" w:cs="Tahoma"/>
          <w:bCs/>
          <w:sz w:val="22"/>
          <w:szCs w:val="22"/>
        </w:rPr>
        <w:t xml:space="preserve"> dos mil veintidós</w:t>
      </w:r>
      <w:r w:rsidRPr="00ED5C85">
        <w:rPr>
          <w:rFonts w:ascii="Palatino Linotype" w:hAnsi="Palatino Linotype" w:eastAsia="Batang" w:cs="Tahoma"/>
          <w:bCs/>
          <w:sz w:val="22"/>
          <w:szCs w:val="22"/>
        </w:rPr>
        <w:t xml:space="preserve">, el </w:t>
      </w:r>
      <w:r w:rsidRPr="00ED5C85">
        <w:rPr>
          <w:rFonts w:ascii="Palatino Linotype" w:hAnsi="Palatino Linotype" w:cs="Tahoma"/>
          <w:sz w:val="22"/>
          <w:szCs w:val="22"/>
        </w:rPr>
        <w:t>Sistema de Acceso a la Información Mexiquense (SAIMEX),</w:t>
      </w:r>
      <w:r w:rsidRPr="00ED5C85">
        <w:rPr>
          <w:rFonts w:ascii="Palatino Linotype" w:hAnsi="Palatino Linotype" w:eastAsia="Batang" w:cs="Tahoma"/>
          <w:bCs/>
          <w:sz w:val="22"/>
          <w:szCs w:val="22"/>
        </w:rPr>
        <w:t xml:space="preserve"> </w:t>
      </w:r>
      <w:r w:rsidRPr="00ED5C85" w:rsidR="00F427AC">
        <w:rPr>
          <w:rFonts w:ascii="Palatino Linotype" w:hAnsi="Palatino Linotype" w:eastAsia="Batang" w:cs="Tahoma"/>
          <w:sz w:val="22"/>
          <w:szCs w:val="22"/>
        </w:rPr>
        <w:t xml:space="preserve">asignó el número de </w:t>
      </w:r>
      <w:r w:rsidRPr="00ED5C85" w:rsidR="00492CE5">
        <w:rPr>
          <w:rFonts w:ascii="Palatino Linotype" w:hAnsi="Palatino Linotype" w:eastAsia="Batang" w:cs="Tahoma"/>
          <w:sz w:val="22"/>
          <w:szCs w:val="22"/>
        </w:rPr>
        <w:t xml:space="preserve">expediente </w:t>
      </w:r>
      <w:r w:rsidR="00765DE0">
        <w:rPr>
          <w:rFonts w:ascii="Palatino Linotype" w:hAnsi="Palatino Linotype" w:eastAsia="Calibri" w:cs="Tahoma"/>
          <w:b/>
          <w:bCs/>
          <w:sz w:val="22"/>
          <w:szCs w:val="22"/>
        </w:rPr>
        <w:t>12096</w:t>
      </w:r>
      <w:r w:rsidRPr="00424D79" w:rsidR="00424D79">
        <w:rPr>
          <w:rFonts w:ascii="Palatino Linotype" w:hAnsi="Palatino Linotype" w:eastAsia="Calibri" w:cs="Tahoma"/>
          <w:b/>
          <w:bCs/>
          <w:sz w:val="22"/>
          <w:szCs w:val="22"/>
        </w:rPr>
        <w:t>/INFOEM/IP/RR/2022</w:t>
      </w:r>
      <w:r w:rsidRPr="00ED5C85" w:rsidR="00F427AC">
        <w:rPr>
          <w:rFonts w:ascii="Palatino Linotype" w:hAnsi="Palatino Linotype" w:eastAsia="Batang" w:cs="Tahoma"/>
          <w:sz w:val="22"/>
          <w:szCs w:val="22"/>
        </w:rPr>
        <w:t xml:space="preserve">, al medio de impugnación que nos ocupa, con base en el sistema aprobado por el Pleno de este Órgano Garante y lo turnó al </w:t>
      </w:r>
      <w:r w:rsidRPr="00ED5C85" w:rsidR="00F427AC">
        <w:rPr>
          <w:rFonts w:ascii="Palatino Linotype" w:hAnsi="Palatino Linotype" w:eastAsia="Batang" w:cs="Tahoma"/>
          <w:b/>
          <w:bCs/>
          <w:sz w:val="22"/>
          <w:szCs w:val="22"/>
        </w:rPr>
        <w:t>Comisionado Ponente Luis Gustavo Parra Noriega</w:t>
      </w:r>
      <w:r w:rsidRPr="00ED5C85" w:rsidR="00F427AC">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ED5C85" w:rsidR="00F427AC" w:rsidP="00710DA7" w:rsidRDefault="00F427AC" w14:paraId="7C18C765" w14:textId="77777777">
      <w:pPr>
        <w:spacing w:line="360" w:lineRule="auto"/>
        <w:ind w:right="-28"/>
        <w:contextualSpacing/>
        <w:jc w:val="both"/>
        <w:rPr>
          <w:rFonts w:ascii="Palatino Linotype" w:hAnsi="Palatino Linotype" w:eastAsia="Batang" w:cs="Tahoma"/>
          <w:b/>
          <w:bCs/>
          <w:sz w:val="22"/>
          <w:szCs w:val="22"/>
        </w:rPr>
      </w:pPr>
    </w:p>
    <w:p w:rsidR="007E363C" w:rsidP="00710DA7" w:rsidRDefault="007E363C" w14:paraId="2E3341BD" w14:textId="08B3158F">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ED5C85">
        <w:rPr>
          <w:rFonts w:ascii="Palatino Linotype" w:hAnsi="Palatino Linotype" w:eastAsia="Batang" w:cs="Tahoma"/>
          <w:b/>
          <w:bCs/>
          <w:sz w:val="22"/>
          <w:szCs w:val="22"/>
        </w:rPr>
        <w:t xml:space="preserve">b) Admisión de los </w:t>
      </w:r>
      <w:r w:rsidRPr="00ED5C85">
        <w:rPr>
          <w:rFonts w:ascii="Palatino Linotype" w:hAnsi="Palatino Linotype" w:cs="Tahoma"/>
          <w:b/>
          <w:sz w:val="22"/>
          <w:szCs w:val="22"/>
        </w:rPr>
        <w:t>Recursos de Revisión</w:t>
      </w:r>
      <w:r w:rsidRPr="00ED5C85">
        <w:rPr>
          <w:rFonts w:ascii="Palatino Linotype" w:hAnsi="Palatino Linotype" w:eastAsia="Batang" w:cs="Tahoma"/>
          <w:b/>
          <w:bCs/>
          <w:sz w:val="22"/>
          <w:szCs w:val="22"/>
          <w:lang w:val="es-ES_tradnl"/>
        </w:rPr>
        <w:t xml:space="preserve">. </w:t>
      </w:r>
      <w:r w:rsidRPr="00ED5C85">
        <w:rPr>
          <w:rFonts w:ascii="Palatino Linotype" w:hAnsi="Palatino Linotype" w:eastAsia="Batang" w:cs="Tahoma"/>
          <w:bCs/>
          <w:sz w:val="22"/>
          <w:szCs w:val="22"/>
        </w:rPr>
        <w:t>El</w:t>
      </w:r>
      <w:r w:rsidRPr="00ED5C85" w:rsidR="00717A67">
        <w:rPr>
          <w:rFonts w:ascii="Palatino Linotype" w:hAnsi="Palatino Linotype" w:eastAsia="Batang" w:cs="Tahoma"/>
          <w:bCs/>
          <w:sz w:val="22"/>
          <w:szCs w:val="22"/>
        </w:rPr>
        <w:t xml:space="preserve"> </w:t>
      </w:r>
      <w:r w:rsidR="00424D79">
        <w:rPr>
          <w:rFonts w:ascii="Palatino Linotype" w:hAnsi="Palatino Linotype" w:eastAsia="Batang" w:cs="Tahoma"/>
          <w:bCs/>
          <w:sz w:val="22"/>
          <w:szCs w:val="22"/>
        </w:rPr>
        <w:t>treinta</w:t>
      </w:r>
      <w:r w:rsidRPr="00ED5C85" w:rsidR="00783599">
        <w:rPr>
          <w:rFonts w:ascii="Palatino Linotype" w:hAnsi="Palatino Linotype" w:eastAsia="Batang" w:cs="Tahoma"/>
          <w:bCs/>
          <w:sz w:val="22"/>
          <w:szCs w:val="22"/>
        </w:rPr>
        <w:t xml:space="preserve"> </w:t>
      </w:r>
      <w:r w:rsidR="00765DE0">
        <w:rPr>
          <w:rFonts w:ascii="Palatino Linotype" w:hAnsi="Palatino Linotype" w:eastAsia="Batang" w:cs="Tahoma"/>
          <w:bCs/>
          <w:sz w:val="22"/>
          <w:szCs w:val="22"/>
        </w:rPr>
        <w:t>de junio</w:t>
      </w:r>
      <w:r w:rsidRPr="00ED5C85" w:rsidR="00783599">
        <w:rPr>
          <w:rFonts w:ascii="Palatino Linotype" w:hAnsi="Palatino Linotype" w:eastAsia="Batang" w:cs="Tahoma"/>
          <w:bCs/>
          <w:sz w:val="22"/>
          <w:szCs w:val="22"/>
        </w:rPr>
        <w:t xml:space="preserve"> </w:t>
      </w:r>
      <w:r w:rsidR="00765DE0">
        <w:rPr>
          <w:rFonts w:ascii="Palatino Linotype" w:hAnsi="Palatino Linotype" w:eastAsia="Batang" w:cs="Tahoma"/>
          <w:bCs/>
          <w:sz w:val="22"/>
          <w:szCs w:val="22"/>
        </w:rPr>
        <w:t>de</w:t>
      </w:r>
      <w:r w:rsidRPr="00ED5C85" w:rsidR="00B87EC4">
        <w:rPr>
          <w:rFonts w:ascii="Palatino Linotype" w:hAnsi="Palatino Linotype" w:eastAsia="Batang" w:cs="Tahoma"/>
          <w:bCs/>
          <w:sz w:val="22"/>
          <w:szCs w:val="22"/>
        </w:rPr>
        <w:t xml:space="preserve"> dos mil veintidós, se acordó </w:t>
      </w:r>
      <w:r w:rsidRPr="00ED5C85">
        <w:rPr>
          <w:rFonts w:ascii="Palatino Linotype" w:hAnsi="Palatino Linotype" w:eastAsia="Batang"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w:t>
      </w:r>
      <w:r w:rsidRPr="00ED5C85" w:rsidR="00762BB9">
        <w:rPr>
          <w:rFonts w:ascii="Palatino Linotype" w:hAnsi="Palatino Linotype" w:eastAsia="Batang" w:cs="Tahoma"/>
          <w:bCs/>
          <w:sz w:val="22"/>
          <w:szCs w:val="22"/>
        </w:rPr>
        <w:t>el cual</w:t>
      </w:r>
      <w:r w:rsidRPr="00ED5C85">
        <w:rPr>
          <w:rFonts w:ascii="Palatino Linotype" w:hAnsi="Palatino Linotype" w:eastAsia="Batang" w:cs="Tahoma"/>
          <w:bCs/>
          <w:sz w:val="22"/>
          <w:szCs w:val="22"/>
        </w:rPr>
        <w:t xml:space="preserve"> fue</w:t>
      </w:r>
      <w:r w:rsidRPr="00ED5C85" w:rsidR="00762BB9">
        <w:rPr>
          <w:rFonts w:ascii="Palatino Linotype" w:hAnsi="Palatino Linotype" w:eastAsia="Batang" w:cs="Tahoma"/>
          <w:bCs/>
          <w:sz w:val="22"/>
          <w:szCs w:val="22"/>
        </w:rPr>
        <w:t xml:space="preserve"> </w:t>
      </w:r>
      <w:r w:rsidRPr="00ED5C85">
        <w:rPr>
          <w:rFonts w:ascii="Palatino Linotype" w:hAnsi="Palatino Linotype" w:eastAsia="Batang" w:cs="Tahoma"/>
          <w:bCs/>
          <w:sz w:val="22"/>
          <w:szCs w:val="22"/>
        </w:rPr>
        <w:t xml:space="preserve">notificado a las partes </w:t>
      </w:r>
      <w:r w:rsidRPr="00ED5C85" w:rsidR="0002206C">
        <w:rPr>
          <w:rFonts w:ascii="Palatino Linotype" w:hAnsi="Palatino Linotype" w:eastAsia="Batang" w:cs="Tahoma"/>
          <w:bCs/>
          <w:sz w:val="22"/>
          <w:szCs w:val="22"/>
        </w:rPr>
        <w:t xml:space="preserve">el </w:t>
      </w:r>
      <w:r w:rsidR="00424D79">
        <w:rPr>
          <w:rFonts w:ascii="Palatino Linotype" w:hAnsi="Palatino Linotype" w:eastAsia="Batang" w:cs="Tahoma"/>
          <w:bCs/>
          <w:sz w:val="22"/>
          <w:szCs w:val="22"/>
        </w:rPr>
        <w:t>treinta y uno</w:t>
      </w:r>
      <w:r w:rsidRPr="00ED5C85" w:rsidR="00F909C0">
        <w:rPr>
          <w:rFonts w:ascii="Palatino Linotype" w:hAnsi="Palatino Linotype" w:eastAsia="Batang" w:cs="Tahoma"/>
          <w:bCs/>
          <w:sz w:val="22"/>
          <w:szCs w:val="22"/>
        </w:rPr>
        <w:t xml:space="preserve"> </w:t>
      </w:r>
      <w:r w:rsidRPr="00ED5C85">
        <w:rPr>
          <w:rFonts w:ascii="Palatino Linotype" w:hAnsi="Palatino Linotype" w:eastAsia="Batang" w:cs="Tahoma"/>
          <w:bCs/>
          <w:sz w:val="22"/>
          <w:szCs w:val="22"/>
        </w:rPr>
        <w:t>del mes y año referido, respectivamente, a través del Sistema de Acceso a la Información Mexiquense (SAIMEX), en el que se les otorgó un plazo de siete días hábiles posteriores a la misma, para que manifestaran lo que a su derecho conviniera y formularan alegatos.</w:t>
      </w:r>
    </w:p>
    <w:p w:rsidRPr="00ED5C85" w:rsidR="00FB5D01" w:rsidP="00710DA7" w:rsidRDefault="00FB5D01" w14:paraId="05F9C952" w14:textId="77777777">
      <w:pPr>
        <w:autoSpaceDE w:val="0"/>
        <w:autoSpaceDN w:val="0"/>
        <w:adjustRightInd w:val="0"/>
        <w:spacing w:line="360" w:lineRule="auto"/>
        <w:ind w:right="-28"/>
        <w:contextualSpacing/>
        <w:jc w:val="both"/>
        <w:rPr>
          <w:rFonts w:ascii="Palatino Linotype" w:hAnsi="Palatino Linotype" w:eastAsia="Batang" w:cs="Tahoma"/>
          <w:bCs/>
          <w:sz w:val="22"/>
          <w:szCs w:val="22"/>
        </w:rPr>
      </w:pPr>
    </w:p>
    <w:p w:rsidR="00361A2A" w:rsidP="00361A2A" w:rsidRDefault="00FB5D01" w14:paraId="24BD1B0F" w14:textId="10D586D2">
      <w:pPr>
        <w:spacing w:line="360" w:lineRule="auto"/>
        <w:jc w:val="both"/>
        <w:rPr>
          <w:rFonts w:ascii="Palatino Linotype" w:hAnsi="Palatino Linotype" w:cs="Tahoma"/>
          <w:bCs/>
          <w:color w:val="0D0D0D" w:themeColor="text1" w:themeTint="F2"/>
          <w:sz w:val="22"/>
          <w:szCs w:val="22"/>
        </w:rPr>
      </w:pPr>
      <w:r>
        <w:rPr>
          <w:rFonts w:ascii="Palatino Linotype" w:hAnsi="Palatino Linotype" w:eastAsia="Palatino Linotype" w:cs="Palatino Linotype"/>
          <w:b/>
          <w:bCs/>
          <w:sz w:val="22"/>
          <w:szCs w:val="22"/>
          <w:lang w:val="es-ES"/>
        </w:rPr>
        <w:t>c</w:t>
      </w:r>
      <w:r w:rsidRPr="00ED5C85">
        <w:rPr>
          <w:rFonts w:ascii="Palatino Linotype" w:hAnsi="Palatino Linotype" w:eastAsia="Palatino Linotype" w:cs="Palatino Linotype"/>
          <w:b/>
          <w:bCs/>
          <w:sz w:val="22"/>
          <w:szCs w:val="22"/>
          <w:lang w:val="es-ES"/>
        </w:rPr>
        <w:t xml:space="preserve">) </w:t>
      </w:r>
      <w:r w:rsidRPr="00ED5C85" w:rsidR="00361A2A">
        <w:rPr>
          <w:rFonts w:ascii="Palatino Linotype" w:hAnsi="Palatino Linotype" w:cs="Tahoma"/>
          <w:b/>
          <w:bCs/>
          <w:color w:val="0D0D0D" w:themeColor="text1" w:themeTint="F2"/>
          <w:sz w:val="22"/>
          <w:szCs w:val="22"/>
        </w:rPr>
        <w:t xml:space="preserve">Informe Justificado o Manifestaciones. </w:t>
      </w:r>
      <w:r w:rsidR="00765DE0">
        <w:rPr>
          <w:rFonts w:ascii="Palatino Linotype" w:hAnsi="Palatino Linotype" w:cs="Tahoma"/>
          <w:bCs/>
          <w:color w:val="0D0D0D" w:themeColor="text1" w:themeTint="F2"/>
          <w:sz w:val="22"/>
          <w:szCs w:val="22"/>
        </w:rPr>
        <w:t xml:space="preserve">Las partes fueron omisas en emitir manifestaciones o alegatos. </w:t>
      </w:r>
    </w:p>
    <w:p w:rsidRPr="00765DE0" w:rsidR="00765DE0" w:rsidP="00361A2A" w:rsidRDefault="00765DE0" w14:paraId="6AA1DA36" w14:textId="77777777">
      <w:pPr>
        <w:spacing w:line="360" w:lineRule="auto"/>
        <w:jc w:val="both"/>
        <w:rPr>
          <w:rFonts w:ascii="Palatino Linotype" w:hAnsi="Palatino Linotype" w:cs="Tahoma"/>
          <w:color w:val="0D0D0D" w:themeColor="text1" w:themeTint="F2"/>
          <w:sz w:val="22"/>
          <w:szCs w:val="22"/>
        </w:rPr>
      </w:pPr>
    </w:p>
    <w:p w:rsidRPr="00ED5C85" w:rsidR="007E363C" w:rsidP="00710DA7" w:rsidRDefault="00765DE0" w14:paraId="50EE013F" w14:textId="6F5A0013">
      <w:pPr>
        <w:spacing w:line="360" w:lineRule="auto"/>
        <w:jc w:val="both"/>
        <w:rPr>
          <w:rFonts w:ascii="Palatino Linotype" w:hAnsi="Palatino Linotype" w:eastAsia="Palatino Linotype" w:cs="Palatino Linotype"/>
          <w:sz w:val="22"/>
          <w:szCs w:val="22"/>
          <w:lang w:val="es-ES"/>
        </w:rPr>
      </w:pPr>
      <w:r>
        <w:rPr>
          <w:rFonts w:ascii="Palatino Linotype" w:hAnsi="Palatino Linotype" w:eastAsia="Palatino Linotype" w:cs="Palatino Linotype"/>
          <w:b/>
          <w:bCs/>
          <w:sz w:val="22"/>
          <w:szCs w:val="22"/>
          <w:lang w:val="es-ES"/>
        </w:rPr>
        <w:t>d</w:t>
      </w:r>
      <w:r w:rsidRPr="00ED5C85" w:rsidR="007E363C">
        <w:rPr>
          <w:rFonts w:ascii="Palatino Linotype" w:hAnsi="Palatino Linotype" w:eastAsia="Palatino Linotype" w:cs="Palatino Linotype"/>
          <w:b/>
          <w:bCs/>
          <w:sz w:val="22"/>
          <w:szCs w:val="22"/>
          <w:lang w:val="es-ES"/>
        </w:rPr>
        <w:t xml:space="preserve">) Cierre de Instrucción: </w:t>
      </w:r>
      <w:r w:rsidRPr="00ED5C85" w:rsidR="007E363C">
        <w:rPr>
          <w:rFonts w:ascii="Palatino Linotype" w:hAnsi="Palatino Linotype" w:eastAsia="Palatino Linotype" w:cs="Palatino Linotype"/>
          <w:sz w:val="22"/>
          <w:szCs w:val="22"/>
        </w:rPr>
        <w:t xml:space="preserve">El </w:t>
      </w:r>
      <w:r w:rsidRPr="005820CD">
        <w:rPr>
          <w:rFonts w:ascii="Palatino Linotype" w:hAnsi="Palatino Linotype" w:eastAsia="Palatino Linotype" w:cs="Palatino Linotype"/>
          <w:sz w:val="22"/>
          <w:szCs w:val="22"/>
        </w:rPr>
        <w:t>dieciocho de agosto de dos</w:t>
      </w:r>
      <w:r w:rsidRPr="005820CD" w:rsidR="0004183B">
        <w:rPr>
          <w:rFonts w:ascii="Palatino Linotype" w:hAnsi="Palatino Linotype" w:eastAsia="Palatino Linotype" w:cs="Palatino Linotype"/>
          <w:sz w:val="22"/>
          <w:szCs w:val="22"/>
          <w:lang w:val="es-ES"/>
        </w:rPr>
        <w:t xml:space="preserve"> mil veintidós</w:t>
      </w:r>
      <w:r w:rsidRPr="00ED5C85" w:rsidR="007E363C">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D5C85" w:rsidR="007E363C">
        <w:rPr>
          <w:rFonts w:ascii="Palatino Linotype" w:hAnsi="Palatino Linotype" w:eastAsia="Palatino Linotype" w:cs="Palatino Linotype"/>
          <w:sz w:val="22"/>
          <w:szCs w:val="22"/>
          <w:lang w:val="es-ES"/>
        </w:rPr>
        <w:t>Sistema de Acceso a la Información Mexiquense (SAIMEX)</w:t>
      </w:r>
      <w:r w:rsidRPr="00ED5C85" w:rsidR="007E363C">
        <w:rPr>
          <w:rFonts w:ascii="Palatino Linotype" w:hAnsi="Palatino Linotype" w:eastAsia="Palatino Linotype" w:cs="Palatino Linotype"/>
          <w:sz w:val="22"/>
          <w:szCs w:val="22"/>
        </w:rPr>
        <w:t>.</w:t>
      </w:r>
    </w:p>
    <w:p w:rsidRPr="00ED5C85" w:rsidR="00B811AA" w:rsidP="00710DA7" w:rsidRDefault="00B811AA" w14:paraId="22CFDFB4" w14:textId="77777777">
      <w:pPr>
        <w:spacing w:line="360" w:lineRule="auto"/>
        <w:jc w:val="both"/>
        <w:rPr>
          <w:rFonts w:ascii="Palatino Linotype" w:hAnsi="Palatino Linotype" w:eastAsia="Palatino Linotype" w:cs="Palatino Linotype"/>
          <w:sz w:val="22"/>
          <w:szCs w:val="22"/>
        </w:rPr>
      </w:pPr>
    </w:p>
    <w:p w:rsidRPr="00ED5C85" w:rsidR="007E363C" w:rsidP="00710DA7" w:rsidRDefault="007E363C" w14:paraId="42B3D26A" w14:textId="77777777">
      <w:pPr>
        <w:spacing w:line="360" w:lineRule="auto"/>
        <w:jc w:val="both"/>
        <w:rPr>
          <w:rFonts w:ascii="Palatino Linotype" w:hAnsi="Palatino Linotype" w:eastAsia="Palatino Linotype" w:cs="Palatino Linotype"/>
          <w:sz w:val="22"/>
          <w:szCs w:val="22"/>
        </w:rPr>
      </w:pPr>
      <w:r w:rsidRPr="00ED5C85">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ED5C85" w:rsidR="007E363C" w:rsidP="00710DA7" w:rsidRDefault="007E363C" w14:paraId="079BFF9B" w14:textId="77777777">
      <w:pPr>
        <w:spacing w:line="360" w:lineRule="auto"/>
        <w:jc w:val="both"/>
        <w:rPr>
          <w:rFonts w:ascii="Palatino Linotype" w:hAnsi="Palatino Linotype" w:eastAsia="Palatino Linotype" w:cs="Palatino Linotype"/>
          <w:b/>
          <w:bCs/>
          <w:sz w:val="22"/>
          <w:szCs w:val="22"/>
        </w:rPr>
      </w:pPr>
    </w:p>
    <w:p w:rsidRPr="00ED5C85" w:rsidR="007E363C" w:rsidP="00710DA7"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ED5C85">
        <w:rPr>
          <w:rFonts w:ascii="Palatino Linotype" w:hAnsi="Palatino Linotype" w:eastAsia="Palatino Linotype" w:cs="Palatino Linotype"/>
          <w:b/>
          <w:bCs/>
          <w:sz w:val="22"/>
          <w:szCs w:val="22"/>
          <w:lang w:val="es-ES"/>
        </w:rPr>
        <w:t>C O N S I D E R A N D O S:</w:t>
      </w:r>
    </w:p>
    <w:p w:rsidRPr="00ED5C85" w:rsidR="007E363C" w:rsidP="00710DA7" w:rsidRDefault="007E363C" w14:paraId="34AB0398" w14:textId="77777777">
      <w:pPr>
        <w:spacing w:line="360" w:lineRule="auto"/>
        <w:jc w:val="both"/>
        <w:rPr>
          <w:rFonts w:ascii="Palatino Linotype" w:hAnsi="Palatino Linotype" w:eastAsia="Palatino Linotype" w:cs="Palatino Linotype"/>
          <w:b/>
          <w:bCs/>
          <w:sz w:val="22"/>
          <w:szCs w:val="22"/>
        </w:rPr>
      </w:pPr>
    </w:p>
    <w:p w:rsidRPr="00ED5C85" w:rsidR="00C33ADC" w:rsidP="00710DA7" w:rsidRDefault="00C33ADC" w14:paraId="1F1F860D" w14:textId="77777777">
      <w:pPr>
        <w:spacing w:line="360" w:lineRule="auto"/>
        <w:jc w:val="both"/>
        <w:rPr>
          <w:rFonts w:ascii="Palatino Linotype" w:hAnsi="Palatino Linotype" w:eastAsia="Calibri" w:cs="Tahoma"/>
          <w:b/>
          <w:color w:val="000000"/>
          <w:sz w:val="22"/>
          <w:lang w:val="es-ES"/>
        </w:rPr>
      </w:pPr>
      <w:r w:rsidRPr="00ED5C85">
        <w:rPr>
          <w:rFonts w:ascii="Palatino Linotype" w:hAnsi="Palatino Linotype" w:eastAsia="Calibri" w:cs="Tahoma"/>
          <w:b/>
          <w:color w:val="000000"/>
          <w:sz w:val="22"/>
          <w:lang w:val="es-ES"/>
        </w:rPr>
        <w:t>PRIMERO. Competencia.</w:t>
      </w:r>
    </w:p>
    <w:p w:rsidRPr="00ED5C85" w:rsidR="00C33ADC" w:rsidP="00710DA7" w:rsidRDefault="00C33ADC" w14:paraId="176665BC" w14:textId="77777777">
      <w:pPr>
        <w:spacing w:line="360" w:lineRule="auto"/>
        <w:jc w:val="both"/>
        <w:rPr>
          <w:rFonts w:ascii="Palatino Linotype" w:hAnsi="Palatino Linotype" w:eastAsia="Calibri" w:cs="Tahoma"/>
          <w:b/>
          <w:color w:val="000000"/>
          <w:sz w:val="22"/>
          <w:lang w:val="es-ES"/>
        </w:rPr>
      </w:pPr>
    </w:p>
    <w:p w:rsidRPr="00ED5C85" w:rsidR="00C33ADC" w:rsidP="00710DA7" w:rsidRDefault="00C33ADC" w14:paraId="4E599BF0" w14:textId="77777777">
      <w:pPr>
        <w:spacing w:line="360" w:lineRule="auto"/>
        <w:jc w:val="both"/>
        <w:rPr>
          <w:rFonts w:ascii="Palatino Linotype" w:hAnsi="Palatino Linotype" w:eastAsia="Calibri" w:cs="Tahoma"/>
          <w:b/>
          <w:bCs/>
          <w:color w:val="000000"/>
          <w:sz w:val="22"/>
        </w:rPr>
      </w:pPr>
      <w:r w:rsidRPr="00ED5C85">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ED5C85">
        <w:rPr>
          <w:rFonts w:ascii="Palatino Linotype" w:hAnsi="Palatino Linotype" w:eastAsia="Calibri" w:cs="Tahoma"/>
          <w:color w:val="000000"/>
          <w:sz w:val="22"/>
          <w:lang w:val="x-none"/>
        </w:rPr>
        <w:t>, trigésimo primero</w:t>
      </w:r>
      <w:r w:rsidRPr="00ED5C85">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ED5C85">
        <w:rPr>
          <w:rFonts w:ascii="Palatino Linotype" w:hAnsi="Palatino Linotype" w:eastAsia="Calibri" w:cs="Tahoma"/>
          <w:color w:val="000000"/>
          <w:sz w:val="22"/>
        </w:rPr>
        <w:lastRenderedPageBreak/>
        <w:t>Transparencia, Acceso a la</w:t>
      </w:r>
      <w:r w:rsidRPr="00ED5C85">
        <w:rPr>
          <w:rFonts w:ascii="Palatino Linotype" w:hAnsi="Palatino Linotype" w:eastAsia="Calibri" w:cs="Tahoma"/>
          <w:b/>
          <w:bCs/>
          <w:color w:val="000000"/>
          <w:sz w:val="22"/>
        </w:rPr>
        <w:t xml:space="preserve"> </w:t>
      </w:r>
      <w:r w:rsidRPr="00ED5C85">
        <w:rPr>
          <w:rFonts w:ascii="Palatino Linotype" w:hAnsi="Palatino Linotype" w:eastAsia="Calibri" w:cs="Tahoma"/>
          <w:color w:val="000000"/>
          <w:sz w:val="22"/>
        </w:rPr>
        <w:t>Información Pública y Protección de Datos Personales del Estado de México y Municipios.</w:t>
      </w:r>
    </w:p>
    <w:p w:rsidRPr="00ED5C85" w:rsidR="00C33ADC" w:rsidP="00710DA7" w:rsidRDefault="00C33ADC" w14:paraId="5EC01A55" w14:textId="77777777">
      <w:pPr>
        <w:spacing w:line="360" w:lineRule="auto"/>
        <w:jc w:val="both"/>
        <w:rPr>
          <w:rFonts w:ascii="Palatino Linotype" w:hAnsi="Palatino Linotype" w:eastAsia="Calibri" w:cs="Tahoma"/>
          <w:color w:val="000000"/>
          <w:sz w:val="22"/>
        </w:rPr>
      </w:pPr>
    </w:p>
    <w:p w:rsidRPr="00ED5C85" w:rsidR="006A79F2" w:rsidP="00710DA7" w:rsidRDefault="006A79F2" w14:paraId="57B78F0B" w14:textId="77777777">
      <w:pPr>
        <w:spacing w:line="360" w:lineRule="auto"/>
        <w:jc w:val="both"/>
        <w:rPr>
          <w:rFonts w:ascii="Palatino Linotype" w:hAnsi="Palatino Linotype" w:cs="Tahoma"/>
          <w:b/>
          <w:bCs/>
          <w:sz w:val="22"/>
          <w:szCs w:val="22"/>
          <w:lang w:eastAsia="es-ES"/>
        </w:rPr>
      </w:pPr>
      <w:r w:rsidRPr="00ED5C85">
        <w:rPr>
          <w:rFonts w:ascii="Palatino Linotype" w:hAnsi="Palatino Linotype" w:cs="Tahoma"/>
          <w:b/>
          <w:bCs/>
          <w:sz w:val="22"/>
          <w:szCs w:val="22"/>
          <w:lang w:eastAsia="es-ES"/>
        </w:rPr>
        <w:t>SEGUNDO. Causales de procedencia.</w:t>
      </w:r>
    </w:p>
    <w:p w:rsidRPr="00ED5C85" w:rsidR="006A79F2" w:rsidP="00710DA7" w:rsidRDefault="006A79F2" w14:paraId="37F78C9C" w14:textId="77777777">
      <w:pPr>
        <w:spacing w:line="360" w:lineRule="auto"/>
        <w:jc w:val="both"/>
        <w:rPr>
          <w:rFonts w:ascii="Palatino Linotype" w:hAnsi="Palatino Linotype" w:cs="Tahoma"/>
          <w:bCs/>
          <w:sz w:val="22"/>
          <w:szCs w:val="22"/>
          <w:lang w:eastAsia="es-ES"/>
        </w:rPr>
      </w:pPr>
    </w:p>
    <w:p w:rsidRPr="00ED5C85" w:rsidR="006A79F2" w:rsidP="00710DA7" w:rsidRDefault="006A79F2" w14:paraId="2EDA20ED" w14:textId="77777777">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D5C85" w:rsidR="006A79F2" w:rsidP="00710DA7" w:rsidRDefault="006A79F2" w14:paraId="012DFF4A" w14:textId="77777777">
      <w:pPr>
        <w:spacing w:line="360" w:lineRule="auto"/>
        <w:jc w:val="both"/>
        <w:rPr>
          <w:rFonts w:ascii="Palatino Linotype" w:hAnsi="Palatino Linotype" w:cs="Tahoma"/>
          <w:bCs/>
          <w:sz w:val="22"/>
          <w:szCs w:val="22"/>
          <w:lang w:eastAsia="es-ES"/>
        </w:rPr>
      </w:pPr>
    </w:p>
    <w:p w:rsidR="006A79F2" w:rsidP="00710DA7" w:rsidRDefault="006A79F2" w14:paraId="1E6E9059" w14:textId="6A7B089D">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 xml:space="preserve">En el presente caso, </w:t>
      </w:r>
      <w:r w:rsidRPr="00ED5C85">
        <w:rPr>
          <w:rFonts w:ascii="Palatino Linotype" w:hAnsi="Palatino Linotype" w:cs="Tahoma"/>
          <w:b/>
          <w:sz w:val="22"/>
          <w:szCs w:val="22"/>
          <w:lang w:eastAsia="es-ES"/>
        </w:rPr>
        <w:t>no se actualiza alguna de las causales de improcedencia</w:t>
      </w:r>
      <w:r w:rsidRPr="00ED5C85">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ED5C85" w:rsidR="00D44CB7" w:rsidP="00710DA7" w:rsidRDefault="00D44CB7" w14:paraId="0D0658B0" w14:textId="77777777">
      <w:pPr>
        <w:spacing w:line="360" w:lineRule="auto"/>
        <w:jc w:val="both"/>
        <w:rPr>
          <w:rFonts w:ascii="Palatino Linotype" w:hAnsi="Palatino Linotype" w:cs="Tahoma"/>
          <w:bCs/>
          <w:sz w:val="22"/>
          <w:szCs w:val="22"/>
          <w:lang w:eastAsia="es-ES"/>
        </w:rPr>
      </w:pPr>
    </w:p>
    <w:p w:rsidRPr="00ED5C85" w:rsidR="004A2A83" w:rsidP="00710DA7" w:rsidRDefault="006A79F2" w14:paraId="6FDE6CAB" w14:textId="571D3C0E">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Asimismo, del análisis de las constancias del expediente electrónico, se advierte que se actualizan las causales de procedencia de los Recursos de Revisión señaladas en el artículo 179, fracci</w:t>
      </w:r>
      <w:r w:rsidR="002F4F6F">
        <w:rPr>
          <w:rFonts w:ascii="Palatino Linotype" w:hAnsi="Palatino Linotype" w:cs="Tahoma"/>
          <w:bCs/>
          <w:sz w:val="22"/>
          <w:szCs w:val="22"/>
          <w:lang w:eastAsia="es-ES"/>
        </w:rPr>
        <w:t>ón</w:t>
      </w:r>
      <w:r w:rsidRPr="00ED5C85">
        <w:rPr>
          <w:rFonts w:ascii="Palatino Linotype" w:hAnsi="Palatino Linotype" w:cs="Tahoma"/>
          <w:bCs/>
          <w:sz w:val="22"/>
          <w:szCs w:val="22"/>
          <w:lang w:eastAsia="es-ES"/>
        </w:rPr>
        <w:t xml:space="preserve"> </w:t>
      </w:r>
      <w:r w:rsidRPr="00ED5C85" w:rsidR="004A2A83">
        <w:rPr>
          <w:rFonts w:ascii="Palatino Linotype" w:hAnsi="Palatino Linotype" w:cs="Tahoma"/>
          <w:bCs/>
          <w:sz w:val="22"/>
          <w:szCs w:val="22"/>
          <w:lang w:eastAsia="es-ES"/>
        </w:rPr>
        <w:t>V</w:t>
      </w:r>
      <w:r w:rsidR="00BC0754">
        <w:rPr>
          <w:rFonts w:ascii="Palatino Linotype" w:hAnsi="Palatino Linotype" w:cs="Tahoma"/>
          <w:bCs/>
          <w:sz w:val="22"/>
          <w:szCs w:val="22"/>
          <w:lang w:eastAsia="es-ES"/>
        </w:rPr>
        <w:t>I</w:t>
      </w:r>
      <w:r w:rsidR="002F4F6F">
        <w:rPr>
          <w:rFonts w:ascii="Palatino Linotype" w:hAnsi="Palatino Linotype" w:cs="Tahoma"/>
          <w:bCs/>
          <w:sz w:val="22"/>
          <w:szCs w:val="22"/>
          <w:lang w:eastAsia="es-ES"/>
        </w:rPr>
        <w:t>,</w:t>
      </w:r>
      <w:r w:rsidRPr="00ED5C85" w:rsidR="00BC3C5B">
        <w:rPr>
          <w:rFonts w:ascii="Palatino Linotype" w:hAnsi="Palatino Linotype" w:cs="Tahoma"/>
          <w:bCs/>
          <w:sz w:val="22"/>
          <w:szCs w:val="22"/>
          <w:lang w:eastAsia="es-ES"/>
        </w:rPr>
        <w:t xml:space="preserve"> </w:t>
      </w:r>
      <w:r w:rsidRPr="00ED5C85" w:rsidR="00A34D3C">
        <w:rPr>
          <w:rFonts w:ascii="Palatino Linotype" w:hAnsi="Palatino Linotype" w:cs="Tahoma"/>
          <w:bCs/>
          <w:sz w:val="22"/>
          <w:szCs w:val="22"/>
          <w:lang w:eastAsia="es-ES"/>
        </w:rPr>
        <w:t xml:space="preserve">de la Ley de Transparencia y Acceso a la Información Pública del </w:t>
      </w:r>
      <w:r w:rsidRPr="00ED5C85" w:rsidR="00CD7F3C">
        <w:rPr>
          <w:rFonts w:ascii="Palatino Linotype" w:hAnsi="Palatino Linotype" w:cs="Tahoma"/>
          <w:bCs/>
          <w:sz w:val="22"/>
          <w:szCs w:val="22"/>
          <w:lang w:eastAsia="es-ES"/>
        </w:rPr>
        <w:t>Estado</w:t>
      </w:r>
      <w:r w:rsidRPr="00ED5C85" w:rsidR="00A34D3C">
        <w:rPr>
          <w:rFonts w:ascii="Palatino Linotype" w:hAnsi="Palatino Linotype" w:cs="Tahoma"/>
          <w:bCs/>
          <w:sz w:val="22"/>
          <w:szCs w:val="22"/>
          <w:lang w:eastAsia="es-ES"/>
        </w:rPr>
        <w:t xml:space="preserve"> de </w:t>
      </w:r>
      <w:r w:rsidRPr="00ED5C85" w:rsidR="00CD7F3C">
        <w:rPr>
          <w:rFonts w:ascii="Palatino Linotype" w:hAnsi="Palatino Linotype" w:cs="Tahoma"/>
          <w:bCs/>
          <w:sz w:val="22"/>
          <w:szCs w:val="22"/>
          <w:lang w:eastAsia="es-ES"/>
        </w:rPr>
        <w:t xml:space="preserve">México y Municipios, pues el Recurrente </w:t>
      </w:r>
      <w:r w:rsidRPr="00ED5C85" w:rsidR="00BC3C5B">
        <w:rPr>
          <w:rFonts w:ascii="Palatino Linotype" w:hAnsi="Palatino Linotype" w:cs="Tahoma"/>
          <w:bCs/>
          <w:sz w:val="22"/>
          <w:szCs w:val="22"/>
          <w:lang w:eastAsia="es-ES"/>
        </w:rPr>
        <w:t xml:space="preserve">se inconformó </w:t>
      </w:r>
      <w:r w:rsidRPr="00ED5C85" w:rsidR="000B62C0">
        <w:rPr>
          <w:rFonts w:ascii="Palatino Linotype" w:hAnsi="Palatino Linotype" w:cs="Tahoma"/>
          <w:bCs/>
          <w:sz w:val="22"/>
          <w:szCs w:val="22"/>
          <w:lang w:eastAsia="es-ES"/>
        </w:rPr>
        <w:t>con la entrega d</w:t>
      </w:r>
      <w:r w:rsidR="00BC0754">
        <w:rPr>
          <w:rFonts w:ascii="Palatino Linotype" w:hAnsi="Palatino Linotype" w:cs="Tahoma"/>
          <w:bCs/>
          <w:sz w:val="22"/>
          <w:szCs w:val="22"/>
          <w:lang w:eastAsia="es-ES"/>
        </w:rPr>
        <w:t>e</w:t>
      </w:r>
      <w:r w:rsidRPr="00ED5C85" w:rsidR="000B62C0">
        <w:rPr>
          <w:rFonts w:ascii="Palatino Linotype" w:hAnsi="Palatino Linotype" w:cs="Tahoma"/>
          <w:bCs/>
          <w:sz w:val="22"/>
          <w:szCs w:val="22"/>
          <w:lang w:eastAsia="es-ES"/>
        </w:rPr>
        <w:t xml:space="preserve"> información </w:t>
      </w:r>
      <w:r w:rsidR="00BC0754">
        <w:rPr>
          <w:rFonts w:ascii="Palatino Linotype" w:hAnsi="Palatino Linotype" w:cs="Tahoma"/>
          <w:bCs/>
          <w:sz w:val="22"/>
          <w:szCs w:val="22"/>
          <w:lang w:eastAsia="es-ES"/>
        </w:rPr>
        <w:t xml:space="preserve">que no corresponde con lo solicitado. </w:t>
      </w:r>
    </w:p>
    <w:p w:rsidRPr="00ED5C85" w:rsidR="00A34D3C" w:rsidP="00710DA7" w:rsidRDefault="00A34D3C" w14:paraId="72A3211B" w14:textId="77777777">
      <w:pPr>
        <w:spacing w:line="360" w:lineRule="auto"/>
        <w:jc w:val="both"/>
        <w:rPr>
          <w:rFonts w:ascii="Palatino Linotype" w:hAnsi="Palatino Linotype" w:cs="Tahoma"/>
          <w:bCs/>
          <w:sz w:val="22"/>
          <w:szCs w:val="22"/>
          <w:lang w:eastAsia="es-ES"/>
        </w:rPr>
      </w:pPr>
    </w:p>
    <w:p w:rsidRPr="00ED5C85" w:rsidR="00C1584E" w:rsidP="00710DA7" w:rsidRDefault="00C1584E" w14:paraId="0426D7EA" w14:textId="77777777">
      <w:pPr>
        <w:spacing w:line="360" w:lineRule="auto"/>
        <w:jc w:val="both"/>
        <w:rPr>
          <w:rFonts w:ascii="Palatino Linotype" w:hAnsi="Palatino Linotype" w:cs="Tahoma"/>
          <w:bCs/>
          <w:sz w:val="22"/>
          <w:szCs w:val="22"/>
          <w:lang w:eastAsia="es-ES"/>
        </w:rPr>
      </w:pPr>
      <w:r w:rsidRPr="00ED5C85">
        <w:rPr>
          <w:rFonts w:ascii="Palatino Linotype" w:hAnsi="Palatino Linotype" w:cs="Tahoma"/>
          <w:b/>
          <w:bCs/>
          <w:sz w:val="22"/>
          <w:szCs w:val="22"/>
          <w:lang w:eastAsia="es-ES"/>
        </w:rPr>
        <w:t>TERCERO. Causales de sobreseimiento.</w:t>
      </w:r>
    </w:p>
    <w:p w:rsidRPr="00ED5C85" w:rsidR="00C1584E" w:rsidP="00710DA7" w:rsidRDefault="00C1584E" w14:paraId="6135E181" w14:textId="77777777">
      <w:pPr>
        <w:spacing w:line="360" w:lineRule="auto"/>
        <w:jc w:val="both"/>
        <w:rPr>
          <w:rFonts w:ascii="Palatino Linotype" w:hAnsi="Palatino Linotype" w:cs="Tahoma"/>
          <w:bCs/>
          <w:sz w:val="22"/>
          <w:szCs w:val="22"/>
          <w:lang w:val="es-ES" w:eastAsia="es-ES"/>
        </w:rPr>
      </w:pPr>
    </w:p>
    <w:p w:rsidRPr="00ED5C85" w:rsidR="00D1214A" w:rsidP="00710DA7" w:rsidRDefault="00D1214A" w14:paraId="17DBA61A" w14:textId="77777777">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t>Por ser de previo y especial pronunciamiento, este Instituto analiza si se actualiza alguna causal de sobreseimiento.</w:t>
      </w:r>
    </w:p>
    <w:p w:rsidRPr="00ED5C85" w:rsidR="00D1214A" w:rsidP="00710DA7" w:rsidRDefault="00D1214A" w14:paraId="607FE7E5" w14:textId="77777777">
      <w:pPr>
        <w:spacing w:line="360" w:lineRule="auto"/>
        <w:jc w:val="both"/>
        <w:rPr>
          <w:rFonts w:ascii="Palatino Linotype" w:hAnsi="Palatino Linotype" w:cs="Tahoma"/>
          <w:sz w:val="22"/>
          <w:lang w:eastAsia="es-ES"/>
        </w:rPr>
      </w:pPr>
    </w:p>
    <w:p w:rsidRPr="00ED5C85" w:rsidR="00D1214A" w:rsidP="00710DA7" w:rsidRDefault="00D1214A" w14:paraId="25F01BBA" w14:textId="77777777">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ED5C85" w:rsidR="00D1214A" w:rsidP="00710DA7" w:rsidRDefault="00D1214A" w14:paraId="076478C1" w14:textId="77777777">
      <w:pPr>
        <w:spacing w:line="360" w:lineRule="auto"/>
        <w:jc w:val="both"/>
        <w:rPr>
          <w:rFonts w:ascii="Palatino Linotype" w:hAnsi="Palatino Linotype" w:cs="Tahoma"/>
          <w:sz w:val="22"/>
          <w:lang w:eastAsia="es-ES"/>
        </w:rPr>
      </w:pPr>
    </w:p>
    <w:p w:rsidRPr="00ED5C85" w:rsidR="00D1214A" w:rsidP="00710DA7" w:rsidRDefault="00D1214A" w14:paraId="347930D9" w14:textId="77777777">
      <w:pPr>
        <w:spacing w:line="360" w:lineRule="auto"/>
        <w:jc w:val="both"/>
        <w:rPr>
          <w:rFonts w:ascii="Palatino Linotype" w:hAnsi="Palatino Linotype" w:cs="Tahoma"/>
          <w:sz w:val="22"/>
          <w:lang w:val="es-ES" w:eastAsia="es-ES"/>
        </w:rPr>
      </w:pPr>
      <w:r w:rsidRPr="00ED5C85">
        <w:rPr>
          <w:rFonts w:ascii="Palatino Linotype" w:hAnsi="Palatino Linotype" w:cs="Tahoma"/>
          <w:bCs/>
          <w:sz w:val="22"/>
          <w:lang w:val="es-ES" w:eastAsia="es-ES"/>
        </w:rPr>
        <w:t xml:space="preserve">Por tales motivos, </w:t>
      </w:r>
      <w:r w:rsidRPr="00ED5C85">
        <w:rPr>
          <w:rFonts w:ascii="Palatino Linotype" w:hAnsi="Palatino Linotype" w:cs="Tahoma"/>
          <w:sz w:val="22"/>
          <w:lang w:val="es-ES" w:eastAsia="es-ES"/>
        </w:rPr>
        <w:t>se considera procedente entrar al fondo del presente asunto.</w:t>
      </w:r>
    </w:p>
    <w:p w:rsidRPr="00ED5C85" w:rsidR="00D1214A" w:rsidP="00710DA7" w:rsidRDefault="00D1214A" w14:paraId="2853B92B" w14:textId="77777777">
      <w:pPr>
        <w:spacing w:line="360" w:lineRule="auto"/>
        <w:jc w:val="both"/>
        <w:rPr>
          <w:rFonts w:ascii="Palatino Linotype" w:hAnsi="Palatino Linotype" w:eastAsiaTheme="minorHAnsi" w:cstheme="minorBidi"/>
          <w:color w:val="000000" w:themeColor="text1"/>
          <w:sz w:val="22"/>
          <w:szCs w:val="22"/>
          <w:lang w:eastAsia="en-US"/>
        </w:rPr>
      </w:pPr>
    </w:p>
    <w:p w:rsidR="00A34D3C" w:rsidP="00710DA7" w:rsidRDefault="00765DE0" w14:paraId="049BB654" w14:textId="286DE13F">
      <w:pPr>
        <w:spacing w:line="360" w:lineRule="auto"/>
        <w:jc w:val="both"/>
        <w:rPr>
          <w:rFonts w:ascii="Palatino Linotype" w:hAnsi="Palatino Linotype" w:cs="Tahoma"/>
          <w:b/>
          <w:bCs/>
          <w:iCs/>
          <w:sz w:val="22"/>
          <w:szCs w:val="22"/>
          <w:lang w:val="es-ES" w:eastAsia="es-ES"/>
        </w:rPr>
      </w:pPr>
      <w:r>
        <w:rPr>
          <w:rFonts w:ascii="Palatino Linotype" w:hAnsi="Palatino Linotype" w:cs="Tahoma"/>
          <w:b/>
          <w:bCs/>
          <w:iCs/>
          <w:sz w:val="22"/>
          <w:szCs w:val="22"/>
          <w:lang w:val="es-ES" w:eastAsia="es-ES"/>
        </w:rPr>
        <w:t>CUARTA</w:t>
      </w:r>
      <w:r w:rsidRPr="00ED5C85" w:rsidR="00D1214A">
        <w:rPr>
          <w:rFonts w:ascii="Palatino Linotype" w:hAnsi="Palatino Linotype" w:cs="Tahoma"/>
          <w:b/>
          <w:bCs/>
          <w:iCs/>
          <w:sz w:val="22"/>
          <w:szCs w:val="22"/>
          <w:lang w:val="es-ES" w:eastAsia="es-ES"/>
        </w:rPr>
        <w:t xml:space="preserve">. Determinación de la Controversia. </w:t>
      </w:r>
    </w:p>
    <w:p w:rsidRPr="00710DA7" w:rsidR="00BC0754" w:rsidP="00710DA7" w:rsidRDefault="00BC0754" w14:paraId="16F669CC" w14:textId="77777777">
      <w:pPr>
        <w:spacing w:line="360" w:lineRule="auto"/>
        <w:jc w:val="both"/>
        <w:rPr>
          <w:rFonts w:ascii="Palatino Linotype" w:hAnsi="Palatino Linotype" w:cs="Tahoma"/>
          <w:b/>
          <w:bCs/>
          <w:iCs/>
          <w:sz w:val="22"/>
          <w:szCs w:val="22"/>
          <w:lang w:val="es-ES" w:eastAsia="es-ES"/>
        </w:rPr>
      </w:pPr>
    </w:p>
    <w:p w:rsidRPr="00ED5C85" w:rsidR="00BB1B1C" w:rsidP="00710DA7" w:rsidRDefault="00E46946" w14:paraId="7CAD8F14" w14:textId="4229E9A0">
      <w:pPr>
        <w:spacing w:line="360" w:lineRule="auto"/>
        <w:jc w:val="both"/>
        <w:rPr>
          <w:rFonts w:ascii="Palatino Linotype" w:hAnsi="Palatino Linotype" w:eastAsia="Calibri" w:cs="Tahoma"/>
          <w:color w:val="000000"/>
          <w:sz w:val="22"/>
        </w:rPr>
      </w:pPr>
      <w:r w:rsidRPr="00ED5C85">
        <w:rPr>
          <w:rFonts w:ascii="Palatino Linotype" w:hAnsi="Palatino Linotype" w:cs="Tahoma"/>
          <w:bCs/>
          <w:sz w:val="22"/>
          <w:szCs w:val="22"/>
          <w:lang w:val="es-ES" w:eastAsia="es-ES"/>
        </w:rPr>
        <w:t>Una vez realizado el estudio de las constancias que obran en el expediente electrónico en el que se actúa, se advierte que el Solicitante requirió</w:t>
      </w:r>
      <w:r w:rsidRPr="00ED5C85">
        <w:rPr>
          <w:rFonts w:ascii="Palatino Linotype" w:hAnsi="Palatino Linotype" w:cs="Tahoma"/>
          <w:iCs/>
          <w:sz w:val="22"/>
          <w:lang w:eastAsia="es-ES"/>
        </w:rPr>
        <w:t xml:space="preserve"> l</w:t>
      </w:r>
      <w:r w:rsidR="00765DE0">
        <w:rPr>
          <w:rFonts w:ascii="Palatino Linotype" w:hAnsi="Palatino Linotype" w:cs="Tahoma"/>
          <w:iCs/>
          <w:sz w:val="22"/>
          <w:lang w:eastAsia="es-ES"/>
        </w:rPr>
        <w:t xml:space="preserve">os contratos por honorarios del Ayuntamiento y del Sistema Municipal de Desarrollo Integral Para la Familia </w:t>
      </w:r>
      <w:r w:rsidR="00166DBA">
        <w:rPr>
          <w:rFonts w:ascii="Palatino Linotype" w:hAnsi="Palatino Linotype" w:cs="Tahoma"/>
          <w:iCs/>
          <w:sz w:val="22"/>
          <w:lang w:eastAsia="es-ES"/>
        </w:rPr>
        <w:t xml:space="preserve">de la actual </w:t>
      </w:r>
      <w:r w:rsidR="00765DE0">
        <w:rPr>
          <w:rFonts w:ascii="Palatino Linotype" w:hAnsi="Palatino Linotype" w:cs="Tahoma"/>
          <w:iCs/>
          <w:sz w:val="22"/>
          <w:lang w:eastAsia="es-ES"/>
        </w:rPr>
        <w:t>administraci</w:t>
      </w:r>
      <w:r w:rsidR="00166DBA">
        <w:rPr>
          <w:rFonts w:ascii="Palatino Linotype" w:hAnsi="Palatino Linotype" w:cs="Tahoma"/>
          <w:iCs/>
          <w:sz w:val="22"/>
          <w:lang w:eastAsia="es-ES"/>
        </w:rPr>
        <w:t xml:space="preserve">ón. </w:t>
      </w:r>
    </w:p>
    <w:p w:rsidRPr="00ED5C85" w:rsidR="00BB1B1C" w:rsidP="00710DA7" w:rsidRDefault="00BB1B1C" w14:paraId="60599C25" w14:textId="77777777">
      <w:pPr>
        <w:spacing w:line="360" w:lineRule="auto"/>
        <w:jc w:val="both"/>
        <w:rPr>
          <w:rFonts w:ascii="Palatino Linotype" w:hAnsi="Palatino Linotype" w:eastAsia="Calibri" w:cs="Tahoma"/>
          <w:color w:val="000000"/>
          <w:sz w:val="22"/>
        </w:rPr>
      </w:pPr>
    </w:p>
    <w:p w:rsidR="006D7A8C" w:rsidP="00710DA7" w:rsidRDefault="00BC4291" w14:paraId="537E23F8" w14:textId="6D16390A">
      <w:pPr>
        <w:spacing w:line="360" w:lineRule="auto"/>
        <w:jc w:val="both"/>
        <w:rPr>
          <w:rFonts w:ascii="Palatino Linotype" w:hAnsi="Palatino Linotype" w:eastAsia="Calibri" w:cs="Tahoma"/>
          <w:color w:val="000000"/>
          <w:sz w:val="22"/>
          <w:lang w:val="es-ES"/>
        </w:rPr>
      </w:pPr>
      <w:r w:rsidRPr="00ED5C85">
        <w:rPr>
          <w:rFonts w:ascii="Palatino Linotype" w:hAnsi="Palatino Linotype" w:eastAsia="Calibri" w:cs="Tahoma"/>
          <w:color w:val="000000"/>
          <w:sz w:val="22"/>
        </w:rPr>
        <w:t xml:space="preserve">En respuesta, </w:t>
      </w:r>
      <w:r w:rsidRPr="00ED5C85" w:rsidR="00B77178">
        <w:rPr>
          <w:rFonts w:ascii="Palatino Linotype" w:hAnsi="Palatino Linotype" w:eastAsia="Calibri" w:cs="Tahoma"/>
          <w:color w:val="000000"/>
          <w:sz w:val="22"/>
        </w:rPr>
        <w:t>el Ente Recurrid</w:t>
      </w:r>
      <w:r w:rsidRPr="00ED5C85" w:rsidR="00563892">
        <w:rPr>
          <w:rFonts w:ascii="Palatino Linotype" w:hAnsi="Palatino Linotype" w:eastAsia="Calibri" w:cs="Tahoma"/>
          <w:color w:val="000000"/>
          <w:sz w:val="22"/>
        </w:rPr>
        <w:t>o</w:t>
      </w:r>
      <w:r w:rsidR="005820CD">
        <w:rPr>
          <w:rFonts w:ascii="Palatino Linotype" w:hAnsi="Palatino Linotype" w:eastAsia="Calibri" w:cs="Tahoma"/>
          <w:color w:val="000000"/>
          <w:sz w:val="22"/>
        </w:rPr>
        <w:t xml:space="preserve"> </w:t>
      </w:r>
      <w:r w:rsidR="00600A57">
        <w:rPr>
          <w:rFonts w:ascii="Palatino Linotype" w:hAnsi="Palatino Linotype" w:eastAsia="Calibri" w:cs="Tahoma"/>
          <w:color w:val="000000"/>
          <w:sz w:val="22"/>
        </w:rPr>
        <w:t xml:space="preserve">informó </w:t>
      </w:r>
      <w:r w:rsidR="00166DBA">
        <w:rPr>
          <w:rFonts w:ascii="Palatino Linotype" w:hAnsi="Palatino Linotype" w:eastAsia="Calibri" w:cs="Tahoma"/>
          <w:color w:val="000000"/>
          <w:sz w:val="22"/>
        </w:rPr>
        <w:t>que</w:t>
      </w:r>
      <w:r w:rsidR="005820CD">
        <w:rPr>
          <w:rFonts w:ascii="Palatino Linotype" w:hAnsi="Palatino Linotype" w:eastAsia="Calibri" w:cs="Tahoma"/>
          <w:color w:val="000000"/>
          <w:sz w:val="22"/>
        </w:rPr>
        <w:t xml:space="preserve"> todas las contrataciones de servicios profesionales por honorarios, realizadas por el Ayuntamiento, el </w:t>
      </w:r>
      <w:r w:rsidR="005820CD">
        <w:rPr>
          <w:rFonts w:ascii="Palatino Linotype" w:hAnsi="Palatino Linotype" w:cs="Tahoma"/>
          <w:iCs/>
          <w:sz w:val="22"/>
          <w:lang w:eastAsia="es-ES"/>
        </w:rPr>
        <w:t xml:space="preserve">Sistema Municipal de Desarrollo Integral Para la Familia y el </w:t>
      </w:r>
      <w:r w:rsidRPr="005820CD" w:rsidR="005820CD">
        <w:rPr>
          <w:rFonts w:ascii="Palatino Linotype" w:hAnsi="Palatino Linotype" w:cs="Tahoma"/>
          <w:iCs/>
          <w:sz w:val="22"/>
          <w:lang w:eastAsia="es-ES"/>
        </w:rPr>
        <w:t>Organismo Descentralizado de para la Prestación de Servicios de Agua Potable, Alcantarillado y Saneamiento</w:t>
      </w:r>
      <w:r w:rsidR="009A40F7">
        <w:rPr>
          <w:rFonts w:ascii="Palatino Linotype" w:hAnsi="Palatino Linotype" w:cs="Tahoma"/>
          <w:iCs/>
          <w:sz w:val="22"/>
          <w:lang w:eastAsia="es-ES"/>
        </w:rPr>
        <w:t xml:space="preserve">, se localizaban en la página </w:t>
      </w:r>
      <w:hyperlink w:history="1" r:id="rId9">
        <w:r w:rsidRPr="00F77B82" w:rsidR="00166DBA">
          <w:rPr>
            <w:rStyle w:val="Hipervnculo"/>
            <w:rFonts w:ascii="Palatino Linotype" w:hAnsi="Palatino Linotype"/>
            <w:i/>
            <w:iCs/>
            <w:noProof/>
            <w:sz w:val="20"/>
            <w:szCs w:val="20"/>
          </w:rPr>
          <w:t>www.ipomex.org.mx/ipo3/lgt/indice/tequixquiac.web</w:t>
        </w:r>
      </w:hyperlink>
      <w:r w:rsidR="009A40F7">
        <w:rPr>
          <w:rFonts w:ascii="Palatino Linotype" w:hAnsi="Palatino Linotype" w:eastAsia="Calibri" w:cs="Tahoma"/>
          <w:color w:val="000000"/>
          <w:sz w:val="22"/>
        </w:rPr>
        <w:t>, en la fracción XI;</w:t>
      </w:r>
      <w:r w:rsidR="00A10E56">
        <w:rPr>
          <w:rFonts w:ascii="Palatino Linotype" w:hAnsi="Palatino Linotype" w:eastAsia="Calibri" w:cs="Tahoma"/>
          <w:color w:val="000000"/>
          <w:sz w:val="22"/>
        </w:rPr>
        <w:t xml:space="preserve"> a</w:t>
      </w:r>
      <w:r w:rsidR="00765DE0">
        <w:rPr>
          <w:rFonts w:ascii="Palatino Linotype" w:hAnsi="Palatino Linotype" w:eastAsia="Calibri" w:cs="Tahoma"/>
          <w:color w:val="000000"/>
          <w:sz w:val="22"/>
        </w:rPr>
        <w:t>nte dicha circu</w:t>
      </w:r>
      <w:r w:rsidRPr="00A10E56" w:rsidR="00A10E56">
        <w:rPr>
          <w:rFonts w:ascii="Palatino Linotype" w:hAnsi="Palatino Linotype" w:eastAsia="Calibri" w:cs="Tahoma"/>
          <w:color w:val="000000"/>
          <w:sz w:val="22"/>
        </w:rPr>
        <w:t xml:space="preserve">nstancia, la parte Recurrente se inconformó </w:t>
      </w:r>
      <w:r w:rsidR="00A10E56">
        <w:rPr>
          <w:rFonts w:ascii="Palatino Linotype" w:hAnsi="Palatino Linotype" w:eastAsia="Calibri" w:cs="Tahoma"/>
          <w:color w:val="000000"/>
          <w:sz w:val="22"/>
        </w:rPr>
        <w:t>con</w:t>
      </w:r>
      <w:r w:rsidRPr="00A10E56" w:rsidR="00A10E56">
        <w:rPr>
          <w:rFonts w:ascii="Palatino Linotype" w:hAnsi="Palatino Linotype" w:eastAsia="Calibri" w:cs="Tahoma"/>
          <w:color w:val="000000"/>
          <w:sz w:val="22"/>
        </w:rPr>
        <w:t xml:space="preserve"> la entrega de información que no corresponde con lo solicitado, </w:t>
      </w:r>
      <w:r w:rsidR="002F4F6F">
        <w:rPr>
          <w:rFonts w:ascii="Palatino Linotype" w:hAnsi="Palatino Linotype" w:eastAsia="Calibri" w:cs="Tahoma"/>
          <w:color w:val="000000"/>
          <w:sz w:val="22"/>
        </w:rPr>
        <w:t xml:space="preserve">al señalar que no </w:t>
      </w:r>
      <w:r w:rsidR="00166DBA">
        <w:rPr>
          <w:rFonts w:ascii="Palatino Linotype" w:hAnsi="Palatino Linotype" w:eastAsia="Calibri" w:cs="Tahoma"/>
          <w:color w:val="000000"/>
          <w:sz w:val="22"/>
        </w:rPr>
        <w:t>había recibido la información solicitada</w:t>
      </w:r>
      <w:r w:rsidR="002F4F6F">
        <w:rPr>
          <w:rFonts w:ascii="Palatino Linotype" w:hAnsi="Palatino Linotype" w:eastAsia="Calibri" w:cs="Tahoma"/>
          <w:color w:val="000000"/>
          <w:sz w:val="22"/>
        </w:rPr>
        <w:t xml:space="preserve">, lo cual actualiza la causal de procedencia establecida en el artículo 179, fracción VI, de la Ley de Transparencia y Acceso a la Información Pública del Estado de México y Municipios. </w:t>
      </w:r>
      <w:r w:rsidRPr="00A10E56" w:rsidR="00A10E56">
        <w:rPr>
          <w:rFonts w:ascii="Palatino Linotype" w:hAnsi="Palatino Linotype" w:eastAsia="Calibri" w:cs="Tahoma"/>
          <w:color w:val="000000"/>
          <w:sz w:val="22"/>
          <w:lang w:val="es-ES"/>
        </w:rPr>
        <w:t xml:space="preserve">Así las cosas, una vez admitido y notificado los Recursos de Revisión a las partes, el Sujeto Obligado </w:t>
      </w:r>
      <w:r w:rsidR="00166DBA">
        <w:rPr>
          <w:rFonts w:ascii="Palatino Linotype" w:hAnsi="Palatino Linotype" w:eastAsia="Calibri" w:cs="Tahoma"/>
          <w:color w:val="000000"/>
          <w:sz w:val="22"/>
          <w:lang w:val="es-ES"/>
        </w:rPr>
        <w:t>no rindió su informe justificado</w:t>
      </w:r>
      <w:r w:rsidR="002F4F6F">
        <w:rPr>
          <w:rFonts w:ascii="Palatino Linotype" w:hAnsi="Palatino Linotype" w:eastAsia="Calibri" w:cs="Tahoma"/>
          <w:color w:val="000000"/>
          <w:sz w:val="22"/>
          <w:lang w:val="es-ES"/>
        </w:rPr>
        <w:t>.</w:t>
      </w:r>
    </w:p>
    <w:p w:rsidRPr="00ED5C85" w:rsidR="002F4F6F" w:rsidP="00710DA7" w:rsidRDefault="002F4F6F" w14:paraId="0B831223" w14:textId="77777777">
      <w:pPr>
        <w:spacing w:line="360" w:lineRule="auto"/>
        <w:jc w:val="both"/>
        <w:rPr>
          <w:rFonts w:ascii="Palatino Linotype" w:hAnsi="Palatino Linotype" w:eastAsia="Calibri" w:cs="Tahoma"/>
          <w:bCs/>
          <w:iCs/>
          <w:color w:val="000000"/>
          <w:sz w:val="22"/>
        </w:rPr>
      </w:pPr>
    </w:p>
    <w:p w:rsidRPr="00ED5C85" w:rsidR="00151013" w:rsidP="00710DA7" w:rsidRDefault="00151013" w14:paraId="1C7BBB1F" w14:textId="6629C804">
      <w:pPr>
        <w:spacing w:line="360" w:lineRule="auto"/>
        <w:jc w:val="both"/>
        <w:rPr>
          <w:rFonts w:ascii="Palatino Linotype" w:hAnsi="Palatino Linotype" w:eastAsia="Calibri" w:cs="Tahoma"/>
          <w:bCs/>
          <w:iCs/>
          <w:color w:val="000000"/>
          <w:sz w:val="22"/>
        </w:rPr>
      </w:pPr>
      <w:r w:rsidRPr="00ED5C85">
        <w:rPr>
          <w:rFonts w:ascii="Palatino Linotype" w:hAnsi="Palatino Linotype" w:eastAsia="Calibri" w:cs="Tahoma"/>
          <w:bCs/>
          <w:iCs/>
          <w:color w:val="000000"/>
          <w:sz w:val="22"/>
        </w:rPr>
        <w:t>Lo anterior, se desprende de las documentales que obran en el expediente de referencia, materia de la presente resolución, consistente en</w:t>
      </w:r>
      <w:r w:rsidR="00B62280">
        <w:rPr>
          <w:rFonts w:ascii="Palatino Linotype" w:hAnsi="Palatino Linotype" w:eastAsia="Calibri" w:cs="Tahoma"/>
          <w:bCs/>
          <w:iCs/>
          <w:color w:val="000000"/>
          <w:sz w:val="22"/>
        </w:rPr>
        <w:t xml:space="preserve"> </w:t>
      </w:r>
      <w:r w:rsidRPr="00ED5C85">
        <w:rPr>
          <w:rFonts w:ascii="Palatino Linotype" w:hAnsi="Palatino Linotype" w:eastAsia="Calibri" w:cs="Tahoma"/>
          <w:bCs/>
          <w:iCs/>
          <w:color w:val="000000"/>
          <w:sz w:val="22"/>
        </w:rPr>
        <w:t xml:space="preserve"> la solicitud de acceso a la información; la</w:t>
      </w:r>
      <w:r w:rsidRPr="00ED5C85" w:rsidR="002304C4">
        <w:rPr>
          <w:rFonts w:ascii="Palatino Linotype" w:hAnsi="Palatino Linotype" w:eastAsia="Calibri" w:cs="Tahoma"/>
          <w:bCs/>
          <w:iCs/>
          <w:color w:val="000000"/>
          <w:sz w:val="22"/>
        </w:rPr>
        <w:t xml:space="preserve"> </w:t>
      </w:r>
      <w:r w:rsidRPr="00ED5C85">
        <w:rPr>
          <w:rFonts w:ascii="Palatino Linotype" w:hAnsi="Palatino Linotype" w:eastAsia="Calibri" w:cs="Tahoma"/>
          <w:bCs/>
          <w:iCs/>
          <w:color w:val="000000"/>
          <w:sz w:val="22"/>
        </w:rPr>
        <w:t xml:space="preserve">respuesta proporcionada; </w:t>
      </w:r>
      <w:r w:rsidRPr="00ED5C85" w:rsidR="002304C4">
        <w:rPr>
          <w:rFonts w:ascii="Palatino Linotype" w:hAnsi="Palatino Linotype" w:eastAsia="Calibri" w:cs="Tahoma"/>
          <w:bCs/>
          <w:iCs/>
          <w:color w:val="000000"/>
          <w:sz w:val="22"/>
        </w:rPr>
        <w:t>el</w:t>
      </w:r>
      <w:r w:rsidRPr="00ED5C85">
        <w:rPr>
          <w:rFonts w:ascii="Palatino Linotype" w:hAnsi="Palatino Linotype" w:eastAsia="Calibri" w:cs="Tahoma"/>
          <w:bCs/>
          <w:iCs/>
          <w:color w:val="000000"/>
          <w:sz w:val="22"/>
        </w:rPr>
        <w:t xml:space="preserve"> escrito </w:t>
      </w:r>
      <w:proofErr w:type="spellStart"/>
      <w:r w:rsidRPr="00ED5C85">
        <w:rPr>
          <w:rFonts w:ascii="Palatino Linotype" w:hAnsi="Palatino Linotype" w:eastAsia="Calibri" w:cs="Tahoma"/>
          <w:bCs/>
          <w:iCs/>
          <w:color w:val="000000"/>
          <w:sz w:val="22"/>
        </w:rPr>
        <w:t>recursal</w:t>
      </w:r>
      <w:proofErr w:type="spellEnd"/>
      <w:r w:rsidRPr="00ED5C85" w:rsidR="002304C4">
        <w:rPr>
          <w:rFonts w:ascii="Palatino Linotype" w:hAnsi="Palatino Linotype" w:eastAsia="Calibri" w:cs="Tahoma"/>
          <w:bCs/>
          <w:iCs/>
          <w:color w:val="000000"/>
          <w:sz w:val="22"/>
        </w:rPr>
        <w:t xml:space="preserve"> </w:t>
      </w:r>
      <w:r w:rsidRPr="00ED5C85">
        <w:rPr>
          <w:rFonts w:ascii="Palatino Linotype" w:hAnsi="Palatino Linotype" w:eastAsia="Calibri" w:cs="Tahoma"/>
          <w:bCs/>
          <w:iCs/>
          <w:color w:val="000000"/>
          <w:sz w:val="22"/>
        </w:rPr>
        <w:t xml:space="preserve">y </w:t>
      </w:r>
      <w:r w:rsidRPr="00ED5C85" w:rsidR="002304C4">
        <w:rPr>
          <w:rFonts w:ascii="Palatino Linotype" w:hAnsi="Palatino Linotype" w:eastAsia="Calibri" w:cs="Tahoma"/>
          <w:bCs/>
          <w:iCs/>
          <w:color w:val="000000"/>
          <w:sz w:val="22"/>
        </w:rPr>
        <w:t>el</w:t>
      </w:r>
      <w:r w:rsidRPr="00ED5C85">
        <w:rPr>
          <w:rFonts w:ascii="Palatino Linotype" w:hAnsi="Palatino Linotype" w:eastAsia="Calibri" w:cs="Tahoma"/>
          <w:bCs/>
          <w:iCs/>
          <w:color w:val="000000"/>
          <w:sz w:val="22"/>
        </w:rPr>
        <w:t xml:space="preserve">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Pr="00ED5C85" w:rsidR="00F50462" w:rsidP="00710DA7" w:rsidRDefault="00F50462" w14:paraId="2AAF72E7" w14:textId="77777777">
      <w:pPr>
        <w:spacing w:line="360" w:lineRule="auto"/>
        <w:jc w:val="both"/>
        <w:rPr>
          <w:rFonts w:ascii="Palatino Linotype" w:hAnsi="Palatino Linotype" w:eastAsia="Calibri" w:cs="Tahoma"/>
          <w:color w:val="000000"/>
          <w:sz w:val="22"/>
        </w:rPr>
      </w:pPr>
    </w:p>
    <w:p w:rsidRPr="00ED5C85" w:rsidR="00EB7ECA" w:rsidP="00710DA7" w:rsidRDefault="00EB7ECA" w14:paraId="55796DA5" w14:textId="77777777">
      <w:pPr>
        <w:spacing w:line="360" w:lineRule="auto"/>
        <w:jc w:val="both"/>
        <w:rPr>
          <w:rFonts w:ascii="Palatino Linotype" w:hAnsi="Palatino Linotype" w:cs="Tahoma"/>
          <w:b/>
          <w:sz w:val="22"/>
          <w:szCs w:val="22"/>
        </w:rPr>
      </w:pPr>
      <w:r w:rsidRPr="00ED5C85">
        <w:rPr>
          <w:rFonts w:ascii="Palatino Linotype" w:hAnsi="Palatino Linotype" w:cs="Tahoma"/>
          <w:b/>
          <w:sz w:val="22"/>
          <w:szCs w:val="22"/>
          <w:lang w:val="es-ES"/>
        </w:rPr>
        <w:t xml:space="preserve">CUARTO. </w:t>
      </w:r>
      <w:r w:rsidRPr="00ED5C85">
        <w:rPr>
          <w:rFonts w:ascii="Palatino Linotype" w:hAnsi="Palatino Linotype" w:cs="Tahoma"/>
          <w:b/>
          <w:sz w:val="22"/>
          <w:szCs w:val="22"/>
        </w:rPr>
        <w:t>Marco normativo aplicable en materia de transparencia y acceso a la información pública.</w:t>
      </w:r>
    </w:p>
    <w:p w:rsidRPr="00ED5C85" w:rsidR="00EB7ECA" w:rsidP="00710DA7" w:rsidRDefault="00EB7ECA" w14:paraId="2E70303B" w14:textId="77777777">
      <w:pPr>
        <w:spacing w:line="360" w:lineRule="auto"/>
        <w:jc w:val="both"/>
        <w:rPr>
          <w:rFonts w:ascii="Palatino Linotype" w:hAnsi="Palatino Linotype" w:cs="Tahoma"/>
          <w:b/>
          <w:sz w:val="22"/>
          <w:szCs w:val="22"/>
        </w:rPr>
      </w:pPr>
    </w:p>
    <w:p w:rsidRPr="00ED5C85" w:rsidR="00EB7ECA" w:rsidP="00710DA7" w:rsidRDefault="00EB7ECA" w14:paraId="20F70062"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D5C85" w:rsidR="00EB7ECA" w:rsidP="00710DA7" w:rsidRDefault="00EB7ECA" w14:paraId="3ED664E0" w14:textId="77777777">
      <w:pPr>
        <w:spacing w:line="360" w:lineRule="auto"/>
        <w:jc w:val="both"/>
        <w:rPr>
          <w:rFonts w:ascii="Palatino Linotype" w:hAnsi="Palatino Linotype" w:cs="Tahoma"/>
          <w:sz w:val="22"/>
          <w:szCs w:val="22"/>
        </w:rPr>
      </w:pPr>
    </w:p>
    <w:p w:rsidRPr="00ED5C85" w:rsidR="00EB7ECA" w:rsidP="00710DA7" w:rsidRDefault="00EB7ECA" w14:paraId="41E8C4D5"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D5C85" w:rsidR="00EB7ECA" w:rsidP="00710DA7" w:rsidRDefault="00EB7ECA" w14:paraId="19D408F5" w14:textId="77777777">
      <w:pPr>
        <w:spacing w:line="360" w:lineRule="auto"/>
        <w:jc w:val="both"/>
        <w:rPr>
          <w:rFonts w:ascii="Palatino Linotype" w:hAnsi="Palatino Linotype" w:cs="Tahoma"/>
          <w:sz w:val="22"/>
          <w:szCs w:val="22"/>
        </w:rPr>
      </w:pPr>
    </w:p>
    <w:p w:rsidRPr="00ED5C85" w:rsidR="00EB7ECA" w:rsidP="00710DA7" w:rsidRDefault="00EB7ECA" w14:paraId="76684FDB"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D5C85" w:rsidR="00EB7ECA" w:rsidP="00710DA7" w:rsidRDefault="00EB7ECA" w14:paraId="1ACC6EE2" w14:textId="77777777">
      <w:pPr>
        <w:spacing w:line="360" w:lineRule="auto"/>
        <w:jc w:val="both"/>
        <w:rPr>
          <w:rFonts w:ascii="Palatino Linotype" w:hAnsi="Palatino Linotype" w:cs="Tahoma"/>
          <w:sz w:val="22"/>
          <w:szCs w:val="22"/>
        </w:rPr>
      </w:pPr>
    </w:p>
    <w:p w:rsidRPr="00ED5C85" w:rsidR="00EB7ECA" w:rsidP="00710DA7" w:rsidRDefault="00EB7ECA" w14:paraId="2FC6A45A"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ED5C85" w:rsidR="00EB7ECA" w:rsidP="00710DA7" w:rsidRDefault="00EB7ECA" w14:paraId="729BD8C6" w14:textId="77777777">
      <w:pPr>
        <w:spacing w:line="360" w:lineRule="auto"/>
        <w:jc w:val="both"/>
        <w:rPr>
          <w:rFonts w:ascii="Palatino Linotype" w:hAnsi="Palatino Linotype" w:cs="Tahoma"/>
          <w:sz w:val="22"/>
          <w:szCs w:val="22"/>
        </w:rPr>
      </w:pPr>
    </w:p>
    <w:p w:rsidRPr="00ED5C85" w:rsidR="00EB7ECA" w:rsidP="00710DA7" w:rsidRDefault="00EB7ECA" w14:paraId="5FD81A17"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12, que, quienes generen, recopilen, administren, manejen, procesen, archiven o conserven información pública serán responsables de la misma.</w:t>
      </w:r>
    </w:p>
    <w:p w:rsidRPr="00ED5C85" w:rsidR="00EB7ECA" w:rsidP="00710DA7" w:rsidRDefault="00EB7ECA" w14:paraId="006DCF6F" w14:textId="77777777">
      <w:pPr>
        <w:spacing w:line="360" w:lineRule="auto"/>
        <w:jc w:val="both"/>
        <w:rPr>
          <w:rFonts w:ascii="Palatino Linotype" w:hAnsi="Palatino Linotype" w:cs="Tahoma"/>
          <w:sz w:val="22"/>
          <w:szCs w:val="22"/>
        </w:rPr>
      </w:pPr>
    </w:p>
    <w:p w:rsidRPr="00ED5C85" w:rsidR="00EB7ECA" w:rsidP="00710DA7" w:rsidRDefault="00EB7ECA" w14:paraId="0FBB7818"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D5C85" w:rsidR="00EB7ECA" w:rsidP="00710DA7" w:rsidRDefault="00EB7ECA" w14:paraId="25FAEEFD" w14:textId="77777777">
      <w:pPr>
        <w:spacing w:line="360" w:lineRule="auto"/>
        <w:jc w:val="both"/>
        <w:rPr>
          <w:rFonts w:ascii="Palatino Linotype" w:hAnsi="Palatino Linotype" w:cs="Tahoma"/>
          <w:sz w:val="22"/>
          <w:szCs w:val="22"/>
        </w:rPr>
      </w:pPr>
    </w:p>
    <w:p w:rsidRPr="00ED5C85" w:rsidR="00EB7ECA" w:rsidP="00710DA7" w:rsidRDefault="00EB7ECA" w14:paraId="26AF1CB7" w14:textId="77777777">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D5C85" w:rsidR="00EB7ECA" w:rsidP="00710DA7" w:rsidRDefault="00EB7ECA" w14:paraId="26ED6E8A" w14:textId="77777777">
      <w:pPr>
        <w:spacing w:line="360" w:lineRule="auto"/>
        <w:jc w:val="both"/>
        <w:rPr>
          <w:rFonts w:ascii="Palatino Linotype" w:hAnsi="Palatino Linotype" w:cs="Tahoma"/>
          <w:iCs/>
          <w:sz w:val="22"/>
          <w:szCs w:val="22"/>
          <w:lang w:val="es-ES"/>
        </w:rPr>
      </w:pPr>
      <w:r w:rsidRPr="00ED5C85">
        <w:rPr>
          <w:rFonts w:ascii="Palatino Linotype" w:hAnsi="Palatino Linotype" w:cs="Tahoma"/>
          <w:iCs/>
          <w:sz w:val="22"/>
          <w:szCs w:val="22"/>
          <w:lang w:val="es-ES"/>
        </w:rPr>
        <w:t xml:space="preserve"> </w:t>
      </w:r>
    </w:p>
    <w:p w:rsidRPr="00ED5C85" w:rsidR="00EB7ECA" w:rsidP="00710DA7" w:rsidRDefault="00EB7ECA" w14:paraId="7DB65BFD" w14:textId="4318D153">
      <w:pPr>
        <w:spacing w:line="360" w:lineRule="auto"/>
        <w:jc w:val="both"/>
        <w:rPr>
          <w:rFonts w:ascii="Palatino Linotype" w:hAnsi="Palatino Linotype" w:eastAsia="Calibri" w:cs="Tahoma"/>
          <w:sz w:val="22"/>
          <w:szCs w:val="22"/>
          <w:lang w:val="es-ES" w:eastAsia="es-ES_tradnl"/>
        </w:rPr>
      </w:pPr>
      <w:r w:rsidRPr="00ED5C85">
        <w:rPr>
          <w:rFonts w:ascii="Palatino Linotype" w:hAnsi="Palatino Linotype" w:cs="Tahoma"/>
          <w:sz w:val="22"/>
          <w:szCs w:val="22"/>
        </w:rPr>
        <w:t xml:space="preserve">El artículo 92, fracción </w:t>
      </w:r>
      <w:r w:rsidR="009A40F7">
        <w:rPr>
          <w:rFonts w:ascii="Palatino Linotype" w:hAnsi="Palatino Linotype" w:cs="Tahoma"/>
          <w:sz w:val="22"/>
          <w:szCs w:val="22"/>
        </w:rPr>
        <w:t>XI</w:t>
      </w:r>
      <w:r w:rsidRPr="00ED5C85">
        <w:rPr>
          <w:rFonts w:ascii="Palatino Linotype" w:hAnsi="Palatino Linotype" w:cs="Tahoma"/>
          <w:sz w:val="22"/>
          <w:szCs w:val="22"/>
        </w:rPr>
        <w:t xml:space="preserve">, </w:t>
      </w:r>
      <w:r w:rsidRPr="00ED5C85">
        <w:rPr>
          <w:rFonts w:ascii="Palatino Linotype" w:hAnsi="Palatino Linotype" w:eastAsia="Calibri" w:cs="Tahoma"/>
          <w:sz w:val="22"/>
          <w:szCs w:val="22"/>
          <w:lang w:val="es-ES" w:eastAsia="es-ES_tradnl"/>
        </w:rPr>
        <w:t xml:space="preserve">que, la información sobre </w:t>
      </w:r>
      <w:r w:rsidR="009A40F7">
        <w:rPr>
          <w:rFonts w:ascii="Palatino Linotype" w:hAnsi="Palatino Linotype" w:eastAsia="Calibri" w:cs="Tahoma"/>
          <w:sz w:val="22"/>
          <w:szCs w:val="22"/>
          <w:lang w:val="es-ES" w:eastAsia="es-ES_tradnl"/>
        </w:rPr>
        <w:t>las contrataciones de servicios profesionales por honorarios, se trata de una obligación común de transparencia.</w:t>
      </w:r>
    </w:p>
    <w:p w:rsidRPr="00ED5C85" w:rsidR="00EB7ECA" w:rsidP="00710DA7" w:rsidRDefault="00EB7ECA" w14:paraId="57F3F5C7" w14:textId="77777777">
      <w:pPr>
        <w:spacing w:line="360" w:lineRule="auto"/>
        <w:jc w:val="both"/>
        <w:rPr>
          <w:rFonts w:ascii="Palatino Linotype" w:hAnsi="Palatino Linotype" w:cs="Tahoma"/>
          <w:iCs/>
          <w:sz w:val="22"/>
          <w:szCs w:val="22"/>
          <w:lang w:val="es-ES"/>
        </w:rPr>
      </w:pPr>
    </w:p>
    <w:p w:rsidRPr="00ED5C85" w:rsidR="00EB7ECA" w:rsidP="00710DA7" w:rsidRDefault="00EB7ECA" w14:paraId="4528B513" w14:textId="77777777">
      <w:pPr>
        <w:spacing w:line="360" w:lineRule="auto"/>
        <w:jc w:val="both"/>
        <w:rPr>
          <w:rFonts w:ascii="Palatino Linotype" w:hAnsi="Palatino Linotype" w:cs="Tahoma"/>
          <w:b/>
          <w:sz w:val="22"/>
          <w:szCs w:val="22"/>
          <w:lang w:val="es-ES"/>
        </w:rPr>
      </w:pPr>
      <w:r w:rsidRPr="00ED5C85">
        <w:rPr>
          <w:rFonts w:ascii="Palatino Linotype" w:hAnsi="Palatino Linotype" w:cs="Tahoma"/>
          <w:b/>
          <w:sz w:val="22"/>
          <w:szCs w:val="22"/>
          <w:lang w:val="es-ES"/>
        </w:rPr>
        <w:t>QUINTO. Estudio de Fondo.</w:t>
      </w:r>
    </w:p>
    <w:p w:rsidRPr="00ED5C85" w:rsidR="00EB7ECA" w:rsidP="00710DA7" w:rsidRDefault="00EB7ECA" w14:paraId="45B77551" w14:textId="77777777">
      <w:pPr>
        <w:spacing w:line="360" w:lineRule="auto"/>
        <w:jc w:val="both"/>
        <w:rPr>
          <w:rFonts w:ascii="Palatino Linotype" w:hAnsi="Palatino Linotype" w:cs="Tahoma"/>
          <w:b/>
          <w:sz w:val="22"/>
          <w:szCs w:val="22"/>
          <w:lang w:val="es-ES"/>
        </w:rPr>
      </w:pPr>
    </w:p>
    <w:p w:rsidR="009A40F7" w:rsidP="00710DA7" w:rsidRDefault="00EB7ECA" w14:paraId="048CF961" w14:textId="1D817C5F">
      <w:pPr>
        <w:spacing w:line="360" w:lineRule="auto"/>
        <w:jc w:val="both"/>
        <w:rPr>
          <w:rFonts w:ascii="Palatino Linotype" w:hAnsi="Palatino Linotype" w:eastAsia="Calibri" w:cs="Tahoma"/>
          <w:iCs/>
          <w:sz w:val="22"/>
          <w:szCs w:val="22"/>
          <w:lang w:val="es-ES"/>
        </w:rPr>
      </w:pPr>
      <w:r w:rsidRPr="00ED5C85">
        <w:rPr>
          <w:rFonts w:ascii="Palatino Linotype" w:hAnsi="Palatino Linotype" w:cs="Tahoma"/>
          <w:bCs/>
          <w:iCs/>
          <w:sz w:val="22"/>
          <w:szCs w:val="22"/>
        </w:rPr>
        <w:lastRenderedPageBreak/>
        <w:t xml:space="preserve">En principio, </w:t>
      </w:r>
      <w:r w:rsidR="009A40F7">
        <w:rPr>
          <w:rFonts w:ascii="Palatino Linotype" w:hAnsi="Palatino Linotype" w:cs="Tahoma"/>
          <w:bCs/>
          <w:iCs/>
          <w:sz w:val="22"/>
          <w:szCs w:val="22"/>
        </w:rPr>
        <w:t xml:space="preserve">es necesario señalar </w:t>
      </w:r>
      <w:r w:rsidR="00B5415B">
        <w:rPr>
          <w:rFonts w:ascii="Palatino Linotype" w:hAnsi="Palatino Linotype" w:cs="Tahoma"/>
          <w:bCs/>
          <w:iCs/>
          <w:sz w:val="22"/>
          <w:szCs w:val="22"/>
        </w:rPr>
        <w:t>que la</w:t>
      </w:r>
      <w:r w:rsidR="009A40F7">
        <w:rPr>
          <w:rFonts w:ascii="Palatino Linotype" w:hAnsi="Palatino Linotype" w:cs="Tahoma"/>
          <w:bCs/>
          <w:iCs/>
          <w:sz w:val="22"/>
          <w:szCs w:val="22"/>
        </w:rPr>
        <w:t xml:space="preserve"> pretensión de la</w:t>
      </w:r>
      <w:r w:rsidR="00B5415B">
        <w:rPr>
          <w:rFonts w:ascii="Palatino Linotype" w:hAnsi="Palatino Linotype" w:cs="Tahoma"/>
          <w:bCs/>
          <w:iCs/>
          <w:sz w:val="22"/>
          <w:szCs w:val="22"/>
        </w:rPr>
        <w:t xml:space="preserve"> ahora Recurrente</w:t>
      </w:r>
      <w:r w:rsidRPr="00ED5C85">
        <w:rPr>
          <w:rFonts w:ascii="Palatino Linotype" w:hAnsi="Palatino Linotype" w:cs="Tahoma"/>
          <w:bCs/>
          <w:iCs/>
          <w:sz w:val="22"/>
          <w:szCs w:val="22"/>
        </w:rPr>
        <w:t xml:space="preserve"> </w:t>
      </w:r>
      <w:r w:rsidR="009A40F7">
        <w:rPr>
          <w:rFonts w:ascii="Palatino Linotype" w:hAnsi="Palatino Linotype" w:eastAsia="Calibri" w:cs="Tahoma"/>
          <w:iCs/>
          <w:sz w:val="22"/>
          <w:szCs w:val="22"/>
          <w:lang w:val="es-ES"/>
        </w:rPr>
        <w:t>es obtener los</w:t>
      </w:r>
      <w:r w:rsidR="00B5415B">
        <w:rPr>
          <w:rFonts w:ascii="Palatino Linotype" w:hAnsi="Palatino Linotype" w:cs="Tahoma"/>
          <w:iCs/>
          <w:sz w:val="22"/>
          <w:lang w:eastAsia="es-ES"/>
        </w:rPr>
        <w:t xml:space="preserve"> contratos </w:t>
      </w:r>
      <w:r w:rsidR="009A40F7">
        <w:rPr>
          <w:rFonts w:ascii="Palatino Linotype" w:hAnsi="Palatino Linotype" w:eastAsia="Calibri" w:cs="Tahoma"/>
          <w:color w:val="000000"/>
          <w:sz w:val="22"/>
        </w:rPr>
        <w:t>de servicios profesionales por honorarios</w:t>
      </w:r>
      <w:r w:rsidR="009A40F7">
        <w:rPr>
          <w:rFonts w:ascii="Palatino Linotype" w:hAnsi="Palatino Linotype" w:cs="Tahoma"/>
          <w:iCs/>
          <w:sz w:val="22"/>
          <w:lang w:eastAsia="es-ES"/>
        </w:rPr>
        <w:t xml:space="preserve">, celebrados del primero de enero al doce de junio de dos mil veintidós, por el Ayuntamiento y </w:t>
      </w:r>
      <w:r w:rsidR="00B5415B">
        <w:rPr>
          <w:rFonts w:ascii="Palatino Linotype" w:hAnsi="Palatino Linotype" w:cs="Tahoma"/>
          <w:iCs/>
          <w:sz w:val="22"/>
          <w:lang w:eastAsia="es-ES"/>
        </w:rPr>
        <w:t>el Sistema Municipal de Desarrollo Integral Para la Familia de la actual administración del Municipio de Tequixquiac</w:t>
      </w:r>
      <w:r w:rsidR="009A40F7">
        <w:rPr>
          <w:rFonts w:ascii="Palatino Linotype" w:hAnsi="Palatino Linotype" w:eastAsia="Calibri" w:cs="Tahoma"/>
          <w:iCs/>
          <w:sz w:val="22"/>
          <w:szCs w:val="22"/>
          <w:lang w:val="es-ES"/>
        </w:rPr>
        <w:t>.</w:t>
      </w:r>
    </w:p>
    <w:p w:rsidR="009A40F7" w:rsidP="00710DA7" w:rsidRDefault="009A40F7" w14:paraId="6A62E334" w14:textId="77777777">
      <w:pPr>
        <w:spacing w:line="360" w:lineRule="auto"/>
        <w:jc w:val="both"/>
        <w:rPr>
          <w:rFonts w:ascii="Palatino Linotype" w:hAnsi="Palatino Linotype" w:eastAsia="Calibri" w:cs="Tahoma"/>
          <w:iCs/>
          <w:sz w:val="22"/>
          <w:szCs w:val="22"/>
          <w:lang w:val="es-ES"/>
        </w:rPr>
      </w:pPr>
    </w:p>
    <w:p w:rsidRPr="009A40F7" w:rsidR="009A40F7" w:rsidP="009A40F7" w:rsidRDefault="009A40F7" w14:paraId="0190D961" w14:textId="62F08E4A">
      <w:pPr>
        <w:spacing w:line="360" w:lineRule="auto"/>
        <w:ind w:right="-93"/>
        <w:jc w:val="both"/>
        <w:rPr>
          <w:rFonts w:ascii="Palatino Linotype" w:hAnsi="Palatino Linotype" w:cs="Tahoma"/>
          <w:sz w:val="22"/>
          <w:szCs w:val="22"/>
          <w:lang w:eastAsia="es-ES"/>
        </w:rPr>
      </w:pPr>
      <w:r w:rsidRPr="009A40F7">
        <w:rPr>
          <w:rFonts w:ascii="Palatino Linotype" w:hAnsi="Palatino Linotype" w:eastAsia="Calibri" w:cs="Tahoma"/>
          <w:bCs/>
          <w:sz w:val="22"/>
          <w:szCs w:val="22"/>
          <w:lang w:eastAsia="en-US"/>
        </w:rPr>
        <w:t xml:space="preserve">Ahora bien, en respuesta, el Ente Recurrido, precisó </w:t>
      </w:r>
      <w:r w:rsidR="0099638F">
        <w:rPr>
          <w:rFonts w:ascii="Palatino Linotype" w:hAnsi="Palatino Linotype" w:eastAsia="Calibri" w:cs="Tahoma"/>
          <w:bCs/>
          <w:sz w:val="22"/>
          <w:szCs w:val="22"/>
          <w:lang w:eastAsia="en-US"/>
        </w:rPr>
        <w:t>que después de realizar una búsqueda exhaustiva y razonable en sus archivos,</w:t>
      </w:r>
      <w:r w:rsidRPr="009A40F7">
        <w:rPr>
          <w:rFonts w:ascii="Palatino Linotype" w:hAnsi="Palatino Linotype" w:eastAsia="Calibri" w:cs="Tahoma"/>
          <w:bCs/>
          <w:sz w:val="22"/>
          <w:szCs w:val="22"/>
          <w:lang w:eastAsia="en-US"/>
        </w:rPr>
        <w:t xml:space="preserve"> todos los contratos de servicios profesionales por honorarios, con los que contaba a la fecha de contestación, se localizaban en el Portal de Información Pública de Oficio Mexiquense (IPOMEX); sobre dicho pronunciamiento, cabe señalar que </w:t>
      </w:r>
      <w:r w:rsidRPr="009A40F7">
        <w:rPr>
          <w:rFonts w:ascii="Palatino Linotype" w:hAnsi="Palatino Linotype" w:cs="Tahoma"/>
          <w:sz w:val="22"/>
          <w:szCs w:val="22"/>
          <w:lang w:eastAsia="es-ES"/>
        </w:rPr>
        <w:t>este Instituto, no tiene atribuciones para pronunciarse sobre la veracidad de la información, inclusive de la localizada en el Portal de Información Pública de Oficio Mexiquense; apoya lo anterior, el Criterio histórico 31/10, emitido por el Pleno del entonces Instituto Federal de Acceso a la Información y Protección de Datos, que a continuación se cita:</w:t>
      </w:r>
    </w:p>
    <w:p w:rsidRPr="009A40F7" w:rsidR="009A40F7" w:rsidP="009A40F7" w:rsidRDefault="009A40F7" w14:paraId="2CF00F05" w14:textId="77777777">
      <w:pPr>
        <w:spacing w:line="360" w:lineRule="auto"/>
        <w:jc w:val="both"/>
        <w:rPr>
          <w:rFonts w:ascii="Palatino Linotype" w:hAnsi="Palatino Linotype" w:cs="Tahoma"/>
          <w:sz w:val="22"/>
          <w:szCs w:val="22"/>
          <w:lang w:eastAsia="es-ES"/>
        </w:rPr>
      </w:pPr>
    </w:p>
    <w:p w:rsidRPr="009A40F7" w:rsidR="009A40F7" w:rsidP="009A40F7" w:rsidRDefault="009A40F7" w14:paraId="107CEFD0" w14:textId="77777777">
      <w:pPr>
        <w:spacing w:line="360" w:lineRule="auto"/>
        <w:ind w:left="567" w:right="567"/>
        <w:jc w:val="both"/>
        <w:rPr>
          <w:rFonts w:ascii="Palatino Linotype" w:hAnsi="Palatino Linotype" w:cs="Tahoma"/>
          <w:i/>
          <w:sz w:val="20"/>
          <w:szCs w:val="20"/>
          <w:lang w:eastAsia="es-ES"/>
        </w:rPr>
      </w:pPr>
      <w:r w:rsidRPr="009A40F7">
        <w:rPr>
          <w:rFonts w:ascii="Palatino Linotype" w:hAnsi="Palatino Linotype" w:cs="Tahoma"/>
          <w:b/>
          <w:i/>
          <w:sz w:val="20"/>
          <w:szCs w:val="20"/>
          <w:lang w:eastAsia="es-ES"/>
        </w:rPr>
        <w:t xml:space="preserve">“El Instituto Federal de Acceso a la Información y Protección de Datos </w:t>
      </w:r>
      <w:r w:rsidRPr="009A40F7">
        <w:rPr>
          <w:rFonts w:ascii="Palatino Linotype" w:hAnsi="Palatino Linotype" w:cs="Tahoma"/>
          <w:b/>
          <w:i/>
          <w:sz w:val="20"/>
          <w:szCs w:val="20"/>
          <w:u w:val="single"/>
          <w:lang w:eastAsia="es-ES"/>
        </w:rPr>
        <w:t xml:space="preserve">no cuenta con facultades para pronunciarse respecto de la veracidad de los documentos proporcionados por los sujetos obligados. </w:t>
      </w:r>
      <w:r w:rsidRPr="009A40F7">
        <w:rPr>
          <w:rFonts w:ascii="Palatino Linotype" w:hAnsi="Palatino Linotype" w:cs="Tahoma"/>
          <w:i/>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A40F7" w:rsidR="009A40F7" w:rsidP="009A40F7" w:rsidRDefault="009A40F7" w14:paraId="7B927CF2" w14:textId="76219653">
      <w:pPr>
        <w:spacing w:line="360" w:lineRule="auto"/>
        <w:jc w:val="both"/>
        <w:rPr>
          <w:rFonts w:ascii="Palatino Linotype" w:hAnsi="Palatino Linotype" w:eastAsia="Calibri" w:cs="Tahoma"/>
          <w:bCs/>
          <w:sz w:val="22"/>
          <w:szCs w:val="22"/>
          <w:lang w:eastAsia="en-US"/>
        </w:rPr>
      </w:pPr>
    </w:p>
    <w:p w:rsidRPr="009A40F7" w:rsidR="009A40F7" w:rsidP="009A40F7" w:rsidRDefault="009A40F7" w14:paraId="79203D5A" w14:textId="77777777">
      <w:pPr>
        <w:spacing w:line="360" w:lineRule="auto"/>
        <w:jc w:val="both"/>
        <w:rPr>
          <w:rFonts w:ascii="Palatino Linotype" w:hAnsi="Palatino Linotype" w:eastAsia="Calibri" w:cs="Tahoma"/>
          <w:bCs/>
          <w:sz w:val="22"/>
          <w:szCs w:val="22"/>
          <w:lang w:eastAsia="en-US"/>
        </w:rPr>
      </w:pPr>
    </w:p>
    <w:p w:rsidR="0099638F" w:rsidP="0099638F" w:rsidRDefault="0099638F" w14:paraId="0F352247" w14:textId="27D73E0E">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En ese contexto, en respuesta, el Ente Recurrido, precisó que la información solicitada, se localizaba en la fracción XI</w:t>
      </w:r>
      <w:r w:rsidRPr="009D4198">
        <w:rPr>
          <w:rFonts w:ascii="Palatino Linotype" w:hAnsi="Palatino Linotype" w:eastAsia="Calibri" w:cs="Tahoma"/>
          <w:bCs/>
          <w:iCs/>
          <w:sz w:val="22"/>
          <w:szCs w:val="22"/>
          <w:lang w:val="es-ES" w:eastAsia="en-US"/>
        </w:rPr>
        <w:t xml:space="preserve">, de la siguiente página electrónica </w:t>
      </w:r>
      <w:r w:rsidRPr="0099638F">
        <w:rPr>
          <w:rStyle w:val="Hipervnculo"/>
          <w:rFonts w:ascii="Palatino Linotype" w:hAnsi="Palatino Linotype" w:eastAsia="Calibri" w:cs="Tahoma"/>
          <w:bCs/>
          <w:iCs/>
          <w:sz w:val="22"/>
          <w:szCs w:val="22"/>
          <w:lang w:val="es-ES" w:eastAsia="en-US"/>
        </w:rPr>
        <w:t>http://www.ipomex.org.mx/ipo3/lgt/indice/tequixquiac.web</w:t>
      </w:r>
      <w:r>
        <w:rPr>
          <w:rFonts w:ascii="Palatino Linotype" w:hAnsi="Palatino Linotype" w:eastAsia="Calibri" w:cs="Tahoma"/>
          <w:bCs/>
          <w:sz w:val="22"/>
          <w:szCs w:val="22"/>
          <w:lang w:eastAsia="en-US"/>
        </w:rPr>
        <w:t>, de la cual se desprende lo siguiente:</w:t>
      </w:r>
    </w:p>
    <w:p w:rsidR="009A40F7" w:rsidP="009A40F7" w:rsidRDefault="009A40F7" w14:paraId="0E33557B" w14:textId="77777777">
      <w:pPr>
        <w:spacing w:line="360" w:lineRule="auto"/>
        <w:jc w:val="both"/>
        <w:rPr>
          <w:rFonts w:ascii="Palatino Linotype" w:hAnsi="Palatino Linotype" w:eastAsia="Calibri" w:cs="Tahoma"/>
          <w:bCs/>
          <w:sz w:val="22"/>
          <w:szCs w:val="22"/>
          <w:lang w:eastAsia="en-US"/>
        </w:rPr>
      </w:pPr>
    </w:p>
    <w:p w:rsidR="0099638F" w:rsidP="009A40F7" w:rsidRDefault="0099638F" w14:paraId="0774660C" w14:textId="52E705DE">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noProof/>
          <w:sz w:val="22"/>
          <w:szCs w:val="22"/>
        </w:rPr>
        <mc:AlternateContent>
          <mc:Choice Requires="wps">
            <w:drawing>
              <wp:anchor distT="0" distB="0" distL="114300" distR="114300" simplePos="0" relativeHeight="251660288" behindDoc="0" locked="0" layoutInCell="1" allowOverlap="1" wp14:anchorId="03D8FC4E" wp14:editId="7F079362">
                <wp:simplePos x="0" y="0"/>
                <wp:positionH relativeFrom="column">
                  <wp:posOffset>4077970</wp:posOffset>
                </wp:positionH>
                <wp:positionV relativeFrom="paragraph">
                  <wp:posOffset>3953510</wp:posOffset>
                </wp:positionV>
                <wp:extent cx="1400175" cy="4667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1400175" cy="466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4" style="position:absolute;margin-left:321.1pt;margin-top:311.3pt;width:110.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25pt" w14:anchorId="0BF84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7XoAIAAJAFAAAOAAAAZHJzL2Uyb0RvYy54bWysVM1u2zAMvg/YOwi6r7YDpz9BnSJo0WFA&#10;0RZth55VWYoNyKImKXGyt9mz7MVGSbabdcUOw3JQRJP8SH4ieX6x6xTZCuta0BUtjnJKhOZQt3pd&#10;0a9P159OKXGe6Zop0KKie+HoxfLjh/PeLMQMGlC1sARBtFv0pqKN92aRZY43omPuCIzQqJRgO+ZR&#10;tOustqxH9E5lszw/znqwtbHAhXP49Sop6TLiSym4v5PSCU9URTE3H08bz5dwZstztlhbZpqWD2mw&#10;f8iiY63GoBPUFfOMbGz7B1TXcgsOpD/i0GUgZctFrAGrKfI31Tw2zIhYC5LjzEST+3+w/HZ7b0lb&#10;V7SkRLMOn+gBSfv5Q683CkgZCOqNW6Ddo7m3g+TwGqrdSduFf6yD7CKp+4lUsfOE48eizPPiZE4J&#10;R115fHwymwfQ7NXbWOc/C+hIuFTUYvzIJdveOJ9MR5MQTMN1qxR+ZwulSV/R2ekc8YPsQLV10EYh&#10;9JC4VJZsGb6+3xVD3AMrzEJpTCaUmIqKN79XIuE/CInsYBmzFOB3TMa50L5IqobVIoWa5/gbg40e&#10;sWSlETAgS0xywh4ARssEMmInAgb74CpiW0/O+d8SS86TR4wM2k/OXavBvgegsKohcrIfSUrUBJZe&#10;oN5j71hIQ+UMv27xAW+Y8/fM4hThvOFm8Hd4SAX4UDDcKGnAfn/ve7DH5kYtJT1OZUXdtw2zghL1&#10;RWPbnxVlGcY4CuX8ZIaCPdS8HGr0prsEfPoCd5Dh8RrsvRqv0kL3jAtkFaKiimmOsSvKvR2FS5+2&#10;Ba4gLlaraIaja5i/0Y+GB/DAamjQp90zs2boYo/9fwvjBLPFm2ZOtsFTw2rjQbax0195HfjGsY+N&#10;M6yosFcO5Wj1ukiXvwAAAP//AwBQSwMEFAAGAAgAAAAhAKl3otviAAAACwEAAA8AAABkcnMvZG93&#10;bnJldi54bWxMjz1PwzAQhnck/oN1SCyodWIhk4Y4FUJiQAzQQpHYXOdIImI72E4b+PUcE2z38ei9&#10;56r1bAd2wBB77xTkywwYOuOb3rUKXp7vFgWwmLRr9OAdKvjCCOv69KTSZeOPboOHbWoZhbhYagVd&#10;SmPJeTQdWh2XfkRHu3cfrE7UhpY3QR8p3A5cZJnkVveOLnR6xNsOzcd2sgrePmfzGC7Mayh209P9&#10;90PK+3al1PnZfHMNLOGc/mD41Sd1qMlp7yfXRDYokJdCEEqFEBIYEYUUV8D2NFnJHHhd8f8/1D8A&#10;AAD//wMAUEsBAi0AFAAGAAgAAAAhALaDOJL+AAAA4QEAABMAAAAAAAAAAAAAAAAAAAAAAFtDb250&#10;ZW50X1R5cGVzXS54bWxQSwECLQAUAAYACAAAACEAOP0h/9YAAACUAQAACwAAAAAAAAAAAAAAAAAv&#10;AQAAX3JlbHMvLnJlbHNQSwECLQAUAAYACAAAACEAX7Eu16ACAACQBQAADgAAAAAAAAAAAAAAAAAu&#10;AgAAZHJzL2Uyb0RvYy54bWxQSwECLQAUAAYACAAAACEAqXei2+IAAAALAQAADwAAAAAAAAAAAAAA&#10;AAD6BAAAZHJzL2Rvd25yZXYueG1sUEsFBgAAAAAEAAQA8wAAAAkGAAAAAA==&#10;"/>
            </w:pict>
          </mc:Fallback>
        </mc:AlternateContent>
      </w:r>
      <w:r w:rsidRPr="0099638F">
        <w:rPr>
          <w:rFonts w:ascii="Palatino Linotype" w:hAnsi="Palatino Linotype" w:eastAsia="Calibri" w:cs="Tahoma"/>
          <w:bCs/>
          <w:noProof/>
          <w:sz w:val="22"/>
          <w:szCs w:val="22"/>
        </w:rPr>
        <w:drawing>
          <wp:inline distT="0" distB="0" distL="0" distR="0" wp14:anchorId="389918B6" wp14:editId="6FD77C9E">
            <wp:extent cx="5742940" cy="47256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4725670"/>
                    </a:xfrm>
                    <a:prstGeom prst="rect">
                      <a:avLst/>
                    </a:prstGeom>
                  </pic:spPr>
                </pic:pic>
              </a:graphicData>
            </a:graphic>
          </wp:inline>
        </w:drawing>
      </w:r>
    </w:p>
    <w:p w:rsidR="0099638F" w:rsidP="009A40F7" w:rsidRDefault="0099638F" w14:paraId="177B8E5D" w14:textId="77777777">
      <w:pPr>
        <w:spacing w:line="360" w:lineRule="auto"/>
        <w:jc w:val="both"/>
        <w:rPr>
          <w:rFonts w:ascii="Palatino Linotype" w:hAnsi="Palatino Linotype" w:eastAsia="Calibri" w:cs="Tahoma"/>
          <w:bCs/>
          <w:sz w:val="22"/>
          <w:szCs w:val="22"/>
          <w:lang w:eastAsia="en-US"/>
        </w:rPr>
      </w:pPr>
    </w:p>
    <w:p w:rsidR="0099638F" w:rsidP="0099638F" w:rsidRDefault="0099638F" w14:paraId="590E533C" w14:textId="6579D7B2">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contexto, se procedió acceder a la fracción indicada, por el Sujeto Obligado, y se logró acceder a la fracción XI “Contrataciones de servicios profesionales por honorarios”, la cual tiene los registros por año de las contrataciones por honorarios, entre los cuales se encuentra el ejercicio fiscal dos mil veintidós, tal como se muestra a continuación:</w:t>
      </w:r>
    </w:p>
    <w:p w:rsidR="0099638F" w:rsidP="0099638F" w:rsidRDefault="0099638F" w14:paraId="7A113B81" w14:textId="3C746496">
      <w:pPr>
        <w:spacing w:line="360" w:lineRule="auto"/>
        <w:jc w:val="center"/>
        <w:rPr>
          <w:rFonts w:ascii="Palatino Linotype" w:hAnsi="Palatino Linotype" w:eastAsia="Calibri" w:cs="Tahoma"/>
          <w:bCs/>
          <w:sz w:val="22"/>
          <w:szCs w:val="22"/>
          <w:lang w:eastAsia="en-US"/>
        </w:rPr>
      </w:pPr>
      <w:r w:rsidRPr="0099638F">
        <w:rPr>
          <w:rFonts w:ascii="Palatino Linotype" w:hAnsi="Palatino Linotype" w:eastAsia="Calibri" w:cs="Tahoma"/>
          <w:bCs/>
          <w:noProof/>
          <w:sz w:val="22"/>
          <w:szCs w:val="22"/>
        </w:rPr>
        <w:lastRenderedPageBreak/>
        <w:drawing>
          <wp:inline distT="0" distB="0" distL="0" distR="0" wp14:anchorId="58439AC5" wp14:editId="4DF0294E">
            <wp:extent cx="5191126" cy="21717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1859" cy="2172007"/>
                    </a:xfrm>
                    <a:prstGeom prst="rect">
                      <a:avLst/>
                    </a:prstGeom>
                  </pic:spPr>
                </pic:pic>
              </a:graphicData>
            </a:graphic>
          </wp:inline>
        </w:drawing>
      </w:r>
    </w:p>
    <w:p w:rsidRPr="009A40F7" w:rsidR="0099638F" w:rsidP="009A40F7" w:rsidRDefault="0099638F" w14:paraId="49E5C7F7" w14:textId="77777777">
      <w:pPr>
        <w:spacing w:line="360" w:lineRule="auto"/>
        <w:jc w:val="both"/>
        <w:rPr>
          <w:rFonts w:ascii="Palatino Linotype" w:hAnsi="Palatino Linotype" w:eastAsia="Calibri" w:cs="Tahoma"/>
          <w:bCs/>
          <w:sz w:val="22"/>
          <w:szCs w:val="22"/>
          <w:lang w:eastAsia="en-US"/>
        </w:rPr>
      </w:pPr>
    </w:p>
    <w:p w:rsidR="0099638F" w:rsidP="0099638F" w:rsidRDefault="0099638F" w14:paraId="72FFE281" w14:textId="6FE69D79">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la revisión del registro localizado y en atención a la manifestación realizada por el Ayuntamiento, se logra desprender que durante el dos mil veintidós, únicamente se ha llevado a cabo un Contrato de Servicios Profesionales por honorarios, efectuado entre el Ayuntamiento de Tequixquiac y Claudia Nancy Casasola Díaz, tal como se muestra a continuación:</w:t>
      </w:r>
    </w:p>
    <w:p w:rsidR="0099638F" w:rsidP="0099638F" w:rsidRDefault="0099638F" w14:paraId="7D342649" w14:textId="77777777">
      <w:pPr>
        <w:spacing w:line="360" w:lineRule="auto"/>
        <w:jc w:val="both"/>
        <w:rPr>
          <w:rFonts w:ascii="Palatino Linotype" w:hAnsi="Palatino Linotype" w:eastAsia="Calibri" w:cs="Tahoma"/>
          <w:bCs/>
          <w:sz w:val="22"/>
          <w:szCs w:val="22"/>
          <w:lang w:eastAsia="en-US"/>
        </w:rPr>
      </w:pPr>
    </w:p>
    <w:p w:rsidR="0099638F" w:rsidP="0099638F" w:rsidRDefault="0099638F" w14:paraId="54ADBE1F" w14:textId="0A23425B">
      <w:pPr>
        <w:spacing w:line="360" w:lineRule="auto"/>
        <w:jc w:val="both"/>
        <w:rPr>
          <w:rFonts w:ascii="Palatino Linotype" w:hAnsi="Palatino Linotype" w:eastAsia="Calibri" w:cs="Tahoma"/>
          <w:bCs/>
          <w:sz w:val="22"/>
          <w:szCs w:val="22"/>
          <w:lang w:eastAsia="en-US"/>
        </w:rPr>
      </w:pPr>
      <w:r w:rsidRPr="0099638F">
        <w:rPr>
          <w:rFonts w:ascii="Palatino Linotype" w:hAnsi="Palatino Linotype" w:eastAsia="Calibri" w:cs="Tahoma"/>
          <w:bCs/>
          <w:noProof/>
          <w:sz w:val="22"/>
          <w:szCs w:val="22"/>
        </w:rPr>
        <w:drawing>
          <wp:inline distT="0" distB="0" distL="0" distR="0" wp14:anchorId="05B54D51" wp14:editId="4D5E00C1">
            <wp:extent cx="5742940" cy="22860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286000"/>
                    </a:xfrm>
                    <a:prstGeom prst="rect">
                      <a:avLst/>
                    </a:prstGeom>
                  </pic:spPr>
                </pic:pic>
              </a:graphicData>
            </a:graphic>
          </wp:inline>
        </w:drawing>
      </w:r>
    </w:p>
    <w:p w:rsidR="0099638F" w:rsidP="009A40F7" w:rsidRDefault="0099638F" w14:paraId="19E59BE4" w14:textId="77777777">
      <w:pPr>
        <w:spacing w:line="360" w:lineRule="auto"/>
        <w:jc w:val="both"/>
        <w:rPr>
          <w:rFonts w:ascii="Palatino Linotype" w:hAnsi="Palatino Linotype" w:eastAsia="Calibri" w:cs="Tahoma"/>
          <w:bCs/>
          <w:sz w:val="22"/>
          <w:szCs w:val="22"/>
          <w:lang w:eastAsia="en-US"/>
        </w:rPr>
      </w:pPr>
    </w:p>
    <w:p w:rsidRPr="009A40F7" w:rsidR="009A40F7" w:rsidP="009A40F7" w:rsidRDefault="009A40F7" w14:paraId="007456DA" w14:textId="6F9361C7">
      <w:pPr>
        <w:spacing w:line="360" w:lineRule="auto"/>
        <w:ind w:right="-93"/>
        <w:jc w:val="both"/>
        <w:rPr>
          <w:rFonts w:ascii="Palatino Linotype" w:hAnsi="Palatino Linotype" w:cs="Tahoma"/>
          <w:i/>
          <w:sz w:val="20"/>
          <w:szCs w:val="20"/>
          <w:lang w:eastAsia="es-ES"/>
        </w:rPr>
      </w:pPr>
      <w:r w:rsidRPr="009A40F7">
        <w:rPr>
          <w:rFonts w:ascii="Palatino Linotype" w:hAnsi="Palatino Linotype" w:eastAsia="Calibri" w:cs="Tahoma"/>
          <w:bCs/>
          <w:sz w:val="22"/>
          <w:szCs w:val="22"/>
          <w:lang w:eastAsia="en-US"/>
        </w:rPr>
        <w:t xml:space="preserve">Conforme a lo anterior, se advierte que el Sujeto Obligado, proporcionó </w:t>
      </w:r>
      <w:r w:rsidRPr="009A40F7">
        <w:rPr>
          <w:rFonts w:ascii="Palatino Linotype" w:hAnsi="Palatino Linotype" w:eastAsia="Calibri" w:cs="Tahoma"/>
          <w:b/>
          <w:bCs/>
          <w:sz w:val="22"/>
          <w:szCs w:val="22"/>
          <w:lang w:eastAsia="en-US"/>
        </w:rPr>
        <w:t>la fuente, el lugar y la forma</w:t>
      </w:r>
      <w:r w:rsidRPr="009A40F7">
        <w:rPr>
          <w:rFonts w:ascii="Palatino Linotype" w:hAnsi="Palatino Linotype" w:eastAsia="Calibri" w:cs="Tahoma"/>
          <w:bCs/>
          <w:sz w:val="22"/>
          <w:szCs w:val="22"/>
          <w:lang w:eastAsia="en-US"/>
        </w:rPr>
        <w:t xml:space="preserve"> </w:t>
      </w:r>
      <w:r w:rsidR="0099638F">
        <w:rPr>
          <w:rFonts w:ascii="Palatino Linotype" w:hAnsi="Palatino Linotype" w:eastAsia="Calibri" w:cs="Tahoma"/>
          <w:bCs/>
          <w:sz w:val="22"/>
          <w:szCs w:val="22"/>
          <w:lang w:eastAsia="en-US"/>
        </w:rPr>
        <w:t>para</w:t>
      </w:r>
      <w:r w:rsidRPr="009A40F7">
        <w:rPr>
          <w:rFonts w:ascii="Palatino Linotype" w:hAnsi="Palatino Linotype" w:eastAsia="Calibri" w:cs="Tahoma"/>
          <w:bCs/>
          <w:sz w:val="22"/>
          <w:szCs w:val="22"/>
          <w:lang w:eastAsia="en-US"/>
        </w:rPr>
        <w:t xml:space="preserve"> obtener</w:t>
      </w:r>
      <w:r w:rsidR="0099638F">
        <w:rPr>
          <w:rFonts w:ascii="Palatino Linotype" w:hAnsi="Palatino Linotype" w:eastAsia="Calibri" w:cs="Tahoma"/>
          <w:bCs/>
          <w:sz w:val="22"/>
          <w:szCs w:val="22"/>
          <w:lang w:eastAsia="en-US"/>
        </w:rPr>
        <w:t xml:space="preserve"> el único contrato de servicios profesionales por honorarios que ha </w:t>
      </w:r>
      <w:r w:rsidR="0099638F">
        <w:rPr>
          <w:rFonts w:ascii="Palatino Linotype" w:hAnsi="Palatino Linotype" w:eastAsia="Calibri" w:cs="Tahoma"/>
          <w:bCs/>
          <w:sz w:val="22"/>
          <w:szCs w:val="22"/>
          <w:lang w:eastAsia="en-US"/>
        </w:rPr>
        <w:lastRenderedPageBreak/>
        <w:t xml:space="preserve">celebrado el Ayuntamiento </w:t>
      </w:r>
      <w:r w:rsidR="008A4F0D">
        <w:rPr>
          <w:rFonts w:ascii="Palatino Linotype" w:hAnsi="Palatino Linotype" w:eastAsia="Calibri" w:cs="Tahoma"/>
          <w:bCs/>
          <w:sz w:val="22"/>
          <w:szCs w:val="22"/>
          <w:lang w:eastAsia="en-US"/>
        </w:rPr>
        <w:t>de Tequixquiac; además, que con esto alude a que el Sistema Municipal para el Desarrollo Integral de la Familia, no ha realizado contrataciones de este tipo.</w:t>
      </w:r>
    </w:p>
    <w:p w:rsidRPr="009A40F7" w:rsidR="009A40F7" w:rsidP="009A40F7" w:rsidRDefault="009A40F7" w14:paraId="0A348F6A" w14:textId="77777777">
      <w:pPr>
        <w:spacing w:line="360" w:lineRule="auto"/>
        <w:jc w:val="both"/>
        <w:rPr>
          <w:rFonts w:ascii="Palatino Linotype" w:hAnsi="Palatino Linotype" w:cs="Tahoma"/>
          <w:sz w:val="22"/>
          <w:szCs w:val="22"/>
          <w:lang w:val="es-ES" w:eastAsia="es-ES"/>
        </w:rPr>
      </w:pPr>
    </w:p>
    <w:p w:rsidRPr="009A40F7" w:rsidR="009A40F7" w:rsidP="009A40F7" w:rsidRDefault="009A40F7" w14:paraId="1D6E7B0D" w14:textId="77777777">
      <w:pPr>
        <w:spacing w:line="360" w:lineRule="auto"/>
        <w:jc w:val="both"/>
        <w:rPr>
          <w:rFonts w:ascii="Palatino Linotype" w:hAnsi="Palatino Linotype" w:cs="Tahoma"/>
          <w:sz w:val="22"/>
          <w:szCs w:val="22"/>
          <w:lang w:val="es-ES" w:eastAsia="es-ES"/>
        </w:rPr>
      </w:pPr>
      <w:r w:rsidRPr="009A40F7">
        <w:rPr>
          <w:rFonts w:ascii="Palatino Linotype" w:hAnsi="Palatino Linotype" w:cs="Tahoma"/>
          <w:sz w:val="22"/>
          <w:szCs w:val="22"/>
          <w:lang w:val="es-ES" w:eastAsia="es-ES"/>
        </w:rPr>
        <w:t xml:space="preserve">En ese orden de ideas,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9A40F7">
        <w:rPr>
          <w:rFonts w:ascii="Palatino Linotype" w:hAnsi="Palatino Linotype" w:cs="Tahoma"/>
          <w:b/>
          <w:sz w:val="22"/>
          <w:szCs w:val="22"/>
          <w:lang w:val="es-ES" w:eastAsia="es-ES"/>
        </w:rPr>
        <w:t>la fuente, el lugar y la forma</w:t>
      </w:r>
      <w:r w:rsidRPr="009A40F7">
        <w:rPr>
          <w:rFonts w:ascii="Palatino Linotype" w:hAnsi="Palatino Linotype" w:cs="Tahoma"/>
          <w:sz w:val="22"/>
          <w:szCs w:val="22"/>
          <w:lang w:val="es-ES" w:eastAsia="es-ES"/>
        </w:rPr>
        <w:t xml:space="preserve"> en que se puede obtener la información.</w:t>
      </w:r>
    </w:p>
    <w:p w:rsidR="009A40F7" w:rsidP="009A40F7" w:rsidRDefault="009A40F7" w14:paraId="3D410CD6" w14:textId="77777777">
      <w:pPr>
        <w:spacing w:line="360" w:lineRule="auto"/>
        <w:jc w:val="both"/>
        <w:rPr>
          <w:rFonts w:ascii="Palatino Linotype" w:hAnsi="Palatino Linotype" w:eastAsia="Calibri"/>
          <w:bCs/>
          <w:color w:val="000000"/>
          <w:sz w:val="22"/>
          <w:szCs w:val="22"/>
          <w:lang w:eastAsia="en-US"/>
        </w:rPr>
      </w:pPr>
    </w:p>
    <w:p w:rsidRPr="00DF1564" w:rsidR="008A4F0D" w:rsidP="008A4F0D" w:rsidRDefault="008A4F0D" w14:paraId="107763C7" w14:textId="0F23C34D">
      <w:pPr>
        <w:tabs>
          <w:tab w:val="left" w:pos="4962"/>
        </w:tabs>
        <w:spacing w:line="360" w:lineRule="auto"/>
        <w:jc w:val="both"/>
        <w:rPr>
          <w:rFonts w:ascii="Palatino Linotype" w:hAnsi="Palatino Linotype" w:cs="Tahoma"/>
          <w:sz w:val="22"/>
          <w:lang w:val="es-ES"/>
        </w:rPr>
      </w:pPr>
      <w:r>
        <w:rPr>
          <w:rFonts w:ascii="Palatino Linotype" w:hAnsi="Palatino Linotype" w:eastAsia="Calibri"/>
          <w:bCs/>
          <w:color w:val="000000"/>
          <w:sz w:val="22"/>
          <w:szCs w:val="22"/>
          <w:lang w:eastAsia="en-US"/>
        </w:rPr>
        <w:t xml:space="preserve">Conforme a lo anterior, se logra observar que el Sujeto Obligado dio el procedimiento para tener acceso al único contrato de servicios profesionales por honorarios, documento que obra en sus archivos y da cuenta de lo peticionado; </w:t>
      </w:r>
      <w:r>
        <w:rPr>
          <w:rFonts w:ascii="Palatino Linotype" w:hAnsi="Palatino Linotype" w:cs="Tahoma"/>
          <w:iCs/>
          <w:sz w:val="22"/>
          <w:szCs w:val="22"/>
        </w:rPr>
        <w:t>d</w:t>
      </w:r>
      <w:r w:rsidRPr="00DF1564">
        <w:rPr>
          <w:rFonts w:ascii="Palatino Linotype" w:hAnsi="Palatino Linotype" w:eastAsia="Calibri" w:cs="Tahoma"/>
          <w:bCs/>
          <w:color w:val="000000" w:themeColor="text1"/>
          <w:sz w:val="22"/>
          <w:szCs w:val="22"/>
        </w:rPr>
        <w:t>i</w:t>
      </w:r>
      <w:proofErr w:type="spellStart"/>
      <w:r w:rsidRPr="00DF1564">
        <w:rPr>
          <w:rFonts w:ascii="Palatino Linotype" w:hAnsi="Palatino Linotype" w:cs="Tahoma"/>
          <w:sz w:val="22"/>
          <w:lang w:val="es-ES"/>
        </w:rPr>
        <w:t>cha</w:t>
      </w:r>
      <w:proofErr w:type="spellEnd"/>
      <w:r w:rsidRPr="00DF1564">
        <w:rPr>
          <w:rFonts w:ascii="Palatino Linotype" w:hAnsi="Palatino Linotype" w:cs="Tahoma"/>
          <w:sz w:val="22"/>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DF1564" w:rsidR="008A4F0D" w:rsidP="008A4F0D" w:rsidRDefault="008A4F0D" w14:paraId="4F3B7F3E" w14:textId="77777777">
      <w:pPr>
        <w:spacing w:line="360" w:lineRule="auto"/>
        <w:jc w:val="both"/>
        <w:rPr>
          <w:rFonts w:ascii="Palatino Linotype" w:hAnsi="Palatino Linotype" w:cs="Tahoma"/>
          <w:sz w:val="22"/>
          <w:lang w:val="es-ES"/>
        </w:rPr>
      </w:pPr>
    </w:p>
    <w:p w:rsidRPr="00DF1564" w:rsidR="008A4F0D" w:rsidP="008A4F0D" w:rsidRDefault="008A4F0D" w14:paraId="388D3EF9" w14:textId="77777777">
      <w:pPr>
        <w:spacing w:line="360" w:lineRule="auto"/>
        <w:jc w:val="both"/>
        <w:rPr>
          <w:rFonts w:ascii="Palatino Linotype" w:hAnsi="Palatino Linotype" w:cs="Tahoma"/>
          <w:i/>
          <w:iCs/>
          <w:lang w:val="es-ES"/>
        </w:rPr>
      </w:pPr>
      <w:r w:rsidRPr="00DF1564">
        <w:rPr>
          <w:rFonts w:ascii="Palatino Linotype" w:hAnsi="Palatino Linotype" w:cs="Tahoma"/>
          <w:sz w:val="22"/>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DF1564" w:rsidR="008A4F0D" w:rsidP="008A4F0D" w:rsidRDefault="008A4F0D" w14:paraId="1DB59AF2" w14:textId="77777777">
      <w:pPr>
        <w:spacing w:line="360" w:lineRule="auto"/>
        <w:jc w:val="both"/>
        <w:rPr>
          <w:rFonts w:ascii="Palatino Linotype" w:hAnsi="Palatino Linotype" w:cs="Tahoma"/>
          <w:sz w:val="22"/>
          <w:lang w:val="es-ES"/>
        </w:rPr>
      </w:pPr>
    </w:p>
    <w:p w:rsidR="009A40F7" w:rsidP="008A4F0D" w:rsidRDefault="008A4F0D" w14:paraId="03965260" w14:textId="65FB6AE9">
      <w:pPr>
        <w:spacing w:line="360" w:lineRule="auto"/>
        <w:jc w:val="both"/>
        <w:rPr>
          <w:rFonts w:ascii="Palatino Linotype" w:hAnsi="Palatino Linotype" w:cs="Tahoma"/>
          <w:sz w:val="22"/>
          <w:lang w:val="es-ES"/>
        </w:rPr>
      </w:pPr>
      <w:r w:rsidRPr="00DF1564">
        <w:rPr>
          <w:rFonts w:ascii="Palatino Linotype" w:hAnsi="Palatino Linotype" w:cs="Tahoma"/>
          <w:sz w:val="22"/>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lang w:val="es-ES"/>
        </w:rPr>
        <w:t xml:space="preserve"> lo cual aconteció pues proporcionó el procedimiento para acceder al único contrato de prestación de servicios por honorarios realizado durante el dos mil veintidós.</w:t>
      </w:r>
    </w:p>
    <w:p w:rsidR="008A4F0D" w:rsidP="008A4F0D" w:rsidRDefault="008A4F0D" w14:paraId="5F76A742" w14:textId="77777777">
      <w:pPr>
        <w:spacing w:line="360" w:lineRule="auto"/>
        <w:jc w:val="both"/>
        <w:rPr>
          <w:rFonts w:ascii="Palatino Linotype" w:hAnsi="Palatino Linotype" w:cs="Tahoma"/>
          <w:sz w:val="22"/>
          <w:lang w:val="es-ES"/>
        </w:rPr>
      </w:pPr>
    </w:p>
    <w:p w:rsidR="008A4F0D" w:rsidP="008A4F0D" w:rsidRDefault="008A4F0D" w14:paraId="794167F9" w14:textId="7C0D75E5">
      <w:pPr>
        <w:spacing w:line="360" w:lineRule="auto"/>
        <w:jc w:val="both"/>
        <w:rPr>
          <w:rFonts w:ascii="Palatino Linotype" w:hAnsi="Palatino Linotype" w:eastAsia="Calibri"/>
          <w:bCs/>
          <w:color w:val="000000"/>
          <w:sz w:val="22"/>
          <w:szCs w:val="22"/>
          <w:lang w:eastAsia="en-US"/>
        </w:rPr>
      </w:pPr>
      <w:r>
        <w:rPr>
          <w:rFonts w:ascii="Palatino Linotype" w:hAnsi="Palatino Linotype" w:cs="Tahoma"/>
          <w:sz w:val="22"/>
          <w:lang w:val="es-ES"/>
        </w:rPr>
        <w:t>Ahora bien, de la revisión de dicho documento se logra observar que se encuentra en versión pública, en el cual se testó el Registro Federal de Contribuyentes de la prestadora de servicios, su domicilio, la CLABE interbancaria y cuenta bancaria, por lo que, resulta procedente analizar si dichos datos son públicos o no.</w:t>
      </w:r>
    </w:p>
    <w:p w:rsidR="009A40F7" w:rsidP="009A40F7" w:rsidRDefault="009A40F7" w14:paraId="38E2DE2E" w14:textId="77777777">
      <w:pPr>
        <w:spacing w:line="360" w:lineRule="auto"/>
        <w:jc w:val="both"/>
        <w:rPr>
          <w:rFonts w:ascii="Palatino Linotype" w:hAnsi="Palatino Linotype" w:cs="Tahoma"/>
          <w:sz w:val="22"/>
          <w:szCs w:val="22"/>
        </w:rPr>
      </w:pPr>
    </w:p>
    <w:p w:rsidRPr="008A4F0D" w:rsidR="008A4F0D" w:rsidP="008A4F0D" w:rsidRDefault="008A4F0D" w14:paraId="0DA46DE8" w14:textId="58550B14">
      <w:pPr>
        <w:spacing w:line="360" w:lineRule="auto"/>
        <w:jc w:val="both"/>
        <w:rPr>
          <w:rFonts w:ascii="Palatino Linotype" w:hAnsi="Palatino Linotype" w:cs="Tahoma"/>
          <w:bCs/>
          <w:sz w:val="22"/>
          <w:szCs w:val="22"/>
          <w:lang w:eastAsia="es-ES"/>
        </w:rPr>
      </w:pPr>
      <w:r>
        <w:rPr>
          <w:rFonts w:ascii="Palatino Linotype" w:hAnsi="Palatino Linotype" w:cs="Tahoma"/>
          <w:bCs/>
          <w:sz w:val="22"/>
          <w:szCs w:val="22"/>
          <w:lang w:eastAsia="es-ES"/>
        </w:rPr>
        <w:t>E</w:t>
      </w:r>
      <w:r w:rsidRPr="008A4F0D">
        <w:rPr>
          <w:rFonts w:ascii="Palatino Linotype" w:hAnsi="Palatino Linotype" w:cs="Tahoma"/>
          <w:bCs/>
          <w:sz w:val="22"/>
          <w:szCs w:val="22"/>
          <w:lang w:eastAsia="es-E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8A4F0D" w:rsidR="008A4F0D" w:rsidP="008A4F0D" w:rsidRDefault="008A4F0D" w14:paraId="781921D6"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773416A9"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8A4F0D" w:rsidR="008A4F0D" w:rsidP="008A4F0D" w:rsidRDefault="008A4F0D" w14:paraId="24563E6B"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1BA54D70"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De la misma manera, el artículo 5°, fracciones I y II de la Constitución Política del Estado Libre y Soberano de México, prevé que toda la información en posesión de los Sujetos Obligados </w:t>
      </w:r>
      <w:r w:rsidRPr="008A4F0D">
        <w:rPr>
          <w:rFonts w:ascii="Palatino Linotype" w:hAnsi="Palatino Linotype" w:cs="Tahoma"/>
          <w:bCs/>
          <w:sz w:val="22"/>
          <w:szCs w:val="22"/>
          <w:lang w:eastAsia="es-ES"/>
        </w:rPr>
        <w:lastRenderedPageBreak/>
        <w:t>será pública; no obstante, aquella referente a la intimidad de la vida privada y la imagen de las personas, será protegida a través de un marco jurídico rígido, de tratamiento y manejo de datos personales.</w:t>
      </w:r>
    </w:p>
    <w:p w:rsidRPr="008A4F0D" w:rsidR="008A4F0D" w:rsidP="008A4F0D" w:rsidRDefault="008A4F0D" w14:paraId="2F988EDD"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0AAD9193"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A4F0D" w:rsidR="008A4F0D" w:rsidP="008A4F0D" w:rsidRDefault="008A4F0D" w14:paraId="3FB66D59"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548DCAF8"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A4F0D" w:rsidR="008A4F0D" w:rsidP="008A4F0D" w:rsidRDefault="008A4F0D" w14:paraId="5EB06B8D"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311AE9CC"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A4F0D" w:rsidR="008A4F0D" w:rsidP="008A4F0D" w:rsidRDefault="008A4F0D" w14:paraId="70880E53"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2E9A707A"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En términos de lo expuesto, la documentación y aquellos datos que se consideren confidenciales, serán una limitante del derecho de acceso a la información, siempre y cuando:</w:t>
      </w:r>
    </w:p>
    <w:p w:rsidRPr="008A4F0D" w:rsidR="008A4F0D" w:rsidP="008A4F0D" w:rsidRDefault="008A4F0D" w14:paraId="75D9C891"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3EF0511F" w14:textId="77777777">
      <w:pPr>
        <w:numPr>
          <w:ilvl w:val="0"/>
          <w:numId w:val="47"/>
        </w:num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Se trate de datos personales o información privada; esto es, información concerniente a una persona física o jurídico colectiva y que esta sea identificada o identificable. </w:t>
      </w:r>
    </w:p>
    <w:p w:rsidRPr="008A4F0D" w:rsidR="008A4F0D" w:rsidP="008A4F0D" w:rsidRDefault="008A4F0D" w14:paraId="2464E236"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4D470430" w14:textId="77777777">
      <w:pPr>
        <w:numPr>
          <w:ilvl w:val="0"/>
          <w:numId w:val="47"/>
        </w:num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Para la difusión de los datos, se requiera el consentimiento del titular. </w:t>
      </w:r>
    </w:p>
    <w:p w:rsidRPr="008A4F0D" w:rsidR="008A4F0D" w:rsidP="008A4F0D" w:rsidRDefault="008A4F0D" w14:paraId="387885B9"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02AECD59"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8A4F0D" w:rsidR="008A4F0D" w:rsidP="008A4F0D" w:rsidRDefault="008A4F0D" w14:paraId="07087939"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6B1F216D"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Además, en el artículo 5° de dicho ordenamiento jurídico, establece que es la Ley aplicable para todo tratamiento de datos personales.</w:t>
      </w:r>
    </w:p>
    <w:p w:rsidRPr="008A4F0D" w:rsidR="008A4F0D" w:rsidP="008A4F0D" w:rsidRDefault="008A4F0D" w14:paraId="24523964"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01708421"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A4F0D" w:rsidR="008A4F0D" w:rsidP="008A4F0D" w:rsidRDefault="008A4F0D" w14:paraId="54898E73"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3C2AAEEA"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8A4F0D">
        <w:rPr>
          <w:rFonts w:ascii="Palatino Linotype" w:hAnsi="Palatino Linotype" w:cs="Tahoma"/>
          <w:bCs/>
          <w:sz w:val="22"/>
          <w:szCs w:val="22"/>
          <w:lang w:eastAsia="es-ES"/>
        </w:rPr>
        <w:lastRenderedPageBreak/>
        <w:t>sentido, cualquier información que por sí sola o relacionada con otra permita hacer identificable a una persona, es un dato personal, susceptible de ser clasificado.</w:t>
      </w:r>
    </w:p>
    <w:p w:rsidRPr="008A4F0D" w:rsidR="008A4F0D" w:rsidP="008A4F0D" w:rsidRDefault="008A4F0D" w14:paraId="4C8523D8"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2ABCF155"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A4F0D" w:rsidR="008A4F0D" w:rsidP="008A4F0D" w:rsidRDefault="008A4F0D" w14:paraId="2D8317E1"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1937EFF4"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De tal suerte, las instituciones públicas tienen la doble responsabilidad, por un lado, de proteger los datos personales y por otro, darles publicidad cuando la relevancia de esos datos sea de interés público.</w:t>
      </w:r>
    </w:p>
    <w:p w:rsidRPr="008A4F0D" w:rsidR="008A4F0D" w:rsidP="008A4F0D" w:rsidRDefault="008A4F0D" w14:paraId="11FD159F"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35332E28"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8A4F0D" w:rsidR="008A4F0D" w:rsidP="008A4F0D" w:rsidRDefault="008A4F0D" w14:paraId="077E939E"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1DF1DB22"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8A4F0D">
        <w:rPr>
          <w:rFonts w:ascii="Palatino Linotype" w:hAnsi="Palatino Linotype" w:cs="Tahoma"/>
          <w:bCs/>
          <w:sz w:val="22"/>
          <w:szCs w:val="22"/>
          <w:lang w:eastAsia="es-ES"/>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A4F0D" w:rsidR="008A4F0D" w:rsidP="008A4F0D" w:rsidRDefault="008A4F0D" w14:paraId="62706CCF"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0E0B29A7"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A4F0D" w:rsidR="008A4F0D" w:rsidP="008A4F0D" w:rsidRDefault="008A4F0D" w14:paraId="5D49A716" w14:textId="77777777">
      <w:pPr>
        <w:spacing w:line="360" w:lineRule="auto"/>
        <w:jc w:val="both"/>
        <w:rPr>
          <w:rFonts w:ascii="Palatino Linotype" w:hAnsi="Palatino Linotype" w:cs="Tahoma"/>
          <w:bCs/>
          <w:sz w:val="22"/>
          <w:szCs w:val="22"/>
          <w:lang w:eastAsia="es-ES"/>
        </w:rPr>
      </w:pPr>
    </w:p>
    <w:p w:rsidRPr="008A4F0D" w:rsidR="008A4F0D" w:rsidP="008A4F0D" w:rsidRDefault="008A4F0D" w14:paraId="6D9BD267" w14:textId="77777777">
      <w:pPr>
        <w:spacing w:line="360" w:lineRule="auto"/>
        <w:jc w:val="both"/>
        <w:rPr>
          <w:rFonts w:ascii="Palatino Linotype" w:hAnsi="Palatino Linotype" w:cs="Tahoma"/>
          <w:bCs/>
          <w:sz w:val="22"/>
          <w:szCs w:val="22"/>
          <w:lang w:eastAsia="es-ES"/>
        </w:rPr>
      </w:pPr>
      <w:r w:rsidRPr="008A4F0D">
        <w:rPr>
          <w:rFonts w:ascii="Palatino Linotype" w:hAnsi="Palatino Linotype" w:cs="Tahoma"/>
          <w:bCs/>
          <w:sz w:val="22"/>
          <w:szCs w:val="22"/>
          <w:lang w:eastAsia="es-ES"/>
        </w:rPr>
        <w:t>Bajo ese contexto, se analizarán si los datos mencionados, deben ser considerados confidenciales, en términos del artículo 143, fracción I, de la Ley de Transparencia y Acceso a la Información Pública del Estado de México y Municipios, o públicos.</w:t>
      </w:r>
    </w:p>
    <w:p w:rsidRPr="008A4F0D" w:rsidR="008A4F0D" w:rsidP="008A4F0D" w:rsidRDefault="008A4F0D" w14:paraId="4BC55300" w14:textId="77777777">
      <w:pPr>
        <w:spacing w:line="360" w:lineRule="auto"/>
        <w:jc w:val="both"/>
        <w:rPr>
          <w:rFonts w:ascii="Palatino Linotype" w:hAnsi="Palatino Linotype" w:cs="Tahoma"/>
          <w:bCs/>
          <w:iCs/>
          <w:sz w:val="22"/>
          <w:szCs w:val="22"/>
          <w:lang w:val="es-ES" w:eastAsia="es-ES"/>
        </w:rPr>
      </w:pPr>
    </w:p>
    <w:p w:rsidRPr="008A4F0D" w:rsidR="008A4F0D" w:rsidP="008A4F0D" w:rsidRDefault="008A4F0D" w14:paraId="6C0DFB11" w14:textId="77777777">
      <w:pPr>
        <w:numPr>
          <w:ilvl w:val="0"/>
          <w:numId w:val="16"/>
        </w:numPr>
        <w:spacing w:line="360" w:lineRule="auto"/>
        <w:jc w:val="both"/>
        <w:rPr>
          <w:rFonts w:ascii="Palatino Linotype" w:hAnsi="Palatino Linotype" w:cs="Tahoma"/>
          <w:b/>
          <w:bCs/>
          <w:iCs/>
          <w:sz w:val="22"/>
          <w:szCs w:val="22"/>
          <w:lang w:val="es-ES_tradnl" w:eastAsia="es-ES"/>
        </w:rPr>
      </w:pPr>
      <w:r w:rsidRPr="008A4F0D">
        <w:rPr>
          <w:rFonts w:ascii="Palatino Linotype" w:hAnsi="Palatino Linotype" w:cs="Tahoma"/>
          <w:b/>
          <w:bCs/>
          <w:iCs/>
          <w:sz w:val="22"/>
          <w:szCs w:val="22"/>
          <w:lang w:val="es-ES_tradnl" w:eastAsia="es-ES"/>
        </w:rPr>
        <w:t>Registro Federal de Contribuyentes (RFC).</w:t>
      </w:r>
    </w:p>
    <w:p w:rsidRPr="008A4F0D" w:rsidR="008A4F0D" w:rsidP="008A4F0D" w:rsidRDefault="008A4F0D" w14:paraId="6F65B3BC"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2BAD172E"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8A4F0D" w:rsidR="008A4F0D" w:rsidP="008A4F0D" w:rsidRDefault="008A4F0D" w14:paraId="2A5EF822"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18620194"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8A4F0D" w:rsidR="008A4F0D" w:rsidP="008A4F0D" w:rsidRDefault="008A4F0D" w14:paraId="02E33A59"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624228EB"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A4F0D" w:rsidR="008A4F0D" w:rsidP="008A4F0D" w:rsidRDefault="008A4F0D" w14:paraId="1F28AF3E"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76D7AF44"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Pr="008A4F0D" w:rsidR="008A4F0D" w:rsidP="008A4F0D" w:rsidRDefault="008A4F0D" w14:paraId="4B6BCA6D"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014181DB"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Lo anterior, resulta congruente con el Criterio 19/17 emitido por el Instituto Nacional de Transparencia, Acceso a la Información y Protección de Datos Personales, en el cual se señala lo siguiente:</w:t>
      </w:r>
    </w:p>
    <w:p w:rsidRPr="008A4F0D" w:rsidR="008A4F0D" w:rsidP="008A4F0D" w:rsidRDefault="008A4F0D" w14:paraId="491F6242"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5409648E" w14:textId="77777777">
      <w:pPr>
        <w:spacing w:line="360" w:lineRule="auto"/>
        <w:ind w:left="567" w:right="567"/>
        <w:jc w:val="both"/>
        <w:rPr>
          <w:rFonts w:ascii="Palatino Linotype" w:hAnsi="Palatino Linotype" w:cs="Tahoma"/>
          <w:bCs/>
          <w:i/>
          <w:iCs/>
          <w:sz w:val="20"/>
          <w:szCs w:val="22"/>
          <w:lang w:eastAsia="es-ES"/>
        </w:rPr>
      </w:pPr>
      <w:r w:rsidRPr="008A4F0D">
        <w:rPr>
          <w:rFonts w:ascii="Palatino Linotype" w:hAnsi="Palatino Linotype" w:cs="Tahoma"/>
          <w:b/>
          <w:bCs/>
          <w:i/>
          <w:iCs/>
          <w:sz w:val="20"/>
          <w:szCs w:val="22"/>
          <w:lang w:eastAsia="es-ES"/>
        </w:rPr>
        <w:t>“Registro Federal de Contribuyentes (RFC) de personas físicas.</w:t>
      </w:r>
      <w:r w:rsidRPr="008A4F0D">
        <w:rPr>
          <w:rFonts w:ascii="Palatino Linotype" w:hAnsi="Palatino Linotype" w:cs="Tahoma"/>
          <w:bCs/>
          <w:i/>
          <w:iCs/>
          <w:sz w:val="20"/>
          <w:szCs w:val="22"/>
          <w:lang w:eastAsia="es-ES"/>
        </w:rPr>
        <w:t xml:space="preserve"> El RFC es una clave de carácter fiscal, única e irrepetible, que permite identificar al titular, su edad y fecha de nacimiento, por lo que es un dato personal de carácter confidencial.”</w:t>
      </w:r>
    </w:p>
    <w:p w:rsidR="008A4F0D" w:rsidP="008A4F0D" w:rsidRDefault="008A4F0D" w14:paraId="07637414" w14:textId="77777777">
      <w:pPr>
        <w:spacing w:line="360" w:lineRule="auto"/>
        <w:jc w:val="both"/>
        <w:rPr>
          <w:rFonts w:ascii="Palatino Linotype" w:hAnsi="Palatino Linotype" w:cs="Tahoma"/>
          <w:bCs/>
          <w:iCs/>
          <w:sz w:val="22"/>
          <w:szCs w:val="22"/>
          <w:lang w:eastAsia="es-ES"/>
        </w:rPr>
      </w:pPr>
    </w:p>
    <w:p w:rsidRPr="008A4F0D" w:rsidR="00BF3DAB" w:rsidP="008A4F0D" w:rsidRDefault="00BF3DAB" w14:paraId="57DF39DC" w14:textId="77777777">
      <w:pPr>
        <w:spacing w:line="360" w:lineRule="auto"/>
        <w:jc w:val="both"/>
        <w:rPr>
          <w:rFonts w:ascii="Palatino Linotype" w:hAnsi="Palatino Linotype" w:cs="Tahoma"/>
          <w:bCs/>
          <w:iCs/>
          <w:sz w:val="22"/>
          <w:szCs w:val="22"/>
          <w:lang w:eastAsia="es-ES"/>
        </w:rPr>
      </w:pPr>
    </w:p>
    <w:p w:rsidRPr="008A4F0D" w:rsidR="008A4F0D" w:rsidP="008A4F0D" w:rsidRDefault="008A4F0D" w14:paraId="0D68EA9A" w14:textId="77777777">
      <w:pPr>
        <w:spacing w:line="360" w:lineRule="auto"/>
        <w:jc w:val="both"/>
        <w:rPr>
          <w:rFonts w:ascii="Palatino Linotype" w:hAnsi="Palatino Linotype" w:cs="Tahoma"/>
          <w:bCs/>
          <w:iCs/>
          <w:sz w:val="22"/>
          <w:szCs w:val="22"/>
          <w:lang w:eastAsia="es-ES"/>
        </w:rPr>
      </w:pPr>
      <w:r w:rsidRPr="008A4F0D">
        <w:rPr>
          <w:rFonts w:ascii="Palatino Linotype" w:hAnsi="Palatino Linotype" w:cs="Tahoma"/>
          <w:bCs/>
          <w:iCs/>
          <w:sz w:val="22"/>
          <w:szCs w:val="22"/>
          <w:lang w:eastAsia="es-E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8A4F0D" w:rsidP="009A40F7" w:rsidRDefault="008A4F0D" w14:paraId="7556D4AB" w14:textId="77777777">
      <w:pPr>
        <w:spacing w:line="360" w:lineRule="auto"/>
        <w:jc w:val="both"/>
        <w:rPr>
          <w:rFonts w:ascii="Palatino Linotype" w:hAnsi="Palatino Linotype" w:cs="Tahoma"/>
          <w:sz w:val="22"/>
          <w:szCs w:val="22"/>
        </w:rPr>
      </w:pPr>
    </w:p>
    <w:p w:rsidRPr="008A4F0D" w:rsidR="008A4F0D" w:rsidP="008A4F0D" w:rsidRDefault="008A4F0D" w14:paraId="32662FAB" w14:textId="0159B8D8">
      <w:pPr>
        <w:numPr>
          <w:ilvl w:val="0"/>
          <w:numId w:val="16"/>
        </w:numPr>
        <w:spacing w:line="360" w:lineRule="auto"/>
        <w:jc w:val="both"/>
        <w:rPr>
          <w:rFonts w:ascii="Palatino Linotype" w:hAnsi="Palatino Linotype" w:cs="Tahoma"/>
          <w:b/>
          <w:sz w:val="22"/>
          <w:szCs w:val="22"/>
        </w:rPr>
      </w:pPr>
      <w:r>
        <w:rPr>
          <w:rFonts w:ascii="Palatino Linotype" w:hAnsi="Palatino Linotype" w:cs="Tahoma"/>
          <w:b/>
          <w:sz w:val="22"/>
          <w:szCs w:val="22"/>
        </w:rPr>
        <w:t>CLABE interbancaria y c</w:t>
      </w:r>
      <w:r w:rsidRPr="008A4F0D">
        <w:rPr>
          <w:rFonts w:ascii="Palatino Linotype" w:hAnsi="Palatino Linotype" w:cs="Tahoma"/>
          <w:b/>
          <w:sz w:val="22"/>
          <w:szCs w:val="22"/>
        </w:rPr>
        <w:t xml:space="preserve">uenta bancaria </w:t>
      </w:r>
      <w:r>
        <w:rPr>
          <w:rFonts w:ascii="Palatino Linotype" w:hAnsi="Palatino Linotype" w:cs="Tahoma"/>
          <w:b/>
          <w:sz w:val="22"/>
          <w:szCs w:val="22"/>
        </w:rPr>
        <w:t>de la prestadora de servicios</w:t>
      </w:r>
      <w:r w:rsidRPr="008A4F0D">
        <w:rPr>
          <w:rFonts w:ascii="Palatino Linotype" w:hAnsi="Palatino Linotype" w:cs="Tahoma"/>
          <w:b/>
          <w:sz w:val="22"/>
          <w:szCs w:val="22"/>
        </w:rPr>
        <w:t xml:space="preserve">. </w:t>
      </w:r>
    </w:p>
    <w:p w:rsidRPr="008A4F0D" w:rsidR="008A4F0D" w:rsidP="008A4F0D" w:rsidRDefault="008A4F0D" w14:paraId="153F7ECD" w14:textId="77777777">
      <w:pPr>
        <w:spacing w:line="360" w:lineRule="auto"/>
        <w:jc w:val="both"/>
        <w:rPr>
          <w:rFonts w:ascii="Palatino Linotype" w:hAnsi="Palatino Linotype" w:cs="Tahoma"/>
          <w:sz w:val="22"/>
          <w:szCs w:val="22"/>
          <w:lang w:eastAsia="es-ES"/>
        </w:rPr>
      </w:pPr>
    </w:p>
    <w:p w:rsidRPr="008A4F0D" w:rsidR="008A4F0D" w:rsidP="008A4F0D" w:rsidRDefault="008A4F0D" w14:paraId="3FF0437B" w14:textId="77777777">
      <w:pPr>
        <w:spacing w:line="360" w:lineRule="auto"/>
        <w:jc w:val="both"/>
        <w:rPr>
          <w:rFonts w:ascii="Palatino Linotype" w:hAnsi="Palatino Linotype" w:eastAsia="Calibri" w:cs="Tahoma"/>
          <w:bCs/>
          <w:sz w:val="22"/>
          <w:szCs w:val="22"/>
          <w:lang w:eastAsia="en-US"/>
        </w:rPr>
      </w:pPr>
      <w:r w:rsidRPr="008A4F0D">
        <w:rPr>
          <w:rFonts w:ascii="Palatino Linotype" w:hAnsi="Palatino Linotype" w:eastAsia="Calibri" w:cs="Tahoma"/>
          <w:bCs/>
          <w:sz w:val="22"/>
          <w:szCs w:val="22"/>
          <w:lang w:eastAsia="en-US"/>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rsidRPr="008A4F0D" w:rsidR="008A4F0D" w:rsidP="008A4F0D" w:rsidRDefault="008A4F0D" w14:paraId="7F59AAAF" w14:textId="77777777">
      <w:pPr>
        <w:spacing w:line="360" w:lineRule="auto"/>
        <w:jc w:val="both"/>
        <w:rPr>
          <w:rFonts w:ascii="Palatino Linotype" w:hAnsi="Palatino Linotype" w:eastAsia="Calibri" w:cs="Tahoma"/>
          <w:bCs/>
          <w:sz w:val="22"/>
          <w:szCs w:val="22"/>
          <w:lang w:eastAsia="en-US"/>
        </w:rPr>
      </w:pPr>
      <w:r w:rsidRPr="008A4F0D">
        <w:rPr>
          <w:rFonts w:ascii="Palatino Linotype" w:hAnsi="Palatino Linotype" w:eastAsia="Calibri" w:cs="Tahoma"/>
          <w:bCs/>
          <w:sz w:val="22"/>
          <w:szCs w:val="22"/>
          <w:lang w:eastAsia="en-US"/>
        </w:rPr>
        <w:t> </w:t>
      </w:r>
    </w:p>
    <w:p w:rsidRPr="008A4F0D" w:rsidR="008A4F0D" w:rsidP="008A4F0D" w:rsidRDefault="008A4F0D" w14:paraId="2DF5F615" w14:textId="77777777">
      <w:pPr>
        <w:spacing w:line="360" w:lineRule="auto"/>
        <w:jc w:val="both"/>
        <w:rPr>
          <w:rFonts w:ascii="Palatino Linotype" w:hAnsi="Palatino Linotype" w:eastAsia="Calibri" w:cs="Tahoma"/>
          <w:bCs/>
          <w:sz w:val="22"/>
          <w:szCs w:val="22"/>
          <w:lang w:eastAsia="en-US"/>
        </w:rPr>
      </w:pPr>
      <w:r w:rsidRPr="008A4F0D">
        <w:rPr>
          <w:rFonts w:ascii="Palatino Linotype" w:hAnsi="Palatino Linotype" w:eastAsia="Calibri"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rsidRPr="008A4F0D" w:rsidR="008A4F0D" w:rsidP="008A4F0D" w:rsidRDefault="008A4F0D" w14:paraId="4FEE5CDE" w14:textId="77777777">
      <w:pPr>
        <w:spacing w:line="360" w:lineRule="auto"/>
        <w:jc w:val="both"/>
        <w:rPr>
          <w:rFonts w:ascii="Palatino Linotype" w:hAnsi="Palatino Linotype" w:eastAsia="Calibri" w:cs="Tahoma"/>
          <w:bCs/>
          <w:sz w:val="22"/>
          <w:szCs w:val="22"/>
          <w:lang w:eastAsia="en-US"/>
        </w:rPr>
      </w:pPr>
      <w:r w:rsidRPr="008A4F0D">
        <w:rPr>
          <w:rFonts w:ascii="Palatino Linotype" w:hAnsi="Palatino Linotype" w:eastAsia="Calibri" w:cs="Tahoma"/>
          <w:bCs/>
          <w:sz w:val="22"/>
          <w:szCs w:val="22"/>
          <w:lang w:eastAsia="en-US"/>
        </w:rPr>
        <w:t> </w:t>
      </w:r>
    </w:p>
    <w:p w:rsidRPr="008A4F0D" w:rsidR="008A4F0D" w:rsidP="008A4F0D" w:rsidRDefault="008A4F0D" w14:paraId="066D974E" w14:textId="77777777">
      <w:pPr>
        <w:spacing w:line="360" w:lineRule="auto"/>
        <w:ind w:left="567" w:right="567"/>
        <w:jc w:val="both"/>
        <w:rPr>
          <w:rFonts w:ascii="Palatino Linotype" w:hAnsi="Palatino Linotype" w:eastAsia="Calibri" w:cs="Tahoma"/>
          <w:bCs/>
          <w:i/>
          <w:sz w:val="20"/>
          <w:szCs w:val="20"/>
          <w:lang w:eastAsia="en-US"/>
        </w:rPr>
      </w:pPr>
      <w:r w:rsidRPr="008A4F0D">
        <w:rPr>
          <w:rFonts w:ascii="Palatino Linotype" w:hAnsi="Palatino Linotype" w:eastAsia="Calibri" w:cs="Tahoma"/>
          <w:bCs/>
          <w:i/>
          <w:sz w:val="20"/>
          <w:szCs w:val="20"/>
          <w:lang w:eastAsia="en-US"/>
        </w:rPr>
        <w:t>“</w:t>
      </w:r>
      <w:r w:rsidRPr="008A4F0D">
        <w:rPr>
          <w:rFonts w:ascii="Palatino Linotype" w:hAnsi="Palatino Linotype" w:eastAsia="Calibri" w:cs="Tahoma"/>
          <w:b/>
          <w:bCs/>
          <w:i/>
          <w:sz w:val="20"/>
          <w:szCs w:val="20"/>
          <w:lang w:eastAsia="en-US"/>
        </w:rPr>
        <w:t>Cuentas bancarias y/o CLABE interbancaria de personas físicas y morales privadas.</w:t>
      </w:r>
      <w:r w:rsidRPr="008A4F0D">
        <w:rPr>
          <w:rFonts w:ascii="Palatino Linotype" w:hAnsi="Palatino Linotype" w:eastAsia="Calibri" w:cs="Tahoma"/>
          <w:bCs/>
          <w:i/>
          <w:sz w:val="20"/>
          <w:szCs w:val="20"/>
          <w:lang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w:t>
      </w:r>
      <w:r w:rsidRPr="008A4F0D">
        <w:rPr>
          <w:rFonts w:ascii="Palatino Linotype" w:hAnsi="Palatino Linotype" w:eastAsia="Calibri" w:cs="Tahoma"/>
          <w:bCs/>
          <w:i/>
          <w:sz w:val="20"/>
          <w:szCs w:val="20"/>
          <w:lang w:eastAsia="en-US"/>
        </w:rPr>
        <w:lastRenderedPageBreak/>
        <w:t>clasificada con fundamento en los artículos 116 de la Ley General de Transparencia y Acceso a la Información Pública y 113 de la Ley Federal de Transparencia y Acceso a la Información Pública.”</w:t>
      </w:r>
    </w:p>
    <w:p w:rsidRPr="008A4F0D" w:rsidR="008A4F0D" w:rsidP="008A4F0D" w:rsidRDefault="008A4F0D" w14:paraId="355238F8" w14:textId="77777777">
      <w:pPr>
        <w:spacing w:line="360" w:lineRule="auto"/>
        <w:jc w:val="both"/>
        <w:rPr>
          <w:rFonts w:ascii="Palatino Linotype" w:hAnsi="Palatino Linotype" w:eastAsia="Calibri" w:cs="Tahoma"/>
          <w:bCs/>
          <w:sz w:val="22"/>
          <w:szCs w:val="22"/>
          <w:lang w:eastAsia="en-US"/>
        </w:rPr>
      </w:pPr>
    </w:p>
    <w:p w:rsidRPr="008A4F0D" w:rsidR="008A4F0D" w:rsidP="008A4F0D" w:rsidRDefault="008A4F0D" w14:paraId="2E604D53" w14:textId="398F2023">
      <w:pPr>
        <w:spacing w:line="360" w:lineRule="auto"/>
        <w:jc w:val="both"/>
        <w:rPr>
          <w:rFonts w:ascii="Palatino Linotype" w:hAnsi="Palatino Linotype" w:eastAsia="Calibri" w:cs="Tahoma"/>
          <w:bCs/>
          <w:sz w:val="22"/>
          <w:szCs w:val="22"/>
          <w:lang w:eastAsia="en-US"/>
        </w:rPr>
      </w:pPr>
      <w:r w:rsidRPr="008A4F0D">
        <w:rPr>
          <w:rFonts w:ascii="Palatino Linotype" w:hAnsi="Palatino Linotype" w:eastAsia="Calibri" w:cs="Tahoma"/>
          <w:bCs/>
          <w:sz w:val="22"/>
          <w:szCs w:val="22"/>
          <w:lang w:eastAsia="en-US"/>
        </w:rPr>
        <w:t>Por lo cual, se puede colegir que dichos datos no guardan relación con el servicio público ni con los recursos públicos, pues solo corresponde a información, que le atañe a la institución financiera y al</w:t>
      </w:r>
      <w:r>
        <w:rPr>
          <w:rFonts w:ascii="Palatino Linotype" w:hAnsi="Palatino Linotype" w:eastAsia="Calibri" w:cs="Tahoma"/>
          <w:bCs/>
          <w:sz w:val="22"/>
          <w:szCs w:val="22"/>
          <w:lang w:eastAsia="en-US"/>
        </w:rPr>
        <w:t xml:space="preserve"> cliente; por lo que el número de cuenta y la CLABE interbancaria</w:t>
      </w:r>
      <w:r w:rsidRPr="008A4F0D">
        <w:rPr>
          <w:rFonts w:ascii="Palatino Linotype" w:hAnsi="Palatino Linotype" w:eastAsia="Calibri" w:cs="Tahoma"/>
          <w:bCs/>
          <w:sz w:val="22"/>
          <w:szCs w:val="22"/>
          <w:lang w:eastAsia="en-US"/>
        </w:rPr>
        <w:t xml:space="preserve"> constituye información confidencial al pertenecer exclusivamente al ámbito de la vida privada d</w:t>
      </w:r>
      <w:r>
        <w:rPr>
          <w:rFonts w:ascii="Palatino Linotype" w:hAnsi="Palatino Linotype" w:eastAsia="Calibri" w:cs="Tahoma"/>
          <w:bCs/>
          <w:sz w:val="22"/>
          <w:szCs w:val="22"/>
          <w:lang w:eastAsia="en-US"/>
        </w:rPr>
        <w:t>el prestador de servicios, por lo que</w:t>
      </w:r>
      <w:r w:rsidRPr="008A4F0D">
        <w:rPr>
          <w:rFonts w:ascii="Palatino Linotype" w:hAnsi="Palatino Linotype" w:eastAsia="Calibri" w:cs="Tahoma"/>
          <w:bCs/>
          <w:sz w:val="22"/>
          <w:szCs w:val="22"/>
          <w:lang w:eastAsia="en-US"/>
        </w:rPr>
        <w:t xml:space="preserve"> procede su eliminación de conformidad con el artículo 143, fracción I, de la Ley de Transparencia y Acceso a la Información Pública del Estado de México y Municipios.</w:t>
      </w:r>
    </w:p>
    <w:p w:rsidR="008A4F0D" w:rsidP="009A40F7" w:rsidRDefault="008A4F0D" w14:paraId="5196E30B" w14:textId="77777777">
      <w:pPr>
        <w:spacing w:line="360" w:lineRule="auto"/>
        <w:jc w:val="both"/>
        <w:rPr>
          <w:rFonts w:ascii="Palatino Linotype" w:hAnsi="Palatino Linotype" w:cs="Tahoma"/>
          <w:sz w:val="22"/>
          <w:szCs w:val="22"/>
        </w:rPr>
      </w:pPr>
    </w:p>
    <w:p w:rsidRPr="008A4F0D" w:rsidR="008A4F0D" w:rsidP="008A4F0D" w:rsidRDefault="008A4F0D" w14:paraId="1806476E" w14:textId="2B072263">
      <w:pPr>
        <w:numPr>
          <w:ilvl w:val="0"/>
          <w:numId w:val="16"/>
        </w:numPr>
        <w:spacing w:after="160" w:line="360" w:lineRule="auto"/>
        <w:contextualSpacing/>
        <w:jc w:val="both"/>
        <w:rPr>
          <w:rFonts w:ascii="Palatino Linotype" w:hAnsi="Palatino Linotype" w:eastAsia="Calibri" w:cs="Tahoma"/>
          <w:b/>
          <w:bCs/>
          <w:sz w:val="22"/>
          <w:szCs w:val="22"/>
          <w:lang w:eastAsia="en-US"/>
        </w:rPr>
      </w:pPr>
      <w:r w:rsidRPr="008A4F0D">
        <w:rPr>
          <w:rFonts w:ascii="Palatino Linotype" w:hAnsi="Palatino Linotype" w:eastAsia="Calibri" w:cs="Tahoma"/>
          <w:b/>
          <w:bCs/>
          <w:sz w:val="22"/>
          <w:szCs w:val="22"/>
          <w:lang w:eastAsia="en-US"/>
        </w:rPr>
        <w:t xml:space="preserve">Domicilio </w:t>
      </w:r>
      <w:r>
        <w:rPr>
          <w:rFonts w:ascii="Palatino Linotype" w:hAnsi="Palatino Linotype" w:eastAsia="Calibri" w:cs="Tahoma"/>
          <w:b/>
          <w:bCs/>
          <w:sz w:val="22"/>
          <w:szCs w:val="22"/>
          <w:lang w:eastAsia="en-US"/>
        </w:rPr>
        <w:t>de la prestadora de servicios</w:t>
      </w:r>
      <w:r w:rsidRPr="008A4F0D">
        <w:rPr>
          <w:rFonts w:ascii="Palatino Linotype" w:hAnsi="Palatino Linotype" w:eastAsia="Calibri" w:cs="Tahoma"/>
          <w:b/>
          <w:bCs/>
          <w:sz w:val="22"/>
          <w:szCs w:val="22"/>
          <w:lang w:eastAsia="en-US"/>
        </w:rPr>
        <w:t>.</w:t>
      </w:r>
    </w:p>
    <w:p w:rsidRPr="008A4F0D" w:rsidR="008A4F0D" w:rsidP="008A4F0D" w:rsidRDefault="008A4F0D" w14:paraId="43EEF26B" w14:textId="77777777">
      <w:pPr>
        <w:spacing w:line="360" w:lineRule="auto"/>
        <w:ind w:left="720"/>
        <w:contextualSpacing/>
        <w:rPr>
          <w:rFonts w:ascii="Palatino Linotype" w:hAnsi="Palatino Linotype" w:eastAsia="Calibri" w:cs="Tahoma"/>
          <w:b/>
          <w:bCs/>
          <w:sz w:val="22"/>
          <w:szCs w:val="22"/>
          <w:lang w:eastAsia="en-US"/>
        </w:rPr>
      </w:pPr>
    </w:p>
    <w:p w:rsidRPr="008A4F0D" w:rsidR="008A4F0D" w:rsidP="008A4F0D" w:rsidRDefault="008A4F0D" w14:paraId="40D6DA33" w14:textId="77777777">
      <w:pPr>
        <w:spacing w:line="360" w:lineRule="auto"/>
        <w:ind w:right="-93"/>
        <w:jc w:val="both"/>
        <w:rPr>
          <w:rFonts w:ascii="Palatino Linotype" w:hAnsi="Palatino Linotype" w:cs="Tahoma"/>
          <w:sz w:val="22"/>
          <w:szCs w:val="22"/>
          <w:lang w:val="es-ES" w:eastAsia="es-ES"/>
        </w:rPr>
      </w:pPr>
      <w:r w:rsidRPr="008A4F0D">
        <w:rPr>
          <w:rFonts w:ascii="Palatino Linotype" w:hAnsi="Palatino Linotype" w:cs="Tahoma"/>
          <w:sz w:val="22"/>
          <w:szCs w:val="22"/>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8A4F0D" w:rsidR="008A4F0D" w:rsidP="008A4F0D" w:rsidRDefault="008A4F0D" w14:paraId="0D7D9C84" w14:textId="77777777">
      <w:pPr>
        <w:spacing w:line="360" w:lineRule="auto"/>
        <w:ind w:right="-93"/>
        <w:jc w:val="both"/>
        <w:rPr>
          <w:rFonts w:ascii="Palatino Linotype" w:hAnsi="Palatino Linotype" w:cs="Tahoma"/>
          <w:sz w:val="22"/>
          <w:szCs w:val="22"/>
          <w:lang w:val="es-ES" w:eastAsia="es-ES"/>
        </w:rPr>
      </w:pPr>
    </w:p>
    <w:p w:rsidRPr="008A4F0D" w:rsidR="008A4F0D" w:rsidP="008A4F0D" w:rsidRDefault="008A4F0D" w14:paraId="26EA1A18" w14:textId="77777777">
      <w:pPr>
        <w:spacing w:line="360" w:lineRule="auto"/>
        <w:ind w:right="-93"/>
        <w:jc w:val="both"/>
        <w:rPr>
          <w:rFonts w:ascii="Palatino Linotype" w:hAnsi="Palatino Linotype" w:cs="Tahoma"/>
          <w:b/>
          <w:sz w:val="22"/>
          <w:szCs w:val="22"/>
          <w:lang w:val="es-ES" w:eastAsia="es-ES"/>
        </w:rPr>
      </w:pPr>
      <w:r w:rsidRPr="008A4F0D">
        <w:rPr>
          <w:rFonts w:ascii="Palatino Linotype" w:hAnsi="Palatino Linotype" w:cs="Tahoma"/>
          <w:sz w:val="22"/>
          <w:szCs w:val="22"/>
          <w:lang w:val="es-ES" w:eastAsia="es-ES"/>
        </w:rPr>
        <w:t>De la misma manera, lo establece el artículo 29 del Código Civil Federal, al precisar que el domicilio de personas físicas</w:t>
      </w:r>
      <w:r w:rsidRPr="008A4F0D">
        <w:rPr>
          <w:rFonts w:ascii="Palatino Linotype" w:hAnsi="Palatino Linotype" w:cs="Tahoma"/>
          <w:b/>
          <w:sz w:val="22"/>
          <w:szCs w:val="22"/>
          <w:lang w:val="es-ES" w:eastAsia="es-ES"/>
        </w:rPr>
        <w:t>, es el lugar donde residen habitualmente, el lugar del centro principal de sus negocios, donde residan o el lugar donde se encuentren.</w:t>
      </w:r>
    </w:p>
    <w:p w:rsidRPr="008A4F0D" w:rsidR="008A4F0D" w:rsidP="008A4F0D" w:rsidRDefault="008A4F0D" w14:paraId="7DF7CFA6" w14:textId="77777777">
      <w:pPr>
        <w:spacing w:line="360" w:lineRule="auto"/>
        <w:jc w:val="both"/>
        <w:rPr>
          <w:rFonts w:ascii="Palatino Linotype" w:hAnsi="Palatino Linotype" w:eastAsia="Calibri" w:cs="Tahoma"/>
          <w:b/>
          <w:bCs/>
          <w:sz w:val="20"/>
          <w:szCs w:val="22"/>
          <w:lang w:eastAsia="en-US"/>
        </w:rPr>
      </w:pPr>
    </w:p>
    <w:p w:rsidRPr="008A4F0D" w:rsidR="008A4F0D" w:rsidP="008A4F0D" w:rsidRDefault="008A4F0D" w14:paraId="26E617B4" w14:textId="77777777">
      <w:pPr>
        <w:spacing w:line="360" w:lineRule="auto"/>
        <w:ind w:right="-93"/>
        <w:jc w:val="both"/>
        <w:rPr>
          <w:rFonts w:ascii="Palatino Linotype" w:hAnsi="Palatino Linotype" w:cs="Tahoma"/>
          <w:sz w:val="22"/>
          <w:szCs w:val="22"/>
          <w:lang w:val="es-ES" w:eastAsia="es-ES"/>
        </w:rPr>
      </w:pPr>
      <w:r w:rsidRPr="008A4F0D">
        <w:rPr>
          <w:rFonts w:ascii="Palatino Linotype" w:hAnsi="Palatino Linotype" w:cs="Tahoma"/>
          <w:sz w:val="22"/>
          <w:szCs w:val="22"/>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w:t>
      </w:r>
      <w:r w:rsidRPr="008A4F0D">
        <w:rPr>
          <w:rFonts w:ascii="Palatino Linotype" w:hAnsi="Palatino Linotype" w:cs="Tahoma"/>
          <w:sz w:val="22"/>
          <w:szCs w:val="22"/>
          <w:lang w:val="es-ES" w:eastAsia="es-ES"/>
        </w:rPr>
        <w:lastRenderedPageBreak/>
        <w:t>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8A4F0D" w:rsidP="008A4F0D" w:rsidRDefault="008A4F0D" w14:paraId="64282CBB" w14:textId="77777777">
      <w:pPr>
        <w:spacing w:line="360" w:lineRule="auto"/>
        <w:jc w:val="both"/>
        <w:rPr>
          <w:rFonts w:ascii="Palatino Linotype" w:hAnsi="Palatino Linotype" w:eastAsia="Calibri" w:cs="Tahoma"/>
          <w:bCs/>
          <w:sz w:val="22"/>
          <w:szCs w:val="22"/>
          <w:lang w:eastAsia="en-US"/>
        </w:rPr>
      </w:pPr>
    </w:p>
    <w:p w:rsidRPr="007E77D6" w:rsidR="007E77D6" w:rsidP="008A4F0D" w:rsidRDefault="007E77D6" w14:paraId="1D57E5CB" w14:textId="1B7CA999">
      <w:pPr>
        <w:spacing w:line="360" w:lineRule="auto"/>
        <w:jc w:val="both"/>
        <w:rPr>
          <w:rFonts w:ascii="Palatino Linotype" w:hAnsi="Palatino Linotype" w:eastAsia="Calibri" w:cs="Tahoma"/>
          <w:color w:val="000000"/>
          <w:sz w:val="22"/>
        </w:rPr>
      </w:pPr>
      <w:r w:rsidRPr="007E77D6">
        <w:rPr>
          <w:rFonts w:ascii="Palatino Linotype" w:hAnsi="Palatino Linotype" w:eastAsia="Calibri" w:cs="Tahoma"/>
          <w:color w:val="000000"/>
          <w:sz w:val="22"/>
        </w:rPr>
        <w:t>En ese contexto,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8A4F0D" w:rsidR="007E77D6" w:rsidP="008A4F0D" w:rsidRDefault="007E77D6" w14:paraId="50175F95" w14:textId="77777777">
      <w:pPr>
        <w:spacing w:line="360" w:lineRule="auto"/>
        <w:jc w:val="both"/>
        <w:rPr>
          <w:rFonts w:ascii="Palatino Linotype" w:hAnsi="Palatino Linotype" w:eastAsia="Calibri" w:cs="Tahoma"/>
          <w:bCs/>
          <w:sz w:val="22"/>
          <w:szCs w:val="22"/>
          <w:lang w:eastAsia="en-US"/>
        </w:rPr>
      </w:pPr>
    </w:p>
    <w:p w:rsidR="009B17DE" w:rsidP="00710DA7" w:rsidRDefault="007E77D6" w14:paraId="212F0EA7" w14:textId="687133F8">
      <w:pPr>
        <w:spacing w:line="360" w:lineRule="auto"/>
        <w:jc w:val="both"/>
        <w:rPr>
          <w:rFonts w:ascii="Palatino Linotype" w:hAnsi="Palatino Linotype" w:eastAsia="Calibri" w:cs="Tahoma"/>
          <w:color w:val="000000"/>
          <w:sz w:val="22"/>
        </w:rPr>
      </w:pPr>
      <w:r>
        <w:rPr>
          <w:rFonts w:ascii="Palatino Linotype" w:hAnsi="Palatino Linotype" w:eastAsia="Calibri" w:cs="Tahoma"/>
          <w:color w:val="000000"/>
          <w:sz w:val="22"/>
        </w:rPr>
        <w:t>Conforme a lo anterior, se logra vislumbrar que el Sujeto Obligado proporcionó la versión pública del contrato eliminando los datos confidenciales de la prestadora de servicios, a saber, su Registro Federal de Contribuyentes, su domicilio, su cuenta bancaria y su clave interbancaria; sin embargo, de las constancias que obran en el expediente, no se advierte que haya fundado y motivado la clasificación de dichos datos.</w:t>
      </w:r>
    </w:p>
    <w:p w:rsidR="007E77D6" w:rsidP="00710DA7" w:rsidRDefault="007E77D6" w14:paraId="2C08CB6F" w14:textId="77777777">
      <w:pPr>
        <w:spacing w:line="360" w:lineRule="auto"/>
        <w:jc w:val="both"/>
        <w:rPr>
          <w:rFonts w:ascii="Palatino Linotype" w:hAnsi="Palatino Linotype" w:eastAsia="Calibri" w:cs="Tahoma"/>
          <w:color w:val="000000"/>
          <w:sz w:val="22"/>
        </w:rPr>
      </w:pPr>
    </w:p>
    <w:p w:rsidRPr="007E77D6" w:rsidR="007E77D6" w:rsidP="007E77D6" w:rsidRDefault="007E77D6" w14:paraId="1AC97A05" w14:textId="306256F7">
      <w:pPr>
        <w:spacing w:line="360" w:lineRule="auto"/>
        <w:jc w:val="both"/>
        <w:rPr>
          <w:rFonts w:ascii="Palatino Linotype" w:hAnsi="Palatino Linotype" w:eastAsia="Calibri" w:cs="Tahoma"/>
          <w:color w:val="000000"/>
          <w:sz w:val="22"/>
        </w:rPr>
      </w:pPr>
      <w:r>
        <w:rPr>
          <w:rFonts w:ascii="Palatino Linotype" w:hAnsi="Palatino Linotype" w:eastAsia="Calibri" w:cs="Tahoma"/>
          <w:color w:val="000000"/>
          <w:sz w:val="22"/>
        </w:rPr>
        <w:t>Lo anterior, toma relevancia pues el artículo 168 de la Ley de Transparencia y Acceso a la Información Pública del Estado de México y Municipios, establece que</w:t>
      </w:r>
      <w:r w:rsidRPr="007E77D6">
        <w:rPr>
          <w:rFonts w:ascii="Palatino Linotype" w:hAnsi="Palatino Linotype" w:eastAsia="Calibri" w:cs="Tahoma"/>
          <w:color w:val="000000"/>
          <w:sz w:val="22"/>
        </w:rPr>
        <w:t xml:space="preserv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Pr="007E77D6" w:rsidR="007E77D6" w:rsidP="007E77D6" w:rsidRDefault="007E77D6" w14:paraId="3E5ADE8B" w14:textId="77777777">
      <w:pPr>
        <w:spacing w:line="360" w:lineRule="auto"/>
        <w:jc w:val="both"/>
        <w:rPr>
          <w:rFonts w:ascii="Palatino Linotype" w:hAnsi="Palatino Linotype" w:eastAsia="Calibri" w:cs="Tahoma"/>
          <w:color w:val="000000"/>
          <w:sz w:val="22"/>
        </w:rPr>
      </w:pPr>
    </w:p>
    <w:p w:rsidRPr="007E77D6" w:rsidR="007E77D6" w:rsidP="007E77D6" w:rsidRDefault="007E77D6" w14:paraId="3F185456" w14:textId="14B28CD2">
      <w:pPr>
        <w:pStyle w:val="Prrafodelista"/>
        <w:numPr>
          <w:ilvl w:val="0"/>
          <w:numId w:val="48"/>
        </w:numPr>
        <w:spacing w:line="360" w:lineRule="auto"/>
        <w:rPr>
          <w:rFonts w:eastAsia="Calibri" w:cs="Tahoma"/>
          <w:color w:val="000000"/>
        </w:rPr>
      </w:pPr>
      <w:r w:rsidRPr="007E77D6">
        <w:rPr>
          <w:rFonts w:eastAsia="Calibri" w:cs="Tahoma"/>
          <w:color w:val="000000"/>
        </w:rPr>
        <w:t>Confirmar la clasificación;</w:t>
      </w:r>
    </w:p>
    <w:p w:rsidR="007E77D6" w:rsidP="007E77D6" w:rsidRDefault="007E77D6" w14:paraId="236838EB" w14:textId="77777777">
      <w:pPr>
        <w:spacing w:line="360" w:lineRule="auto"/>
        <w:jc w:val="both"/>
        <w:rPr>
          <w:rFonts w:ascii="Palatino Linotype" w:hAnsi="Palatino Linotype" w:eastAsia="Calibri" w:cs="Tahoma"/>
          <w:color w:val="000000"/>
          <w:sz w:val="22"/>
        </w:rPr>
      </w:pPr>
    </w:p>
    <w:p w:rsidR="00BF3DAB" w:rsidP="007E77D6" w:rsidRDefault="00BF3DAB" w14:paraId="29BB912D" w14:textId="77777777">
      <w:pPr>
        <w:spacing w:line="360" w:lineRule="auto"/>
        <w:jc w:val="both"/>
        <w:rPr>
          <w:rFonts w:ascii="Palatino Linotype" w:hAnsi="Palatino Linotype" w:eastAsia="Calibri" w:cs="Tahoma"/>
          <w:color w:val="000000"/>
          <w:sz w:val="22"/>
        </w:rPr>
      </w:pPr>
    </w:p>
    <w:p w:rsidR="00BF3DAB" w:rsidP="007E77D6" w:rsidRDefault="00BF3DAB" w14:paraId="1BBD468A" w14:textId="77777777">
      <w:pPr>
        <w:spacing w:line="360" w:lineRule="auto"/>
        <w:jc w:val="both"/>
        <w:rPr>
          <w:rFonts w:ascii="Palatino Linotype" w:hAnsi="Palatino Linotype" w:eastAsia="Calibri" w:cs="Tahoma"/>
          <w:color w:val="000000"/>
          <w:sz w:val="22"/>
        </w:rPr>
      </w:pPr>
    </w:p>
    <w:p w:rsidRPr="007E77D6" w:rsidR="00BF3DAB" w:rsidP="007E77D6" w:rsidRDefault="00BF3DAB" w14:paraId="4747D1C8" w14:textId="77777777">
      <w:pPr>
        <w:spacing w:line="360" w:lineRule="auto"/>
        <w:jc w:val="both"/>
        <w:rPr>
          <w:rFonts w:ascii="Palatino Linotype" w:hAnsi="Palatino Linotype" w:eastAsia="Calibri" w:cs="Tahoma"/>
          <w:color w:val="000000"/>
          <w:sz w:val="22"/>
        </w:rPr>
      </w:pPr>
    </w:p>
    <w:p w:rsidRPr="007E77D6" w:rsidR="007E77D6" w:rsidP="007E77D6" w:rsidRDefault="007E77D6" w14:paraId="705C4265" w14:textId="22E70B8B">
      <w:pPr>
        <w:pStyle w:val="Prrafodelista"/>
        <w:numPr>
          <w:ilvl w:val="0"/>
          <w:numId w:val="48"/>
        </w:numPr>
        <w:spacing w:line="360" w:lineRule="auto"/>
        <w:rPr>
          <w:rFonts w:eastAsia="Calibri" w:cs="Tahoma"/>
          <w:color w:val="000000"/>
        </w:rPr>
      </w:pPr>
      <w:r w:rsidRPr="007E77D6">
        <w:rPr>
          <w:rFonts w:eastAsia="Calibri" w:cs="Tahoma"/>
          <w:color w:val="000000"/>
        </w:rPr>
        <w:t>Modificar la clasificación y, otorgar total o parcialmente el acceso a la información, o</w:t>
      </w:r>
    </w:p>
    <w:p w:rsidRPr="007E77D6" w:rsidR="007E77D6" w:rsidP="007E77D6" w:rsidRDefault="007E77D6" w14:paraId="1E6C1148" w14:textId="77777777">
      <w:pPr>
        <w:spacing w:line="360" w:lineRule="auto"/>
        <w:jc w:val="both"/>
        <w:rPr>
          <w:rFonts w:ascii="Palatino Linotype" w:hAnsi="Palatino Linotype" w:eastAsia="Calibri" w:cs="Tahoma"/>
          <w:color w:val="000000"/>
          <w:sz w:val="22"/>
        </w:rPr>
      </w:pPr>
    </w:p>
    <w:p w:rsidRPr="007E77D6" w:rsidR="007E77D6" w:rsidP="007E77D6" w:rsidRDefault="007E77D6" w14:paraId="32DFC2E9" w14:textId="47AF15E0">
      <w:pPr>
        <w:pStyle w:val="Prrafodelista"/>
        <w:numPr>
          <w:ilvl w:val="0"/>
          <w:numId w:val="48"/>
        </w:numPr>
        <w:spacing w:line="360" w:lineRule="auto"/>
        <w:rPr>
          <w:rFonts w:eastAsia="Calibri" w:cs="Tahoma"/>
          <w:color w:val="000000"/>
        </w:rPr>
      </w:pPr>
      <w:r w:rsidRPr="007E77D6">
        <w:rPr>
          <w:rFonts w:eastAsia="Calibri" w:cs="Tahoma"/>
          <w:color w:val="000000"/>
        </w:rPr>
        <w:t>Revocar la clasificación y conceder el acceso a la información.</w:t>
      </w:r>
    </w:p>
    <w:p w:rsidRPr="007E77D6" w:rsidR="007E77D6" w:rsidP="007E77D6" w:rsidRDefault="007E77D6" w14:paraId="4D45309F" w14:textId="77777777">
      <w:pPr>
        <w:spacing w:line="360" w:lineRule="auto"/>
        <w:jc w:val="both"/>
        <w:rPr>
          <w:rFonts w:ascii="Palatino Linotype" w:hAnsi="Palatino Linotype" w:eastAsia="Calibri" w:cs="Tahoma"/>
          <w:color w:val="000000"/>
          <w:sz w:val="22"/>
        </w:rPr>
      </w:pPr>
    </w:p>
    <w:p w:rsidR="007E77D6" w:rsidP="007E77D6" w:rsidRDefault="007E77D6" w14:paraId="59E39858" w14:textId="726724A4">
      <w:pPr>
        <w:spacing w:line="360" w:lineRule="auto"/>
        <w:jc w:val="both"/>
        <w:rPr>
          <w:rFonts w:ascii="Palatino Linotype" w:hAnsi="Palatino Linotype" w:eastAsia="Calibri" w:cs="Tahoma"/>
          <w:color w:val="000000"/>
          <w:sz w:val="22"/>
        </w:rPr>
      </w:pPr>
      <w:r w:rsidRPr="007E77D6">
        <w:rPr>
          <w:rFonts w:ascii="Palatino Linotype" w:hAnsi="Palatino Linotype" w:eastAsia="Calibri" w:cs="Tahoma"/>
          <w:color w:val="000000"/>
          <w:sz w:val="22"/>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w:t>
      </w:r>
    </w:p>
    <w:p w:rsidR="007E77D6" w:rsidP="00710DA7" w:rsidRDefault="007E77D6" w14:paraId="2A68A512" w14:textId="77777777">
      <w:pPr>
        <w:spacing w:line="360" w:lineRule="auto"/>
        <w:jc w:val="both"/>
        <w:rPr>
          <w:rFonts w:ascii="Palatino Linotype" w:hAnsi="Palatino Linotype" w:eastAsia="Calibri" w:cs="Tahoma"/>
          <w:color w:val="000000"/>
          <w:sz w:val="22"/>
        </w:rPr>
      </w:pPr>
    </w:p>
    <w:p w:rsidRPr="007E77D6" w:rsidR="007E77D6" w:rsidP="007E77D6" w:rsidRDefault="007E77D6" w14:paraId="61E17B81" w14:textId="77777777">
      <w:pPr>
        <w:spacing w:line="360" w:lineRule="auto"/>
        <w:jc w:val="both"/>
        <w:rPr>
          <w:rFonts w:ascii="Palatino Linotype" w:hAnsi="Palatino Linotype" w:eastAsia="Calibri" w:cs="Tahoma"/>
          <w:color w:val="000000"/>
          <w:sz w:val="22"/>
          <w:lang w:val="es-ES"/>
        </w:rPr>
      </w:pPr>
      <w:r w:rsidRPr="007E77D6">
        <w:rPr>
          <w:rFonts w:ascii="Palatino Linotype" w:hAnsi="Palatino Linotype" w:eastAsia="Calibri" w:cs="Tahoma"/>
          <w:color w:val="000000"/>
          <w:sz w:val="22"/>
          <w:lang w:val="es-ES"/>
        </w:rPr>
        <w:t xml:space="preserve">En ese contexto, de las constancias que obran en el expediente, no se advierte que el </w:t>
      </w:r>
      <w:r>
        <w:rPr>
          <w:rFonts w:ascii="Palatino Linotype" w:hAnsi="Palatino Linotype" w:eastAsia="Calibri" w:cs="Tahoma"/>
          <w:color w:val="000000"/>
          <w:sz w:val="22"/>
          <w:lang w:val="es-ES"/>
        </w:rPr>
        <w:t>Sujeto O</w:t>
      </w:r>
      <w:r w:rsidRPr="007E77D6">
        <w:rPr>
          <w:rFonts w:ascii="Palatino Linotype" w:hAnsi="Palatino Linotype" w:eastAsia="Calibri" w:cs="Tahoma"/>
          <w:color w:val="000000"/>
          <w:sz w:val="22"/>
          <w:lang w:val="es-ES"/>
        </w:rPr>
        <w:t xml:space="preserve">bligado haya sometido la clasificación </w:t>
      </w:r>
      <w:r>
        <w:rPr>
          <w:rFonts w:ascii="Palatino Linotype" w:hAnsi="Palatino Linotype" w:eastAsia="Calibri" w:cs="Tahoma"/>
          <w:color w:val="000000"/>
          <w:sz w:val="22"/>
          <w:lang w:val="es-ES"/>
        </w:rPr>
        <w:t>de los datos testados en el contrato</w:t>
      </w:r>
      <w:r w:rsidRPr="007E77D6">
        <w:rPr>
          <w:rFonts w:ascii="Palatino Linotype" w:hAnsi="Palatino Linotype" w:eastAsia="Calibri" w:cs="Tahoma"/>
          <w:color w:val="000000"/>
          <w:sz w:val="22"/>
          <w:lang w:val="es-ES"/>
        </w:rPr>
        <w:t xml:space="preserve">, ante su Comité de Transparencia, lo cual, se encontraba constreñido realizar, en términos del artículo </w:t>
      </w:r>
      <w:r>
        <w:rPr>
          <w:rFonts w:ascii="Palatino Linotype" w:hAnsi="Palatino Linotype" w:eastAsia="Calibri" w:cs="Tahoma"/>
          <w:color w:val="000000"/>
          <w:sz w:val="22"/>
          <w:lang w:val="es-ES"/>
        </w:rPr>
        <w:t>168</w:t>
      </w:r>
      <w:r w:rsidRPr="007E77D6">
        <w:rPr>
          <w:rFonts w:ascii="Palatino Linotype" w:hAnsi="Palatino Linotype" w:eastAsia="Calibri" w:cs="Tahoma"/>
          <w:color w:val="000000"/>
          <w:sz w:val="22"/>
          <w:lang w:val="es-ES"/>
        </w:rPr>
        <w:t xml:space="preserve"> de la </w:t>
      </w:r>
      <w:r>
        <w:rPr>
          <w:rFonts w:ascii="Palatino Linotype" w:hAnsi="Palatino Linotype" w:eastAsia="Calibri" w:cs="Tahoma"/>
          <w:color w:val="000000"/>
          <w:sz w:val="22"/>
        </w:rPr>
        <w:t>Ley de Transparencia y Acceso a la Información Pública del Estado de México y Municipios; por lo que, resulta procedente ordenar su entrega.</w:t>
      </w:r>
      <w:r w:rsidRPr="007E77D6">
        <w:rPr>
          <w:rFonts w:ascii="Palatino Linotype" w:hAnsi="Palatino Linotype" w:eastAsia="Calibri" w:cs="Tahoma"/>
          <w:color w:val="000000"/>
          <w:sz w:val="22"/>
          <w:lang w:val="es-ES"/>
        </w:rPr>
        <w:t xml:space="preserve"> </w:t>
      </w:r>
    </w:p>
    <w:p w:rsidR="007E77D6" w:rsidP="00710DA7" w:rsidRDefault="007E77D6" w14:paraId="0B915A2A" w14:textId="77777777">
      <w:pPr>
        <w:spacing w:line="360" w:lineRule="auto"/>
        <w:jc w:val="both"/>
        <w:rPr>
          <w:rFonts w:ascii="Palatino Linotype" w:hAnsi="Palatino Linotype" w:eastAsia="Calibri" w:cs="Tahoma"/>
          <w:color w:val="000000"/>
          <w:sz w:val="22"/>
        </w:rPr>
      </w:pPr>
    </w:p>
    <w:p w:rsidR="00BF3FC0" w:rsidP="00710DA7" w:rsidRDefault="00BF3FC0" w14:paraId="39BF45CF" w14:textId="386E3DF6">
      <w:pPr>
        <w:spacing w:line="360" w:lineRule="auto"/>
        <w:jc w:val="both"/>
        <w:rPr>
          <w:rFonts w:ascii="Palatino Linotype" w:hAnsi="Palatino Linotype" w:eastAsia="Calibri" w:cs="Tahoma"/>
          <w:color w:val="000000"/>
          <w:sz w:val="22"/>
        </w:rPr>
      </w:pPr>
      <w:r>
        <w:rPr>
          <w:rFonts w:ascii="Palatino Linotype" w:hAnsi="Palatino Linotype" w:eastAsia="Calibri" w:cs="Tahoma"/>
          <w:color w:val="000000"/>
          <w:sz w:val="22"/>
        </w:rPr>
        <w:t xml:space="preserve">En ese contexto, este Instituto considera que el agravio es </w:t>
      </w:r>
      <w:r>
        <w:rPr>
          <w:rFonts w:ascii="Palatino Linotype" w:hAnsi="Palatino Linotype" w:eastAsia="Calibri" w:cs="Tahoma"/>
          <w:b/>
          <w:color w:val="000000"/>
          <w:sz w:val="22"/>
        </w:rPr>
        <w:t xml:space="preserve">PARCIALMENTE FUNDADO, </w:t>
      </w:r>
      <w:r>
        <w:rPr>
          <w:rFonts w:ascii="Palatino Linotype" w:hAnsi="Palatino Linotype" w:eastAsia="Calibri" w:cs="Tahoma"/>
          <w:color w:val="000000"/>
          <w:sz w:val="22"/>
        </w:rPr>
        <w:t xml:space="preserve">pues si bien entregó la versión pública de la información que daba cuenta de lo solicitado, también lo es que omitió entregar el Acuerdo emitido por el Comité de Transparencia, donde confirmará la clasificación de los datos testados. </w:t>
      </w:r>
    </w:p>
    <w:p w:rsidR="00BF3FC0" w:rsidP="00710DA7" w:rsidRDefault="00BF3FC0" w14:paraId="79E5DBCE" w14:textId="77777777">
      <w:pPr>
        <w:spacing w:line="360" w:lineRule="auto"/>
        <w:jc w:val="both"/>
        <w:rPr>
          <w:rFonts w:ascii="Palatino Linotype" w:hAnsi="Palatino Linotype" w:eastAsia="Calibri" w:cs="Tahoma"/>
          <w:color w:val="000000"/>
          <w:sz w:val="22"/>
        </w:rPr>
      </w:pPr>
    </w:p>
    <w:p w:rsidRPr="00BF3FC0" w:rsidR="00BF3FC0" w:rsidP="00BF3FC0" w:rsidRDefault="00BF3FC0" w14:paraId="0980BA1A" w14:textId="77777777">
      <w:pPr>
        <w:spacing w:line="360" w:lineRule="auto"/>
        <w:jc w:val="both"/>
        <w:rPr>
          <w:rFonts w:ascii="Palatino Linotype" w:hAnsi="Palatino Linotype" w:eastAsia="Calibri" w:cs="Tahoma"/>
          <w:b/>
          <w:color w:val="000000"/>
          <w:sz w:val="22"/>
          <w:szCs w:val="22"/>
          <w:lang w:eastAsia="en-US"/>
        </w:rPr>
      </w:pPr>
      <w:r w:rsidRPr="00BF3FC0">
        <w:rPr>
          <w:rFonts w:ascii="Palatino Linotype" w:hAnsi="Palatino Linotype" w:eastAsia="Calibri" w:cs="Tahoma"/>
          <w:b/>
          <w:color w:val="000000"/>
          <w:sz w:val="22"/>
          <w:szCs w:val="22"/>
          <w:lang w:eastAsia="en-US"/>
        </w:rPr>
        <w:t xml:space="preserve">SEXTO. Decisión. </w:t>
      </w:r>
    </w:p>
    <w:p w:rsidRPr="00BF3FC0" w:rsidR="00BF3FC0" w:rsidP="00BF3FC0" w:rsidRDefault="00BF3FC0" w14:paraId="2A702561" w14:textId="77777777">
      <w:pPr>
        <w:spacing w:line="360" w:lineRule="auto"/>
        <w:jc w:val="both"/>
        <w:rPr>
          <w:rFonts w:ascii="Palatino Linotype" w:hAnsi="Palatino Linotype" w:eastAsia="Calibri" w:cs="Tahoma"/>
          <w:bCs/>
          <w:color w:val="000000"/>
          <w:sz w:val="22"/>
          <w:szCs w:val="22"/>
          <w:lang w:eastAsia="en-US"/>
        </w:rPr>
      </w:pPr>
    </w:p>
    <w:p w:rsidRPr="00BF3FC0" w:rsidR="00BF3FC0" w:rsidP="00BF3FC0" w:rsidRDefault="00BF3FC0" w14:paraId="2B56BAFA" w14:textId="178E276C">
      <w:pPr>
        <w:spacing w:line="360" w:lineRule="auto"/>
        <w:jc w:val="both"/>
        <w:rPr>
          <w:rFonts w:ascii="Palatino Linotype" w:hAnsi="Palatino Linotype" w:eastAsia="Calibri" w:cs="Tahoma"/>
          <w:bCs/>
          <w:iCs/>
          <w:color w:val="000000"/>
          <w:sz w:val="22"/>
          <w:szCs w:val="22"/>
          <w:lang w:val="es-ES" w:eastAsia="en-US"/>
        </w:rPr>
      </w:pPr>
      <w:r w:rsidRPr="00BF3FC0">
        <w:rPr>
          <w:rFonts w:ascii="Palatino Linotype" w:hAnsi="Palatino Linotype" w:eastAsia="Calibri" w:cs="Tahoma"/>
          <w:bCs/>
          <w:color w:val="000000"/>
          <w:sz w:val="22"/>
          <w:szCs w:val="22"/>
          <w:lang w:eastAsia="en-US"/>
        </w:rPr>
        <w:t xml:space="preserve">Con fundamento en el artículo 186, fracción III, de la Ley de Transparencia y Acceso a la Información Pública del Estado de México y Municipios, este Instituto considera procedente </w:t>
      </w:r>
      <w:r w:rsidRPr="00BF3FC0">
        <w:rPr>
          <w:rFonts w:ascii="Palatino Linotype" w:hAnsi="Palatino Linotype" w:eastAsia="Calibri" w:cs="Tahoma"/>
          <w:b/>
          <w:bCs/>
          <w:color w:val="000000"/>
          <w:sz w:val="22"/>
          <w:szCs w:val="22"/>
          <w:lang w:eastAsia="en-US"/>
        </w:rPr>
        <w:t xml:space="preserve">MODIFICAR </w:t>
      </w:r>
      <w:r w:rsidRPr="00BF3FC0">
        <w:rPr>
          <w:rFonts w:ascii="Palatino Linotype" w:hAnsi="Palatino Linotype" w:eastAsia="Calibri" w:cs="Tahoma"/>
          <w:bCs/>
          <w:color w:val="000000"/>
          <w:sz w:val="22"/>
          <w:szCs w:val="22"/>
          <w:lang w:eastAsia="en-US"/>
        </w:rPr>
        <w:t xml:space="preserve">la respuesta otorgada por el </w:t>
      </w:r>
      <w:r>
        <w:rPr>
          <w:rFonts w:ascii="Palatino Linotype" w:hAnsi="Palatino Linotype" w:eastAsia="Calibri" w:cs="Tahoma"/>
          <w:bCs/>
          <w:color w:val="000000"/>
          <w:sz w:val="22"/>
          <w:szCs w:val="22"/>
          <w:lang w:eastAsia="en-US"/>
        </w:rPr>
        <w:t>Sujeto Obligado</w:t>
      </w:r>
      <w:r w:rsidRPr="00BF3FC0">
        <w:rPr>
          <w:rFonts w:ascii="Palatino Linotype" w:hAnsi="Palatino Linotype" w:eastAsia="Calibri" w:cs="Tahoma"/>
          <w:bCs/>
          <w:color w:val="000000"/>
          <w:sz w:val="22"/>
          <w:szCs w:val="22"/>
          <w:lang w:eastAsia="en-US"/>
        </w:rPr>
        <w:t xml:space="preserve">, a efecto de que, </w:t>
      </w:r>
      <w:r w:rsidRPr="00BF3FC0">
        <w:rPr>
          <w:rFonts w:ascii="Palatino Linotype" w:hAnsi="Palatino Linotype" w:eastAsia="Calibri" w:cs="Tahoma"/>
          <w:bCs/>
          <w:color w:val="000000"/>
          <w:sz w:val="22"/>
          <w:szCs w:val="22"/>
          <w:lang w:val="es-ES" w:eastAsia="en-US"/>
        </w:rPr>
        <w:t xml:space="preserve">entregue </w:t>
      </w:r>
      <w:r w:rsidRPr="00BF3FC0">
        <w:rPr>
          <w:rFonts w:ascii="Palatino Linotype" w:hAnsi="Palatino Linotype" w:eastAsia="Calibri" w:cs="Tahoma"/>
          <w:bCs/>
          <w:color w:val="000000"/>
          <w:sz w:val="22"/>
          <w:szCs w:val="22"/>
          <w:lang w:eastAsia="en-US"/>
        </w:rPr>
        <w:t>a través del Sistema de Acceso a la Información Mexiquense (SAIMEX),</w:t>
      </w:r>
      <w:r>
        <w:rPr>
          <w:rFonts w:ascii="Palatino Linotype" w:hAnsi="Palatino Linotype" w:eastAsia="Calibri" w:cs="Tahoma"/>
          <w:bCs/>
          <w:color w:val="000000"/>
          <w:sz w:val="22"/>
          <w:szCs w:val="22"/>
          <w:lang w:eastAsia="en-US"/>
        </w:rPr>
        <w:t xml:space="preserve"> el</w:t>
      </w:r>
      <w:r w:rsidRPr="00BF3FC0">
        <w:rPr>
          <w:rFonts w:ascii="Palatino Linotype" w:hAnsi="Palatino Linotype" w:eastAsia="Calibri" w:cs="Tahoma"/>
          <w:bCs/>
          <w:iCs/>
          <w:color w:val="000000"/>
          <w:sz w:val="22"/>
          <w:szCs w:val="22"/>
          <w:lang w:val="es-ES" w:eastAsia="en-US"/>
        </w:rPr>
        <w:t xml:space="preserve"> acuerdo de clasificación </w:t>
      </w:r>
      <w:r w:rsidRPr="00BF3FC0">
        <w:rPr>
          <w:rFonts w:ascii="Palatino Linotype" w:hAnsi="Palatino Linotype" w:eastAsia="Calibri" w:cs="Tahoma"/>
          <w:bCs/>
          <w:iCs/>
          <w:color w:val="000000"/>
          <w:sz w:val="22"/>
          <w:szCs w:val="22"/>
          <w:lang w:val="es-ES" w:eastAsia="en-US"/>
        </w:rPr>
        <w:lastRenderedPageBreak/>
        <w:t>emitido por el Comité de Transparencia, en donde de manera fundada y motivada, confirme la clasificación</w:t>
      </w:r>
      <w:r>
        <w:rPr>
          <w:rFonts w:ascii="Palatino Linotype" w:hAnsi="Palatino Linotype" w:eastAsia="Calibri" w:cs="Tahoma"/>
          <w:bCs/>
          <w:iCs/>
          <w:color w:val="000000"/>
          <w:sz w:val="22"/>
          <w:szCs w:val="22"/>
          <w:lang w:val="es-ES" w:eastAsia="en-US"/>
        </w:rPr>
        <w:t xml:space="preserve"> de los datos testados en el contrato de servicios profesionales por honorarios celebrado</w:t>
      </w:r>
      <w:r w:rsidR="00BF3DAB">
        <w:rPr>
          <w:rFonts w:ascii="Palatino Linotype" w:hAnsi="Palatino Linotype" w:eastAsia="Calibri" w:cs="Tahoma"/>
          <w:bCs/>
          <w:iCs/>
          <w:color w:val="000000"/>
          <w:sz w:val="22"/>
          <w:szCs w:val="22"/>
          <w:lang w:val="es-ES" w:eastAsia="en-US"/>
        </w:rPr>
        <w:t xml:space="preserve"> el cuatro de enero de dos mil veintidós,</w:t>
      </w:r>
      <w:r>
        <w:rPr>
          <w:rFonts w:ascii="Palatino Linotype" w:hAnsi="Palatino Linotype" w:eastAsia="Calibri" w:cs="Tahoma"/>
          <w:bCs/>
          <w:iCs/>
          <w:color w:val="000000"/>
          <w:sz w:val="22"/>
          <w:szCs w:val="22"/>
          <w:lang w:val="es-ES" w:eastAsia="en-US"/>
        </w:rPr>
        <w:t xml:space="preserve"> entre el Ayuntamiento de Tequixquiac y </w:t>
      </w:r>
      <w:r w:rsidR="00BF3DAB">
        <w:rPr>
          <w:rFonts w:ascii="Palatino Linotype" w:hAnsi="Palatino Linotype" w:eastAsia="Calibri" w:cs="Tahoma"/>
          <w:bCs/>
          <w:iCs/>
          <w:color w:val="000000"/>
          <w:sz w:val="22"/>
          <w:szCs w:val="22"/>
          <w:lang w:val="es-ES" w:eastAsia="en-US"/>
        </w:rPr>
        <w:t xml:space="preserve">la prestadora de servicios, </w:t>
      </w:r>
      <w:r>
        <w:rPr>
          <w:rFonts w:ascii="Palatino Linotype" w:hAnsi="Palatino Linotype" w:eastAsia="Calibri" w:cs="Tahoma"/>
          <w:bCs/>
          <w:iCs/>
          <w:color w:val="000000"/>
          <w:sz w:val="22"/>
          <w:szCs w:val="22"/>
          <w:lang w:val="es-ES" w:eastAsia="en-US"/>
        </w:rPr>
        <w:t>Claudia Nancy</w:t>
      </w:r>
      <w:r w:rsidR="00BF3DAB">
        <w:rPr>
          <w:rFonts w:ascii="Palatino Linotype" w:hAnsi="Palatino Linotype" w:eastAsia="Calibri" w:cs="Tahoma"/>
          <w:bCs/>
          <w:iCs/>
          <w:color w:val="000000"/>
          <w:sz w:val="22"/>
          <w:szCs w:val="22"/>
          <w:lang w:val="es-ES" w:eastAsia="en-US"/>
        </w:rPr>
        <w:t xml:space="preserve"> Casasola Díaz</w:t>
      </w:r>
      <w:r w:rsidRPr="00BF3FC0">
        <w:rPr>
          <w:rFonts w:ascii="Palatino Linotype" w:hAnsi="Palatino Linotype" w:eastAsia="Calibri" w:cs="Tahoma"/>
          <w:bCs/>
          <w:iCs/>
          <w:color w:val="000000"/>
          <w:sz w:val="22"/>
          <w:szCs w:val="22"/>
          <w:lang w:val="es-ES" w:eastAsia="en-US"/>
        </w:rPr>
        <w:t>, de conformidad con los artículos 49, fracción II, 132, fracción II, 143, fracción I, y 149 de la Ley de Transparencia y Acceso a la Información Pública del Estado de México y Municipios.</w:t>
      </w:r>
    </w:p>
    <w:p w:rsidR="00BF3FC0" w:rsidP="00710DA7" w:rsidRDefault="00BF3FC0" w14:paraId="5B031709" w14:textId="77777777">
      <w:pPr>
        <w:spacing w:line="360" w:lineRule="auto"/>
        <w:jc w:val="both"/>
        <w:rPr>
          <w:rFonts w:ascii="Palatino Linotype" w:hAnsi="Palatino Linotype" w:eastAsia="Calibri" w:cs="Tahoma"/>
          <w:color w:val="000000"/>
          <w:sz w:val="22"/>
        </w:rPr>
      </w:pPr>
    </w:p>
    <w:p w:rsidRPr="00ED5C85" w:rsidR="00C240BF" w:rsidP="00710DA7" w:rsidRDefault="00C240BF" w14:paraId="0CDE504A" w14:textId="77777777">
      <w:pPr>
        <w:spacing w:line="360" w:lineRule="auto"/>
        <w:jc w:val="both"/>
        <w:rPr>
          <w:rFonts w:ascii="Palatino Linotype" w:hAnsi="Palatino Linotype" w:eastAsia="Calibri" w:cs="Tahoma"/>
          <w:b/>
          <w:bCs/>
          <w:iCs/>
          <w:color w:val="000000"/>
          <w:sz w:val="22"/>
        </w:rPr>
      </w:pPr>
      <w:r w:rsidRPr="00ED5C85">
        <w:rPr>
          <w:rFonts w:ascii="Palatino Linotype" w:hAnsi="Palatino Linotype" w:eastAsia="Calibri" w:cs="Tahoma"/>
          <w:b/>
          <w:bCs/>
          <w:iCs/>
          <w:color w:val="000000"/>
          <w:sz w:val="22"/>
        </w:rPr>
        <w:t>Términos de la Resolución para conocimiento del Particular.</w:t>
      </w:r>
    </w:p>
    <w:p w:rsidRPr="00ED5C85" w:rsidR="00C240BF" w:rsidP="00710DA7" w:rsidRDefault="00C240BF" w14:paraId="47BAEF57" w14:textId="77777777">
      <w:pPr>
        <w:spacing w:line="360" w:lineRule="auto"/>
        <w:jc w:val="both"/>
        <w:rPr>
          <w:rFonts w:ascii="Palatino Linotype" w:hAnsi="Palatino Linotype" w:eastAsia="Calibri" w:cs="Tahoma"/>
          <w:bCs/>
          <w:iCs/>
          <w:color w:val="000000"/>
          <w:sz w:val="22"/>
        </w:rPr>
      </w:pPr>
    </w:p>
    <w:p w:rsidRPr="00142179" w:rsidR="0094000F" w:rsidP="00710DA7" w:rsidRDefault="00F47CDD" w14:paraId="4B95C4C7" w14:textId="0F6DB6EE">
      <w:pPr>
        <w:spacing w:line="360" w:lineRule="auto"/>
        <w:ind w:right="-28"/>
        <w:jc w:val="both"/>
        <w:rPr>
          <w:rFonts w:ascii="Palatino Linotype" w:hAnsi="Palatino Linotype" w:eastAsia="Calibri" w:cs="Tahoma"/>
          <w:color w:val="000000"/>
          <w:sz w:val="22"/>
          <w:szCs w:val="22"/>
          <w:lang w:eastAsia="en-US"/>
        </w:rPr>
      </w:pPr>
      <w:r w:rsidRPr="00ED5C85">
        <w:rPr>
          <w:rFonts w:ascii="Palatino Linotype" w:hAnsi="Palatino Linotype"/>
          <w:color w:val="000000"/>
          <w:sz w:val="22"/>
          <w:szCs w:val="22"/>
        </w:rPr>
        <w:t>Se le hace del conocimiento al Particular, que, en e</w:t>
      </w:r>
      <w:r w:rsidR="00BF3DAB">
        <w:rPr>
          <w:rFonts w:ascii="Palatino Linotype" w:hAnsi="Palatino Linotype"/>
          <w:color w:val="000000"/>
          <w:sz w:val="22"/>
          <w:szCs w:val="22"/>
        </w:rPr>
        <w:t>l presente caso, se le concede parcialmente la</w:t>
      </w:r>
      <w:r w:rsidRPr="00ED5C85">
        <w:rPr>
          <w:rFonts w:ascii="Palatino Linotype" w:hAnsi="Palatino Linotype"/>
          <w:color w:val="000000"/>
          <w:sz w:val="22"/>
          <w:szCs w:val="22"/>
        </w:rPr>
        <w:t xml:space="preserve"> razón, pues el </w:t>
      </w:r>
      <w:r w:rsidRPr="00ED5C85">
        <w:rPr>
          <w:rFonts w:ascii="Palatino Linotype" w:hAnsi="Palatino Linotype" w:eastAsia="Calibri" w:cs="Tahoma"/>
          <w:color w:val="000000"/>
          <w:sz w:val="22"/>
          <w:szCs w:val="22"/>
          <w:lang w:eastAsia="en-US"/>
        </w:rPr>
        <w:t xml:space="preserve">Ayuntamiento de </w:t>
      </w:r>
      <w:r w:rsidRPr="00C94089" w:rsidR="00BF3DAB">
        <w:rPr>
          <w:rFonts w:ascii="Palatino Linotype" w:hAnsi="Palatino Linotype" w:eastAsia="Calibri" w:cs="Tahoma"/>
          <w:sz w:val="22"/>
          <w:szCs w:val="22"/>
          <w:lang w:eastAsia="en-US"/>
        </w:rPr>
        <w:t>T</w:t>
      </w:r>
      <w:r w:rsidR="00BF3DAB">
        <w:rPr>
          <w:rFonts w:ascii="Palatino Linotype" w:hAnsi="Palatino Linotype" w:eastAsia="Calibri" w:cs="Tahoma"/>
          <w:sz w:val="22"/>
          <w:szCs w:val="22"/>
          <w:lang w:eastAsia="en-US"/>
        </w:rPr>
        <w:t>equixquiac</w:t>
      </w:r>
      <w:r w:rsidRPr="00ED5C85">
        <w:rPr>
          <w:rFonts w:ascii="Palatino Linotype" w:hAnsi="Palatino Linotype" w:eastAsia="Calibri" w:cs="Tahoma"/>
          <w:color w:val="000000"/>
          <w:sz w:val="22"/>
          <w:szCs w:val="22"/>
          <w:lang w:eastAsia="en-US"/>
        </w:rPr>
        <w:t xml:space="preserve">, </w:t>
      </w:r>
      <w:r w:rsidR="00BF3DAB">
        <w:rPr>
          <w:rFonts w:ascii="Palatino Linotype" w:hAnsi="Palatino Linotype" w:eastAsia="Calibri" w:cs="Tahoma"/>
          <w:color w:val="000000"/>
          <w:sz w:val="22"/>
          <w:szCs w:val="22"/>
          <w:lang w:eastAsia="en-US"/>
        </w:rPr>
        <w:t>contrario a lo señalado, le indicó la fuente, el lugar y la forma para acceder a los contratos solicitados; sin embargo, omitió proporcionar el acuerdo de clasificación donde confirmara el testado de los datos, por lo que, deberá entregárselo.</w:t>
      </w:r>
    </w:p>
    <w:p w:rsidRPr="00ED5C85" w:rsidR="0094000F" w:rsidP="00710DA7" w:rsidRDefault="0094000F" w14:paraId="771A365D" w14:textId="77777777">
      <w:pPr>
        <w:spacing w:line="360" w:lineRule="auto"/>
        <w:ind w:right="-28"/>
        <w:jc w:val="both"/>
        <w:rPr>
          <w:rFonts w:ascii="Palatino Linotype" w:hAnsi="Palatino Linotype" w:eastAsia="Calibri" w:cs="Tahoma"/>
          <w:bCs/>
          <w:iCs/>
          <w:color w:val="000000"/>
          <w:sz w:val="22"/>
          <w:lang w:val="es-ES"/>
        </w:rPr>
      </w:pPr>
    </w:p>
    <w:p w:rsidRPr="00ED5C85" w:rsidR="008F66F5" w:rsidP="00710DA7" w:rsidRDefault="00C240BF" w14:paraId="1F9B555D" w14:textId="70D66D31">
      <w:pPr>
        <w:spacing w:line="360" w:lineRule="auto"/>
        <w:jc w:val="both"/>
        <w:rPr>
          <w:rFonts w:ascii="Palatino Linotype" w:hAnsi="Palatino Linotype" w:eastAsia="Calibri" w:cs="Tahoma"/>
          <w:bCs/>
          <w:iCs/>
          <w:color w:val="000000"/>
          <w:sz w:val="22"/>
          <w:lang w:val="es-ES_tradnl"/>
        </w:rPr>
      </w:pPr>
      <w:r w:rsidRPr="00ED5C85">
        <w:rPr>
          <w:rFonts w:ascii="Palatino Linotype" w:hAnsi="Palatino Linotype" w:eastAsia="Calibri" w:cs="Tahoma"/>
          <w:bCs/>
          <w:iCs/>
          <w:color w:val="000000"/>
          <w:sz w:val="22"/>
          <w:lang w:val="es-ES"/>
        </w:rPr>
        <w:t>Finalmente, se le hace de su conocimiento que l</w:t>
      </w:r>
      <w:r w:rsidRPr="00ED5C85">
        <w:rPr>
          <w:rFonts w:ascii="Palatino Linotype" w:hAnsi="Palatino Linotype" w:eastAsia="Calibri"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ED5C85" w:rsidR="00B81736" w:rsidP="00710DA7" w:rsidRDefault="00B81736" w14:paraId="6D27DD25" w14:textId="77777777">
      <w:pPr>
        <w:spacing w:line="360" w:lineRule="auto"/>
        <w:jc w:val="both"/>
        <w:rPr>
          <w:rFonts w:ascii="Palatino Linotype" w:hAnsi="Palatino Linotype" w:eastAsia="Calibri" w:cs="Tahoma"/>
          <w:bCs/>
          <w:iCs/>
          <w:color w:val="000000"/>
          <w:sz w:val="22"/>
          <w:lang w:val="es-ES_tradnl"/>
        </w:rPr>
      </w:pPr>
    </w:p>
    <w:p w:rsidR="00C240BF" w:rsidP="00710DA7" w:rsidRDefault="00C240BF" w14:paraId="37272720" w14:textId="16B0E90C">
      <w:pPr>
        <w:spacing w:line="360" w:lineRule="auto"/>
        <w:jc w:val="both"/>
        <w:rPr>
          <w:rFonts w:ascii="Palatino Linotype" w:hAnsi="Palatino Linotype" w:eastAsia="Calibri" w:cs="Tahoma"/>
          <w:bCs/>
          <w:iCs/>
          <w:color w:val="000000"/>
          <w:sz w:val="22"/>
        </w:rPr>
      </w:pPr>
      <w:r w:rsidRPr="00ED5C85">
        <w:rPr>
          <w:rFonts w:ascii="Palatino Linotype" w:hAnsi="Palatino Linotype" w:eastAsia="Calibri" w:cs="Tahoma"/>
          <w:bCs/>
          <w:iCs/>
          <w:color w:val="000000"/>
          <w:sz w:val="22"/>
        </w:rPr>
        <w:t xml:space="preserve">Por lo antes expuesto y fundado. </w:t>
      </w:r>
    </w:p>
    <w:p w:rsidRPr="00ED5C85" w:rsidR="00DF5F46" w:rsidP="00710DA7" w:rsidRDefault="00DF5F46" w14:paraId="1BE92E95" w14:textId="77777777">
      <w:pPr>
        <w:spacing w:line="360" w:lineRule="auto"/>
        <w:jc w:val="both"/>
        <w:rPr>
          <w:rFonts w:ascii="Palatino Linotype" w:hAnsi="Palatino Linotype" w:eastAsia="Calibri" w:cs="Tahoma"/>
          <w:bCs/>
          <w:iCs/>
          <w:color w:val="000000"/>
          <w:sz w:val="22"/>
        </w:rPr>
      </w:pPr>
    </w:p>
    <w:p w:rsidRPr="00ED5C85" w:rsidR="00C240BF" w:rsidP="00710DA7" w:rsidRDefault="00C240BF" w14:paraId="7414D9FA" w14:textId="77777777">
      <w:pPr>
        <w:spacing w:line="360" w:lineRule="auto"/>
        <w:jc w:val="center"/>
        <w:rPr>
          <w:rFonts w:ascii="Palatino Linotype" w:hAnsi="Palatino Linotype" w:eastAsia="Calibri" w:cs="Tahoma"/>
          <w:b/>
          <w:bCs/>
          <w:iCs/>
          <w:color w:val="000000"/>
          <w:sz w:val="22"/>
        </w:rPr>
      </w:pPr>
      <w:r w:rsidRPr="00ED5C85">
        <w:rPr>
          <w:rFonts w:ascii="Palatino Linotype" w:hAnsi="Palatino Linotype" w:eastAsia="Calibri" w:cs="Tahoma"/>
          <w:b/>
          <w:bCs/>
          <w:iCs/>
          <w:color w:val="000000"/>
          <w:sz w:val="22"/>
        </w:rPr>
        <w:t>R E S U E L V E:</w:t>
      </w:r>
    </w:p>
    <w:p w:rsidRPr="00ED5C85" w:rsidR="00C240BF" w:rsidP="00710DA7" w:rsidRDefault="00C240BF" w14:paraId="5EFB467A" w14:textId="77777777">
      <w:pPr>
        <w:spacing w:line="360" w:lineRule="auto"/>
        <w:jc w:val="both"/>
        <w:rPr>
          <w:rFonts w:ascii="Palatino Linotype" w:hAnsi="Palatino Linotype" w:eastAsia="Calibri" w:cs="Tahoma"/>
          <w:b/>
          <w:bCs/>
          <w:iCs/>
          <w:color w:val="000000"/>
          <w:sz w:val="22"/>
        </w:rPr>
      </w:pPr>
    </w:p>
    <w:p w:rsidRPr="00ED5C85" w:rsidR="00F47CDD" w:rsidP="00710DA7" w:rsidRDefault="00F47CDD" w14:paraId="538D4283" w14:textId="17FA047D">
      <w:pPr>
        <w:spacing w:line="360" w:lineRule="auto"/>
        <w:contextualSpacing/>
        <w:jc w:val="both"/>
        <w:rPr>
          <w:rFonts w:ascii="Palatino Linotype" w:hAnsi="Palatino Linotype" w:eastAsia="Calibri" w:cs="Tahoma"/>
          <w:bCs/>
          <w:color w:val="000000"/>
          <w:sz w:val="22"/>
          <w:szCs w:val="22"/>
          <w:lang w:eastAsia="en-US"/>
        </w:rPr>
      </w:pPr>
      <w:r w:rsidRPr="00ED5C85">
        <w:rPr>
          <w:rFonts w:ascii="Palatino Linotype" w:hAnsi="Palatino Linotype" w:eastAsia="Calibri" w:cs="Tahoma"/>
          <w:b/>
          <w:bCs/>
          <w:color w:val="000000"/>
          <w:sz w:val="22"/>
          <w:szCs w:val="22"/>
          <w:lang w:eastAsia="en-US"/>
        </w:rPr>
        <w:t xml:space="preserve">PRIMERO. </w:t>
      </w:r>
      <w:r w:rsidRPr="00ED5C85">
        <w:rPr>
          <w:rFonts w:ascii="Palatino Linotype" w:hAnsi="Palatino Linotype" w:eastAsia="Calibri" w:cs="Tahoma"/>
          <w:bCs/>
          <w:color w:val="000000"/>
          <w:sz w:val="22"/>
          <w:szCs w:val="22"/>
          <w:lang w:eastAsia="en-US"/>
        </w:rPr>
        <w:t xml:space="preserve">Se </w:t>
      </w:r>
      <w:r w:rsidR="00BF3DAB">
        <w:rPr>
          <w:rFonts w:ascii="Palatino Linotype" w:hAnsi="Palatino Linotype" w:eastAsia="Calibri" w:cs="Tahoma"/>
          <w:b/>
          <w:bCs/>
          <w:color w:val="000000"/>
          <w:sz w:val="22"/>
          <w:szCs w:val="22"/>
          <w:lang w:eastAsia="en-US"/>
        </w:rPr>
        <w:t>MODIFICA</w:t>
      </w:r>
      <w:r w:rsidR="0094000F">
        <w:rPr>
          <w:rFonts w:ascii="Palatino Linotype" w:hAnsi="Palatino Linotype" w:eastAsia="Calibri" w:cs="Tahoma"/>
          <w:b/>
          <w:bCs/>
          <w:color w:val="000000"/>
          <w:sz w:val="22"/>
          <w:szCs w:val="22"/>
          <w:lang w:eastAsia="en-US"/>
        </w:rPr>
        <w:t xml:space="preserve"> </w:t>
      </w:r>
      <w:r w:rsidRPr="00ED5C85">
        <w:rPr>
          <w:rFonts w:ascii="Palatino Linotype" w:hAnsi="Palatino Linotype" w:eastAsia="Calibri" w:cs="Tahoma"/>
          <w:bCs/>
          <w:color w:val="000000"/>
          <w:sz w:val="22"/>
          <w:szCs w:val="22"/>
          <w:lang w:eastAsia="en-US"/>
        </w:rPr>
        <w:t>la respuesta</w:t>
      </w:r>
      <w:r w:rsidRPr="00ED5C85" w:rsidR="00B81736">
        <w:rPr>
          <w:rFonts w:ascii="Palatino Linotype" w:hAnsi="Palatino Linotype" w:eastAsia="Calibri" w:cs="Tahoma"/>
          <w:bCs/>
          <w:color w:val="000000"/>
          <w:sz w:val="22"/>
          <w:szCs w:val="22"/>
          <w:lang w:eastAsia="en-US"/>
        </w:rPr>
        <w:t xml:space="preserve"> </w:t>
      </w:r>
      <w:r w:rsidRPr="00ED5C85">
        <w:rPr>
          <w:rFonts w:ascii="Palatino Linotype" w:hAnsi="Palatino Linotype" w:eastAsia="Calibri" w:cs="Tahoma"/>
          <w:bCs/>
          <w:color w:val="000000"/>
          <w:sz w:val="22"/>
          <w:szCs w:val="22"/>
          <w:lang w:eastAsia="en-US"/>
        </w:rPr>
        <w:t>entregada</w:t>
      </w:r>
      <w:r w:rsidRPr="00ED5C85" w:rsidR="00B81736">
        <w:rPr>
          <w:rFonts w:ascii="Palatino Linotype" w:hAnsi="Palatino Linotype" w:eastAsia="Calibri" w:cs="Tahoma"/>
          <w:bCs/>
          <w:color w:val="000000"/>
          <w:sz w:val="22"/>
          <w:szCs w:val="22"/>
          <w:lang w:eastAsia="en-US"/>
        </w:rPr>
        <w:t xml:space="preserve"> </w:t>
      </w:r>
      <w:r w:rsidRPr="00ED5C85">
        <w:rPr>
          <w:rFonts w:ascii="Palatino Linotype" w:hAnsi="Palatino Linotype" w:eastAsia="Calibri" w:cs="Tahoma"/>
          <w:bCs/>
          <w:color w:val="000000"/>
          <w:sz w:val="22"/>
          <w:szCs w:val="22"/>
          <w:lang w:eastAsia="en-US"/>
        </w:rPr>
        <w:t xml:space="preserve">por el </w:t>
      </w:r>
      <w:r w:rsidR="00BF3DAB">
        <w:rPr>
          <w:rFonts w:ascii="Palatino Linotype" w:hAnsi="Palatino Linotype" w:eastAsia="Calibri" w:cs="Tahoma"/>
          <w:color w:val="000000"/>
          <w:sz w:val="22"/>
          <w:szCs w:val="22"/>
          <w:lang w:eastAsia="en-US"/>
        </w:rPr>
        <w:t xml:space="preserve">Ente Recurrido </w:t>
      </w:r>
      <w:r w:rsidRPr="00ED5C85">
        <w:rPr>
          <w:rFonts w:ascii="Palatino Linotype" w:hAnsi="Palatino Linotype" w:eastAsia="Calibri" w:cs="Tahoma"/>
          <w:bCs/>
          <w:color w:val="000000"/>
          <w:sz w:val="22"/>
          <w:szCs w:val="22"/>
          <w:lang w:eastAsia="en-US"/>
        </w:rPr>
        <w:t xml:space="preserve">a la solicitud de </w:t>
      </w:r>
      <w:r w:rsidRPr="00ED5C85">
        <w:rPr>
          <w:rFonts w:ascii="Palatino Linotype" w:hAnsi="Palatino Linotype" w:eastAsia="Calibri" w:cs="Tahoma"/>
          <w:color w:val="000000"/>
          <w:sz w:val="22"/>
          <w:szCs w:val="22"/>
          <w:lang w:eastAsia="en-US"/>
        </w:rPr>
        <w:t xml:space="preserve">información </w:t>
      </w:r>
      <w:r w:rsidRPr="00BF3DAB" w:rsidR="00BF3DAB">
        <w:rPr>
          <w:rFonts w:ascii="Palatino Linotype" w:hAnsi="Palatino Linotype" w:cs="Tahoma"/>
          <w:bCs/>
          <w:color w:val="0D0D0D"/>
          <w:sz w:val="22"/>
          <w:szCs w:val="22"/>
        </w:rPr>
        <w:t>00151/TEQUIXQU/IP/2022</w:t>
      </w:r>
      <w:r w:rsidRPr="00ED5C85">
        <w:rPr>
          <w:rFonts w:ascii="Palatino Linotype" w:hAnsi="Palatino Linotype" w:cs="Tahoma"/>
          <w:color w:val="0D0D0D"/>
          <w:sz w:val="22"/>
          <w:szCs w:val="22"/>
        </w:rPr>
        <w:t xml:space="preserve">, </w:t>
      </w:r>
      <w:r w:rsidRPr="00ED5C85">
        <w:rPr>
          <w:rFonts w:ascii="Palatino Linotype" w:hAnsi="Palatino Linotype" w:eastAsia="Calibri"/>
          <w:color w:val="000000"/>
          <w:sz w:val="22"/>
          <w:szCs w:val="22"/>
          <w:lang w:eastAsia="en-US"/>
        </w:rPr>
        <w:t>por resultar</w:t>
      </w:r>
      <w:r w:rsidR="00BF3DAB">
        <w:rPr>
          <w:rFonts w:ascii="Palatino Linotype" w:hAnsi="Palatino Linotype" w:eastAsia="Calibri"/>
          <w:color w:val="000000"/>
          <w:sz w:val="22"/>
          <w:szCs w:val="22"/>
          <w:lang w:eastAsia="en-US"/>
        </w:rPr>
        <w:t xml:space="preserve"> </w:t>
      </w:r>
      <w:r w:rsidRPr="00BF3DAB" w:rsidR="00BF3DAB">
        <w:rPr>
          <w:rFonts w:ascii="Palatino Linotype" w:hAnsi="Palatino Linotype" w:eastAsia="Calibri"/>
          <w:b/>
          <w:color w:val="000000"/>
          <w:sz w:val="22"/>
          <w:szCs w:val="22"/>
          <w:lang w:eastAsia="en-US"/>
        </w:rPr>
        <w:t>PARCIALMENTE</w:t>
      </w:r>
      <w:r w:rsidRPr="00ED5C85">
        <w:rPr>
          <w:rFonts w:ascii="Palatino Linotype" w:hAnsi="Palatino Linotype" w:eastAsia="Calibri"/>
          <w:color w:val="000000"/>
          <w:sz w:val="22"/>
          <w:szCs w:val="22"/>
          <w:lang w:eastAsia="en-US"/>
        </w:rPr>
        <w:t xml:space="preserve"> </w:t>
      </w:r>
      <w:r w:rsidRPr="00ED5C85">
        <w:rPr>
          <w:rFonts w:ascii="Palatino Linotype" w:hAnsi="Palatino Linotype" w:eastAsia="Calibri"/>
          <w:b/>
          <w:color w:val="000000"/>
          <w:sz w:val="22"/>
          <w:szCs w:val="22"/>
          <w:lang w:eastAsia="en-US"/>
        </w:rPr>
        <w:t>FUNDADAS</w:t>
      </w:r>
      <w:r w:rsidRPr="00ED5C85">
        <w:rPr>
          <w:rFonts w:ascii="Palatino Linotype" w:hAnsi="Palatino Linotype" w:eastAsia="Calibri" w:cs="Tahoma"/>
          <w:color w:val="000000"/>
          <w:sz w:val="22"/>
          <w:szCs w:val="22"/>
          <w:lang w:eastAsia="en-US"/>
        </w:rPr>
        <w:t xml:space="preserve"> las </w:t>
      </w:r>
      <w:r w:rsidRPr="00ED5C85">
        <w:rPr>
          <w:rFonts w:ascii="Palatino Linotype" w:hAnsi="Palatino Linotype" w:eastAsia="Calibri" w:cs="Tahoma"/>
          <w:color w:val="000000"/>
          <w:sz w:val="22"/>
          <w:szCs w:val="22"/>
          <w:lang w:eastAsia="en-US"/>
        </w:rPr>
        <w:lastRenderedPageBreak/>
        <w:t>razones o motivos de inconformidad hechos valer por el Particular, en</w:t>
      </w:r>
      <w:r w:rsidRPr="00ED5C85">
        <w:rPr>
          <w:rFonts w:ascii="Palatino Linotype" w:hAnsi="Palatino Linotype" w:eastAsia="Calibri" w:cs="Tahoma"/>
          <w:bCs/>
          <w:color w:val="000000"/>
          <w:sz w:val="22"/>
          <w:szCs w:val="22"/>
          <w:lang w:eastAsia="en-US"/>
        </w:rPr>
        <w:t xml:space="preserve"> términos de los considerandos </w:t>
      </w:r>
      <w:r w:rsidRPr="00AD77E8">
        <w:rPr>
          <w:rFonts w:ascii="Palatino Linotype" w:hAnsi="Palatino Linotype" w:eastAsia="Calibri" w:cs="Tahoma"/>
          <w:color w:val="000000"/>
          <w:sz w:val="22"/>
          <w:szCs w:val="22"/>
          <w:lang w:eastAsia="en-US"/>
        </w:rPr>
        <w:t>QUINTO y SEXTO de</w:t>
      </w:r>
      <w:r w:rsidRPr="00ED5C85">
        <w:rPr>
          <w:rFonts w:ascii="Palatino Linotype" w:hAnsi="Palatino Linotype" w:eastAsia="Calibri" w:cs="Tahoma"/>
          <w:bCs/>
          <w:color w:val="000000"/>
          <w:sz w:val="22"/>
          <w:szCs w:val="22"/>
          <w:lang w:eastAsia="en-US"/>
        </w:rPr>
        <w:t xml:space="preserve"> la presente Resolución.</w:t>
      </w:r>
    </w:p>
    <w:p w:rsidRPr="00ED5C85" w:rsidR="00DF5F46" w:rsidP="00710DA7" w:rsidRDefault="00DF5F46" w14:paraId="1F6F07A1" w14:textId="77777777">
      <w:pPr>
        <w:spacing w:line="360" w:lineRule="auto"/>
        <w:contextualSpacing/>
        <w:jc w:val="both"/>
        <w:rPr>
          <w:rFonts w:ascii="Palatino Linotype" w:hAnsi="Palatino Linotype" w:eastAsia="Calibri" w:cs="Tahoma"/>
          <w:bCs/>
          <w:color w:val="000000"/>
          <w:sz w:val="22"/>
          <w:szCs w:val="22"/>
          <w:lang w:eastAsia="en-US"/>
        </w:rPr>
      </w:pPr>
    </w:p>
    <w:p w:rsidRPr="00ED5C85" w:rsidR="00F47CDD" w:rsidP="00710DA7" w:rsidRDefault="00F47CDD" w14:paraId="68B7FB2D" w14:textId="7E75EEF1">
      <w:pPr>
        <w:widowControl w:val="0"/>
        <w:autoSpaceDE w:val="0"/>
        <w:autoSpaceDN w:val="0"/>
        <w:adjustRightInd w:val="0"/>
        <w:spacing w:line="360" w:lineRule="auto"/>
        <w:contextualSpacing/>
        <w:jc w:val="both"/>
        <w:rPr>
          <w:rFonts w:ascii="Palatino Linotype" w:hAnsi="Palatino Linotype" w:eastAsia="Calibri" w:cs="Tahoma"/>
          <w:color w:val="000000"/>
          <w:sz w:val="22"/>
          <w:szCs w:val="22"/>
          <w:lang w:val="es-ES" w:eastAsia="en-US"/>
        </w:rPr>
      </w:pPr>
      <w:r w:rsidRPr="00ED5C85">
        <w:rPr>
          <w:rFonts w:ascii="Palatino Linotype" w:hAnsi="Palatino Linotype" w:eastAsia="Calibri" w:cs="Tahoma"/>
          <w:b/>
          <w:bCs/>
          <w:color w:val="000000"/>
          <w:sz w:val="22"/>
          <w:szCs w:val="22"/>
          <w:lang w:eastAsia="en-US"/>
        </w:rPr>
        <w:t xml:space="preserve">SEGUNDO. </w:t>
      </w:r>
      <w:r w:rsidRPr="00ED5C85">
        <w:rPr>
          <w:rFonts w:ascii="Palatino Linotype" w:hAnsi="Palatino Linotype" w:eastAsia="Calibri" w:cs="Tahoma"/>
          <w:color w:val="000000"/>
          <w:sz w:val="22"/>
          <w:szCs w:val="22"/>
          <w:lang w:eastAsia="en-US"/>
        </w:rPr>
        <w:t xml:space="preserve">Se </w:t>
      </w:r>
      <w:r w:rsidRPr="00ED5C85">
        <w:rPr>
          <w:rFonts w:ascii="Palatino Linotype" w:hAnsi="Palatino Linotype" w:eastAsia="Calibri" w:cs="Tahoma"/>
          <w:b/>
          <w:color w:val="000000"/>
          <w:sz w:val="22"/>
          <w:szCs w:val="22"/>
          <w:lang w:eastAsia="en-US"/>
        </w:rPr>
        <w:t xml:space="preserve">ORDENA </w:t>
      </w:r>
      <w:r w:rsidRPr="00ED5C85">
        <w:rPr>
          <w:rFonts w:ascii="Palatino Linotype" w:hAnsi="Palatino Linotype" w:eastAsia="Calibri" w:cs="Tahoma"/>
          <w:bCs/>
          <w:color w:val="000000"/>
          <w:sz w:val="22"/>
          <w:szCs w:val="22"/>
          <w:lang w:eastAsia="en-US"/>
        </w:rPr>
        <w:t xml:space="preserve">al </w:t>
      </w:r>
      <w:r w:rsidRPr="00ED5C85">
        <w:rPr>
          <w:rFonts w:ascii="Palatino Linotype" w:hAnsi="Palatino Linotype" w:eastAsia="Calibri" w:cs="Tahoma"/>
          <w:color w:val="000000"/>
          <w:sz w:val="22"/>
          <w:szCs w:val="22"/>
          <w:lang w:eastAsia="en-US"/>
        </w:rPr>
        <w:t>E</w:t>
      </w:r>
      <w:r w:rsidR="00BF3DAB">
        <w:rPr>
          <w:rFonts w:ascii="Palatino Linotype" w:hAnsi="Palatino Linotype" w:eastAsia="Calibri" w:cs="Tahoma"/>
          <w:color w:val="000000"/>
          <w:sz w:val="22"/>
          <w:szCs w:val="22"/>
          <w:lang w:eastAsia="en-US"/>
        </w:rPr>
        <w:t xml:space="preserve">nte Recurrido, a efecto de que </w:t>
      </w:r>
      <w:r w:rsidRPr="00ED5C85">
        <w:rPr>
          <w:rFonts w:ascii="Palatino Linotype" w:hAnsi="Palatino Linotype" w:eastAsia="Calibri" w:cs="Tahoma"/>
          <w:color w:val="000000"/>
          <w:sz w:val="22"/>
          <w:szCs w:val="22"/>
          <w:lang w:eastAsia="en-US"/>
        </w:rPr>
        <w:t xml:space="preserve">entregue, a través del Sistema de Acceso a la Información Mexiquense (SAIMEX), </w:t>
      </w:r>
      <w:r w:rsidR="00BF3DAB">
        <w:rPr>
          <w:rFonts w:ascii="Palatino Linotype" w:hAnsi="Palatino Linotype" w:eastAsia="Calibri" w:cs="Tahoma"/>
          <w:color w:val="000000"/>
          <w:sz w:val="22"/>
          <w:szCs w:val="22"/>
          <w:lang w:eastAsia="en-US"/>
        </w:rPr>
        <w:t>lo</w:t>
      </w:r>
      <w:r w:rsidRPr="00ED5C85">
        <w:rPr>
          <w:rFonts w:ascii="Palatino Linotype" w:hAnsi="Palatino Linotype" w:eastAsia="Calibri" w:cs="Tahoma"/>
          <w:color w:val="000000"/>
          <w:sz w:val="22"/>
          <w:szCs w:val="22"/>
          <w:lang w:eastAsia="en-US"/>
        </w:rPr>
        <w:t xml:space="preserve"> siguiente:</w:t>
      </w:r>
    </w:p>
    <w:p w:rsidRPr="00ED5C85" w:rsidR="00F47CDD" w:rsidP="00710DA7" w:rsidRDefault="00F47CDD" w14:paraId="755050B2" w14:textId="77777777">
      <w:pPr>
        <w:spacing w:line="360" w:lineRule="auto"/>
        <w:jc w:val="both"/>
        <w:rPr>
          <w:rFonts w:ascii="Palatino Linotype" w:hAnsi="Palatino Linotype" w:eastAsia="Calibri" w:cs="Tahoma"/>
          <w:b/>
          <w:bCs/>
          <w:iCs/>
          <w:color w:val="000000"/>
          <w:sz w:val="22"/>
        </w:rPr>
      </w:pPr>
    </w:p>
    <w:p w:rsidR="00BF3FC0" w:rsidP="00BF3FC0" w:rsidRDefault="00BF3FC0" w14:paraId="26D3A21D" w14:textId="14B08260">
      <w:pPr>
        <w:pStyle w:val="Prrafodelista"/>
        <w:numPr>
          <w:ilvl w:val="0"/>
          <w:numId w:val="50"/>
        </w:numPr>
        <w:spacing w:line="360" w:lineRule="auto"/>
        <w:rPr>
          <w:rFonts w:cs="Tahoma"/>
          <w:color w:val="0D0D0D" w:themeColor="text1" w:themeTint="F2"/>
          <w:szCs w:val="22"/>
        </w:rPr>
      </w:pPr>
      <w:r>
        <w:rPr>
          <w:rFonts w:cs="Tahoma"/>
          <w:color w:val="0D0D0D" w:themeColor="text1" w:themeTint="F2"/>
          <w:szCs w:val="22"/>
          <w:lang w:val="es-ES"/>
        </w:rPr>
        <w:t xml:space="preserve">El </w:t>
      </w:r>
      <w:r>
        <w:rPr>
          <w:rFonts w:cs="Tahoma"/>
          <w:color w:val="0D0D0D" w:themeColor="text1" w:themeTint="F2"/>
          <w:szCs w:val="22"/>
        </w:rPr>
        <w:t xml:space="preserve">acuerdo emitido por el Comité de Transparencia, en donde de manera fundada y motivada, </w:t>
      </w:r>
      <w:r w:rsidR="00BF3DAB">
        <w:rPr>
          <w:rFonts w:cs="Tahoma"/>
          <w:color w:val="0D0D0D" w:themeColor="text1" w:themeTint="F2"/>
          <w:szCs w:val="22"/>
        </w:rPr>
        <w:t xml:space="preserve">confirme la </w:t>
      </w:r>
      <w:r w:rsidRPr="00BF3FC0" w:rsidR="00BF3DAB">
        <w:rPr>
          <w:rFonts w:eastAsia="Calibri" w:cs="Tahoma"/>
          <w:bCs/>
          <w:iCs/>
          <w:color w:val="000000"/>
          <w:szCs w:val="22"/>
          <w:lang w:val="es-ES" w:eastAsia="en-US"/>
        </w:rPr>
        <w:t>clasificación</w:t>
      </w:r>
      <w:r w:rsidR="00BF3DAB">
        <w:rPr>
          <w:rFonts w:eastAsia="Calibri" w:cs="Tahoma"/>
          <w:bCs/>
          <w:iCs/>
          <w:color w:val="000000"/>
          <w:szCs w:val="22"/>
          <w:lang w:val="es-ES" w:eastAsia="en-US"/>
        </w:rPr>
        <w:t xml:space="preserve"> de los datos testados en el contrato de servicios profesionales por honorarios celebrado el cuatro de enero de dos mil veintidós, entre el Ayuntamiento de Tequixquiac y la prestadora de servicios referida en el Considerando SEXTO</w:t>
      </w:r>
      <w:r>
        <w:rPr>
          <w:rFonts w:cs="Tahoma"/>
          <w:color w:val="0D0D0D" w:themeColor="text1" w:themeTint="F2"/>
          <w:szCs w:val="22"/>
        </w:rPr>
        <w:t>, de conformidad con los artículos 49, fracción II, 132, fracción II, 143, fracción I, y 149 de la Ley de Transparencia y Acceso a la Información Pública del Estado de México y Municipios.</w:t>
      </w:r>
    </w:p>
    <w:p w:rsidRPr="00057F0C" w:rsidR="00057F0C" w:rsidP="00057F0C" w:rsidRDefault="00057F0C" w14:paraId="388B7260" w14:textId="77777777">
      <w:pPr>
        <w:autoSpaceDE w:val="0"/>
        <w:autoSpaceDN w:val="0"/>
        <w:adjustRightInd w:val="0"/>
        <w:spacing w:line="360" w:lineRule="auto"/>
        <w:rPr>
          <w:rFonts w:eastAsia="Calibri" w:cs="Tahoma"/>
          <w:color w:val="000000"/>
          <w:szCs w:val="22"/>
        </w:rPr>
      </w:pPr>
    </w:p>
    <w:p w:rsidR="0094000F" w:rsidP="00710DA7" w:rsidRDefault="008F66F5" w14:paraId="7CCDDB25" w14:textId="3D51B0F4">
      <w:pPr>
        <w:spacing w:line="360" w:lineRule="auto"/>
        <w:jc w:val="both"/>
        <w:rPr>
          <w:rFonts w:ascii="Palatino Linotype" w:hAnsi="Palatino Linotype" w:eastAsia="Calibri" w:cs="Tahoma"/>
          <w:color w:val="000000"/>
          <w:sz w:val="22"/>
          <w:szCs w:val="22"/>
          <w:lang w:eastAsia="en-US"/>
        </w:rPr>
      </w:pPr>
      <w:r w:rsidRPr="00ED5C85">
        <w:rPr>
          <w:rFonts w:ascii="Palatino Linotype" w:hAnsi="Palatino Linotype" w:eastAsia="Calibri" w:cs="Arial"/>
          <w:b/>
          <w:color w:val="000000"/>
          <w:sz w:val="22"/>
          <w:szCs w:val="22"/>
          <w:lang w:val="es-ES_tradnl" w:eastAsia="en-US"/>
        </w:rPr>
        <w:t>TERCERO.</w:t>
      </w:r>
      <w:r w:rsidRPr="00ED5C85">
        <w:rPr>
          <w:rFonts w:ascii="Palatino Linotype" w:hAnsi="Palatino Linotype" w:eastAsia="Calibri" w:cs="Tahoma"/>
          <w:b/>
          <w:color w:val="000000"/>
          <w:sz w:val="22"/>
          <w:szCs w:val="22"/>
          <w:lang w:eastAsia="en-US"/>
        </w:rPr>
        <w:t xml:space="preserve"> NOTIFÍQUESE </w:t>
      </w:r>
      <w:r w:rsidRPr="00ED5C85">
        <w:rPr>
          <w:rFonts w:ascii="Palatino Linotype" w:hAnsi="Palatino Linotype" w:eastAsia="Calibri" w:cs="Tahoma"/>
          <w:color w:val="000000"/>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D5C85" w:rsidR="00DF5F46" w:rsidP="00710DA7" w:rsidRDefault="00DF5F46" w14:paraId="01FE5FE1" w14:textId="77777777">
      <w:pPr>
        <w:spacing w:line="360" w:lineRule="auto"/>
        <w:jc w:val="both"/>
        <w:rPr>
          <w:rFonts w:ascii="Palatino Linotype" w:hAnsi="Palatino Linotype" w:eastAsia="Calibri" w:cs="Tahoma"/>
          <w:color w:val="000000"/>
          <w:sz w:val="22"/>
          <w:szCs w:val="22"/>
          <w:lang w:eastAsia="en-US"/>
        </w:rPr>
      </w:pPr>
    </w:p>
    <w:p w:rsidRPr="00ED5C85" w:rsidR="008F66F5" w:rsidP="00710DA7" w:rsidRDefault="008F66F5" w14:paraId="67C7196B" w14:textId="77777777">
      <w:pPr>
        <w:spacing w:line="360" w:lineRule="auto"/>
        <w:contextualSpacing/>
        <w:jc w:val="both"/>
        <w:rPr>
          <w:rFonts w:ascii="Palatino Linotype" w:hAnsi="Palatino Linotype" w:eastAsia="Calibri" w:cs="Tahoma"/>
          <w:iCs/>
          <w:color w:val="000000"/>
          <w:sz w:val="22"/>
          <w:szCs w:val="22"/>
          <w:lang w:eastAsia="en-US"/>
        </w:rPr>
      </w:pPr>
      <w:bookmarkStart w:name="_Hlk61509110" w:id="0"/>
      <w:r w:rsidRPr="00ED5C85">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ED5C85" w:rsidR="008F66F5" w:rsidP="00710DA7" w:rsidRDefault="008F66F5" w14:paraId="5C2714A2" w14:textId="77777777">
      <w:pPr>
        <w:spacing w:line="360" w:lineRule="auto"/>
        <w:jc w:val="both"/>
        <w:rPr>
          <w:rFonts w:ascii="Palatino Linotype" w:hAnsi="Palatino Linotype" w:eastAsia="Calibri" w:cs="Tahoma"/>
          <w:color w:val="000000"/>
          <w:sz w:val="22"/>
          <w:szCs w:val="22"/>
          <w:lang w:eastAsia="en-US"/>
        </w:rPr>
      </w:pPr>
    </w:p>
    <w:p w:rsidRPr="00ED5C85" w:rsidR="008F66F5" w:rsidP="00710DA7" w:rsidRDefault="008F66F5" w14:paraId="624F60DE" w14:textId="2D43C2D1">
      <w:pPr>
        <w:spacing w:line="360" w:lineRule="auto"/>
        <w:jc w:val="both"/>
        <w:rPr>
          <w:rFonts w:ascii="Palatino Linotype" w:hAnsi="Palatino Linotype" w:eastAsia="Calibri" w:cs="Tahoma"/>
          <w:color w:val="000000"/>
          <w:sz w:val="22"/>
          <w:szCs w:val="22"/>
          <w:lang w:eastAsia="en-US"/>
        </w:rPr>
      </w:pPr>
      <w:r w:rsidRPr="00ED5C85">
        <w:rPr>
          <w:rFonts w:ascii="Palatino Linotype" w:hAnsi="Palatino Linotype" w:eastAsia="Calibri" w:cs="Tahoma"/>
          <w:b/>
          <w:color w:val="000000"/>
          <w:sz w:val="22"/>
          <w:szCs w:val="22"/>
          <w:lang w:eastAsia="en-US"/>
        </w:rPr>
        <w:lastRenderedPageBreak/>
        <w:t>CUARTO. NOTIFÍQUESE</w:t>
      </w:r>
      <w:r w:rsidRPr="00ED5C85">
        <w:rPr>
          <w:rFonts w:ascii="Palatino Linotype" w:hAnsi="Palatino Linotype" w:eastAsia="Calibri" w:cs="Tahoma"/>
          <w:color w:val="000000"/>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BF3DAB">
        <w:rPr>
          <w:rFonts w:ascii="Palatino Linotype" w:hAnsi="Palatino Linotype" w:eastAsia="Calibri" w:cs="Tahoma"/>
          <w:color w:val="000000"/>
          <w:sz w:val="22"/>
          <w:szCs w:val="22"/>
          <w:lang w:eastAsia="en-US"/>
        </w:rPr>
        <w:t>érminos de las leyes aplicables.</w:t>
      </w:r>
    </w:p>
    <w:p w:rsidRPr="00ED5C85" w:rsidR="007E363C" w:rsidP="00710DA7" w:rsidRDefault="007E363C" w14:paraId="291466A8" w14:textId="77777777">
      <w:pPr>
        <w:spacing w:line="360" w:lineRule="auto"/>
        <w:jc w:val="both"/>
        <w:rPr>
          <w:rFonts w:ascii="Palatino Linotype" w:hAnsi="Palatino Linotype" w:cs="Tahoma"/>
          <w:iCs/>
          <w:sz w:val="22"/>
          <w:szCs w:val="22"/>
        </w:rPr>
      </w:pPr>
    </w:p>
    <w:p w:rsidR="00F23CC2" w:rsidP="00710DA7" w:rsidRDefault="00AA26C2" w14:paraId="7F0F6C29" w14:textId="66409D4B">
      <w:pPr>
        <w:spacing w:line="360" w:lineRule="auto"/>
        <w:ind w:right="-93"/>
        <w:jc w:val="both"/>
        <w:rPr>
          <w:rFonts w:ascii="Palatino Linotype" w:hAnsi="Palatino Linotype" w:cs="Tahoma"/>
          <w:bCs/>
          <w:sz w:val="22"/>
          <w:szCs w:val="22"/>
          <w:lang w:val="es-ES_tradnl"/>
        </w:rPr>
      </w:pPr>
      <w:r w:rsidRPr="00ED5C85">
        <w:rPr>
          <w:rFonts w:ascii="Palatino Linotype" w:hAnsi="Palatino Linotype" w:cs="Tahoma"/>
          <w:bCs/>
          <w:sz w:val="22"/>
          <w:szCs w:val="22"/>
          <w:lang w:val="es-ES_tradnl"/>
        </w:rPr>
        <w:t xml:space="preserve">ASÍ LO RESUELVE, POR </w:t>
      </w:r>
      <w:r w:rsidRPr="00ED5C85">
        <w:rPr>
          <w:rFonts w:ascii="Palatino Linotype" w:hAnsi="Palatino Linotype" w:cs="Tahoma"/>
          <w:b/>
          <w:bCs/>
          <w:sz w:val="22"/>
          <w:szCs w:val="22"/>
          <w:lang w:val="es-ES_tradnl"/>
        </w:rPr>
        <w:t>UNANIMIDAD</w:t>
      </w:r>
      <w:r w:rsidRPr="00ED5C85">
        <w:rPr>
          <w:rFonts w:ascii="Palatino Linotype" w:hAnsi="Palatino Linotype" w:cs="Tahoma"/>
          <w:bCs/>
          <w:sz w:val="22"/>
          <w:szCs w:val="22"/>
          <w:lang w:val="es-ES_tradnl"/>
        </w:rPr>
        <w:t xml:space="preserve"> DE VOTOS EL PLENO DEL INSTITUTO DE TRANSPARENCIA, ACCESO A LA INFORMACIÓN PÚBLICA Y PROTECCIÓN DE DATOS PERSONALES DEL </w:t>
      </w:r>
      <w:r w:rsidRPr="00ED5C85" w:rsidR="00F30046">
        <w:rPr>
          <w:rFonts w:ascii="Palatino Linotype" w:hAnsi="Palatino Linotype" w:cs="Tahoma"/>
          <w:bCs/>
          <w:sz w:val="22"/>
          <w:szCs w:val="22"/>
          <w:lang w:val="es-ES_tradnl"/>
        </w:rPr>
        <w:t>ESTADO DE MÉXICO Y MUNICIPIOS, CONFORMADO POR LOS COMISIONADOS JOSÉ MARTÍNEZ VILCHIS, MARÍA DEL ROSARIO MEJÍA AYALA, SHARON CRISTINA MORALES MARTÍNEZ</w:t>
      </w:r>
      <w:r w:rsidR="00F30046">
        <w:rPr>
          <w:rFonts w:ascii="Palatino Linotype" w:hAnsi="Palatino Linotype" w:cs="Tahoma"/>
          <w:bCs/>
          <w:sz w:val="22"/>
          <w:szCs w:val="22"/>
          <w:lang w:val="es-ES_tradnl"/>
        </w:rPr>
        <w:t xml:space="preserve"> CON VOTO PARTICULAR</w:t>
      </w:r>
      <w:r w:rsidRPr="00ED5C85" w:rsidR="00F30046">
        <w:rPr>
          <w:rFonts w:ascii="Palatino Linotype" w:hAnsi="Palatino Linotype" w:cs="Tahoma"/>
          <w:bCs/>
          <w:sz w:val="22"/>
          <w:szCs w:val="22"/>
          <w:lang w:val="es-ES_tradnl"/>
        </w:rPr>
        <w:t xml:space="preserve">, LUIS GUSTAVO PARRA NORIEGA Y GUADALUPE RAMÍREZ PEÑA, EN </w:t>
      </w:r>
      <w:r w:rsidRPr="00ED5C85">
        <w:rPr>
          <w:rFonts w:ascii="Palatino Linotype" w:hAnsi="Palatino Linotype" w:cs="Tahoma"/>
          <w:bCs/>
          <w:sz w:val="22"/>
          <w:szCs w:val="22"/>
          <w:lang w:val="es-ES_tradnl"/>
        </w:rPr>
        <w:t xml:space="preserve">LA </w:t>
      </w:r>
      <w:r w:rsidR="00BF3DAB">
        <w:rPr>
          <w:rFonts w:ascii="Palatino Linotype" w:hAnsi="Palatino Linotype" w:cs="Tahoma"/>
          <w:bCs/>
          <w:sz w:val="22"/>
          <w:szCs w:val="22"/>
          <w:lang w:val="es-ES_tradnl"/>
        </w:rPr>
        <w:t>TRIGÉSIMA</w:t>
      </w:r>
      <w:r w:rsidRPr="00ED5C85" w:rsidR="00345914">
        <w:rPr>
          <w:rFonts w:ascii="Palatino Linotype" w:hAnsi="Palatino Linotype" w:cs="Tahoma"/>
          <w:bCs/>
          <w:sz w:val="22"/>
          <w:szCs w:val="22"/>
          <w:lang w:val="es-ES_tradnl"/>
        </w:rPr>
        <w:t xml:space="preserve"> </w:t>
      </w:r>
      <w:r w:rsidRPr="00ED5C85">
        <w:rPr>
          <w:rFonts w:ascii="Palatino Linotype" w:hAnsi="Palatino Linotype" w:cs="Tahoma"/>
          <w:bCs/>
          <w:sz w:val="22"/>
          <w:szCs w:val="22"/>
          <w:lang w:val="es-ES_tradnl"/>
        </w:rPr>
        <w:t xml:space="preserve">SESIÓN ORDINARIA, CELEBRADA EL </w:t>
      </w:r>
      <w:r w:rsidR="00BF3DAB">
        <w:rPr>
          <w:rFonts w:ascii="Palatino Linotype" w:hAnsi="Palatino Linotype" w:cs="Tahoma"/>
          <w:bCs/>
          <w:sz w:val="22"/>
          <w:szCs w:val="22"/>
        </w:rPr>
        <w:t>TRES DE AGOSTO</w:t>
      </w:r>
      <w:r w:rsidRPr="00ED5C85">
        <w:rPr>
          <w:rFonts w:ascii="Palatino Linotype" w:hAnsi="Palatino Linotype" w:cs="Tahoma"/>
          <w:bCs/>
          <w:sz w:val="22"/>
          <w:szCs w:val="22"/>
        </w:rPr>
        <w:t xml:space="preserve"> DE DOS MIL VEINTIDÓS</w:t>
      </w:r>
      <w:r w:rsidRPr="00ED5C85">
        <w:rPr>
          <w:rFonts w:ascii="Palatino Linotype" w:hAnsi="Palatino Linotype" w:cs="Tahoma"/>
          <w:bCs/>
          <w:sz w:val="22"/>
          <w:szCs w:val="22"/>
          <w:lang w:val="es-ES_tradnl"/>
        </w:rPr>
        <w:t>, ANTE EL SECRETARIO TÉCNICO DEL PLENO, ALEXIS TAPIA RAMÍREZ.</w:t>
      </w:r>
    </w:p>
    <w:p w:rsidR="00DF7DBF" w:rsidRDefault="00DF7DBF" w14:paraId="5BB8B4DB" w14:textId="00B00763">
      <w:pPr>
        <w:spacing w:after="160" w:line="259" w:lineRule="auto"/>
        <w:rPr>
          <w:rFonts w:ascii="Palatino Linotype" w:hAnsi="Palatino Linotype"/>
        </w:rPr>
      </w:pPr>
      <w:r>
        <w:rPr>
          <w:rFonts w:ascii="Palatino Linotype" w:hAnsi="Palatino Linotype"/>
        </w:rPr>
        <w:br w:type="page"/>
      </w:r>
    </w:p>
    <w:p w:rsidRPr="00ED5C85" w:rsidR="00BF3DAB" w:rsidP="00DF5F46" w:rsidRDefault="00BF3DAB" w14:paraId="7C181D5B" w14:textId="77777777">
      <w:pPr>
        <w:spacing w:line="360" w:lineRule="auto"/>
        <w:ind w:right="-93"/>
        <w:jc w:val="both"/>
        <w:rPr>
          <w:rFonts w:ascii="Palatino Linotype" w:hAnsi="Palatino Linotype"/>
        </w:rPr>
      </w:pPr>
    </w:p>
    <w:sectPr w:rsidRPr="00ED5C85" w:rsidR="00BF3DAB" w:rsidSect="007540F1">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58DF" w:rsidP="0044225B" w:rsidRDefault="005A58DF" w14:paraId="20178C18" w14:textId="77777777">
      <w:r>
        <w:separator/>
      </w:r>
    </w:p>
  </w:endnote>
  <w:endnote w:type="continuationSeparator" w:id="0">
    <w:p w:rsidR="005A58DF" w:rsidP="0044225B" w:rsidRDefault="005A58DF" w14:paraId="646B9479" w14:textId="77777777">
      <w:r>
        <w:continuationSeparator/>
      </w:r>
    </w:p>
  </w:endnote>
  <w:endnote w:type="continuationNotice" w:id="1">
    <w:p w:rsidR="005A58DF" w:rsidRDefault="005A58DF" w14:paraId="408939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FB5CE2">
      <w:rPr>
        <w:b/>
        <w:bCs/>
        <w:noProof/>
      </w:rPr>
      <w:t>26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B5CE2">
      <w:rPr>
        <w:b/>
        <w:bCs/>
        <w:noProof/>
      </w:rPr>
      <w:t>26</w:t>
    </w:r>
    <w:r>
      <w:rPr>
        <w:b/>
        <w:bCs/>
      </w:rPr>
      <w:fldChar w:fldCharType="end"/>
    </w:r>
  </w:p>
  <w:p w:rsidR="00EB7ECA" w:rsidRDefault="00EB7ECA"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FB5CE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B5CE2">
      <w:rPr>
        <w:b/>
        <w:bCs/>
        <w:noProof/>
      </w:rPr>
      <w:t>26</w:t>
    </w:r>
    <w:r>
      <w:rPr>
        <w:b/>
        <w:bCs/>
      </w:rPr>
      <w:fldChar w:fldCharType="end"/>
    </w:r>
  </w:p>
  <w:p w:rsidR="00EB7ECA" w:rsidRDefault="00EB7ECA"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58DF" w:rsidP="0044225B" w:rsidRDefault="005A58DF" w14:paraId="19E1395F" w14:textId="77777777">
      <w:r>
        <w:separator/>
      </w:r>
    </w:p>
  </w:footnote>
  <w:footnote w:type="continuationSeparator" w:id="0">
    <w:p w:rsidR="005A58DF" w:rsidP="0044225B" w:rsidRDefault="005A58DF" w14:paraId="141B272E" w14:textId="77777777">
      <w:r>
        <w:continuationSeparator/>
      </w:r>
    </w:p>
  </w:footnote>
  <w:footnote w:type="continuationNotice" w:id="1">
    <w:p w:rsidR="005A58DF" w:rsidRDefault="005A58DF" w14:paraId="47EA59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DF7DBF"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alt="" o:spid="_x0000_s2049"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EB7ECA" w:rsidTr="0044225B" w14:paraId="1A1F348D" w14:textId="77777777">
      <w:trPr>
        <w:trHeight w:val="1435"/>
      </w:trPr>
      <w:tc>
        <w:tcPr>
          <w:tcW w:w="2268" w:type="dxa"/>
          <w:shd w:val="clear" w:color="auto" w:fill="auto"/>
        </w:tcPr>
        <w:p w:rsidRPr="005C106F" w:rsidR="00EB7ECA" w:rsidP="007540F1" w:rsidRDefault="00EB7ECA"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EB7ECA" w:rsidP="007540F1" w:rsidRDefault="00EB7ECA" w14:paraId="1DE8530E" w14:textId="77777777"/>
        <w:tbl>
          <w:tblPr>
            <w:tblW w:w="5812" w:type="dxa"/>
            <w:tblInd w:w="1026" w:type="dxa"/>
            <w:tblLayout w:type="fixed"/>
            <w:tblLook w:val="0420" w:firstRow="1" w:lastRow="0" w:firstColumn="0" w:lastColumn="0" w:noHBand="0" w:noVBand="1"/>
          </w:tblPr>
          <w:tblGrid>
            <w:gridCol w:w="2551"/>
            <w:gridCol w:w="3261"/>
          </w:tblGrid>
          <w:tr w:rsidR="00EB7ECA" w:rsidTr="00BF3DAB" w14:paraId="58606248" w14:textId="77777777">
            <w:trPr>
              <w:trHeight w:val="150"/>
            </w:trPr>
            <w:tc>
              <w:tcPr>
                <w:tcW w:w="2551" w:type="dxa"/>
                <w:shd w:val="clear" w:color="auto" w:fill="auto"/>
              </w:tcPr>
              <w:p w:rsidRPr="00020E73" w:rsidR="00EB7ECA" w:rsidP="007540F1" w:rsidRDefault="00EB7ECA"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3261" w:type="dxa"/>
                <w:shd w:val="clear" w:color="auto" w:fill="auto"/>
              </w:tcPr>
              <w:p w:rsidRPr="00020E73" w:rsidR="00EB7ECA" w:rsidP="007540F1" w:rsidRDefault="00B846C9" w14:paraId="11327933" w14:textId="1D09F765">
                <w:pPr>
                  <w:tabs>
                    <w:tab w:val="right" w:pos="8838"/>
                  </w:tabs>
                  <w:ind w:left="-108" w:right="-109"/>
                  <w:jc w:val="both"/>
                  <w:rPr>
                    <w:rFonts w:ascii="Palatino Linotype" w:hAnsi="Palatino Linotype" w:eastAsia="Calibri" w:cs="Tahoma"/>
                    <w:bCs/>
                    <w:sz w:val="22"/>
                    <w:szCs w:val="22"/>
                    <w:lang w:val="es-ES" w:eastAsia="en-US"/>
                  </w:rPr>
                </w:pPr>
                <w:r>
                  <w:rPr>
                    <w:rFonts w:ascii="Palatino Linotype" w:hAnsi="Palatino Linotype" w:eastAsia="Calibri" w:cs="Tahoma"/>
                    <w:sz w:val="22"/>
                    <w:szCs w:val="22"/>
                    <w:lang w:eastAsia="en-US"/>
                  </w:rPr>
                  <w:t>12096</w:t>
                </w:r>
                <w:r w:rsidRPr="00C94089" w:rsidR="00C94089">
                  <w:rPr>
                    <w:rFonts w:ascii="Palatino Linotype" w:hAnsi="Palatino Linotype" w:eastAsia="Calibri" w:cs="Tahoma"/>
                    <w:sz w:val="22"/>
                    <w:szCs w:val="22"/>
                    <w:lang w:eastAsia="en-US"/>
                  </w:rPr>
                  <w:t>/INFOEM/IP/RR/2022</w:t>
                </w:r>
              </w:p>
            </w:tc>
          </w:tr>
          <w:tr w:rsidR="00EB7ECA" w:rsidTr="00BF3DAB" w14:paraId="78B37E34" w14:textId="77777777">
            <w:trPr>
              <w:trHeight w:val="295"/>
            </w:trPr>
            <w:tc>
              <w:tcPr>
                <w:tcW w:w="2551" w:type="dxa"/>
                <w:shd w:val="clear" w:color="auto" w:fill="auto"/>
              </w:tcPr>
              <w:p w:rsidRPr="00020E73" w:rsidR="00EB7ECA" w:rsidP="007540F1" w:rsidRDefault="00EB7ECA"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1"/>
                <w:r w:rsidRPr="00020E73">
                  <w:rPr>
                    <w:rFonts w:ascii="Palatino Linotype" w:hAnsi="Palatino Linotype" w:eastAsia="Calibri" w:cs="Tahoma"/>
                    <w:b/>
                    <w:sz w:val="22"/>
                    <w:szCs w:val="22"/>
                    <w:lang w:val="es-ES" w:eastAsia="en-US"/>
                  </w:rPr>
                  <w:t>Sujeto Obligado:</w:t>
                </w:r>
              </w:p>
            </w:tc>
            <w:tc>
              <w:tcPr>
                <w:tcW w:w="3261" w:type="dxa"/>
                <w:shd w:val="clear" w:color="auto" w:fill="auto"/>
              </w:tcPr>
              <w:p w:rsidRPr="00D511C7" w:rsidR="00EB7ECA" w:rsidP="00B846C9" w:rsidRDefault="00C94089" w14:paraId="2127389C" w14:textId="572754B2">
                <w:pPr>
                  <w:tabs>
                    <w:tab w:val="right" w:pos="8838"/>
                  </w:tabs>
                  <w:ind w:left="-108" w:right="-102"/>
                  <w:jc w:val="both"/>
                  <w:rPr>
                    <w:rFonts w:ascii="Palatino Linotype" w:hAnsi="Palatino Linotype" w:eastAsia="Calibri" w:cs="Tahoma"/>
                    <w:sz w:val="22"/>
                    <w:szCs w:val="22"/>
                    <w:lang w:val="es-ES" w:eastAsia="en-US"/>
                  </w:rPr>
                </w:pPr>
                <w:r w:rsidRPr="00C94089">
                  <w:rPr>
                    <w:rFonts w:ascii="Palatino Linotype" w:hAnsi="Palatino Linotype" w:eastAsia="Calibri" w:cs="Tahoma"/>
                    <w:sz w:val="22"/>
                    <w:szCs w:val="22"/>
                    <w:lang w:eastAsia="en-US"/>
                  </w:rPr>
                  <w:t>Ayuntamiento de T</w:t>
                </w:r>
                <w:r w:rsidR="00B846C9">
                  <w:rPr>
                    <w:rFonts w:ascii="Palatino Linotype" w:hAnsi="Palatino Linotype" w:eastAsia="Calibri" w:cs="Tahoma"/>
                    <w:sz w:val="22"/>
                    <w:szCs w:val="22"/>
                    <w:lang w:eastAsia="en-US"/>
                  </w:rPr>
                  <w:t>equixquiac</w:t>
                </w:r>
              </w:p>
            </w:tc>
          </w:tr>
          <w:bookmarkEnd w:id="1"/>
          <w:tr w:rsidR="00EB7ECA" w:rsidTr="00BF3DAB" w14:paraId="2EC40D8B" w14:textId="77777777">
            <w:trPr>
              <w:trHeight w:val="295"/>
            </w:trPr>
            <w:tc>
              <w:tcPr>
                <w:tcW w:w="2551" w:type="dxa"/>
                <w:shd w:val="clear" w:color="auto" w:fill="auto"/>
              </w:tcPr>
              <w:p w:rsidRPr="00020E73" w:rsidR="00EB7ECA" w:rsidP="007540F1" w:rsidRDefault="00EB7ECA"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3261" w:type="dxa"/>
                <w:shd w:val="clear" w:color="auto" w:fill="auto"/>
              </w:tcPr>
              <w:p w:rsidRPr="00020E73" w:rsidR="00EB7ECA" w:rsidP="007540F1" w:rsidRDefault="00EB7ECA" w14:paraId="5030346F"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64586914"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EB7ECA" w:rsidP="007540F1" w:rsidRDefault="00EB7ECA" w14:paraId="324848D7" w14:textId="77777777">
          <w:pPr>
            <w:tabs>
              <w:tab w:val="right" w:pos="8838"/>
            </w:tabs>
            <w:ind w:left="-28"/>
            <w:jc w:val="both"/>
            <w:rPr>
              <w:rFonts w:ascii="Arial" w:hAnsi="Arial" w:eastAsia="Calibri" w:cs="Arial"/>
              <w:b/>
              <w:sz w:val="22"/>
              <w:szCs w:val="22"/>
              <w:lang w:eastAsia="en-US"/>
            </w:rPr>
          </w:pPr>
        </w:p>
      </w:tc>
    </w:tr>
  </w:tbl>
  <w:p w:rsidRPr="00443C6B" w:rsidR="00EB7ECA" w:rsidP="007540F1" w:rsidRDefault="00DF7DBF"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8239;mso-wrap-edited:f;mso-width-percent:0;mso-height-percent:0;mso-position-horizontal-relative:margin;mso-position-vertical-relative:margin;mso-width-percent:0;mso-height-percent:0" alt=""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EB7ECA" w:rsidTr="7A5821C1" w14:paraId="59FD1C38" w14:textId="77777777">
      <w:trPr>
        <w:trHeight w:val="1435"/>
      </w:trPr>
      <w:tc>
        <w:tcPr>
          <w:tcW w:w="2268" w:type="dxa"/>
          <w:shd w:val="clear" w:color="auto" w:fill="auto"/>
          <w:tcMar/>
        </w:tcPr>
        <w:p w:rsidRPr="00330DA7" w:rsidR="00EB7ECA" w:rsidP="007540F1" w:rsidRDefault="00EB7ECA" w14:paraId="6CDB25A0" w14:textId="77777777">
          <w:pPr>
            <w:tabs>
              <w:tab w:val="right" w:pos="4273"/>
            </w:tabs>
            <w:rPr>
              <w:rFonts w:ascii="Garamond" w:hAnsi="Garamond" w:eastAsia="Calibri"/>
              <w:sz w:val="22"/>
              <w:szCs w:val="22"/>
              <w:lang w:eastAsia="en-US"/>
            </w:rPr>
          </w:pPr>
        </w:p>
      </w:tc>
      <w:tc>
        <w:tcPr>
          <w:tcW w:w="6804" w:type="dxa"/>
          <w:shd w:val="clear" w:color="auto" w:fill="auto"/>
          <w:tcMar/>
        </w:tcPr>
        <w:tbl>
          <w:tblPr>
            <w:tblW w:w="5529" w:type="dxa"/>
            <w:tblInd w:w="1168" w:type="dxa"/>
            <w:tblLayout w:type="fixed"/>
            <w:tblLook w:val="0420" w:firstRow="1" w:lastRow="0" w:firstColumn="0" w:lastColumn="0" w:noHBand="0" w:noVBand="1"/>
          </w:tblPr>
          <w:tblGrid>
            <w:gridCol w:w="2444"/>
            <w:gridCol w:w="3085"/>
          </w:tblGrid>
          <w:tr w:rsidRPr="00330DA7" w:rsidR="00EB7ECA" w:rsidTr="7A5821C1" w14:paraId="53F709DB" w14:textId="77777777">
            <w:trPr>
              <w:trHeight w:val="144"/>
            </w:trPr>
            <w:tc>
              <w:tcPr>
                <w:tcW w:w="2444" w:type="dxa"/>
                <w:shd w:val="clear" w:color="auto" w:fill="auto"/>
                <w:tcMar/>
              </w:tcPr>
              <w:p w:rsidRPr="00020E73" w:rsidR="00EB7ECA" w:rsidP="007540F1" w:rsidRDefault="00EB7ECA"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3085" w:type="dxa"/>
                <w:shd w:val="clear" w:color="auto" w:fill="auto"/>
                <w:tcMar/>
              </w:tcPr>
              <w:p w:rsidRPr="00FC72CE" w:rsidR="00EB7ECA" w:rsidP="007540F1" w:rsidRDefault="00B846C9" w14:paraId="1C0A58A2" w14:textId="5F0C262E">
                <w:pPr>
                  <w:tabs>
                    <w:tab w:val="right" w:pos="8838"/>
                  </w:tabs>
                  <w:ind w:left="-74" w:right="-105"/>
                  <w:jc w:val="both"/>
                  <w:rPr>
                    <w:rFonts w:ascii="Palatino Linotype" w:hAnsi="Palatino Linotype" w:eastAsia="Calibri" w:cs="Tahoma"/>
                    <w:sz w:val="22"/>
                    <w:szCs w:val="22"/>
                    <w:lang w:val="es-ES" w:eastAsia="en-US"/>
                  </w:rPr>
                </w:pPr>
                <w:r>
                  <w:rPr>
                    <w:rFonts w:ascii="Palatino Linotype" w:hAnsi="Palatino Linotype" w:eastAsia="Calibri" w:cs="Tahoma"/>
                    <w:sz w:val="22"/>
                    <w:szCs w:val="22"/>
                    <w:lang w:eastAsia="en-US"/>
                  </w:rPr>
                  <w:t>12096</w:t>
                </w:r>
                <w:r w:rsidRPr="00C94089" w:rsidR="00C94089">
                  <w:rPr>
                    <w:rFonts w:ascii="Palatino Linotype" w:hAnsi="Palatino Linotype" w:eastAsia="Calibri" w:cs="Tahoma"/>
                    <w:sz w:val="22"/>
                    <w:szCs w:val="22"/>
                    <w:lang w:eastAsia="en-US"/>
                  </w:rPr>
                  <w:t>/INFOEM/IP/RR/2022</w:t>
                </w:r>
              </w:p>
            </w:tc>
          </w:tr>
          <w:tr w:rsidRPr="00330DA7" w:rsidR="00EB7ECA" w:rsidTr="7A5821C1" w14:paraId="1E27F6E9" w14:textId="77777777">
            <w:trPr>
              <w:trHeight w:val="144"/>
            </w:trPr>
            <w:tc>
              <w:tcPr>
                <w:tcW w:w="2444" w:type="dxa"/>
                <w:shd w:val="clear" w:color="auto" w:fill="auto"/>
                <w:tcMar/>
              </w:tcPr>
              <w:p w:rsidRPr="00020E73" w:rsidR="00EB7ECA" w:rsidP="007540F1" w:rsidRDefault="00EB7ECA"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3085" w:type="dxa"/>
                <w:shd w:val="clear" w:color="auto" w:fill="auto"/>
                <w:tcMar/>
              </w:tcPr>
              <w:p w:rsidRPr="00FC72CE" w:rsidR="00EB7ECA" w:rsidP="7A5821C1" w:rsidRDefault="00B846C9" w14:paraId="46AAB67F" w14:textId="6E0FA759">
                <w:pPr>
                  <w:tabs>
                    <w:tab w:val="left" w:pos="3122"/>
                    <w:tab w:val="right" w:pos="8838"/>
                  </w:tabs>
                  <w:ind w:left="-74" w:right="-105"/>
                  <w:jc w:val="both"/>
                  <w:rPr>
                    <w:rFonts w:ascii="Palatino Linotype" w:hAnsi="Palatino Linotype" w:eastAsia="Calibri" w:cs="Tahoma"/>
                    <w:sz w:val="22"/>
                    <w:szCs w:val="22"/>
                    <w:highlight w:val="black"/>
                    <w:lang w:val="es-ES" w:eastAsia="en-US"/>
                  </w:rPr>
                </w:pPr>
                <w:r w:rsidRPr="7A5821C1" w:rsidR="7A5821C1">
                  <w:rPr>
                    <w:rFonts w:ascii="Palatino Linotype" w:hAnsi="Palatino Linotype" w:eastAsia="Calibri" w:cs="Tahoma"/>
                    <w:sz w:val="22"/>
                    <w:szCs w:val="22"/>
                    <w:highlight w:val="black"/>
                    <w:lang w:val="es-ES" w:eastAsia="en-US"/>
                  </w:rPr>
                  <w:t>XXXXXXXXXXXXXXXXXXXXXXXXXXXXX</w:t>
                </w:r>
              </w:p>
            </w:tc>
          </w:tr>
          <w:tr w:rsidRPr="00330DA7" w:rsidR="00EB7ECA" w:rsidTr="7A5821C1" w14:paraId="50ECA2F3" w14:textId="77777777">
            <w:trPr>
              <w:trHeight w:val="283"/>
            </w:trPr>
            <w:tc>
              <w:tcPr>
                <w:tcW w:w="2444" w:type="dxa"/>
                <w:shd w:val="clear" w:color="auto" w:fill="auto"/>
                <w:tcMar/>
              </w:tcPr>
              <w:p w:rsidRPr="00020E73" w:rsidR="00EB7ECA" w:rsidP="007540F1" w:rsidRDefault="00EB7ECA"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3085" w:type="dxa"/>
                <w:shd w:val="clear" w:color="auto" w:fill="auto"/>
                <w:tcMar/>
              </w:tcPr>
              <w:p w:rsidRPr="00D511C7" w:rsidR="00EB7ECA" w:rsidP="00B846C9" w:rsidRDefault="00C94089" w14:paraId="49760D64" w14:textId="6B1D5328">
                <w:pPr>
                  <w:tabs>
                    <w:tab w:val="left" w:pos="2834"/>
                    <w:tab w:val="right" w:pos="8838"/>
                  </w:tabs>
                  <w:ind w:left="-74" w:right="-105"/>
                  <w:jc w:val="both"/>
                  <w:rPr>
                    <w:rFonts w:ascii="Palatino Linotype" w:hAnsi="Palatino Linotype" w:eastAsia="Calibri" w:cs="Tahoma"/>
                    <w:sz w:val="22"/>
                    <w:szCs w:val="22"/>
                    <w:lang w:val="es-ES" w:eastAsia="en-US"/>
                  </w:rPr>
                </w:pPr>
                <w:r w:rsidRPr="00C94089">
                  <w:rPr>
                    <w:rFonts w:ascii="Palatino Linotype" w:hAnsi="Palatino Linotype" w:eastAsia="Calibri" w:cs="Tahoma"/>
                    <w:sz w:val="22"/>
                    <w:szCs w:val="22"/>
                    <w:lang w:eastAsia="en-US"/>
                  </w:rPr>
                  <w:t>Ayuntamiento de T</w:t>
                </w:r>
                <w:r w:rsidR="00B846C9">
                  <w:rPr>
                    <w:rFonts w:ascii="Palatino Linotype" w:hAnsi="Palatino Linotype" w:eastAsia="Calibri" w:cs="Tahoma"/>
                    <w:sz w:val="22"/>
                    <w:szCs w:val="22"/>
                    <w:lang w:eastAsia="en-US"/>
                  </w:rPr>
                  <w:t>equixquiac</w:t>
                </w:r>
              </w:p>
            </w:tc>
          </w:tr>
          <w:tr w:rsidRPr="00330DA7" w:rsidR="00EB7ECA" w:rsidTr="7A5821C1" w14:paraId="37CD9738" w14:textId="77777777">
            <w:trPr>
              <w:trHeight w:val="283"/>
            </w:trPr>
            <w:tc>
              <w:tcPr>
                <w:tcW w:w="2444" w:type="dxa"/>
                <w:shd w:val="clear" w:color="auto" w:fill="auto"/>
                <w:tcMar/>
              </w:tcPr>
              <w:p w:rsidRPr="00020E73" w:rsidR="00EB7ECA" w:rsidP="007540F1" w:rsidRDefault="00EB7ECA"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3085" w:type="dxa"/>
                <w:shd w:val="clear" w:color="auto" w:fill="auto"/>
                <w:tcMar/>
              </w:tcPr>
              <w:p w:rsidRPr="00020E73" w:rsidR="00EB7ECA" w:rsidP="007540F1" w:rsidRDefault="00EB7ECA"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EB7ECA" w:rsidP="007540F1" w:rsidRDefault="00EB7ECA" w14:paraId="652F131D" w14:textId="77777777">
          <w:pPr>
            <w:tabs>
              <w:tab w:val="right" w:pos="8838"/>
            </w:tabs>
            <w:ind w:left="-28"/>
            <w:jc w:val="both"/>
            <w:rPr>
              <w:rFonts w:ascii="Arial" w:hAnsi="Arial" w:eastAsia="Calibri" w:cs="Arial"/>
              <w:b/>
              <w:sz w:val="22"/>
              <w:szCs w:val="22"/>
              <w:lang w:eastAsia="en-US"/>
            </w:rPr>
          </w:pPr>
        </w:p>
      </w:tc>
    </w:tr>
  </w:tbl>
  <w:p w:rsidRPr="00827FA0" w:rsidR="00EB7ECA" w:rsidP="007540F1" w:rsidRDefault="00DF7DBF"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4pt;margin-top:-113.95pt;width:589.8pt;height:768pt;z-index:-251658238;mso-wrap-edited:f;mso-width-percent:0;mso-height-percent:0;mso-position-horizontal-relative:margin;mso-position-vertical-relative:margin;mso-width-percent:0;mso-height-percent:0" alt="" o:spid="_x0000_s2051"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820FB3"/>
    <w:multiLevelType w:val="hybridMultilevel"/>
    <w:tmpl w:val="DC5EA6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2555D6"/>
    <w:multiLevelType w:val="hybridMultilevel"/>
    <w:tmpl w:val="6942A9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2E4014"/>
    <w:multiLevelType w:val="hybridMultilevel"/>
    <w:tmpl w:val="F1A6FD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A8B7A0C"/>
    <w:multiLevelType w:val="hybridMultilevel"/>
    <w:tmpl w:val="14323F5C"/>
    <w:lvl w:ilvl="0" w:tplc="B41627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013A15"/>
    <w:multiLevelType w:val="hybridMultilevel"/>
    <w:tmpl w:val="F286C9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3"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1FFE162E"/>
    <w:multiLevelType w:val="hybridMultilevel"/>
    <w:tmpl w:val="281402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2D4D1C04"/>
    <w:multiLevelType w:val="hybridMultilevel"/>
    <w:tmpl w:val="EC5E63F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E258D3"/>
    <w:multiLevelType w:val="hybridMultilevel"/>
    <w:tmpl w:val="AE1AD1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37E63ED4"/>
    <w:multiLevelType w:val="hybridMultilevel"/>
    <w:tmpl w:val="254665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3BEC0343"/>
    <w:multiLevelType w:val="hybridMultilevel"/>
    <w:tmpl w:val="9E42C9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AE7BEE"/>
    <w:multiLevelType w:val="hybridMultilevel"/>
    <w:tmpl w:val="4B767A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77A552C"/>
    <w:multiLevelType w:val="hybridMultilevel"/>
    <w:tmpl w:val="978C659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0C7239E"/>
    <w:multiLevelType w:val="hybridMultilevel"/>
    <w:tmpl w:val="F344FF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3" w15:restartNumberingAfterBreak="0">
    <w:nsid w:val="52BF2D71"/>
    <w:multiLevelType w:val="hybridMultilevel"/>
    <w:tmpl w:val="2B48E2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3B56E0"/>
    <w:multiLevelType w:val="hybridMultilevel"/>
    <w:tmpl w:val="59BAC234"/>
    <w:lvl w:ilvl="0" w:tplc="BB1C9058">
      <w:start w:val="1"/>
      <w:numFmt w:val="upperRoman"/>
      <w:lvlText w:val="%1."/>
      <w:lvlJc w:val="left"/>
      <w:pPr>
        <w:ind w:left="112" w:hanging="156"/>
      </w:pPr>
      <w:rPr>
        <w:rFonts w:hint="default" w:ascii="Bookman Old Style" w:hAnsi="Bookman Old Style" w:eastAsia="Arial" w:cs="Arial"/>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6" w15:restartNumberingAfterBreak="0">
    <w:nsid w:val="594202F3"/>
    <w:multiLevelType w:val="hybridMultilevel"/>
    <w:tmpl w:val="7BBECA4E"/>
    <w:lvl w:ilvl="0" w:tplc="A36ABF8A">
      <w:start w:val="1"/>
      <w:numFmt w:val="upperLetter"/>
      <w:lvlText w:val="%1."/>
      <w:lvlJc w:val="left"/>
      <w:pPr>
        <w:ind w:left="720" w:hanging="360"/>
      </w:pPr>
      <w:rPr>
        <w:rFonts w:hint="default" w:ascii="Palatino Linotype" w:hAnsi="Palatino Linotype"/>
        <w:b/>
        <w:bCs/>
        <w:sz w:val="22"/>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69370C"/>
    <w:multiLevelType w:val="hybridMultilevel"/>
    <w:tmpl w:val="13A6481E"/>
    <w:lvl w:ilvl="0" w:tplc="93246CE0">
      <w:start w:val="1"/>
      <w:numFmt w:val="upperLetter"/>
      <w:lvlText w:val="%1."/>
      <w:lvlJc w:val="left"/>
      <w:pPr>
        <w:ind w:left="720" w:hanging="360"/>
      </w:pPr>
      <w:rPr>
        <w:rFonts w:hint="default" w:ascii="Palatino Linotype" w:hAnsi="Palatino Linotype"/>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F644CED"/>
    <w:multiLevelType w:val="hybridMultilevel"/>
    <w:tmpl w:val="DA4AFA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5FF46A28"/>
    <w:multiLevelType w:val="hybridMultilevel"/>
    <w:tmpl w:val="AE9E6D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70E5EED"/>
    <w:multiLevelType w:val="hybridMultilevel"/>
    <w:tmpl w:val="CDBAE2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6B1A090E"/>
    <w:multiLevelType w:val="hybridMultilevel"/>
    <w:tmpl w:val="44225B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6"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8" w15:restartNumberingAfterBreak="0">
    <w:nsid w:val="7D6E447C"/>
    <w:multiLevelType w:val="hybridMultilevel"/>
    <w:tmpl w:val="9BB4ED8A"/>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17816541">
    <w:abstractNumId w:val="40"/>
  </w:num>
  <w:num w:numId="2" w16cid:durableId="1916209984">
    <w:abstractNumId w:val="16"/>
  </w:num>
  <w:num w:numId="3" w16cid:durableId="1224637505">
    <w:abstractNumId w:val="21"/>
  </w:num>
  <w:num w:numId="4" w16cid:durableId="108860400">
    <w:abstractNumId w:val="1"/>
  </w:num>
  <w:num w:numId="5" w16cid:durableId="98306153">
    <w:abstractNumId w:val="27"/>
  </w:num>
  <w:num w:numId="6" w16cid:durableId="1502814528">
    <w:abstractNumId w:val="22"/>
  </w:num>
  <w:num w:numId="7" w16cid:durableId="1135828802">
    <w:abstractNumId w:val="43"/>
  </w:num>
  <w:num w:numId="8" w16cid:durableId="936014820">
    <w:abstractNumId w:val="18"/>
  </w:num>
  <w:num w:numId="9" w16cid:durableId="745080030">
    <w:abstractNumId w:val="35"/>
  </w:num>
  <w:num w:numId="10" w16cid:durableId="17346971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221544">
    <w:abstractNumId w:val="31"/>
  </w:num>
  <w:num w:numId="12" w16cid:durableId="692733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290133">
    <w:abstractNumId w:val="38"/>
  </w:num>
  <w:num w:numId="14" w16cid:durableId="1406683254">
    <w:abstractNumId w:val="4"/>
  </w:num>
  <w:num w:numId="15" w16cid:durableId="1273702905">
    <w:abstractNumId w:val="0"/>
  </w:num>
  <w:num w:numId="16" w16cid:durableId="2016152495">
    <w:abstractNumId w:val="14"/>
  </w:num>
  <w:num w:numId="17" w16cid:durableId="1897088303">
    <w:abstractNumId w:val="2"/>
  </w:num>
  <w:num w:numId="18" w16cid:durableId="510412769">
    <w:abstractNumId w:val="3"/>
  </w:num>
  <w:num w:numId="19" w16cid:durableId="531386439">
    <w:abstractNumId w:val="23"/>
  </w:num>
  <w:num w:numId="20" w16cid:durableId="678116837">
    <w:abstractNumId w:val="36"/>
  </w:num>
  <w:num w:numId="21" w16cid:durableId="2095734154">
    <w:abstractNumId w:val="37"/>
  </w:num>
  <w:num w:numId="22" w16cid:durableId="575365483">
    <w:abstractNumId w:val="8"/>
  </w:num>
  <w:num w:numId="23" w16cid:durableId="1504779717">
    <w:abstractNumId w:val="44"/>
  </w:num>
  <w:num w:numId="24" w16cid:durableId="2143691288">
    <w:abstractNumId w:val="46"/>
  </w:num>
  <w:num w:numId="25" w16cid:durableId="591594695">
    <w:abstractNumId w:val="13"/>
  </w:num>
  <w:num w:numId="26" w16cid:durableId="582957602">
    <w:abstractNumId w:val="24"/>
  </w:num>
  <w:num w:numId="27" w16cid:durableId="1888761998">
    <w:abstractNumId w:val="34"/>
  </w:num>
  <w:num w:numId="28" w16cid:durableId="1582638023">
    <w:abstractNumId w:val="17"/>
  </w:num>
  <w:num w:numId="29" w16cid:durableId="1488739229">
    <w:abstractNumId w:val="5"/>
  </w:num>
  <w:num w:numId="30" w16cid:durableId="1458597287">
    <w:abstractNumId w:val="10"/>
  </w:num>
  <w:num w:numId="31" w16cid:durableId="1049525318">
    <w:abstractNumId w:val="6"/>
  </w:num>
  <w:num w:numId="32" w16cid:durableId="978536207">
    <w:abstractNumId w:val="29"/>
  </w:num>
  <w:num w:numId="33" w16cid:durableId="1410039150">
    <w:abstractNumId w:val="30"/>
  </w:num>
  <w:num w:numId="34" w16cid:durableId="515658900">
    <w:abstractNumId w:val="48"/>
  </w:num>
  <w:num w:numId="35" w16cid:durableId="1755080833">
    <w:abstractNumId w:val="41"/>
  </w:num>
  <w:num w:numId="36" w16cid:durableId="1852988669">
    <w:abstractNumId w:val="26"/>
  </w:num>
  <w:num w:numId="37" w16cid:durableId="446046818">
    <w:abstractNumId w:val="11"/>
  </w:num>
  <w:num w:numId="38" w16cid:durableId="1768843901">
    <w:abstractNumId w:val="47"/>
  </w:num>
  <w:num w:numId="39" w16cid:durableId="283316896">
    <w:abstractNumId w:val="32"/>
  </w:num>
  <w:num w:numId="40" w16cid:durableId="862717211">
    <w:abstractNumId w:val="28"/>
  </w:num>
  <w:num w:numId="41" w16cid:durableId="1566381134">
    <w:abstractNumId w:val="20"/>
  </w:num>
  <w:num w:numId="42" w16cid:durableId="1888183960">
    <w:abstractNumId w:val="33"/>
  </w:num>
  <w:num w:numId="43" w16cid:durableId="162361074">
    <w:abstractNumId w:val="9"/>
  </w:num>
  <w:num w:numId="44" w16cid:durableId="1508670153">
    <w:abstractNumId w:val="39"/>
  </w:num>
  <w:num w:numId="45" w16cid:durableId="1464040906">
    <w:abstractNumId w:val="12"/>
  </w:num>
  <w:num w:numId="46" w16cid:durableId="367995797">
    <w:abstractNumId w:val="42"/>
  </w:num>
  <w:num w:numId="47" w16cid:durableId="1158381050">
    <w:abstractNumId w:val="19"/>
  </w:num>
  <w:num w:numId="48" w16cid:durableId="1756127165">
    <w:abstractNumId w:val="25"/>
  </w:num>
  <w:num w:numId="49" w16cid:durableId="21789375">
    <w:abstractNumId w:val="7"/>
  </w:num>
  <w:num w:numId="50" w16cid:durableId="1001587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1E1"/>
    <w:rsid w:val="00004401"/>
    <w:rsid w:val="00004EE1"/>
    <w:rsid w:val="0000510E"/>
    <w:rsid w:val="000054CC"/>
    <w:rsid w:val="00007F61"/>
    <w:rsid w:val="000100EF"/>
    <w:rsid w:val="0001057E"/>
    <w:rsid w:val="00010914"/>
    <w:rsid w:val="000111F0"/>
    <w:rsid w:val="000112B9"/>
    <w:rsid w:val="0001472B"/>
    <w:rsid w:val="00014CA4"/>
    <w:rsid w:val="00015458"/>
    <w:rsid w:val="000157BF"/>
    <w:rsid w:val="0001702B"/>
    <w:rsid w:val="0001720B"/>
    <w:rsid w:val="000175EE"/>
    <w:rsid w:val="00020DAC"/>
    <w:rsid w:val="0002206C"/>
    <w:rsid w:val="00022A7B"/>
    <w:rsid w:val="00023A0B"/>
    <w:rsid w:val="00026149"/>
    <w:rsid w:val="0002662F"/>
    <w:rsid w:val="000277F8"/>
    <w:rsid w:val="00027CD3"/>
    <w:rsid w:val="00030C67"/>
    <w:rsid w:val="000330B4"/>
    <w:rsid w:val="0003366E"/>
    <w:rsid w:val="00037B46"/>
    <w:rsid w:val="00040093"/>
    <w:rsid w:val="00041435"/>
    <w:rsid w:val="0004183B"/>
    <w:rsid w:val="00041FC8"/>
    <w:rsid w:val="00045427"/>
    <w:rsid w:val="000455EF"/>
    <w:rsid w:val="000463AD"/>
    <w:rsid w:val="000504B4"/>
    <w:rsid w:val="00050EA4"/>
    <w:rsid w:val="00051436"/>
    <w:rsid w:val="00056EE7"/>
    <w:rsid w:val="00056EF5"/>
    <w:rsid w:val="00057F0C"/>
    <w:rsid w:val="0006133F"/>
    <w:rsid w:val="00061703"/>
    <w:rsid w:val="00062FCE"/>
    <w:rsid w:val="000632E7"/>
    <w:rsid w:val="00063AC0"/>
    <w:rsid w:val="000650D6"/>
    <w:rsid w:val="0007241D"/>
    <w:rsid w:val="00072554"/>
    <w:rsid w:val="000727FA"/>
    <w:rsid w:val="00073081"/>
    <w:rsid w:val="00075932"/>
    <w:rsid w:val="00076801"/>
    <w:rsid w:val="00077F41"/>
    <w:rsid w:val="000800D4"/>
    <w:rsid w:val="00081701"/>
    <w:rsid w:val="000822EB"/>
    <w:rsid w:val="000828D0"/>
    <w:rsid w:val="00087CF1"/>
    <w:rsid w:val="00087FCC"/>
    <w:rsid w:val="00090271"/>
    <w:rsid w:val="000909ED"/>
    <w:rsid w:val="00091513"/>
    <w:rsid w:val="00093F68"/>
    <w:rsid w:val="0009402D"/>
    <w:rsid w:val="00094121"/>
    <w:rsid w:val="00096403"/>
    <w:rsid w:val="00096EE6"/>
    <w:rsid w:val="000A0241"/>
    <w:rsid w:val="000A116D"/>
    <w:rsid w:val="000A2ADC"/>
    <w:rsid w:val="000A46E1"/>
    <w:rsid w:val="000A6780"/>
    <w:rsid w:val="000A6B4B"/>
    <w:rsid w:val="000A7140"/>
    <w:rsid w:val="000B3F31"/>
    <w:rsid w:val="000B62C0"/>
    <w:rsid w:val="000B6308"/>
    <w:rsid w:val="000B6734"/>
    <w:rsid w:val="000B6B48"/>
    <w:rsid w:val="000B7905"/>
    <w:rsid w:val="000C0905"/>
    <w:rsid w:val="000C0E00"/>
    <w:rsid w:val="000C0EEA"/>
    <w:rsid w:val="000C295E"/>
    <w:rsid w:val="000C3ADB"/>
    <w:rsid w:val="000C46E3"/>
    <w:rsid w:val="000C4A8E"/>
    <w:rsid w:val="000D0818"/>
    <w:rsid w:val="000D18C2"/>
    <w:rsid w:val="000D212F"/>
    <w:rsid w:val="000D3892"/>
    <w:rsid w:val="000D3ED2"/>
    <w:rsid w:val="000D569E"/>
    <w:rsid w:val="000E1DCC"/>
    <w:rsid w:val="000E2A9F"/>
    <w:rsid w:val="000E4529"/>
    <w:rsid w:val="000E7223"/>
    <w:rsid w:val="000E7836"/>
    <w:rsid w:val="000F0625"/>
    <w:rsid w:val="000F0D8A"/>
    <w:rsid w:val="000F1577"/>
    <w:rsid w:val="000F36EA"/>
    <w:rsid w:val="000F42CB"/>
    <w:rsid w:val="000F585E"/>
    <w:rsid w:val="000F5F86"/>
    <w:rsid w:val="00101753"/>
    <w:rsid w:val="001028FD"/>
    <w:rsid w:val="00105423"/>
    <w:rsid w:val="0010787A"/>
    <w:rsid w:val="00110272"/>
    <w:rsid w:val="00111AB5"/>
    <w:rsid w:val="00111B81"/>
    <w:rsid w:val="00113CC5"/>
    <w:rsid w:val="001160F5"/>
    <w:rsid w:val="001162C3"/>
    <w:rsid w:val="001163DC"/>
    <w:rsid w:val="001231BA"/>
    <w:rsid w:val="00123779"/>
    <w:rsid w:val="00123A63"/>
    <w:rsid w:val="00124B6D"/>
    <w:rsid w:val="0012644F"/>
    <w:rsid w:val="00130967"/>
    <w:rsid w:val="00130FE9"/>
    <w:rsid w:val="0013196B"/>
    <w:rsid w:val="00134861"/>
    <w:rsid w:val="00135B97"/>
    <w:rsid w:val="00135E7A"/>
    <w:rsid w:val="0013649D"/>
    <w:rsid w:val="00136814"/>
    <w:rsid w:val="00137040"/>
    <w:rsid w:val="0013783F"/>
    <w:rsid w:val="00140BCD"/>
    <w:rsid w:val="00141213"/>
    <w:rsid w:val="00141B06"/>
    <w:rsid w:val="00142179"/>
    <w:rsid w:val="001449A9"/>
    <w:rsid w:val="00144B8A"/>
    <w:rsid w:val="00144EA8"/>
    <w:rsid w:val="001461FF"/>
    <w:rsid w:val="00150320"/>
    <w:rsid w:val="00151013"/>
    <w:rsid w:val="0015102B"/>
    <w:rsid w:val="00152651"/>
    <w:rsid w:val="001526BE"/>
    <w:rsid w:val="00152A08"/>
    <w:rsid w:val="0015427C"/>
    <w:rsid w:val="00154891"/>
    <w:rsid w:val="00155048"/>
    <w:rsid w:val="00155975"/>
    <w:rsid w:val="00155EE8"/>
    <w:rsid w:val="00155FE9"/>
    <w:rsid w:val="00156CF6"/>
    <w:rsid w:val="00157258"/>
    <w:rsid w:val="0015773B"/>
    <w:rsid w:val="00160321"/>
    <w:rsid w:val="00161028"/>
    <w:rsid w:val="00161D70"/>
    <w:rsid w:val="00162E49"/>
    <w:rsid w:val="0016332E"/>
    <w:rsid w:val="00164486"/>
    <w:rsid w:val="0016489A"/>
    <w:rsid w:val="00165BBD"/>
    <w:rsid w:val="00166DBA"/>
    <w:rsid w:val="00170687"/>
    <w:rsid w:val="00171767"/>
    <w:rsid w:val="001742B4"/>
    <w:rsid w:val="00174621"/>
    <w:rsid w:val="0017465A"/>
    <w:rsid w:val="0017549F"/>
    <w:rsid w:val="00175516"/>
    <w:rsid w:val="00175577"/>
    <w:rsid w:val="0017592B"/>
    <w:rsid w:val="001807EC"/>
    <w:rsid w:val="00181D6A"/>
    <w:rsid w:val="0018227F"/>
    <w:rsid w:val="001832F3"/>
    <w:rsid w:val="00184853"/>
    <w:rsid w:val="001864F9"/>
    <w:rsid w:val="001866B2"/>
    <w:rsid w:val="001906B3"/>
    <w:rsid w:val="00190B33"/>
    <w:rsid w:val="00191625"/>
    <w:rsid w:val="0019176B"/>
    <w:rsid w:val="00192A58"/>
    <w:rsid w:val="00193C15"/>
    <w:rsid w:val="0019508E"/>
    <w:rsid w:val="00196250"/>
    <w:rsid w:val="00196430"/>
    <w:rsid w:val="0019660C"/>
    <w:rsid w:val="00197109"/>
    <w:rsid w:val="001A071B"/>
    <w:rsid w:val="001A094D"/>
    <w:rsid w:val="001A193B"/>
    <w:rsid w:val="001A2B66"/>
    <w:rsid w:val="001A2CB1"/>
    <w:rsid w:val="001A308A"/>
    <w:rsid w:val="001A49C0"/>
    <w:rsid w:val="001A4D52"/>
    <w:rsid w:val="001A6058"/>
    <w:rsid w:val="001A622B"/>
    <w:rsid w:val="001A6D8A"/>
    <w:rsid w:val="001B05CB"/>
    <w:rsid w:val="001B1741"/>
    <w:rsid w:val="001B1968"/>
    <w:rsid w:val="001B2B77"/>
    <w:rsid w:val="001B624D"/>
    <w:rsid w:val="001B7BDC"/>
    <w:rsid w:val="001B7E28"/>
    <w:rsid w:val="001B7E2B"/>
    <w:rsid w:val="001C0028"/>
    <w:rsid w:val="001C2584"/>
    <w:rsid w:val="001C261A"/>
    <w:rsid w:val="001C3646"/>
    <w:rsid w:val="001C4E22"/>
    <w:rsid w:val="001C64EA"/>
    <w:rsid w:val="001C7A81"/>
    <w:rsid w:val="001D04AA"/>
    <w:rsid w:val="001D05E0"/>
    <w:rsid w:val="001D0EC6"/>
    <w:rsid w:val="001D3BA1"/>
    <w:rsid w:val="001D6230"/>
    <w:rsid w:val="001D6CB2"/>
    <w:rsid w:val="001E1A3D"/>
    <w:rsid w:val="001E1E72"/>
    <w:rsid w:val="001E35E5"/>
    <w:rsid w:val="001E5171"/>
    <w:rsid w:val="001E66EE"/>
    <w:rsid w:val="001E67F5"/>
    <w:rsid w:val="001E69A0"/>
    <w:rsid w:val="001F049B"/>
    <w:rsid w:val="001F1A41"/>
    <w:rsid w:val="001F1A4B"/>
    <w:rsid w:val="001F1BA4"/>
    <w:rsid w:val="001F28C4"/>
    <w:rsid w:val="001F45BA"/>
    <w:rsid w:val="001F4C72"/>
    <w:rsid w:val="001F51C1"/>
    <w:rsid w:val="001F53E3"/>
    <w:rsid w:val="001F61E4"/>
    <w:rsid w:val="001F76E8"/>
    <w:rsid w:val="0020146D"/>
    <w:rsid w:val="0020365C"/>
    <w:rsid w:val="00204309"/>
    <w:rsid w:val="0020531D"/>
    <w:rsid w:val="00205774"/>
    <w:rsid w:val="00205F4C"/>
    <w:rsid w:val="0020625E"/>
    <w:rsid w:val="0020626C"/>
    <w:rsid w:val="00210522"/>
    <w:rsid w:val="00210C27"/>
    <w:rsid w:val="00210CCB"/>
    <w:rsid w:val="00211043"/>
    <w:rsid w:val="002120B2"/>
    <w:rsid w:val="00212860"/>
    <w:rsid w:val="002138EA"/>
    <w:rsid w:val="002152D7"/>
    <w:rsid w:val="002171AD"/>
    <w:rsid w:val="00221BD3"/>
    <w:rsid w:val="00223693"/>
    <w:rsid w:val="0022400A"/>
    <w:rsid w:val="002259AC"/>
    <w:rsid w:val="002304C4"/>
    <w:rsid w:val="00231D97"/>
    <w:rsid w:val="00231F37"/>
    <w:rsid w:val="0023207A"/>
    <w:rsid w:val="002331FE"/>
    <w:rsid w:val="002348D7"/>
    <w:rsid w:val="002359AE"/>
    <w:rsid w:val="00240515"/>
    <w:rsid w:val="0024274E"/>
    <w:rsid w:val="00243558"/>
    <w:rsid w:val="00244F24"/>
    <w:rsid w:val="00246CED"/>
    <w:rsid w:val="00247399"/>
    <w:rsid w:val="002529DE"/>
    <w:rsid w:val="00254817"/>
    <w:rsid w:val="00254BCA"/>
    <w:rsid w:val="00255A14"/>
    <w:rsid w:val="0025658C"/>
    <w:rsid w:val="0026038B"/>
    <w:rsid w:val="00260FCE"/>
    <w:rsid w:val="002617F5"/>
    <w:rsid w:val="00262827"/>
    <w:rsid w:val="002632CA"/>
    <w:rsid w:val="00264B62"/>
    <w:rsid w:val="002651F9"/>
    <w:rsid w:val="00266EBE"/>
    <w:rsid w:val="00271123"/>
    <w:rsid w:val="002721DC"/>
    <w:rsid w:val="00273CBE"/>
    <w:rsid w:val="00274FA5"/>
    <w:rsid w:val="002768EA"/>
    <w:rsid w:val="00276ED6"/>
    <w:rsid w:val="002803D6"/>
    <w:rsid w:val="00282D39"/>
    <w:rsid w:val="00284966"/>
    <w:rsid w:val="00286ACA"/>
    <w:rsid w:val="002870B2"/>
    <w:rsid w:val="002873A6"/>
    <w:rsid w:val="002907FA"/>
    <w:rsid w:val="00291490"/>
    <w:rsid w:val="002915F9"/>
    <w:rsid w:val="002925DE"/>
    <w:rsid w:val="00292700"/>
    <w:rsid w:val="00292D72"/>
    <w:rsid w:val="0029588E"/>
    <w:rsid w:val="002976C4"/>
    <w:rsid w:val="002A278E"/>
    <w:rsid w:val="002A2A88"/>
    <w:rsid w:val="002A2ED6"/>
    <w:rsid w:val="002A31B6"/>
    <w:rsid w:val="002A56B7"/>
    <w:rsid w:val="002A6D86"/>
    <w:rsid w:val="002B36DA"/>
    <w:rsid w:val="002B43D6"/>
    <w:rsid w:val="002B4F00"/>
    <w:rsid w:val="002B6396"/>
    <w:rsid w:val="002C070A"/>
    <w:rsid w:val="002C34F8"/>
    <w:rsid w:val="002C3F46"/>
    <w:rsid w:val="002C4CE7"/>
    <w:rsid w:val="002C5A8B"/>
    <w:rsid w:val="002C5D43"/>
    <w:rsid w:val="002C686D"/>
    <w:rsid w:val="002C6C43"/>
    <w:rsid w:val="002D02D2"/>
    <w:rsid w:val="002D1F6D"/>
    <w:rsid w:val="002D2183"/>
    <w:rsid w:val="002D449E"/>
    <w:rsid w:val="002D4AA5"/>
    <w:rsid w:val="002E0BCE"/>
    <w:rsid w:val="002E4CBD"/>
    <w:rsid w:val="002E5458"/>
    <w:rsid w:val="002E7993"/>
    <w:rsid w:val="002F02AD"/>
    <w:rsid w:val="002F1AC3"/>
    <w:rsid w:val="002F2682"/>
    <w:rsid w:val="002F3239"/>
    <w:rsid w:val="002F4F6F"/>
    <w:rsid w:val="00300F8C"/>
    <w:rsid w:val="00301E7E"/>
    <w:rsid w:val="003020F3"/>
    <w:rsid w:val="00304A56"/>
    <w:rsid w:val="00306C37"/>
    <w:rsid w:val="0031596F"/>
    <w:rsid w:val="003160B3"/>
    <w:rsid w:val="00316D91"/>
    <w:rsid w:val="00316F0C"/>
    <w:rsid w:val="00320830"/>
    <w:rsid w:val="00320F36"/>
    <w:rsid w:val="00322C20"/>
    <w:rsid w:val="0032352C"/>
    <w:rsid w:val="0032564D"/>
    <w:rsid w:val="003259E2"/>
    <w:rsid w:val="003269B7"/>
    <w:rsid w:val="00327888"/>
    <w:rsid w:val="00330335"/>
    <w:rsid w:val="0033035E"/>
    <w:rsid w:val="00330AAE"/>
    <w:rsid w:val="00334308"/>
    <w:rsid w:val="003344CF"/>
    <w:rsid w:val="003377C9"/>
    <w:rsid w:val="0034171E"/>
    <w:rsid w:val="00342213"/>
    <w:rsid w:val="00342806"/>
    <w:rsid w:val="003450FA"/>
    <w:rsid w:val="003454B5"/>
    <w:rsid w:val="003458EB"/>
    <w:rsid w:val="00345914"/>
    <w:rsid w:val="00345A24"/>
    <w:rsid w:val="003474EC"/>
    <w:rsid w:val="00351A21"/>
    <w:rsid w:val="0035269B"/>
    <w:rsid w:val="003532FE"/>
    <w:rsid w:val="003579B6"/>
    <w:rsid w:val="00360F4E"/>
    <w:rsid w:val="00361A2A"/>
    <w:rsid w:val="0036268B"/>
    <w:rsid w:val="00362E0A"/>
    <w:rsid w:val="00363217"/>
    <w:rsid w:val="0036369A"/>
    <w:rsid w:val="003642FF"/>
    <w:rsid w:val="00364951"/>
    <w:rsid w:val="00365A51"/>
    <w:rsid w:val="003669EE"/>
    <w:rsid w:val="00366E78"/>
    <w:rsid w:val="00367279"/>
    <w:rsid w:val="003704FC"/>
    <w:rsid w:val="003712BE"/>
    <w:rsid w:val="00371557"/>
    <w:rsid w:val="00371D66"/>
    <w:rsid w:val="003726F6"/>
    <w:rsid w:val="0037362A"/>
    <w:rsid w:val="00376677"/>
    <w:rsid w:val="00381466"/>
    <w:rsid w:val="0038178A"/>
    <w:rsid w:val="00382704"/>
    <w:rsid w:val="00383776"/>
    <w:rsid w:val="003845F7"/>
    <w:rsid w:val="00385979"/>
    <w:rsid w:val="003859EB"/>
    <w:rsid w:val="0038640E"/>
    <w:rsid w:val="00386A32"/>
    <w:rsid w:val="0039060E"/>
    <w:rsid w:val="003941B8"/>
    <w:rsid w:val="00394934"/>
    <w:rsid w:val="00394DE9"/>
    <w:rsid w:val="003954DA"/>
    <w:rsid w:val="00395D91"/>
    <w:rsid w:val="003A076B"/>
    <w:rsid w:val="003A395A"/>
    <w:rsid w:val="003A3BFF"/>
    <w:rsid w:val="003A40F2"/>
    <w:rsid w:val="003A462A"/>
    <w:rsid w:val="003A5023"/>
    <w:rsid w:val="003A5EE6"/>
    <w:rsid w:val="003B1B3D"/>
    <w:rsid w:val="003B2621"/>
    <w:rsid w:val="003B4084"/>
    <w:rsid w:val="003B5BD9"/>
    <w:rsid w:val="003B79C2"/>
    <w:rsid w:val="003C0D23"/>
    <w:rsid w:val="003C17F8"/>
    <w:rsid w:val="003C2075"/>
    <w:rsid w:val="003C3A6A"/>
    <w:rsid w:val="003C449B"/>
    <w:rsid w:val="003C74FB"/>
    <w:rsid w:val="003C7E32"/>
    <w:rsid w:val="003C7E82"/>
    <w:rsid w:val="003D048A"/>
    <w:rsid w:val="003D3B60"/>
    <w:rsid w:val="003D504F"/>
    <w:rsid w:val="003D667D"/>
    <w:rsid w:val="003D6EDA"/>
    <w:rsid w:val="003D7179"/>
    <w:rsid w:val="003D7366"/>
    <w:rsid w:val="003D7B39"/>
    <w:rsid w:val="003E2AE4"/>
    <w:rsid w:val="003E454F"/>
    <w:rsid w:val="003E4D9F"/>
    <w:rsid w:val="003E5AD8"/>
    <w:rsid w:val="003E5F0A"/>
    <w:rsid w:val="003E6F7D"/>
    <w:rsid w:val="003F087E"/>
    <w:rsid w:val="003F2161"/>
    <w:rsid w:val="003F220C"/>
    <w:rsid w:val="003F5C93"/>
    <w:rsid w:val="004022BE"/>
    <w:rsid w:val="00403026"/>
    <w:rsid w:val="00403795"/>
    <w:rsid w:val="00403A06"/>
    <w:rsid w:val="0040487D"/>
    <w:rsid w:val="00405804"/>
    <w:rsid w:val="004100DE"/>
    <w:rsid w:val="004108DD"/>
    <w:rsid w:val="00410C60"/>
    <w:rsid w:val="00412F2C"/>
    <w:rsid w:val="00413B05"/>
    <w:rsid w:val="0041589E"/>
    <w:rsid w:val="00421044"/>
    <w:rsid w:val="004219A0"/>
    <w:rsid w:val="004228F8"/>
    <w:rsid w:val="00424D79"/>
    <w:rsid w:val="00424FFE"/>
    <w:rsid w:val="00426F53"/>
    <w:rsid w:val="0042750F"/>
    <w:rsid w:val="004311B3"/>
    <w:rsid w:val="00432AE2"/>
    <w:rsid w:val="00433B7A"/>
    <w:rsid w:val="00434B3F"/>
    <w:rsid w:val="00434EC3"/>
    <w:rsid w:val="00440C9B"/>
    <w:rsid w:val="0044225B"/>
    <w:rsid w:val="0044286D"/>
    <w:rsid w:val="00444997"/>
    <w:rsid w:val="0044575C"/>
    <w:rsid w:val="00445F74"/>
    <w:rsid w:val="00446545"/>
    <w:rsid w:val="004465E3"/>
    <w:rsid w:val="00446E9E"/>
    <w:rsid w:val="004472FD"/>
    <w:rsid w:val="00447F34"/>
    <w:rsid w:val="0045074B"/>
    <w:rsid w:val="0045714E"/>
    <w:rsid w:val="0045788B"/>
    <w:rsid w:val="0046078A"/>
    <w:rsid w:val="00461D26"/>
    <w:rsid w:val="004621F4"/>
    <w:rsid w:val="0046377E"/>
    <w:rsid w:val="004639DF"/>
    <w:rsid w:val="00463A12"/>
    <w:rsid w:val="00464637"/>
    <w:rsid w:val="00465A1F"/>
    <w:rsid w:val="00466D01"/>
    <w:rsid w:val="00467136"/>
    <w:rsid w:val="00471875"/>
    <w:rsid w:val="00472249"/>
    <w:rsid w:val="00472F1C"/>
    <w:rsid w:val="0047370A"/>
    <w:rsid w:val="00483822"/>
    <w:rsid w:val="00483DD3"/>
    <w:rsid w:val="00484C4C"/>
    <w:rsid w:val="0048560C"/>
    <w:rsid w:val="00486EA3"/>
    <w:rsid w:val="004876B3"/>
    <w:rsid w:val="004907A8"/>
    <w:rsid w:val="00492BB9"/>
    <w:rsid w:val="00492CE5"/>
    <w:rsid w:val="004A2501"/>
    <w:rsid w:val="004A272C"/>
    <w:rsid w:val="004A2A83"/>
    <w:rsid w:val="004A3BBB"/>
    <w:rsid w:val="004A4321"/>
    <w:rsid w:val="004A729F"/>
    <w:rsid w:val="004A75DD"/>
    <w:rsid w:val="004B10F8"/>
    <w:rsid w:val="004B4453"/>
    <w:rsid w:val="004B4B92"/>
    <w:rsid w:val="004B73A5"/>
    <w:rsid w:val="004B7CC1"/>
    <w:rsid w:val="004C1E8D"/>
    <w:rsid w:val="004C292E"/>
    <w:rsid w:val="004C3902"/>
    <w:rsid w:val="004C43BF"/>
    <w:rsid w:val="004C4503"/>
    <w:rsid w:val="004C5885"/>
    <w:rsid w:val="004D0C9A"/>
    <w:rsid w:val="004D16F1"/>
    <w:rsid w:val="004D2553"/>
    <w:rsid w:val="004D7ACD"/>
    <w:rsid w:val="004E3661"/>
    <w:rsid w:val="004E46AA"/>
    <w:rsid w:val="004E6008"/>
    <w:rsid w:val="004E7138"/>
    <w:rsid w:val="004E7F85"/>
    <w:rsid w:val="004F2A69"/>
    <w:rsid w:val="004F626E"/>
    <w:rsid w:val="004F7606"/>
    <w:rsid w:val="005004AD"/>
    <w:rsid w:val="005006F3"/>
    <w:rsid w:val="005017B2"/>
    <w:rsid w:val="005031F8"/>
    <w:rsid w:val="005039D4"/>
    <w:rsid w:val="00505674"/>
    <w:rsid w:val="0050581A"/>
    <w:rsid w:val="0050593F"/>
    <w:rsid w:val="00506FC1"/>
    <w:rsid w:val="005119E6"/>
    <w:rsid w:val="005159C8"/>
    <w:rsid w:val="0051763E"/>
    <w:rsid w:val="00517AB8"/>
    <w:rsid w:val="0052160E"/>
    <w:rsid w:val="00521B91"/>
    <w:rsid w:val="00522D2D"/>
    <w:rsid w:val="005236A1"/>
    <w:rsid w:val="0052382F"/>
    <w:rsid w:val="0052443D"/>
    <w:rsid w:val="00524553"/>
    <w:rsid w:val="00526135"/>
    <w:rsid w:val="005279EC"/>
    <w:rsid w:val="0053033A"/>
    <w:rsid w:val="005324A8"/>
    <w:rsid w:val="005325AB"/>
    <w:rsid w:val="005329E8"/>
    <w:rsid w:val="00534BC4"/>
    <w:rsid w:val="005353D3"/>
    <w:rsid w:val="005372E9"/>
    <w:rsid w:val="00537631"/>
    <w:rsid w:val="0054003A"/>
    <w:rsid w:val="00540168"/>
    <w:rsid w:val="00541B9F"/>
    <w:rsid w:val="00541BA5"/>
    <w:rsid w:val="0054272A"/>
    <w:rsid w:val="00544CC2"/>
    <w:rsid w:val="00545190"/>
    <w:rsid w:val="00545667"/>
    <w:rsid w:val="005472A5"/>
    <w:rsid w:val="0055065C"/>
    <w:rsid w:val="005513F9"/>
    <w:rsid w:val="005524B8"/>
    <w:rsid w:val="00552539"/>
    <w:rsid w:val="0055288B"/>
    <w:rsid w:val="00554530"/>
    <w:rsid w:val="00555A8A"/>
    <w:rsid w:val="00556D2A"/>
    <w:rsid w:val="005570E6"/>
    <w:rsid w:val="00557500"/>
    <w:rsid w:val="005577B6"/>
    <w:rsid w:val="00560BE8"/>
    <w:rsid w:val="0056175E"/>
    <w:rsid w:val="00561ED6"/>
    <w:rsid w:val="00563892"/>
    <w:rsid w:val="00563C8C"/>
    <w:rsid w:val="00563D49"/>
    <w:rsid w:val="0056501D"/>
    <w:rsid w:val="0056520D"/>
    <w:rsid w:val="00566B78"/>
    <w:rsid w:val="00566D25"/>
    <w:rsid w:val="005702C5"/>
    <w:rsid w:val="00571395"/>
    <w:rsid w:val="00571D38"/>
    <w:rsid w:val="0057259E"/>
    <w:rsid w:val="00573484"/>
    <w:rsid w:val="005760FF"/>
    <w:rsid w:val="005764DE"/>
    <w:rsid w:val="005820CD"/>
    <w:rsid w:val="00583B0D"/>
    <w:rsid w:val="00584C89"/>
    <w:rsid w:val="0058588B"/>
    <w:rsid w:val="005904F6"/>
    <w:rsid w:val="00591D5B"/>
    <w:rsid w:val="00592D76"/>
    <w:rsid w:val="00593B93"/>
    <w:rsid w:val="00594877"/>
    <w:rsid w:val="005952DB"/>
    <w:rsid w:val="00595D42"/>
    <w:rsid w:val="00596F7B"/>
    <w:rsid w:val="005A1669"/>
    <w:rsid w:val="005A3B09"/>
    <w:rsid w:val="005A43E2"/>
    <w:rsid w:val="005A471C"/>
    <w:rsid w:val="005A4EDE"/>
    <w:rsid w:val="005A58DF"/>
    <w:rsid w:val="005A6EFF"/>
    <w:rsid w:val="005A7239"/>
    <w:rsid w:val="005C0526"/>
    <w:rsid w:val="005C2ABC"/>
    <w:rsid w:val="005C61AA"/>
    <w:rsid w:val="005C62AE"/>
    <w:rsid w:val="005D2F1D"/>
    <w:rsid w:val="005D5720"/>
    <w:rsid w:val="005D5941"/>
    <w:rsid w:val="005D629A"/>
    <w:rsid w:val="005D644E"/>
    <w:rsid w:val="005D6F39"/>
    <w:rsid w:val="005E19AE"/>
    <w:rsid w:val="005E3E4F"/>
    <w:rsid w:val="005E4607"/>
    <w:rsid w:val="005E53F9"/>
    <w:rsid w:val="005E5CE8"/>
    <w:rsid w:val="005F02C2"/>
    <w:rsid w:val="005F0CC6"/>
    <w:rsid w:val="005F1FDB"/>
    <w:rsid w:val="005F4DFE"/>
    <w:rsid w:val="00600A57"/>
    <w:rsid w:val="00603404"/>
    <w:rsid w:val="006043C3"/>
    <w:rsid w:val="00604C32"/>
    <w:rsid w:val="00605D5A"/>
    <w:rsid w:val="0060705B"/>
    <w:rsid w:val="00607464"/>
    <w:rsid w:val="006100EA"/>
    <w:rsid w:val="00612AB7"/>
    <w:rsid w:val="006133AC"/>
    <w:rsid w:val="006149CF"/>
    <w:rsid w:val="00615245"/>
    <w:rsid w:val="0061542D"/>
    <w:rsid w:val="00620A78"/>
    <w:rsid w:val="00620C90"/>
    <w:rsid w:val="00621B80"/>
    <w:rsid w:val="006226E2"/>
    <w:rsid w:val="0062326D"/>
    <w:rsid w:val="006334D5"/>
    <w:rsid w:val="00633812"/>
    <w:rsid w:val="00635EE7"/>
    <w:rsid w:val="0063670F"/>
    <w:rsid w:val="00636801"/>
    <w:rsid w:val="00636810"/>
    <w:rsid w:val="00637602"/>
    <w:rsid w:val="00643A72"/>
    <w:rsid w:val="006457A3"/>
    <w:rsid w:val="00647396"/>
    <w:rsid w:val="00652292"/>
    <w:rsid w:val="00652392"/>
    <w:rsid w:val="006568B7"/>
    <w:rsid w:val="00656F5D"/>
    <w:rsid w:val="006623B7"/>
    <w:rsid w:val="006631B2"/>
    <w:rsid w:val="00664846"/>
    <w:rsid w:val="00664C9C"/>
    <w:rsid w:val="006656A3"/>
    <w:rsid w:val="00666701"/>
    <w:rsid w:val="006710F9"/>
    <w:rsid w:val="0067218E"/>
    <w:rsid w:val="00675604"/>
    <w:rsid w:val="006757D8"/>
    <w:rsid w:val="00675891"/>
    <w:rsid w:val="00675FD4"/>
    <w:rsid w:val="0067765A"/>
    <w:rsid w:val="00677DAE"/>
    <w:rsid w:val="00677E0D"/>
    <w:rsid w:val="00680E80"/>
    <w:rsid w:val="00681596"/>
    <w:rsid w:val="006818EC"/>
    <w:rsid w:val="00684439"/>
    <w:rsid w:val="0068491A"/>
    <w:rsid w:val="00685707"/>
    <w:rsid w:val="00685954"/>
    <w:rsid w:val="00687920"/>
    <w:rsid w:val="00691B7E"/>
    <w:rsid w:val="00691BA7"/>
    <w:rsid w:val="00693B87"/>
    <w:rsid w:val="00695668"/>
    <w:rsid w:val="006A0751"/>
    <w:rsid w:val="006A0ED8"/>
    <w:rsid w:val="006A1A25"/>
    <w:rsid w:val="006A207D"/>
    <w:rsid w:val="006A35B7"/>
    <w:rsid w:val="006A3D72"/>
    <w:rsid w:val="006A5ACA"/>
    <w:rsid w:val="006A730C"/>
    <w:rsid w:val="006A79F2"/>
    <w:rsid w:val="006B1C31"/>
    <w:rsid w:val="006B31FA"/>
    <w:rsid w:val="006B41C4"/>
    <w:rsid w:val="006B4282"/>
    <w:rsid w:val="006B7513"/>
    <w:rsid w:val="006C137B"/>
    <w:rsid w:val="006C169B"/>
    <w:rsid w:val="006C2074"/>
    <w:rsid w:val="006C63D1"/>
    <w:rsid w:val="006C7359"/>
    <w:rsid w:val="006C7BFA"/>
    <w:rsid w:val="006D0C19"/>
    <w:rsid w:val="006D23D1"/>
    <w:rsid w:val="006D427A"/>
    <w:rsid w:val="006D428A"/>
    <w:rsid w:val="006D5255"/>
    <w:rsid w:val="006D5A61"/>
    <w:rsid w:val="006D7A8C"/>
    <w:rsid w:val="006E0A42"/>
    <w:rsid w:val="006E2225"/>
    <w:rsid w:val="006E4F29"/>
    <w:rsid w:val="006E55D9"/>
    <w:rsid w:val="006E6C4E"/>
    <w:rsid w:val="006E72CF"/>
    <w:rsid w:val="006F02F0"/>
    <w:rsid w:val="006F05AA"/>
    <w:rsid w:val="006F0D92"/>
    <w:rsid w:val="006F2465"/>
    <w:rsid w:val="006F292B"/>
    <w:rsid w:val="006F2D13"/>
    <w:rsid w:val="006F45D6"/>
    <w:rsid w:val="006F46DF"/>
    <w:rsid w:val="006F6632"/>
    <w:rsid w:val="006F7B16"/>
    <w:rsid w:val="00701688"/>
    <w:rsid w:val="0070421C"/>
    <w:rsid w:val="00704537"/>
    <w:rsid w:val="007047A0"/>
    <w:rsid w:val="00707AC0"/>
    <w:rsid w:val="0071031D"/>
    <w:rsid w:val="00710DA7"/>
    <w:rsid w:val="0071297D"/>
    <w:rsid w:val="00715C9D"/>
    <w:rsid w:val="00717A67"/>
    <w:rsid w:val="007216EC"/>
    <w:rsid w:val="00722E39"/>
    <w:rsid w:val="00725E4A"/>
    <w:rsid w:val="00726385"/>
    <w:rsid w:val="00727C29"/>
    <w:rsid w:val="007300D0"/>
    <w:rsid w:val="00735B1A"/>
    <w:rsid w:val="007367ED"/>
    <w:rsid w:val="0074206C"/>
    <w:rsid w:val="00742716"/>
    <w:rsid w:val="00746145"/>
    <w:rsid w:val="00746D20"/>
    <w:rsid w:val="007527A1"/>
    <w:rsid w:val="007527D8"/>
    <w:rsid w:val="007540F1"/>
    <w:rsid w:val="007559BB"/>
    <w:rsid w:val="00756A78"/>
    <w:rsid w:val="00760FB1"/>
    <w:rsid w:val="0076106D"/>
    <w:rsid w:val="00762BB9"/>
    <w:rsid w:val="00763B3F"/>
    <w:rsid w:val="0076432C"/>
    <w:rsid w:val="00765865"/>
    <w:rsid w:val="00765DE0"/>
    <w:rsid w:val="0076671D"/>
    <w:rsid w:val="00771BC7"/>
    <w:rsid w:val="00771F27"/>
    <w:rsid w:val="00776A6B"/>
    <w:rsid w:val="007772B5"/>
    <w:rsid w:val="00777579"/>
    <w:rsid w:val="007834F7"/>
    <w:rsid w:val="00783599"/>
    <w:rsid w:val="0078446C"/>
    <w:rsid w:val="00785FE7"/>
    <w:rsid w:val="00787630"/>
    <w:rsid w:val="00787E8F"/>
    <w:rsid w:val="007908D5"/>
    <w:rsid w:val="00790E3D"/>
    <w:rsid w:val="007930BC"/>
    <w:rsid w:val="00793F9B"/>
    <w:rsid w:val="00795334"/>
    <w:rsid w:val="0079535F"/>
    <w:rsid w:val="00795F75"/>
    <w:rsid w:val="00797012"/>
    <w:rsid w:val="00797120"/>
    <w:rsid w:val="007A070F"/>
    <w:rsid w:val="007A28AB"/>
    <w:rsid w:val="007A2B0F"/>
    <w:rsid w:val="007A4604"/>
    <w:rsid w:val="007A474B"/>
    <w:rsid w:val="007A5AC6"/>
    <w:rsid w:val="007A7858"/>
    <w:rsid w:val="007A7F1A"/>
    <w:rsid w:val="007B2E10"/>
    <w:rsid w:val="007B2E12"/>
    <w:rsid w:val="007B38E2"/>
    <w:rsid w:val="007B4966"/>
    <w:rsid w:val="007B56B1"/>
    <w:rsid w:val="007B5A64"/>
    <w:rsid w:val="007B786D"/>
    <w:rsid w:val="007B7B76"/>
    <w:rsid w:val="007B7EEC"/>
    <w:rsid w:val="007C1216"/>
    <w:rsid w:val="007C23D5"/>
    <w:rsid w:val="007C2461"/>
    <w:rsid w:val="007C2F2B"/>
    <w:rsid w:val="007C51F5"/>
    <w:rsid w:val="007C7E9E"/>
    <w:rsid w:val="007D10EE"/>
    <w:rsid w:val="007D260A"/>
    <w:rsid w:val="007D2FD0"/>
    <w:rsid w:val="007D5E77"/>
    <w:rsid w:val="007D6732"/>
    <w:rsid w:val="007E1A1D"/>
    <w:rsid w:val="007E2260"/>
    <w:rsid w:val="007E363C"/>
    <w:rsid w:val="007E3B03"/>
    <w:rsid w:val="007E3E83"/>
    <w:rsid w:val="007E77D6"/>
    <w:rsid w:val="007E7ABA"/>
    <w:rsid w:val="007F09FB"/>
    <w:rsid w:val="007F0F5E"/>
    <w:rsid w:val="007F24B6"/>
    <w:rsid w:val="007F295E"/>
    <w:rsid w:val="007F5995"/>
    <w:rsid w:val="007F781F"/>
    <w:rsid w:val="00800155"/>
    <w:rsid w:val="00800495"/>
    <w:rsid w:val="00800F58"/>
    <w:rsid w:val="008021D8"/>
    <w:rsid w:val="00805D4B"/>
    <w:rsid w:val="00806016"/>
    <w:rsid w:val="008065F6"/>
    <w:rsid w:val="0081433F"/>
    <w:rsid w:val="00815049"/>
    <w:rsid w:val="008154F5"/>
    <w:rsid w:val="00815E94"/>
    <w:rsid w:val="00817B10"/>
    <w:rsid w:val="00817C57"/>
    <w:rsid w:val="00821150"/>
    <w:rsid w:val="008224B6"/>
    <w:rsid w:val="00822C28"/>
    <w:rsid w:val="00823030"/>
    <w:rsid w:val="00824031"/>
    <w:rsid w:val="00825652"/>
    <w:rsid w:val="00825EFF"/>
    <w:rsid w:val="00826E5E"/>
    <w:rsid w:val="00830863"/>
    <w:rsid w:val="00834ADF"/>
    <w:rsid w:val="008359A7"/>
    <w:rsid w:val="00836465"/>
    <w:rsid w:val="00837130"/>
    <w:rsid w:val="008404CE"/>
    <w:rsid w:val="008406F5"/>
    <w:rsid w:val="0084136B"/>
    <w:rsid w:val="00843609"/>
    <w:rsid w:val="00845055"/>
    <w:rsid w:val="008462E3"/>
    <w:rsid w:val="00852913"/>
    <w:rsid w:val="00852E8F"/>
    <w:rsid w:val="00853800"/>
    <w:rsid w:val="008603C7"/>
    <w:rsid w:val="008603E6"/>
    <w:rsid w:val="008625F7"/>
    <w:rsid w:val="00862ED4"/>
    <w:rsid w:val="00863C82"/>
    <w:rsid w:val="00864C46"/>
    <w:rsid w:val="00865E37"/>
    <w:rsid w:val="00866F64"/>
    <w:rsid w:val="008677BE"/>
    <w:rsid w:val="00867EE1"/>
    <w:rsid w:val="00871F86"/>
    <w:rsid w:val="0087302A"/>
    <w:rsid w:val="00873361"/>
    <w:rsid w:val="008737CF"/>
    <w:rsid w:val="008743A1"/>
    <w:rsid w:val="008834AE"/>
    <w:rsid w:val="00886207"/>
    <w:rsid w:val="0088794A"/>
    <w:rsid w:val="00887A6D"/>
    <w:rsid w:val="00887A94"/>
    <w:rsid w:val="008906B0"/>
    <w:rsid w:val="008917E0"/>
    <w:rsid w:val="00892B1D"/>
    <w:rsid w:val="0089360F"/>
    <w:rsid w:val="00893A2E"/>
    <w:rsid w:val="00894893"/>
    <w:rsid w:val="008A0E3D"/>
    <w:rsid w:val="008A235F"/>
    <w:rsid w:val="008A4F0D"/>
    <w:rsid w:val="008A5548"/>
    <w:rsid w:val="008A55DB"/>
    <w:rsid w:val="008A635A"/>
    <w:rsid w:val="008A7D87"/>
    <w:rsid w:val="008B00C7"/>
    <w:rsid w:val="008B100B"/>
    <w:rsid w:val="008B20D5"/>
    <w:rsid w:val="008B31AA"/>
    <w:rsid w:val="008B4029"/>
    <w:rsid w:val="008B539F"/>
    <w:rsid w:val="008B6DBD"/>
    <w:rsid w:val="008B7004"/>
    <w:rsid w:val="008B719B"/>
    <w:rsid w:val="008B7C8E"/>
    <w:rsid w:val="008C03F5"/>
    <w:rsid w:val="008C04AF"/>
    <w:rsid w:val="008C1CDC"/>
    <w:rsid w:val="008C393C"/>
    <w:rsid w:val="008C690A"/>
    <w:rsid w:val="008C6C63"/>
    <w:rsid w:val="008C78EB"/>
    <w:rsid w:val="008D0CCA"/>
    <w:rsid w:val="008D2D5E"/>
    <w:rsid w:val="008D2EE6"/>
    <w:rsid w:val="008D3B32"/>
    <w:rsid w:val="008D623F"/>
    <w:rsid w:val="008D6DAB"/>
    <w:rsid w:val="008E0D78"/>
    <w:rsid w:val="008E3D06"/>
    <w:rsid w:val="008E52BD"/>
    <w:rsid w:val="008E5CC6"/>
    <w:rsid w:val="008F11A0"/>
    <w:rsid w:val="008F15C4"/>
    <w:rsid w:val="008F221B"/>
    <w:rsid w:val="008F34ED"/>
    <w:rsid w:val="008F48B3"/>
    <w:rsid w:val="008F4C7D"/>
    <w:rsid w:val="008F5731"/>
    <w:rsid w:val="008F6217"/>
    <w:rsid w:val="008F66F5"/>
    <w:rsid w:val="008F6872"/>
    <w:rsid w:val="00900C28"/>
    <w:rsid w:val="0090104F"/>
    <w:rsid w:val="009010F8"/>
    <w:rsid w:val="009019C8"/>
    <w:rsid w:val="00901F80"/>
    <w:rsid w:val="009026CF"/>
    <w:rsid w:val="00903AB8"/>
    <w:rsid w:val="00904B23"/>
    <w:rsid w:val="00907471"/>
    <w:rsid w:val="00910C5B"/>
    <w:rsid w:val="00913B1D"/>
    <w:rsid w:val="009145CD"/>
    <w:rsid w:val="009157AD"/>
    <w:rsid w:val="009160FE"/>
    <w:rsid w:val="00920D96"/>
    <w:rsid w:val="00923414"/>
    <w:rsid w:val="00923F50"/>
    <w:rsid w:val="00926EF0"/>
    <w:rsid w:val="00927291"/>
    <w:rsid w:val="00927931"/>
    <w:rsid w:val="00937366"/>
    <w:rsid w:val="0094000F"/>
    <w:rsid w:val="009408BC"/>
    <w:rsid w:val="00940DB8"/>
    <w:rsid w:val="00943AA4"/>
    <w:rsid w:val="00944311"/>
    <w:rsid w:val="009502C0"/>
    <w:rsid w:val="009510EE"/>
    <w:rsid w:val="0095136B"/>
    <w:rsid w:val="00952BBA"/>
    <w:rsid w:val="00952E38"/>
    <w:rsid w:val="009538D5"/>
    <w:rsid w:val="00953CD8"/>
    <w:rsid w:val="00954A42"/>
    <w:rsid w:val="00955764"/>
    <w:rsid w:val="00956541"/>
    <w:rsid w:val="009640DB"/>
    <w:rsid w:val="00965079"/>
    <w:rsid w:val="00965133"/>
    <w:rsid w:val="009652A4"/>
    <w:rsid w:val="00967DFE"/>
    <w:rsid w:val="00970301"/>
    <w:rsid w:val="009710A4"/>
    <w:rsid w:val="009748DD"/>
    <w:rsid w:val="00976B64"/>
    <w:rsid w:val="009775A9"/>
    <w:rsid w:val="00980EF8"/>
    <w:rsid w:val="009824EF"/>
    <w:rsid w:val="00982A4D"/>
    <w:rsid w:val="00983871"/>
    <w:rsid w:val="00983C11"/>
    <w:rsid w:val="00984845"/>
    <w:rsid w:val="00985E32"/>
    <w:rsid w:val="00986D88"/>
    <w:rsid w:val="00990671"/>
    <w:rsid w:val="0099638F"/>
    <w:rsid w:val="00996599"/>
    <w:rsid w:val="009A0D19"/>
    <w:rsid w:val="009A1A44"/>
    <w:rsid w:val="009A40F7"/>
    <w:rsid w:val="009A43FE"/>
    <w:rsid w:val="009A5349"/>
    <w:rsid w:val="009A7038"/>
    <w:rsid w:val="009A77DC"/>
    <w:rsid w:val="009B04E2"/>
    <w:rsid w:val="009B177F"/>
    <w:rsid w:val="009B17DE"/>
    <w:rsid w:val="009B2403"/>
    <w:rsid w:val="009B2E81"/>
    <w:rsid w:val="009B6D4A"/>
    <w:rsid w:val="009C0E96"/>
    <w:rsid w:val="009C16AE"/>
    <w:rsid w:val="009C22CB"/>
    <w:rsid w:val="009C4010"/>
    <w:rsid w:val="009C46E4"/>
    <w:rsid w:val="009C4AC5"/>
    <w:rsid w:val="009C5577"/>
    <w:rsid w:val="009C6170"/>
    <w:rsid w:val="009C6B0E"/>
    <w:rsid w:val="009D0170"/>
    <w:rsid w:val="009D2049"/>
    <w:rsid w:val="009D6FA9"/>
    <w:rsid w:val="009D7642"/>
    <w:rsid w:val="009D7B88"/>
    <w:rsid w:val="009E007E"/>
    <w:rsid w:val="009E2549"/>
    <w:rsid w:val="009E4741"/>
    <w:rsid w:val="009E6F2C"/>
    <w:rsid w:val="009E6FDC"/>
    <w:rsid w:val="009E7616"/>
    <w:rsid w:val="009F1CD8"/>
    <w:rsid w:val="009F2E71"/>
    <w:rsid w:val="009F2ECF"/>
    <w:rsid w:val="009F2F11"/>
    <w:rsid w:val="009F4452"/>
    <w:rsid w:val="009F782D"/>
    <w:rsid w:val="009F7858"/>
    <w:rsid w:val="00A0022A"/>
    <w:rsid w:val="00A01943"/>
    <w:rsid w:val="00A01F6D"/>
    <w:rsid w:val="00A02456"/>
    <w:rsid w:val="00A0283E"/>
    <w:rsid w:val="00A02DEC"/>
    <w:rsid w:val="00A05211"/>
    <w:rsid w:val="00A05371"/>
    <w:rsid w:val="00A05384"/>
    <w:rsid w:val="00A06F2B"/>
    <w:rsid w:val="00A1015D"/>
    <w:rsid w:val="00A10E56"/>
    <w:rsid w:val="00A1195B"/>
    <w:rsid w:val="00A131FF"/>
    <w:rsid w:val="00A133A9"/>
    <w:rsid w:val="00A13ECE"/>
    <w:rsid w:val="00A144DD"/>
    <w:rsid w:val="00A15432"/>
    <w:rsid w:val="00A15B04"/>
    <w:rsid w:val="00A161C6"/>
    <w:rsid w:val="00A16E75"/>
    <w:rsid w:val="00A1736A"/>
    <w:rsid w:val="00A20A49"/>
    <w:rsid w:val="00A20E8B"/>
    <w:rsid w:val="00A21B0D"/>
    <w:rsid w:val="00A2290E"/>
    <w:rsid w:val="00A254F2"/>
    <w:rsid w:val="00A25CFD"/>
    <w:rsid w:val="00A25F47"/>
    <w:rsid w:val="00A26500"/>
    <w:rsid w:val="00A27918"/>
    <w:rsid w:val="00A27B85"/>
    <w:rsid w:val="00A27FDA"/>
    <w:rsid w:val="00A31516"/>
    <w:rsid w:val="00A33300"/>
    <w:rsid w:val="00A33F06"/>
    <w:rsid w:val="00A348CE"/>
    <w:rsid w:val="00A34D3C"/>
    <w:rsid w:val="00A35CA8"/>
    <w:rsid w:val="00A400E0"/>
    <w:rsid w:val="00A41074"/>
    <w:rsid w:val="00A424D4"/>
    <w:rsid w:val="00A43B3B"/>
    <w:rsid w:val="00A44BBC"/>
    <w:rsid w:val="00A44D69"/>
    <w:rsid w:val="00A44F50"/>
    <w:rsid w:val="00A451B4"/>
    <w:rsid w:val="00A45439"/>
    <w:rsid w:val="00A505B6"/>
    <w:rsid w:val="00A51B9E"/>
    <w:rsid w:val="00A52100"/>
    <w:rsid w:val="00A52A7D"/>
    <w:rsid w:val="00A52C7E"/>
    <w:rsid w:val="00A57834"/>
    <w:rsid w:val="00A633F0"/>
    <w:rsid w:val="00A6499A"/>
    <w:rsid w:val="00A66271"/>
    <w:rsid w:val="00A67C47"/>
    <w:rsid w:val="00A71123"/>
    <w:rsid w:val="00A71C3B"/>
    <w:rsid w:val="00A72D1C"/>
    <w:rsid w:val="00A73556"/>
    <w:rsid w:val="00A7395F"/>
    <w:rsid w:val="00A75BD9"/>
    <w:rsid w:val="00A75D8D"/>
    <w:rsid w:val="00A764E9"/>
    <w:rsid w:val="00A7797B"/>
    <w:rsid w:val="00A80977"/>
    <w:rsid w:val="00A80BF3"/>
    <w:rsid w:val="00A81031"/>
    <w:rsid w:val="00A8122F"/>
    <w:rsid w:val="00A813A9"/>
    <w:rsid w:val="00A824D5"/>
    <w:rsid w:val="00A82B1A"/>
    <w:rsid w:val="00A82DFB"/>
    <w:rsid w:val="00A844AE"/>
    <w:rsid w:val="00A864EB"/>
    <w:rsid w:val="00A907D7"/>
    <w:rsid w:val="00A9186D"/>
    <w:rsid w:val="00A92E62"/>
    <w:rsid w:val="00A93295"/>
    <w:rsid w:val="00A97DED"/>
    <w:rsid w:val="00AA1FBC"/>
    <w:rsid w:val="00AA26C2"/>
    <w:rsid w:val="00AA2E79"/>
    <w:rsid w:val="00AA4124"/>
    <w:rsid w:val="00AA5230"/>
    <w:rsid w:val="00AA5317"/>
    <w:rsid w:val="00AA73D9"/>
    <w:rsid w:val="00AA75E8"/>
    <w:rsid w:val="00AA7C9E"/>
    <w:rsid w:val="00AA7EDC"/>
    <w:rsid w:val="00AB3838"/>
    <w:rsid w:val="00AB6C5F"/>
    <w:rsid w:val="00AC12FE"/>
    <w:rsid w:val="00AC447C"/>
    <w:rsid w:val="00AC470F"/>
    <w:rsid w:val="00AC5548"/>
    <w:rsid w:val="00AC77B8"/>
    <w:rsid w:val="00AD2A18"/>
    <w:rsid w:val="00AD77E8"/>
    <w:rsid w:val="00AD7F0F"/>
    <w:rsid w:val="00AE104B"/>
    <w:rsid w:val="00AE151F"/>
    <w:rsid w:val="00AE1C77"/>
    <w:rsid w:val="00AE3EAB"/>
    <w:rsid w:val="00AE4C56"/>
    <w:rsid w:val="00AE4CDF"/>
    <w:rsid w:val="00AE5510"/>
    <w:rsid w:val="00AE607B"/>
    <w:rsid w:val="00AE736F"/>
    <w:rsid w:val="00AF2A6B"/>
    <w:rsid w:val="00AF361D"/>
    <w:rsid w:val="00AF451F"/>
    <w:rsid w:val="00AF4C1A"/>
    <w:rsid w:val="00AF4F8A"/>
    <w:rsid w:val="00AF6141"/>
    <w:rsid w:val="00AF6BA8"/>
    <w:rsid w:val="00B0273C"/>
    <w:rsid w:val="00B03802"/>
    <w:rsid w:val="00B05004"/>
    <w:rsid w:val="00B06FCA"/>
    <w:rsid w:val="00B1065D"/>
    <w:rsid w:val="00B115A2"/>
    <w:rsid w:val="00B116E0"/>
    <w:rsid w:val="00B13205"/>
    <w:rsid w:val="00B1508D"/>
    <w:rsid w:val="00B16B6C"/>
    <w:rsid w:val="00B1735F"/>
    <w:rsid w:val="00B17823"/>
    <w:rsid w:val="00B1790C"/>
    <w:rsid w:val="00B17DEE"/>
    <w:rsid w:val="00B2176B"/>
    <w:rsid w:val="00B21850"/>
    <w:rsid w:val="00B23A2A"/>
    <w:rsid w:val="00B2550B"/>
    <w:rsid w:val="00B2644F"/>
    <w:rsid w:val="00B26AA0"/>
    <w:rsid w:val="00B27BBD"/>
    <w:rsid w:val="00B31167"/>
    <w:rsid w:val="00B319BA"/>
    <w:rsid w:val="00B31BF3"/>
    <w:rsid w:val="00B32A69"/>
    <w:rsid w:val="00B353DB"/>
    <w:rsid w:val="00B405DB"/>
    <w:rsid w:val="00B428FA"/>
    <w:rsid w:val="00B429F2"/>
    <w:rsid w:val="00B4452B"/>
    <w:rsid w:val="00B44597"/>
    <w:rsid w:val="00B4584A"/>
    <w:rsid w:val="00B47738"/>
    <w:rsid w:val="00B47853"/>
    <w:rsid w:val="00B519C6"/>
    <w:rsid w:val="00B52AE3"/>
    <w:rsid w:val="00B5415B"/>
    <w:rsid w:val="00B5651F"/>
    <w:rsid w:val="00B566B8"/>
    <w:rsid w:val="00B57A17"/>
    <w:rsid w:val="00B6048B"/>
    <w:rsid w:val="00B62280"/>
    <w:rsid w:val="00B651F1"/>
    <w:rsid w:val="00B65E57"/>
    <w:rsid w:val="00B6700E"/>
    <w:rsid w:val="00B7083A"/>
    <w:rsid w:val="00B70E79"/>
    <w:rsid w:val="00B7131C"/>
    <w:rsid w:val="00B718E8"/>
    <w:rsid w:val="00B727DB"/>
    <w:rsid w:val="00B73958"/>
    <w:rsid w:val="00B7429F"/>
    <w:rsid w:val="00B74B46"/>
    <w:rsid w:val="00B77178"/>
    <w:rsid w:val="00B772E8"/>
    <w:rsid w:val="00B77C83"/>
    <w:rsid w:val="00B80084"/>
    <w:rsid w:val="00B811AA"/>
    <w:rsid w:val="00B81736"/>
    <w:rsid w:val="00B817B9"/>
    <w:rsid w:val="00B81AC8"/>
    <w:rsid w:val="00B8203E"/>
    <w:rsid w:val="00B83508"/>
    <w:rsid w:val="00B838DA"/>
    <w:rsid w:val="00B8440C"/>
    <w:rsid w:val="00B846C9"/>
    <w:rsid w:val="00B85BC5"/>
    <w:rsid w:val="00B87EC4"/>
    <w:rsid w:val="00B92C18"/>
    <w:rsid w:val="00B9392B"/>
    <w:rsid w:val="00B94618"/>
    <w:rsid w:val="00B94E88"/>
    <w:rsid w:val="00BA0A8D"/>
    <w:rsid w:val="00BA21FE"/>
    <w:rsid w:val="00BA26F2"/>
    <w:rsid w:val="00BA3F82"/>
    <w:rsid w:val="00BA6FD2"/>
    <w:rsid w:val="00BB1B1C"/>
    <w:rsid w:val="00BB2004"/>
    <w:rsid w:val="00BB241C"/>
    <w:rsid w:val="00BB30C1"/>
    <w:rsid w:val="00BC0754"/>
    <w:rsid w:val="00BC11C9"/>
    <w:rsid w:val="00BC2952"/>
    <w:rsid w:val="00BC2A83"/>
    <w:rsid w:val="00BC3BCC"/>
    <w:rsid w:val="00BC3C5B"/>
    <w:rsid w:val="00BC4291"/>
    <w:rsid w:val="00BC5229"/>
    <w:rsid w:val="00BC5BDF"/>
    <w:rsid w:val="00BD2529"/>
    <w:rsid w:val="00BD4FD1"/>
    <w:rsid w:val="00BD50A5"/>
    <w:rsid w:val="00BE33C1"/>
    <w:rsid w:val="00BE4361"/>
    <w:rsid w:val="00BE4874"/>
    <w:rsid w:val="00BE7BEC"/>
    <w:rsid w:val="00BE7E03"/>
    <w:rsid w:val="00BF2D83"/>
    <w:rsid w:val="00BF3DAB"/>
    <w:rsid w:val="00BF3FC0"/>
    <w:rsid w:val="00BF6C9D"/>
    <w:rsid w:val="00BF7626"/>
    <w:rsid w:val="00BF768D"/>
    <w:rsid w:val="00BF7D5C"/>
    <w:rsid w:val="00C005AA"/>
    <w:rsid w:val="00C012A2"/>
    <w:rsid w:val="00C03E81"/>
    <w:rsid w:val="00C05522"/>
    <w:rsid w:val="00C071AD"/>
    <w:rsid w:val="00C10575"/>
    <w:rsid w:val="00C11924"/>
    <w:rsid w:val="00C11A3C"/>
    <w:rsid w:val="00C139EC"/>
    <w:rsid w:val="00C139FA"/>
    <w:rsid w:val="00C1406E"/>
    <w:rsid w:val="00C1534E"/>
    <w:rsid w:val="00C1584E"/>
    <w:rsid w:val="00C179EB"/>
    <w:rsid w:val="00C17BC6"/>
    <w:rsid w:val="00C22019"/>
    <w:rsid w:val="00C22AD6"/>
    <w:rsid w:val="00C2317F"/>
    <w:rsid w:val="00C240BF"/>
    <w:rsid w:val="00C26CD7"/>
    <w:rsid w:val="00C27112"/>
    <w:rsid w:val="00C32373"/>
    <w:rsid w:val="00C32953"/>
    <w:rsid w:val="00C32E37"/>
    <w:rsid w:val="00C32FD9"/>
    <w:rsid w:val="00C33ADC"/>
    <w:rsid w:val="00C33E60"/>
    <w:rsid w:val="00C345A2"/>
    <w:rsid w:val="00C34608"/>
    <w:rsid w:val="00C35140"/>
    <w:rsid w:val="00C3542E"/>
    <w:rsid w:val="00C4146C"/>
    <w:rsid w:val="00C44D06"/>
    <w:rsid w:val="00C45B03"/>
    <w:rsid w:val="00C465B8"/>
    <w:rsid w:val="00C50B6F"/>
    <w:rsid w:val="00C51641"/>
    <w:rsid w:val="00C51E60"/>
    <w:rsid w:val="00C5216C"/>
    <w:rsid w:val="00C524AF"/>
    <w:rsid w:val="00C52872"/>
    <w:rsid w:val="00C530A3"/>
    <w:rsid w:val="00C605AD"/>
    <w:rsid w:val="00C606AC"/>
    <w:rsid w:val="00C61693"/>
    <w:rsid w:val="00C6351B"/>
    <w:rsid w:val="00C6464B"/>
    <w:rsid w:val="00C64957"/>
    <w:rsid w:val="00C65377"/>
    <w:rsid w:val="00C72DC8"/>
    <w:rsid w:val="00C73703"/>
    <w:rsid w:val="00C74D5D"/>
    <w:rsid w:val="00C819FE"/>
    <w:rsid w:val="00C85B8D"/>
    <w:rsid w:val="00C87FB7"/>
    <w:rsid w:val="00C92705"/>
    <w:rsid w:val="00C93E55"/>
    <w:rsid w:val="00C94089"/>
    <w:rsid w:val="00C94551"/>
    <w:rsid w:val="00C96490"/>
    <w:rsid w:val="00C965AE"/>
    <w:rsid w:val="00C96E3B"/>
    <w:rsid w:val="00CA042D"/>
    <w:rsid w:val="00CA0941"/>
    <w:rsid w:val="00CA11CD"/>
    <w:rsid w:val="00CA3C75"/>
    <w:rsid w:val="00CA3F15"/>
    <w:rsid w:val="00CA48B6"/>
    <w:rsid w:val="00CA4AA7"/>
    <w:rsid w:val="00CA66D5"/>
    <w:rsid w:val="00CA69AE"/>
    <w:rsid w:val="00CA74CB"/>
    <w:rsid w:val="00CB10B8"/>
    <w:rsid w:val="00CB2389"/>
    <w:rsid w:val="00CB2D2C"/>
    <w:rsid w:val="00CB4394"/>
    <w:rsid w:val="00CB5F73"/>
    <w:rsid w:val="00CB7FD9"/>
    <w:rsid w:val="00CC3B0C"/>
    <w:rsid w:val="00CC7A3B"/>
    <w:rsid w:val="00CD3444"/>
    <w:rsid w:val="00CD6A6A"/>
    <w:rsid w:val="00CD7F3C"/>
    <w:rsid w:val="00CE0818"/>
    <w:rsid w:val="00CE0906"/>
    <w:rsid w:val="00CE2D2C"/>
    <w:rsid w:val="00CE3681"/>
    <w:rsid w:val="00CE482A"/>
    <w:rsid w:val="00CE566B"/>
    <w:rsid w:val="00CE6F2C"/>
    <w:rsid w:val="00CF06F9"/>
    <w:rsid w:val="00CF2193"/>
    <w:rsid w:val="00CF222F"/>
    <w:rsid w:val="00CF27F2"/>
    <w:rsid w:val="00CF35C3"/>
    <w:rsid w:val="00CF4850"/>
    <w:rsid w:val="00CF69E3"/>
    <w:rsid w:val="00CF6BB6"/>
    <w:rsid w:val="00CF711D"/>
    <w:rsid w:val="00D015F9"/>
    <w:rsid w:val="00D02DF9"/>
    <w:rsid w:val="00D03176"/>
    <w:rsid w:val="00D043CF"/>
    <w:rsid w:val="00D055D4"/>
    <w:rsid w:val="00D06B3A"/>
    <w:rsid w:val="00D079A8"/>
    <w:rsid w:val="00D10B11"/>
    <w:rsid w:val="00D1214A"/>
    <w:rsid w:val="00D144FF"/>
    <w:rsid w:val="00D14F68"/>
    <w:rsid w:val="00D175A5"/>
    <w:rsid w:val="00D204FA"/>
    <w:rsid w:val="00D21D45"/>
    <w:rsid w:val="00D229DE"/>
    <w:rsid w:val="00D23673"/>
    <w:rsid w:val="00D24B9A"/>
    <w:rsid w:val="00D252AF"/>
    <w:rsid w:val="00D25DF8"/>
    <w:rsid w:val="00D306E8"/>
    <w:rsid w:val="00D30C8A"/>
    <w:rsid w:val="00D335A7"/>
    <w:rsid w:val="00D3540C"/>
    <w:rsid w:val="00D358CC"/>
    <w:rsid w:val="00D35C1C"/>
    <w:rsid w:val="00D35EA0"/>
    <w:rsid w:val="00D37282"/>
    <w:rsid w:val="00D40DF8"/>
    <w:rsid w:val="00D41FC4"/>
    <w:rsid w:val="00D43BF1"/>
    <w:rsid w:val="00D44CB7"/>
    <w:rsid w:val="00D5085E"/>
    <w:rsid w:val="00D511C7"/>
    <w:rsid w:val="00D51DA0"/>
    <w:rsid w:val="00D52551"/>
    <w:rsid w:val="00D53E2A"/>
    <w:rsid w:val="00D54A37"/>
    <w:rsid w:val="00D576E4"/>
    <w:rsid w:val="00D60E80"/>
    <w:rsid w:val="00D61A1C"/>
    <w:rsid w:val="00D61C6A"/>
    <w:rsid w:val="00D62553"/>
    <w:rsid w:val="00D63BA5"/>
    <w:rsid w:val="00D65C35"/>
    <w:rsid w:val="00D6799C"/>
    <w:rsid w:val="00D71EFE"/>
    <w:rsid w:val="00D72C7A"/>
    <w:rsid w:val="00D7366D"/>
    <w:rsid w:val="00D736D9"/>
    <w:rsid w:val="00D739A9"/>
    <w:rsid w:val="00D748BE"/>
    <w:rsid w:val="00D749D0"/>
    <w:rsid w:val="00D75736"/>
    <w:rsid w:val="00D767B1"/>
    <w:rsid w:val="00D803DB"/>
    <w:rsid w:val="00D83309"/>
    <w:rsid w:val="00D84A27"/>
    <w:rsid w:val="00D84BC5"/>
    <w:rsid w:val="00D84DFF"/>
    <w:rsid w:val="00D855CC"/>
    <w:rsid w:val="00D86629"/>
    <w:rsid w:val="00D8734E"/>
    <w:rsid w:val="00D87D9A"/>
    <w:rsid w:val="00D91A7B"/>
    <w:rsid w:val="00D92C95"/>
    <w:rsid w:val="00D935AA"/>
    <w:rsid w:val="00D9615B"/>
    <w:rsid w:val="00DA05B5"/>
    <w:rsid w:val="00DA22EB"/>
    <w:rsid w:val="00DA2F78"/>
    <w:rsid w:val="00DA3FBD"/>
    <w:rsid w:val="00DA6284"/>
    <w:rsid w:val="00DA7AA2"/>
    <w:rsid w:val="00DB08BB"/>
    <w:rsid w:val="00DB1CE8"/>
    <w:rsid w:val="00DB2F61"/>
    <w:rsid w:val="00DC0A2E"/>
    <w:rsid w:val="00DC5F3D"/>
    <w:rsid w:val="00DC6285"/>
    <w:rsid w:val="00DC687E"/>
    <w:rsid w:val="00DD1890"/>
    <w:rsid w:val="00DD1CF9"/>
    <w:rsid w:val="00DD2DFA"/>
    <w:rsid w:val="00DD445E"/>
    <w:rsid w:val="00DD4A5C"/>
    <w:rsid w:val="00DD52B7"/>
    <w:rsid w:val="00DD65B7"/>
    <w:rsid w:val="00DD77B2"/>
    <w:rsid w:val="00DD79DB"/>
    <w:rsid w:val="00DE0371"/>
    <w:rsid w:val="00DE16C7"/>
    <w:rsid w:val="00DE2BAF"/>
    <w:rsid w:val="00DE5792"/>
    <w:rsid w:val="00DE68EE"/>
    <w:rsid w:val="00DE785C"/>
    <w:rsid w:val="00DF120D"/>
    <w:rsid w:val="00DF18ED"/>
    <w:rsid w:val="00DF348D"/>
    <w:rsid w:val="00DF35B9"/>
    <w:rsid w:val="00DF4547"/>
    <w:rsid w:val="00DF5F46"/>
    <w:rsid w:val="00DF7520"/>
    <w:rsid w:val="00DF7DBF"/>
    <w:rsid w:val="00E0065C"/>
    <w:rsid w:val="00E013BE"/>
    <w:rsid w:val="00E01D5D"/>
    <w:rsid w:val="00E020AE"/>
    <w:rsid w:val="00E02938"/>
    <w:rsid w:val="00E03332"/>
    <w:rsid w:val="00E041EE"/>
    <w:rsid w:val="00E04CE5"/>
    <w:rsid w:val="00E07F1D"/>
    <w:rsid w:val="00E112CC"/>
    <w:rsid w:val="00E14ECD"/>
    <w:rsid w:val="00E15B88"/>
    <w:rsid w:val="00E15BC9"/>
    <w:rsid w:val="00E173BE"/>
    <w:rsid w:val="00E179BD"/>
    <w:rsid w:val="00E22E31"/>
    <w:rsid w:val="00E234CF"/>
    <w:rsid w:val="00E24D7D"/>
    <w:rsid w:val="00E279EE"/>
    <w:rsid w:val="00E3046E"/>
    <w:rsid w:val="00E31072"/>
    <w:rsid w:val="00E328AB"/>
    <w:rsid w:val="00E42165"/>
    <w:rsid w:val="00E4369C"/>
    <w:rsid w:val="00E437D0"/>
    <w:rsid w:val="00E4424E"/>
    <w:rsid w:val="00E45DD8"/>
    <w:rsid w:val="00E46946"/>
    <w:rsid w:val="00E501AB"/>
    <w:rsid w:val="00E509B3"/>
    <w:rsid w:val="00E54569"/>
    <w:rsid w:val="00E55343"/>
    <w:rsid w:val="00E5777F"/>
    <w:rsid w:val="00E608FB"/>
    <w:rsid w:val="00E60CE1"/>
    <w:rsid w:val="00E62E85"/>
    <w:rsid w:val="00E71C88"/>
    <w:rsid w:val="00E71CFF"/>
    <w:rsid w:val="00E72471"/>
    <w:rsid w:val="00E732EF"/>
    <w:rsid w:val="00E73E70"/>
    <w:rsid w:val="00E75EE5"/>
    <w:rsid w:val="00E77BA8"/>
    <w:rsid w:val="00E77D9A"/>
    <w:rsid w:val="00E807E4"/>
    <w:rsid w:val="00E808BF"/>
    <w:rsid w:val="00E808E1"/>
    <w:rsid w:val="00E82DBD"/>
    <w:rsid w:val="00E8425E"/>
    <w:rsid w:val="00E866E5"/>
    <w:rsid w:val="00E87A86"/>
    <w:rsid w:val="00E90A01"/>
    <w:rsid w:val="00E92979"/>
    <w:rsid w:val="00EA1830"/>
    <w:rsid w:val="00EA2441"/>
    <w:rsid w:val="00EA30D2"/>
    <w:rsid w:val="00EA33ED"/>
    <w:rsid w:val="00EA4700"/>
    <w:rsid w:val="00EA54EE"/>
    <w:rsid w:val="00EA704C"/>
    <w:rsid w:val="00EA710E"/>
    <w:rsid w:val="00EB052C"/>
    <w:rsid w:val="00EB19A5"/>
    <w:rsid w:val="00EB1E9B"/>
    <w:rsid w:val="00EB6AEB"/>
    <w:rsid w:val="00EB7ECA"/>
    <w:rsid w:val="00EB7F3E"/>
    <w:rsid w:val="00EC0652"/>
    <w:rsid w:val="00EC2E40"/>
    <w:rsid w:val="00EC47E4"/>
    <w:rsid w:val="00EC589C"/>
    <w:rsid w:val="00EC5A00"/>
    <w:rsid w:val="00EC6853"/>
    <w:rsid w:val="00EC736B"/>
    <w:rsid w:val="00EC7A87"/>
    <w:rsid w:val="00ED0077"/>
    <w:rsid w:val="00ED2244"/>
    <w:rsid w:val="00ED2979"/>
    <w:rsid w:val="00ED3C63"/>
    <w:rsid w:val="00ED4C64"/>
    <w:rsid w:val="00ED5BB2"/>
    <w:rsid w:val="00ED5C85"/>
    <w:rsid w:val="00ED6417"/>
    <w:rsid w:val="00ED7043"/>
    <w:rsid w:val="00ED7886"/>
    <w:rsid w:val="00EE317B"/>
    <w:rsid w:val="00EE5531"/>
    <w:rsid w:val="00EE6C75"/>
    <w:rsid w:val="00EF03FB"/>
    <w:rsid w:val="00EF0870"/>
    <w:rsid w:val="00EF1301"/>
    <w:rsid w:val="00EF1A1D"/>
    <w:rsid w:val="00EF292D"/>
    <w:rsid w:val="00EF3188"/>
    <w:rsid w:val="00EF3D3D"/>
    <w:rsid w:val="00EF4174"/>
    <w:rsid w:val="00EF7AE8"/>
    <w:rsid w:val="00F01410"/>
    <w:rsid w:val="00F0238B"/>
    <w:rsid w:val="00F02F1E"/>
    <w:rsid w:val="00F06CE8"/>
    <w:rsid w:val="00F0781F"/>
    <w:rsid w:val="00F105F9"/>
    <w:rsid w:val="00F10BEE"/>
    <w:rsid w:val="00F1174B"/>
    <w:rsid w:val="00F13051"/>
    <w:rsid w:val="00F15799"/>
    <w:rsid w:val="00F16BC8"/>
    <w:rsid w:val="00F210C7"/>
    <w:rsid w:val="00F21B7E"/>
    <w:rsid w:val="00F2383E"/>
    <w:rsid w:val="00F23CC2"/>
    <w:rsid w:val="00F2425D"/>
    <w:rsid w:val="00F26D5E"/>
    <w:rsid w:val="00F276EB"/>
    <w:rsid w:val="00F30046"/>
    <w:rsid w:val="00F30D56"/>
    <w:rsid w:val="00F31468"/>
    <w:rsid w:val="00F31826"/>
    <w:rsid w:val="00F3421A"/>
    <w:rsid w:val="00F3421B"/>
    <w:rsid w:val="00F3574D"/>
    <w:rsid w:val="00F37945"/>
    <w:rsid w:val="00F427AC"/>
    <w:rsid w:val="00F42875"/>
    <w:rsid w:val="00F4413A"/>
    <w:rsid w:val="00F44318"/>
    <w:rsid w:val="00F45396"/>
    <w:rsid w:val="00F454EE"/>
    <w:rsid w:val="00F47C05"/>
    <w:rsid w:val="00F47CDD"/>
    <w:rsid w:val="00F50462"/>
    <w:rsid w:val="00F5198A"/>
    <w:rsid w:val="00F51A2E"/>
    <w:rsid w:val="00F53991"/>
    <w:rsid w:val="00F53E41"/>
    <w:rsid w:val="00F54596"/>
    <w:rsid w:val="00F549AD"/>
    <w:rsid w:val="00F555BE"/>
    <w:rsid w:val="00F55952"/>
    <w:rsid w:val="00F567FB"/>
    <w:rsid w:val="00F5723F"/>
    <w:rsid w:val="00F5729E"/>
    <w:rsid w:val="00F62FDE"/>
    <w:rsid w:val="00F63E7D"/>
    <w:rsid w:val="00F65789"/>
    <w:rsid w:val="00F666C7"/>
    <w:rsid w:val="00F672EE"/>
    <w:rsid w:val="00F70DC6"/>
    <w:rsid w:val="00F72B55"/>
    <w:rsid w:val="00F7573F"/>
    <w:rsid w:val="00F777A5"/>
    <w:rsid w:val="00F8073F"/>
    <w:rsid w:val="00F812B5"/>
    <w:rsid w:val="00F8263F"/>
    <w:rsid w:val="00F82F7D"/>
    <w:rsid w:val="00F83C4C"/>
    <w:rsid w:val="00F841A1"/>
    <w:rsid w:val="00F909C0"/>
    <w:rsid w:val="00F94027"/>
    <w:rsid w:val="00F9562A"/>
    <w:rsid w:val="00F978EE"/>
    <w:rsid w:val="00FA2333"/>
    <w:rsid w:val="00FA27B5"/>
    <w:rsid w:val="00FA6DC4"/>
    <w:rsid w:val="00FA79B7"/>
    <w:rsid w:val="00FA7F03"/>
    <w:rsid w:val="00FB1037"/>
    <w:rsid w:val="00FB2088"/>
    <w:rsid w:val="00FB2140"/>
    <w:rsid w:val="00FB5CE2"/>
    <w:rsid w:val="00FB5D01"/>
    <w:rsid w:val="00FC1288"/>
    <w:rsid w:val="00FC1CA8"/>
    <w:rsid w:val="00FC238E"/>
    <w:rsid w:val="00FC2951"/>
    <w:rsid w:val="00FC359C"/>
    <w:rsid w:val="00FC3B15"/>
    <w:rsid w:val="00FC5459"/>
    <w:rsid w:val="00FC5C09"/>
    <w:rsid w:val="00FC72CE"/>
    <w:rsid w:val="00FD03EF"/>
    <w:rsid w:val="00FD1B44"/>
    <w:rsid w:val="00FD2372"/>
    <w:rsid w:val="00FD2930"/>
    <w:rsid w:val="00FD2CD5"/>
    <w:rsid w:val="00FD2DE4"/>
    <w:rsid w:val="00FD5F6F"/>
    <w:rsid w:val="00FD6B49"/>
    <w:rsid w:val="00FD6EF0"/>
    <w:rsid w:val="00FD7823"/>
    <w:rsid w:val="00FD7CD9"/>
    <w:rsid w:val="00FE060C"/>
    <w:rsid w:val="00FE07F5"/>
    <w:rsid w:val="00FE2999"/>
    <w:rsid w:val="00FE4709"/>
    <w:rsid w:val="00FE4A69"/>
    <w:rsid w:val="00FE4D8A"/>
    <w:rsid w:val="00FE7AED"/>
    <w:rsid w:val="00FF0A29"/>
    <w:rsid w:val="00FF0A5B"/>
    <w:rsid w:val="00FF178F"/>
    <w:rsid w:val="00FF229B"/>
    <w:rsid w:val="00FF23F3"/>
    <w:rsid w:val="00FF5491"/>
    <w:rsid w:val="00FF5F9A"/>
    <w:rsid w:val="00FF63F0"/>
    <w:rsid w:val="00FF6E94"/>
    <w:rsid w:val="00FF7644"/>
    <w:rsid w:val="00FF7DD7"/>
    <w:rsid w:val="7A5821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00F"/>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D06"/>
    <w:pPr>
      <w:ind w:left="720"/>
      <w:contextualSpacing/>
      <w:jc w:val="both"/>
    </w:pPr>
    <w:rPr>
      <w:rFonts w:ascii="Palatino Linotype" w:hAnsi="Palatino Linotype"/>
      <w:color w:val="000000" w:themeColor="text1"/>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3D06"/>
    <w:rPr>
      <w:rFonts w:ascii="Palatino Linotype" w:hAnsi="Palatino Linotype" w:eastAsia="Times New Roman"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arkedcontent" w:customStyle="1">
    <w:name w:val="markedcontent"/>
    <w:basedOn w:val="Fuentedeprrafopredeter"/>
    <w:rsid w:val="00687920"/>
  </w:style>
  <w:style w:type="character" w:styleId="Mencinsinresolver3" w:customStyle="1">
    <w:name w:val="Mención sin resolver3"/>
    <w:basedOn w:val="Fuentedeprrafopredeter"/>
    <w:uiPriority w:val="99"/>
    <w:semiHidden/>
    <w:unhideWhenUsed/>
    <w:rsid w:val="00330335"/>
    <w:rPr>
      <w:color w:val="605E5C"/>
      <w:shd w:val="clear" w:color="auto" w:fill="E1DFDD"/>
    </w:rPr>
  </w:style>
  <w:style w:type="character" w:styleId="Mencinsinresolver4" w:customStyle="1">
    <w:name w:val="Mención sin resolver4"/>
    <w:basedOn w:val="Fuentedeprrafopredeter"/>
    <w:uiPriority w:val="99"/>
    <w:semiHidden/>
    <w:unhideWhenUsed/>
    <w:rsid w:val="0061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0221">
      <w:bodyDiv w:val="1"/>
      <w:marLeft w:val="0"/>
      <w:marRight w:val="0"/>
      <w:marTop w:val="0"/>
      <w:marBottom w:val="0"/>
      <w:divBdr>
        <w:top w:val="none" w:sz="0" w:space="0" w:color="auto"/>
        <w:left w:val="none" w:sz="0" w:space="0" w:color="auto"/>
        <w:bottom w:val="none" w:sz="0" w:space="0" w:color="auto"/>
        <w:right w:val="none" w:sz="0" w:space="0" w:color="auto"/>
      </w:divBdr>
    </w:div>
    <w:div w:id="184368726">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65646148">
      <w:bodyDiv w:val="1"/>
      <w:marLeft w:val="0"/>
      <w:marRight w:val="0"/>
      <w:marTop w:val="0"/>
      <w:marBottom w:val="0"/>
      <w:divBdr>
        <w:top w:val="none" w:sz="0" w:space="0" w:color="auto"/>
        <w:left w:val="none" w:sz="0" w:space="0" w:color="auto"/>
        <w:bottom w:val="none" w:sz="0" w:space="0" w:color="auto"/>
        <w:right w:val="none" w:sz="0" w:space="0" w:color="auto"/>
      </w:divBdr>
    </w:div>
    <w:div w:id="389574026">
      <w:bodyDiv w:val="1"/>
      <w:marLeft w:val="0"/>
      <w:marRight w:val="0"/>
      <w:marTop w:val="0"/>
      <w:marBottom w:val="0"/>
      <w:divBdr>
        <w:top w:val="none" w:sz="0" w:space="0" w:color="auto"/>
        <w:left w:val="none" w:sz="0" w:space="0" w:color="auto"/>
        <w:bottom w:val="none" w:sz="0" w:space="0" w:color="auto"/>
        <w:right w:val="none" w:sz="0" w:space="0" w:color="auto"/>
      </w:divBdr>
    </w:div>
    <w:div w:id="476387299">
      <w:bodyDiv w:val="1"/>
      <w:marLeft w:val="0"/>
      <w:marRight w:val="0"/>
      <w:marTop w:val="0"/>
      <w:marBottom w:val="0"/>
      <w:divBdr>
        <w:top w:val="none" w:sz="0" w:space="0" w:color="auto"/>
        <w:left w:val="none" w:sz="0" w:space="0" w:color="auto"/>
        <w:bottom w:val="none" w:sz="0" w:space="0" w:color="auto"/>
        <w:right w:val="none" w:sz="0" w:space="0" w:color="auto"/>
      </w:divBdr>
    </w:div>
    <w:div w:id="572589526">
      <w:bodyDiv w:val="1"/>
      <w:marLeft w:val="0"/>
      <w:marRight w:val="0"/>
      <w:marTop w:val="0"/>
      <w:marBottom w:val="0"/>
      <w:divBdr>
        <w:top w:val="none" w:sz="0" w:space="0" w:color="auto"/>
        <w:left w:val="none" w:sz="0" w:space="0" w:color="auto"/>
        <w:bottom w:val="none" w:sz="0" w:space="0" w:color="auto"/>
        <w:right w:val="none" w:sz="0" w:space="0" w:color="auto"/>
      </w:divBdr>
    </w:div>
    <w:div w:id="598949618">
      <w:bodyDiv w:val="1"/>
      <w:marLeft w:val="0"/>
      <w:marRight w:val="0"/>
      <w:marTop w:val="0"/>
      <w:marBottom w:val="0"/>
      <w:divBdr>
        <w:top w:val="none" w:sz="0" w:space="0" w:color="auto"/>
        <w:left w:val="none" w:sz="0" w:space="0" w:color="auto"/>
        <w:bottom w:val="none" w:sz="0" w:space="0" w:color="auto"/>
        <w:right w:val="none" w:sz="0" w:space="0" w:color="auto"/>
      </w:divBdr>
    </w:div>
    <w:div w:id="803961812">
      <w:bodyDiv w:val="1"/>
      <w:marLeft w:val="0"/>
      <w:marRight w:val="0"/>
      <w:marTop w:val="0"/>
      <w:marBottom w:val="0"/>
      <w:divBdr>
        <w:top w:val="none" w:sz="0" w:space="0" w:color="auto"/>
        <w:left w:val="none" w:sz="0" w:space="0" w:color="auto"/>
        <w:bottom w:val="none" w:sz="0" w:space="0" w:color="auto"/>
        <w:right w:val="none" w:sz="0" w:space="0" w:color="auto"/>
      </w:divBdr>
    </w:div>
    <w:div w:id="815488474">
      <w:bodyDiv w:val="1"/>
      <w:marLeft w:val="0"/>
      <w:marRight w:val="0"/>
      <w:marTop w:val="0"/>
      <w:marBottom w:val="0"/>
      <w:divBdr>
        <w:top w:val="none" w:sz="0" w:space="0" w:color="auto"/>
        <w:left w:val="none" w:sz="0" w:space="0" w:color="auto"/>
        <w:bottom w:val="none" w:sz="0" w:space="0" w:color="auto"/>
        <w:right w:val="none" w:sz="0" w:space="0" w:color="auto"/>
      </w:divBdr>
    </w:div>
    <w:div w:id="1028991204">
      <w:bodyDiv w:val="1"/>
      <w:marLeft w:val="0"/>
      <w:marRight w:val="0"/>
      <w:marTop w:val="0"/>
      <w:marBottom w:val="0"/>
      <w:divBdr>
        <w:top w:val="none" w:sz="0" w:space="0" w:color="auto"/>
        <w:left w:val="none" w:sz="0" w:space="0" w:color="auto"/>
        <w:bottom w:val="none" w:sz="0" w:space="0" w:color="auto"/>
        <w:right w:val="none" w:sz="0" w:space="0" w:color="auto"/>
      </w:divBdr>
    </w:div>
    <w:div w:id="1205949168">
      <w:bodyDiv w:val="1"/>
      <w:marLeft w:val="0"/>
      <w:marRight w:val="0"/>
      <w:marTop w:val="0"/>
      <w:marBottom w:val="0"/>
      <w:divBdr>
        <w:top w:val="none" w:sz="0" w:space="0" w:color="auto"/>
        <w:left w:val="none" w:sz="0" w:space="0" w:color="auto"/>
        <w:bottom w:val="none" w:sz="0" w:space="0" w:color="auto"/>
        <w:right w:val="none" w:sz="0" w:space="0" w:color="auto"/>
      </w:divBdr>
    </w:div>
    <w:div w:id="1306163072">
      <w:bodyDiv w:val="1"/>
      <w:marLeft w:val="0"/>
      <w:marRight w:val="0"/>
      <w:marTop w:val="0"/>
      <w:marBottom w:val="0"/>
      <w:divBdr>
        <w:top w:val="none" w:sz="0" w:space="0" w:color="auto"/>
        <w:left w:val="none" w:sz="0" w:space="0" w:color="auto"/>
        <w:bottom w:val="none" w:sz="0" w:space="0" w:color="auto"/>
        <w:right w:val="none" w:sz="0" w:space="0" w:color="auto"/>
      </w:divBdr>
    </w:div>
    <w:div w:id="1661999360">
      <w:bodyDiv w:val="1"/>
      <w:marLeft w:val="0"/>
      <w:marRight w:val="0"/>
      <w:marTop w:val="0"/>
      <w:marBottom w:val="0"/>
      <w:divBdr>
        <w:top w:val="none" w:sz="0" w:space="0" w:color="auto"/>
        <w:left w:val="none" w:sz="0" w:space="0" w:color="auto"/>
        <w:bottom w:val="none" w:sz="0" w:space="0" w:color="auto"/>
        <w:right w:val="none" w:sz="0" w:space="0" w:color="auto"/>
      </w:divBdr>
    </w:div>
    <w:div w:id="1945069507">
      <w:bodyDiv w:val="1"/>
      <w:marLeft w:val="0"/>
      <w:marRight w:val="0"/>
      <w:marTop w:val="0"/>
      <w:marBottom w:val="0"/>
      <w:divBdr>
        <w:top w:val="none" w:sz="0" w:space="0" w:color="auto"/>
        <w:left w:val="none" w:sz="0" w:space="0" w:color="auto"/>
        <w:bottom w:val="none" w:sz="0" w:space="0" w:color="auto"/>
        <w:right w:val="none" w:sz="0" w:space="0" w:color="auto"/>
      </w:divBdr>
    </w:div>
    <w:div w:id="1948342287">
      <w:bodyDiv w:val="1"/>
      <w:marLeft w:val="0"/>
      <w:marRight w:val="0"/>
      <w:marTop w:val="0"/>
      <w:marBottom w:val="0"/>
      <w:divBdr>
        <w:top w:val="none" w:sz="0" w:space="0" w:color="auto"/>
        <w:left w:val="none" w:sz="0" w:space="0" w:color="auto"/>
        <w:bottom w:val="none" w:sz="0" w:space="0" w:color="auto"/>
        <w:right w:val="none" w:sz="0" w:space="0" w:color="auto"/>
      </w:divBdr>
    </w:div>
    <w:div w:id="2035300220">
      <w:bodyDiv w:val="1"/>
      <w:marLeft w:val="0"/>
      <w:marRight w:val="0"/>
      <w:marTop w:val="0"/>
      <w:marBottom w:val="0"/>
      <w:divBdr>
        <w:top w:val="none" w:sz="0" w:space="0" w:color="auto"/>
        <w:left w:val="none" w:sz="0" w:space="0" w:color="auto"/>
        <w:bottom w:val="none" w:sz="0" w:space="0" w:color="auto"/>
        <w:right w:val="none" w:sz="0" w:space="0" w:color="auto"/>
      </w:divBdr>
    </w:div>
    <w:div w:id="2049722741">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omex.org.mx/ipo3/lgt/indice/tequixquiac.web"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ipomex.org.mx/ipo3/lgt/indice/tequixquiac.web"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D4FC-0FEC-4508-A4B9-98D41E0D59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5</revision>
  <lastPrinted>2022-04-27T17:38:00.0000000Z</lastPrinted>
  <dcterms:created xsi:type="dcterms:W3CDTF">2022-08-18T19:21:00.0000000Z</dcterms:created>
  <dcterms:modified xsi:type="dcterms:W3CDTF">2022-09-08T18:28:25.3909565Z</dcterms:modified>
</coreProperties>
</file>