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C203B"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Palatino Linotype" w:hAnsi="Palatino Linotype" w:cs="Palatino Linotype"/>
          <w:b/>
        </w:rPr>
        <w:t>catorce de septiembre de dos mil veintidós</w:t>
      </w:r>
      <w:r>
        <w:rPr>
          <w:rFonts w:ascii="Palatino Linotype" w:eastAsia="Palatino Linotype" w:hAnsi="Palatino Linotype" w:cs="Palatino Linotype"/>
        </w:rPr>
        <w:t xml:space="preserve">. </w:t>
      </w:r>
    </w:p>
    <w:p w14:paraId="310D7670" w14:textId="2BDE62E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08024/INFOEM/IP/RR/2022</w:t>
      </w:r>
      <w:r>
        <w:rPr>
          <w:rFonts w:ascii="Palatino Linotype" w:eastAsia="Palatino Linotype" w:hAnsi="Palatino Linotype" w:cs="Palatino Linotype"/>
        </w:rPr>
        <w:t xml:space="preserve">, interpuesto por el C. </w:t>
      </w:r>
      <w:r w:rsidR="00A976AA">
        <w:rPr>
          <w:rFonts w:ascii="Palatino Linotype" w:eastAsia="Palatino Linotype" w:hAnsi="Palatino Linotype" w:cs="Palatino Linotype"/>
          <w:b/>
        </w:rPr>
        <w:t>XXXXXX</w:t>
      </w:r>
      <w:r>
        <w:rPr>
          <w:rFonts w:ascii="Palatino Linotype" w:eastAsia="Palatino Linotype" w:hAnsi="Palatino Linotype" w:cs="Palatino Linotype"/>
          <w:b/>
        </w:rPr>
        <w:t xml:space="preserve"> </w:t>
      </w:r>
      <w:r w:rsidR="00A976AA">
        <w:rPr>
          <w:rFonts w:ascii="Palatino Linotype" w:eastAsia="Palatino Linotype" w:hAnsi="Palatino Linotype" w:cs="Palatino Linotype"/>
          <w:b/>
        </w:rPr>
        <w:t>XXXXX</w:t>
      </w:r>
      <w:r>
        <w:rPr>
          <w:rFonts w:ascii="Palatino Linotype" w:eastAsia="Palatino Linotype" w:hAnsi="Palatino Linotype" w:cs="Palatino Linotype"/>
          <w:b/>
        </w:rPr>
        <w:t xml:space="preserve"> </w:t>
      </w:r>
      <w:r w:rsidR="00A976AA">
        <w:rPr>
          <w:rFonts w:ascii="Palatino Linotype" w:eastAsia="Palatino Linotype" w:hAnsi="Palatino Linotype" w:cs="Palatino Linotype"/>
          <w:b/>
        </w:rPr>
        <w:t>XXXXX</w:t>
      </w:r>
      <w:r>
        <w:rPr>
          <w:rFonts w:ascii="Palatino Linotype" w:eastAsia="Palatino Linotype" w:hAnsi="Palatino Linotype" w:cs="Palatino Linotype"/>
          <w:b/>
        </w:rPr>
        <w:t xml:space="preserve"> </w:t>
      </w:r>
      <w:r w:rsidR="00A976AA">
        <w:rPr>
          <w:rFonts w:ascii="Palatino Linotype" w:eastAsia="Palatino Linotype" w:hAnsi="Palatino Linotype" w:cs="Palatino Linotype"/>
          <w:b/>
        </w:rPr>
        <w:t>XXXXXXXX</w:t>
      </w:r>
      <w:r>
        <w:rPr>
          <w:rFonts w:ascii="Palatino Linotype" w:eastAsia="Palatino Linotype" w:hAnsi="Palatino Linotype" w:cs="Palatino Linotype"/>
        </w:rPr>
        <w:t>,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a su solicitud por parte del </w:t>
      </w:r>
      <w:r>
        <w:rPr>
          <w:rFonts w:ascii="Palatino Linotype" w:eastAsia="Palatino Linotype" w:hAnsi="Palatino Linotype" w:cs="Palatino Linotype"/>
          <w:b/>
        </w:rPr>
        <w:t xml:space="preserve">Ayuntamiento de Tianguistenco,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6C857C07" w14:textId="77777777" w:rsidR="004E1F05" w:rsidRDefault="00AE61A6">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57F41479"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cinco de abril de dos mil veintidós,</w:t>
      </w:r>
      <w:r>
        <w:rPr>
          <w:rFonts w:ascii="Palatino Linotype" w:eastAsia="Palatino Linotype" w:hAnsi="Palatino Linotype" w:cs="Palatino Linotype"/>
        </w:rPr>
        <w:t xml:space="preserve"> la persona solicitante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presentó,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00074/TIANGUIS/IP/2022, </w:t>
      </w:r>
      <w:r>
        <w:rPr>
          <w:rFonts w:ascii="Palatino Linotype" w:eastAsia="Palatino Linotype" w:hAnsi="Palatino Linotype" w:cs="Palatino Linotype"/>
        </w:rPr>
        <w:t xml:space="preserve">mediante la cual requirió la información siguiente: </w:t>
      </w:r>
    </w:p>
    <w:p w14:paraId="49C25094" w14:textId="77777777" w:rsidR="004E1F05" w:rsidRDefault="00AE61A6">
      <w:pPr>
        <w:spacing w:before="240" w:after="240"/>
        <w:ind w:left="851" w:right="902"/>
        <w:jc w:val="both"/>
        <w:rPr>
          <w:rFonts w:ascii="Palatino Linotype" w:eastAsia="Palatino Linotype" w:hAnsi="Palatino Linotype" w:cs="Palatino Linotype"/>
          <w:i/>
          <w:sz w:val="22"/>
          <w:szCs w:val="22"/>
        </w:rPr>
      </w:pPr>
      <w:bookmarkStart w:id="0" w:name="_heading=h.gjdgxs" w:colFirst="0" w:colLast="0"/>
      <w:bookmarkEnd w:id="0"/>
      <w:r>
        <w:rPr>
          <w:rFonts w:ascii="Palatino Linotype" w:eastAsia="Palatino Linotype" w:hAnsi="Palatino Linotype" w:cs="Palatino Linotype"/>
          <w:i/>
          <w:sz w:val="22"/>
          <w:szCs w:val="22"/>
        </w:rPr>
        <w:t>“ Las actas de cabildo ordinarios y extraordinarios -incluir anexos- del año 2020; ayuntamiento 2019-2021.” (sic)</w:t>
      </w:r>
    </w:p>
    <w:p w14:paraId="3E9A29D0" w14:textId="77777777" w:rsidR="004E1F05" w:rsidRDefault="00AE61A6">
      <w:pPr>
        <w:spacing w:before="240" w:after="240" w:line="360" w:lineRule="auto"/>
        <w:ind w:right="900"/>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14:paraId="3B42E78E"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SAIMEX.</w:t>
      </w:r>
    </w:p>
    <w:p w14:paraId="10BA0802"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Respuesta.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veintinueve de abril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BD1EAE6" w14:textId="77777777" w:rsidR="004E1F05" w:rsidRDefault="00AE61A6">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2D5FE8" w14:textId="77777777" w:rsidR="004E1F05" w:rsidRDefault="00AE61A6">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CONFORME A LO ESTABLECIDO EN LOS ARTICULOS 160, 163 Y 164 DE LA LEY DE TRANSPARENCIA Y ACCESO A LA INFORMACION PUBLICA DEL ESTADO DE MEXICO Y MUNICIPIOS, ME PERMITO ENVIAR RESPUESTA AL PARTICULAR CON LA FINALIDAD DE ATENDER EN TIEMPO Y FORMA SU SOLICTUD DE ACCESO A LA INFORMACION.</w:t>
      </w:r>
    </w:p>
    <w:p w14:paraId="1AC525C5" w14:textId="77777777" w:rsidR="004E1F05" w:rsidRDefault="00AE61A6">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1846ABEB" w14:textId="77777777" w:rsidR="004E1F05" w:rsidRDefault="00AE61A6">
      <w:pPr>
        <w:spacing w:before="240" w:after="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L.A.E RAMSES OLIVARES MOJICA.”(sic)</w:t>
      </w:r>
    </w:p>
    <w:p w14:paraId="6A3E166F" w14:textId="77777777" w:rsidR="004E1F05" w:rsidRDefault="00AE61A6">
      <w:pPr>
        <w:spacing w:before="240" w:after="240" w:line="360" w:lineRule="auto"/>
        <w:ind w:right="49"/>
        <w:jc w:val="both"/>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once archivos, cuyo contenido se describe a continuación:</w:t>
      </w:r>
      <w:r>
        <w:t xml:space="preserve"> </w:t>
      </w:r>
    </w:p>
    <w:p w14:paraId="6AEF85C6" w14:textId="77777777" w:rsidR="004E1F05" w:rsidRDefault="00AE61A6">
      <w:pPr>
        <w:numPr>
          <w:ilvl w:val="0"/>
          <w:numId w:val="2"/>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OFICIO GIRADO A SEVIDOR PUBLICO HABILITADO.pdf</w:t>
      </w:r>
      <w:r>
        <w:rPr>
          <w:rFonts w:ascii="Palatino Linotype" w:eastAsia="Palatino Linotype" w:hAnsi="Palatino Linotype" w:cs="Palatino Linotype"/>
          <w:color w:val="000000"/>
        </w:rPr>
        <w:t>, oficio número PMT/UT/0284/2022 de fecha seis de abril de dos mil veintidós, suscrito y signado por el Titular de la Unidad de Transparencia del Sujeto Obligado, por medio del cual, envía requerimiento al servidor público habilitado de la Secretaría del Ayuntamiento.</w:t>
      </w:r>
    </w:p>
    <w:p w14:paraId="01EBFAE3"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respuesta SOLICITANTE.pdf,</w:t>
      </w:r>
      <w:r>
        <w:rPr>
          <w:rFonts w:ascii="Palatino Linotype" w:eastAsia="Palatino Linotype" w:hAnsi="Palatino Linotype" w:cs="Palatino Linotype"/>
          <w:color w:val="000000"/>
        </w:rPr>
        <w:t xml:space="preserve"> oficio número PMT/UT/0316/2022, de fecha veintinueve de abril de dos mil veintidós, suscrito y signado por el Titular de la Unidad de Transparencia del Sujeto Obligado, mediante el cual da respuesta al solicitante.</w:t>
      </w:r>
    </w:p>
    <w:p w14:paraId="550496FA"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lastRenderedPageBreak/>
        <w:t>Actas de Cabildo Agosto -Diciembre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sesiones de Cabildo correspondientes a los meses de agosto, septiembre, octubre, noviembre y diciembre del año dos mil veinte.</w:t>
      </w:r>
    </w:p>
    <w:p w14:paraId="2C20DDB9"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Actas de Cabildo mes Junio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las sesiones de Cabildo correspondiente al mes de junio del año dos mil veinte.</w:t>
      </w:r>
    </w:p>
    <w:p w14:paraId="03E6D814"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Febrero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las sesiones de Cabildo correspondiente al mes de febrero del año dos mil veinte.</w:t>
      </w:r>
    </w:p>
    <w:p w14:paraId="49FC30E3"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mes de Abril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las sesiones de Cabildo correspondiente al mes de Abril del año dos mil veinte.</w:t>
      </w:r>
    </w:p>
    <w:p w14:paraId="6AEC4217"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mes de Mayo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las sesiones de Cabildo correspondiente al mes de mayo del año dos mil veinte.</w:t>
      </w:r>
    </w:p>
    <w:p w14:paraId="04B04D18"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Enero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las sesiones de Cabildo correspondiente al mes de enero del año dos mil veinte.</w:t>
      </w:r>
    </w:p>
    <w:p w14:paraId="7A8A3202"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mes Julio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las sesiones de Cabildo correspondiente al mes de julio del año dos mil veinte.</w:t>
      </w:r>
    </w:p>
    <w:p w14:paraId="22AD81F2"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respuesta del servidor publico habilitado.pdf,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oficio número PMT/SA/0222/2022, de fecha 29 de febrero de 2022, suscrito y signado por el Secretario del Ayuntamiento de Tianguistenco mediante el cual refiere enviar a través de un medio digital las actas de cabildo del año 2020 a fin de dar cumplimiento al requerimiento de información.</w:t>
      </w:r>
    </w:p>
    <w:p w14:paraId="755EE745" w14:textId="77777777" w:rsidR="004E1F05" w:rsidRDefault="00AE61A6">
      <w:pPr>
        <w:numPr>
          <w:ilvl w:val="0"/>
          <w:numId w:val="2"/>
        </w:numPr>
        <w:pBdr>
          <w:top w:val="nil"/>
          <w:left w:val="nil"/>
          <w:bottom w:val="nil"/>
          <w:right w:val="nil"/>
          <w:between w:val="nil"/>
        </w:pBdr>
        <w:spacing w:after="24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mes de Marzo 2020.pdf,</w:t>
      </w:r>
      <w:r>
        <w:rPr>
          <w:rFonts w:ascii="Palatino Linotype" w:eastAsia="Palatino Linotype" w:hAnsi="Palatino Linotype" w:cs="Palatino Linotype"/>
          <w:color w:val="000000"/>
        </w:rPr>
        <w:t xml:space="preserve"> actas de las sesiones de Cabildo correspondiente al mes de marzo del año dos mil veinte.</w:t>
      </w:r>
    </w:p>
    <w:p w14:paraId="54DB3169" w14:textId="77777777" w:rsidR="004E1F05" w:rsidRDefault="00AE61A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78035FFC" w14:textId="77777777" w:rsidR="004E1F05" w:rsidRDefault="00AE61A6">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p>
    <w:p w14:paraId="34863465" w14:textId="77777777" w:rsidR="004E1F05" w:rsidRDefault="00AE61A6">
      <w:pPr>
        <w:tabs>
          <w:tab w:val="left" w:pos="2745"/>
        </w:tabs>
        <w:spacing w:before="240" w:after="240" w:line="360" w:lineRule="auto"/>
        <w:ind w:lef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sujeto obligado no entregar la información solicitada” (sic)</w:t>
      </w:r>
    </w:p>
    <w:p w14:paraId="1B94C542" w14:textId="77777777" w:rsidR="004E1F05" w:rsidRDefault="00AE61A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14:paraId="35604227" w14:textId="77777777" w:rsidR="004E1F05" w:rsidRDefault="00AE61A6">
      <w:pPr>
        <w:ind w:left="851" w:right="902"/>
        <w:jc w:val="both"/>
        <w:rPr>
          <w:rFonts w:ascii="Palatino Linotype" w:eastAsia="Palatino Linotype" w:hAnsi="Palatino Linotype" w:cs="Palatino Linotype"/>
          <w:b/>
          <w:i/>
          <w:sz w:val="22"/>
          <w:szCs w:val="22"/>
          <w:u w:val="single"/>
        </w:rPr>
      </w:pPr>
      <w:bookmarkStart w:id="1" w:name="_heading=h.30j0zll" w:colFirst="0" w:colLast="0"/>
      <w:bookmarkEnd w:id="1"/>
      <w:r>
        <w:rPr>
          <w:rFonts w:ascii="Palatino Linotype" w:eastAsia="Palatino Linotype" w:hAnsi="Palatino Linotype" w:cs="Palatino Linotype"/>
          <w:b/>
          <w:i/>
          <w:sz w:val="22"/>
          <w:szCs w:val="22"/>
          <w:u w:val="single"/>
        </w:rPr>
        <w:t xml:space="preserve"> “El Sujeto Obligado no entrega las actas de las reuniones de cabildo: </w:t>
      </w:r>
      <w:r>
        <w:rPr>
          <w:rFonts w:ascii="Palatino Linotype" w:eastAsia="Palatino Linotype" w:hAnsi="Palatino Linotype" w:cs="Palatino Linotype"/>
          <w:b/>
          <w:i/>
          <w:color w:val="000000"/>
          <w:sz w:val="22"/>
          <w:szCs w:val="22"/>
          <w:u w:val="single"/>
        </w:rPr>
        <w:t xml:space="preserve">vigésima tercera, vigésima </w:t>
      </w:r>
      <w:r>
        <w:rPr>
          <w:rFonts w:ascii="Palatino Linotype" w:eastAsia="Palatino Linotype" w:hAnsi="Palatino Linotype" w:cs="Palatino Linotype"/>
          <w:b/>
          <w:i/>
          <w:sz w:val="22"/>
          <w:szCs w:val="22"/>
          <w:u w:val="single"/>
        </w:rPr>
        <w:t>cuarta y vigésima quinta del año 2020” (sic)</w:t>
      </w:r>
    </w:p>
    <w:p w14:paraId="48D6AF74" w14:textId="77777777" w:rsidR="004E1F05" w:rsidRDefault="00AE61A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Anexos: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adjuntó archivos.</w:t>
      </w:r>
    </w:p>
    <w:p w14:paraId="6F15D472" w14:textId="77777777" w:rsidR="004E1F05" w:rsidRDefault="00AE61A6">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14:paraId="33841B6A"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veinte de mayo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w:t>
      </w:r>
      <w:r>
        <w:rPr>
          <w:rFonts w:ascii="Palatino Linotype" w:eastAsia="Palatino Linotype" w:hAnsi="Palatino Linotype" w:cs="Palatino Linotype"/>
        </w:rPr>
        <w:lastRenderedPageBreak/>
        <w:t xml:space="preserve">conveniente, ofrecieran pruebas, formularan alegatos y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presentara su informe justificado.</w:t>
      </w:r>
    </w:p>
    <w:p w14:paraId="6E1C910A" w14:textId="77777777" w:rsidR="004E1F05" w:rsidRDefault="00AE61A6">
      <w:pPr>
        <w:spacing w:before="240" w:after="240" w:line="360" w:lineRule="auto"/>
        <w:jc w:val="both"/>
        <w:rPr>
          <w:rFonts w:ascii="Palatino Linotype" w:eastAsia="Palatino Linotype" w:hAnsi="Palatino Linotype" w:cs="Palatino Linotype"/>
        </w:rPr>
      </w:pPr>
      <w:bookmarkStart w:id="2" w:name="_heading=h.2s8eyo1" w:colFirst="0" w:colLast="0"/>
      <w:bookmarkEnd w:id="2"/>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las constancias que obran en el expediente electrónico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Pr>
          <w:rFonts w:ascii="Palatino Linotype" w:eastAsia="Palatino Linotype" w:hAnsi="Palatino Linotype" w:cs="Palatino Linotype"/>
          <w:b/>
        </w:rPr>
        <w:t>veintisiete de mayo de dos mil veintidós</w:t>
      </w:r>
      <w:r>
        <w:rPr>
          <w:rFonts w:ascii="Palatino Linotype" w:eastAsia="Palatino Linotype" w:hAnsi="Palatino Linotype" w:cs="Palatino Linotype"/>
        </w:rPr>
        <w:t xml:space="preserve">, remitiendo tres documentos adjuntos, el primero corresponde a </w:t>
      </w:r>
      <w:r>
        <w:rPr>
          <w:rFonts w:ascii="Palatino Linotype" w:eastAsia="Palatino Linotype" w:hAnsi="Palatino Linotype" w:cs="Palatino Linotype"/>
          <w:b/>
          <w:i/>
        </w:rPr>
        <w:t>MANIFESTACIONES DEL PARTICULAR.pdf</w:t>
      </w:r>
      <w:r>
        <w:rPr>
          <w:rFonts w:ascii="Palatino Linotype" w:eastAsia="Palatino Linotype" w:hAnsi="Palatino Linotype" w:cs="Palatino Linotype"/>
        </w:rPr>
        <w:t xml:space="preserve">, que muestra el formato de interposición del recurso de revisión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el segundo  </w:t>
      </w:r>
      <w:r>
        <w:rPr>
          <w:rFonts w:ascii="Palatino Linotype" w:eastAsia="Palatino Linotype" w:hAnsi="Palatino Linotype" w:cs="Palatino Linotype"/>
          <w:b/>
          <w:i/>
        </w:rPr>
        <w:t>Manifestaciones a Recurso de Revision..pdf</w:t>
      </w:r>
      <w:r>
        <w:rPr>
          <w:rFonts w:ascii="Palatino Linotype" w:eastAsia="Palatino Linotype" w:hAnsi="Palatino Linotype" w:cs="Palatino Linotype"/>
        </w:rPr>
        <w:t xml:space="preserve">, referente al informe justificado, y el tercero </w:t>
      </w:r>
      <w:r>
        <w:rPr>
          <w:rFonts w:ascii="Palatino Linotype" w:eastAsia="Palatino Linotype" w:hAnsi="Palatino Linotype" w:cs="Palatino Linotype"/>
          <w:b/>
          <w:i/>
        </w:rPr>
        <w:t xml:space="preserve">RECURSO DE REVISION 08024.INFOEM.pdf, </w:t>
      </w:r>
      <w:r>
        <w:rPr>
          <w:rFonts w:ascii="Palatino Linotype" w:eastAsia="Palatino Linotype" w:hAnsi="Palatino Linotype" w:cs="Palatino Linotype"/>
        </w:rPr>
        <w:t>al acuerdo de admisión realizado por este Instituto.</w:t>
      </w:r>
    </w:p>
    <w:p w14:paraId="58F51D2D"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a través del informe justificado, sustancialmente ratifica su respuesta, en la que se destaca lo siguiente:</w:t>
      </w:r>
    </w:p>
    <w:p w14:paraId="4E6D1A98" w14:textId="77777777" w:rsidR="004E1F05" w:rsidRDefault="00AE61A6">
      <w:pPr>
        <w:spacing w:before="240" w:after="240"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noProof/>
        </w:rPr>
        <w:drawing>
          <wp:inline distT="0" distB="0" distL="0" distR="0" wp14:anchorId="7EA2D8FB" wp14:editId="486B07E6">
            <wp:extent cx="5612130" cy="1824990"/>
            <wp:effectExtent l="0" t="0" r="0" b="0"/>
            <wp:docPr id="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824990"/>
                    </a:xfrm>
                    <a:prstGeom prst="rect">
                      <a:avLst/>
                    </a:prstGeom>
                    <a:ln/>
                  </pic:spPr>
                </pic:pic>
              </a:graphicData>
            </a:graphic>
          </wp:inline>
        </w:drawing>
      </w:r>
    </w:p>
    <w:p w14:paraId="4AA20B7D"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Documentos que fueron puestos a la vista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veinticuatro de agosto de dos mil veintidós,</w:t>
      </w:r>
      <w:r>
        <w:rPr>
          <w:rFonts w:ascii="Palatino Linotype" w:eastAsia="Palatino Linotype" w:hAnsi="Palatino Linotype" w:cs="Palatino Linotype"/>
        </w:rPr>
        <w:t xml:space="preserve"> por su parte,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omitió realizar manifestaciones, quedando precluído su derecho para tal efecto.</w:t>
      </w:r>
    </w:p>
    <w:p w14:paraId="459FA52F" w14:textId="77777777" w:rsidR="004E1F05" w:rsidRDefault="00AE61A6">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7.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once de agosto de dos mil veintidós</w:t>
      </w:r>
      <w:r>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1890CFB2"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67CAE6B"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83BEEAC"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403858"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0BE452F" w14:textId="77777777" w:rsidR="004E1F05" w:rsidRDefault="00AE61A6">
      <w:pPr>
        <w:spacing w:before="240" w:after="240" w:line="360" w:lineRule="auto"/>
        <w:jc w:val="both"/>
        <w:rPr>
          <w:rFonts w:ascii="Palatino Linotype" w:eastAsia="Palatino Linotype" w:hAnsi="Palatino Linotype" w:cs="Palatino Linotype"/>
          <w:strike/>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E710546" w14:textId="77777777" w:rsidR="004E1F05" w:rsidRDefault="00AE61A6">
      <w:pPr>
        <w:numPr>
          <w:ilvl w:val="0"/>
          <w:numId w:val="6"/>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60E4292B" w14:textId="77777777" w:rsidR="004E1F05" w:rsidRDefault="00AE61A6">
      <w:pPr>
        <w:numPr>
          <w:ilvl w:val="0"/>
          <w:numId w:val="6"/>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Actividad Procesal del interesado. Acciones u omisiones del interesado.</w:t>
      </w:r>
    </w:p>
    <w:p w14:paraId="2C0C2F30" w14:textId="77777777" w:rsidR="004E1F05" w:rsidRDefault="00AE61A6">
      <w:pPr>
        <w:numPr>
          <w:ilvl w:val="0"/>
          <w:numId w:val="6"/>
        </w:numPr>
        <w:tabs>
          <w:tab w:val="left" w:pos="993"/>
        </w:tabs>
        <w:spacing w:before="240" w:after="240" w:line="360" w:lineRule="auto"/>
        <w:ind w:left="567" w:firstLine="0"/>
        <w:jc w:val="both"/>
        <w:rPr>
          <w:rFonts w:ascii="Palatino Linotype" w:eastAsia="Palatino Linotype" w:hAnsi="Palatino Linotype" w:cs="Palatino Linotype"/>
        </w:rPr>
      </w:pPr>
      <w:r>
        <w:rPr>
          <w:rFonts w:ascii="Palatino Linotype" w:eastAsia="Palatino Linotype" w:hAnsi="Palatino Linotype" w:cs="Palatino Linotype"/>
        </w:rPr>
        <w:t>Conducta de la Autoridad: Las Acciones u omisiones realizadas en el procedimiento. Así como si la autoridad actuó con la debida diligencia.</w:t>
      </w:r>
    </w:p>
    <w:p w14:paraId="6A7B12BC" w14:textId="77777777" w:rsidR="004E1F05" w:rsidRDefault="00AE61A6">
      <w:pPr>
        <w:tabs>
          <w:tab w:val="left" w:pos="993"/>
        </w:tabs>
        <w:spacing w:before="240"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rPr>
        <w:t>d) La afectación generada en la situación jurídica de la persona involucrada en el proceso: Violación a sus derechos humanos.</w:t>
      </w:r>
    </w:p>
    <w:p w14:paraId="0E8AAF62"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9770A74" w14:textId="77777777" w:rsidR="004E1F05" w:rsidRDefault="00AE61A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rPr>
        <w:t>, visible en la Gaceta del Seminario Judicial de la Federación con el registro digital 205635.</w:t>
      </w:r>
    </w:p>
    <w:p w14:paraId="66D90BC2"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A508FD"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956A0E2" w14:textId="77777777" w:rsidR="004E1F05" w:rsidRDefault="00AE61A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PLAZO RAZONABLE PARA RESOLVER. DIMENSIÓN Y EFECTOS DE ESTE CONCEPTO CUANDO SE ADUCE EXCESIVA CARGA DE TRABAJO</w:t>
      </w:r>
      <w:r>
        <w:rPr>
          <w:rFonts w:ascii="Palatino Linotype" w:eastAsia="Palatino Linotype" w:hAnsi="Palatino Linotype" w:cs="Palatino Linotype"/>
          <w:i/>
          <w:sz w:val="22"/>
          <w:szCs w:val="22"/>
        </w:rPr>
        <w:t>.” consultable en el Seminario Judicial de la Federación y su gaceta, con el registro digital 2002351.</w:t>
      </w:r>
    </w:p>
    <w:p w14:paraId="3B66E92D" w14:textId="77777777" w:rsidR="004E1F05" w:rsidRDefault="00AE61A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Pr>
          <w:rFonts w:ascii="Palatino Linotype" w:eastAsia="Palatino Linotype" w:hAnsi="Palatino Linotype" w:cs="Palatino Linotype"/>
          <w:i/>
          <w:sz w:val="22"/>
          <w:szCs w:val="22"/>
        </w:rPr>
        <w:t>.”, visible en el Seminario Judicial de la Federación y su gaceta, con el registro digital 2002350.</w:t>
      </w:r>
    </w:p>
    <w:p w14:paraId="760C2C7A"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4C1328F3"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Pr>
          <w:rFonts w:ascii="Palatino Linotype" w:eastAsia="Palatino Linotype" w:hAnsi="Palatino Linotype" w:cs="Palatino Linotype"/>
          <w:b/>
        </w:rPr>
        <w:t>siete de septiembre de dos mil veintidós</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1616CA05"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350F032" w14:textId="77777777" w:rsidR="004E1F05" w:rsidRDefault="00AE61A6">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531B617D"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 primero y trigésimo segundo fracciones IV y V de la Constitución Política </w:t>
      </w:r>
      <w:r>
        <w:rPr>
          <w:rFonts w:ascii="Palatino Linotype" w:eastAsia="Palatino Linotype" w:hAnsi="Palatino Linotype" w:cs="Palatino Linotype"/>
        </w:rPr>
        <w:lastRenderedPageBreak/>
        <w:t>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C77E282" w14:textId="77777777" w:rsidR="004E1F05" w:rsidRDefault="00AE61A6">
      <w:pPr>
        <w:spacing w:before="240" w:after="240" w:line="360" w:lineRule="auto"/>
        <w:jc w:val="both"/>
        <w:rPr>
          <w:rFonts w:ascii="Palatino Linotype" w:eastAsia="Palatino Linotype" w:hAnsi="Palatino Linotype" w:cs="Palatino Linotype"/>
        </w:rPr>
      </w:pPr>
      <w:bookmarkStart w:id="3" w:name="_heading=h.tyjcwt" w:colFirst="0" w:colLast="0"/>
      <w:bookmarkEnd w:id="3"/>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E398DDC" w14:textId="77777777" w:rsidR="004E1F05" w:rsidRDefault="00AE61A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remitió la respuesta a la solicitud de información el día </w:t>
      </w:r>
      <w:r>
        <w:rPr>
          <w:rFonts w:ascii="Palatino Linotype" w:eastAsia="Palatino Linotype" w:hAnsi="Palatino Linotype" w:cs="Palatino Linotype"/>
          <w:b/>
          <w:color w:val="000000"/>
        </w:rPr>
        <w:t xml:space="preserve">veintinueve de abril de dos mil veintidós, </w:t>
      </w:r>
      <w:r>
        <w:rPr>
          <w:rFonts w:ascii="Palatino Linotype" w:eastAsia="Palatino Linotype" w:hAnsi="Palatino Linotype" w:cs="Palatino Linotype"/>
          <w:color w:val="000000"/>
        </w:rPr>
        <w:t xml:space="preserve">mientras que el recurso de revisión interpuesto por el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se tuvo por presentado el día </w:t>
      </w:r>
      <w:r>
        <w:rPr>
          <w:rFonts w:ascii="Palatino Linotype" w:eastAsia="Palatino Linotype" w:hAnsi="Palatino Linotype" w:cs="Palatino Linotype"/>
          <w:b/>
          <w:color w:val="000000"/>
        </w:rPr>
        <w:t>diecisiete de mayo de dos mil veintidós</w:t>
      </w:r>
      <w:r>
        <w:rPr>
          <w:rFonts w:ascii="Palatino Linotype" w:eastAsia="Palatino Linotype" w:hAnsi="Palatino Linotype" w:cs="Palatino Linotype"/>
          <w:color w:val="000000"/>
        </w:rPr>
        <w:t>, esto es, a los once días hábiles siguientes al que tuvo conocimiento de la respuesta, evidenciándose que la interposición del recurso se encuentra dentro de los márgenes temporales previstos en el citado precepto legal.</w:t>
      </w:r>
    </w:p>
    <w:p w14:paraId="01041BB3"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w:t>
      </w:r>
      <w:r>
        <w:rPr>
          <w:rFonts w:ascii="Palatino Linotype" w:eastAsia="Palatino Linotype" w:hAnsi="Palatino Linotype" w:cs="Palatino Linotype"/>
        </w:rPr>
        <w:lastRenderedPageBreak/>
        <w:t>de Transparencia y Acceso a la Información Pública del Estado de México y Municipios, en atención a que fue presentado mediante el formato visible en el SAIMEX.</w:t>
      </w:r>
    </w:p>
    <w:p w14:paraId="15A74F5D"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se advierte que resulta procedente la interposición del recurso, según lo manifestado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V del ordenamiento legal citado, que a la letra dice: </w:t>
      </w:r>
    </w:p>
    <w:p w14:paraId="4E9C5224" w14:textId="77777777" w:rsidR="004E1F05" w:rsidRDefault="00AE61A6">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E080CA0" w14:textId="77777777" w:rsidR="004E1F05" w:rsidRDefault="00AE61A6">
      <w:pPr>
        <w:spacing w:before="120" w:after="120"/>
        <w:ind w:left="1134"/>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75D93AAD" w14:textId="77777777" w:rsidR="004E1F05" w:rsidRDefault="00AE61A6">
      <w:pPr>
        <w:spacing w:before="120" w:after="120"/>
        <w:ind w:left="1134"/>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w:t>
      </w:r>
      <w:r>
        <w:rPr>
          <w:rFonts w:ascii="Palatino Linotype" w:eastAsia="Palatino Linotype" w:hAnsi="Palatino Linotype" w:cs="Palatino Linotype"/>
          <w:b/>
          <w:i/>
          <w:sz w:val="22"/>
          <w:szCs w:val="22"/>
        </w:rPr>
        <w:tab/>
        <w:t>La entrega de información incompleta;</w:t>
      </w:r>
      <w:r>
        <w:rPr>
          <w:rFonts w:ascii="Palatino Linotype" w:eastAsia="Palatino Linotype" w:hAnsi="Palatino Linotype" w:cs="Palatino Linotype"/>
          <w:i/>
          <w:sz w:val="22"/>
          <w:szCs w:val="22"/>
        </w:rPr>
        <w:t>”</w:t>
      </w:r>
    </w:p>
    <w:p w14:paraId="29ACF5E9"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14:paraId="6B62B73F"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 Estudio del asunto</w:t>
      </w:r>
      <w:r>
        <w:rPr>
          <w:rFonts w:ascii="Palatino Linotype" w:eastAsia="Palatino Linotype" w:hAnsi="Palatino Linotype" w:cs="Palatino Linotype"/>
        </w:rPr>
        <w:t xml:space="preserve">. 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w:t>
      </w:r>
      <w:r>
        <w:rPr>
          <w:rFonts w:ascii="Palatino Linotype" w:eastAsia="Palatino Linotype" w:hAnsi="Palatino Linotype" w:cs="Palatino Linotype"/>
        </w:rPr>
        <w:lastRenderedPageBreak/>
        <w:t>párrafos primero, segundo y tercero y 6 apartado A fracciones I, II, III, IV, V, VI y VII que a la letra señalan:</w:t>
      </w:r>
    </w:p>
    <w:p w14:paraId="451CD04A" w14:textId="77777777" w:rsidR="004E1F05" w:rsidRDefault="00AE61A6">
      <w:pPr>
        <w:tabs>
          <w:tab w:val="left" w:pos="709"/>
        </w:tabs>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D6F9001" w14:textId="77777777" w:rsidR="004E1F05" w:rsidRDefault="00AE61A6">
      <w:pPr>
        <w:tabs>
          <w:tab w:val="left" w:pos="709"/>
        </w:tabs>
        <w:spacing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3BF4707F" w14:textId="77777777" w:rsidR="004E1F05" w:rsidRDefault="00AE61A6">
      <w:pPr>
        <w:tabs>
          <w:tab w:val="left" w:pos="709"/>
        </w:tabs>
        <w:spacing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2B8C94F9" w14:textId="77777777" w:rsidR="004E1F05" w:rsidRDefault="00AE61A6">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B3BF052" w14:textId="77777777" w:rsidR="004E1F05" w:rsidRDefault="00AE61A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557F47CA" w14:textId="77777777" w:rsidR="004E1F05" w:rsidRDefault="00AE61A6">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EF1ED99" w14:textId="77777777" w:rsidR="004E1F05" w:rsidRDefault="00AE61A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7234B88E" w14:textId="77777777" w:rsidR="004E1F05" w:rsidRDefault="00AE61A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B9925B5" w14:textId="77777777" w:rsidR="004E1F05" w:rsidRDefault="00AE61A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w:t>
      </w:r>
      <w:r>
        <w:rPr>
          <w:rFonts w:ascii="Palatino Linotype" w:eastAsia="Palatino Linotype" w:hAnsi="Palatino Linotype" w:cs="Palatino Linotype"/>
          <w:i/>
          <w:sz w:val="22"/>
          <w:szCs w:val="22"/>
        </w:rPr>
        <w:lastRenderedPageBreak/>
        <w:t>obligados deberán documentar todo acto que derive del ejercicio de sus facultades, competencias o funciones, la ley determinará los supuestos específicos bajo los cuales procederá la declaración de inexistencia de la información.</w:t>
      </w:r>
    </w:p>
    <w:p w14:paraId="6D486FFC" w14:textId="77777777" w:rsidR="004E1F05" w:rsidRDefault="00AE61A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0EFD11A8" w14:textId="77777777" w:rsidR="004E1F05" w:rsidRDefault="00AE61A6">
      <w:pPr>
        <w:spacing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D9B1E4B" w14:textId="77777777" w:rsidR="004E1F05" w:rsidRDefault="00AE61A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2E5E8ED" w14:textId="77777777" w:rsidR="004E1F05" w:rsidRDefault="00AE61A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2925C974" w14:textId="77777777" w:rsidR="004E1F05" w:rsidRDefault="00AE61A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9AE3C90" w14:textId="77777777" w:rsidR="004E1F05" w:rsidRDefault="00AE61A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C56167D" w14:textId="77777777" w:rsidR="004E1F05" w:rsidRDefault="004E1F05">
      <w:pPr>
        <w:spacing w:line="276" w:lineRule="auto"/>
        <w:ind w:left="851" w:right="851"/>
        <w:jc w:val="both"/>
        <w:rPr>
          <w:rFonts w:ascii="Palatino Linotype" w:eastAsia="Palatino Linotype" w:hAnsi="Palatino Linotype" w:cs="Palatino Linotype"/>
          <w:i/>
          <w:sz w:val="22"/>
          <w:szCs w:val="22"/>
        </w:rPr>
      </w:pPr>
    </w:p>
    <w:p w14:paraId="2DA97966" w14:textId="77777777" w:rsidR="004E1F05" w:rsidRDefault="00AE61A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9A31C8A" w14:textId="77777777" w:rsidR="004E1F05" w:rsidRDefault="00AE61A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18AB5D8" w14:textId="77777777" w:rsidR="004E1F05" w:rsidRDefault="00AE61A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16F05E6" w14:textId="77777777" w:rsidR="004E1F05" w:rsidRDefault="00AE61A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B4207A5" w14:textId="77777777" w:rsidR="004E1F05" w:rsidRDefault="00AE61A6">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F2C1C88" w14:textId="77777777" w:rsidR="004E1F05" w:rsidRDefault="004E1F05">
      <w:pPr>
        <w:ind w:right="851"/>
        <w:jc w:val="both"/>
        <w:rPr>
          <w:rFonts w:ascii="Palatino Linotype" w:eastAsia="Palatino Linotype" w:hAnsi="Palatino Linotype" w:cs="Palatino Linotype"/>
          <w:i/>
          <w:sz w:val="22"/>
          <w:szCs w:val="22"/>
        </w:rPr>
      </w:pPr>
    </w:p>
    <w:p w14:paraId="0A4F7436" w14:textId="77777777" w:rsidR="004E1F05" w:rsidRDefault="00AE61A6">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Pr>
          <w:rFonts w:ascii="Palatino Linotype" w:eastAsia="Palatino Linotype" w:hAnsi="Palatino Linotype" w:cs="Palatino Linotype"/>
        </w:rPr>
        <w:lastRenderedPageBreak/>
        <w:t>con las excepciones enmarcadas, para lo cual queda demostrado que el presente sujeto obligado debe cumplir con dichos dispositivos legales.</w:t>
      </w:r>
    </w:p>
    <w:p w14:paraId="2529F730" w14:textId="77777777" w:rsidR="004E1F05" w:rsidRDefault="00AE61A6">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lugar,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5FCAF6C" w14:textId="77777777" w:rsidR="004E1F05" w:rsidRDefault="00AE61A6">
      <w:pPr>
        <w:spacing w:before="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9E2AAE8" w14:textId="77777777" w:rsidR="004E1F05" w:rsidRDefault="004E1F05">
      <w:pPr>
        <w:spacing w:before="240" w:line="276" w:lineRule="auto"/>
        <w:ind w:left="709" w:right="760"/>
        <w:jc w:val="both"/>
        <w:rPr>
          <w:rFonts w:ascii="Palatino Linotype" w:eastAsia="Palatino Linotype" w:hAnsi="Palatino Linotype" w:cs="Palatino Linotype"/>
          <w:i/>
          <w:sz w:val="22"/>
          <w:szCs w:val="22"/>
        </w:rPr>
      </w:pPr>
    </w:p>
    <w:p w14:paraId="67C37CF7" w14:textId="77777777" w:rsidR="004E1F05" w:rsidRDefault="00AE61A6">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19E0524" w14:textId="77777777" w:rsidR="004E1F05" w:rsidRDefault="004E1F05">
      <w:pPr>
        <w:spacing w:line="276" w:lineRule="auto"/>
        <w:ind w:left="709" w:right="760"/>
        <w:jc w:val="both"/>
        <w:rPr>
          <w:rFonts w:ascii="Palatino Linotype" w:eastAsia="Palatino Linotype" w:hAnsi="Palatino Linotype" w:cs="Palatino Linotype"/>
          <w:i/>
          <w:sz w:val="22"/>
          <w:szCs w:val="22"/>
        </w:rPr>
      </w:pPr>
    </w:p>
    <w:p w14:paraId="3638281F" w14:textId="77777777" w:rsidR="004E1F05" w:rsidRDefault="00AE61A6">
      <w:pPr>
        <w:spacing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2367F246"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65C62611" w14:textId="77777777" w:rsidR="004E1F05" w:rsidRDefault="00AE61A6">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7DAF54AE" w14:textId="77777777" w:rsidR="004E1F05" w:rsidRDefault="004E1F05">
      <w:pPr>
        <w:spacing w:line="276" w:lineRule="auto"/>
        <w:ind w:left="567" w:right="758"/>
        <w:jc w:val="both"/>
        <w:rPr>
          <w:rFonts w:ascii="Palatino Linotype" w:eastAsia="Palatino Linotype" w:hAnsi="Palatino Linotype" w:cs="Palatino Linotype"/>
          <w:i/>
          <w:sz w:val="22"/>
          <w:szCs w:val="22"/>
        </w:rPr>
      </w:pPr>
    </w:p>
    <w:p w14:paraId="4A5096BD" w14:textId="77777777" w:rsidR="004E1F05" w:rsidRDefault="00AE61A6">
      <w:pPr>
        <w:spacing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10B3B07F" w14:textId="77777777" w:rsidR="004E1F05" w:rsidRDefault="004E1F05">
      <w:pPr>
        <w:spacing w:line="360" w:lineRule="auto"/>
        <w:ind w:right="-93"/>
        <w:jc w:val="both"/>
        <w:rPr>
          <w:rFonts w:ascii="Palatino Linotype" w:eastAsia="Palatino Linotype" w:hAnsi="Palatino Linotype" w:cs="Palatino Linotype"/>
        </w:rPr>
      </w:pPr>
    </w:p>
    <w:p w14:paraId="5886B7D3" w14:textId="77777777" w:rsidR="004E1F05" w:rsidRDefault="00AE61A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434702A1" w14:textId="77777777" w:rsidR="004E1F05" w:rsidRDefault="004E1F05">
      <w:pPr>
        <w:spacing w:line="360" w:lineRule="auto"/>
        <w:ind w:right="49"/>
        <w:jc w:val="both"/>
        <w:rPr>
          <w:rFonts w:ascii="Palatino Linotype" w:eastAsia="Palatino Linotype" w:hAnsi="Palatino Linotype" w:cs="Palatino Linotype"/>
        </w:rPr>
      </w:pPr>
    </w:p>
    <w:p w14:paraId="163CA053" w14:textId="77777777" w:rsidR="004E1F05" w:rsidRDefault="00AE61A6">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EDF4EB8" w14:textId="77777777" w:rsidR="004E1F05" w:rsidRDefault="004E1F05">
      <w:pPr>
        <w:spacing w:line="360" w:lineRule="auto"/>
        <w:ind w:right="49"/>
        <w:jc w:val="both"/>
        <w:rPr>
          <w:rFonts w:ascii="Palatino Linotype" w:eastAsia="Palatino Linotype" w:hAnsi="Palatino Linotype" w:cs="Palatino Linotype"/>
        </w:rPr>
      </w:pPr>
    </w:p>
    <w:p w14:paraId="47DBB605" w14:textId="77777777" w:rsidR="004E1F05" w:rsidRDefault="00AE61A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52E2BB1A" w14:textId="77777777" w:rsidR="004E1F05" w:rsidRDefault="004E1F05">
      <w:pPr>
        <w:spacing w:line="360" w:lineRule="auto"/>
        <w:jc w:val="both"/>
        <w:rPr>
          <w:rFonts w:ascii="Palatino Linotype" w:eastAsia="Palatino Linotype" w:hAnsi="Palatino Linotype" w:cs="Palatino Linotype"/>
        </w:rPr>
      </w:pPr>
    </w:p>
    <w:p w14:paraId="5F30B3C1" w14:textId="77777777" w:rsidR="004E1F05" w:rsidRDefault="00AE61A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6A6CCEC0" w14:textId="77777777" w:rsidR="004E1F05" w:rsidRDefault="004E1F05">
      <w:pPr>
        <w:spacing w:line="276" w:lineRule="auto"/>
        <w:ind w:left="851" w:right="851"/>
        <w:jc w:val="both"/>
        <w:rPr>
          <w:rFonts w:ascii="Palatino Linotype" w:eastAsia="Palatino Linotype" w:hAnsi="Palatino Linotype" w:cs="Palatino Linotype"/>
          <w:b/>
          <w:i/>
          <w:sz w:val="22"/>
          <w:szCs w:val="22"/>
        </w:rPr>
      </w:pPr>
    </w:p>
    <w:p w14:paraId="6B447B35" w14:textId="77777777" w:rsidR="004E1F05" w:rsidRDefault="00AE61A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3D3789D4" w14:textId="77777777" w:rsidR="004E1F05" w:rsidRDefault="004E1F05">
      <w:pPr>
        <w:spacing w:line="276" w:lineRule="auto"/>
        <w:ind w:left="851" w:right="851"/>
        <w:jc w:val="both"/>
        <w:rPr>
          <w:rFonts w:ascii="Palatino Linotype" w:eastAsia="Palatino Linotype" w:hAnsi="Palatino Linotype" w:cs="Palatino Linotype"/>
          <w:i/>
          <w:sz w:val="22"/>
          <w:szCs w:val="22"/>
        </w:rPr>
      </w:pPr>
    </w:p>
    <w:p w14:paraId="16AF614F" w14:textId="77777777" w:rsidR="004E1F05" w:rsidRDefault="00AE61A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6134DEA0" w14:textId="77777777" w:rsidR="004E1F05" w:rsidRDefault="004E1F05">
      <w:pPr>
        <w:spacing w:line="276" w:lineRule="auto"/>
        <w:ind w:left="851" w:right="851"/>
        <w:jc w:val="both"/>
        <w:rPr>
          <w:rFonts w:ascii="Palatino Linotype" w:eastAsia="Palatino Linotype" w:hAnsi="Palatino Linotype" w:cs="Palatino Linotype"/>
          <w:i/>
          <w:sz w:val="22"/>
          <w:szCs w:val="22"/>
        </w:rPr>
      </w:pPr>
    </w:p>
    <w:p w14:paraId="444D928A" w14:textId="77777777" w:rsidR="004E1F05" w:rsidRDefault="00AE61A6">
      <w:pPr>
        <w:spacing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6EFB9FFB" w14:textId="77777777" w:rsidR="004E1F05" w:rsidRDefault="004E1F05">
      <w:pPr>
        <w:spacing w:line="360" w:lineRule="auto"/>
        <w:jc w:val="both"/>
        <w:rPr>
          <w:rFonts w:ascii="Palatino Linotype" w:eastAsia="Palatino Linotype" w:hAnsi="Palatino Linotype" w:cs="Palatino Linotype"/>
        </w:rPr>
      </w:pPr>
    </w:p>
    <w:p w14:paraId="463556F2" w14:textId="77777777" w:rsidR="004E1F05" w:rsidRDefault="00AE61A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7555803" w14:textId="77777777" w:rsidR="004E1F05" w:rsidRDefault="004E1F05">
      <w:pPr>
        <w:spacing w:line="360" w:lineRule="auto"/>
        <w:jc w:val="both"/>
        <w:rPr>
          <w:rFonts w:ascii="Palatino Linotype" w:eastAsia="Palatino Linotype" w:hAnsi="Palatino Linotype" w:cs="Palatino Linotype"/>
        </w:rPr>
      </w:pPr>
    </w:p>
    <w:p w14:paraId="701E1340" w14:textId="77777777" w:rsidR="004E1F05" w:rsidRDefault="00AE61A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CD565E0" w14:textId="77777777" w:rsidR="004E1F05" w:rsidRDefault="004E1F05">
      <w:pPr>
        <w:ind w:left="851" w:right="899"/>
        <w:jc w:val="both"/>
        <w:rPr>
          <w:rFonts w:ascii="Palatino Linotype" w:eastAsia="Palatino Linotype" w:hAnsi="Palatino Linotype" w:cs="Palatino Linotype"/>
          <w:i/>
          <w:sz w:val="22"/>
          <w:szCs w:val="22"/>
        </w:rPr>
      </w:pPr>
    </w:p>
    <w:p w14:paraId="31B2244F" w14:textId="77777777" w:rsidR="004E1F05" w:rsidRDefault="00AE61A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1A27ADB0" w14:textId="77777777" w:rsidR="004E1F05" w:rsidRDefault="00AE61A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F3EFB3F" w14:textId="77777777" w:rsidR="004E1F05" w:rsidRDefault="00AE61A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XI. Documento:</w:t>
      </w:r>
      <w:r>
        <w:rPr>
          <w:rFonts w:ascii="Palatino Linotype" w:eastAsia="Palatino Linotype" w:hAnsi="Palatino Linotype" w:cs="Palatino Linotype"/>
          <w:i/>
          <w:sz w:val="22"/>
          <w:szCs w:val="22"/>
        </w:rPr>
        <w:t xml:space="preserve"> Los expedientes, reportes, estudios, actas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w:t>
      </w:r>
      <w:r>
        <w:rPr>
          <w:rFonts w:ascii="Palatino Linotype" w:eastAsia="Palatino Linotype" w:hAnsi="Palatino Linotype" w:cs="Palatino Linotype"/>
          <w:i/>
          <w:sz w:val="22"/>
          <w:szCs w:val="22"/>
        </w:rPr>
        <w:lastRenderedPageBreak/>
        <w:t>los sujetos obligados, sus servidores públicos e integrantes, sin importar su fuente o fecha de elaboración. Los documentos podrán estar en cualquier medio, sea escrito, impreso, sonoro, visual, electrónico, informático u holográfico…” (Sic)</w:t>
      </w:r>
    </w:p>
    <w:p w14:paraId="2E399693" w14:textId="77777777" w:rsidR="004E1F05" w:rsidRDefault="004E1F05">
      <w:pPr>
        <w:spacing w:line="276" w:lineRule="auto"/>
        <w:ind w:left="851" w:right="899"/>
        <w:jc w:val="both"/>
        <w:rPr>
          <w:rFonts w:ascii="Palatino Linotype" w:eastAsia="Palatino Linotype" w:hAnsi="Palatino Linotype" w:cs="Palatino Linotype"/>
          <w:sz w:val="22"/>
          <w:szCs w:val="22"/>
        </w:rPr>
      </w:pPr>
    </w:p>
    <w:p w14:paraId="72525473" w14:textId="77777777" w:rsidR="004E1F05" w:rsidRDefault="00AE61A6">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B7EB1D1" w14:textId="77777777" w:rsidR="004E1F05" w:rsidRDefault="004E1F05">
      <w:pPr>
        <w:ind w:left="851" w:right="899"/>
        <w:jc w:val="both"/>
        <w:rPr>
          <w:rFonts w:ascii="Palatino Linotype" w:eastAsia="Palatino Linotype" w:hAnsi="Palatino Linotype" w:cs="Palatino Linotype"/>
        </w:rPr>
      </w:pPr>
    </w:p>
    <w:p w14:paraId="26788A73" w14:textId="77777777" w:rsidR="004E1F05" w:rsidRDefault="00AE61A6">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79642A5A" w14:textId="77777777" w:rsidR="004E1F05" w:rsidRDefault="00AE61A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2B9B0F7" w14:textId="77777777" w:rsidR="004E1F05" w:rsidRDefault="00AE61A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8C6A75A" w14:textId="77777777" w:rsidR="004E1F05" w:rsidRDefault="00AE61A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80F2DAA" w14:textId="77777777" w:rsidR="004E1F05" w:rsidRDefault="00AE61A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957CA44" w14:textId="77777777" w:rsidR="004E1F05" w:rsidRDefault="00AE61A6">
      <w:pPr>
        <w:spacing w:line="276" w:lineRule="auto"/>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37F7881E" w14:textId="77777777" w:rsidR="004E1F05" w:rsidRDefault="00AE61A6">
      <w:pPr>
        <w:spacing w:before="280" w:after="280" w:line="360" w:lineRule="auto"/>
        <w:jc w:val="both"/>
        <w:rPr>
          <w:rFonts w:ascii="Palatino Linotype" w:eastAsia="Palatino Linotype" w:hAnsi="Palatino Linotype" w:cs="Palatino Linotype"/>
        </w:rPr>
      </w:pPr>
      <w:bookmarkStart w:id="4" w:name="_heading=h.2et92p0" w:colFirst="0" w:colLast="0"/>
      <w:bookmarkEnd w:id="4"/>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w:t>
      </w:r>
      <w:r>
        <w:rPr>
          <w:rFonts w:ascii="Palatino Linotype" w:eastAsia="Palatino Linotype" w:hAnsi="Palatino Linotype" w:cs="Palatino Linotype"/>
        </w:rPr>
        <w:lastRenderedPageBreak/>
        <w:t>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2E2DB2A7" w14:textId="77777777" w:rsidR="004E1F05" w:rsidRDefault="00AE61A6">
      <w:pPr>
        <w:spacing w:before="240" w:after="240" w:line="360" w:lineRule="auto"/>
        <w:ind w:right="51"/>
        <w:jc w:val="both"/>
        <w:rPr>
          <w:rFonts w:ascii="Palatino Linotype" w:eastAsia="Palatino Linotype" w:hAnsi="Palatino Linotype" w:cs="Palatino Linotype"/>
          <w:b/>
        </w:rPr>
      </w:pPr>
      <w:r>
        <w:rPr>
          <w:rFonts w:ascii="Palatino Linotype" w:eastAsia="Palatino Linotype" w:hAnsi="Palatino Linotype" w:cs="Palatino Linotype"/>
        </w:rPr>
        <w:t xml:space="preserve">Ahora bien, del análisis de la solicitud de información, motivo del recurso de revisión que ahora se resuelve se advierte que la persona solicitante requirió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le proporcione, información consistente en </w:t>
      </w:r>
      <w:r>
        <w:rPr>
          <w:rFonts w:ascii="Palatino Linotype" w:eastAsia="Palatino Linotype" w:hAnsi="Palatino Linotype" w:cs="Palatino Linotype"/>
          <w:b/>
        </w:rPr>
        <w:t>las actas de cabildo ordinarios y extraordinarios -incluir anexos- del año 2020; ayuntamiento 2019-2021.</w:t>
      </w:r>
    </w:p>
    <w:p w14:paraId="2A2B7CA6" w14:textId="77777777" w:rsidR="004E1F05" w:rsidRDefault="00AE61A6">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del servidor público habilitado de la Secretaría del Ayuntamiento, da respuesta al requerimiento de información y remite lo siguiente:</w:t>
      </w:r>
    </w:p>
    <w:p w14:paraId="6159A6D2" w14:textId="77777777" w:rsidR="004E1F05" w:rsidRDefault="00AE61A6">
      <w:pPr>
        <w:numPr>
          <w:ilvl w:val="0"/>
          <w:numId w:val="3"/>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lastRenderedPageBreak/>
        <w:t>Actas de Cabildo Agosto -Diciembre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sesiones de Cabildo correspondientes a los meses de agosto, septiembre, octubre, noviembre y diciembre del año dos mil veinte.</w:t>
      </w:r>
    </w:p>
    <w:p w14:paraId="4761C12C"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Actas de Cabildo mes Junio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las sesiones de Cabildo correspondiente al mes de junio del año dos mil veinte.</w:t>
      </w:r>
    </w:p>
    <w:p w14:paraId="0C3C8AA2"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Febrero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las sesiones de Cabildo correspondiente al mes de febrero del año dos mil veinte.</w:t>
      </w:r>
    </w:p>
    <w:p w14:paraId="099F0D92"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mes de Abril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actas de las sesiones de Cabildo correspondiente al mes de </w:t>
      </w:r>
      <w:r>
        <w:rPr>
          <w:rFonts w:ascii="Palatino Linotype" w:eastAsia="Palatino Linotype" w:hAnsi="Palatino Linotype" w:cs="Palatino Linotype"/>
        </w:rPr>
        <w:t>a</w:t>
      </w:r>
      <w:r>
        <w:rPr>
          <w:rFonts w:ascii="Palatino Linotype" w:eastAsia="Palatino Linotype" w:hAnsi="Palatino Linotype" w:cs="Palatino Linotype"/>
          <w:color w:val="000000"/>
        </w:rPr>
        <w:t>bril del año dos mil veinte.</w:t>
      </w:r>
    </w:p>
    <w:p w14:paraId="35D84DAA"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mes de Mayo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las sesiones de Cabildo correspondiente al mes de mayo del año dos mil veinte.</w:t>
      </w:r>
    </w:p>
    <w:p w14:paraId="4628525E"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Enero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las sesiones de Cabildo correspondiente al mes de enero del año dos mil veinte.</w:t>
      </w:r>
    </w:p>
    <w:p w14:paraId="13ECB14C" w14:textId="77777777" w:rsidR="004E1F05" w:rsidRDefault="00AE61A6">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mes Julio 2020.pdf,</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actas de las sesiones de Cabildo correspondiente al mes de julio del año dos mil veinte.</w:t>
      </w:r>
    </w:p>
    <w:p w14:paraId="7A5A7F95" w14:textId="77777777" w:rsidR="004E1F05" w:rsidRDefault="00AE61A6">
      <w:pPr>
        <w:numPr>
          <w:ilvl w:val="0"/>
          <w:numId w:val="2"/>
        </w:numPr>
        <w:pBdr>
          <w:top w:val="nil"/>
          <w:left w:val="nil"/>
          <w:bottom w:val="nil"/>
          <w:right w:val="nil"/>
          <w:between w:val="nil"/>
        </w:pBdr>
        <w:spacing w:after="240"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Actas de Cabildo mes de Marzo 2020.pdf,</w:t>
      </w:r>
      <w:r>
        <w:rPr>
          <w:rFonts w:ascii="Palatino Linotype" w:eastAsia="Palatino Linotype" w:hAnsi="Palatino Linotype" w:cs="Palatino Linotype"/>
          <w:color w:val="000000"/>
        </w:rPr>
        <w:t xml:space="preserve"> actas de las sesiones de Cabildo correspondiente al mes de marzo del año dos mil veinte.</w:t>
      </w:r>
    </w:p>
    <w:p w14:paraId="7CDD6233" w14:textId="77777777" w:rsidR="004E1F05" w:rsidRDefault="00AE61A6">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rPr>
        <w:t xml:space="preserve">No obstante, al no estar conforme con los términos de la respuesta proporcionada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que nos ocupa, mediante el cual señaló como motivo de inconformidad, </w:t>
      </w:r>
      <w:r>
        <w:rPr>
          <w:rFonts w:ascii="Palatino Linotype" w:eastAsia="Palatino Linotype" w:hAnsi="Palatino Linotype" w:cs="Palatino Linotype"/>
          <w:b/>
        </w:rPr>
        <w:t xml:space="preserve"> que el </w:t>
      </w:r>
      <w:r>
        <w:rPr>
          <w:rFonts w:ascii="Palatino Linotype" w:eastAsia="Palatino Linotype" w:hAnsi="Palatino Linotype" w:cs="Palatino Linotype"/>
          <w:b/>
          <w:i/>
        </w:rPr>
        <w:t>Sujeto Obligado no entrega las actas de las reuniones de cabildo</w:t>
      </w:r>
      <w:r>
        <w:rPr>
          <w:rFonts w:ascii="Palatino Linotype" w:eastAsia="Palatino Linotype" w:hAnsi="Palatino Linotype" w:cs="Palatino Linotype"/>
          <w:b/>
          <w:i/>
          <w:color w:val="000000"/>
        </w:rPr>
        <w:t xml:space="preserve">: vigésima tercera, vigésima </w:t>
      </w:r>
      <w:r>
        <w:rPr>
          <w:rFonts w:ascii="Palatino Linotype" w:eastAsia="Palatino Linotype" w:hAnsi="Palatino Linotype" w:cs="Palatino Linotype"/>
          <w:b/>
          <w:i/>
        </w:rPr>
        <w:t>cuarta y vigésima quinta del año 2020.</w:t>
      </w:r>
    </w:p>
    <w:p w14:paraId="540D2E18"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Admitido el presente recurso de revisión, en términos del artículo 185 fracción II</w:t>
      </w:r>
      <w:r>
        <w:rPr>
          <w:rFonts w:ascii="Palatino Linotype" w:eastAsia="Palatino Linotype" w:hAnsi="Palatino Linotype" w:cs="Palatino Linotype"/>
          <w:vertAlign w:val="superscript"/>
        </w:rPr>
        <w:footnoteReference w:id="3"/>
      </w:r>
      <w:r>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18AE3A65"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Al respecto,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rindió informe justificado, a través de tres archivos</w:t>
      </w:r>
      <w:r>
        <w:rPr>
          <w:rFonts w:ascii="Palatino Linotype" w:eastAsia="Palatino Linotype" w:hAnsi="Palatino Linotype" w:cs="Palatino Linotype"/>
        </w:rPr>
        <w:t xml:space="preserve">, el primero corresponde a </w:t>
      </w:r>
      <w:r>
        <w:rPr>
          <w:rFonts w:ascii="Palatino Linotype" w:eastAsia="Palatino Linotype" w:hAnsi="Palatino Linotype" w:cs="Palatino Linotype"/>
          <w:b/>
          <w:i/>
        </w:rPr>
        <w:t>MANIFESTACIONES DEL PARTICULAR.pdf</w:t>
      </w:r>
      <w:r>
        <w:rPr>
          <w:rFonts w:ascii="Palatino Linotype" w:eastAsia="Palatino Linotype" w:hAnsi="Palatino Linotype" w:cs="Palatino Linotype"/>
        </w:rPr>
        <w:t xml:space="preserve">, que muestra el formato de interposición del recurso de revisión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el segundo </w:t>
      </w:r>
      <w:r>
        <w:rPr>
          <w:rFonts w:ascii="Palatino Linotype" w:eastAsia="Palatino Linotype" w:hAnsi="Palatino Linotype" w:cs="Palatino Linotype"/>
          <w:b/>
          <w:i/>
        </w:rPr>
        <w:t>Manifestaciones a Recurso de Revision..pdf</w:t>
      </w:r>
      <w:r>
        <w:rPr>
          <w:rFonts w:ascii="Palatino Linotype" w:eastAsia="Palatino Linotype" w:hAnsi="Palatino Linotype" w:cs="Palatino Linotype"/>
        </w:rPr>
        <w:t xml:space="preserve">, referente al informe justificado, y el tercero </w:t>
      </w:r>
      <w:r>
        <w:rPr>
          <w:rFonts w:ascii="Palatino Linotype" w:eastAsia="Palatino Linotype" w:hAnsi="Palatino Linotype" w:cs="Palatino Linotype"/>
          <w:b/>
          <w:i/>
        </w:rPr>
        <w:t xml:space="preserve">RECURSO DE REVISION 08024.INFOEM.pdf, </w:t>
      </w:r>
      <w:r>
        <w:rPr>
          <w:rFonts w:ascii="Palatino Linotype" w:eastAsia="Palatino Linotype" w:hAnsi="Palatino Linotype" w:cs="Palatino Linotype"/>
        </w:rPr>
        <w:t>al acuerdo de admisión realizado por este Instituto</w:t>
      </w:r>
      <w:r>
        <w:rPr>
          <w:rFonts w:ascii="Palatino Linotype" w:eastAsia="Palatino Linotype" w:hAnsi="Palatino Linotype" w:cs="Palatino Linotype"/>
          <w:color w:val="000000"/>
        </w:rPr>
        <w:t>, en el que se destaca:</w:t>
      </w:r>
    </w:p>
    <w:p w14:paraId="6F02E8D7"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4D1ADFFD" wp14:editId="1B0FDA28">
            <wp:extent cx="5612130" cy="2897505"/>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2897505"/>
                    </a:xfrm>
                    <a:prstGeom prst="rect">
                      <a:avLst/>
                    </a:prstGeom>
                    <a:ln/>
                  </pic:spPr>
                </pic:pic>
              </a:graphicData>
            </a:graphic>
          </wp:inline>
        </w:drawing>
      </w:r>
    </w:p>
    <w:p w14:paraId="5DAB6A21"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Dichos documentos fueron puestos a la vista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siendo</w:t>
      </w:r>
      <w:r>
        <w:rPr>
          <w:rFonts w:ascii="Palatino Linotype" w:eastAsia="Palatino Linotype" w:hAnsi="Palatino Linotype" w:cs="Palatino Linotype"/>
          <w:b/>
        </w:rPr>
        <w:t xml:space="preserve"> </w:t>
      </w:r>
      <w:r>
        <w:rPr>
          <w:rFonts w:ascii="Palatino Linotype" w:eastAsia="Palatino Linotype" w:hAnsi="Palatino Linotype" w:cs="Palatino Linotype"/>
        </w:rPr>
        <w:t>omiso, para expresar alegato alguno y ofrecer pruebas quedando precluído su derecho para tal efecto.</w:t>
      </w:r>
    </w:p>
    <w:p w14:paraId="14134EBB" w14:textId="77777777" w:rsidR="004E1F05" w:rsidRDefault="00AE61A6">
      <w:pPr>
        <w:pBdr>
          <w:top w:val="nil"/>
          <w:left w:val="nil"/>
          <w:bottom w:val="nil"/>
          <w:right w:val="nil"/>
          <w:between w:val="nil"/>
        </w:pBdr>
        <w:spacing w:before="240" w:after="240" w:line="360" w:lineRule="auto"/>
        <w:jc w:val="both"/>
        <w:rPr>
          <w:b/>
          <w:i/>
          <w:color w:val="000000"/>
        </w:rPr>
      </w:pPr>
      <w:r>
        <w:rPr>
          <w:rFonts w:ascii="Palatino Linotype" w:eastAsia="Palatino Linotype" w:hAnsi="Palatino Linotype" w:cs="Palatino Linotype"/>
          <w:color w:val="222222"/>
        </w:rPr>
        <w:t>De tal circunstancia, se considera que los motivos de inconformidad aducidos por el</w:t>
      </w:r>
      <w:r>
        <w:rPr>
          <w:rFonts w:ascii="Palatino Linotype" w:eastAsia="Palatino Linotype" w:hAnsi="Palatino Linotype" w:cs="Palatino Linotype"/>
          <w:b/>
          <w:color w:val="222222"/>
        </w:rPr>
        <w:t xml:space="preserve"> Recurrente</w:t>
      </w:r>
      <w:r>
        <w:rPr>
          <w:rFonts w:ascii="Palatino Linotype" w:eastAsia="Palatino Linotype" w:hAnsi="Palatino Linotype" w:cs="Palatino Linotype"/>
          <w:color w:val="222222"/>
        </w:rPr>
        <w:t xml:space="preserve"> sólo refieren a que </w:t>
      </w:r>
      <w:r>
        <w:rPr>
          <w:rFonts w:ascii="Palatino Linotype" w:eastAsia="Palatino Linotype" w:hAnsi="Palatino Linotype" w:cs="Palatino Linotype"/>
          <w:b/>
          <w:i/>
          <w:color w:val="222222"/>
        </w:rPr>
        <w:t xml:space="preserve">el Sujeto Obligado no entrega las actas de las reuniones de cabildo: </w:t>
      </w:r>
      <w:r>
        <w:rPr>
          <w:rFonts w:ascii="Palatino Linotype" w:eastAsia="Palatino Linotype" w:hAnsi="Palatino Linotype" w:cs="Palatino Linotype"/>
          <w:i/>
          <w:color w:val="000000"/>
        </w:rPr>
        <w:t>vigésima tercera, vigésima</w:t>
      </w:r>
      <w:r>
        <w:rPr>
          <w:rFonts w:ascii="Palatino Linotype" w:eastAsia="Palatino Linotype" w:hAnsi="Palatino Linotype" w:cs="Palatino Linotype"/>
          <w:b/>
          <w:i/>
          <w:color w:val="000000"/>
        </w:rPr>
        <w:t xml:space="preserve"> </w:t>
      </w:r>
      <w:r>
        <w:rPr>
          <w:rFonts w:ascii="Palatino Linotype" w:eastAsia="Palatino Linotype" w:hAnsi="Palatino Linotype" w:cs="Palatino Linotype"/>
          <w:b/>
          <w:i/>
          <w:color w:val="222222"/>
        </w:rPr>
        <w:t>cuarta y vigésima quinta del año 2020.</w:t>
      </w:r>
    </w:p>
    <w:p w14:paraId="43C00E23"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222222"/>
        </w:rPr>
        <w:t xml:space="preserve">En este sentido, el resto de la información que fue remitida por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xml:space="preserve"> materia de la solicitud de información,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Pr>
          <w:rFonts w:ascii="Palatino Linotype" w:eastAsia="Palatino Linotype" w:hAnsi="Palatino Linotype" w:cs="Palatino Linotype"/>
          <w:b/>
          <w:color w:val="222222"/>
        </w:rPr>
        <w:t>Sujeto Obligado</w:t>
      </w:r>
      <w:r>
        <w:rPr>
          <w:rFonts w:ascii="Palatino Linotype" w:eastAsia="Palatino Linotype" w:hAnsi="Palatino Linotype" w:cs="Palatino Linotype"/>
          <w:color w:val="222222"/>
        </w:rPr>
        <w:t>, satisface la solicitud presentada.</w:t>
      </w:r>
    </w:p>
    <w:p w14:paraId="39EB2304"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222222"/>
        </w:rPr>
        <w:lastRenderedPageBreak/>
        <w:t>Lo anterior es así, debido a que cuando el</w:t>
      </w:r>
      <w:r>
        <w:rPr>
          <w:rFonts w:ascii="Palatino Linotype" w:eastAsia="Palatino Linotype" w:hAnsi="Palatino Linotype" w:cs="Palatino Linotype"/>
          <w:b/>
          <w:color w:val="222222"/>
        </w:rPr>
        <w:t xml:space="preserve"> Recurrente</w:t>
      </w:r>
      <w:r>
        <w:rPr>
          <w:rFonts w:ascii="Palatino Linotype" w:eastAsia="Palatino Linotype" w:hAnsi="Palatino Linotype" w:cs="Palatino Linotype"/>
          <w:color w:val="222222"/>
        </w:rPr>
        <w:t xml:space="preserve"> no expresa razón o motivo de inconformidad en contra de la información proporcionada en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CAB232D" w14:textId="77777777" w:rsidR="004E1F05" w:rsidRDefault="00AE61A6">
      <w:pPr>
        <w:pBdr>
          <w:top w:val="nil"/>
          <w:left w:val="nil"/>
          <w:bottom w:val="nil"/>
          <w:right w:val="nil"/>
          <w:between w:val="nil"/>
        </w:pBdr>
        <w:shd w:val="clear" w:color="auto" w:fill="FFFFFF"/>
        <w:spacing w:before="240" w:after="240" w:line="276" w:lineRule="auto"/>
        <w:ind w:left="567" w:right="567"/>
        <w:jc w:val="both"/>
        <w:rPr>
          <w:color w:val="000000"/>
        </w:rPr>
      </w:pPr>
      <w:r>
        <w:rPr>
          <w:rFonts w:ascii="Palatino Linotype" w:eastAsia="Palatino Linotype" w:hAnsi="Palatino Linotype" w:cs="Palatino Linotype"/>
          <w:color w:val="222222"/>
        </w:rPr>
        <w:t> </w:t>
      </w:r>
      <w:r>
        <w:rPr>
          <w:rFonts w:ascii="Palatino Linotype" w:eastAsia="Palatino Linotype" w:hAnsi="Palatino Linotype" w:cs="Palatino Linotype"/>
          <w:color w:val="222222"/>
          <w:sz w:val="22"/>
          <w:szCs w:val="22"/>
        </w:rPr>
        <w:t>“</w:t>
      </w:r>
      <w:r>
        <w:rPr>
          <w:rFonts w:ascii="Palatino Linotype" w:eastAsia="Palatino Linotype" w:hAnsi="Palatino Linotype" w:cs="Palatino Linotype"/>
          <w:b/>
          <w:i/>
          <w:color w:val="222222"/>
          <w:sz w:val="22"/>
          <w:szCs w:val="22"/>
        </w:rPr>
        <w:t>REVISIÓN EN AMPARO. LOS RESOLUTIVOS NO COMBATIDOS DEBEN DECLARARSE FIRMES</w:t>
      </w:r>
      <w:r>
        <w:rPr>
          <w:rFonts w:ascii="Palatino Linotype" w:eastAsia="Palatino Linotype" w:hAnsi="Palatino Linotype" w:cs="Palatino Linotype"/>
          <w:i/>
          <w:color w:val="222222"/>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1C713D35" w14:textId="77777777" w:rsidR="004E1F05" w:rsidRDefault="00AE61A6">
      <w:p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Esto es, la parte de la solicitud sobre la que no se expresó inconformidad, debe declararse consentida por el</w:t>
      </w:r>
      <w:r>
        <w:rPr>
          <w:rFonts w:ascii="Palatino Linotype" w:eastAsia="Palatino Linotype" w:hAnsi="Palatino Linotype" w:cs="Palatino Linotype"/>
          <w:b/>
          <w:color w:val="222222"/>
        </w:rPr>
        <w:t xml:space="preserve"> Recurrente</w:t>
      </w:r>
      <w:r>
        <w:rPr>
          <w:rFonts w:ascii="Palatino Linotype" w:eastAsia="Palatino Linotype" w:hAnsi="Palatino Linotype" w:cs="Palatino Linotype"/>
          <w:color w:val="222222"/>
        </w:rPr>
        <w:t>, ya que no pueden producirse efectos jurídicos tendentes a revocar, confirmar o modificar la parte de la respuesta con relación a la parte de la solicitud que no fue motivo de inconformidad, ya que se infiere un consentimiento del</w:t>
      </w:r>
      <w:r>
        <w:rPr>
          <w:rFonts w:ascii="Palatino Linotype" w:eastAsia="Palatino Linotype" w:hAnsi="Palatino Linotype" w:cs="Palatino Linotype"/>
          <w:b/>
          <w:color w:val="222222"/>
        </w:rPr>
        <w:t xml:space="preserve"> Recurrente</w:t>
      </w:r>
      <w:r>
        <w:rPr>
          <w:rFonts w:ascii="Palatino Linotype" w:eastAsia="Palatino Linotype" w:hAnsi="Palatino Linotype" w:cs="Palatino Linotype"/>
          <w:color w:val="222222"/>
        </w:rPr>
        <w:t xml:space="preserve"> ante la falta de impugnación eficaz.</w:t>
      </w:r>
    </w:p>
    <w:p w14:paraId="3F45D526" w14:textId="77777777" w:rsidR="004E1F05" w:rsidRDefault="004E1F05">
      <w:p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color w:val="222222"/>
          <w:sz w:val="6"/>
          <w:szCs w:val="6"/>
        </w:rPr>
      </w:pPr>
    </w:p>
    <w:p w14:paraId="750EE3CD" w14:textId="77777777" w:rsidR="004E1F05" w:rsidRDefault="00AE61A6">
      <w:pPr>
        <w:pBdr>
          <w:top w:val="nil"/>
          <w:left w:val="nil"/>
          <w:bottom w:val="nil"/>
          <w:right w:val="nil"/>
          <w:between w:val="nil"/>
        </w:pBdr>
        <w:shd w:val="clear" w:color="auto" w:fill="FFFFFF"/>
        <w:spacing w:after="240" w:line="360" w:lineRule="auto"/>
        <w:jc w:val="both"/>
        <w:rPr>
          <w:color w:val="000000"/>
        </w:rPr>
      </w:pPr>
      <w:r>
        <w:rPr>
          <w:rFonts w:ascii="Palatino Linotype" w:eastAsia="Palatino Linotype" w:hAnsi="Palatino Linotype" w:cs="Palatino Linotype"/>
          <w:color w:val="222222"/>
        </w:rPr>
        <w:t>Sirve de sustento a lo anterior, por analogía, la tesis jurisprudencial número VI.3o.C. J/60, publicada en el Semanario Judicial de la Federación y su Gaceta bajo el número de registro 176,608 que a la letra dice:</w:t>
      </w:r>
    </w:p>
    <w:p w14:paraId="574616DF" w14:textId="77777777" w:rsidR="004E1F05" w:rsidRDefault="00AE61A6">
      <w:pPr>
        <w:pBdr>
          <w:top w:val="nil"/>
          <w:left w:val="nil"/>
          <w:bottom w:val="nil"/>
          <w:right w:val="nil"/>
          <w:between w:val="nil"/>
        </w:pBdr>
        <w:shd w:val="clear" w:color="auto" w:fill="FFFFFF"/>
        <w:spacing w:before="240" w:after="240" w:line="276" w:lineRule="auto"/>
        <w:ind w:left="851" w:right="900"/>
        <w:jc w:val="both"/>
        <w:rPr>
          <w:color w:val="000000"/>
        </w:rPr>
      </w:pPr>
      <w:r>
        <w:rPr>
          <w:rFonts w:ascii="Palatino Linotype" w:eastAsia="Palatino Linotype" w:hAnsi="Palatino Linotype" w:cs="Palatino Linotype"/>
          <w:i/>
          <w:color w:val="222222"/>
          <w:sz w:val="22"/>
          <w:szCs w:val="22"/>
        </w:rPr>
        <w:t>“</w:t>
      </w:r>
      <w:r>
        <w:rPr>
          <w:rFonts w:ascii="Palatino Linotype" w:eastAsia="Palatino Linotype" w:hAnsi="Palatino Linotype" w:cs="Palatino Linotype"/>
          <w:b/>
          <w:i/>
          <w:color w:val="222222"/>
          <w:sz w:val="22"/>
          <w:szCs w:val="22"/>
        </w:rPr>
        <w:t>ACTOS CONSENTIDOS. SON LOS QUE NO SE IMPUGNAN MEDIANTE EL RECURSO IDÓNEO</w:t>
      </w:r>
      <w:r>
        <w:rPr>
          <w:rFonts w:ascii="Palatino Linotype" w:eastAsia="Palatino Linotype" w:hAnsi="Palatino Linotype" w:cs="Palatino Linotype"/>
          <w:i/>
          <w:color w:val="222222"/>
          <w:sz w:val="22"/>
          <w:szCs w:val="22"/>
        </w:rPr>
        <w:t xml:space="preserve">. Debe reputarse como consentido el acto que no se impugnó por el medio establecido por la ley, ya que, si se hizo uso de </w:t>
      </w:r>
      <w:r>
        <w:rPr>
          <w:rFonts w:ascii="Palatino Linotype" w:eastAsia="Palatino Linotype" w:hAnsi="Palatino Linotype" w:cs="Palatino Linotype"/>
          <w:i/>
          <w:color w:val="222222"/>
          <w:sz w:val="22"/>
          <w:szCs w:val="22"/>
        </w:rPr>
        <w:lastRenderedPageBreak/>
        <w:t>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36E85C54" w14:textId="77777777" w:rsidR="004E1F05" w:rsidRDefault="00AE61A6">
      <w:pPr>
        <w:spacing w:before="240" w:after="240" w:line="360" w:lineRule="auto"/>
        <w:jc w:val="both"/>
        <w:rPr>
          <w:color w:val="000000"/>
        </w:rPr>
      </w:pPr>
      <w:r>
        <w:rPr>
          <w:rFonts w:ascii="Palatino Linotype" w:eastAsia="Palatino Linotype" w:hAnsi="Palatino Linotype" w:cs="Palatino Linotype"/>
          <w:color w:val="000000"/>
        </w:rPr>
        <w:t xml:space="preserve">En esta tesitura, dados los términos de la respuesta otorgada, resulta oportuno mencionar que es evidente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niega la existencia de la información solicitada, sino por el contrario, se encuentra encaminado a atender la solicitud, por ello es que, una vez analizada la materia, proporcionó información con la finalidad de satisfacer la pretensión de la parte solicitante, por tanto, el estudio de la fuente obligacional en el caso concreto se obvia, en razón de que dicho análisis se efectúa con la finalidad de determinar si los Sujetos Obligados generan, administran o poseen la información que les fue requerida, y al existir la manifestación de poseer la misma, a nada práctico llevaría el alcance de dicho análisis.</w:t>
      </w:r>
    </w:p>
    <w:p w14:paraId="0B2ACAE6" w14:textId="77777777" w:rsidR="004E1F05" w:rsidRDefault="00AE61A6">
      <w:pPr>
        <w:spacing w:before="280" w:after="280" w:line="360" w:lineRule="auto"/>
        <w:jc w:val="both"/>
        <w:rPr>
          <w:color w:val="000000"/>
        </w:rPr>
      </w:pPr>
      <w:r>
        <w:rPr>
          <w:rFonts w:ascii="Palatino Linotype" w:eastAsia="Palatino Linotype" w:hAnsi="Palatino Linotype" w:cs="Palatino Linotype"/>
          <w:color w:val="000000"/>
        </w:rPr>
        <w:t xml:space="preserve">En efecto, el hecho 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haya asumido contar con la información pública solicitada, acepta que la genera, posee y administra, en ejercicio de sus funciones de derecho público, motivo por el cual se actualiza el supuesto previsto en el artículo 12 de la Ley de Transparencia y Acceso a la Información Pública del Estado de México y Municipios, citado con antelación.</w:t>
      </w:r>
    </w:p>
    <w:p w14:paraId="03B69EDE" w14:textId="77777777" w:rsidR="004E1F05" w:rsidRDefault="00AE61A6">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consiguiente,  en atención a los motivos de inconformidad aducidos por el recurrente en relación a que el </w:t>
      </w:r>
      <w:r>
        <w:rPr>
          <w:rFonts w:ascii="Palatino Linotype" w:eastAsia="Palatino Linotype" w:hAnsi="Palatino Linotype" w:cs="Palatino Linotype"/>
          <w:b/>
          <w:i/>
          <w:color w:val="000000"/>
        </w:rPr>
        <w:t xml:space="preserve">Sujeto Obligado no entrega las actas de las reuniones de cabildo: vigésima tercera, vigésima cuarta y vigésima quinta del año 2020, </w:t>
      </w:r>
      <w:r>
        <w:rPr>
          <w:rFonts w:ascii="Palatino Linotype" w:eastAsia="Palatino Linotype" w:hAnsi="Palatino Linotype" w:cs="Palatino Linotype"/>
          <w:color w:val="000000"/>
        </w:rPr>
        <w:t xml:space="preserve">se procede al análisis de la respuesta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efecto de determinar si el derecho de acceso se satisfizo con la misma, o en su defecto, </w:t>
      </w:r>
      <w:r>
        <w:rPr>
          <w:rFonts w:ascii="Palatino Linotype" w:eastAsia="Palatino Linotype" w:hAnsi="Palatino Linotype" w:cs="Palatino Linotype"/>
          <w:color w:val="000000"/>
        </w:rPr>
        <w:lastRenderedPageBreak/>
        <w:t>señalar los documentos que en el ejercicio de sus atribuciones pudo haber generado, y que, de manera enunciativa más no limitativa, pudieran colmar dicho derecho. </w:t>
      </w:r>
    </w:p>
    <w:p w14:paraId="0FF95ECD" w14:textId="77777777" w:rsidR="004E1F05" w:rsidRDefault="00AE61A6">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que se procedió a realizar el análisis de las constancias que obran en la respuesta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así como en la referencia realizada mediante el informe justificado en donde manifiesta que dichas actas se encuentran en las actas de cabildo del mes de julio 2020. </w:t>
      </w:r>
    </w:p>
    <w:p w14:paraId="6CB6A221" w14:textId="77777777" w:rsidR="004E1F05" w:rsidRDefault="00AE61A6">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revisión a dicho archivo en efecto se pudo localizar la siguiente información: </w:t>
      </w:r>
    </w:p>
    <w:p w14:paraId="3576CD04" w14:textId="77777777" w:rsidR="004E1F05" w:rsidRDefault="00AE61A6">
      <w:pP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Actas de la Vigésima Cuarta y Vigésima Quinta Sesiones Ordinarias de Cabildo de fechas diez y diecisiete de julio de dos mil veintidós, a manera de ejemplo, se adjunta capturas de pantalla:</w:t>
      </w:r>
    </w:p>
    <w:p w14:paraId="29A3E434" w14:textId="77777777" w:rsidR="004E1F05" w:rsidRDefault="00AE61A6">
      <w:pPr>
        <w:numPr>
          <w:ilvl w:val="0"/>
          <w:numId w:val="5"/>
        </w:numPr>
        <w:spacing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Acta de la Vigésima Cuarta Sesión Ordinaria de Cabildo:</w:t>
      </w:r>
    </w:p>
    <w:p w14:paraId="0F7658E3" w14:textId="77777777" w:rsidR="004E1F05" w:rsidRDefault="00AE61A6">
      <w:pPr>
        <w:spacing w:after="240" w:line="360" w:lineRule="auto"/>
        <w:jc w:val="center"/>
      </w:pPr>
      <w:r>
        <w:rPr>
          <w:noProof/>
        </w:rPr>
        <w:lastRenderedPageBreak/>
        <w:drawing>
          <wp:inline distT="0" distB="0" distL="0" distR="0" wp14:anchorId="4A3103ED" wp14:editId="55707B4E">
            <wp:extent cx="4510739" cy="6758324"/>
            <wp:effectExtent l="0" t="0" r="0" b="0"/>
            <wp:docPr id="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510739" cy="6758324"/>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14:anchorId="573741DE" wp14:editId="7DE6B604">
                <wp:simplePos x="0" y="0"/>
                <wp:positionH relativeFrom="column">
                  <wp:posOffset>457200</wp:posOffset>
                </wp:positionH>
                <wp:positionV relativeFrom="paragraph">
                  <wp:posOffset>2044700</wp:posOffset>
                </wp:positionV>
                <wp:extent cx="4804809" cy="377530"/>
                <wp:effectExtent l="0" t="0" r="0" b="0"/>
                <wp:wrapNone/>
                <wp:docPr id="54" name="Rectángulo 54"/>
                <wp:cNvGraphicFramePr/>
                <a:graphic xmlns:a="http://schemas.openxmlformats.org/drawingml/2006/main">
                  <a:graphicData uri="http://schemas.microsoft.com/office/word/2010/wordprocessingShape">
                    <wps:wsp>
                      <wps:cNvSpPr/>
                      <wps:spPr>
                        <a:xfrm>
                          <a:off x="2948358" y="3595998"/>
                          <a:ext cx="4795284" cy="368005"/>
                        </a:xfrm>
                        <a:prstGeom prst="rect">
                          <a:avLst/>
                        </a:prstGeom>
                        <a:noFill/>
                        <a:ln w="9525" cap="flat" cmpd="sng">
                          <a:solidFill>
                            <a:srgbClr val="FF0000">
                              <a:alpha val="98823"/>
                            </a:srgbClr>
                          </a:solidFill>
                          <a:prstDash val="solid"/>
                          <a:round/>
                          <a:headEnd type="none" w="sm" len="sm"/>
                          <a:tailEnd type="none" w="sm" len="sm"/>
                        </a:ln>
                      </wps:spPr>
                      <wps:txbx>
                        <w:txbxContent>
                          <w:p w14:paraId="12DF8B9A" w14:textId="77777777" w:rsidR="004E1F05" w:rsidRDefault="004E1F0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457200</wp:posOffset>
                </wp:positionH>
                <wp:positionV relativeFrom="paragraph">
                  <wp:posOffset>2044700</wp:posOffset>
                </wp:positionV>
                <wp:extent cx="4804809" cy="377530"/>
                <wp:effectExtent b="0" l="0" r="0" t="0"/>
                <wp:wrapNone/>
                <wp:docPr id="54"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4804809" cy="377530"/>
                        </a:xfrm>
                        <a:prstGeom prst="rect"/>
                        <a:ln/>
                      </pic:spPr>
                    </pic:pic>
                  </a:graphicData>
                </a:graphic>
              </wp:anchor>
            </w:drawing>
          </mc:Fallback>
        </mc:AlternateContent>
      </w:r>
    </w:p>
    <w:p w14:paraId="4A3CC692" w14:textId="77777777" w:rsidR="004E1F05" w:rsidRDefault="004E1F05">
      <w:pPr>
        <w:spacing w:after="240" w:line="360" w:lineRule="auto"/>
        <w:jc w:val="both"/>
        <w:rPr>
          <w:rFonts w:ascii="Palatino Linotype" w:eastAsia="Palatino Linotype" w:hAnsi="Palatino Linotype" w:cs="Palatino Linotype"/>
          <w:color w:val="000000"/>
        </w:rPr>
      </w:pPr>
    </w:p>
    <w:p w14:paraId="189A9B2B" w14:textId="77777777" w:rsidR="004E1F05" w:rsidRDefault="00AE61A6">
      <w:pPr>
        <w:numPr>
          <w:ilvl w:val="0"/>
          <w:numId w:val="1"/>
        </w:numPr>
        <w:spacing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lastRenderedPageBreak/>
        <w:t>Acta de la Vigésima Quinta Sesión Ordinaria de Cabildo:</w:t>
      </w:r>
    </w:p>
    <w:p w14:paraId="7E3F8913" w14:textId="77777777" w:rsidR="004E1F05" w:rsidRDefault="00AE61A6">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14:anchorId="16E1A587" wp14:editId="6997D913">
            <wp:extent cx="4125634" cy="6630913"/>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125634" cy="6630913"/>
                    </a:xfrm>
                    <a:prstGeom prst="rect">
                      <a:avLst/>
                    </a:prstGeom>
                    <a:ln/>
                  </pic:spPr>
                </pic:pic>
              </a:graphicData>
            </a:graphic>
          </wp:inline>
        </w:drawing>
      </w:r>
      <w:r>
        <w:rPr>
          <w:noProof/>
        </w:rPr>
        <mc:AlternateContent>
          <mc:Choice Requires="wpg">
            <w:drawing>
              <wp:anchor distT="0" distB="0" distL="114300" distR="114300" simplePos="0" relativeHeight="251659264" behindDoc="0" locked="0" layoutInCell="1" hidden="0" allowOverlap="1" wp14:anchorId="016F8E1D" wp14:editId="2FABAAB4">
                <wp:simplePos x="0" y="0"/>
                <wp:positionH relativeFrom="column">
                  <wp:posOffset>292100</wp:posOffset>
                </wp:positionH>
                <wp:positionV relativeFrom="paragraph">
                  <wp:posOffset>1841500</wp:posOffset>
                </wp:positionV>
                <wp:extent cx="4804809" cy="377530"/>
                <wp:effectExtent l="0" t="0" r="0" b="0"/>
                <wp:wrapNone/>
                <wp:docPr id="57" name="Rectángulo 57"/>
                <wp:cNvGraphicFramePr/>
                <a:graphic xmlns:a="http://schemas.openxmlformats.org/drawingml/2006/main">
                  <a:graphicData uri="http://schemas.microsoft.com/office/word/2010/wordprocessingShape">
                    <wps:wsp>
                      <wps:cNvSpPr/>
                      <wps:spPr>
                        <a:xfrm>
                          <a:off x="2948358" y="3595998"/>
                          <a:ext cx="4795284" cy="368005"/>
                        </a:xfrm>
                        <a:prstGeom prst="rect">
                          <a:avLst/>
                        </a:prstGeom>
                        <a:noFill/>
                        <a:ln w="9525" cap="flat" cmpd="sng">
                          <a:solidFill>
                            <a:srgbClr val="FF0000">
                              <a:alpha val="98823"/>
                            </a:srgbClr>
                          </a:solidFill>
                          <a:prstDash val="solid"/>
                          <a:round/>
                          <a:headEnd type="none" w="sm" len="sm"/>
                          <a:tailEnd type="none" w="sm" len="sm"/>
                        </a:ln>
                      </wps:spPr>
                      <wps:txbx>
                        <w:txbxContent>
                          <w:p w14:paraId="5AC02141" w14:textId="77777777" w:rsidR="004E1F05" w:rsidRDefault="004E1F0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292100</wp:posOffset>
                </wp:positionH>
                <wp:positionV relativeFrom="paragraph">
                  <wp:posOffset>1841500</wp:posOffset>
                </wp:positionV>
                <wp:extent cx="4804809" cy="377530"/>
                <wp:effectExtent b="0" l="0" r="0" t="0"/>
                <wp:wrapNone/>
                <wp:docPr id="57"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4804809" cy="377530"/>
                        </a:xfrm>
                        <a:prstGeom prst="rect"/>
                        <a:ln/>
                      </pic:spPr>
                    </pic:pic>
                  </a:graphicData>
                </a:graphic>
              </wp:anchor>
            </w:drawing>
          </mc:Fallback>
        </mc:AlternateContent>
      </w:r>
    </w:p>
    <w:p w14:paraId="667A908A"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cuanto hace a la Vigésima Tercera sesión ordinaria, se observa que la misma no se encuentra completa, toda vez que sólo muestra el desarrollo de la sesión careciendo la primera parte donde se detalla el orden del día, por lo tanto no se puede determinar tampoco si la misma cuenta con anexos, como se advierte:</w:t>
      </w:r>
    </w:p>
    <w:p w14:paraId="0707FB0B" w14:textId="77777777" w:rsidR="004E1F05" w:rsidRDefault="00AE61A6">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67C08FC2" wp14:editId="6157FF0C">
            <wp:extent cx="3772157" cy="6113721"/>
            <wp:effectExtent l="0" t="0" r="0" b="0"/>
            <wp:docPr id="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3772157" cy="6113721"/>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14:anchorId="07E0515F" wp14:editId="439E4D1A">
                <wp:simplePos x="0" y="0"/>
                <wp:positionH relativeFrom="column">
                  <wp:posOffset>787400</wp:posOffset>
                </wp:positionH>
                <wp:positionV relativeFrom="paragraph">
                  <wp:posOffset>3175000</wp:posOffset>
                </wp:positionV>
                <wp:extent cx="3775813" cy="2759223"/>
                <wp:effectExtent l="0" t="0" r="0" b="0"/>
                <wp:wrapNone/>
                <wp:docPr id="56" name="Rectángulo 56"/>
                <wp:cNvGraphicFramePr/>
                <a:graphic xmlns:a="http://schemas.openxmlformats.org/drawingml/2006/main">
                  <a:graphicData uri="http://schemas.microsoft.com/office/word/2010/wordprocessingShape">
                    <wps:wsp>
                      <wps:cNvSpPr/>
                      <wps:spPr>
                        <a:xfrm>
                          <a:off x="3462856" y="2405151"/>
                          <a:ext cx="3766288" cy="2749698"/>
                        </a:xfrm>
                        <a:prstGeom prst="rect">
                          <a:avLst/>
                        </a:prstGeom>
                        <a:noFill/>
                        <a:ln w="9525" cap="flat" cmpd="sng">
                          <a:solidFill>
                            <a:srgbClr val="FF0000">
                              <a:alpha val="98823"/>
                            </a:srgbClr>
                          </a:solidFill>
                          <a:prstDash val="solid"/>
                          <a:round/>
                          <a:headEnd type="none" w="sm" len="sm"/>
                          <a:tailEnd type="none" w="sm" len="sm"/>
                        </a:ln>
                      </wps:spPr>
                      <wps:txbx>
                        <w:txbxContent>
                          <w:p w14:paraId="0558934A" w14:textId="77777777" w:rsidR="004E1F05" w:rsidRDefault="004E1F0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787400</wp:posOffset>
                </wp:positionH>
                <wp:positionV relativeFrom="paragraph">
                  <wp:posOffset>3175000</wp:posOffset>
                </wp:positionV>
                <wp:extent cx="3775813" cy="2759223"/>
                <wp:effectExtent b="0" l="0" r="0" t="0"/>
                <wp:wrapNone/>
                <wp:docPr id="56"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3775813" cy="2759223"/>
                        </a:xfrm>
                        <a:prstGeom prst="rect"/>
                        <a:ln/>
                      </pic:spPr>
                    </pic:pic>
                  </a:graphicData>
                </a:graphic>
              </wp:anchor>
            </w:drawing>
          </mc:Fallback>
        </mc:AlternateContent>
      </w:r>
    </w:p>
    <w:p w14:paraId="5836809A" w14:textId="77777777" w:rsidR="004E1F05" w:rsidRDefault="00AE61A6">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rPr>
        <w:lastRenderedPageBreak/>
        <w:drawing>
          <wp:inline distT="0" distB="0" distL="0" distR="0" wp14:anchorId="2B00C300" wp14:editId="5745A7B2">
            <wp:extent cx="4299887" cy="6800369"/>
            <wp:effectExtent l="0" t="0" r="0" b="0"/>
            <wp:docPr id="6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299887" cy="6800369"/>
                    </a:xfrm>
                    <a:prstGeom prst="rect">
                      <a:avLst/>
                    </a:prstGeom>
                    <a:ln/>
                  </pic:spPr>
                </pic:pic>
              </a:graphicData>
            </a:graphic>
          </wp:inline>
        </w:drawing>
      </w:r>
      <w:r>
        <w:rPr>
          <w:rFonts w:ascii="Palatino Linotype" w:eastAsia="Palatino Linotype" w:hAnsi="Palatino Linotype" w:cs="Palatino Linotype"/>
        </w:rPr>
        <w:t>Tres</w:t>
      </w:r>
      <w:r>
        <w:rPr>
          <w:noProof/>
        </w:rPr>
        <mc:AlternateContent>
          <mc:Choice Requires="wpg">
            <w:drawing>
              <wp:anchor distT="0" distB="0" distL="114300" distR="114300" simplePos="0" relativeHeight="251661312" behindDoc="0" locked="0" layoutInCell="1" hidden="0" allowOverlap="1" wp14:anchorId="263F498F" wp14:editId="64F5AA05">
                <wp:simplePos x="0" y="0"/>
                <wp:positionH relativeFrom="column">
                  <wp:posOffset>533400</wp:posOffset>
                </wp:positionH>
                <wp:positionV relativeFrom="paragraph">
                  <wp:posOffset>2933700</wp:posOffset>
                </wp:positionV>
                <wp:extent cx="4488194" cy="707138"/>
                <wp:effectExtent l="0" t="0" r="0" b="0"/>
                <wp:wrapNone/>
                <wp:docPr id="55" name="Rectángulo 55"/>
                <wp:cNvGraphicFramePr/>
                <a:graphic xmlns:a="http://schemas.openxmlformats.org/drawingml/2006/main">
                  <a:graphicData uri="http://schemas.microsoft.com/office/word/2010/wordprocessingShape">
                    <wps:wsp>
                      <wps:cNvSpPr/>
                      <wps:spPr>
                        <a:xfrm>
                          <a:off x="3106666" y="3431194"/>
                          <a:ext cx="4478669" cy="697613"/>
                        </a:xfrm>
                        <a:prstGeom prst="rect">
                          <a:avLst/>
                        </a:prstGeom>
                        <a:noFill/>
                        <a:ln w="9525" cap="flat" cmpd="sng">
                          <a:solidFill>
                            <a:srgbClr val="FF0000">
                              <a:alpha val="98823"/>
                            </a:srgbClr>
                          </a:solidFill>
                          <a:prstDash val="solid"/>
                          <a:round/>
                          <a:headEnd type="none" w="sm" len="sm"/>
                          <a:tailEnd type="none" w="sm" len="sm"/>
                        </a:ln>
                      </wps:spPr>
                      <wps:txbx>
                        <w:txbxContent>
                          <w:p w14:paraId="401DB8F7" w14:textId="77777777" w:rsidR="004E1F05" w:rsidRDefault="004E1F0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533400</wp:posOffset>
                </wp:positionH>
                <wp:positionV relativeFrom="paragraph">
                  <wp:posOffset>2933700</wp:posOffset>
                </wp:positionV>
                <wp:extent cx="4488194" cy="707138"/>
                <wp:effectExtent b="0" l="0" r="0" t="0"/>
                <wp:wrapNone/>
                <wp:docPr id="55"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4488194" cy="707138"/>
                        </a:xfrm>
                        <a:prstGeom prst="rect"/>
                        <a:ln/>
                      </pic:spPr>
                    </pic:pic>
                  </a:graphicData>
                </a:graphic>
              </wp:anchor>
            </w:drawing>
          </mc:Fallback>
        </mc:AlternateContent>
      </w:r>
    </w:p>
    <w:p w14:paraId="3DF08935" w14:textId="77777777" w:rsidR="004E1F05" w:rsidRDefault="004E1F0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4FCC9A5C" w14:textId="77777777" w:rsidR="004E1F05" w:rsidRDefault="00AE61A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lastRenderedPageBreak/>
        <w:t xml:space="preserve">Por lo que se de las razones o motivos de inconformidad hechos valer por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este Instituto estima que lo dable es </w:t>
      </w:r>
      <w:r>
        <w:rPr>
          <w:rFonts w:ascii="Palatino Linotype" w:eastAsia="Palatino Linotype" w:hAnsi="Palatino Linotype" w:cs="Palatino Linotype"/>
          <w:b/>
          <w:color w:val="000000"/>
        </w:rPr>
        <w:t>Ordenar</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proporcione el acta de la Vigésima Tercera Sesión de Cabildo, de fecha tres de julio de dos mil veinte, </w:t>
      </w:r>
      <w:r>
        <w:rPr>
          <w:rFonts w:ascii="Palatino Linotype" w:eastAsia="Palatino Linotype" w:hAnsi="Palatino Linotype" w:cs="Palatino Linotype"/>
        </w:rPr>
        <w:t>acompañada, en su caso de los anexos correspondientes, y en versión pública, de ser procedente.</w:t>
      </w:r>
    </w:p>
    <w:p w14:paraId="774A88AB"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Quinto. Versión Pública. </w:t>
      </w:r>
      <w:r>
        <w:rPr>
          <w:rFonts w:ascii="Palatino Linotype" w:eastAsia="Palatino Linotype" w:hAnsi="Palatino Linotype" w:cs="Palatino Linotype"/>
          <w:color w:val="000000"/>
        </w:rPr>
        <w:t>Finalmente, debe señalarse que de ser el caso en que los documentos que vayan a ser entregados por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para dar cumplimiento a la presente resolución, contengan datos que deban ser clasificados,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016A12BE"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5D5DB7FF" w14:textId="77777777" w:rsidR="004E1F05" w:rsidRDefault="00AE61A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Artículo 3</w:t>
      </w:r>
      <w:r>
        <w:rPr>
          <w:rFonts w:ascii="Palatino Linotype" w:eastAsia="Palatino Linotype" w:hAnsi="Palatino Linotype" w:cs="Palatino Linotype"/>
          <w:i/>
          <w:color w:val="000000"/>
          <w:sz w:val="22"/>
          <w:szCs w:val="22"/>
        </w:rPr>
        <w:t>. Para los efectos de la presente Ley se entenderá por:</w:t>
      </w:r>
    </w:p>
    <w:p w14:paraId="6F689B95"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i/>
          <w:color w:val="000000"/>
          <w:sz w:val="22"/>
          <w:szCs w:val="22"/>
        </w:rPr>
        <w:t>[…]</w:t>
      </w:r>
    </w:p>
    <w:p w14:paraId="1B25A8A7"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IX. Datos personales</w:t>
      </w:r>
      <w:r>
        <w:rPr>
          <w:rFonts w:ascii="Palatino Linotype" w:eastAsia="Palatino Linotype" w:hAnsi="Palatino Linotype" w:cs="Palatino Linotype"/>
          <w:i/>
          <w:color w:val="000000"/>
          <w:sz w:val="22"/>
          <w:szCs w:val="22"/>
        </w:rPr>
        <w:t>: La información concerniente a una persona, identificada o identificable según lo dispuesto por la Ley de Protección de Datos Personales del Estado de México; </w:t>
      </w:r>
    </w:p>
    <w:p w14:paraId="0EC3DC86"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XX. Información clasificada</w:t>
      </w:r>
      <w:r>
        <w:rPr>
          <w:rFonts w:ascii="Palatino Linotype" w:eastAsia="Palatino Linotype" w:hAnsi="Palatino Linotype" w:cs="Palatino Linotype"/>
          <w:i/>
          <w:color w:val="000000"/>
          <w:sz w:val="22"/>
          <w:szCs w:val="22"/>
        </w:rPr>
        <w:t>: Aquella considerada por la presente Ley como reservada o confidencial;</w:t>
      </w:r>
    </w:p>
    <w:p w14:paraId="0AEFA998"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lastRenderedPageBreak/>
        <w:t xml:space="preserve">XXI. Información confidencial: </w:t>
      </w:r>
      <w:r>
        <w:rPr>
          <w:rFonts w:ascii="Palatino Linotype" w:eastAsia="Palatino Linotype" w:hAnsi="Palatino Linotype" w:cs="Palatino Linotype"/>
          <w:i/>
          <w:color w:val="000000"/>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749E671"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XLV. Versión pública:</w:t>
      </w:r>
      <w:r>
        <w:rPr>
          <w:rFonts w:ascii="Palatino Linotype" w:eastAsia="Palatino Linotype" w:hAnsi="Palatino Linotype" w:cs="Palatino Linotype"/>
          <w:i/>
          <w:color w:val="000000"/>
          <w:sz w:val="22"/>
          <w:szCs w:val="22"/>
        </w:rPr>
        <w:t xml:space="preserve"> Documento en el que se elimine, suprime o borra la información clasificada como reservada o confidencial para permitir su acceso.</w:t>
      </w:r>
    </w:p>
    <w:p w14:paraId="591A35B2"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i/>
          <w:color w:val="000000"/>
          <w:sz w:val="22"/>
          <w:szCs w:val="22"/>
        </w:rPr>
        <w:t>[…]</w:t>
      </w:r>
    </w:p>
    <w:p w14:paraId="5D8AD3CA" w14:textId="77777777" w:rsidR="004E1F05" w:rsidRDefault="00AE61A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Artículo 91.</w:t>
      </w:r>
      <w:r>
        <w:rPr>
          <w:rFonts w:ascii="Palatino Linotype" w:eastAsia="Palatino Linotype" w:hAnsi="Palatino Linotype" w:cs="Palatino Linotype"/>
          <w:i/>
          <w:color w:val="000000"/>
          <w:sz w:val="22"/>
          <w:szCs w:val="22"/>
        </w:rPr>
        <w:t xml:space="preserve"> El acceso a la información pública será restringido excepcionalmente, cuando ésta sea clasificada como reservada o confidencial.</w:t>
      </w:r>
    </w:p>
    <w:p w14:paraId="31EBDC54" w14:textId="77777777" w:rsidR="004E1F05" w:rsidRDefault="00AE61A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Artículo 132.</w:t>
      </w:r>
      <w:r>
        <w:rPr>
          <w:rFonts w:ascii="Palatino Linotype" w:eastAsia="Palatino Linotype" w:hAnsi="Palatino Linotype" w:cs="Palatino Linotype"/>
          <w:i/>
          <w:color w:val="000000"/>
          <w:sz w:val="22"/>
          <w:szCs w:val="22"/>
        </w:rPr>
        <w:t xml:space="preserve"> La clasificación de la información se llevará a cabo en el momento en que:</w:t>
      </w:r>
    </w:p>
    <w:p w14:paraId="4070443A"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Se reciba una solicitud de acceso a la información;</w:t>
      </w:r>
    </w:p>
    <w:p w14:paraId="2DF64A60"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Se determine mediante resolución de autoridad competente; o</w:t>
      </w:r>
    </w:p>
    <w:p w14:paraId="5C900E87"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esta Ley.</w:t>
      </w:r>
    </w:p>
    <w:p w14:paraId="1D8A4017" w14:textId="77777777" w:rsidR="004E1F05" w:rsidRDefault="00AE61A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w:t>
      </w:r>
    </w:p>
    <w:p w14:paraId="5BC96D2C" w14:textId="77777777" w:rsidR="004E1F05" w:rsidRDefault="00AE61A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Artículo 143</w:t>
      </w:r>
      <w:r>
        <w:rPr>
          <w:rFonts w:ascii="Palatino Linotype" w:eastAsia="Palatino Linotype" w:hAnsi="Palatino Linotype" w:cs="Palatino Linotype"/>
          <w:i/>
          <w:color w:val="000000"/>
          <w:sz w:val="22"/>
          <w:szCs w:val="22"/>
        </w:rPr>
        <w:t>. Para los efectos de esta Ley se considera información confidencial, la clasificada como tal, de manera permanente, por su naturaleza, cuando:</w:t>
      </w:r>
    </w:p>
    <w:p w14:paraId="596E2160"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Se refiera a la información privada y los datos personales concernientes a una persona física o jurídico colectiva identificada o identificable;</w:t>
      </w:r>
    </w:p>
    <w:p w14:paraId="71034B65"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II.</w:t>
      </w:r>
      <w:r>
        <w:rPr>
          <w:rFonts w:ascii="Palatino Linotype" w:eastAsia="Palatino Linotype" w:hAnsi="Palatino Linotype" w:cs="Palatino Linotype"/>
          <w:i/>
          <w:color w:val="000000"/>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67054A2"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La que presenten los particulares a los sujetos obligados, de conformidad con lo dispuesto por las leyes o los tratados internacionales.</w:t>
      </w:r>
    </w:p>
    <w:p w14:paraId="3E6B96E7" w14:textId="77777777" w:rsidR="004E1F05" w:rsidRDefault="00AE61A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lastRenderedPageBreak/>
        <w:t>La información confidencial no estará sujeta a temporalidad alguna y sólo podrán tener acceso a ella los titulares de la misma, sus representantes y los servidores públicos facultados para ello.</w:t>
      </w:r>
    </w:p>
    <w:p w14:paraId="408903C5" w14:textId="77777777" w:rsidR="004E1F05" w:rsidRDefault="00AE61A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No se considerará confidencial la información que se encuentre en los registros públicos o en fuentes de acceso público, ni tampoco la que sea considerada por la presente ley como información pública.”</w:t>
      </w:r>
    </w:p>
    <w:p w14:paraId="63626CF6"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1FB15BF"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Entorno a lo que aquí nos interesa, los Lineamientos Quincuagésimo sexto, Quincuagésimo séptimo y Quincuagésimo octavo, establecen lo siguiente:</w:t>
      </w:r>
    </w:p>
    <w:p w14:paraId="287E2E4F" w14:textId="77777777" w:rsidR="004E1F05" w:rsidRDefault="00AE61A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“Quincuagésimo sexto</w:t>
      </w:r>
      <w:r>
        <w:rPr>
          <w:rFonts w:ascii="Palatino Linotype" w:eastAsia="Palatino Linotype" w:hAnsi="Palatino Linotype" w:cs="Palatino Linotype"/>
          <w:i/>
          <w:color w:val="000000"/>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BC35216" w14:textId="77777777" w:rsidR="004E1F05" w:rsidRDefault="00AE61A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Quincuagésimo séptimo</w:t>
      </w:r>
      <w:r>
        <w:rPr>
          <w:rFonts w:ascii="Palatino Linotype" w:eastAsia="Palatino Linotype" w:hAnsi="Palatino Linotype" w:cs="Palatino Linotype"/>
          <w:i/>
          <w:color w:val="000000"/>
          <w:sz w:val="22"/>
          <w:szCs w:val="22"/>
        </w:rPr>
        <w:t>. Se considera, en principio, como información pública y no podrá omitirse de las versiones públicas la siguiente: </w:t>
      </w:r>
    </w:p>
    <w:p w14:paraId="5F30D11C"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La relativa a las Obligaciones de Transparencia que contempla el Título V de la Ley General y las demás disposiciones legales aplicables; </w:t>
      </w:r>
    </w:p>
    <w:p w14:paraId="6ED30512"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lastRenderedPageBreak/>
        <w:t>II.</w:t>
      </w:r>
      <w:r>
        <w:rPr>
          <w:rFonts w:ascii="Palatino Linotype" w:eastAsia="Palatino Linotype" w:hAnsi="Palatino Linotype" w:cs="Palatino Linotype"/>
          <w:i/>
          <w:color w:val="000000"/>
          <w:sz w:val="22"/>
          <w:szCs w:val="22"/>
        </w:rPr>
        <w:t xml:space="preserve"> El nombre de los servidores públicos en los documentos, y sus firmas autógrafas, cuando sean utilizados en el ejercicio de las facultades conferidas para el desempeño del servicio público, y </w:t>
      </w:r>
    </w:p>
    <w:p w14:paraId="307684F1" w14:textId="77777777" w:rsidR="004E1F05" w:rsidRDefault="00AE61A6">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III.</w:t>
      </w:r>
      <w:r>
        <w:rPr>
          <w:rFonts w:ascii="Palatino Linotype" w:eastAsia="Palatino Linotype" w:hAnsi="Palatino Linotype" w:cs="Palatino Linotype"/>
          <w:i/>
          <w:color w:val="000000"/>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DD6DFB3" w14:textId="77777777" w:rsidR="004E1F05" w:rsidRDefault="00AE61A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i/>
          <w:color w:val="000000"/>
          <w:sz w:val="22"/>
          <w:szCs w:val="22"/>
        </w:rPr>
        <w:t>Lo anterior, siempre y cuando no se acredite alguna causal de clasificación, prevista en las leyes o en los tratados internaciones suscritos por el Estado mexicano. </w:t>
      </w:r>
    </w:p>
    <w:p w14:paraId="4750C12D" w14:textId="77777777" w:rsidR="004E1F05" w:rsidRDefault="00AE61A6">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Quincuagésimo octavo</w:t>
      </w:r>
      <w:r>
        <w:rPr>
          <w:rFonts w:ascii="Palatino Linotype" w:eastAsia="Palatino Linotype" w:hAnsi="Palatino Linotype" w:cs="Palatino Linotype"/>
          <w:i/>
          <w:color w:val="000000"/>
          <w:sz w:val="22"/>
          <w:szCs w:val="22"/>
        </w:rPr>
        <w:t>. Los sujetos obligados garantizarán que los sistemas o medios empleados para eliminar la información en las versiones públicas no permitan la recuperación o visualización de la misma.”</w:t>
      </w:r>
    </w:p>
    <w:p w14:paraId="000FAB73"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43114EB"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En relación directa con ello, los Lineamientos en estudio establecen los formatos para la clasificación parcial y total de los documentos, que atienden a lo siguiente:</w:t>
      </w:r>
    </w:p>
    <w:tbl>
      <w:tblPr>
        <w:tblStyle w:val="a9"/>
        <w:tblW w:w="8828" w:type="dxa"/>
        <w:tblInd w:w="0" w:type="dxa"/>
        <w:tblLayout w:type="fixed"/>
        <w:tblLook w:val="0400" w:firstRow="0" w:lastRow="0" w:firstColumn="0" w:lastColumn="0" w:noHBand="0" w:noVBand="1"/>
      </w:tblPr>
      <w:tblGrid>
        <w:gridCol w:w="1241"/>
        <w:gridCol w:w="3414"/>
        <w:gridCol w:w="1369"/>
        <w:gridCol w:w="2804"/>
      </w:tblGrid>
      <w:tr w:rsidR="004E1F05" w14:paraId="616E353F" w14:textId="77777777">
        <w:tc>
          <w:tcPr>
            <w:tcW w:w="4655"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FC79C7" w14:textId="77777777" w:rsidR="004E1F05" w:rsidRDefault="00AE61A6">
            <w:pPr>
              <w:pBdr>
                <w:top w:val="nil"/>
                <w:left w:val="nil"/>
                <w:bottom w:val="nil"/>
                <w:right w:val="nil"/>
                <w:between w:val="nil"/>
              </w:pBdr>
              <w:jc w:val="center"/>
              <w:rPr>
                <w:color w:val="000000"/>
              </w:rPr>
            </w:pPr>
            <w:r>
              <w:rPr>
                <w:rFonts w:ascii="Palatino Linotype" w:eastAsia="Palatino Linotype" w:hAnsi="Palatino Linotype" w:cs="Palatino Linotype"/>
                <w:color w:val="000000"/>
                <w:sz w:val="12"/>
                <w:szCs w:val="12"/>
              </w:rPr>
              <w:t>Parcial</w:t>
            </w:r>
          </w:p>
        </w:tc>
        <w:tc>
          <w:tcPr>
            <w:tcW w:w="4173"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D898E5" w14:textId="77777777" w:rsidR="004E1F05" w:rsidRDefault="00AE61A6">
            <w:pPr>
              <w:pBdr>
                <w:top w:val="nil"/>
                <w:left w:val="nil"/>
                <w:bottom w:val="nil"/>
                <w:right w:val="nil"/>
                <w:between w:val="nil"/>
              </w:pBdr>
              <w:jc w:val="center"/>
              <w:rPr>
                <w:color w:val="000000"/>
              </w:rPr>
            </w:pPr>
            <w:r>
              <w:rPr>
                <w:rFonts w:ascii="Palatino Linotype" w:eastAsia="Palatino Linotype" w:hAnsi="Palatino Linotype" w:cs="Palatino Linotype"/>
                <w:color w:val="000000"/>
                <w:sz w:val="12"/>
                <w:szCs w:val="12"/>
              </w:rPr>
              <w:t>Total</w:t>
            </w:r>
          </w:p>
        </w:tc>
      </w:tr>
      <w:tr w:rsidR="004E1F05" w14:paraId="2CA5D394"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FDAA98" w14:textId="77777777" w:rsidR="004E1F05" w:rsidRDefault="00AE61A6">
            <w:pPr>
              <w:pBdr>
                <w:top w:val="nil"/>
                <w:left w:val="nil"/>
                <w:bottom w:val="nil"/>
                <w:right w:val="nil"/>
                <w:between w:val="nil"/>
              </w:pBdr>
              <w:jc w:val="center"/>
              <w:rPr>
                <w:color w:val="000000"/>
              </w:rPr>
            </w:pPr>
            <w:r>
              <w:rPr>
                <w:rFonts w:ascii="Palatino Linotype" w:eastAsia="Palatino Linotype" w:hAnsi="Palatino Linotype" w:cs="Palatino Linotype"/>
                <w:color w:val="000000"/>
                <w:sz w:val="12"/>
                <w:szCs w:val="12"/>
              </w:rPr>
              <w:lastRenderedPageBreak/>
              <w:t>Concepto</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867AF6" w14:textId="77777777" w:rsidR="004E1F05" w:rsidRDefault="00AE61A6">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Dónde</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27FEDE" w14:textId="77777777" w:rsidR="004E1F05" w:rsidRDefault="00AE61A6">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Concepto</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6959C5" w14:textId="77777777" w:rsidR="004E1F05" w:rsidRDefault="00AE61A6">
            <w:pPr>
              <w:pBdr>
                <w:top w:val="nil"/>
                <w:left w:val="nil"/>
                <w:bottom w:val="nil"/>
                <w:right w:val="nil"/>
                <w:between w:val="nil"/>
              </w:pBdr>
              <w:jc w:val="center"/>
              <w:rPr>
                <w:color w:val="000000"/>
              </w:rPr>
            </w:pPr>
            <w:r>
              <w:rPr>
                <w:rFonts w:ascii="Palatino Linotype" w:eastAsia="Palatino Linotype" w:hAnsi="Palatino Linotype" w:cs="Palatino Linotype"/>
                <w:b/>
                <w:color w:val="000000"/>
                <w:sz w:val="12"/>
                <w:szCs w:val="12"/>
              </w:rPr>
              <w:t>Dónde</w:t>
            </w:r>
          </w:p>
        </w:tc>
      </w:tr>
      <w:tr w:rsidR="004E1F05" w14:paraId="0E240D0D" w14:textId="77777777">
        <w:tc>
          <w:tcPr>
            <w:tcW w:w="8828"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B295A7" w14:textId="77777777" w:rsidR="004E1F05" w:rsidRDefault="00AE61A6">
            <w:pPr>
              <w:pBdr>
                <w:top w:val="nil"/>
                <w:left w:val="nil"/>
                <w:bottom w:val="nil"/>
                <w:right w:val="nil"/>
                <w:between w:val="nil"/>
              </w:pBdr>
              <w:jc w:val="center"/>
              <w:rPr>
                <w:color w:val="000000"/>
              </w:rPr>
            </w:pPr>
            <w:r>
              <w:rPr>
                <w:rFonts w:ascii="Palatino Linotype" w:eastAsia="Palatino Linotype" w:hAnsi="Palatino Linotype" w:cs="Palatino Linotype"/>
                <w:color w:val="000000"/>
                <w:sz w:val="12"/>
                <w:szCs w:val="12"/>
              </w:rPr>
              <w:t>Sello oficial o logotipo del sujeto obligado</w:t>
            </w:r>
          </w:p>
        </w:tc>
      </w:tr>
      <w:tr w:rsidR="004E1F05" w14:paraId="024DE979"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15560F"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Fecha de clasificación</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9348FB"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37C41"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clasificación</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A2B6DC"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la que el Comité de Transparencia confirmó la clasificación del documento, en su caso.</w:t>
            </w:r>
          </w:p>
        </w:tc>
      </w:tr>
      <w:tr w:rsidR="004E1F05" w14:paraId="2B1E383B"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026861"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Área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6B052B"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área del cual es titular quien clasifica.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2085F"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Área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F82131"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área de la cual es el titular quien clasifica.</w:t>
            </w:r>
          </w:p>
        </w:tc>
      </w:tr>
      <w:tr w:rsidR="004E1F05" w14:paraId="7D2706DB"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600AB2"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Información reservada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8731A6"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885EC3"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Reservado</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A80DD2"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Leyenda de información RESERVADA.</w:t>
            </w:r>
          </w:p>
        </w:tc>
      </w:tr>
      <w:tr w:rsidR="004E1F05" w14:paraId="3CA2E917"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EEA08"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Fundamento legal</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A51317"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reserva.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DA3F8F"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Periodo de reserva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52180"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el número de años o meses por los que se mantendrá el documento o las partes del mismo como reservado. Si el expediente no es reservado, sino confidencial, deberá tacharse este apartado.</w:t>
            </w:r>
          </w:p>
        </w:tc>
      </w:tr>
      <w:tr w:rsidR="004E1F05" w14:paraId="51BD42D2"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D4FD08"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Ampliación del periodo de reserva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FC0868"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DB31DC"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14819C"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sustenta la reserva.</w:t>
            </w:r>
          </w:p>
        </w:tc>
      </w:tr>
      <w:tr w:rsidR="004E1F05" w14:paraId="1EFE6367"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B94F20"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Confidencial</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1D5A7D"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53B69"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Ampliación del periodo de reserva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65085B"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En caso de haber solicitado la ampliación del periodo de reserva originalmente establecido, se deberá anotar el número de años o meses por los que se amplía la reserva.</w:t>
            </w:r>
          </w:p>
        </w:tc>
      </w:tr>
      <w:tr w:rsidR="004E1F05" w14:paraId="334F0BCE"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381FD1"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Fundamento legal</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94DA6"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ordenamiento, el o los artículos, fracción(es), párrafo(s) con base en los cuales se sustente la confidencialidad.</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94A009"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Confidencial</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CC6517"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Leyenda de información CONFIDENCIAL.</w:t>
            </w:r>
          </w:p>
        </w:tc>
      </w:tr>
      <w:tr w:rsidR="004E1F05" w14:paraId="4F4E0B0D"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84BF9D"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del titular del área</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7EBCF"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clasifica.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DE551E"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Fundamento legal</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742F79"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señalará el nombre del o de los ordenamientos jurídicos, el o los artículos, fracción(es), párrafo(s) con base en los cuales se sustente la confidencialidad.</w:t>
            </w:r>
          </w:p>
        </w:tc>
      </w:tr>
      <w:tr w:rsidR="004E1F05" w14:paraId="54378F14"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AC040"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Fecha de desclasificación</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7E1883"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que se desclasifica el documento.</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7F3B72"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del titular del área</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18746E"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clasifica.</w:t>
            </w:r>
          </w:p>
        </w:tc>
      </w:tr>
      <w:tr w:rsidR="004E1F05" w14:paraId="2838E71D"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78DA6A"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y cargo del servidor público</w:t>
            </w:r>
          </w:p>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6000C8"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desclasifica.</w:t>
            </w:r>
          </w:p>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0ABE43"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Fecha de desclasificación</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3206B9"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Se anotará la fecha en que se desclasifica.</w:t>
            </w:r>
          </w:p>
        </w:tc>
      </w:tr>
      <w:tr w:rsidR="004E1F05" w14:paraId="34C04196"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06F956" w14:textId="77777777" w:rsidR="004E1F05" w:rsidRDefault="004E1F05"/>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981BC0" w14:textId="77777777" w:rsidR="004E1F05" w:rsidRDefault="004E1F05"/>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6D87D7"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Partes o secciones reservadas o confidenciales</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011CF2"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En caso que una vez desclasificado el expediente, subsistanpartes o secciones del mismo reservadas o confidenciales, se señalará este hecho.</w:t>
            </w:r>
          </w:p>
        </w:tc>
      </w:tr>
      <w:tr w:rsidR="004E1F05" w14:paraId="382D7BE1" w14:textId="77777777">
        <w:tc>
          <w:tcPr>
            <w:tcW w:w="12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A0F0E2" w14:textId="77777777" w:rsidR="004E1F05" w:rsidRDefault="004E1F05"/>
        </w:tc>
        <w:tc>
          <w:tcPr>
            <w:tcW w:w="34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45DC54" w14:textId="77777777" w:rsidR="004E1F05" w:rsidRDefault="004E1F05"/>
        </w:tc>
        <w:tc>
          <w:tcPr>
            <w:tcW w:w="136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224E46"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b/>
                <w:color w:val="000000"/>
                <w:sz w:val="12"/>
                <w:szCs w:val="12"/>
              </w:rPr>
              <w:t>Rúbrica y cargo del servidor público</w:t>
            </w:r>
          </w:p>
        </w:tc>
        <w:tc>
          <w:tcPr>
            <w:tcW w:w="28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21790B" w14:textId="77777777" w:rsidR="004E1F05" w:rsidRDefault="00AE61A6">
            <w:pPr>
              <w:pBdr>
                <w:top w:val="nil"/>
                <w:left w:val="nil"/>
                <w:bottom w:val="nil"/>
                <w:right w:val="nil"/>
                <w:between w:val="nil"/>
              </w:pBdr>
              <w:jc w:val="both"/>
              <w:rPr>
                <w:color w:val="000000"/>
              </w:rPr>
            </w:pPr>
            <w:r>
              <w:rPr>
                <w:rFonts w:ascii="Palatino Linotype" w:eastAsia="Palatino Linotype" w:hAnsi="Palatino Linotype" w:cs="Palatino Linotype"/>
                <w:color w:val="000000"/>
                <w:sz w:val="12"/>
                <w:szCs w:val="12"/>
              </w:rPr>
              <w:t>Rúbrica autógrafa de quien desclasifica.</w:t>
            </w:r>
          </w:p>
        </w:tc>
      </w:tr>
    </w:tbl>
    <w:p w14:paraId="43F63B55" w14:textId="77777777" w:rsidR="004E1F05" w:rsidRDefault="00AE61A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mérito de lo expuesto en líneas anteriores, resultan parcialmente fundadas las razones o motivos de inconformidad hechos valer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08024/INFOEM/IP/RR/2022</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 xml:space="preserve">SUJETO OBLIGADO. </w:t>
      </w:r>
    </w:p>
    <w:p w14:paraId="584F087D" w14:textId="77777777" w:rsidR="004E1F05" w:rsidRDefault="00AE61A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trigésimo, trigésimo primero y trigésimo segundo fracciones IV y V de la Constitución Política del Estado </w:t>
      </w:r>
      <w:r>
        <w:rPr>
          <w:rFonts w:ascii="Palatino Linotype" w:eastAsia="Palatino Linotype" w:hAnsi="Palatino Linotype" w:cs="Palatino Linotype"/>
        </w:rPr>
        <w:lastRenderedPageBreak/>
        <w:t>Libre y Soberano de México; 2, fracción II; 29, 36 fracciones I y II; 176, 178, 181, 185, fracción I, 186 y 188 de la Ley de Transparencia y Acceso a la Información Pública del Estado de México y Municipios, este Pleno:</w:t>
      </w:r>
    </w:p>
    <w:p w14:paraId="6B0590BA" w14:textId="77777777" w:rsidR="004E1F05" w:rsidRDefault="00AE61A6">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4F8E304C"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Primero. </w:t>
      </w:r>
      <w:r>
        <w:rPr>
          <w:rFonts w:ascii="Palatino Linotype" w:eastAsia="Palatino Linotype" w:hAnsi="Palatino Linotype" w:cs="Palatino Linotype"/>
          <w:color w:val="000000"/>
        </w:rPr>
        <w:t>Resultan</w:t>
      </w:r>
      <w:r>
        <w:rPr>
          <w:rFonts w:ascii="Palatino Linotype" w:eastAsia="Palatino Linotype" w:hAnsi="Palatino Linotype" w:cs="Palatino Linotype"/>
          <w:b/>
          <w:color w:val="000000"/>
        </w:rPr>
        <w:t xml:space="preserve">  parcialmente fundados</w:t>
      </w:r>
      <w:r>
        <w:rPr>
          <w:rFonts w:ascii="Palatino Linotype" w:eastAsia="Palatino Linotype" w:hAnsi="Palatino Linotype" w:cs="Palatino Linotype"/>
          <w:color w:val="000000"/>
        </w:rPr>
        <w:t xml:space="preserve"> los motivos de inconformidad hechos valer por la parte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en el recurso de revisión </w:t>
      </w:r>
      <w:r>
        <w:rPr>
          <w:rFonts w:ascii="Palatino Linotype" w:eastAsia="Palatino Linotype" w:hAnsi="Palatino Linotype" w:cs="Palatino Linotype"/>
          <w:b/>
          <w:color w:val="000000"/>
        </w:rPr>
        <w:t xml:space="preserve">08024/INFOEM/IP/RR/2022, </w:t>
      </w:r>
      <w:r>
        <w:rPr>
          <w:rFonts w:ascii="Palatino Linotype" w:eastAsia="Palatino Linotype" w:hAnsi="Palatino Linotype" w:cs="Palatino Linotype"/>
          <w:color w:val="000000"/>
        </w:rPr>
        <w:t xml:space="preserve">por lo que, en términos del Considerando </w:t>
      </w:r>
      <w:r>
        <w:rPr>
          <w:rFonts w:ascii="Palatino Linotype" w:eastAsia="Palatino Linotype" w:hAnsi="Palatino Linotype" w:cs="Palatino Linotype"/>
          <w:b/>
          <w:color w:val="000000"/>
        </w:rPr>
        <w:t>Cuarto</w:t>
      </w:r>
      <w:r>
        <w:rPr>
          <w:rFonts w:ascii="Palatino Linotype" w:eastAsia="Palatino Linotype" w:hAnsi="Palatino Linotype" w:cs="Palatino Linotype"/>
          <w:color w:val="000000"/>
        </w:rPr>
        <w:t xml:space="preserve"> de la presente resolución, se</w:t>
      </w:r>
      <w:r>
        <w:rPr>
          <w:rFonts w:ascii="Palatino Linotype" w:eastAsia="Palatino Linotype" w:hAnsi="Palatino Linotype" w:cs="Palatino Linotype"/>
          <w:b/>
          <w:color w:val="000000"/>
        </w:rPr>
        <w:t xml:space="preserve"> Modifica </w:t>
      </w:r>
      <w:r>
        <w:rPr>
          <w:rFonts w:ascii="Palatino Linotype" w:eastAsia="Palatino Linotype" w:hAnsi="Palatino Linotype" w:cs="Palatino Linotype"/>
          <w:color w:val="000000"/>
        </w:rPr>
        <w:t>la respuesta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del </w:t>
      </w:r>
      <w:r>
        <w:rPr>
          <w:rFonts w:ascii="Palatino Linotype" w:eastAsia="Palatino Linotype" w:hAnsi="Palatino Linotype" w:cs="Palatino Linotype"/>
          <w:b/>
          <w:color w:val="000000"/>
        </w:rPr>
        <w:t>Sujeto Obligado.</w:t>
      </w:r>
    </w:p>
    <w:p w14:paraId="1CDFAFD9"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color w:val="000000"/>
        </w:rPr>
        <w:t>Ordena</w:t>
      </w:r>
      <w:r>
        <w:rPr>
          <w:rFonts w:ascii="Palatino Linotype" w:eastAsia="Palatino Linotype" w:hAnsi="Palatino Linotype" w:cs="Palatino Linotype"/>
          <w:color w:val="000000"/>
        </w:rPr>
        <w:t xml:space="preserve">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términos de los Considerandos </w:t>
      </w:r>
      <w:r>
        <w:rPr>
          <w:rFonts w:ascii="Palatino Linotype" w:eastAsia="Palatino Linotype" w:hAnsi="Palatino Linotype" w:cs="Palatino Linotype"/>
          <w:b/>
          <w:color w:val="000000"/>
        </w:rPr>
        <w:t xml:space="preserve">Cuarto y Quinto </w:t>
      </w:r>
      <w:r>
        <w:rPr>
          <w:rFonts w:ascii="Palatino Linotype" w:eastAsia="Palatino Linotype" w:hAnsi="Palatino Linotype" w:cs="Palatino Linotype"/>
          <w:color w:val="000000"/>
        </w:rPr>
        <w:t>de esta resolución, haga entrega vía SAIMEX, en su caso en versión pública, de  lo siguiente:</w:t>
      </w:r>
    </w:p>
    <w:p w14:paraId="4C69E24F" w14:textId="77777777" w:rsidR="004E1F05" w:rsidRDefault="00AE61A6">
      <w:pPr>
        <w:numPr>
          <w:ilvl w:val="0"/>
          <w:numId w:val="4"/>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Acta complet</w:t>
      </w:r>
      <w:r>
        <w:rPr>
          <w:rFonts w:ascii="Palatino Linotype" w:eastAsia="Palatino Linotype" w:hAnsi="Palatino Linotype" w:cs="Palatino Linotype"/>
        </w:rPr>
        <w:t xml:space="preserve">a </w:t>
      </w:r>
      <w:r>
        <w:rPr>
          <w:rFonts w:ascii="Palatino Linotype" w:eastAsia="Palatino Linotype" w:hAnsi="Palatino Linotype" w:cs="Palatino Linotype"/>
          <w:color w:val="000000"/>
        </w:rPr>
        <w:t>de la Vigésima Tercera Sesión de Cabildo, de fecha tres de julio de dos mil veinte</w:t>
      </w:r>
      <w:r>
        <w:rPr>
          <w:rFonts w:ascii="Palatino Linotype" w:eastAsia="Palatino Linotype" w:hAnsi="Palatino Linotype" w:cs="Palatino Linotype"/>
        </w:rPr>
        <w:t xml:space="preserve">, acompañada en su caso de los anexos correspondientes. </w:t>
      </w:r>
    </w:p>
    <w:p w14:paraId="151BDFAC" w14:textId="77777777" w:rsidR="004E1F05" w:rsidRDefault="00AE61A6">
      <w:pPr>
        <w:pBdr>
          <w:top w:val="nil"/>
          <w:left w:val="nil"/>
          <w:bottom w:val="nil"/>
          <w:right w:val="nil"/>
          <w:between w:val="nil"/>
        </w:pBdr>
        <w:spacing w:before="240" w:after="240"/>
        <w:ind w:left="720" w:right="709"/>
        <w:jc w:val="both"/>
      </w:pPr>
      <w:r>
        <w:rPr>
          <w:rFonts w:ascii="Palatino Linotype" w:eastAsia="Palatino Linotype" w:hAnsi="Palatino Linotype" w:cs="Palatino Linotype"/>
          <w:i/>
          <w:color w:val="000000"/>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69607D55" w14:textId="77777777" w:rsidR="004E1F05" w:rsidRDefault="00AE61A6">
      <w:pPr>
        <w:pBdr>
          <w:top w:val="nil"/>
          <w:left w:val="nil"/>
          <w:bottom w:val="nil"/>
          <w:right w:val="nil"/>
          <w:between w:val="nil"/>
        </w:pBdr>
        <w:spacing w:before="240" w:after="240"/>
        <w:ind w:left="720" w:right="709"/>
        <w:jc w:val="both"/>
        <w:rPr>
          <w:i/>
        </w:rPr>
      </w:pPr>
      <w:r>
        <w:rPr>
          <w:i/>
        </w:rPr>
        <w:t>Para el caso en el que no cuente con anexos el acta que se ordena entregar, por no actualizar el supuesto, bastará con que lo haga del conocimiento de la parte Recurrente en términos del segundo párrafo del artículo 19 de la Ley de Transparencia y Acceso a la Información Pública del Estado de México y Municipios.</w:t>
      </w:r>
    </w:p>
    <w:p w14:paraId="35B51A65" w14:textId="77777777" w:rsidR="004E1F05" w:rsidRDefault="004E1F05">
      <w:pPr>
        <w:pBdr>
          <w:top w:val="nil"/>
          <w:left w:val="nil"/>
          <w:bottom w:val="nil"/>
          <w:right w:val="nil"/>
          <w:between w:val="nil"/>
        </w:pBdr>
        <w:spacing w:before="240" w:after="240"/>
        <w:ind w:left="720" w:right="709"/>
        <w:jc w:val="both"/>
      </w:pPr>
    </w:p>
    <w:p w14:paraId="7FC25979"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lastRenderedPageBreak/>
        <w:t xml:space="preserve">Tercero. Notifíquese, </w:t>
      </w:r>
      <w:r>
        <w:rPr>
          <w:rFonts w:ascii="Palatino Linotype" w:eastAsia="Palatino Linotype" w:hAnsi="Palatino Linotype" w:cs="Palatino Linotype"/>
          <w:color w:val="000000"/>
        </w:rPr>
        <w:t>vía</w:t>
      </w:r>
      <w:r>
        <w:rPr>
          <w:rFonts w:ascii="Palatino Linotype" w:eastAsia="Palatino Linotype" w:hAnsi="Palatino Linotype" w:cs="Palatino Linotype"/>
          <w:b/>
          <w:color w:val="000000"/>
        </w:rPr>
        <w:t xml:space="preserve"> SAIMEX, </w:t>
      </w:r>
      <w:r>
        <w:rPr>
          <w:rFonts w:ascii="Palatino Linotype" w:eastAsia="Palatino Linotype" w:hAnsi="Palatino Linotype" w:cs="Palatino Linotype"/>
          <w:color w:val="000000"/>
        </w:rPr>
        <w:t xml:space="preserve">al Titular de la Unidad de Transparencia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color w:val="000000"/>
        </w:rPr>
        <w:t>.</w:t>
      </w:r>
    </w:p>
    <w:p w14:paraId="5DEF6D6B"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45458274" w14:textId="77777777" w:rsidR="004E1F05" w:rsidRDefault="00AE61A6">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 xml:space="preserve">Cuarto.  Notifíquese, </w:t>
      </w:r>
      <w:r>
        <w:rPr>
          <w:rFonts w:ascii="Palatino Linotype" w:eastAsia="Palatino Linotype" w:hAnsi="Palatino Linotype" w:cs="Palatino Linotype"/>
          <w:color w:val="000000"/>
        </w:rPr>
        <w:t xml:space="preserve">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w:t>
      </w:r>
      <w:bookmarkStart w:id="5" w:name="_GoBack"/>
      <w:bookmarkEnd w:id="5"/>
      <w:r>
        <w:rPr>
          <w:rFonts w:ascii="Palatino Linotype" w:eastAsia="Palatino Linotype" w:hAnsi="Palatino Linotype" w:cs="Palatino Linotype"/>
          <w:color w:val="000000"/>
        </w:rPr>
        <w:t xml:space="preserve"> vía Juicio de Amparo en los términos de las leyes aplicables.</w:t>
      </w:r>
    </w:p>
    <w:p w14:paraId="16AA7B27" w14:textId="77777777" w:rsidR="004E1F05" w:rsidRDefault="00AE61A6">
      <w:pPr>
        <w:spacing w:line="360" w:lineRule="auto"/>
        <w:jc w:val="both"/>
        <w:rPr>
          <w:rFonts w:ascii="Palatino Linotype" w:eastAsia="Palatino Linotype" w:hAnsi="Palatino Linotype" w:cs="Palatino Linotype"/>
        </w:rPr>
      </w:pPr>
      <w:bookmarkStart w:id="6" w:name="_heading=h.3dy6vkm" w:colFirst="0" w:colLast="0"/>
      <w:bookmarkEnd w:id="6"/>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 </w:t>
      </w:r>
      <w:r>
        <w:rPr>
          <w:rFonts w:ascii="Palatino Linotype" w:eastAsia="Palatino Linotype" w:hAnsi="Palatino Linotype" w:cs="Palatino Linotype"/>
        </w:rPr>
        <w:lastRenderedPageBreak/>
        <w:t>CELEBRADA EL CATORCE  DE SEPTIEMBRE DE DOS MIL VEINTIDÓS, ANTE EL SECRETARIO TÉCNICO DEL PLENO ALEXIS TAPIA RAMÍREZ.</w:t>
      </w:r>
    </w:p>
    <w:p w14:paraId="254346EF" w14:textId="77777777" w:rsidR="004E1F05" w:rsidRDefault="004E1F05">
      <w:pPr>
        <w:spacing w:line="360" w:lineRule="auto"/>
        <w:jc w:val="both"/>
        <w:rPr>
          <w:rFonts w:ascii="Palatino Linotype" w:eastAsia="Palatino Linotype" w:hAnsi="Palatino Linotype" w:cs="Palatino Linotype"/>
        </w:rPr>
      </w:pPr>
    </w:p>
    <w:p w14:paraId="21050868" w14:textId="6C288238" w:rsidR="004E1F05" w:rsidRDefault="004C6C10">
      <w:pPr>
        <w:rPr>
          <w:rFonts w:ascii="Palatino Linotype" w:eastAsia="Palatino Linotype" w:hAnsi="Palatino Linotype" w:cs="Palatino Linotype"/>
        </w:rPr>
      </w:pPr>
      <w:r>
        <w:rPr>
          <w:rFonts w:ascii="Palatino Linotype" w:eastAsia="Palatino Linotype" w:hAnsi="Palatino Linotype" w:cs="Palatino Linotype"/>
          <w:noProof/>
        </w:rPr>
        <mc:AlternateContent>
          <mc:Choice Requires="wps">
            <w:drawing>
              <wp:anchor distT="0" distB="0" distL="114300" distR="114300" simplePos="0" relativeHeight="251662336" behindDoc="0" locked="0" layoutInCell="1" allowOverlap="1" wp14:anchorId="69188B5D" wp14:editId="0035BDCA">
                <wp:simplePos x="0" y="0"/>
                <wp:positionH relativeFrom="margin">
                  <wp:align>right</wp:align>
                </wp:positionH>
                <wp:positionV relativeFrom="paragraph">
                  <wp:posOffset>132080</wp:posOffset>
                </wp:positionV>
                <wp:extent cx="5257800" cy="576262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5257800" cy="5762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EFD88B" id="Conector recto 1" o:spid="_x0000_s1026" style="position:absolute;z-index:251662336;visibility:visible;mso-wrap-style:square;mso-wrap-distance-left:9pt;mso-wrap-distance-top:0;mso-wrap-distance-right:9pt;mso-wrap-distance-bottom:0;mso-position-horizontal:right;mso-position-horizontal-relative:margin;mso-position-vertical:absolute;mso-position-vertical-relative:text" from="362.8pt,10.4pt" to="776.8pt,4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" strokecolor="black [3040]">
                <w10:wrap anchorx="margin"/>
              </v:line>
            </w:pict>
          </mc:Fallback>
        </mc:AlternateContent>
      </w:r>
    </w:p>
    <w:p w14:paraId="59203F7E" w14:textId="77777777" w:rsidR="004E1F05" w:rsidRDefault="004E1F05">
      <w:pPr>
        <w:spacing w:line="360" w:lineRule="auto"/>
        <w:jc w:val="both"/>
        <w:rPr>
          <w:rFonts w:ascii="Palatino Linotype" w:eastAsia="Palatino Linotype" w:hAnsi="Palatino Linotype" w:cs="Palatino Linotype"/>
        </w:rPr>
      </w:pPr>
    </w:p>
    <w:p w14:paraId="4530AA14" w14:textId="77777777" w:rsidR="004E1F05" w:rsidRDefault="004E1F05">
      <w:pPr>
        <w:spacing w:line="360" w:lineRule="auto"/>
        <w:jc w:val="both"/>
        <w:rPr>
          <w:rFonts w:ascii="Palatino Linotype" w:eastAsia="Palatino Linotype" w:hAnsi="Palatino Linotype" w:cs="Palatino Linotype"/>
        </w:rPr>
      </w:pPr>
    </w:p>
    <w:p w14:paraId="76F98AEB" w14:textId="77777777" w:rsidR="004E1F05" w:rsidRDefault="004E1F05">
      <w:pPr>
        <w:spacing w:line="360" w:lineRule="auto"/>
        <w:jc w:val="both"/>
        <w:rPr>
          <w:rFonts w:ascii="Palatino Linotype" w:eastAsia="Palatino Linotype" w:hAnsi="Palatino Linotype" w:cs="Palatino Linotype"/>
        </w:rPr>
      </w:pPr>
    </w:p>
    <w:p w14:paraId="5E53486A" w14:textId="77777777" w:rsidR="004E1F05" w:rsidRDefault="004E1F05">
      <w:pPr>
        <w:spacing w:line="360" w:lineRule="auto"/>
        <w:jc w:val="both"/>
        <w:rPr>
          <w:rFonts w:ascii="Palatino Linotype" w:eastAsia="Palatino Linotype" w:hAnsi="Palatino Linotype" w:cs="Palatino Linotype"/>
        </w:rPr>
      </w:pPr>
    </w:p>
    <w:p w14:paraId="3C0DEBD7" w14:textId="77777777" w:rsidR="004E1F05" w:rsidRDefault="004E1F05">
      <w:pPr>
        <w:spacing w:line="360" w:lineRule="auto"/>
        <w:jc w:val="both"/>
        <w:rPr>
          <w:rFonts w:ascii="Palatino Linotype" w:eastAsia="Palatino Linotype" w:hAnsi="Palatino Linotype" w:cs="Palatino Linotype"/>
        </w:rPr>
      </w:pPr>
    </w:p>
    <w:p w14:paraId="7D1D6F11" w14:textId="77777777" w:rsidR="004E1F05" w:rsidRDefault="004E1F05">
      <w:pPr>
        <w:spacing w:line="360" w:lineRule="auto"/>
        <w:jc w:val="both"/>
        <w:rPr>
          <w:rFonts w:ascii="Palatino Linotype" w:eastAsia="Palatino Linotype" w:hAnsi="Palatino Linotype" w:cs="Palatino Linotype"/>
        </w:rPr>
      </w:pPr>
    </w:p>
    <w:p w14:paraId="6D3AE8D1" w14:textId="77777777" w:rsidR="004E1F05" w:rsidRDefault="004E1F05">
      <w:pPr>
        <w:spacing w:line="360" w:lineRule="auto"/>
        <w:jc w:val="both"/>
        <w:rPr>
          <w:rFonts w:ascii="Palatino Linotype" w:eastAsia="Palatino Linotype" w:hAnsi="Palatino Linotype" w:cs="Palatino Linotype"/>
        </w:rPr>
      </w:pPr>
    </w:p>
    <w:p w14:paraId="08028DB2" w14:textId="77777777" w:rsidR="004E1F05" w:rsidRDefault="004E1F05">
      <w:pPr>
        <w:spacing w:line="360" w:lineRule="auto"/>
        <w:jc w:val="both"/>
        <w:rPr>
          <w:rFonts w:ascii="Palatino Linotype" w:eastAsia="Palatino Linotype" w:hAnsi="Palatino Linotype" w:cs="Palatino Linotype"/>
        </w:rPr>
      </w:pPr>
    </w:p>
    <w:p w14:paraId="65028B34" w14:textId="77777777" w:rsidR="004E1F05" w:rsidRDefault="004E1F05">
      <w:pPr>
        <w:spacing w:line="360" w:lineRule="auto"/>
        <w:jc w:val="both"/>
        <w:rPr>
          <w:rFonts w:ascii="Palatino Linotype" w:eastAsia="Palatino Linotype" w:hAnsi="Palatino Linotype" w:cs="Palatino Linotype"/>
        </w:rPr>
      </w:pPr>
    </w:p>
    <w:p w14:paraId="2DA323CE" w14:textId="77777777" w:rsidR="004E1F05" w:rsidRDefault="004E1F05">
      <w:pPr>
        <w:spacing w:line="360" w:lineRule="auto"/>
        <w:jc w:val="both"/>
        <w:rPr>
          <w:rFonts w:ascii="Palatino Linotype" w:eastAsia="Palatino Linotype" w:hAnsi="Palatino Linotype" w:cs="Palatino Linotype"/>
        </w:rPr>
      </w:pPr>
    </w:p>
    <w:p w14:paraId="66A16E79" w14:textId="77777777" w:rsidR="004E1F05" w:rsidRDefault="004E1F05">
      <w:pPr>
        <w:spacing w:line="360" w:lineRule="auto"/>
        <w:jc w:val="both"/>
        <w:rPr>
          <w:rFonts w:ascii="Palatino Linotype" w:eastAsia="Palatino Linotype" w:hAnsi="Palatino Linotype" w:cs="Palatino Linotype"/>
        </w:rPr>
      </w:pPr>
    </w:p>
    <w:p w14:paraId="5A181396" w14:textId="77777777" w:rsidR="004E1F05" w:rsidRDefault="004E1F05">
      <w:pPr>
        <w:spacing w:line="360" w:lineRule="auto"/>
        <w:jc w:val="both"/>
        <w:rPr>
          <w:rFonts w:ascii="Palatino Linotype" w:eastAsia="Palatino Linotype" w:hAnsi="Palatino Linotype" w:cs="Palatino Linotype"/>
        </w:rPr>
      </w:pPr>
    </w:p>
    <w:p w14:paraId="68B45674" w14:textId="77777777" w:rsidR="004E1F05" w:rsidRDefault="004E1F05">
      <w:pPr>
        <w:spacing w:line="360" w:lineRule="auto"/>
        <w:jc w:val="both"/>
        <w:rPr>
          <w:rFonts w:ascii="Palatino Linotype" w:eastAsia="Palatino Linotype" w:hAnsi="Palatino Linotype" w:cs="Palatino Linotype"/>
        </w:rPr>
      </w:pPr>
    </w:p>
    <w:p w14:paraId="69658EBC" w14:textId="77777777" w:rsidR="004E1F05" w:rsidRDefault="004E1F05">
      <w:pPr>
        <w:spacing w:line="360" w:lineRule="auto"/>
        <w:jc w:val="both"/>
        <w:rPr>
          <w:rFonts w:ascii="Palatino Linotype" w:eastAsia="Palatino Linotype" w:hAnsi="Palatino Linotype" w:cs="Palatino Linotype"/>
        </w:rPr>
      </w:pPr>
    </w:p>
    <w:p w14:paraId="7821A007" w14:textId="77777777" w:rsidR="004E1F05" w:rsidRDefault="004E1F05">
      <w:pPr>
        <w:spacing w:line="360" w:lineRule="auto"/>
        <w:jc w:val="both"/>
        <w:rPr>
          <w:rFonts w:ascii="Palatino Linotype" w:eastAsia="Palatino Linotype" w:hAnsi="Palatino Linotype" w:cs="Palatino Linotype"/>
        </w:rPr>
      </w:pPr>
    </w:p>
    <w:p w14:paraId="3D0535AA" w14:textId="77777777" w:rsidR="004E1F05" w:rsidRDefault="004E1F05">
      <w:pPr>
        <w:spacing w:line="360" w:lineRule="auto"/>
        <w:jc w:val="both"/>
        <w:rPr>
          <w:rFonts w:ascii="Palatino Linotype" w:eastAsia="Palatino Linotype" w:hAnsi="Palatino Linotype" w:cs="Palatino Linotype"/>
        </w:rPr>
      </w:pPr>
    </w:p>
    <w:p w14:paraId="0BE87DD2" w14:textId="77777777" w:rsidR="004E1F05" w:rsidRDefault="004E1F05">
      <w:pPr>
        <w:spacing w:line="360" w:lineRule="auto"/>
        <w:jc w:val="both"/>
        <w:rPr>
          <w:rFonts w:ascii="Palatino Linotype" w:eastAsia="Palatino Linotype" w:hAnsi="Palatino Linotype" w:cs="Palatino Linotype"/>
        </w:rPr>
      </w:pPr>
    </w:p>
    <w:p w14:paraId="712FAA91" w14:textId="77777777" w:rsidR="004E1F05" w:rsidRDefault="004E1F05">
      <w:pPr>
        <w:spacing w:line="360" w:lineRule="auto"/>
        <w:jc w:val="both"/>
        <w:rPr>
          <w:rFonts w:ascii="Palatino Linotype" w:eastAsia="Palatino Linotype" w:hAnsi="Palatino Linotype" w:cs="Palatino Linotype"/>
        </w:rPr>
      </w:pPr>
    </w:p>
    <w:p w14:paraId="4CAF6F3E" w14:textId="77777777" w:rsidR="004E1F05" w:rsidRDefault="004E1F05">
      <w:pPr>
        <w:spacing w:line="360" w:lineRule="auto"/>
        <w:jc w:val="both"/>
        <w:rPr>
          <w:rFonts w:ascii="Palatino Linotype" w:eastAsia="Palatino Linotype" w:hAnsi="Palatino Linotype" w:cs="Palatino Linotype"/>
        </w:rPr>
      </w:pPr>
    </w:p>
    <w:p w14:paraId="014B6D07" w14:textId="77777777" w:rsidR="004E1F05" w:rsidRDefault="004E1F05">
      <w:pPr>
        <w:spacing w:line="360" w:lineRule="auto"/>
        <w:jc w:val="both"/>
        <w:rPr>
          <w:rFonts w:ascii="Palatino Linotype" w:eastAsia="Palatino Linotype" w:hAnsi="Palatino Linotype" w:cs="Palatino Linotype"/>
        </w:rPr>
      </w:pPr>
    </w:p>
    <w:p w14:paraId="45A24E4E" w14:textId="77777777" w:rsidR="004E1F05" w:rsidRDefault="004E1F05">
      <w:pPr>
        <w:spacing w:line="360" w:lineRule="auto"/>
        <w:jc w:val="both"/>
        <w:rPr>
          <w:rFonts w:ascii="Palatino Linotype" w:eastAsia="Palatino Linotype" w:hAnsi="Palatino Linotype" w:cs="Palatino Linotype"/>
        </w:rPr>
      </w:pPr>
    </w:p>
    <w:sectPr w:rsidR="004E1F05">
      <w:headerReference w:type="default" r:id="rId18"/>
      <w:footerReference w:type="default" r:id="rId19"/>
      <w:headerReference w:type="first" r:id="rId20"/>
      <w:footerReference w:type="first" r:id="rId2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29337F" w14:textId="77777777" w:rsidR="00AE61A6" w:rsidRDefault="00AE61A6">
      <w:r>
        <w:separator/>
      </w:r>
    </w:p>
  </w:endnote>
  <w:endnote w:type="continuationSeparator" w:id="0">
    <w:p w14:paraId="303F54C7" w14:textId="77777777" w:rsidR="00AE61A6" w:rsidRDefault="00AE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1DB2D" w14:textId="77777777" w:rsidR="004E1F05" w:rsidRDefault="00AE61A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23441">
      <w:rPr>
        <w:rFonts w:ascii="Palatino Linotype" w:eastAsia="Palatino Linotype" w:hAnsi="Palatino Linotype" w:cs="Palatino Linotype"/>
        <w:b/>
        <w:noProof/>
        <w:color w:val="000000"/>
        <w:sz w:val="20"/>
        <w:szCs w:val="20"/>
      </w:rPr>
      <w:t>38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23441">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5DE240D0" w14:textId="77777777" w:rsidR="004E1F05" w:rsidRDefault="004E1F0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17E4A" w14:textId="77777777" w:rsidR="004E1F05" w:rsidRDefault="00AE61A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976A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976AA">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14:paraId="4B868AF7" w14:textId="77777777" w:rsidR="004E1F05" w:rsidRDefault="004E1F0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99AD6" w14:textId="77777777" w:rsidR="00AE61A6" w:rsidRDefault="00AE61A6">
      <w:r>
        <w:separator/>
      </w:r>
    </w:p>
  </w:footnote>
  <w:footnote w:type="continuationSeparator" w:id="0">
    <w:p w14:paraId="33EF1CF4" w14:textId="77777777" w:rsidR="00AE61A6" w:rsidRDefault="00AE61A6">
      <w:r>
        <w:continuationSeparator/>
      </w:r>
    </w:p>
  </w:footnote>
  <w:footnote w:id="1">
    <w:p w14:paraId="28881361" w14:textId="77777777" w:rsidR="004E1F05" w:rsidRDefault="00AE61A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075C3BFF" w14:textId="77777777" w:rsidR="004E1F05" w:rsidRDefault="00AE61A6">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8764B3F" w14:textId="77777777" w:rsidR="004E1F05" w:rsidRDefault="00AE61A6">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6D31B721" w14:textId="77777777" w:rsidR="004E1F05" w:rsidRDefault="00AE61A6">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6A6B8" w14:textId="77777777" w:rsidR="004E1F05" w:rsidRDefault="00AE61A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50AB2B03" wp14:editId="519DE496">
          <wp:simplePos x="0" y="0"/>
          <wp:positionH relativeFrom="column">
            <wp:posOffset>-1080130</wp:posOffset>
          </wp:positionH>
          <wp:positionV relativeFrom="paragraph">
            <wp:posOffset>-488310</wp:posOffset>
          </wp:positionV>
          <wp:extent cx="7809865" cy="10165715"/>
          <wp:effectExtent l="0" t="0" r="0" b="0"/>
          <wp:wrapNone/>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5953" w:type="dxa"/>
      <w:tblInd w:w="3261" w:type="dxa"/>
      <w:tblLayout w:type="fixed"/>
      <w:tblLook w:val="0400" w:firstRow="0" w:lastRow="0" w:firstColumn="0" w:lastColumn="0" w:noHBand="0" w:noVBand="1"/>
    </w:tblPr>
    <w:tblGrid>
      <w:gridCol w:w="2489"/>
      <w:gridCol w:w="3464"/>
    </w:tblGrid>
    <w:tr w:rsidR="004E1F05" w14:paraId="663D0FCD" w14:textId="77777777">
      <w:tc>
        <w:tcPr>
          <w:tcW w:w="2489" w:type="dxa"/>
          <w:shd w:val="clear" w:color="auto" w:fill="auto"/>
        </w:tcPr>
        <w:p w14:paraId="07B6B4D8" w14:textId="77777777" w:rsidR="004E1F05" w:rsidRDefault="00AE61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7446756" w14:textId="77777777" w:rsidR="004E1F05" w:rsidRDefault="00AE61A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08024/INFOEM/IP/RR/2022</w:t>
          </w:r>
        </w:p>
      </w:tc>
    </w:tr>
    <w:tr w:rsidR="004E1F05" w14:paraId="7568EA50" w14:textId="77777777">
      <w:trPr>
        <w:trHeight w:val="228"/>
      </w:trPr>
      <w:tc>
        <w:tcPr>
          <w:tcW w:w="2489" w:type="dxa"/>
          <w:shd w:val="clear" w:color="auto" w:fill="auto"/>
          <w:vAlign w:val="center"/>
        </w:tcPr>
        <w:p w14:paraId="4F942934" w14:textId="77777777" w:rsidR="004E1F05" w:rsidRDefault="00AE61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1FD81CB" w14:textId="77777777" w:rsidR="004E1F05" w:rsidRDefault="00AE61A6">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Tianguistenco</w:t>
          </w:r>
        </w:p>
      </w:tc>
    </w:tr>
    <w:tr w:rsidR="004E1F05" w14:paraId="2475488D" w14:textId="77777777">
      <w:tc>
        <w:tcPr>
          <w:tcW w:w="2489" w:type="dxa"/>
          <w:shd w:val="clear" w:color="auto" w:fill="auto"/>
          <w:vAlign w:val="center"/>
        </w:tcPr>
        <w:p w14:paraId="54F1E74A" w14:textId="77777777" w:rsidR="004E1F05" w:rsidRDefault="00AE61A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5F42E5C3" w14:textId="77777777" w:rsidR="004E1F05" w:rsidRDefault="00AE61A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6D137A" w14:textId="77777777" w:rsidR="004E1F05" w:rsidRDefault="00AE61A6">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8180B" w14:textId="77777777" w:rsidR="004E1F05" w:rsidRDefault="004E1F0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a"/>
      <w:tblW w:w="5670" w:type="dxa"/>
      <w:tblInd w:w="3261" w:type="dxa"/>
      <w:tblLayout w:type="fixed"/>
      <w:tblLook w:val="0400" w:firstRow="0" w:lastRow="0" w:firstColumn="0" w:lastColumn="0" w:noHBand="0" w:noVBand="1"/>
    </w:tblPr>
    <w:tblGrid>
      <w:gridCol w:w="2551"/>
      <w:gridCol w:w="3119"/>
    </w:tblGrid>
    <w:tr w:rsidR="004E1F05" w14:paraId="6E5FCCD0" w14:textId="77777777">
      <w:tc>
        <w:tcPr>
          <w:tcW w:w="2551" w:type="dxa"/>
          <w:shd w:val="clear" w:color="auto" w:fill="auto"/>
          <w:vAlign w:val="center"/>
        </w:tcPr>
        <w:p w14:paraId="3CFF0EC6" w14:textId="77777777" w:rsidR="004E1F05" w:rsidRDefault="00AE61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FE6A54A" w14:textId="77777777" w:rsidR="004E1F05" w:rsidRDefault="00AE61A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08024/INFOEM/IP/RR/2022</w:t>
          </w:r>
        </w:p>
      </w:tc>
    </w:tr>
    <w:tr w:rsidR="004E1F05" w14:paraId="05B7A397" w14:textId="77777777">
      <w:trPr>
        <w:trHeight w:val="130"/>
      </w:trPr>
      <w:tc>
        <w:tcPr>
          <w:tcW w:w="2551" w:type="dxa"/>
          <w:shd w:val="clear" w:color="auto" w:fill="auto"/>
          <w:vAlign w:val="center"/>
        </w:tcPr>
        <w:p w14:paraId="6C414BF5" w14:textId="77777777" w:rsidR="004E1F05" w:rsidRDefault="00AE61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tcPr>
        <w:p w14:paraId="200BF4B6" w14:textId="0955B59A" w:rsidR="004E1F05" w:rsidRDefault="00A976AA" w:rsidP="00A976AA">
          <w:r>
            <w:rPr>
              <w:rFonts w:ascii="Palatino Linotype" w:eastAsia="Palatino Linotype" w:hAnsi="Palatino Linotype" w:cs="Palatino Linotype"/>
              <w:b/>
              <w:sz w:val="22"/>
              <w:szCs w:val="22"/>
            </w:rPr>
            <w:t>XXXXXX</w:t>
          </w:r>
          <w:r w:rsidR="00AE61A6">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w:t>
          </w:r>
          <w:r w:rsidR="00AE61A6">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w:t>
          </w:r>
          <w:r w:rsidR="00AE61A6">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XXXXXXXX</w:t>
          </w:r>
        </w:p>
      </w:tc>
    </w:tr>
    <w:tr w:rsidR="004E1F05" w14:paraId="72031FDD" w14:textId="77777777">
      <w:trPr>
        <w:trHeight w:val="228"/>
      </w:trPr>
      <w:tc>
        <w:tcPr>
          <w:tcW w:w="2551" w:type="dxa"/>
          <w:shd w:val="clear" w:color="auto" w:fill="auto"/>
          <w:vAlign w:val="center"/>
        </w:tcPr>
        <w:p w14:paraId="710B978B" w14:textId="77777777" w:rsidR="004E1F05" w:rsidRDefault="00AE61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4C19878" w14:textId="77777777" w:rsidR="004E1F05" w:rsidRDefault="00AE61A6">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Tianguistenco</w:t>
          </w:r>
        </w:p>
      </w:tc>
    </w:tr>
    <w:tr w:rsidR="004E1F05" w14:paraId="648D48B9" w14:textId="77777777">
      <w:tc>
        <w:tcPr>
          <w:tcW w:w="2551" w:type="dxa"/>
          <w:shd w:val="clear" w:color="auto" w:fill="auto"/>
          <w:vAlign w:val="center"/>
        </w:tcPr>
        <w:p w14:paraId="7CEA4D2E" w14:textId="77777777" w:rsidR="004E1F05" w:rsidRDefault="00AE61A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439FCD21" w14:textId="77777777" w:rsidR="004E1F05" w:rsidRDefault="00AE61A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2BC3F7" w14:textId="77777777" w:rsidR="004E1F05" w:rsidRDefault="00AE61A6">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315727CF" wp14:editId="779EF774">
          <wp:simplePos x="0" y="0"/>
          <wp:positionH relativeFrom="column">
            <wp:posOffset>-1089024</wp:posOffset>
          </wp:positionH>
          <wp:positionV relativeFrom="paragraph">
            <wp:posOffset>-1169034</wp:posOffset>
          </wp:positionV>
          <wp:extent cx="7809865" cy="10170000"/>
          <wp:effectExtent l="0" t="0" r="0" b="0"/>
          <wp:wrapNone/>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700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941E4"/>
    <w:multiLevelType w:val="multilevel"/>
    <w:tmpl w:val="2B88815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5924029"/>
    <w:multiLevelType w:val="multilevel"/>
    <w:tmpl w:val="69E02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E8360A5"/>
    <w:multiLevelType w:val="multilevel"/>
    <w:tmpl w:val="E3E6A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B2E56FA"/>
    <w:multiLevelType w:val="multilevel"/>
    <w:tmpl w:val="104C7DB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nsid w:val="52705905"/>
    <w:multiLevelType w:val="multilevel"/>
    <w:tmpl w:val="B02AB6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5D2F24AD"/>
    <w:multiLevelType w:val="multilevel"/>
    <w:tmpl w:val="6580656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F05"/>
    <w:rsid w:val="004C6C10"/>
    <w:rsid w:val="004E1F05"/>
    <w:rsid w:val="007F0C41"/>
    <w:rsid w:val="00823441"/>
    <w:rsid w:val="00A976AA"/>
    <w:rsid w:val="00AE61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8CB3B"/>
  <w15:docId w15:val="{8A871167-9904-4E18-89AE-0524310D7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8D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3"/>
    <w:tblPr>
      <w:tblStyleRowBandSize w:val="1"/>
      <w:tblStyleColBandSize w:val="1"/>
      <w:tblCellMar>
        <w:top w:w="0" w:type="dxa"/>
        <w:left w:w="115" w:type="dxa"/>
        <w:bottom w:w="0" w:type="dxa"/>
        <w:right w:w="115" w:type="dxa"/>
      </w:tblCellMar>
    </w:tblPr>
  </w:style>
  <w:style w:type="table" w:customStyle="1" w:styleId="a2">
    <w:basedOn w:val="TableNormal3"/>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3"/>
    <w:tblPr>
      <w:tblStyleRowBandSize w:val="1"/>
      <w:tblStyleColBandSize w:val="1"/>
      <w:tblCellMar>
        <w:top w:w="0" w:type="dxa"/>
        <w:left w:w="115" w:type="dxa"/>
        <w:bottom w:w="0" w:type="dxa"/>
        <w:right w:w="115" w:type="dxa"/>
      </w:tblCellMar>
    </w:tblPr>
  </w:style>
  <w:style w:type="table" w:customStyle="1" w:styleId="a4">
    <w:basedOn w:val="TableNormal3"/>
    <w:tblPr>
      <w:tblStyleRowBandSize w:val="1"/>
      <w:tblStyleColBandSize w:val="1"/>
      <w:tblCellMar>
        <w:top w:w="0" w:type="dxa"/>
        <w:left w:w="115" w:type="dxa"/>
        <w:bottom w:w="0" w:type="dxa"/>
        <w:right w:w="115" w:type="dxa"/>
      </w:tblCellMar>
    </w:tblPr>
  </w:style>
  <w:style w:type="table" w:customStyle="1" w:styleId="a5">
    <w:basedOn w:val="TableNormal2"/>
    <w:tblPr>
      <w:tblStyleRowBandSize w:val="1"/>
      <w:tblStyleColBandSize w:val="1"/>
      <w:tblCellMar>
        <w:top w:w="0" w:type="dxa"/>
        <w:left w:w="115" w:type="dxa"/>
        <w:bottom w:w="0" w:type="dxa"/>
        <w:right w:w="115"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1"/>
    <w:tblPr>
      <w:tblStyleRowBandSize w:val="1"/>
      <w:tblStyleColBandSize w:val="1"/>
      <w:tblCellMar>
        <w:top w:w="0" w:type="dxa"/>
        <w:left w:w="115" w:type="dxa"/>
        <w:bottom w:w="0" w:type="dxa"/>
        <w:right w:w="115" w:type="dxa"/>
      </w:tblCellMar>
    </w:tblPr>
  </w:style>
  <w:style w:type="table" w:customStyle="1" w:styleId="a8">
    <w:basedOn w:val="TableNormal1"/>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pkHKiX6OkrDBh5EUHF9dm4ydjw==">AMUW2mWAhnka5TQGYrQvTZIL8N9d1+mrB5U55PQ5g/RKRJySFt7v5KjYC+dG7G0r2OimVI9mb89vTgE79riOwXRbXojDHVUaN454jFA9exqWlOsZYz7FdxSrhpEsrJRlg3Xeqs6iqAyJA7ZVtK9TxIr9+jxwFOUfFUg1nPE/ppz1vcKx6qSsePwjBQN/1BWkFm+SxduokHzw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7903</Words>
  <Characters>43469</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cp:lastModifiedBy>
  <cp:revision>2</cp:revision>
  <cp:lastPrinted>2022-09-19T18:35:00Z</cp:lastPrinted>
  <dcterms:created xsi:type="dcterms:W3CDTF">2022-09-30T18:06:00Z</dcterms:created>
  <dcterms:modified xsi:type="dcterms:W3CDTF">2022-09-30T18:06:00Z</dcterms:modified>
</cp:coreProperties>
</file>