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nueve de marzo del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00319/INFOEM/IP/RR/2022;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un particular que no proporciona nombre o seudónimo</w:t>
      </w:r>
      <w:r w:rsidDel="00000000" w:rsidR="00000000" w:rsidRPr="00000000">
        <w:rPr>
          <w:rFonts w:ascii="Palatino Linotype" w:cs="Palatino Linotype" w:eastAsia="Palatino Linotype" w:hAnsi="Palatino Linotype"/>
          <w:rtl w:val="0"/>
        </w:rPr>
        <w:t xml:space="preserve">, en lo sucesivo se le denominara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rtl w:val="0"/>
        </w:rPr>
        <w:t xml:space="preserve">00015/ATENCO/IP/2022,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Ayuntamiento de Atenco</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doce de enero del dos mil veintidós,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la semblanza curricular de la Presidenta Municipal , asi como evidencia de la misma (Sic)</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 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veinticinco de enero del dos mil veintidós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08">
      <w:pPr>
        <w:spacing w:after="240" w:before="240" w:line="276"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240" w:before="240" w:line="276"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conformidad con los artículos 1, 2, 3, fracción XLIV, 4, 12, 16, 23 fracción IV, UNIDAD DE TRANSPARENCIA Oficio No.: PMA/UT/INT/2022/0016 Solicitud de Información: 00015/ATENCO/IP/2022 Atenco, Estado de México, 25 de enero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00015/ATENCO/IP/2022,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Mtro. Juan Manuel Mancera García Titular de la Unidad de Transparencia.</w:t>
      </w:r>
    </w:p>
    <w:p w:rsidR="00000000" w:rsidDel="00000000" w:rsidP="00000000" w:rsidRDefault="00000000" w:rsidRPr="00000000" w14:paraId="0000000A">
      <w:pPr>
        <w:spacing w:after="240" w:before="240" w:line="276" w:lineRule="auto"/>
        <w:ind w:left="709"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B">
      <w:pPr>
        <w:spacing w:after="240" w:before="240"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Mtro. en D. Juan Manuel Mancera García” (Sic)</w:t>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su respuesta los archivos electrónicos: “</w:t>
      </w:r>
      <w:hyperlink r:id="rId8">
        <w:r w:rsidDel="00000000" w:rsidR="00000000" w:rsidRPr="00000000">
          <w:rPr>
            <w:rFonts w:ascii="Palatino Linotype" w:cs="Palatino Linotype" w:eastAsia="Palatino Linotype" w:hAnsi="Palatino Linotype"/>
            <w:rtl w:val="0"/>
          </w:rPr>
          <w:t xml:space="preserve">SolicitanteInf.Sol.15.pdf</w:t>
        </w:r>
      </w:hyperlink>
      <w:r w:rsidDel="00000000" w:rsidR="00000000" w:rsidRPr="00000000">
        <w:rPr>
          <w:rFonts w:ascii="Palatino Linotype" w:cs="Palatino Linotype" w:eastAsia="Palatino Linotype" w:hAnsi="Palatino Linotype"/>
          <w:rtl w:val="0"/>
        </w:rPr>
        <w:t xml:space="preserve">“ y “</w:t>
      </w:r>
      <w:hyperlink r:id="rId9">
        <w:r w:rsidDel="00000000" w:rsidR="00000000" w:rsidRPr="00000000">
          <w:rPr>
            <w:rFonts w:ascii="Palatino Linotype" w:cs="Palatino Linotype" w:eastAsia="Palatino Linotype" w:hAnsi="Palatino Linotype"/>
            <w:rtl w:val="0"/>
          </w:rPr>
          <w:t xml:space="preserve">Resp.Sol.15RH.pdf</w:t>
        </w:r>
      </w:hyperlink>
      <w:r w:rsidDel="00000000" w:rsidR="00000000" w:rsidRPr="00000000">
        <w:rPr>
          <w:rFonts w:ascii="Palatino Linotype" w:cs="Palatino Linotype" w:eastAsia="Palatino Linotype" w:hAnsi="Palatino Linotype"/>
          <w:rtl w:val="0"/>
        </w:rPr>
        <w:t xml:space="preserve">”,  los cuales serán detallados y analizados más adelante en el apartado correspondiente.</w:t>
      </w:r>
    </w:p>
    <w:p w:rsidR="00000000" w:rsidDel="00000000" w:rsidP="00000000" w:rsidRDefault="00000000" w:rsidRPr="00000000" w14:paraId="000000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el recurso de revisión a través del SAIMEX en fecha veinticinco de enero del dos mil veintidós, a través del cual expresó lo siguiente:</w:t>
      </w:r>
    </w:p>
    <w:p w:rsidR="00000000" w:rsidDel="00000000" w:rsidP="00000000" w:rsidRDefault="00000000" w:rsidRPr="00000000" w14:paraId="0000000E">
      <w:pPr>
        <w:spacing w:after="240" w:before="240"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0F">
      <w:pPr>
        <w:spacing w:after="240" w:before="240" w:line="360"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“no adjunta la evidencia que da soporte a lo expuesto” (Sic)</w:t>
      </w:r>
    </w:p>
    <w:p w:rsidR="00000000" w:rsidDel="00000000" w:rsidP="00000000" w:rsidRDefault="00000000" w:rsidRPr="00000000" w14:paraId="0000001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1">
      <w:pPr>
        <w:spacing w:after="240" w:before="240" w:line="360"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“no adjunta la evidencia que da soporte a lo expuesto” (Sic)</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recurso de revisión número </w:t>
      </w:r>
      <w:r w:rsidDel="00000000" w:rsidR="00000000" w:rsidRPr="00000000">
        <w:rPr>
          <w:rFonts w:ascii="Palatino Linotype" w:cs="Palatino Linotype" w:eastAsia="Palatino Linotype" w:hAnsi="Palatino Linotype"/>
          <w:b w:val="1"/>
          <w:rtl w:val="0"/>
        </w:rPr>
        <w:t xml:space="preserve">00319/INFOEM/IP/RR/2022 </w:t>
      </w:r>
      <w:r w:rsidDel="00000000" w:rsidR="00000000" w:rsidRPr="00000000">
        <w:rPr>
          <w:rFonts w:ascii="Palatino Linotype" w:cs="Palatino Linotype" w:eastAsia="Palatino Linotype" w:hAnsi="Palatino Linotype"/>
          <w:rtl w:val="0"/>
        </w:rPr>
        <w:t xml:space="preserve">fue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turnado por el sistema electrónico del Instituto de Transparencia, Acceso a la Información Pública y Protección de Datos Personales del Estado de México y Municipios, a la Comisionada Ponente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1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 </w:t>
      </w:r>
      <w:r w:rsidDel="00000000" w:rsidR="00000000" w:rsidRPr="00000000">
        <w:rPr>
          <w:rFonts w:ascii="Palatino Linotype" w:cs="Palatino Linotype" w:eastAsia="Palatino Linotype" w:hAnsi="Palatino Linotype"/>
          <w:rtl w:val="0"/>
        </w:rPr>
        <w:t xml:space="preserve">En fecha veintiocho de enero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6. Manifestaciones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las constancias que integran el expediente en que se actúa se advierte que el recurrente fue omiso en ofrecer pruebas o expresar alegatos; en términos del artículo 185 fracciones II de la ley que nos ocupa. Por su parte, el Sujeto Obligado de igual forma, fue omiso en presentar el Informe Justificado correspondiente.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612130" cy="1624965"/>
            <wp:effectExtent b="0" l="0" r="0" t="0"/>
            <wp:docPr id="4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612130" cy="162496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En fecha veinticinco de febrero del año dos mil veintidós,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O N S I D E R A N D O:</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Segundo. Oportunidad y Procedibilidad de los Recursos de Revisión</w:t>
      </w:r>
      <w:r w:rsidDel="00000000" w:rsidR="00000000" w:rsidRPr="00000000">
        <w:rPr>
          <w:rFonts w:ascii="Palatino Linotype" w:cs="Palatino Linotype" w:eastAsia="Palatino Linotype" w:hAnsi="Palatino Linotype"/>
          <w:rtl w:val="0"/>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la solicitud planteada por el solicitante en fecha veinticinco de enero del año dos mil veintidós y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el mismo día; circunstancia que no es determinante para declararlo extemporáneo, toda vez que el tiempo concedido es para delimitar el término en que puede impugnarse la respuesta, lo cual no impide que se presente antes de iniciado el plazo previsto.</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567" w:right="7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RECURSO DE RECLAMACIÓN. SU INTERPOSICIÓN NO ES EXTEMPORÁNEA SI SE REALIZA ANTES DE QUE INICIE EL PLAZO PARA HACERLO.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567" w:right="7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567" w:right="76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 ahí que si dicho recurso se interpone antes de que inicie el plazo para hacerlo, su presentación no es extemporánea…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"(Sic)</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Al mismo tiempo, </w:t>
      </w:r>
      <w:r w:rsidDel="00000000" w:rsidR="00000000" w:rsidRPr="00000000">
        <w:rPr>
          <w:rFonts w:ascii="Palatino Linotype" w:cs="Palatino Linotype" w:eastAsia="Palatino Linotype" w:hAnsi="Palatino Linotype"/>
          <w:rtl w:val="0"/>
        </w:rPr>
        <w:t xml:space="preserve">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su solicitud de manera anónima, como se advierte en el detalle de seguimiento del SAIMEX, no obstante lo anterior, no proporcionar el nombre o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1F">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Robusteciendo lo anterior se encuentra lo dispuesto en el artículo 6, Apartado A, fracciones III de la Constitución Política de los Estados Unidos Mexicanos que establece:</w:t>
      </w:r>
    </w:p>
    <w:p w:rsidR="00000000" w:rsidDel="00000000" w:rsidP="00000000" w:rsidRDefault="00000000" w:rsidRPr="00000000" w14:paraId="00000021">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00000" w:rsidDel="00000000" w:rsidP="00000000" w:rsidRDefault="00000000" w:rsidRPr="00000000" w14:paraId="00000022">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lo dispuesto en el presente artículo se observará lo siguiente:</w:t>
      </w:r>
    </w:p>
    <w:p w:rsidR="00000000" w:rsidDel="00000000" w:rsidP="00000000" w:rsidRDefault="00000000" w:rsidRPr="00000000" w14:paraId="00000023">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24">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 (Sic)</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como el artículo 5 fracción III, párrafo vigésimo noveno, trigésimo y trigésimo primero, de la Constitución Política del Estado Libre y Soberano de México, que determina lo siguiente:</w:t>
      </w:r>
    </w:p>
    <w:p w:rsidR="00000000" w:rsidDel="00000000" w:rsidP="00000000" w:rsidRDefault="00000000" w:rsidRPr="00000000" w14:paraId="00000026">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00000" w:rsidDel="00000000" w:rsidP="00000000" w:rsidRDefault="00000000" w:rsidRPr="00000000" w14:paraId="00000027">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8">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 persona en el Estado de México, tiene derecho al libre acceso a la información plural y oportuna, así como a buscar recibir y difundir información e ideas de toda índole por cualquier medio de expresión.</w:t>
      </w:r>
    </w:p>
    <w:p w:rsidR="00000000" w:rsidDel="00000000" w:rsidP="00000000" w:rsidRDefault="00000000" w:rsidRPr="00000000" w14:paraId="00000029">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A">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derecho a la información será garantizado por el Estado. La ley establecerá las previsiones que permitan asegurar la protección, el respeto y la difusión de este derecho.</w:t>
      </w:r>
    </w:p>
    <w:p w:rsidR="00000000" w:rsidDel="00000000" w:rsidP="00000000" w:rsidRDefault="00000000" w:rsidRPr="00000000" w14:paraId="0000002B">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00000" w:rsidDel="00000000" w:rsidP="00000000" w:rsidRDefault="00000000" w:rsidRPr="00000000" w14:paraId="0000002C">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2D">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E">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del contenido del artículo 1 de la Constitución Política de los Estados Unidos mexicanos, se destaca lo siguiente:</w:t>
      </w:r>
    </w:p>
    <w:p w:rsidR="00000000" w:rsidDel="00000000" w:rsidP="00000000" w:rsidRDefault="00000000" w:rsidRPr="00000000" w14:paraId="00000030">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31">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32">
      <w:pPr>
        <w:spacing w:after="240" w:before="240" w:line="276"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el derecho humano de acceso a la información pública, se aprecia que toda persona, sin necesidad de acreditar interés alguno o justificar su interposición, deberá tener acceso a la información pública, es decir, dicho </w:t>
      </w:r>
      <w:r w:rsidDel="00000000" w:rsidR="00000000" w:rsidRPr="00000000">
        <w:rPr>
          <w:rFonts w:ascii="Palatino Linotype" w:cs="Palatino Linotype" w:eastAsia="Palatino Linotype" w:hAnsi="Palatino Linotype"/>
          <w:i w:val="1"/>
          <w:rtl w:val="0"/>
        </w:rPr>
        <w:t xml:space="preserve">derecho fundamental exime a quien lo ejerce</w:t>
      </w:r>
      <w:r w:rsidDel="00000000" w:rsidR="00000000" w:rsidRPr="00000000">
        <w:rPr>
          <w:rFonts w:ascii="Palatino Linotype" w:cs="Palatino Linotype" w:eastAsia="Palatino Linotype" w:hAnsi="Palatino Linotype"/>
          <w:rtl w:val="0"/>
        </w:rPr>
        <w:t xml:space="preserv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35">
      <w:pPr>
        <w:spacing w:after="240" w:before="240" w:line="276"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mismo tiempo, tras la revisión de los formatos de interposición de los recursos, se concluye en la acreditación plena de todos y cada uno de los elementos formales exigidos por el artículo 180 de la Ley de Transparencia y Acceso a la Información Pública del Estado de México y Municipios, toda vez que fueron ingresados a través del SAIMEX.</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147"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Ahora bien, resulta procedente la interposición del recurso, según lo aducido por la recurrente en sus razones o motivos de inconformidad, de acuerdo al artículo 179, fracción V de la Ley de Transparencia y Acceso a la Información Pública del Estado de México y Municipios; que a la letra dice: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992"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179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recurso de revisión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y procederá en contra de las siguientes causas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992"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992" w:right="10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La entrega de información incompleta;…” (Sic)</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15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Tercero. Materia de Revisión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base en las constancias que obran en el expediente que se actúa, este Instituto tiene la convicción de que la presente resolución tiene como objetivo central determinar si la respuesta proporcionada por el Sujeto Obligado, es correcta y suficiente para tener por atendida la solicitud de acceso a la información pública.</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 fondo del asunto. </w:t>
      </w:r>
      <w:r w:rsidDel="00000000" w:rsidR="00000000" w:rsidRPr="00000000">
        <w:rPr>
          <w:rFonts w:ascii="Palatino Linotype" w:cs="Palatino Linotype" w:eastAsia="Palatino Linotype" w:hAnsi="Palatino Linotype"/>
          <w:rtl w:val="0"/>
        </w:rPr>
        <w:t xml:space="preserve">Del análisis de la solicitud de información pública que motivó el recurso de revisión que ahora se resuelve, se advierte que el particular requirió al Ayuntamiento de Atenco, de su Presidente Municipal; lo siguiente:</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Su semblanza curricular, así como evidencia de la misma.</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emito su respuesta a través de los archivos electrónicos siguientes:</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1">
        <w:r w:rsidDel="00000000" w:rsidR="00000000" w:rsidRPr="00000000">
          <w:rPr>
            <w:rFonts w:ascii="Palatino Linotype" w:cs="Palatino Linotype" w:eastAsia="Palatino Linotype" w:hAnsi="Palatino Linotype"/>
            <w:rtl w:val="0"/>
          </w:rPr>
          <w:t xml:space="preserve">SolicitanteInf.Sol.15.pdf</w:t>
        </w:r>
      </w:hyperlink>
      <w:r w:rsidDel="00000000" w:rsidR="00000000" w:rsidRPr="00000000">
        <w:rPr>
          <w:rFonts w:ascii="Palatino Linotype" w:cs="Palatino Linotype" w:eastAsia="Palatino Linotype" w:hAnsi="Palatino Linotype"/>
          <w:rtl w:val="0"/>
        </w:rPr>
        <w:t xml:space="preserve">“, el cual contiene el oficio número PMA/UT/INT/2022/0016, por medio del cual el Titular de la unidad de Transparencia, informó al solicitante, que encontrara en los archivos adjuntos copia digitalizada del oficio emitido por el Servidor Público Habilitado. </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2">
        <w:r w:rsidDel="00000000" w:rsidR="00000000" w:rsidRPr="00000000">
          <w:rPr>
            <w:rFonts w:ascii="Palatino Linotype" w:cs="Palatino Linotype" w:eastAsia="Palatino Linotype" w:hAnsi="Palatino Linotype"/>
            <w:rtl w:val="0"/>
          </w:rPr>
          <w:t xml:space="preserve">Resp.Sol.15RH.pdf</w:t>
        </w:r>
      </w:hyperlink>
      <w:r w:rsidDel="00000000" w:rsidR="00000000" w:rsidRPr="00000000">
        <w:rPr>
          <w:rFonts w:ascii="Palatino Linotype" w:cs="Palatino Linotype" w:eastAsia="Palatino Linotype" w:hAnsi="Palatino Linotype"/>
          <w:rtl w:val="0"/>
        </w:rPr>
        <w:t xml:space="preserve">”, el cual contiene el oficio número PMA/JRH/022/2022, por medio del cual la Jefa de Recursos Humanos, entregó, al Titular de la Unidad de Transparencia, ambos del SUJETO OBLIGADO, copia simple de la semblanza curricular del Presidente Municipal con el que se cuenta en los expediente de Recursos Humanos, anexando la misma en una foja, tal como se advierte a continuación: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1816100</wp:posOffset>
                </wp:positionV>
                <wp:extent cx="4672059" cy="3413628"/>
                <wp:effectExtent b="0" l="0" r="0" t="0"/>
                <wp:wrapNone/>
                <wp:docPr id="36" name=""/>
                <a:graphic>
                  <a:graphicData uri="http://schemas.microsoft.com/office/word/2010/wordprocessingShape">
                    <wps:wsp>
                      <wps:cNvCnPr/>
                      <wps:spPr>
                        <a:xfrm>
                          <a:off x="3014733" y="2077949"/>
                          <a:ext cx="4662534" cy="3404103"/>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1816100</wp:posOffset>
                </wp:positionV>
                <wp:extent cx="4672059" cy="3413628"/>
                <wp:effectExtent b="0" l="0" r="0" t="0"/>
                <wp:wrapNone/>
                <wp:docPr id="36"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4672059" cy="3413628"/>
                        </a:xfrm>
                        <a:prstGeom prst="rect"/>
                        <a:ln/>
                      </pic:spPr>
                    </pic:pic>
                  </a:graphicData>
                </a:graphic>
              </wp:anchor>
            </w:drawing>
          </mc:Fallback>
        </mc:AlternateConten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7142480"/>
            <wp:effectExtent b="0" l="0" r="0" t="0"/>
            <wp:docPr id="4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612130" cy="714248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dicha respuesta el solicitante se inconformó, en lo medular porque no se adjuntó la evidencia que da soporte a lo expuesto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rendir su informe justificado.</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razón de las consideraciones de derecho que a continuación se exponen:</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primer lugar</w:t>
      </w:r>
      <w:r w:rsidDel="00000000" w:rsidR="00000000" w:rsidRPr="00000000">
        <w:rPr>
          <w:rFonts w:ascii="Palatino Linotype" w:cs="Palatino Linotype" w:eastAsia="Palatino Linotype" w:hAnsi="Palatino Linotype"/>
          <w:rtl w:val="0"/>
        </w:rPr>
        <w:t xml:space="preserve">, es conveniente analizar si la respuesta del Sujeto Obligado cumple con los requisitos y procedimientos del derecho de acceso a la información pública, en atención a que en la Ley de Transparencia y Acceso a la Información Pública del Estado de México y Municipios en su </w:t>
      </w:r>
      <w:r w:rsidDel="00000000" w:rsidR="00000000" w:rsidRPr="00000000">
        <w:rPr>
          <w:rFonts w:ascii="Palatino Linotype" w:cs="Palatino Linotype" w:eastAsia="Palatino Linotype" w:hAnsi="Palatino Linotype"/>
          <w:color w:val="000000"/>
          <w:rtl w:val="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r w:rsidDel="00000000" w:rsidR="00000000" w:rsidRPr="00000000">
        <w:rPr>
          <w:rtl w:val="0"/>
        </w:rPr>
      </w:r>
    </w:p>
    <w:p w:rsidR="00000000" w:rsidDel="00000000" w:rsidP="00000000" w:rsidRDefault="00000000" w:rsidRPr="00000000" w14:paraId="00000047">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8">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9">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4B">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C">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4D">
      <w:pPr>
        <w:spacing w:after="240" w:before="240" w:line="360" w:lineRule="auto"/>
        <w:ind w:right="-9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todo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rtl w:val="0"/>
        </w:rPr>
        <w:t xml:space="preserve"> </w:t>
      </w:r>
    </w:p>
    <w:p w:rsidR="00000000" w:rsidDel="00000000" w:rsidP="00000000" w:rsidRDefault="00000000" w:rsidRPr="00000000" w14:paraId="0000004F">
      <w:pPr>
        <w:spacing w:after="240" w:before="240" w:line="276" w:lineRule="auto"/>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50">
      <w:pPr>
        <w:spacing w:after="240" w:before="240" w:line="276" w:lineRule="auto"/>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Resoluciones: </w:t>
      </w:r>
    </w:p>
    <w:p w:rsidR="00000000" w:rsidDel="00000000" w:rsidP="00000000" w:rsidRDefault="00000000" w:rsidRPr="00000000" w14:paraId="00000051">
      <w:pPr>
        <w:spacing w:after="240" w:before="240" w:line="276" w:lineRule="auto"/>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Symbol" w:cs="Symbol" w:eastAsia="Symbol" w:hAnsi="Symbol"/>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52">
      <w:pPr>
        <w:spacing w:after="240" w:before="240" w:line="276" w:lineRule="auto"/>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Symbol" w:cs="Symbol" w:eastAsia="Symbol" w:hAnsi="Symbol"/>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53">
      <w:pPr>
        <w:spacing w:after="240" w:before="240" w:line="276" w:lineRule="auto"/>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Symbol" w:cs="Symbol" w:eastAsia="Symbol" w:hAnsi="Symbol"/>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1889/16. Secretaría de Hacienda y Crédito Público. 05 de octubre de 2016. Por unanimidad. Comisionada Ponente. Ximena Puente de la Mora.”</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5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7">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8">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9">
      <w:pPr>
        <w:spacing w:after="240" w:before="240" w:line="276" w:lineRule="auto"/>
        <w:ind w:left="851"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B">
      <w:pPr>
        <w:spacing w:after="240" w:before="240"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5C">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5D">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E">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F">
      <w:pPr>
        <w:spacing w:after="240" w:before="240"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0">
      <w:pPr>
        <w:spacing w:after="240" w:before="240" w:line="276"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61">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virtud de lo anterior</w:t>
      </w:r>
      <w:r w:rsidDel="00000000" w:rsidR="00000000" w:rsidRPr="00000000">
        <w:rPr>
          <w:rFonts w:ascii="Palatino Linotype" w:cs="Palatino Linotype" w:eastAsia="Palatino Linotype" w:hAnsi="Palatino Linotype"/>
          <w:rtl w:val="0"/>
        </w:rPr>
        <w:t xml:space="preserve">, se determina que la información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cumple parcialmente con lo establecido por los artículos 4, 12 y 24 último párrafo de la Ley de Transparencia y Acceso a la Información Pública del Estado de México y Municipios, conforme a lo siguiente:</w:t>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motivos de inconformidad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advierte que esté, sólo se inconforma porque no se adjuntó la evidencia que da soporte a la semblanza curricular de la Presidente Municipal; por consiguiente, se determina que respecto de la semblanza curricular de la Presidente Municipal proporcionada en respuesta, es aceptada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64">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w:t>
      </w:r>
      <w:r w:rsidDel="00000000" w:rsidR="00000000" w:rsidRPr="00000000">
        <w:rPr>
          <w:rFonts w:ascii="Palatino Linotype" w:cs="Palatino Linotype" w:eastAsia="Palatino Linotype" w:hAnsi="Palatino Linotype"/>
          <w:i w:val="1"/>
          <w:sz w:val="22"/>
          <w:szCs w:val="22"/>
          <w:rtl w:val="0"/>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la parte de la solicitud sobre la que no se expresó inconformidad, debe declararse consentida por el hoy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67">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ACTOS CONSENTIDOS. SON LOS QUE NO SE IMPUGNAN MEDIANTE EL RECURSO IDÓNEO</w:t>
      </w:r>
      <w:r w:rsidDel="00000000" w:rsidR="00000000" w:rsidRPr="00000000">
        <w:rPr>
          <w:rFonts w:ascii="Palatino Linotype" w:cs="Palatino Linotype" w:eastAsia="Palatino Linotype" w:hAnsi="Palatino Linotype"/>
          <w:i w:val="1"/>
          <w:sz w:val="22"/>
          <w:szCs w:val="22"/>
          <w:rtl w:val="0"/>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rsidR="00000000" w:rsidDel="00000000" w:rsidP="00000000" w:rsidRDefault="00000000" w:rsidRPr="00000000" w14:paraId="0000006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una vez analizada la respuesta se advierte que la Jefa de Recursos Humanos, omitió pronunciarse sobre las evidencias que soportan la semblanza curricular de la Presidenta Municipal, que se anexó a la respuesta; de ahí que, se procede analizar dicha semblanza, la cual consta de lo siguiente:</w:t>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5509573" cy="3066623"/>
                <wp:effectExtent b="0" l="0" r="0" t="0"/>
                <wp:wrapNone/>
                <wp:docPr id="37" name=""/>
                <a:graphic>
                  <a:graphicData uri="http://schemas.microsoft.com/office/word/2010/wordprocessingShape">
                    <wps:wsp>
                      <wps:cNvCnPr/>
                      <wps:spPr>
                        <a:xfrm>
                          <a:off x="2595976" y="2251451"/>
                          <a:ext cx="5500048" cy="3057098"/>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5509573" cy="3066623"/>
                <wp:effectExtent b="0" l="0" r="0" t="0"/>
                <wp:wrapNone/>
                <wp:docPr id="37"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5509573" cy="3066623"/>
                        </a:xfrm>
                        <a:prstGeom prst="rect"/>
                        <a:ln/>
                      </pic:spPr>
                    </pic:pic>
                  </a:graphicData>
                </a:graphic>
              </wp:anchor>
            </w:drawing>
          </mc:Fallback>
        </mc:AlternateConten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482378" cy="5316212"/>
            <wp:effectExtent b="0" l="0" r="0" t="0"/>
            <wp:docPr id="41" name="image4.png"/>
            <a:graphic>
              <a:graphicData uri="http://schemas.openxmlformats.org/drawingml/2006/picture">
                <pic:pic>
                  <pic:nvPicPr>
                    <pic:cNvPr id="0" name="image4.png"/>
                    <pic:cNvPicPr preferRelativeResize="0"/>
                  </pic:nvPicPr>
                  <pic:blipFill>
                    <a:blip r:embed="rId16"/>
                    <a:srcRect b="4452" l="42374" r="22564" t="16692"/>
                    <a:stretch>
                      <a:fillRect/>
                    </a:stretch>
                  </pic:blipFill>
                  <pic:spPr>
                    <a:xfrm>
                      <a:off x="0" y="0"/>
                      <a:ext cx="5482378" cy="5316212"/>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procedente se observa que la actual Presidenta Municipal para la Administración Pública Municipal de Atenco 2022-2024, cuenta con un Título Profesional y Cedula de la Licenciatura de Sociología y en el apartado de experiencia fungió como docente a nivel secundaria y preparatoria, jefa de desarrollo agropecuario del H. Ayuntamiento de Atenco de los años 2018-2021 y que cuenta con diversos diplomados y congresos, como diversos trabajos, con lo que existen indicios de que se pudiere contar con los documentos que pudieran ser de manera enunciativa más no limitada contratos, nombramientos, Título profesional, cedula profesional, constancias o certificados, de las cuales se pudo sustraer la información para elaborar la multirreferida semblanza. </w:t>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conviene señalar que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fracción I del dispositivo 115 constitucional mandata que cada municipio será gobernado por un Ayuntamiento de elección popular directa, integrado por un Presidente o Presidenta Municipal y el número de regidurías y sindicaturas que la ley determine, de conformidad con el principio de paridad.</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la Ley Orgánica Municipal del Estado de México establece que cada municipio será gobernado por un Ayuntamiento de elección popular directa y no habrá ninguna autoridad intermedia entre éste y el Gobierno del Estado </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Ayuntamientos se renovarán cada tres años, iniciarán su periodo el 1 de enero del año inmediato siguiente al de las elecciones municipales ordinarias y concluirán el 31 de diciembre del año de las elecciones para su renovación; y se integrarán por:</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o</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miembros de un Ayuntamiento serán designados en una sola elección. Se distinguirán las regidoras y los regidores por el orden numérico y los síndicos cuando sean dos, en la misma forma. Por su parte, las regidoras y los regidores de mayoría relativa y de representación proporcional tendrán los mismos derechos y obligaciones, conforme a la ley de la materia. </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119 de la Constitución Política del Estado Libre y Soberano del Estado de México enlista y reconoce los requisitos que deberán cubrirse para ser miembro del Ayuntamiento, a saber:</w:t>
      </w:r>
    </w:p>
    <w:p w:rsidR="00000000" w:rsidDel="00000000" w:rsidP="00000000" w:rsidRDefault="00000000" w:rsidRPr="00000000" w14:paraId="00000075">
      <w:pPr>
        <w:spacing w:after="240" w:before="24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119.- Para ser miembro propietario o suplente de un ayuntamiento se requiere:</w:t>
      </w:r>
    </w:p>
    <w:p w:rsidR="00000000" w:rsidDel="00000000" w:rsidP="00000000" w:rsidRDefault="00000000" w:rsidRPr="00000000" w14:paraId="00000076">
      <w:pPr>
        <w:spacing w:after="240" w:before="24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Ser mexicana o mexicano, ciudadana o ciudadano del Estado, en pleno ejercicio de sus derechos;</w:t>
      </w:r>
    </w:p>
    <w:p w:rsidR="00000000" w:rsidDel="00000000" w:rsidP="00000000" w:rsidRDefault="00000000" w:rsidRPr="00000000" w14:paraId="00000077">
      <w:pPr>
        <w:spacing w:after="240" w:before="24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Ser mexiquense con residencia efectiva en el municipio no menor a un año o vecino del mismo, con residencia efectiva en su territorio no menor a tres años, anteriores al día de la elección; y</w:t>
      </w:r>
    </w:p>
    <w:p w:rsidR="00000000" w:rsidDel="00000000" w:rsidP="00000000" w:rsidRDefault="00000000" w:rsidRPr="00000000" w14:paraId="00000078">
      <w:pPr>
        <w:spacing w:after="240" w:before="24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Ser de reconocida probidad y buena fama pública.</w:t>
      </w:r>
    </w:p>
    <w:p w:rsidR="00000000" w:rsidDel="00000000" w:rsidP="00000000" w:rsidRDefault="00000000" w:rsidRPr="00000000" w14:paraId="00000079">
      <w:pPr>
        <w:spacing w:after="240" w:before="24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No estar condenada o condenado por sentencia ejecutoriada por el delito de violencia política contra las mujeres en razón de género;</w:t>
      </w:r>
    </w:p>
    <w:p w:rsidR="00000000" w:rsidDel="00000000" w:rsidP="00000000" w:rsidRDefault="00000000" w:rsidRPr="00000000" w14:paraId="0000007A">
      <w:pPr>
        <w:spacing w:after="240" w:before="24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No estar inscrito en el Registro de Deudores Alimentarios Morosos en el Estado, ni en otra entidad federativa, y</w:t>
      </w:r>
    </w:p>
    <w:p w:rsidR="00000000" w:rsidDel="00000000" w:rsidP="00000000" w:rsidRDefault="00000000" w:rsidRPr="00000000" w14:paraId="0000007B">
      <w:pPr>
        <w:spacing w:after="240" w:before="240"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No estar condenada o condenado por sentencia ejecutoriada por delitos de violencia familiar, contra la libertad sexual o de violencia de género.”</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Así las cosas, no se advierte que para ser miembro de un Ayuntamiento, como lo supone el cargo de Presidente Municipal, se requiera de tener un grado de estudios o experiencia específica para ocupar el puesto en cuestión, pues éste se designa por la sociedad a través de mecanismos electorales donde los habitantes de un municipio, cada tres años, eligen a quienes fungirán como jefes de la administración pública municipal</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7D">
      <w:pPr>
        <w:spacing w:after="240" w:before="240" w:line="360" w:lineRule="auto"/>
        <w:jc w:val="both"/>
        <w:rPr/>
      </w:pPr>
      <w:r w:rsidDel="00000000" w:rsidR="00000000" w:rsidRPr="00000000">
        <w:rPr>
          <w:rFonts w:ascii="Palatino Linotype" w:cs="Palatino Linotype" w:eastAsia="Palatino Linotype" w:hAnsi="Palatino Linotype"/>
          <w:rtl w:val="0"/>
        </w:rPr>
        <w:t xml:space="preserve">Empero, no debe ignorarse que el área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dio respuesta a la solicitud de información </w:t>
      </w:r>
      <w:r w:rsidDel="00000000" w:rsidR="00000000" w:rsidRPr="00000000">
        <w:rPr>
          <w:rFonts w:ascii="Palatino Linotype" w:cs="Palatino Linotype" w:eastAsia="Palatino Linotype" w:hAnsi="Palatino Linotype"/>
          <w:b w:val="1"/>
          <w:rtl w:val="0"/>
        </w:rPr>
        <w:t xml:space="preserve">00015/ATENCO/IP/2022, </w:t>
      </w:r>
      <w:r w:rsidDel="00000000" w:rsidR="00000000" w:rsidRPr="00000000">
        <w:rPr>
          <w:rFonts w:ascii="Palatino Linotype" w:cs="Palatino Linotype" w:eastAsia="Palatino Linotype" w:hAnsi="Palatino Linotype"/>
          <w:rtl w:val="0"/>
        </w:rPr>
        <w:t xml:space="preserve">fue la Jefa de Recursos Humanos del Ayuntamiento de Atenco de la Administración 2022-2024,  quien remitió la semblanza de la Presidenta Municipal de la cual se desprende que cuenta con licenciatura en Sociología, como se advierte en seguida:</w:t>
      </w:r>
      <w:r w:rsidDel="00000000" w:rsidR="00000000" w:rsidRPr="00000000">
        <w:rPr>
          <w:rtl w:val="0"/>
        </w:rPr>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color w:val="ff0000"/>
        </w:rPr>
      </w:pPr>
      <w:r w:rsidDel="00000000" w:rsidR="00000000" w:rsidRPr="00000000">
        <w:rPr/>
        <w:drawing>
          <wp:inline distB="0" distT="0" distL="0" distR="0">
            <wp:extent cx="5482626" cy="2282408"/>
            <wp:effectExtent b="0" l="0" r="0" t="0"/>
            <wp:docPr id="43" name="image4.png"/>
            <a:graphic>
              <a:graphicData uri="http://schemas.openxmlformats.org/drawingml/2006/picture">
                <pic:pic>
                  <pic:nvPicPr>
                    <pic:cNvPr id="0" name="image4.png"/>
                    <pic:cNvPicPr preferRelativeResize="0"/>
                  </pic:nvPicPr>
                  <pic:blipFill>
                    <a:blip r:embed="rId16"/>
                    <a:srcRect b="37608" l="42374" r="22564" t="28746"/>
                    <a:stretch>
                      <a:fillRect/>
                    </a:stretch>
                  </pic:blipFill>
                  <pic:spPr>
                    <a:xfrm>
                      <a:off x="0" y="0"/>
                      <a:ext cx="5482626" cy="228240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1714500</wp:posOffset>
                </wp:positionV>
                <wp:extent cx="599554" cy="558611"/>
                <wp:effectExtent b="0" l="0" r="0" t="0"/>
                <wp:wrapNone/>
                <wp:docPr id="38" name=""/>
                <a:graphic>
                  <a:graphicData uri="http://schemas.microsoft.com/office/word/2010/wordprocessingShape">
                    <wps:wsp>
                      <wps:cNvSpPr/>
                      <wps:cNvPr id="4" name="Shape 4"/>
                      <wps:spPr>
                        <a:xfrm>
                          <a:off x="5052573" y="3507045"/>
                          <a:ext cx="586854" cy="545911"/>
                        </a:xfrm>
                        <a:prstGeom prst="up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1714500</wp:posOffset>
                </wp:positionV>
                <wp:extent cx="599554" cy="558611"/>
                <wp:effectExtent b="0" l="0" r="0" t="0"/>
                <wp:wrapNone/>
                <wp:docPr id="38"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599554" cy="558611"/>
                        </a:xfrm>
                        <a:prstGeom prst="rect"/>
                        <a:ln/>
                      </pic:spPr>
                    </pic:pic>
                  </a:graphicData>
                </a:graphic>
              </wp:anchor>
            </w:drawing>
          </mc:Fallback>
        </mc:AlternateContent>
      </w:r>
    </w:p>
    <w:p w:rsidR="00000000" w:rsidDel="00000000" w:rsidP="00000000" w:rsidRDefault="00000000" w:rsidRPr="00000000" w14:paraId="0000007F">
      <w:pPr>
        <w:spacing w:after="240" w:before="240" w:line="360" w:lineRule="auto"/>
        <w:jc w:val="both"/>
        <w:rPr>
          <w:rFonts w:ascii="Palatino Linotype" w:cs="Palatino Linotype" w:eastAsia="Palatino Linotype" w:hAnsi="Palatino Linotype"/>
          <w:color w:val="ff0000"/>
          <w:sz w:val="22"/>
          <w:szCs w:val="22"/>
        </w:rPr>
      </w:pPr>
      <w:r w:rsidDel="00000000" w:rsidR="00000000" w:rsidRPr="00000000">
        <w:rPr>
          <w:rFonts w:ascii="Palatino Linotype" w:cs="Palatino Linotype" w:eastAsia="Palatino Linotype" w:hAnsi="Palatino Linotype"/>
          <w:color w:val="000000"/>
          <w:rtl w:val="0"/>
        </w:rPr>
        <w:t xml:space="preserve">Así las cosas,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r w:rsidDel="00000000" w:rsidR="00000000" w:rsidRPr="00000000">
        <w:rPr>
          <w:rtl w:val="0"/>
        </w:rPr>
      </w:r>
    </w:p>
    <w:p w:rsidR="00000000" w:rsidDel="00000000" w:rsidP="00000000" w:rsidRDefault="00000000" w:rsidRPr="00000000" w14:paraId="00000080">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TEMÁTICA DE LOS ARTÍCULOS 2, FRACCIÓN V, XV, Y XVI, 3, 4,11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81">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82">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83">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sea administrada por los Sujetos Obligados</w:t>
      </w:r>
      <w:r w:rsidDel="00000000" w:rsidR="00000000" w:rsidRPr="00000000">
        <w:rPr>
          <w:rFonts w:ascii="Palatino Linotype" w:cs="Palatino Linotype" w:eastAsia="Palatino Linotype" w:hAnsi="Palatino Linotype"/>
          <w:i w:val="1"/>
          <w:sz w:val="22"/>
          <w:szCs w:val="22"/>
          <w:rtl w:val="0"/>
        </w:rPr>
        <w:t xml:space="preserve">, y</w:t>
      </w:r>
    </w:p>
    <w:p w:rsidR="00000000" w:rsidDel="00000000" w:rsidP="00000000" w:rsidRDefault="00000000" w:rsidRPr="00000000" w14:paraId="00000084">
      <w:pPr>
        <w:spacing w:line="276" w:lineRule="auto"/>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 encuentre en posesión de los Sujetos Obligados.”</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24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derecho de acceso a la información encuentra su materia elemental en los documentos, y la Ley de Transparencia local nos brinda el siguiente concepto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0"/>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para darnos un mejor panorama:</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spacing w:line="276" w:lineRule="auto"/>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 </w:t>
      </w:r>
      <w:r w:rsidDel="00000000" w:rsidR="00000000" w:rsidRPr="00000000">
        <w:rPr>
          <w:rFonts w:ascii="Palatino Linotype" w:cs="Palatino Linotype" w:eastAsia="Palatino Linotype" w:hAnsi="Palatino Linotype"/>
          <w:i w:val="1"/>
          <w:sz w:val="22"/>
          <w:szCs w:val="22"/>
          <w:rtl w:val="0"/>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24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Correlativo a lo anterior, debemos tomar en cuenta los artículos 4 y 12, de la Ley de Transparencia y Acceso a la Información Pública del Estado de México y Municipios, los cuales establecen lo siguiente: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 </w:t>
      </w:r>
      <w:r w:rsidDel="00000000" w:rsidR="00000000" w:rsidRPr="00000000">
        <w:rPr>
          <w:rFonts w:ascii="Palatino Linotype" w:cs="Palatino Linotype" w:eastAsia="Palatino Linotype" w:hAnsi="Palatino Linotype"/>
          <w:i w:val="1"/>
          <w:sz w:val="22"/>
          <w:szCs w:val="22"/>
          <w:rtl w:val="0"/>
        </w:rPr>
        <w:t xml:space="preserve">El derecho humano de acceso a la información pública es la prerrogativa de las personas para buscar, difundir, investigar, recabar, recibir y solicitar información pública, sin necesidad de acreditar personalidad ni interés jurídico.</w:t>
      </w:r>
    </w:p>
    <w:p w:rsidR="00000000" w:rsidDel="00000000" w:rsidP="00000000" w:rsidRDefault="00000000" w:rsidRPr="00000000" w14:paraId="0000008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8C">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8D">
      <w:pPr>
        <w:spacing w:line="276" w:lineRule="auto"/>
        <w:ind w:right="567"/>
        <w:jc w:val="both"/>
        <w:rPr>
          <w:rFonts w:ascii="Palatino Linotype" w:cs="Palatino Linotype" w:eastAsia="Palatino Linotype" w:hAnsi="Palatino Linotype"/>
          <w:i w:val="1"/>
          <w:color w:val="000000"/>
          <w:sz w:val="28"/>
          <w:szCs w:val="28"/>
        </w:rPr>
      </w:pPr>
      <w:r w:rsidDel="00000000" w:rsidR="00000000" w:rsidRPr="00000000">
        <w:rPr>
          <w:rtl w:val="0"/>
        </w:rPr>
      </w:r>
    </w:p>
    <w:p w:rsidR="00000000" w:rsidDel="00000000" w:rsidP="00000000" w:rsidRDefault="00000000" w:rsidRPr="00000000" w14:paraId="0000008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 Quienes generen, recopilen, administren, manejen, procesen, archiven o conserven información pública serán responsables de la misma en los términos de las disposiciones jurídicas aplicables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90">
      <w:pPr>
        <w:spacing w:line="276" w:lineRule="auto"/>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24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así que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otro lado, la Ley de la materia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1"/>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sentido, por un lado, se tiene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obligación de documentar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superscript"/>
        </w:rPr>
        <w:footnoteReference w:customMarkFollows="0" w:id="2"/>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máxima publicidad; sobre éste último se debe poner mayor énfasis, puesto que establece que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toda la información en posesión de los Sujetos Obligados será</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pública, completa,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oportuna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accesible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lo que permite que la ciudadanía tenga un amplio acceso sobre lo que es el actuar de las autoridades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24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Robustece lo anterior la Tesis aislada identificada con la clave I.4º.A.40 A del Cuarto Tribunal colegiado en Materia Administrativa del Primer Circuito, publicada en el Seminario Judicial de la Federación y su Gaceta en el libro XVIII, Marzo 2013, Página 1899:</w:t>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pos="142"/>
          <w:tab w:val="left" w:pos="284"/>
          <w:tab w:val="left" w:pos="426"/>
        </w:tabs>
        <w:spacing w:line="276" w:lineRule="auto"/>
        <w:ind w:left="567" w:right="567"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ACCESO A LA INFORMACIÓN. IMPLICACIÓN DEL PRINCIPIO DE MÁXIMA PUBLICIDAD EN EL DERECHO FUNDAMENTAL RELATIVO.</w:t>
      </w:r>
      <w:r w:rsidDel="00000000" w:rsidR="00000000" w:rsidRPr="00000000">
        <w:rPr>
          <w:rFonts w:ascii="Palatino Linotype" w:cs="Palatino Linotype" w:eastAsia="Palatino Linotype" w:hAnsi="Palatino Linotype"/>
          <w:i w:val="1"/>
          <w:color w:val="000000"/>
          <w:sz w:val="22"/>
          <w:szCs w:val="22"/>
          <w:rtl w:val="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24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Tal 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permite que las personas ejerzan un medio de control sobre las acciones que se están ejerciendo y evaluar su desempeño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Razón de lo anterior,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no puede referir que alguno de sus servidores públicos cuenta con un grado profesional o experiencia específica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sin contar con el o los documentos que lo acrediten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pues, al remitir la semblanza curricular de la Presidenta Municipal, se infiere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debe existir dentro de su expediente de personal los documentos que sustenten el grado académico y experiencia señalada en ella.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consecuencia, esté Órgano Garante encuentra conforme a derecho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modificar</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otorgada a la solicitud de información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00112/ATIZAPAN/IP/2021</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 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ordena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entregar, previa búsqueda exhaustiva y razonable, en versión pública, de los documentos que evidencien la semblanza curricular de la Presidenta Municipal, que se anexó a la respuesta.</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240" w:before="0" w:line="360" w:lineRule="auto"/>
        <w:ind w:left="0" w:right="51"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obstante, si una vez realizada la búsqueda de la información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concluyera que ésta no obra en sus archivos, así deberá informarlo al particular de manera clara y precisa toda vez que su repuesta careció de los principios de exhaustividad y congruencia, en términos del criterio 2/2017, emitido por el Instituto Nacional de Transparencia, que señala:</w:t>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pos="142"/>
          <w:tab w:val="left" w:pos="284"/>
          <w:tab w:val="left" w:pos="426"/>
        </w:tabs>
        <w:spacing w:line="276" w:lineRule="auto"/>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Congruencia y exhaustividad.</w:t>
      </w:r>
      <w:r w:rsidDel="00000000" w:rsidR="00000000" w:rsidRPr="00000000">
        <w:rPr>
          <w:rFonts w:ascii="Palatino Linotype" w:cs="Palatino Linotype" w:eastAsia="Palatino Linotype" w:hAnsi="Palatino Linotype"/>
          <w:i w:val="1"/>
          <w:color w:val="000000"/>
          <w:sz w:val="22"/>
          <w:szCs w:val="22"/>
          <w:rtl w:val="0"/>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pos="142"/>
          <w:tab w:val="left" w:pos="284"/>
          <w:tab w:val="left" w:pos="426"/>
        </w:tabs>
        <w:spacing w:line="276" w:lineRule="auto"/>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Resoluciones:</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pos="142"/>
          <w:tab w:val="left" w:pos="284"/>
          <w:tab w:val="left" w:pos="426"/>
        </w:tabs>
        <w:spacing w:line="276" w:lineRule="auto"/>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RRA 0003/16. Comisión Nacional de las Zonas Áridas. 29 de junio de 2016. Por unanimidad. Comisionado Ponente Oscar Mauricio Guerra Ford.</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pos="142"/>
          <w:tab w:val="left" w:pos="284"/>
          <w:tab w:val="left" w:pos="426"/>
        </w:tabs>
        <w:spacing w:line="276" w:lineRule="auto"/>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RRA 0100/16. Sindicato Nacional de Trabajadores de la Educación. 13 de julio de 2016. Por unanimidad. Comisionada Ponente. Areli Cano Guadiana.</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pos="142"/>
          <w:tab w:val="left" w:pos="284"/>
          <w:tab w:val="left" w:pos="426"/>
        </w:tabs>
        <w:spacing w:after="0" w:line="276" w:lineRule="auto"/>
        <w:ind w:left="567" w:right="567"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RRA 1419/16. Secretaría de Educación Pública. 14 de septiembre de 2016. Por unanimidad. Comisionado Ponente Rosendoevgueni Monterrey Chepov.” (Sic)</w:t>
      </w:r>
    </w:p>
    <w:p w:rsidR="00000000" w:rsidDel="00000000" w:rsidP="00000000" w:rsidRDefault="00000000" w:rsidRPr="00000000" w14:paraId="000000A5">
      <w:pPr>
        <w:spacing w:after="0" w:before="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6">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0A7">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after="240" w:before="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0A9">
      <w:pPr>
        <w:spacing w:after="240" w:before="240" w:line="276"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0AA">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0AB">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AC">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0AD">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AE">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0AF">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0">
      <w:pPr>
        <w:spacing w:after="240" w:before="240" w:line="276"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0B1">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B2">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0B3">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B4">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(Sic)</w:t>
      </w:r>
    </w:p>
    <w:p w:rsidR="00000000" w:rsidDel="00000000" w:rsidP="00000000" w:rsidRDefault="00000000" w:rsidRPr="00000000" w14:paraId="000000B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0B6">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0B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0B8">
      <w:pP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B9">
      <w:pP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A">
      <w:pP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B">
      <w:pP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BC">
      <w:pP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0BD">
      <w:pP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w:t>
      </w:r>
    </w:p>
    <w:p w:rsidR="00000000" w:rsidDel="00000000" w:rsidP="00000000" w:rsidRDefault="00000000" w:rsidRPr="00000000" w14:paraId="000000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0B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0C0">
      <w:pPr>
        <w:spacing w:after="240" w:before="240" w:line="276"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Ley.”(Sic)</w:t>
      </w:r>
    </w:p>
    <w:p w:rsidR="00000000" w:rsidDel="00000000" w:rsidP="00000000" w:rsidRDefault="00000000" w:rsidRPr="00000000" w14:paraId="000000C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0C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destaca que la versión pública que elabore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0C3">
      <w:pPr>
        <w:spacing w:after="240" w:before="240" w:line="276" w:lineRule="auto"/>
        <w:ind w:left="709" w:right="70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p>
    <w:p w:rsidR="00000000" w:rsidDel="00000000" w:rsidP="00000000" w:rsidRDefault="00000000" w:rsidRPr="00000000" w14:paraId="000000C4">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p>
    <w:p w:rsidR="00000000" w:rsidDel="00000000" w:rsidP="00000000" w:rsidRDefault="00000000" w:rsidRPr="00000000" w14:paraId="000000C5">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p>
    <w:p w:rsidR="00000000" w:rsidDel="00000000" w:rsidP="00000000" w:rsidRDefault="00000000" w:rsidRPr="00000000" w14:paraId="000000C6">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0C7">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0C8">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0C9">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w:t>
      </w:r>
      <w:r w:rsidDel="00000000" w:rsidR="00000000" w:rsidRPr="00000000">
        <w:rPr>
          <w:rFonts w:ascii="Palatino Linotype" w:cs="Palatino Linotype" w:eastAsia="Palatino Linotype" w:hAnsi="Palatino Linotype"/>
          <w:i w:val="1"/>
          <w:sz w:val="22"/>
          <w:szCs w:val="22"/>
          <w:rtl w:val="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00000" w:rsidDel="00000000" w:rsidP="00000000" w:rsidRDefault="00000000" w:rsidRPr="00000000" w14:paraId="000000CA">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 y de interés público.</w:t>
      </w:r>
    </w:p>
    <w:p w:rsidR="00000000" w:rsidDel="00000000" w:rsidP="00000000" w:rsidRDefault="00000000" w:rsidRPr="00000000" w14:paraId="000000CB">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CC">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CD">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CE">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0CF">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p>
    <w:p w:rsidR="00000000" w:rsidDel="00000000" w:rsidP="00000000" w:rsidRDefault="00000000" w:rsidRPr="00000000" w14:paraId="000000D0">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0D1">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0D2">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también deberá comprender las circunstancias que justifican el establecimiento de determinado plazo de reserva.</w:t>
      </w:r>
    </w:p>
    <w:p w:rsidR="00000000" w:rsidDel="00000000" w:rsidP="00000000" w:rsidRDefault="00000000" w:rsidRPr="00000000" w14:paraId="000000D3">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p>
    <w:p w:rsidR="00000000" w:rsidDel="00000000" w:rsidP="00000000" w:rsidRDefault="00000000" w:rsidRPr="00000000" w14:paraId="000000D4">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contenidos en los archivos históricos y los identificados como históricos confidenciales no serán susceptibles de clasificación como reservados.</w:t>
      </w:r>
    </w:p>
    <w:p w:rsidR="00000000" w:rsidDel="00000000" w:rsidP="00000000" w:rsidRDefault="00000000" w:rsidRPr="00000000" w14:paraId="000000D5">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0D6">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0000" w:rsidDel="00000000" w:rsidP="00000000" w:rsidRDefault="00000000" w:rsidRPr="00000000" w14:paraId="000000D7">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0D8">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0D9">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A">
      <w:pPr>
        <w:spacing w:after="240" w:before="240" w:line="276" w:lineRule="auto"/>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0DB">
      <w:pPr>
        <w:spacing w:after="240" w:before="240" w:line="276" w:lineRule="auto"/>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LEYENDA DE CLASIFICACIÓN</w:t>
      </w:r>
    </w:p>
    <w:p w:rsidR="00000000" w:rsidDel="00000000" w:rsidP="00000000" w:rsidRDefault="00000000" w:rsidRPr="00000000" w14:paraId="000000DC">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w:t>
      </w:r>
      <w:r w:rsidDel="00000000" w:rsidR="00000000" w:rsidRPr="00000000">
        <w:rPr>
          <w:rFonts w:ascii="Palatino Linotype" w:cs="Palatino Linotype" w:eastAsia="Palatino Linotype" w:hAnsi="Palatino Linotype"/>
          <w:b w:val="1"/>
          <w:i w:val="1"/>
          <w:sz w:val="22"/>
          <w:szCs w:val="22"/>
          <w:u w:val="single"/>
          <w:rtl w:val="0"/>
        </w:rPr>
        <w:t xml:space="preserve">Los titulares de las áreas de los sujetos obligados podrán utilizar los formatos contenidos en el presente Capítulo como modelo</w:t>
      </w:r>
      <w:r w:rsidDel="00000000" w:rsidR="00000000" w:rsidRPr="00000000">
        <w:rPr>
          <w:rFonts w:ascii="Palatino Linotype" w:cs="Palatino Linotype" w:eastAsia="Palatino Linotype" w:hAnsi="Palatino Linotype"/>
          <w:i w:val="1"/>
          <w:sz w:val="22"/>
          <w:szCs w:val="22"/>
          <w:rtl w:val="0"/>
        </w:rPr>
        <w:t xml:space="preserve"> para señalar la clasificación de documentos o expedientes, sin perjuicio de que establezcan los propios.</w:t>
      </w:r>
    </w:p>
    <w:p w:rsidR="00000000" w:rsidDel="00000000" w:rsidP="00000000" w:rsidRDefault="00000000" w:rsidRPr="00000000" w14:paraId="000000DD">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E">
      <w:pPr>
        <w:spacing w:after="240" w:before="24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parcial de un documento</w:t>
      </w:r>
      <w:r w:rsidDel="00000000" w:rsidR="00000000" w:rsidRPr="00000000">
        <w:rPr>
          <w:rFonts w:ascii="Palatino Linotype" w:cs="Palatino Linotype" w:eastAsia="Palatino Linotype" w:hAnsi="Palatino Linotype"/>
          <w:i w:val="1"/>
          <w:sz w:val="22"/>
          <w:szCs w:val="22"/>
          <w:rtl w:val="0"/>
        </w:rPr>
        <w:t xml:space="preserve">, es el siguiente:</w:t>
      </w:r>
    </w:p>
    <w:tbl>
      <w:tblPr>
        <w:tblStyle w:val="Table1"/>
        <w:tblW w:w="76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990"/>
        <w:gridCol w:w="4531"/>
        <w:tblGridChange w:id="0">
          <w:tblGrid>
            <w:gridCol w:w="1129"/>
            <w:gridCol w:w="1990"/>
            <w:gridCol w:w="4531"/>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DF">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after="240" w:before="240" w:line="276" w:lineRule="auto"/>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Concepto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spacing w:after="240" w:before="240" w:line="276" w:lineRule="auto"/>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Dónde:</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spacing w:after="240" w:before="240" w:line="276" w:lineRule="auto"/>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Sello oficial o logotipo del sujeto obligado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after="240" w:before="240"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Fecha de clasificación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anotará la fecha en la que el Comité de Transparencia confirmó la clasificación del documento, en su caso.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spacing w:after="240" w:before="240"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Área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señalará el nombre del área del cual es titular quien clasifica.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after="240" w:before="240"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Información reservada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spacing w:after="240" w:before="240"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Periodo de reserva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anotará el número de años o meses por los que se mantendrá el documento o las partes del mismo como reservado.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after="240" w:before="240"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Fundamento legal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señalará el nombre del ordenamiento, el o los artículos, fracción(es), párrafo(s) con base en los cuales se sustente la reserva.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spacing w:after="240" w:before="240"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Ampliación del periodo de reserva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spacing w:after="240" w:before="240"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Confidencial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spacing w:after="240" w:before="240"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Fundamento legal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señalará el nombre del ordenamiento, el o los artículos, fracción(es), párrafo(s) con base en los cuales se sustente la confidencialidad.</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spacing w:after="240" w:before="240"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Rúbrica del titular del área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Rúbrica autógrafa de quien clasifica.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spacing w:after="240" w:before="240"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Fecha de desclasificación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anotará la fecha en que se desclasifica el documento.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spacing w:after="240" w:before="240"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Rúbrica y cargo del servidor público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spacing w:after="240" w:before="240" w:line="276" w:lineRule="auto"/>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Rúbrica autógrafa de quien desclasifica.</w:t>
            </w:r>
          </w:p>
        </w:tc>
      </w:tr>
    </w:tbl>
    <w:p w:rsidR="00000000" w:rsidDel="00000000" w:rsidP="00000000" w:rsidRDefault="00000000" w:rsidRPr="00000000" w14:paraId="000001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04">
      <w:pPr>
        <w:shd w:fill="ffffff" w:val="clea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0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00000" w:rsidDel="00000000" w:rsidP="00000000" w:rsidRDefault="00000000" w:rsidRPr="00000000" w14:paraId="000001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1080" w:right="0" w:hanging="720"/>
        <w:jc w:val="center"/>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 E S U E L V E:</w:t>
      </w:r>
    </w:p>
    <w:p w:rsidR="00000000" w:rsidDel="00000000" w:rsidP="00000000" w:rsidRDefault="00000000" w:rsidRPr="00000000" w14:paraId="000001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fundados los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00319/INFOEM/IP/RR/2022,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0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 los Considerandos Cuarto y Quinto de la presente resolución, haga entrega vía SAIMEX y en versión pública de ser procedente, de lo siguiente:</w:t>
      </w:r>
    </w:p>
    <w:p w:rsidR="00000000" w:rsidDel="00000000" w:rsidP="00000000" w:rsidRDefault="00000000" w:rsidRPr="00000000" w14:paraId="000001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Los soportes documentales que evidencien la semblanza curricular de la Presidenta Municipal de Atenco, que se anexó a la respuesta.</w:t>
      </w:r>
    </w:p>
    <w:p w:rsidR="00000000" w:rsidDel="00000000" w:rsidP="00000000" w:rsidRDefault="00000000" w:rsidRPr="00000000" w14:paraId="0000010B">
      <w:pPr>
        <w:spacing w:after="0" w:before="240" w:line="360" w:lineRule="auto"/>
        <w:ind w:right="51"/>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000000" w:rsidDel="00000000" w:rsidP="00000000" w:rsidRDefault="00000000" w:rsidRPr="00000000" w14:paraId="0000010C">
      <w:pPr>
        <w:spacing w:after="0" w:before="0" w:line="360" w:lineRule="auto"/>
        <w:ind w:right="51"/>
        <w:jc w:val="both"/>
        <w:rPr>
          <w:rFonts w:ascii="Palatino Linotype" w:cs="Palatino Linotype" w:eastAsia="Palatino Linotype" w:hAnsi="Palatino Linotype"/>
          <w:b w:val="1"/>
          <w:i w:val="1"/>
          <w:color w:val="ff0000"/>
        </w:rPr>
      </w:pPr>
      <w:r w:rsidDel="00000000" w:rsidR="00000000" w:rsidRPr="00000000">
        <w:rPr>
          <w:rtl w:val="0"/>
        </w:rPr>
      </w:r>
    </w:p>
    <w:p w:rsidR="00000000" w:rsidDel="00000000" w:rsidP="00000000" w:rsidRDefault="00000000" w:rsidRPr="00000000" w14:paraId="0000010D">
      <w:pPr>
        <w:spacing w:after="0" w:before="0" w:line="360" w:lineRule="auto"/>
        <w:ind w:right="51"/>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el caso de que no cuente con los soportes documentales que se ordenan, bastará que así se lo haga saber al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de manera fundada y motivada. </w:t>
      </w:r>
    </w:p>
    <w:p w:rsidR="00000000" w:rsidDel="00000000" w:rsidP="00000000" w:rsidRDefault="00000000" w:rsidRPr="00000000" w14:paraId="0000010E">
      <w:pPr>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F">
      <w:pPr>
        <w:spacing w:after="240" w:before="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highlight w:val="white"/>
          <w:rtl w:val="0"/>
        </w:rPr>
        <w:t xml:space="preserve"> Notifíquese vía SAIMEX,</w:t>
      </w:r>
      <w:r w:rsidDel="00000000" w:rsidR="00000000" w:rsidRPr="00000000">
        <w:rPr>
          <w:rFonts w:ascii="Palatino Linotype" w:cs="Palatino Linotype" w:eastAsia="Palatino Linotype" w:hAnsi="Palatino Linotype"/>
          <w:b w:val="1"/>
          <w:i w:val="1"/>
          <w:highlight w:val="white"/>
          <w:rtl w:val="0"/>
        </w:rPr>
        <w:t xml:space="preserve"> </w:t>
      </w:r>
      <w:r w:rsidDel="00000000" w:rsidR="00000000" w:rsidRPr="00000000">
        <w:rPr>
          <w:rFonts w:ascii="Palatino Linotype" w:cs="Palatino Linotype" w:eastAsia="Palatino Linotype" w:hAnsi="Palatino Linotype"/>
          <w:highlight w:val="white"/>
          <w:rtl w:val="0"/>
        </w:rPr>
        <w:t xml:space="preserve">al Responsable de la Unidad de Transparencia del </w:t>
      </w:r>
      <w:r w:rsidDel="00000000" w:rsidR="00000000" w:rsidRPr="00000000">
        <w:rPr>
          <w:rFonts w:ascii="Palatino Linotype" w:cs="Palatino Linotype" w:eastAsia="Palatino Linotype" w:hAnsi="Palatino Linotype"/>
          <w:b w:val="1"/>
          <w:highlight w:val="white"/>
          <w:rtl w:val="0"/>
        </w:rPr>
        <w:t xml:space="preserve">SUJETO OBLIGADO</w:t>
      </w:r>
      <w:r w:rsidDel="00000000" w:rsidR="00000000" w:rsidRPr="00000000">
        <w:rPr>
          <w:rFonts w:ascii="Palatino Linotype" w:cs="Palatino Linotype" w:eastAsia="Palatino Linotype" w:hAnsi="Palatino Linotype"/>
          <w:highlight w:val="white"/>
          <w:rtl w:val="0"/>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000000" w:rsidDel="00000000" w:rsidP="00000000" w:rsidRDefault="00000000" w:rsidRPr="00000000" w14:paraId="0000011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b w:val="1"/>
          <w:highlight w:val="white"/>
          <w:rtl w:val="0"/>
        </w:rPr>
        <w:t xml:space="preserve">Notifíquese vía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000000" w:rsidDel="00000000" w:rsidP="00000000" w:rsidRDefault="00000000" w:rsidRPr="00000000" w14:paraId="000001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12">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color w:val="222222"/>
          <w:highlight w:val="whit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NUEVE</w:t>
      </w:r>
      <w:r w:rsidDel="00000000" w:rsidR="00000000" w:rsidRPr="00000000">
        <w:rPr>
          <w:rFonts w:ascii="Palatino Linotype" w:cs="Palatino Linotype" w:eastAsia="Palatino Linotype" w:hAnsi="Palatino Linotype"/>
          <w:rtl w:val="0"/>
        </w:rPr>
        <w:t xml:space="preserve"> DE MARZO DEL DOS MIL VEINTIDÓS, ANTE EL SECRETARIO TÉCNICO DEL PLENO ALEXIS TAPIA RAMÍREZ.    </w:t>
      </w:r>
    </w:p>
    <w:p w:rsidR="00000000" w:rsidDel="00000000" w:rsidP="00000000" w:rsidRDefault="00000000" w:rsidRPr="00000000" w14:paraId="00000113">
      <w:pPr>
        <w:spacing w:after="240" w:before="240" w:line="360" w:lineRule="auto"/>
        <w:jc w:val="both"/>
        <w:rPr>
          <w:rFonts w:ascii="Palatino Linotype" w:cs="Palatino Linotype" w:eastAsia="Palatino Linotype" w:hAnsi="Palatino Linotype"/>
        </w:rPr>
        <w:sectPr>
          <w:headerReference r:id="rId18" w:type="default"/>
          <w:headerReference r:id="rId19" w:type="first"/>
          <w:footerReference r:id="rId20" w:type="default"/>
          <w:footerReference r:id="rId21" w:type="first"/>
          <w:pgSz w:h="15840" w:w="12240" w:orient="portrait"/>
          <w:pgMar w:bottom="1276" w:top="1417" w:left="1701" w:right="1701" w:header="709" w:footer="709"/>
          <w:pgNumType w:start="1"/>
          <w:titlePg w:val="1"/>
        </w:sectPr>
      </w:pPr>
      <w:r w:rsidDel="00000000" w:rsidR="00000000" w:rsidRPr="00000000">
        <w:rPr>
          <w:rtl w:val="0"/>
        </w:rPr>
      </w:r>
    </w:p>
    <w:p w:rsidR="00000000" w:rsidDel="00000000" w:rsidP="00000000" w:rsidRDefault="00000000" w:rsidRPr="00000000" w14:paraId="00000114">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22" w:type="first"/>
      <w:type w:val="nextPage"/>
      <w:pgSz w:h="15840" w:w="12240" w:orient="portrait"/>
      <w:pgMar w:bottom="1276" w:top="1417"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Página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de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Página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de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5">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Artículo 3, fracción XI, Ley de Transparencia y Acceso a la Información Pública del Estado de México y Municipios.</w:t>
      </w:r>
      <w:r w:rsidDel="00000000" w:rsidR="00000000" w:rsidRPr="00000000">
        <w:rPr>
          <w:rtl w:val="0"/>
        </w:rPr>
      </w:r>
    </w:p>
  </w:footnote>
  <w:footnote w:id="1">
    <w:p w:rsidR="00000000" w:rsidDel="00000000" w:rsidP="00000000" w:rsidRDefault="00000000" w:rsidRPr="00000000" w14:paraId="00000116">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Artículo 11, Ley de Transparencia y Acceso a la Información Pública del Estado de México y Municipios.</w:t>
      </w:r>
      <w:r w:rsidDel="00000000" w:rsidR="00000000" w:rsidRPr="00000000">
        <w:rPr>
          <w:rtl w:val="0"/>
        </w:rPr>
      </w:r>
    </w:p>
  </w:footnote>
  <w:footnote w:id="2">
    <w:p w:rsidR="00000000" w:rsidDel="00000000" w:rsidP="00000000" w:rsidRDefault="00000000" w:rsidRPr="00000000" w14:paraId="00000117">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8"/>
          <w:szCs w:val="18"/>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8"/>
          <w:szCs w:val="18"/>
          <w:rtl w:val="0"/>
        </w:rPr>
        <w:t xml:space="preserve">Ley de Transparencia y Acceso a la Información Pública del Estado de México y Municipios. </w:t>
      </w:r>
    </w:p>
    <w:p w:rsidR="00000000" w:rsidDel="00000000" w:rsidP="00000000" w:rsidRDefault="00000000" w:rsidRPr="00000000" w14:paraId="00000118">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“Artículo 9.(…)</w:t>
      </w:r>
    </w:p>
    <w:p w:rsidR="00000000" w:rsidDel="00000000" w:rsidP="00000000" w:rsidRDefault="00000000" w:rsidRPr="00000000" w14:paraId="00000119">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II. Eficacia: Obligación del Instituto para tutelar, de manera efectiva, el derecho de acceso a la información;</w:t>
      </w:r>
    </w:p>
    <w:p w:rsidR="00000000" w:rsidDel="00000000" w:rsidP="00000000" w:rsidRDefault="00000000" w:rsidRPr="00000000" w14:paraId="0000011A">
      <w:pPr>
        <w:pBdr>
          <w:top w:space="0" w:sz="0" w:val="nil"/>
          <w:left w:space="0" w:sz="0" w:val="nil"/>
          <w:bottom w:space="0" w:sz="0" w:val="nil"/>
          <w:right w:space="0" w:sz="0" w:val="nil"/>
          <w:between w:space="0" w:sz="0" w:val="nil"/>
        </w:pBdr>
        <w:rPr>
          <w:color w:val="000000"/>
          <w:sz w:val="20"/>
          <w:szCs w:val="20"/>
        </w:rPr>
      </w:pPr>
      <w:r w:rsidDel="00000000" w:rsidR="00000000" w:rsidRPr="00000000">
        <w:rPr>
          <w:rFonts w:ascii="Cambria" w:cs="Cambria" w:eastAsia="Cambria" w:hAnsi="Cambria"/>
          <w:color w:val="000000"/>
          <w:sz w:val="20"/>
          <w:szCs w:val="20"/>
          <w:rtl w:val="0"/>
        </w:rPr>
        <w:t xml:space="preserv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-651052</wp:posOffset>
          </wp:positionH>
          <wp:positionV relativeFrom="paragraph">
            <wp:posOffset>-322503</wp:posOffset>
          </wp:positionV>
          <wp:extent cx="7635600" cy="9943200"/>
          <wp:effectExtent b="0" l="0" r="0" t="0"/>
          <wp:wrapNone/>
          <wp:docPr id="39"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1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1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00319/INFOEM/IP/RR/2022 </w:t>
          </w:r>
        </w:p>
      </w:tc>
    </w:tr>
    <w:tr>
      <w:trPr>
        <w:cantSplit w:val="0"/>
        <w:tblHeader w:val="0"/>
      </w:trPr>
      <w:tc>
        <w:tcPr>
          <w:vAlign w:val="center"/>
        </w:tcPr>
        <w:p w:rsidR="00000000" w:rsidDel="00000000" w:rsidP="00000000" w:rsidRDefault="00000000" w:rsidRPr="00000000" w14:paraId="0000011E">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1F">
          <w:pPr>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2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2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Atenco.</w:t>
          </w:r>
        </w:p>
      </w:tc>
    </w:tr>
    <w:tr>
      <w:trPr>
        <w:cantSplit w:val="0"/>
        <w:tblHeader w:val="0"/>
      </w:trPr>
      <w:tc>
        <w:tcPr>
          <w:vAlign w:val="center"/>
        </w:tcPr>
        <w:p w:rsidR="00000000" w:rsidDel="00000000" w:rsidP="00000000" w:rsidRDefault="00000000" w:rsidRPr="00000000" w14:paraId="0000012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23">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-680312</wp:posOffset>
          </wp:positionH>
          <wp:positionV relativeFrom="paragraph">
            <wp:posOffset>-454177</wp:posOffset>
          </wp:positionV>
          <wp:extent cx="7635600" cy="9943200"/>
          <wp:effectExtent b="0" l="0" r="0" t="0"/>
          <wp:wrapNone/>
          <wp:docPr id="44"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3"/>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2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2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00319/INFOEM/IP/RR/2022.</w:t>
          </w:r>
        </w:p>
      </w:tc>
    </w:tr>
    <w:tr>
      <w:trPr>
        <w:cantSplit w:val="0"/>
        <w:trHeight w:val="228" w:hRule="atLeast"/>
        <w:tblHeader w:val="0"/>
      </w:trPr>
      <w:tc>
        <w:tcPr>
          <w:vAlign w:val="center"/>
        </w:tcPr>
        <w:p w:rsidR="00000000" w:rsidDel="00000000" w:rsidP="00000000" w:rsidRDefault="00000000" w:rsidRPr="00000000" w14:paraId="0000012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2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Atenco.</w:t>
          </w:r>
        </w:p>
      </w:tc>
    </w:tr>
    <w:tr>
      <w:trPr>
        <w:cantSplit w:val="0"/>
        <w:tblHeader w:val="0"/>
      </w:trPr>
      <w:tc>
        <w:tcPr>
          <w:vAlign w:val="center"/>
        </w:tcPr>
        <w:p w:rsidR="00000000" w:rsidDel="00000000" w:rsidP="00000000" w:rsidRDefault="00000000" w:rsidRPr="00000000" w14:paraId="0000012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2B">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righ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E5396"/>
    <w:pPr>
      <w:spacing w:after="0" w:line="240" w:lineRule="auto"/>
    </w:pPr>
    <w:rPr>
      <w:rFonts w:ascii="Times New Roman" w:cs="Times New Roman" w:eastAsia="Times New Roman" w:hAnsi="Times New Roman"/>
      <w:sz w:val="24"/>
      <w:szCs w:val="24"/>
      <w:lang w:eastAsia="es-ES" w:val="es-ES"/>
    </w:rPr>
  </w:style>
  <w:style w:type="paragraph" w:styleId="Ttulo1">
    <w:name w:val="heading 1"/>
    <w:basedOn w:val="Normal"/>
    <w:link w:val="Ttulo1Car"/>
    <w:uiPriority w:val="9"/>
    <w:qFormat w:val="1"/>
    <w:rsid w:val="00815308"/>
    <w:pPr>
      <w:spacing w:after="100" w:afterAutospacing="1" w:before="100" w:beforeAutospacing="1"/>
      <w:outlineLvl w:val="0"/>
    </w:pPr>
    <w:rPr>
      <w:b w:val="1"/>
      <w:bCs w:val="1"/>
      <w:kern w:val="36"/>
      <w:sz w:val="48"/>
      <w:szCs w:val="48"/>
      <w:lang w:eastAsia="es-MX" w:val="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independiente">
    <w:name w:val="Body Text"/>
    <w:basedOn w:val="Normal"/>
    <w:link w:val="TextoindependienteCar"/>
    <w:uiPriority w:val="1"/>
    <w:unhideWhenUsed w:val="1"/>
    <w:qFormat w:val="1"/>
    <w:rsid w:val="002E5396"/>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2E5396"/>
    <w:rPr>
      <w:rFonts w:ascii="Times New Roman" w:cs="Times New Roman" w:hAnsi="Times New Roman"/>
      <w:sz w:val="23"/>
      <w:szCs w:val="23"/>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2E5396"/>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2E5396"/>
    <w:pPr>
      <w:ind w:left="708"/>
    </w:pPr>
    <w:rPr>
      <w:sz w:val="22"/>
      <w:szCs w:val="22"/>
      <w:lang w:eastAsia="en-US"/>
    </w:rPr>
  </w:style>
  <w:style w:type="paragraph" w:styleId="paragraph" w:customStyle="1">
    <w:name w:val="paragraph"/>
    <w:basedOn w:val="Normal"/>
    <w:rsid w:val="002E5396"/>
    <w:pPr>
      <w:spacing w:after="100" w:afterAutospacing="1" w:before="100" w:beforeAutospacing="1"/>
    </w:pPr>
    <w:rPr>
      <w:lang w:eastAsia="es-MX" w:val="es-MX"/>
    </w:rPr>
  </w:style>
  <w:style w:type="character" w:styleId="normaltextrun" w:customStyle="1">
    <w:name w:val="normaltextrun"/>
    <w:basedOn w:val="Fuentedeprrafopredeter"/>
    <w:rsid w:val="002E5396"/>
  </w:style>
  <w:style w:type="character" w:styleId="apple-converted-space" w:customStyle="1">
    <w:name w:val="apple-converted-space"/>
    <w:basedOn w:val="Fuentedeprrafopredeter"/>
    <w:rsid w:val="002E5396"/>
  </w:style>
  <w:style w:type="character" w:styleId="eop" w:customStyle="1">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eastAsia="es-ES" w:val="es-ES_tradnl"/>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2E5396"/>
    <w:rPr>
      <w:color w:val="0000ff"/>
      <w:u w:val="single"/>
    </w:rPr>
  </w:style>
  <w:style w:type="paragraph" w:styleId="Encabezado">
    <w:name w:val="header"/>
    <w:basedOn w:val="Normal"/>
    <w:link w:val="EncabezadoCar"/>
    <w:uiPriority w:val="99"/>
    <w:unhideWhenUsed w:val="1"/>
    <w:rsid w:val="00224D6A"/>
    <w:pPr>
      <w:tabs>
        <w:tab w:val="center" w:pos="4419"/>
        <w:tab w:val="right" w:pos="8838"/>
      </w:tabs>
    </w:pPr>
  </w:style>
  <w:style w:type="character" w:styleId="EncabezadoCar" w:customStyle="1">
    <w:name w:val="Encabezado Car"/>
    <w:basedOn w:val="Fuentedeprrafopredeter"/>
    <w:link w:val="Encabezado"/>
    <w:uiPriority w:val="99"/>
    <w:rsid w:val="00224D6A"/>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224D6A"/>
    <w:pPr>
      <w:tabs>
        <w:tab w:val="center" w:pos="4419"/>
        <w:tab w:val="right" w:pos="8838"/>
      </w:tabs>
    </w:pPr>
  </w:style>
  <w:style w:type="character" w:styleId="PiedepginaCar" w:customStyle="1">
    <w:name w:val="Pie de página Car"/>
    <w:basedOn w:val="Fuentedeprrafopredeter"/>
    <w:link w:val="Piedepgina"/>
    <w:uiPriority w:val="99"/>
    <w:rsid w:val="00224D6A"/>
    <w:rPr>
      <w:rFonts w:ascii="Times New Roman" w:cs="Times New Roman" w:eastAsia="Times New Roman" w:hAnsi="Times New Roman"/>
      <w:sz w:val="24"/>
      <w:szCs w:val="24"/>
      <w:lang w:eastAsia="es-ES" w:val="es-ES"/>
    </w:rPr>
  </w:style>
  <w:style w:type="paragraph" w:styleId="Sinespaciado">
    <w:name w:val="No Spacing"/>
    <w:aliases w:val="Francesa"/>
    <w:link w:val="SinespaciadoCar"/>
    <w:uiPriority w:val="1"/>
    <w:qFormat w:val="1"/>
    <w:rsid w:val="001E35F1"/>
    <w:pPr>
      <w:spacing w:after="0" w:line="240" w:lineRule="auto"/>
    </w:pPr>
  </w:style>
  <w:style w:type="character" w:styleId="SinespaciadoCar" w:customStyle="1">
    <w:name w:val="Sin espaciado Car"/>
    <w:aliases w:val="Francesa Car"/>
    <w:link w:val="Sinespaciado"/>
    <w:uiPriority w:val="1"/>
    <w:locked w:val="1"/>
    <w:rsid w:val="001E35F1"/>
  </w:style>
  <w:style w:type="character" w:styleId="Textoennegrita">
    <w:name w:val="Strong"/>
    <w:uiPriority w:val="22"/>
    <w:qFormat w:val="1"/>
    <w:rsid w:val="00FE56B6"/>
    <w:rPr>
      <w:b w:val="1"/>
      <w:bCs w:val="1"/>
    </w:rPr>
  </w:style>
  <w:style w:type="paragraph" w:styleId="Textodeglobo">
    <w:name w:val="Balloon Text"/>
    <w:basedOn w:val="Normal"/>
    <w:link w:val="TextodegloboCar"/>
    <w:uiPriority w:val="99"/>
    <w:semiHidden w:val="1"/>
    <w:unhideWhenUsed w:val="1"/>
    <w:rsid w:val="00E72E93"/>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E72E93"/>
    <w:rPr>
      <w:rFonts w:ascii="Segoe UI" w:cs="Segoe UI" w:eastAsia="Times New Roman" w:hAnsi="Segoe UI"/>
      <w:sz w:val="18"/>
      <w:szCs w:val="18"/>
      <w:lang w:eastAsia="es-ES" w:val="es-ES"/>
    </w:rPr>
  </w:style>
  <w:style w:type="character" w:styleId="Nmerodelnea">
    <w:name w:val="line number"/>
    <w:basedOn w:val="Fuentedeprrafopredeter"/>
    <w:uiPriority w:val="99"/>
    <w:semiHidden w:val="1"/>
    <w:unhideWhenUsed w:val="1"/>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14A6D"/>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cs="Times New Roman" w:eastAsia="Times New Roman" w:hAnsi="Times New Roman"/>
      <w:sz w:val="20"/>
      <w:szCs w:val="20"/>
      <w:lang w:eastAsia="es-ES" w:val="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114A6D"/>
    <w:rPr>
      <w:vertAlign w:val="superscript"/>
    </w:rPr>
  </w:style>
  <w:style w:type="paragraph" w:styleId="Default" w:customStyle="1">
    <w:name w:val="Default"/>
    <w:rsid w:val="00A13C6C"/>
    <w:pPr>
      <w:autoSpaceDE w:val="0"/>
      <w:autoSpaceDN w:val="0"/>
      <w:adjustRightInd w:val="0"/>
      <w:spacing w:after="0" w:line="240" w:lineRule="auto"/>
    </w:pPr>
    <w:rPr>
      <w:rFonts w:ascii="Arial" w:cs="Arial" w:hAnsi="Arial"/>
      <w:color w:val="000000"/>
      <w:sz w:val="24"/>
      <w:szCs w:val="24"/>
    </w:rPr>
  </w:style>
  <w:style w:type="character" w:styleId="Hipervnculovisitado">
    <w:name w:val="FollowedHyperlink"/>
    <w:basedOn w:val="Fuentedeprrafopredeter"/>
    <w:uiPriority w:val="99"/>
    <w:semiHidden w:val="1"/>
    <w:unhideWhenUsed w:val="1"/>
    <w:rsid w:val="002B22DF"/>
    <w:rPr>
      <w:color w:val="954f72" w:themeColor="followedHyperlink"/>
      <w:u w:val="single"/>
    </w:rPr>
  </w:style>
  <w:style w:type="paragraph" w:styleId="j" w:customStyle="1">
    <w:name w:val="j"/>
    <w:basedOn w:val="Normal"/>
    <w:rsid w:val="00300B23"/>
    <w:pPr>
      <w:spacing w:after="100" w:afterAutospacing="1" w:before="100" w:beforeAutospacing="1"/>
    </w:pPr>
    <w:rPr>
      <w:lang w:eastAsia="es-MX" w:val="es-MX"/>
    </w:rPr>
  </w:style>
  <w:style w:type="character" w:styleId="h" w:customStyle="1">
    <w:name w:val="h"/>
    <w:basedOn w:val="Fuentedeprrafopredeter"/>
    <w:rsid w:val="00300B23"/>
  </w:style>
  <w:style w:type="character" w:styleId="nacep" w:customStyle="1">
    <w:name w:val="n_acep"/>
    <w:basedOn w:val="Fuentedeprrafopredeter"/>
    <w:rsid w:val="00300B23"/>
  </w:style>
  <w:style w:type="character" w:styleId="A8" w:customStyle="1">
    <w:name w:val="A8"/>
    <w:uiPriority w:val="99"/>
    <w:rsid w:val="00180F38"/>
    <w:rPr>
      <w:rFonts w:cs="Raleway"/>
      <w:color w:val="211d1e"/>
      <w:sz w:val="28"/>
      <w:szCs w:val="28"/>
    </w:rPr>
  </w:style>
  <w:style w:type="character" w:styleId="Ttulo1Car" w:customStyle="1">
    <w:name w:val="Título 1 Car"/>
    <w:basedOn w:val="Fuentedeprrafopredeter"/>
    <w:link w:val="Ttulo1"/>
    <w:uiPriority w:val="9"/>
    <w:rsid w:val="00815308"/>
    <w:rPr>
      <w:rFonts w:ascii="Times New Roman" w:cs="Times New Roman" w:eastAsia="Times New Roman" w:hAnsi="Times New Roman"/>
      <w:b w:val="1"/>
      <w:bCs w:val="1"/>
      <w:kern w:val="36"/>
      <w:sz w:val="48"/>
      <w:szCs w:val="48"/>
      <w:lang w:eastAsia="es-MX"/>
    </w:rPr>
  </w:style>
  <w:style w:type="character" w:styleId="apple-style-span" w:customStyle="1">
    <w:name w:val="apple-style-span"/>
    <w:rsid w:val="00F44283"/>
  </w:style>
  <w:style w:type="character" w:styleId="UnresolvedMention" w:customStyle="1">
    <w:name w:val="Unresolved Mention"/>
    <w:basedOn w:val="Fuentedeprrafopredeter"/>
    <w:uiPriority w:val="99"/>
    <w:semiHidden w:val="1"/>
    <w:unhideWhenUsed w:val="1"/>
    <w:rsid w:val="00316E8D"/>
    <w:rPr>
      <w:color w:val="605e5c"/>
      <w:shd w:color="auto" w:fill="e1dfdd" w:val="clear"/>
    </w:rPr>
  </w:style>
  <w:style w:type="paragraph" w:styleId="NormalWeb">
    <w:name w:val="Normal (Web)"/>
    <w:basedOn w:val="Normal"/>
    <w:uiPriority w:val="99"/>
    <w:unhideWhenUsed w:val="1"/>
    <w:rsid w:val="00AB41B0"/>
    <w:pPr>
      <w:spacing w:after="100" w:afterAutospacing="1" w:before="100" w:beforeAutospacing="1"/>
    </w:pPr>
    <w:rPr>
      <w:lang w:eastAsia="es-MX" w:val="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saimex.org.mx/saimex/solicitud/downloadAttach/1311049.page" TargetMode="External"/><Relationship Id="rId22" Type="http://schemas.openxmlformats.org/officeDocument/2006/relationships/header" Target="header3.xml"/><Relationship Id="rId10" Type="http://schemas.openxmlformats.org/officeDocument/2006/relationships/image" Target="media/image5.png"/><Relationship Id="rId21"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hyperlink" Target="https://www.saimex.org.mx/saimex/solicitud/downloadAttach/1311050.pa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aimex.org.mx/saimex/solicitud/downloadAttach/1311050.page" TargetMode="External"/><Relationship Id="rId15" Type="http://schemas.openxmlformats.org/officeDocument/2006/relationships/image" Target="media/image2.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hyperlink" Target="https://www.saimex.org.mx/saimex/solicitud/downloadAttach/1311049.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OlFjVC/6rawb9Lzbr3UBTdmGMg==">AMUW2mXGdVAxjSl/AiLLwugCMIoMQiHvu0dfl+u+wDex0Bz83ELMLnscdgqHD3w0LCar9GE+ikzsDMyhyChKLp1+qJCJt+nMKE/9q5fKCLzrS5FSCwLSvAIuv28NjJFW75OmeIIIhZgm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2022-03-03T03:17:00Z</dcterms:created>
  <dc:creator>USER</dc:creator>
</cp:coreProperties>
</file>