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B6BC0" w14:textId="77777777" w:rsidR="0096200F" w:rsidRDefault="00D30C2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dieciséis de febrero del dos mil veintidós.</w:t>
      </w:r>
    </w:p>
    <w:p w14:paraId="1B417261" w14:textId="77777777" w:rsidR="0096200F" w:rsidRDefault="00D30C2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05654/INFOEM/IP/RR/2021</w:t>
      </w:r>
      <w:r>
        <w:rPr>
          <w:rFonts w:ascii="Palatino Linotype" w:eastAsia="Palatino Linotype" w:hAnsi="Palatino Linotype" w:cs="Palatino Linotype"/>
        </w:rPr>
        <w:t xml:space="preserve">, interpuesto por,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00066/SANTOTOM/IP/2021, </w:t>
      </w:r>
      <w:r>
        <w:rPr>
          <w:rFonts w:ascii="Palatino Linotype" w:eastAsia="Palatino Linotype" w:hAnsi="Palatino Linotype" w:cs="Palatino Linotype"/>
        </w:rPr>
        <w:t>por parte del Ayuntamiento de Santo Tomas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38CDAD9C" w14:textId="77777777" w:rsidR="0096200F" w:rsidRDefault="00D30C2F">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458A0041" w14:textId="77777777" w:rsidR="0096200F" w:rsidRDefault="00D30C2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veintidós de octubre del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5A389B7F" w14:textId="77777777" w:rsidR="0096200F" w:rsidRDefault="00D30C2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 podría facilitar su programa anual de evaluación de los periodos 2018, 2019, 2020 y 2021.” (Sic)</w:t>
      </w:r>
    </w:p>
    <w:p w14:paraId="48B247D4" w14:textId="77777777" w:rsidR="0096200F" w:rsidRDefault="0096200F">
      <w:pPr>
        <w:ind w:left="851" w:right="758"/>
        <w:jc w:val="both"/>
        <w:rPr>
          <w:rFonts w:ascii="Palatino Linotype" w:eastAsia="Palatino Linotype" w:hAnsi="Palatino Linotype" w:cs="Palatino Linotype"/>
          <w:i/>
          <w:sz w:val="22"/>
          <w:szCs w:val="22"/>
        </w:rPr>
      </w:pPr>
    </w:p>
    <w:p w14:paraId="7A7A710B" w14:textId="77777777" w:rsidR="0096200F" w:rsidRDefault="00D30C2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elegida para la entrega de la información: SAIMEX.</w:t>
      </w:r>
    </w:p>
    <w:p w14:paraId="464FBBD1" w14:textId="77777777" w:rsidR="0096200F" w:rsidRDefault="00D30C2F">
      <w:pPr>
        <w:spacing w:before="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diez de noviembre del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en los siguientes términos:</w:t>
      </w:r>
    </w:p>
    <w:p w14:paraId="7BE50E79" w14:textId="77777777" w:rsidR="0096200F" w:rsidRDefault="00D30C2F">
      <w:pPr>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respuesta a la solicitud recibida, nos permitimos hacer de su conocimiento que con fundamento en el artículo 53, fracciones: II, V y VI de la Ley de </w:t>
      </w:r>
      <w:r>
        <w:rPr>
          <w:rFonts w:ascii="Palatino Linotype" w:eastAsia="Palatino Linotype" w:hAnsi="Palatino Linotype" w:cs="Palatino Linotype"/>
          <w:i/>
          <w:color w:val="000000"/>
        </w:rPr>
        <w:lastRenderedPageBreak/>
        <w:t>Transparencia y Acceso a la información Pública del Estado de México y Municipios, le contestamos que:</w:t>
      </w:r>
    </w:p>
    <w:p w14:paraId="1D693816" w14:textId="77777777" w:rsidR="0096200F" w:rsidRDefault="00D30C2F">
      <w:pPr>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Por este medio me permito notificar la respuesta proporcionada por el Servidor Público habilitado de la Secretaria Técnica, P. en C.P y A. P. Alejandro González Anaya, Secretario Técnico y responsable de la UIPPE; respecto de su solicitud de información consistente en: “Me podría facilitar su programa anual de evaluación de los periodos 2018, 2019, 2020 y 2021” </w:t>
      </w:r>
      <w:r>
        <w:rPr>
          <w:rFonts w:ascii="Palatino Linotype" w:eastAsia="Palatino Linotype" w:hAnsi="Palatino Linotype" w:cs="Palatino Linotype"/>
          <w:b/>
          <w:i/>
          <w:color w:val="000000"/>
          <w:u w:val="single"/>
        </w:rPr>
        <w:t>Al respecto me permito remitir en archivo digital los programas anuales de evaluación de los periodos 2019, 2020 y 2020. Sin embargo, hago de su conocimiento que no se cuenta con el programa anual 2018, ya que no fue entregado por el anterior titular de la UIPPE en mi entrega recepción de fecha primero de enero de 2019. (sic)</w:t>
      </w:r>
      <w:r>
        <w:rPr>
          <w:rFonts w:ascii="Palatino Linotype" w:eastAsia="Palatino Linotype" w:hAnsi="Palatino Linotype" w:cs="Palatino Linotype"/>
          <w:i/>
          <w:color w:val="000000"/>
        </w:rPr>
        <w:t xml:space="preserve"> Por lo que me permito adjuntar los siguientes documentos: 1. Oficio de respuesta No. MSTM/113/S.T/09, de la Secretaria Técnica P. en C.P y A.P. Alejandro González Anaya, Secretario Técnico y responsable de la UIPPE; dirigido a la Unidad de Transparencia en fecha 10 de noviembre de 2021. 2. Programa Anual de evaluación 2019. 3. Programa Anual de Evaluación 2020. 4. Programa Anual de evaluación 2021. Atentamente Areli Vásquez Blanquel Encargada del Despacho de la Unidad de Transparencia.”      </w:t>
      </w:r>
    </w:p>
    <w:p w14:paraId="68996ED8" w14:textId="77777777" w:rsidR="0096200F" w:rsidRDefault="00D30C2F">
      <w:pPr>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(ENFASIS AÑADIDO)</w:t>
      </w:r>
    </w:p>
    <w:p w14:paraId="613E3FEA" w14:textId="77777777" w:rsidR="0096200F" w:rsidRDefault="0096200F">
      <w:pPr>
        <w:ind w:left="567" w:right="616"/>
        <w:jc w:val="both"/>
        <w:rPr>
          <w:rFonts w:ascii="Palatino Linotype" w:eastAsia="Palatino Linotype" w:hAnsi="Palatino Linotype" w:cs="Palatino Linotype"/>
          <w:i/>
          <w:color w:val="000000"/>
        </w:rPr>
      </w:pPr>
    </w:p>
    <w:p w14:paraId="2C26DFFB" w14:textId="77777777" w:rsidR="0096200F" w:rsidRDefault="00D30C2F">
      <w:pPr>
        <w:ind w:right="61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adjuntó los siguientes archivos electrónicos: </w:t>
      </w:r>
    </w:p>
    <w:p w14:paraId="6A6B7034" w14:textId="77777777" w:rsidR="0096200F" w:rsidRDefault="0096200F">
      <w:pPr>
        <w:ind w:right="616"/>
        <w:jc w:val="both"/>
        <w:rPr>
          <w:rFonts w:ascii="Palatino Linotype" w:eastAsia="Palatino Linotype" w:hAnsi="Palatino Linotype" w:cs="Palatino Linotype"/>
          <w:color w:val="000000"/>
        </w:rPr>
      </w:pPr>
    </w:p>
    <w:p w14:paraId="36BC7ACB" w14:textId="77777777" w:rsidR="0096200F" w:rsidRDefault="001356F2">
      <w:pPr>
        <w:ind w:right="616"/>
        <w:jc w:val="both"/>
        <w:rPr>
          <w:rFonts w:ascii="Palatino Linotype" w:eastAsia="Palatino Linotype" w:hAnsi="Palatino Linotype" w:cs="Palatino Linotype"/>
          <w:i/>
        </w:rPr>
      </w:pPr>
      <w:hyperlink r:id="rId8">
        <w:r w:rsidR="00D30C2F">
          <w:rPr>
            <w:rFonts w:ascii="Palatino Linotype" w:eastAsia="Palatino Linotype" w:hAnsi="Palatino Linotype" w:cs="Palatino Linotype"/>
            <w:b/>
            <w:i/>
            <w:color w:val="000000"/>
            <w:u w:val="single"/>
          </w:rPr>
          <w:t>Oficio Respuesta.pdf</w:t>
        </w:r>
      </w:hyperlink>
      <w:r w:rsidR="00D30C2F">
        <w:rPr>
          <w:rFonts w:ascii="Palatino Linotype" w:eastAsia="Palatino Linotype" w:hAnsi="Palatino Linotype" w:cs="Palatino Linotype"/>
          <w:i/>
        </w:rPr>
        <w:t xml:space="preserve">, </w:t>
      </w:r>
      <w:r w:rsidR="00D30C2F">
        <w:rPr>
          <w:rFonts w:ascii="Palatino Linotype" w:eastAsia="Palatino Linotype" w:hAnsi="Palatino Linotype" w:cs="Palatino Linotype"/>
        </w:rPr>
        <w:t>cuyo contenido es:</w:t>
      </w:r>
      <w:r w:rsidR="00D30C2F">
        <w:rPr>
          <w:rFonts w:ascii="Palatino Linotype" w:eastAsia="Palatino Linotype" w:hAnsi="Palatino Linotype" w:cs="Palatino Linotype"/>
          <w:i/>
        </w:rPr>
        <w:t xml:space="preserve"> </w:t>
      </w:r>
    </w:p>
    <w:p w14:paraId="77BF99E8" w14:textId="77777777" w:rsidR="0096200F" w:rsidRDefault="00D30C2F">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   </w:t>
      </w:r>
      <w:r>
        <w:rPr>
          <w:rFonts w:ascii="Palatino Linotype" w:eastAsia="Palatino Linotype" w:hAnsi="Palatino Linotype" w:cs="Palatino Linotype"/>
          <w:i/>
          <w:noProof/>
          <w:color w:val="000000"/>
          <w:lang w:val="es-MX" w:eastAsia="es-MX"/>
        </w:rPr>
        <w:drawing>
          <wp:inline distT="0" distB="0" distL="0" distR="0" wp14:anchorId="5EE7E18E" wp14:editId="00C4FA14">
            <wp:extent cx="5613511" cy="5911803"/>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3511" cy="5911803"/>
                    </a:xfrm>
                    <a:prstGeom prst="rect">
                      <a:avLst/>
                    </a:prstGeom>
                    <a:ln/>
                  </pic:spPr>
                </pic:pic>
              </a:graphicData>
            </a:graphic>
          </wp:inline>
        </w:drawing>
      </w:r>
    </w:p>
    <w:p w14:paraId="0C804329" w14:textId="77777777" w:rsidR="0096200F" w:rsidRDefault="0096200F">
      <w:pPr>
        <w:ind w:left="851" w:right="902"/>
        <w:jc w:val="both"/>
        <w:rPr>
          <w:rFonts w:ascii="Palatino Linotype" w:eastAsia="Palatino Linotype" w:hAnsi="Palatino Linotype" w:cs="Palatino Linotype"/>
          <w:i/>
          <w:color w:val="000000"/>
        </w:rPr>
      </w:pPr>
    </w:p>
    <w:p w14:paraId="2F9D2256" w14:textId="77777777" w:rsidR="0096200F" w:rsidRDefault="0096200F">
      <w:pPr>
        <w:spacing w:line="360" w:lineRule="auto"/>
        <w:jc w:val="both"/>
        <w:rPr>
          <w:rFonts w:ascii="Palatino Linotype" w:eastAsia="Palatino Linotype" w:hAnsi="Palatino Linotype" w:cs="Palatino Linotype"/>
          <w:b/>
        </w:rPr>
      </w:pPr>
    </w:p>
    <w:p w14:paraId="3A3AF7B0" w14:textId="77777777" w:rsidR="0096200F" w:rsidRDefault="0096200F">
      <w:pPr>
        <w:spacing w:line="360" w:lineRule="auto"/>
        <w:jc w:val="both"/>
        <w:rPr>
          <w:rFonts w:ascii="Palatino Linotype" w:eastAsia="Palatino Linotype" w:hAnsi="Palatino Linotype" w:cs="Palatino Linotype"/>
          <w:b/>
        </w:rPr>
      </w:pPr>
    </w:p>
    <w:p w14:paraId="033CE87E" w14:textId="77777777" w:rsidR="0096200F" w:rsidRDefault="0096200F">
      <w:pPr>
        <w:spacing w:line="360" w:lineRule="auto"/>
        <w:jc w:val="both"/>
        <w:rPr>
          <w:rFonts w:ascii="Palatino Linotype" w:eastAsia="Palatino Linotype" w:hAnsi="Palatino Linotype" w:cs="Palatino Linotype"/>
          <w:b/>
        </w:rPr>
      </w:pPr>
    </w:p>
    <w:p w14:paraId="52AFDD2C"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PROGRAMA ANUAL DE EVALUACIÓN 2019.pdf, </w:t>
      </w:r>
      <w:r>
        <w:rPr>
          <w:rFonts w:ascii="Palatino Linotype" w:eastAsia="Palatino Linotype" w:hAnsi="Palatino Linotype" w:cs="Palatino Linotype"/>
        </w:rPr>
        <w:t xml:space="preserve">el cual contiene la Gaceta Municipal de Santo Tomás, de abril de 2019, en la que se publicó el Programa Anual de evaluación 2019: </w:t>
      </w:r>
    </w:p>
    <w:p w14:paraId="3FC4D20E" w14:textId="77777777" w:rsidR="0096200F" w:rsidRDefault="00D30C2F">
      <w:pPr>
        <w:spacing w:line="360" w:lineRule="auto"/>
        <w:jc w:val="both"/>
        <w:rPr>
          <w:rFonts w:ascii="Palatino Linotype" w:eastAsia="Palatino Linotype" w:hAnsi="Palatino Linotype" w:cs="Palatino Linotype"/>
        </w:rPr>
      </w:pPr>
      <w:r>
        <w:rPr>
          <w:noProof/>
          <w:lang w:val="es-MX" w:eastAsia="es-MX"/>
        </w:rPr>
        <w:drawing>
          <wp:inline distT="0" distB="0" distL="0" distR="0" wp14:anchorId="1FBA7D8D" wp14:editId="506F4B1C">
            <wp:extent cx="5443904" cy="6216534"/>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43904" cy="6216534"/>
                    </a:xfrm>
                    <a:prstGeom prst="rect">
                      <a:avLst/>
                    </a:prstGeom>
                    <a:ln/>
                  </pic:spPr>
                </pic:pic>
              </a:graphicData>
            </a:graphic>
          </wp:inline>
        </w:drawing>
      </w:r>
    </w:p>
    <w:p w14:paraId="7CBB313C"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PAE 2020.pdf </w:t>
      </w:r>
      <w:r>
        <w:rPr>
          <w:rFonts w:ascii="Palatino Linotype" w:eastAsia="Palatino Linotype" w:hAnsi="Palatino Linotype" w:cs="Palatino Linotype"/>
        </w:rPr>
        <w:t xml:space="preserve">el cual contiene la Gaceta Municipal de Santo Tomás, de abril de 2020, en la que se publicó el Programa Anual de Evaluación 2020: </w:t>
      </w:r>
    </w:p>
    <w:p w14:paraId="345CB5F2" w14:textId="77777777" w:rsidR="0096200F" w:rsidRDefault="00D30C2F">
      <w:pPr>
        <w:spacing w:line="360" w:lineRule="auto"/>
        <w:jc w:val="both"/>
        <w:rPr>
          <w:rFonts w:ascii="Palatino Linotype" w:eastAsia="Palatino Linotype" w:hAnsi="Palatino Linotype" w:cs="Palatino Linotype"/>
          <w:b/>
          <w:i/>
        </w:rPr>
      </w:pPr>
      <w:r>
        <w:rPr>
          <w:noProof/>
          <w:lang w:val="es-MX" w:eastAsia="es-MX"/>
        </w:rPr>
        <w:drawing>
          <wp:inline distT="0" distB="0" distL="0" distR="0" wp14:anchorId="58A1620D" wp14:editId="423B6C08">
            <wp:extent cx="5593660" cy="6548565"/>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593660" cy="6548565"/>
                    </a:xfrm>
                    <a:prstGeom prst="rect">
                      <a:avLst/>
                    </a:prstGeom>
                    <a:ln/>
                  </pic:spPr>
                </pic:pic>
              </a:graphicData>
            </a:graphic>
          </wp:inline>
        </w:drawing>
      </w:r>
    </w:p>
    <w:p w14:paraId="63BCD529" w14:textId="77777777" w:rsidR="0096200F" w:rsidRDefault="00D30C2F">
      <w:p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PROGRAMA ANUAL DE EVALUACIÓN 2021.pdf, </w:t>
      </w:r>
      <w:r>
        <w:rPr>
          <w:rFonts w:ascii="Palatino Linotype" w:eastAsia="Palatino Linotype" w:hAnsi="Palatino Linotype" w:cs="Palatino Linotype"/>
        </w:rPr>
        <w:t>el cual contiene la Gaceta Municipal de Santo Tomás, de abril de 2022, en la que se publicó el Programa Anual de Evaluación 2020:</w:t>
      </w:r>
    </w:p>
    <w:p w14:paraId="5E4A7456" w14:textId="77777777" w:rsidR="0096200F" w:rsidRDefault="00D30C2F">
      <w:pPr>
        <w:spacing w:line="360" w:lineRule="auto"/>
        <w:jc w:val="both"/>
        <w:rPr>
          <w:rFonts w:ascii="Palatino Linotype" w:eastAsia="Palatino Linotype" w:hAnsi="Palatino Linotype" w:cs="Palatino Linotype"/>
          <w:b/>
        </w:rPr>
      </w:pPr>
      <w:r>
        <w:rPr>
          <w:noProof/>
          <w:lang w:val="es-MX" w:eastAsia="es-MX"/>
        </w:rPr>
        <w:drawing>
          <wp:inline distT="0" distB="0" distL="0" distR="0" wp14:anchorId="7CAC4A8A" wp14:editId="78B495F4">
            <wp:extent cx="5625850" cy="5991251"/>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625850" cy="5991251"/>
                    </a:xfrm>
                    <a:prstGeom prst="rect">
                      <a:avLst/>
                    </a:prstGeom>
                    <a:ln/>
                  </pic:spPr>
                </pic:pic>
              </a:graphicData>
            </a:graphic>
          </wp:inline>
        </w:drawing>
      </w:r>
    </w:p>
    <w:p w14:paraId="695DFD67" w14:textId="77777777" w:rsidR="0096200F" w:rsidRDefault="0096200F">
      <w:pPr>
        <w:spacing w:line="360" w:lineRule="auto"/>
        <w:jc w:val="both"/>
        <w:rPr>
          <w:rFonts w:ascii="Palatino Linotype" w:eastAsia="Palatino Linotype" w:hAnsi="Palatino Linotype" w:cs="Palatino Linotype"/>
          <w:b/>
        </w:rPr>
      </w:pPr>
    </w:p>
    <w:p w14:paraId="55CF436A"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doce de noviembre del dos mil veintiuno, a través del cual expresó lo siguiente:</w:t>
      </w:r>
    </w:p>
    <w:p w14:paraId="0B5A2209" w14:textId="77777777" w:rsidR="0096200F" w:rsidRDefault="0096200F">
      <w:pPr>
        <w:spacing w:line="360" w:lineRule="auto"/>
        <w:rPr>
          <w:rFonts w:ascii="Palatino Linotype" w:eastAsia="Palatino Linotype" w:hAnsi="Palatino Linotype" w:cs="Palatino Linotype"/>
          <w:b/>
        </w:rPr>
      </w:pPr>
    </w:p>
    <w:p w14:paraId="1BD875A9" w14:textId="77777777" w:rsidR="0096200F" w:rsidRDefault="00D30C2F">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5A268552" w14:textId="77777777" w:rsidR="0096200F" w:rsidRDefault="00D30C2F">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“Me podría facilitar su programa anual de evaluación de los periodos 2018, 2019, 2020 y 2021.” </w:t>
      </w:r>
    </w:p>
    <w:p w14:paraId="12D58C15" w14:textId="77777777" w:rsidR="0096200F" w:rsidRDefault="00D30C2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56BCDAF" w14:textId="77777777" w:rsidR="0096200F" w:rsidRDefault="00D30C2F">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se me entrego el programa anual de evaluación del periodo 2018.”</w:t>
      </w:r>
    </w:p>
    <w:p w14:paraId="33BE7410" w14:textId="77777777" w:rsidR="0096200F" w:rsidRDefault="0096200F">
      <w:pPr>
        <w:spacing w:before="240" w:line="360" w:lineRule="auto"/>
        <w:jc w:val="both"/>
        <w:rPr>
          <w:rFonts w:ascii="Palatino Linotype" w:eastAsia="Palatino Linotype" w:hAnsi="Palatino Linotype" w:cs="Palatino Linotype"/>
          <w:b/>
        </w:rPr>
      </w:pPr>
    </w:p>
    <w:p w14:paraId="2C775A36" w14:textId="77777777" w:rsidR="0096200F" w:rsidRDefault="00D30C2F">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4. </w:t>
      </w:r>
      <w:r>
        <w:rPr>
          <w:rFonts w:ascii="Palatino Linotype" w:eastAsia="Palatino Linotype" w:hAnsi="Palatino Linotype" w:cs="Palatino Linotype"/>
          <w:b/>
          <w:color w:val="222222"/>
        </w:rPr>
        <w:t>Turno</w:t>
      </w:r>
      <w:r>
        <w:rPr>
          <w:rFonts w:ascii="Palatino Linotype" w:eastAsia="Palatino Linotype" w:hAnsi="Palatino Linotype" w:cs="Palatino Linotype"/>
          <w:b/>
          <w:color w:val="222222"/>
          <w:sz w:val="28"/>
          <w:szCs w:val="28"/>
        </w:rPr>
        <w:t>.  </w:t>
      </w:r>
      <w:r>
        <w:rPr>
          <w:rFonts w:ascii="Palatino Linotype" w:eastAsia="Palatino Linotype" w:hAnsi="Palatino Linotype" w:cs="Palatino Linotype"/>
          <w:color w:val="222222"/>
        </w:rPr>
        <w:t>En fecha doce de noviembre del año dos mil veintiuno</w:t>
      </w:r>
      <w:r>
        <w:rPr>
          <w:rFonts w:ascii="Palatino Linotype" w:eastAsia="Palatino Linotype" w:hAnsi="Palatino Linotype" w:cs="Palatino Linotype"/>
          <w:color w:val="222222"/>
          <w:sz w:val="28"/>
          <w:szCs w:val="28"/>
        </w:rPr>
        <w:t>, d</w:t>
      </w:r>
      <w:r>
        <w:rPr>
          <w:rFonts w:ascii="Palatino Linotype" w:eastAsia="Palatino Linotype" w:hAnsi="Palatino Linotype" w:cs="Palatino Linotype"/>
          <w:color w:val="222222"/>
        </w:rPr>
        <w:t>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color w:val="222222"/>
        </w:rPr>
        <w:t xml:space="preserve"> Comisionada</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rPr>
        <w:t>Guadalupe Ramírez Peña</w:t>
      </w:r>
      <w:r>
        <w:rPr>
          <w:rFonts w:ascii="Palatino Linotype" w:eastAsia="Palatino Linotype" w:hAnsi="Palatino Linotype" w:cs="Palatino Linotype"/>
          <w:color w:val="222222"/>
        </w:rPr>
        <w:t> para su análisis, estudio, elaboración del proyecto y presentación ante el Pleno de este Instituto.</w:t>
      </w:r>
    </w:p>
    <w:p w14:paraId="79CC9FA2" w14:textId="77777777" w:rsidR="0096200F" w:rsidRDefault="0096200F">
      <w:pPr>
        <w:spacing w:line="360" w:lineRule="auto"/>
        <w:jc w:val="both"/>
        <w:rPr>
          <w:rFonts w:ascii="Palatino Linotype" w:eastAsia="Palatino Linotype" w:hAnsi="Palatino Linotype" w:cs="Palatino Linotype"/>
          <w:b/>
        </w:rPr>
      </w:pPr>
    </w:p>
    <w:p w14:paraId="3A14F7C6"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dieciocho de noviembre del dos mil veintiuno,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14:paraId="51722C63"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6. Manifestaciones</w:t>
      </w:r>
      <w:r>
        <w:rPr>
          <w:rFonts w:ascii="Palatino Linotype" w:eastAsia="Palatino Linotype" w:hAnsi="Palatino Linotype" w:cs="Palatino Linotype"/>
        </w:rPr>
        <w:t xml:space="preserve">: De las constancias que obran en el expediente electrónico del SAIMEX se desprende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fecha diecinueve de noviembre del año dos mil veintiuno remitió el </w:t>
      </w:r>
      <w:r>
        <w:rPr>
          <w:rFonts w:ascii="Palatino Linotype" w:eastAsia="Palatino Linotype" w:hAnsi="Palatino Linotype" w:cs="Palatino Linotype"/>
          <w:b/>
          <w:i/>
        </w:rPr>
        <w:t xml:space="preserve">Oficio </w:t>
      </w:r>
      <w:proofErr w:type="spellStart"/>
      <w:r>
        <w:rPr>
          <w:rFonts w:ascii="Palatino Linotype" w:eastAsia="Palatino Linotype" w:hAnsi="Palatino Linotype" w:cs="Palatino Linotype"/>
          <w:b/>
          <w:i/>
        </w:rPr>
        <w:t>Sria</w:t>
      </w:r>
      <w:proofErr w:type="spellEnd"/>
      <w:r>
        <w:rPr>
          <w:rFonts w:ascii="Palatino Linotype" w:eastAsia="Palatino Linotype" w:hAnsi="Palatino Linotype" w:cs="Palatino Linotype"/>
          <w:b/>
          <w:i/>
        </w:rPr>
        <w:t xml:space="preserve"> Técnica. </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rPr>
        <w:t xml:space="preserve">, del cual se desprende: </w:t>
      </w:r>
    </w:p>
    <w:p w14:paraId="241DBA6B" w14:textId="77777777" w:rsidR="0096200F" w:rsidRDefault="00D30C2F">
      <w:pPr>
        <w:spacing w:line="360" w:lineRule="auto"/>
        <w:jc w:val="both"/>
        <w:rPr>
          <w:rFonts w:ascii="Palatino Linotype" w:eastAsia="Palatino Linotype" w:hAnsi="Palatino Linotype" w:cs="Palatino Linotype"/>
        </w:rPr>
      </w:pPr>
      <w:r>
        <w:rPr>
          <w:noProof/>
          <w:lang w:val="es-MX" w:eastAsia="es-MX"/>
        </w:rPr>
        <w:drawing>
          <wp:inline distT="0" distB="0" distL="0" distR="0" wp14:anchorId="42E99B5D" wp14:editId="16FA2404">
            <wp:extent cx="5538389" cy="6095236"/>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38389" cy="6095236"/>
                    </a:xfrm>
                    <a:prstGeom prst="rect">
                      <a:avLst/>
                    </a:prstGeom>
                    <a:ln/>
                  </pic:spPr>
                </pic:pic>
              </a:graphicData>
            </a:graphic>
          </wp:inline>
        </w:drawing>
      </w:r>
    </w:p>
    <w:p w14:paraId="2385564B"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adjuntó el Acta de la quinta sesión extraordinaria del comité de Transparencia de fecha diecinueve de noviembre de dos mil veintiuno.”, integrada por seis fojas de las cuales solamente se inserta la primera: </w:t>
      </w:r>
    </w:p>
    <w:p w14:paraId="4D4C304B" w14:textId="77777777" w:rsidR="0096200F" w:rsidRDefault="00D30C2F">
      <w:pPr>
        <w:spacing w:line="360" w:lineRule="auto"/>
        <w:jc w:val="both"/>
        <w:rPr>
          <w:rFonts w:ascii="Palatino Linotype" w:eastAsia="Palatino Linotype" w:hAnsi="Palatino Linotype" w:cs="Palatino Linotype"/>
        </w:rPr>
      </w:pPr>
      <w:r>
        <w:rPr>
          <w:noProof/>
          <w:lang w:val="es-MX" w:eastAsia="es-MX"/>
        </w:rPr>
        <w:drawing>
          <wp:inline distT="0" distB="0" distL="0" distR="0" wp14:anchorId="15447024" wp14:editId="7D8EE1E0">
            <wp:extent cx="5617561" cy="6262319"/>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617561" cy="6262319"/>
                    </a:xfrm>
                    <a:prstGeom prst="rect">
                      <a:avLst/>
                    </a:prstGeom>
                    <a:ln/>
                  </pic:spPr>
                </pic:pic>
              </a:graphicData>
            </a:graphic>
          </wp:inline>
        </w:drawing>
      </w:r>
    </w:p>
    <w:p w14:paraId="7EE59E29" w14:textId="77777777" w:rsidR="0096200F" w:rsidRDefault="0096200F">
      <w:pPr>
        <w:spacing w:line="360" w:lineRule="auto"/>
        <w:jc w:val="both"/>
        <w:rPr>
          <w:rFonts w:ascii="Palatino Linotype" w:eastAsia="Palatino Linotype" w:hAnsi="Palatino Linotype" w:cs="Palatino Linotype"/>
        </w:rPr>
      </w:pPr>
    </w:p>
    <w:p w14:paraId="49F180D5"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Recurrente</w:t>
      </w:r>
      <w:r>
        <w:rPr>
          <w:rFonts w:ascii="Palatino Linotype" w:eastAsia="Palatino Linotype" w:hAnsi="Palatino Linotype" w:cs="Palatino Linotype"/>
        </w:rPr>
        <w:t>, no realizó alegatos, pruebas o manifestaciones.</w:t>
      </w:r>
    </w:p>
    <w:p w14:paraId="50E8419F" w14:textId="77777777" w:rsidR="0096200F" w:rsidRDefault="0096200F">
      <w:pPr>
        <w:spacing w:line="360" w:lineRule="auto"/>
        <w:jc w:val="both"/>
        <w:rPr>
          <w:rFonts w:ascii="Palatino Linotype" w:eastAsia="Palatino Linotype" w:hAnsi="Palatino Linotype" w:cs="Palatino Linotype"/>
          <w:b/>
        </w:rPr>
      </w:pPr>
    </w:p>
    <w:p w14:paraId="792A4D38"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Cierre de instrucción.</w:t>
      </w:r>
      <w:r>
        <w:rPr>
          <w:rFonts w:ascii="Palatino Linotype" w:eastAsia="Palatino Linotype" w:hAnsi="Palatino Linotype" w:cs="Palatino Linotype"/>
        </w:rPr>
        <w:t xml:space="preserve"> Con fecha treinta y uno de enero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66E16317" w14:textId="77777777" w:rsidR="0096200F" w:rsidRDefault="0096200F">
      <w:pPr>
        <w:spacing w:line="360" w:lineRule="auto"/>
        <w:jc w:val="both"/>
        <w:rPr>
          <w:rFonts w:ascii="Palatino Linotype" w:eastAsia="Palatino Linotype" w:hAnsi="Palatino Linotype" w:cs="Palatino Linotype"/>
        </w:rPr>
      </w:pPr>
    </w:p>
    <w:p w14:paraId="6FA34C09" w14:textId="77777777" w:rsidR="0096200F" w:rsidRDefault="00D30C2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8. De la ampliación del término para resolver. </w:t>
      </w:r>
      <w:r>
        <w:rPr>
          <w:rFonts w:ascii="Palatino Linotype" w:eastAsia="Palatino Linotype" w:hAnsi="Palatino Linotype" w:cs="Palatino Linotype"/>
          <w:color w:val="000000"/>
        </w:rPr>
        <w:t>En fecha treinta y uno de enero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66A8D793" w14:textId="77777777" w:rsidR="0096200F" w:rsidRDefault="00D30C2F">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14:paraId="7663083A" w14:textId="77777777" w:rsidR="0096200F" w:rsidRDefault="00D30C2F">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highlight w:val="white"/>
        </w:rPr>
        <w:lastRenderedPageBreak/>
        <w:t xml:space="preserve">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503F9381" w14:textId="77777777" w:rsidR="0096200F" w:rsidRDefault="00D30C2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la solicitante en fecha diez de noviembre del año dos mil veintiuno y el recurrente presentó su recurso de revisión el doce de noviembre del dos mil veintiuno, esto es al segundo día hábil de aquel en que tuvo conocimiento de la respuesta; evidenciándose que la interposición del recurso se encuentra dentro de los márgenes temporales previstos en el citado precepto legal. </w:t>
      </w:r>
    </w:p>
    <w:p w14:paraId="320A8E36" w14:textId="77777777" w:rsidR="0096200F" w:rsidRDefault="00D30C2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revisión, según lo aducido por el recurrente en su acto impugnado como en sus motivos de inconformidad, de acuerdo al artículo 179 fracciones III y V de la Ley de Transparencia y Acceso a la Información Pública del Estado de México y Municipios; que a la letra dice:</w:t>
      </w:r>
    </w:p>
    <w:p w14:paraId="59FE78FE" w14:textId="77777777" w:rsidR="0096200F" w:rsidRDefault="0096200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12749E24" w14:textId="77777777" w:rsidR="0096200F" w:rsidRDefault="00D30C2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1EE373D7" w14:textId="77777777" w:rsidR="0096200F" w:rsidRDefault="00D30C2F">
      <w:pPr>
        <w:pBdr>
          <w:top w:val="nil"/>
          <w:left w:val="nil"/>
          <w:bottom w:val="nil"/>
          <w:right w:val="nil"/>
          <w:between w:val="nil"/>
        </w:pBdr>
        <w:ind w:left="992" w:right="10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16DFD1C1" w14:textId="77777777" w:rsidR="0096200F" w:rsidRDefault="00D30C2F">
      <w:pPr>
        <w:numPr>
          <w:ilvl w:val="0"/>
          <w:numId w:val="6"/>
        </w:numPr>
        <w:pBdr>
          <w:top w:val="nil"/>
          <w:left w:val="nil"/>
          <w:bottom w:val="nil"/>
          <w:right w:val="nil"/>
          <w:between w:val="nil"/>
        </w:pBdr>
        <w:ind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declaración de inexistencia de la información;</w:t>
      </w:r>
    </w:p>
    <w:p w14:paraId="237E9A01" w14:textId="77777777" w:rsidR="0096200F" w:rsidRDefault="00D30C2F">
      <w:pPr>
        <w:numPr>
          <w:ilvl w:val="0"/>
          <w:numId w:val="2"/>
        </w:numPr>
        <w:pBdr>
          <w:top w:val="nil"/>
          <w:left w:val="nil"/>
          <w:bottom w:val="nil"/>
          <w:right w:val="nil"/>
          <w:between w:val="nil"/>
        </w:pBdr>
        <w:ind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entrega de información incompleta.</w:t>
      </w:r>
    </w:p>
    <w:p w14:paraId="4AE6D761" w14:textId="77777777" w:rsidR="0096200F" w:rsidRDefault="0096200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14:paraId="14E174DD" w14:textId="77777777" w:rsidR="0096200F" w:rsidRDefault="0096200F">
      <w:pPr>
        <w:pBdr>
          <w:top w:val="nil"/>
          <w:left w:val="nil"/>
          <w:bottom w:val="nil"/>
          <w:right w:val="nil"/>
          <w:between w:val="nil"/>
        </w:pBdr>
        <w:spacing w:line="360" w:lineRule="auto"/>
        <w:ind w:right="-91"/>
        <w:jc w:val="both"/>
        <w:rPr>
          <w:rFonts w:ascii="Palatino Linotype" w:eastAsia="Palatino Linotype" w:hAnsi="Palatino Linotype" w:cs="Palatino Linotype"/>
          <w:b/>
          <w:i/>
          <w:color w:val="000000"/>
          <w:sz w:val="22"/>
          <w:szCs w:val="22"/>
        </w:rPr>
      </w:pPr>
    </w:p>
    <w:p w14:paraId="284D06D9" w14:textId="77777777" w:rsidR="0096200F" w:rsidRDefault="00D30C2F">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Con base en las constancias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w:t>
      </w:r>
    </w:p>
    <w:p w14:paraId="2E0C6E07" w14:textId="77777777" w:rsidR="0096200F" w:rsidRDefault="00D30C2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Cuarto. Estudio de fondo del asunto. </w:t>
      </w:r>
      <w:r>
        <w:rPr>
          <w:rFonts w:ascii="Palatino Linotype" w:eastAsia="Palatino Linotype" w:hAnsi="Palatino Linotype" w:cs="Palatino Linotype"/>
          <w:color w:val="000000"/>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DE5C90D" w14:textId="77777777" w:rsidR="0096200F" w:rsidRDefault="0096200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35ECEA3" w14:textId="77777777" w:rsidR="0096200F" w:rsidRDefault="00D30C2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estudio del presente recurso de revisión tiene como antecedentes, que el hoy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solicitó al </w:t>
      </w:r>
      <w:r>
        <w:rPr>
          <w:rFonts w:ascii="Palatino Linotype" w:eastAsia="Palatino Linotype" w:hAnsi="Palatino Linotype" w:cs="Palatino Linotype"/>
          <w:b/>
          <w:color w:val="000000"/>
        </w:rPr>
        <w:t>Ayuntamiento de Santo Tomas</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la siguiente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información:</w:t>
      </w:r>
    </w:p>
    <w:p w14:paraId="472A3807" w14:textId="77777777" w:rsidR="0096200F" w:rsidRDefault="0096200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9B44534" w14:textId="77777777" w:rsidR="0096200F" w:rsidRDefault="00D30C2F">
      <w:pPr>
        <w:pBdr>
          <w:top w:val="nil"/>
          <w:left w:val="nil"/>
          <w:bottom w:val="nil"/>
          <w:right w:val="nil"/>
          <w:between w:val="nil"/>
        </w:pBdr>
        <w:spacing w:line="360"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lastRenderedPageBreak/>
        <w:t>“</w:t>
      </w:r>
      <w:r>
        <w:rPr>
          <w:rFonts w:ascii="Palatino Linotype" w:eastAsia="Palatino Linotype" w:hAnsi="Palatino Linotype" w:cs="Palatino Linotype"/>
          <w:i/>
          <w:color w:val="000000"/>
          <w:sz w:val="22"/>
          <w:szCs w:val="22"/>
        </w:rPr>
        <w:t xml:space="preserve">Me podría facilitar su programa anual de evaluación de los periodos 2018, 2019, 2020 y 2021”. </w:t>
      </w:r>
    </w:p>
    <w:p w14:paraId="53CF9B81" w14:textId="77777777" w:rsidR="0096200F" w:rsidRDefault="0096200F">
      <w:pPr>
        <w:spacing w:line="360" w:lineRule="auto"/>
        <w:ind w:right="900"/>
        <w:jc w:val="both"/>
        <w:rPr>
          <w:rFonts w:ascii="Palatino Linotype" w:eastAsia="Palatino Linotype" w:hAnsi="Palatino Linotype" w:cs="Palatino Linotype"/>
        </w:rPr>
      </w:pPr>
    </w:p>
    <w:p w14:paraId="5E8D85DE" w14:textId="77777777" w:rsidR="0096200F" w:rsidRDefault="00D30C2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Sujeto Obligado dio respuesta en la parte medular lo siguiente: </w:t>
      </w:r>
    </w:p>
    <w:p w14:paraId="765585F7" w14:textId="77777777" w:rsidR="0096200F" w:rsidRDefault="0096200F">
      <w:pPr>
        <w:spacing w:line="360" w:lineRule="auto"/>
        <w:ind w:right="49"/>
        <w:jc w:val="both"/>
        <w:rPr>
          <w:rFonts w:ascii="Palatino Linotype" w:eastAsia="Palatino Linotype" w:hAnsi="Palatino Linotype" w:cs="Palatino Linotype"/>
        </w:rPr>
      </w:pPr>
    </w:p>
    <w:p w14:paraId="4A013949" w14:textId="77777777" w:rsidR="0096200F" w:rsidRDefault="00D30C2F">
      <w:pPr>
        <w:spacing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“…Al respecto me permito remitir en archivo digital los programas anuales de evaluación de los periodos 2019, 2020 y 2020. Sin embargo, hago de su conocimiento que no se cuenta con el programa anual 2018 ya que no fue entregado por la anterior titular de la UIPPE en mi entrega recepción de fecha primero de enero de 2019…” (Sic) </w:t>
      </w:r>
    </w:p>
    <w:p w14:paraId="2BFF765E" w14:textId="77777777" w:rsidR="0096200F" w:rsidRDefault="0096200F">
      <w:pPr>
        <w:spacing w:line="276" w:lineRule="auto"/>
        <w:ind w:right="616"/>
        <w:jc w:val="both"/>
        <w:rPr>
          <w:rFonts w:ascii="Palatino Linotype" w:eastAsia="Palatino Linotype" w:hAnsi="Palatino Linotype" w:cs="Palatino Linotype"/>
          <w:sz w:val="22"/>
          <w:szCs w:val="22"/>
        </w:rPr>
      </w:pPr>
    </w:p>
    <w:p w14:paraId="026CCD9E" w14:textId="77777777" w:rsidR="0096200F" w:rsidRDefault="00D30C2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Adjuntó a su respuesta el Programa Anual de evaluación 2019, el. Programa Anual de Evaluación 2020 y el Programa Anual de Evaluación 2021.  </w:t>
      </w:r>
    </w:p>
    <w:p w14:paraId="2318D53B" w14:textId="77777777" w:rsidR="0096200F" w:rsidRDefault="0096200F">
      <w:pPr>
        <w:spacing w:line="360" w:lineRule="auto"/>
        <w:ind w:right="49"/>
        <w:jc w:val="both"/>
        <w:rPr>
          <w:rFonts w:ascii="Palatino Linotype" w:eastAsia="Palatino Linotype" w:hAnsi="Palatino Linotype" w:cs="Palatino Linotype"/>
        </w:rPr>
      </w:pPr>
    </w:p>
    <w:p w14:paraId="0AB90012" w14:textId="77777777" w:rsidR="0096200F" w:rsidRDefault="00D30C2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Ante dicha respuesta el RECURRENTE se inconformó particularmente por lo siguiente: </w:t>
      </w:r>
    </w:p>
    <w:p w14:paraId="76446F87" w14:textId="77777777" w:rsidR="0096200F" w:rsidRDefault="0096200F">
      <w:pPr>
        <w:spacing w:line="360" w:lineRule="auto"/>
        <w:ind w:right="49"/>
        <w:jc w:val="both"/>
        <w:rPr>
          <w:rFonts w:ascii="Palatino Linotype" w:eastAsia="Palatino Linotype" w:hAnsi="Palatino Linotype" w:cs="Palatino Linotype"/>
        </w:rPr>
      </w:pPr>
    </w:p>
    <w:p w14:paraId="3A7788B4" w14:textId="77777777" w:rsidR="0096200F" w:rsidRDefault="00D30C2F">
      <w:pPr>
        <w:spacing w:line="360"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se me entrego el programa anual de evaluación del periodo 2018.</w:t>
      </w:r>
    </w:p>
    <w:p w14:paraId="16C42235" w14:textId="77777777" w:rsidR="0096200F" w:rsidRDefault="0096200F">
      <w:pPr>
        <w:spacing w:line="360" w:lineRule="auto"/>
        <w:ind w:right="900"/>
        <w:jc w:val="both"/>
        <w:rPr>
          <w:rFonts w:ascii="Palatino Linotype" w:eastAsia="Palatino Linotype" w:hAnsi="Palatino Linotype" w:cs="Palatino Linotype"/>
          <w:i/>
          <w:color w:val="000000"/>
          <w:sz w:val="22"/>
          <w:szCs w:val="22"/>
        </w:rPr>
      </w:pPr>
    </w:p>
    <w:p w14:paraId="7D61034C"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Mediante informe Justificado el</w:t>
      </w:r>
      <w:r>
        <w:rPr>
          <w:rFonts w:ascii="Palatino Linotype" w:eastAsia="Palatino Linotype" w:hAnsi="Palatino Linotype" w:cs="Palatino Linotype"/>
        </w:rPr>
        <w:t xml:space="preserve"> servidor público habilitado competente de la Secretaría Técnica y responsable de la UIPPE mediante oficio MSTM/113/S.T/10 solicitó que se sometiera al Comité de Transparencia la aprobación de la confirmación de inexistencia del Programa Anual de Evaluación 2018, lo anterior derivado de una búsqueda exhaustiva en el inventario de archivo de trámite y de concentración plasmado en el acta de entrega recepción de fecha tres de enero de 2019 de la C. Ximena Ortega Sánchez, servidora pública saliente de la UIPPE, </w:t>
      </w:r>
      <w:r>
        <w:rPr>
          <w:rFonts w:ascii="Palatino Linotype" w:eastAsia="Palatino Linotype" w:hAnsi="Palatino Linotype" w:cs="Palatino Linotype"/>
        </w:rPr>
        <w:lastRenderedPageBreak/>
        <w:t xml:space="preserve">realizada ante la Contraloría Municipal, constando que la misma, no dejó dicha información, observación que fue plasmada en dicha acta.  </w:t>
      </w:r>
    </w:p>
    <w:p w14:paraId="0DC875B8" w14:textId="77777777" w:rsidR="0096200F" w:rsidRDefault="0096200F">
      <w:pPr>
        <w:spacing w:line="360" w:lineRule="auto"/>
        <w:jc w:val="both"/>
        <w:rPr>
          <w:rFonts w:ascii="Palatino Linotype" w:eastAsia="Palatino Linotype" w:hAnsi="Palatino Linotype" w:cs="Palatino Linotype"/>
        </w:rPr>
      </w:pPr>
    </w:p>
    <w:p w14:paraId="5E58D81A"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adjuntó el Acta número ACT/SANTOTOMAS/EXTRAORD./COMI/5ta/2021, de la Quinta Sesión Extraordinaria, del Comité Municipal de Transparencia y Acceso a la Información Pública del Ayuntamiento de Santo Tomas, de fecha diecinueve de noviembre de dos mil veintiuno; mediante la cual,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Declaración de Inexistencia de la información solicitada. </w:t>
      </w:r>
    </w:p>
    <w:p w14:paraId="1167497F" w14:textId="77777777" w:rsidR="0096200F" w:rsidRDefault="0096200F">
      <w:pPr>
        <w:spacing w:line="360" w:lineRule="auto"/>
        <w:jc w:val="both"/>
        <w:rPr>
          <w:rFonts w:ascii="Palatino Linotype" w:eastAsia="Palatino Linotype" w:hAnsi="Palatino Linotype" w:cs="Palatino Linotype"/>
        </w:rPr>
      </w:pPr>
    </w:p>
    <w:p w14:paraId="427B3DC4"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no pasa inadvertido para este Órgano Garante que los motivos de inconformidad aducidos, no versan sobre la totalidad de la información proporcionada por el Sujeto Obligado, sino porque se le entregó incompleta, al señalar de manera expresa, que no se le entregó la totalidad de la información relacionada con </w:t>
      </w:r>
      <w:r>
        <w:rPr>
          <w:rFonts w:ascii="Palatino Linotype" w:eastAsia="Palatino Linotype" w:hAnsi="Palatino Linotype" w:cs="Palatino Linotype"/>
          <w:color w:val="000000"/>
        </w:rPr>
        <w:t>el programa anual de evaluación del periodo 2018</w:t>
      </w:r>
      <w:r>
        <w:rPr>
          <w:rFonts w:ascii="Palatino Linotype" w:eastAsia="Palatino Linotype" w:hAnsi="Palatino Linotype" w:cs="Palatino Linotype"/>
        </w:rPr>
        <w:t>.</w:t>
      </w:r>
    </w:p>
    <w:p w14:paraId="0CFD5DA0" w14:textId="77777777" w:rsidR="0096200F" w:rsidRDefault="0096200F">
      <w:pPr>
        <w:spacing w:line="360" w:lineRule="auto"/>
        <w:jc w:val="both"/>
        <w:rPr>
          <w:rFonts w:ascii="Palatino Linotype" w:eastAsia="Palatino Linotype" w:hAnsi="Palatino Linotype" w:cs="Palatino Linotype"/>
        </w:rPr>
      </w:pPr>
    </w:p>
    <w:p w14:paraId="6EFD794C"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este tenor, la información entregada en respuesta debe declararse consentida por la parte Recurrente, toda vez que no realizó manifestaciones de inconformidad al respecto; en consecuencia, no pueden producirse efectos jurídicos tendentes a revocar, confirmar o modificar el acto reclamado, ya que, en el caso concreto se infiere que la información proporcionada por el Sujeto Obligado señalada en el párrafo anterior, satisface la solicitud presentada.</w:t>
      </w:r>
    </w:p>
    <w:p w14:paraId="0D233EF7" w14:textId="77777777" w:rsidR="0096200F" w:rsidRDefault="0096200F">
      <w:pPr>
        <w:spacing w:line="360" w:lineRule="auto"/>
        <w:jc w:val="both"/>
        <w:rPr>
          <w:rFonts w:ascii="Palatino Linotype" w:eastAsia="Palatino Linotype" w:hAnsi="Palatino Linotype" w:cs="Palatino Linotype"/>
        </w:rPr>
      </w:pPr>
    </w:p>
    <w:p w14:paraId="1C334201"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así, debido a que cuando el recurrente impugna la respuesta del Sujeto Obligado, 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577E3A5" w14:textId="77777777" w:rsidR="0096200F" w:rsidRDefault="0096200F">
      <w:pPr>
        <w:spacing w:line="360" w:lineRule="auto"/>
        <w:jc w:val="both"/>
        <w:rPr>
          <w:rFonts w:ascii="Palatino Linotype" w:eastAsia="Palatino Linotype" w:hAnsi="Palatino Linotype" w:cs="Palatino Linotype"/>
        </w:rPr>
      </w:pPr>
    </w:p>
    <w:p w14:paraId="1365357E" w14:textId="77777777" w:rsidR="0096200F" w:rsidRDefault="00D30C2F">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CC1E2B0" w14:textId="77777777" w:rsidR="0096200F" w:rsidRDefault="0096200F">
      <w:pPr>
        <w:spacing w:line="276" w:lineRule="auto"/>
        <w:ind w:left="567" w:right="616"/>
        <w:jc w:val="both"/>
        <w:rPr>
          <w:rFonts w:ascii="Palatino Linotype" w:eastAsia="Palatino Linotype" w:hAnsi="Palatino Linotype" w:cs="Palatino Linotype"/>
          <w:i/>
          <w:sz w:val="22"/>
          <w:szCs w:val="22"/>
        </w:rPr>
      </w:pPr>
    </w:p>
    <w:p w14:paraId="25225175"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la información proporcionada en respuesta, al no ser impugnada debe declararse consentida por la parte recurrente, toda vez que no se realizaron manifestaciones de inconformidad, por lo que no pueden producirse efectos jurídicos tendentes a revocar, confirmar o modificar el acto reclamado ya que se infiere un consentimiento del recurrente ante la falta de impugnación eficaz. </w:t>
      </w:r>
    </w:p>
    <w:p w14:paraId="309BAEFA" w14:textId="77777777" w:rsidR="0096200F" w:rsidRDefault="0096200F">
      <w:pPr>
        <w:spacing w:line="360" w:lineRule="auto"/>
        <w:jc w:val="both"/>
        <w:rPr>
          <w:rFonts w:ascii="Palatino Linotype" w:eastAsia="Palatino Linotype" w:hAnsi="Palatino Linotype" w:cs="Palatino Linotype"/>
        </w:rPr>
      </w:pPr>
    </w:p>
    <w:p w14:paraId="5F946C82"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5C13A033" w14:textId="77777777" w:rsidR="0096200F" w:rsidRDefault="00D30C2F">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7F5B0B9" w14:textId="77777777" w:rsidR="0096200F" w:rsidRDefault="00D30C2F">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apuntado lo anterior, este Órgano Garante procede al análisis de las razones o motivos de inconformidad hechos valer por el recurrente, estudio que versará únicamente sobre los puntos controvertidos, no así por los demás rubros materia de la solicitud.</w:t>
      </w:r>
    </w:p>
    <w:p w14:paraId="27898E23" w14:textId="77777777" w:rsidR="0096200F" w:rsidRDefault="00D30C2F">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Atento a ello, primeramente es importante señalar que el artículo 4, párrafo segundo de la Ley de Transparencia y Acceso a la Información Pública del Estado de México y Municipios, dispone:</w:t>
      </w:r>
    </w:p>
    <w:p w14:paraId="631EA1F7" w14:textId="77777777" w:rsidR="0096200F" w:rsidRDefault="00D30C2F">
      <w:pPr>
        <w:pBdr>
          <w:top w:val="nil"/>
          <w:left w:val="nil"/>
          <w:bottom w:val="nil"/>
          <w:right w:val="nil"/>
          <w:between w:val="nil"/>
        </w:pBdr>
        <w:tabs>
          <w:tab w:val="left" w:pos="1511"/>
        </w:tabs>
        <w:rPr>
          <w:rFonts w:ascii="Calibri" w:eastAsia="Calibri" w:hAnsi="Calibri" w:cs="Calibri"/>
          <w:color w:val="000000"/>
          <w:sz w:val="22"/>
          <w:szCs w:val="22"/>
        </w:rPr>
      </w:pPr>
      <w:r>
        <w:rPr>
          <w:rFonts w:ascii="Calibri" w:eastAsia="Calibri" w:hAnsi="Calibri" w:cs="Calibri"/>
          <w:color w:val="000000"/>
          <w:sz w:val="22"/>
          <w:szCs w:val="22"/>
        </w:rPr>
        <w:tab/>
      </w:r>
    </w:p>
    <w:p w14:paraId="293864FC"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color w:val="000000"/>
          <w:sz w:val="22"/>
          <w:szCs w:val="22"/>
        </w:rPr>
        <w:t xml:space="preserve">Artículo 4. </w:t>
      </w:r>
      <w:r>
        <w:rPr>
          <w:rFonts w:ascii="Palatino Linotype" w:eastAsia="Palatino Linotype" w:hAnsi="Palatino Linotype" w:cs="Palatino Linotype"/>
          <w:i/>
          <w:color w:val="000000"/>
          <w:sz w:val="22"/>
          <w:szCs w:val="22"/>
        </w:rPr>
        <w:t xml:space="preserve">… </w:t>
      </w:r>
    </w:p>
    <w:p w14:paraId="7386F2BB"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r>
        <w:rPr>
          <w:rFonts w:ascii="Palatino Linotype" w:eastAsia="Palatino Linotype" w:hAnsi="Palatino Linotype" w:cs="Palatino Linotype"/>
          <w:i/>
          <w:sz w:val="22"/>
          <w:szCs w:val="22"/>
        </w:rPr>
        <w:t>...)”</w:t>
      </w:r>
    </w:p>
    <w:p w14:paraId="1B1AF250" w14:textId="77777777" w:rsidR="0096200F" w:rsidRDefault="0096200F">
      <w:pPr>
        <w:pBdr>
          <w:top w:val="nil"/>
          <w:left w:val="nil"/>
          <w:bottom w:val="nil"/>
          <w:right w:val="nil"/>
          <w:between w:val="nil"/>
        </w:pBdr>
        <w:rPr>
          <w:rFonts w:ascii="Calibri" w:eastAsia="Calibri" w:hAnsi="Calibri" w:cs="Calibri"/>
          <w:color w:val="000000"/>
          <w:sz w:val="22"/>
          <w:szCs w:val="22"/>
        </w:rPr>
      </w:pPr>
    </w:p>
    <w:p w14:paraId="73CE9CA2" w14:textId="77777777" w:rsidR="0096200F" w:rsidRDefault="00D30C2F">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85BEE2F" w14:textId="77777777" w:rsidR="0096200F" w:rsidRDefault="0096200F">
      <w:pPr>
        <w:spacing w:line="360" w:lineRule="auto"/>
        <w:jc w:val="both"/>
        <w:rPr>
          <w:rFonts w:ascii="Palatino Linotype" w:eastAsia="Palatino Linotype" w:hAnsi="Palatino Linotype" w:cs="Palatino Linotype"/>
        </w:rPr>
      </w:pPr>
    </w:p>
    <w:p w14:paraId="59CD5A50"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60E95B7" w14:textId="77777777" w:rsidR="0096200F" w:rsidRDefault="0096200F">
      <w:pPr>
        <w:pBdr>
          <w:top w:val="nil"/>
          <w:left w:val="nil"/>
          <w:bottom w:val="nil"/>
          <w:right w:val="nil"/>
          <w:between w:val="nil"/>
        </w:pBdr>
        <w:rPr>
          <w:rFonts w:ascii="Calibri" w:eastAsia="Calibri" w:hAnsi="Calibri" w:cs="Calibri"/>
          <w:color w:val="000000"/>
          <w:sz w:val="22"/>
          <w:szCs w:val="22"/>
        </w:rPr>
      </w:pPr>
    </w:p>
    <w:p w14:paraId="68926179"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52B2508C" w14:textId="77777777" w:rsidR="0096200F" w:rsidRDefault="0096200F">
      <w:pPr>
        <w:ind w:left="567" w:right="567"/>
        <w:jc w:val="both"/>
        <w:rPr>
          <w:rFonts w:ascii="Palatino Linotype" w:eastAsia="Palatino Linotype" w:hAnsi="Palatino Linotype" w:cs="Palatino Linotype"/>
          <w:i/>
          <w:color w:val="000000"/>
          <w:sz w:val="22"/>
          <w:szCs w:val="22"/>
        </w:rPr>
      </w:pPr>
    </w:p>
    <w:p w14:paraId="1DC8F2CA"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sz w:val="22"/>
          <w:szCs w:val="22"/>
        </w:rPr>
        <w:t>”</w:t>
      </w:r>
    </w:p>
    <w:p w14:paraId="4116E063" w14:textId="77777777" w:rsidR="0096200F" w:rsidRDefault="0096200F"/>
    <w:p w14:paraId="25AB07DD" w14:textId="77777777" w:rsidR="0096200F" w:rsidRDefault="00D30C2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w:t>
      </w:r>
    </w:p>
    <w:p w14:paraId="2D597138" w14:textId="77777777" w:rsidR="0096200F" w:rsidRDefault="0096200F">
      <w:pPr>
        <w:spacing w:line="360" w:lineRule="auto"/>
        <w:jc w:val="both"/>
        <w:rPr>
          <w:rFonts w:ascii="Palatino Linotype" w:eastAsia="Palatino Linotype" w:hAnsi="Palatino Linotype" w:cs="Palatino Linotype"/>
          <w:color w:val="000000"/>
        </w:rPr>
      </w:pPr>
    </w:p>
    <w:p w14:paraId="5B593334" w14:textId="77777777" w:rsidR="0096200F" w:rsidRDefault="00D30C2F">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Como apoyo a lo anterior, es aplicable el Criterio 03-17, emitido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080E4522" w14:textId="77777777" w:rsidR="0096200F" w:rsidRDefault="0096200F">
      <w:pPr>
        <w:ind w:left="851" w:right="850"/>
        <w:jc w:val="both"/>
        <w:rPr>
          <w:rFonts w:ascii="Palatino Linotype" w:eastAsia="Palatino Linotype" w:hAnsi="Palatino Linotype" w:cs="Palatino Linotype"/>
          <w:color w:val="000000"/>
          <w:sz w:val="2"/>
          <w:szCs w:val="2"/>
        </w:rPr>
      </w:pPr>
    </w:p>
    <w:p w14:paraId="267EEAC4"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E012AA1" w14:textId="77777777" w:rsidR="0096200F" w:rsidRDefault="0096200F">
      <w:pPr>
        <w:ind w:left="567" w:right="567"/>
        <w:jc w:val="both"/>
        <w:rPr>
          <w:rFonts w:ascii="Palatino Linotype" w:eastAsia="Palatino Linotype" w:hAnsi="Palatino Linotype" w:cs="Palatino Linotype"/>
          <w:i/>
          <w:color w:val="000000"/>
          <w:sz w:val="22"/>
          <w:szCs w:val="22"/>
        </w:rPr>
      </w:pPr>
    </w:p>
    <w:p w14:paraId="3DCD62FE"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0B5B7189"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4E1F3E47"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1FA51BC3"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14:paraId="1C26C5E2" w14:textId="77777777" w:rsidR="0096200F" w:rsidRDefault="0096200F">
      <w:pPr>
        <w:jc w:val="both"/>
        <w:rPr>
          <w:rFonts w:ascii="Palatino Linotype" w:eastAsia="Palatino Linotype" w:hAnsi="Palatino Linotype" w:cs="Palatino Linotype"/>
          <w:sz w:val="22"/>
          <w:szCs w:val="22"/>
        </w:rPr>
      </w:pPr>
    </w:p>
    <w:p w14:paraId="168231DE" w14:textId="77777777" w:rsidR="0096200F" w:rsidRDefault="00D30C2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24, de la Ley de la materia, dispone que los Sujetos Obligados 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BBFBF0F" w14:textId="77777777" w:rsidR="0096200F" w:rsidRDefault="0096200F">
      <w:pPr>
        <w:spacing w:line="360" w:lineRule="auto"/>
        <w:jc w:val="both"/>
        <w:rPr>
          <w:rFonts w:ascii="Palatino Linotype" w:eastAsia="Palatino Linotype" w:hAnsi="Palatino Linotype" w:cs="Palatino Linotype"/>
        </w:rPr>
      </w:pPr>
    </w:p>
    <w:p w14:paraId="261158C6"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expuesto, es necesario retomar la información remitida tanto en respuesta, como en informe justificado, en el que declaran la Inexistencia de la información relativa al </w:t>
      </w:r>
      <w:r>
        <w:rPr>
          <w:rFonts w:ascii="Palatino Linotype" w:eastAsia="Palatino Linotype" w:hAnsi="Palatino Linotype" w:cs="Palatino Linotype"/>
          <w:color w:val="000000"/>
        </w:rPr>
        <w:t>programa anual de evaluación del periodo 2018;</w:t>
      </w:r>
      <w:r>
        <w:rPr>
          <w:rFonts w:ascii="Palatino Linotype" w:eastAsia="Palatino Linotype" w:hAnsi="Palatino Linotype" w:cs="Palatino Linotype"/>
        </w:rPr>
        <w:t xml:space="preserve"> por lo que se analizará el Acta número ACT/SANTOTOMAS/EXTRAORD./COMI/5ta/2021, de </w:t>
      </w:r>
      <w:r>
        <w:rPr>
          <w:rFonts w:ascii="Palatino Linotype" w:eastAsia="Palatino Linotype" w:hAnsi="Palatino Linotype" w:cs="Palatino Linotype"/>
        </w:rPr>
        <w:lastRenderedPageBreak/>
        <w:t xml:space="preserve">la Quinta Sesión Extraordinaria, del Comité Municipal de Transparencia y Acceso a la Información Pública del Ayuntamiento de Santo Tomas, de fecha diecinueve de noviembre de dos mil veintiuno; mediante la cual, CONFIRMA la Declaración de Inexistencia de la información solicitada, a fin de establecer si el Comité de Transparencia cumplió cabalmente con las formalidades exigidas por la Ley de Transparencia y Acceso a la Información Pública del Estado de México y Municipios: </w:t>
      </w:r>
    </w:p>
    <w:tbl>
      <w:tblPr>
        <w:tblStyle w:val="a"/>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96200F" w14:paraId="160DDF37" w14:textId="77777777">
        <w:tc>
          <w:tcPr>
            <w:tcW w:w="1744" w:type="dxa"/>
            <w:tcBorders>
              <w:top w:val="nil"/>
              <w:left w:val="nil"/>
            </w:tcBorders>
          </w:tcPr>
          <w:p w14:paraId="028771DC" w14:textId="77777777" w:rsidR="0096200F" w:rsidRDefault="0096200F">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297" w:type="dxa"/>
            <w:tcBorders>
              <w:bottom w:val="single" w:sz="4" w:space="0" w:color="000000"/>
            </w:tcBorders>
            <w:shd w:val="clear" w:color="auto" w:fill="BFBFBF"/>
            <w:vAlign w:val="bottom"/>
          </w:tcPr>
          <w:p w14:paraId="2127B4CE" w14:textId="77777777" w:rsidR="0096200F" w:rsidRDefault="00D30C2F">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Cumplió:</w:t>
            </w:r>
          </w:p>
        </w:tc>
        <w:tc>
          <w:tcPr>
            <w:tcW w:w="5464" w:type="dxa"/>
            <w:tcBorders>
              <w:bottom w:val="single" w:sz="4" w:space="0" w:color="000000"/>
            </w:tcBorders>
            <w:shd w:val="clear" w:color="auto" w:fill="BFBFBF"/>
            <w:vAlign w:val="bottom"/>
          </w:tcPr>
          <w:p w14:paraId="0B4FF8F1" w14:textId="77777777" w:rsidR="0096200F" w:rsidRDefault="00D30C2F">
            <w:pPr>
              <w:pBdr>
                <w:top w:val="nil"/>
                <w:left w:val="nil"/>
                <w:bottom w:val="nil"/>
                <w:right w:val="nil"/>
                <w:between w:val="nil"/>
              </w:pBdr>
              <w:spacing w:after="120"/>
              <w:ind w:left="4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Contenido</w:t>
            </w:r>
          </w:p>
        </w:tc>
      </w:tr>
      <w:tr w:rsidR="0096200F" w14:paraId="7BBEE5B8" w14:textId="77777777">
        <w:tc>
          <w:tcPr>
            <w:tcW w:w="1744" w:type="dxa"/>
            <w:vAlign w:val="center"/>
          </w:tcPr>
          <w:p w14:paraId="2D38F428" w14:textId="77777777" w:rsidR="0096200F" w:rsidRDefault="00D30C2F">
            <w:pPr>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Número de folio de la solicitud.</w:t>
            </w:r>
          </w:p>
        </w:tc>
        <w:tc>
          <w:tcPr>
            <w:tcW w:w="1297" w:type="dxa"/>
            <w:tcBorders>
              <w:top w:val="single" w:sz="4" w:space="0" w:color="000000"/>
            </w:tcBorders>
            <w:vAlign w:val="center"/>
          </w:tcPr>
          <w:p w14:paraId="7CFB7EB1" w14:textId="77777777" w:rsidR="0096200F" w:rsidRDefault="00D30C2F">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5464" w:type="dxa"/>
            <w:tcBorders>
              <w:top w:val="single" w:sz="4" w:space="0" w:color="000000"/>
            </w:tcBorders>
            <w:vAlign w:val="center"/>
          </w:tcPr>
          <w:p w14:paraId="5738362C" w14:textId="77777777" w:rsidR="0096200F" w:rsidRDefault="0096200F">
            <w:pPr>
              <w:spacing w:after="120"/>
              <w:ind w:left="-115"/>
              <w:jc w:val="both"/>
              <w:rPr>
                <w:rFonts w:ascii="Palatino Linotype" w:eastAsia="Palatino Linotype" w:hAnsi="Palatino Linotype" w:cs="Palatino Linotype"/>
              </w:rPr>
            </w:pPr>
          </w:p>
          <w:p w14:paraId="22832927" w14:textId="77777777" w:rsidR="0096200F" w:rsidRDefault="00D30C2F">
            <w:pPr>
              <w:spacing w:after="120"/>
              <w:ind w:left="-115"/>
              <w:jc w:val="both"/>
              <w:rPr>
                <w:rFonts w:ascii="Palatino Linotype" w:eastAsia="Palatino Linotype" w:hAnsi="Palatino Linotype" w:cs="Palatino Linotype"/>
              </w:rPr>
            </w:pPr>
            <w:r>
              <w:rPr>
                <w:rFonts w:ascii="Palatino Linotype" w:eastAsia="Palatino Linotype" w:hAnsi="Palatino Linotype" w:cs="Palatino Linotype"/>
              </w:rPr>
              <w:t xml:space="preserve">Solamente se señala el folio del recurso de revisión. </w:t>
            </w:r>
          </w:p>
          <w:p w14:paraId="1CCE779D" w14:textId="77777777" w:rsidR="0096200F" w:rsidRDefault="0096200F">
            <w:pPr>
              <w:spacing w:after="120"/>
              <w:jc w:val="both"/>
              <w:rPr>
                <w:rFonts w:ascii="Palatino Linotype" w:eastAsia="Palatino Linotype" w:hAnsi="Palatino Linotype" w:cs="Palatino Linotype"/>
              </w:rPr>
            </w:pPr>
          </w:p>
          <w:p w14:paraId="37CF8F96" w14:textId="77777777" w:rsidR="0096200F" w:rsidRDefault="00D30C2F">
            <w:pPr>
              <w:spacing w:after="120"/>
              <w:jc w:val="both"/>
              <w:rPr>
                <w:rFonts w:ascii="Palatino Linotype" w:eastAsia="Palatino Linotype" w:hAnsi="Palatino Linotype" w:cs="Palatino Linotype"/>
              </w:rPr>
            </w:pPr>
            <w:r>
              <w:rPr>
                <w:noProof/>
                <w:lang w:val="es-MX" w:eastAsia="es-MX"/>
              </w:rPr>
              <w:drawing>
                <wp:inline distT="0" distB="0" distL="0" distR="0" wp14:anchorId="6D7C558B" wp14:editId="55EAA969">
                  <wp:extent cx="2989033" cy="1119795"/>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989033" cy="1119795"/>
                          </a:xfrm>
                          <a:prstGeom prst="rect">
                            <a:avLst/>
                          </a:prstGeom>
                          <a:ln/>
                        </pic:spPr>
                      </pic:pic>
                    </a:graphicData>
                  </a:graphic>
                </wp:inline>
              </w:drawing>
            </w:r>
          </w:p>
          <w:p w14:paraId="30C44742" w14:textId="77777777" w:rsidR="0096200F" w:rsidRDefault="0096200F">
            <w:pPr>
              <w:spacing w:after="120"/>
              <w:ind w:left="-115"/>
              <w:jc w:val="both"/>
              <w:rPr>
                <w:rFonts w:ascii="Palatino Linotype" w:eastAsia="Palatino Linotype" w:hAnsi="Palatino Linotype" w:cs="Palatino Linotype"/>
              </w:rPr>
            </w:pPr>
          </w:p>
          <w:p w14:paraId="74EE79AD" w14:textId="77777777" w:rsidR="0096200F" w:rsidRDefault="0096200F">
            <w:pPr>
              <w:spacing w:after="120"/>
              <w:ind w:left="-115"/>
              <w:jc w:val="both"/>
              <w:rPr>
                <w:rFonts w:ascii="Palatino Linotype" w:eastAsia="Palatino Linotype" w:hAnsi="Palatino Linotype" w:cs="Palatino Linotype"/>
              </w:rPr>
            </w:pPr>
          </w:p>
        </w:tc>
      </w:tr>
      <w:tr w:rsidR="0096200F" w14:paraId="6BCFA579" w14:textId="77777777">
        <w:tc>
          <w:tcPr>
            <w:tcW w:w="1744" w:type="dxa"/>
            <w:vAlign w:val="center"/>
          </w:tcPr>
          <w:p w14:paraId="657FB80E" w14:textId="77777777" w:rsidR="0096200F" w:rsidRDefault="00D30C2F">
            <w:pPr>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Referencia de la información solicitada.</w:t>
            </w:r>
          </w:p>
        </w:tc>
        <w:tc>
          <w:tcPr>
            <w:tcW w:w="1297" w:type="dxa"/>
            <w:vAlign w:val="center"/>
          </w:tcPr>
          <w:p w14:paraId="6FC4E6CC" w14:textId="77777777" w:rsidR="0096200F" w:rsidRDefault="00D30C2F">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5464" w:type="dxa"/>
            <w:vAlign w:val="center"/>
          </w:tcPr>
          <w:p w14:paraId="6FD707A8" w14:textId="77777777" w:rsidR="0096200F" w:rsidRDefault="0096200F">
            <w:pPr>
              <w:spacing w:after="120"/>
              <w:ind w:left="-31"/>
              <w:jc w:val="center"/>
            </w:pPr>
          </w:p>
          <w:p w14:paraId="274DB96F" w14:textId="77777777" w:rsidR="0096200F" w:rsidRDefault="00D30C2F">
            <w:pPr>
              <w:spacing w:after="120"/>
              <w:ind w:left="-31"/>
              <w:jc w:val="center"/>
              <w:rPr>
                <w:rFonts w:ascii="Palatino Linotype" w:eastAsia="Palatino Linotype" w:hAnsi="Palatino Linotype" w:cs="Palatino Linotype"/>
                <w:b/>
              </w:rPr>
            </w:pPr>
            <w:r>
              <w:rPr>
                <w:noProof/>
                <w:lang w:val="es-MX" w:eastAsia="es-MX"/>
              </w:rPr>
              <w:drawing>
                <wp:inline distT="0" distB="0" distL="0" distR="0" wp14:anchorId="2671FAFC" wp14:editId="7DB66737">
                  <wp:extent cx="3376409" cy="843899"/>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376409" cy="843899"/>
                          </a:xfrm>
                          <a:prstGeom prst="rect">
                            <a:avLst/>
                          </a:prstGeom>
                          <a:ln/>
                        </pic:spPr>
                      </pic:pic>
                    </a:graphicData>
                  </a:graphic>
                </wp:inline>
              </w:drawing>
            </w:r>
          </w:p>
        </w:tc>
      </w:tr>
      <w:tr w:rsidR="0096200F" w14:paraId="027C0BFE" w14:textId="77777777">
        <w:tc>
          <w:tcPr>
            <w:tcW w:w="1744" w:type="dxa"/>
            <w:vAlign w:val="center"/>
          </w:tcPr>
          <w:p w14:paraId="180BFE1B" w14:textId="77777777" w:rsidR="0096200F" w:rsidRDefault="00D30C2F">
            <w:pPr>
              <w:tabs>
                <w:tab w:val="left" w:pos="317"/>
              </w:tabs>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Fundamento y Motivación Legal.</w:t>
            </w:r>
          </w:p>
        </w:tc>
        <w:tc>
          <w:tcPr>
            <w:tcW w:w="1297" w:type="dxa"/>
            <w:vAlign w:val="center"/>
          </w:tcPr>
          <w:p w14:paraId="1F20220F" w14:textId="77777777" w:rsidR="0096200F" w:rsidRDefault="00D30C2F">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 xml:space="preserve">Parcialmente </w:t>
            </w:r>
          </w:p>
        </w:tc>
        <w:tc>
          <w:tcPr>
            <w:tcW w:w="5464" w:type="dxa"/>
          </w:tcPr>
          <w:p w14:paraId="2EC76188" w14:textId="77777777" w:rsidR="0096200F" w:rsidRDefault="00D30C2F">
            <w:pPr>
              <w:spacing w:after="120"/>
              <w:ind w:left="-31"/>
              <w:jc w:val="both"/>
              <w:rPr>
                <w:b/>
                <w:sz w:val="22"/>
                <w:szCs w:val="22"/>
              </w:rPr>
            </w:pPr>
            <w:r>
              <w:rPr>
                <w:rFonts w:ascii="Palatino Linotype" w:eastAsia="Palatino Linotype" w:hAnsi="Palatino Linotype" w:cs="Palatino Linotype"/>
                <w:b/>
                <w:sz w:val="22"/>
                <w:szCs w:val="22"/>
              </w:rPr>
              <w:t>No se señalan las fracciones III y IV del artículo 169 de la Ley de Transparencia</w:t>
            </w:r>
          </w:p>
          <w:p w14:paraId="31F56E35" w14:textId="77777777" w:rsidR="0096200F" w:rsidRDefault="00D30C2F">
            <w:pPr>
              <w:spacing w:after="120"/>
              <w:ind w:left="-31"/>
              <w:jc w:val="center"/>
              <w:rPr>
                <w:rFonts w:ascii="Palatino Linotype" w:eastAsia="Palatino Linotype" w:hAnsi="Palatino Linotype" w:cs="Palatino Linotype"/>
                <w:b/>
              </w:rPr>
            </w:pPr>
            <w:r>
              <w:rPr>
                <w:noProof/>
                <w:lang w:val="es-MX" w:eastAsia="es-MX"/>
              </w:rPr>
              <w:lastRenderedPageBreak/>
              <w:drawing>
                <wp:inline distT="0" distB="0" distL="0" distR="0" wp14:anchorId="59A2A8BB" wp14:editId="50300299">
                  <wp:extent cx="3332480" cy="2903855"/>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332480" cy="2903855"/>
                          </a:xfrm>
                          <a:prstGeom prst="rect">
                            <a:avLst/>
                          </a:prstGeom>
                          <a:ln/>
                        </pic:spPr>
                      </pic:pic>
                    </a:graphicData>
                  </a:graphic>
                </wp:inline>
              </w:drawing>
            </w:r>
          </w:p>
          <w:p w14:paraId="2F91ABE4" w14:textId="77777777" w:rsidR="0096200F" w:rsidRDefault="00D30C2F">
            <w:pPr>
              <w:spacing w:after="120"/>
              <w:ind w:left="-31"/>
              <w:jc w:val="center"/>
              <w:rPr>
                <w:rFonts w:ascii="Palatino Linotype" w:eastAsia="Palatino Linotype" w:hAnsi="Palatino Linotype" w:cs="Palatino Linotype"/>
                <w:b/>
              </w:rPr>
            </w:pPr>
            <w:r>
              <w:rPr>
                <w:noProof/>
                <w:lang w:val="es-MX" w:eastAsia="es-MX"/>
              </w:rPr>
              <w:drawing>
                <wp:inline distT="0" distB="0" distL="0" distR="0" wp14:anchorId="5CE07A4D" wp14:editId="2AC0CA32">
                  <wp:extent cx="3332480" cy="322580"/>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332480" cy="322580"/>
                          </a:xfrm>
                          <a:prstGeom prst="rect">
                            <a:avLst/>
                          </a:prstGeom>
                          <a:ln/>
                        </pic:spPr>
                      </pic:pic>
                    </a:graphicData>
                  </a:graphic>
                </wp:inline>
              </w:drawing>
            </w:r>
          </w:p>
        </w:tc>
      </w:tr>
      <w:tr w:rsidR="0096200F" w14:paraId="5DEAF44F" w14:textId="77777777">
        <w:tc>
          <w:tcPr>
            <w:tcW w:w="1744" w:type="dxa"/>
            <w:vAlign w:val="center"/>
          </w:tcPr>
          <w:p w14:paraId="6BE4D1A8" w14:textId="77777777" w:rsidR="0096200F" w:rsidRDefault="00D30C2F">
            <w:pPr>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Conexión entre los fundamentos y motivos que dieron origen a la clasificación.</w:t>
            </w:r>
          </w:p>
        </w:tc>
        <w:tc>
          <w:tcPr>
            <w:tcW w:w="1297" w:type="dxa"/>
            <w:vAlign w:val="center"/>
          </w:tcPr>
          <w:p w14:paraId="444C17B0" w14:textId="77777777" w:rsidR="0096200F" w:rsidRDefault="00D30C2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Sí</w:t>
            </w:r>
          </w:p>
        </w:tc>
        <w:tc>
          <w:tcPr>
            <w:tcW w:w="5464" w:type="dxa"/>
            <w:vAlign w:val="center"/>
          </w:tcPr>
          <w:p w14:paraId="36359CDF" w14:textId="77777777" w:rsidR="0096200F" w:rsidRDefault="00D30C2F">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2"/>
                <w:szCs w:val="22"/>
              </w:rPr>
            </w:pPr>
            <w:r>
              <w:rPr>
                <w:noProof/>
                <w:color w:val="000000"/>
                <w:sz w:val="22"/>
                <w:szCs w:val="22"/>
                <w:lang w:val="es-MX" w:eastAsia="es-MX"/>
              </w:rPr>
              <w:drawing>
                <wp:inline distT="0" distB="0" distL="0" distR="0" wp14:anchorId="41199B0F" wp14:editId="0E5E5F73">
                  <wp:extent cx="3332480" cy="606425"/>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332480" cy="606425"/>
                          </a:xfrm>
                          <a:prstGeom prst="rect">
                            <a:avLst/>
                          </a:prstGeom>
                          <a:ln/>
                        </pic:spPr>
                      </pic:pic>
                    </a:graphicData>
                  </a:graphic>
                </wp:inline>
              </w:drawing>
            </w:r>
          </w:p>
          <w:p w14:paraId="41CFD9FF" w14:textId="77777777" w:rsidR="0096200F" w:rsidRDefault="00D30C2F">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2"/>
                <w:szCs w:val="22"/>
              </w:rPr>
            </w:pPr>
            <w:r>
              <w:rPr>
                <w:noProof/>
                <w:color w:val="000000"/>
                <w:sz w:val="22"/>
                <w:szCs w:val="22"/>
                <w:lang w:val="es-MX" w:eastAsia="es-MX"/>
              </w:rPr>
              <w:drawing>
                <wp:inline distT="0" distB="0" distL="0" distR="0" wp14:anchorId="55807FD0" wp14:editId="3DB441E1">
                  <wp:extent cx="3332480" cy="31750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332480" cy="317500"/>
                          </a:xfrm>
                          <a:prstGeom prst="rect">
                            <a:avLst/>
                          </a:prstGeom>
                          <a:ln/>
                        </pic:spPr>
                      </pic:pic>
                    </a:graphicData>
                  </a:graphic>
                </wp:inline>
              </w:drawing>
            </w:r>
          </w:p>
        </w:tc>
      </w:tr>
      <w:tr w:rsidR="0096200F" w14:paraId="4C14505C" w14:textId="77777777">
        <w:tc>
          <w:tcPr>
            <w:tcW w:w="1744" w:type="dxa"/>
            <w:vAlign w:val="center"/>
          </w:tcPr>
          <w:p w14:paraId="19AB7163" w14:textId="77777777" w:rsidR="0096200F" w:rsidRDefault="00D30C2F">
            <w:pPr>
              <w:tabs>
                <w:tab w:val="left" w:pos="317"/>
              </w:tabs>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14:paraId="6129B203" w14:textId="77777777" w:rsidR="0096200F" w:rsidRDefault="00D30C2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No</w:t>
            </w:r>
          </w:p>
        </w:tc>
        <w:tc>
          <w:tcPr>
            <w:tcW w:w="5464" w:type="dxa"/>
            <w:vAlign w:val="center"/>
          </w:tcPr>
          <w:p w14:paraId="179F0F22" w14:textId="77777777" w:rsidR="0096200F" w:rsidRDefault="00D30C2F">
            <w:pPr>
              <w:pBdr>
                <w:top w:val="nil"/>
                <w:left w:val="nil"/>
                <w:bottom w:val="nil"/>
                <w:right w:val="nil"/>
                <w:between w:val="nil"/>
              </w:pBdr>
              <w:spacing w:after="120"/>
              <w:ind w:left="29" w:firstLine="1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w:t>
            </w:r>
            <w:proofErr w:type="spellStart"/>
            <w:r>
              <w:rPr>
                <w:rFonts w:ascii="Palatino Linotype" w:eastAsia="Palatino Linotype" w:hAnsi="Palatino Linotype" w:cs="Palatino Linotype"/>
                <w:color w:val="000000"/>
                <w:sz w:val="22"/>
                <w:szCs w:val="22"/>
              </w:rPr>
              <w:t>terminos</w:t>
            </w:r>
            <w:proofErr w:type="spellEnd"/>
            <w:r>
              <w:rPr>
                <w:rFonts w:ascii="Palatino Linotype" w:eastAsia="Palatino Linotype" w:hAnsi="Palatino Linotype" w:cs="Palatino Linotype"/>
                <w:color w:val="000000"/>
                <w:sz w:val="22"/>
                <w:szCs w:val="22"/>
              </w:rPr>
              <w:t xml:space="preserve"> de lo dispuesto por la fracción IV del artículo 169 de la Ley en la materia el Sujeto Obligado omitió incluir en el Acta de inexistencia dicha notificación. </w:t>
            </w:r>
          </w:p>
        </w:tc>
      </w:tr>
      <w:tr w:rsidR="0096200F" w14:paraId="15A7C220" w14:textId="77777777">
        <w:trPr>
          <w:trHeight w:val="3517"/>
        </w:trPr>
        <w:tc>
          <w:tcPr>
            <w:tcW w:w="1744" w:type="dxa"/>
            <w:vAlign w:val="center"/>
          </w:tcPr>
          <w:p w14:paraId="425BBE6D" w14:textId="77777777" w:rsidR="0096200F" w:rsidRDefault="00D30C2F">
            <w:pPr>
              <w:tabs>
                <w:tab w:val="left" w:pos="317"/>
              </w:tabs>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Autoridades competentes.</w:t>
            </w:r>
          </w:p>
        </w:tc>
        <w:tc>
          <w:tcPr>
            <w:tcW w:w="1297" w:type="dxa"/>
            <w:vAlign w:val="center"/>
          </w:tcPr>
          <w:p w14:paraId="54A52FBE" w14:textId="77777777" w:rsidR="0096200F" w:rsidRDefault="00D30C2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Sí</w:t>
            </w:r>
          </w:p>
        </w:tc>
        <w:tc>
          <w:tcPr>
            <w:tcW w:w="5464" w:type="dxa"/>
          </w:tcPr>
          <w:p w14:paraId="60256530" w14:textId="77777777" w:rsidR="0096200F" w:rsidRDefault="00D30C2F">
            <w:pPr>
              <w:jc w:val="center"/>
            </w:pPr>
            <w:r>
              <w:rPr>
                <w:noProof/>
                <w:lang w:val="es-MX" w:eastAsia="es-MX"/>
              </w:rPr>
              <w:drawing>
                <wp:inline distT="0" distB="0" distL="0" distR="0" wp14:anchorId="47501D1E" wp14:editId="6779F391">
                  <wp:extent cx="3332480" cy="3382645"/>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332480" cy="3382645"/>
                          </a:xfrm>
                          <a:prstGeom prst="rect">
                            <a:avLst/>
                          </a:prstGeom>
                          <a:ln/>
                        </pic:spPr>
                      </pic:pic>
                    </a:graphicData>
                  </a:graphic>
                </wp:inline>
              </w:drawing>
            </w:r>
          </w:p>
        </w:tc>
      </w:tr>
    </w:tbl>
    <w:p w14:paraId="5FCEF760" w14:textId="77777777" w:rsidR="0096200F" w:rsidRDefault="0096200F">
      <w:pPr>
        <w:spacing w:line="360" w:lineRule="auto"/>
        <w:ind w:right="141"/>
        <w:jc w:val="both"/>
        <w:rPr>
          <w:rFonts w:ascii="Palatino Linotype" w:eastAsia="Palatino Linotype" w:hAnsi="Palatino Linotype" w:cs="Palatino Linotype"/>
        </w:rPr>
      </w:pPr>
    </w:p>
    <w:p w14:paraId="21F50F18" w14:textId="77777777" w:rsidR="0096200F" w:rsidRDefault="00D30C2F">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Pr>
          <w:rFonts w:ascii="Palatino Linotype" w:eastAsia="Palatino Linotype" w:hAnsi="Palatino Linotype" w:cs="Palatino Linotype"/>
          <w:i/>
        </w:rPr>
        <w:t xml:space="preserve">, </w:t>
      </w:r>
      <w:r>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5150D0CD" w14:textId="77777777" w:rsidR="0096200F" w:rsidRDefault="0096200F">
      <w:pPr>
        <w:ind w:left="567" w:right="567"/>
        <w:jc w:val="both"/>
        <w:rPr>
          <w:rFonts w:ascii="Palatino Linotype" w:eastAsia="Palatino Linotype" w:hAnsi="Palatino Linotype" w:cs="Palatino Linotype"/>
          <w:sz w:val="22"/>
          <w:szCs w:val="22"/>
        </w:rPr>
      </w:pPr>
    </w:p>
    <w:p w14:paraId="24673472" w14:textId="77777777" w:rsidR="0096200F" w:rsidRDefault="00D30C2F">
      <w:pPr>
        <w:ind w:left="567" w:right="56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CRITERIO 0003-11</w:t>
      </w:r>
    </w:p>
    <w:p w14:paraId="2653C970" w14:textId="77777777" w:rsidR="0096200F" w:rsidRDefault="0096200F">
      <w:pPr>
        <w:ind w:left="567" w:right="567"/>
        <w:jc w:val="both"/>
        <w:rPr>
          <w:rFonts w:ascii="Palatino Linotype" w:eastAsia="Palatino Linotype" w:hAnsi="Palatino Linotype" w:cs="Palatino Linotype"/>
          <w:b/>
          <w:i/>
          <w:color w:val="000000"/>
          <w:sz w:val="22"/>
          <w:szCs w:val="22"/>
        </w:rPr>
      </w:pPr>
    </w:p>
    <w:p w14:paraId="7763A739"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INEXISTENCIA, CONCEPTO DE, EN MATERIA DE TRANSPARENCIA</w:t>
      </w:r>
      <w:r>
        <w:rPr>
          <w:rFonts w:ascii="Palatino Linotype" w:eastAsia="Palatino Linotype" w:hAnsi="Palatino Linotype" w:cs="Palatino Linotype"/>
          <w:i/>
          <w:color w:val="000000"/>
          <w:sz w:val="22"/>
          <w:szCs w:val="22"/>
        </w:rPr>
        <w:t xml:space="preserve">. La interpretación sistemática de los artículos 29 y 30, fracción VIII, de la Ley de </w:t>
      </w:r>
      <w:r>
        <w:rPr>
          <w:rFonts w:ascii="Palatino Linotype" w:eastAsia="Palatino Linotype" w:hAnsi="Palatino Linotype" w:cs="Palatino Linotype"/>
          <w:i/>
          <w:color w:val="000000"/>
          <w:sz w:val="22"/>
          <w:szCs w:val="22"/>
        </w:rPr>
        <w:lastRenderedPageBreak/>
        <w:t>Transparencia y Acceso a la Información Pública del Estado de México y Municipios, permite concluir que la inexistencia de la información en el derecho de acceso a la información pública conlleva necesariamente a los siguientes supuestos:</w:t>
      </w:r>
    </w:p>
    <w:p w14:paraId="4513383B" w14:textId="77777777" w:rsidR="0096200F" w:rsidRDefault="0096200F">
      <w:pPr>
        <w:ind w:left="567" w:right="567"/>
        <w:jc w:val="both"/>
        <w:rPr>
          <w:rFonts w:ascii="Palatino Linotype" w:eastAsia="Palatino Linotype" w:hAnsi="Palatino Linotype" w:cs="Palatino Linotype"/>
          <w:i/>
          <w:color w:val="000000"/>
          <w:sz w:val="22"/>
          <w:szCs w:val="22"/>
        </w:rPr>
      </w:pPr>
    </w:p>
    <w:p w14:paraId="0D611976"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11A782A"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En los casos en que por las atribuciones conferidas al Sujeto Obligado éste debió generar, administrar o poseer la información, pero en incumplimiento a la normatividad respectiva no llevó a cabo ninguna de esas acciones.</w:t>
      </w:r>
    </w:p>
    <w:p w14:paraId="4F80DB38" w14:textId="77777777" w:rsidR="0096200F" w:rsidRDefault="0096200F">
      <w:pPr>
        <w:ind w:left="567" w:right="567"/>
        <w:jc w:val="both"/>
        <w:rPr>
          <w:rFonts w:ascii="Palatino Linotype" w:eastAsia="Palatino Linotype" w:hAnsi="Palatino Linotype" w:cs="Palatino Linotype"/>
          <w:i/>
          <w:color w:val="000000"/>
          <w:sz w:val="22"/>
          <w:szCs w:val="22"/>
        </w:rPr>
      </w:pPr>
    </w:p>
    <w:p w14:paraId="1D66C5C4"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ABDC28E" w14:textId="77777777" w:rsidR="0096200F" w:rsidRDefault="0096200F">
      <w:pPr>
        <w:ind w:left="567" w:right="567"/>
        <w:jc w:val="both"/>
        <w:rPr>
          <w:rFonts w:ascii="Palatino Linotype" w:eastAsia="Palatino Linotype" w:hAnsi="Palatino Linotype" w:cs="Palatino Linotype"/>
          <w:i/>
          <w:color w:val="000000"/>
          <w:sz w:val="22"/>
          <w:szCs w:val="22"/>
        </w:rPr>
      </w:pPr>
    </w:p>
    <w:p w14:paraId="2CDD669A" w14:textId="77777777" w:rsidR="0096200F" w:rsidRDefault="00D30C2F">
      <w:pPr>
        <w:ind w:left="567" w:right="56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CRITERIO 0004-11</w:t>
      </w:r>
    </w:p>
    <w:p w14:paraId="44B5F172" w14:textId="77777777" w:rsidR="0096200F" w:rsidRDefault="0096200F">
      <w:pPr>
        <w:ind w:left="567" w:right="567"/>
        <w:jc w:val="both"/>
        <w:rPr>
          <w:rFonts w:ascii="Palatino Linotype" w:eastAsia="Palatino Linotype" w:hAnsi="Palatino Linotype" w:cs="Palatino Linotype"/>
          <w:b/>
          <w:i/>
          <w:color w:val="000000"/>
          <w:sz w:val="22"/>
          <w:szCs w:val="22"/>
        </w:rPr>
      </w:pPr>
    </w:p>
    <w:p w14:paraId="12FC718B"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INEXISTENCIA. DECLARATORIA DE LA. ALCANCES Y PROCEDIMIENTOS</w:t>
      </w:r>
      <w:r>
        <w:rPr>
          <w:rFonts w:ascii="Palatino Linotype" w:eastAsia="Palatino Linotype" w:hAnsi="Palatino Linotype" w:cs="Palatino Linotype"/>
          <w:i/>
          <w:color w:val="000000"/>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99C8DC7" w14:textId="77777777" w:rsidR="0096200F" w:rsidRDefault="0096200F">
      <w:pPr>
        <w:ind w:left="567" w:right="567"/>
        <w:jc w:val="both"/>
        <w:rPr>
          <w:rFonts w:ascii="Palatino Linotype" w:eastAsia="Palatino Linotype" w:hAnsi="Palatino Linotype" w:cs="Palatino Linotype"/>
          <w:i/>
          <w:color w:val="000000"/>
          <w:sz w:val="22"/>
          <w:szCs w:val="22"/>
        </w:rPr>
      </w:pPr>
    </w:p>
    <w:p w14:paraId="05F7F28C"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Bajo el entendido de que dicha búsqueda exhaustiva permitirá dos determinaciones:</w:t>
      </w:r>
    </w:p>
    <w:p w14:paraId="1420A407" w14:textId="77777777" w:rsidR="0096200F" w:rsidRDefault="0096200F">
      <w:pPr>
        <w:ind w:left="567" w:right="567"/>
        <w:jc w:val="both"/>
        <w:rPr>
          <w:rFonts w:ascii="Palatino Linotype" w:eastAsia="Palatino Linotype" w:hAnsi="Palatino Linotype" w:cs="Palatino Linotype"/>
          <w:i/>
          <w:color w:val="000000"/>
          <w:sz w:val="22"/>
          <w:szCs w:val="22"/>
        </w:rPr>
      </w:pPr>
    </w:p>
    <w:p w14:paraId="434158BD"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1ª) Que se localice la documentación que contenga la información solicitada y de ser así la información pueda entregarse al solicitante en la forma en que se encuentra disponible, o</w:t>
      </w:r>
    </w:p>
    <w:p w14:paraId="3CF62D57"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B3644E9" w14:textId="77777777" w:rsidR="0096200F" w:rsidRDefault="0096200F">
      <w:pPr>
        <w:ind w:left="567" w:right="567"/>
        <w:jc w:val="both"/>
        <w:rPr>
          <w:rFonts w:ascii="Palatino Linotype" w:eastAsia="Palatino Linotype" w:hAnsi="Palatino Linotype" w:cs="Palatino Linotype"/>
          <w:i/>
          <w:color w:val="000000"/>
          <w:sz w:val="22"/>
          <w:szCs w:val="22"/>
        </w:rPr>
      </w:pPr>
    </w:p>
    <w:p w14:paraId="7BFE8478" w14:textId="77777777" w:rsidR="0096200F" w:rsidRDefault="00D30C2F">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E2CEA06" w14:textId="77777777" w:rsidR="0096200F" w:rsidRDefault="0096200F">
      <w:pPr>
        <w:spacing w:line="360" w:lineRule="auto"/>
        <w:ind w:right="567"/>
        <w:jc w:val="both"/>
        <w:rPr>
          <w:rFonts w:ascii="Palatino Linotype" w:eastAsia="Palatino Linotype" w:hAnsi="Palatino Linotype" w:cs="Palatino Linotype"/>
          <w:sz w:val="22"/>
          <w:szCs w:val="22"/>
        </w:rPr>
      </w:pPr>
    </w:p>
    <w:p w14:paraId="4C1AE0E4"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Comité de Transparencia deberá emitir el correspondiente Acuerdo de Inexistencia de la Información y notificarlo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lastRenderedPageBreak/>
        <w:t>SUJETO OBLIGADO</w:t>
      </w:r>
      <w:r>
        <w:rPr>
          <w:rFonts w:ascii="Palatino Linotype" w:eastAsia="Palatino Linotype" w:hAnsi="Palatino Linotype" w:cs="Palatino Linotype"/>
        </w:rPr>
        <w:t xml:space="preserve"> correspondiente, de acuerdo a los artículos 47 y 49, fracciones II y XIII, de la Ley en estudio:</w:t>
      </w:r>
    </w:p>
    <w:p w14:paraId="3E325648" w14:textId="77777777" w:rsidR="0096200F" w:rsidRDefault="0096200F">
      <w:pPr>
        <w:spacing w:line="360" w:lineRule="auto"/>
        <w:ind w:right="567"/>
        <w:jc w:val="both"/>
        <w:rPr>
          <w:rFonts w:ascii="Palatino Linotype" w:eastAsia="Palatino Linotype" w:hAnsi="Palatino Linotype" w:cs="Palatino Linotype"/>
        </w:rPr>
      </w:pPr>
    </w:p>
    <w:p w14:paraId="2C24DEA0"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1D7D6B21" w14:textId="77777777" w:rsidR="0096200F" w:rsidRDefault="0096200F">
      <w:pPr>
        <w:ind w:left="567" w:right="567"/>
        <w:jc w:val="both"/>
        <w:rPr>
          <w:rFonts w:ascii="Palatino Linotype" w:eastAsia="Palatino Linotype" w:hAnsi="Palatino Linotype" w:cs="Palatino Linotype"/>
          <w:i/>
          <w:sz w:val="22"/>
          <w:szCs w:val="22"/>
        </w:rPr>
      </w:pPr>
    </w:p>
    <w:p w14:paraId="6F83A402"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2837C475" w14:textId="77777777" w:rsidR="0096200F" w:rsidRDefault="0096200F">
      <w:pPr>
        <w:ind w:left="567" w:right="567"/>
        <w:jc w:val="both"/>
        <w:rPr>
          <w:rFonts w:ascii="Palatino Linotype" w:eastAsia="Palatino Linotype" w:hAnsi="Palatino Linotype" w:cs="Palatino Linotype"/>
          <w:i/>
          <w:sz w:val="22"/>
          <w:szCs w:val="22"/>
        </w:rPr>
      </w:pPr>
    </w:p>
    <w:p w14:paraId="7E788D59"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71D38F28" w14:textId="77777777" w:rsidR="0096200F" w:rsidRDefault="0096200F">
      <w:pPr>
        <w:ind w:left="567" w:right="567"/>
        <w:jc w:val="both"/>
        <w:rPr>
          <w:rFonts w:ascii="Palatino Linotype" w:eastAsia="Palatino Linotype" w:hAnsi="Palatino Linotype" w:cs="Palatino Linotype"/>
          <w:i/>
          <w:sz w:val="22"/>
          <w:szCs w:val="22"/>
        </w:rPr>
      </w:pPr>
    </w:p>
    <w:p w14:paraId="5C27ED3D"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2C512CF" w14:textId="77777777" w:rsidR="0096200F" w:rsidRDefault="0096200F">
      <w:pPr>
        <w:ind w:left="567" w:right="567"/>
        <w:jc w:val="both"/>
        <w:rPr>
          <w:rFonts w:ascii="Palatino Linotype" w:eastAsia="Palatino Linotype" w:hAnsi="Palatino Linotype" w:cs="Palatino Linotype"/>
          <w:i/>
          <w:sz w:val="22"/>
          <w:szCs w:val="22"/>
        </w:rPr>
      </w:pPr>
    </w:p>
    <w:p w14:paraId="5D6F33EA"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0E277201" w14:textId="77777777" w:rsidR="0096200F" w:rsidRDefault="0096200F">
      <w:pPr>
        <w:ind w:left="567" w:right="567"/>
        <w:jc w:val="both"/>
        <w:rPr>
          <w:rFonts w:ascii="Palatino Linotype" w:eastAsia="Palatino Linotype" w:hAnsi="Palatino Linotype" w:cs="Palatino Linotype"/>
          <w:i/>
          <w:sz w:val="22"/>
          <w:szCs w:val="22"/>
        </w:rPr>
      </w:pPr>
    </w:p>
    <w:p w14:paraId="1A4D3A40"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1FC07155" w14:textId="77777777" w:rsidR="0096200F" w:rsidRDefault="0096200F">
      <w:pPr>
        <w:ind w:left="567" w:right="567"/>
        <w:jc w:val="both"/>
        <w:rPr>
          <w:rFonts w:ascii="Palatino Linotype" w:eastAsia="Palatino Linotype" w:hAnsi="Palatino Linotype" w:cs="Palatino Linotype"/>
          <w:i/>
          <w:sz w:val="22"/>
          <w:szCs w:val="22"/>
        </w:rPr>
      </w:pPr>
    </w:p>
    <w:p w14:paraId="34C899AE"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14:paraId="0EBC6CD9"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DA882FE"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14:paraId="74B63305"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CD044A0" w14:textId="77777777" w:rsidR="0096200F" w:rsidRDefault="00D30C2F">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2CE560B4" w14:textId="77777777" w:rsidR="0096200F" w:rsidRDefault="0096200F">
      <w:pPr>
        <w:spacing w:line="360" w:lineRule="auto"/>
        <w:jc w:val="both"/>
        <w:rPr>
          <w:rFonts w:ascii="Palatino Linotype" w:eastAsia="Palatino Linotype" w:hAnsi="Palatino Linotype" w:cs="Palatino Linotype"/>
          <w:i/>
        </w:rPr>
      </w:pPr>
    </w:p>
    <w:p w14:paraId="76BBA42B"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el acuerdo de inexistencia deberá apegarse a lo dispuesto por los artículos 169 y 170, de la Ley de la materia que ordenan: </w:t>
      </w:r>
    </w:p>
    <w:p w14:paraId="1795EA1A" w14:textId="77777777" w:rsidR="0096200F" w:rsidRDefault="0096200F">
      <w:pPr>
        <w:spacing w:line="360" w:lineRule="auto"/>
        <w:jc w:val="both"/>
        <w:rPr>
          <w:rFonts w:ascii="Palatino Linotype" w:eastAsia="Palatino Linotype" w:hAnsi="Palatino Linotype" w:cs="Palatino Linotype"/>
        </w:rPr>
      </w:pPr>
    </w:p>
    <w:p w14:paraId="6D42B13F"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3296BADE" w14:textId="77777777" w:rsidR="0096200F" w:rsidRDefault="0096200F">
      <w:pPr>
        <w:ind w:left="567" w:right="567"/>
        <w:jc w:val="both"/>
        <w:rPr>
          <w:rFonts w:ascii="Palatino Linotype" w:eastAsia="Palatino Linotype" w:hAnsi="Palatino Linotype" w:cs="Palatino Linotype"/>
          <w:i/>
          <w:sz w:val="22"/>
          <w:szCs w:val="22"/>
        </w:rPr>
      </w:pPr>
    </w:p>
    <w:p w14:paraId="5B8BAF96"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14:paraId="18DBFEA3" w14:textId="77777777" w:rsidR="0096200F" w:rsidRDefault="0096200F">
      <w:pPr>
        <w:ind w:left="567" w:right="567"/>
        <w:jc w:val="both"/>
        <w:rPr>
          <w:rFonts w:ascii="Palatino Linotype" w:eastAsia="Palatino Linotype" w:hAnsi="Palatino Linotype" w:cs="Palatino Linotype"/>
          <w:i/>
          <w:sz w:val="22"/>
          <w:szCs w:val="22"/>
        </w:rPr>
      </w:pPr>
    </w:p>
    <w:p w14:paraId="4AC47154"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14:paraId="6D3C939B" w14:textId="77777777" w:rsidR="0096200F" w:rsidRDefault="0096200F">
      <w:pPr>
        <w:ind w:left="567" w:right="567"/>
        <w:jc w:val="both"/>
        <w:rPr>
          <w:rFonts w:ascii="Palatino Linotype" w:eastAsia="Palatino Linotype" w:hAnsi="Palatino Linotype" w:cs="Palatino Linotype"/>
          <w:i/>
          <w:sz w:val="22"/>
          <w:szCs w:val="22"/>
        </w:rPr>
      </w:pPr>
    </w:p>
    <w:p w14:paraId="47F79752"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07501EE" w14:textId="77777777" w:rsidR="0096200F" w:rsidRDefault="0096200F">
      <w:pPr>
        <w:ind w:left="567" w:right="567"/>
        <w:jc w:val="both"/>
        <w:rPr>
          <w:rFonts w:ascii="Palatino Linotype" w:eastAsia="Palatino Linotype" w:hAnsi="Palatino Linotype" w:cs="Palatino Linotype"/>
          <w:i/>
          <w:sz w:val="22"/>
          <w:szCs w:val="22"/>
        </w:rPr>
      </w:pPr>
    </w:p>
    <w:p w14:paraId="23D7B279"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14:paraId="24E6897A" w14:textId="77777777" w:rsidR="0096200F" w:rsidRDefault="0096200F">
      <w:pPr>
        <w:ind w:left="567" w:right="567"/>
        <w:jc w:val="both"/>
        <w:rPr>
          <w:rFonts w:ascii="Palatino Linotype" w:eastAsia="Palatino Linotype" w:hAnsi="Palatino Linotype" w:cs="Palatino Linotype"/>
          <w:i/>
          <w:sz w:val="22"/>
          <w:szCs w:val="22"/>
        </w:rPr>
      </w:pPr>
    </w:p>
    <w:p w14:paraId="3B34D12B"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74493785" w14:textId="77777777" w:rsidR="0096200F" w:rsidRDefault="0096200F">
      <w:pPr>
        <w:ind w:left="567" w:right="567"/>
        <w:jc w:val="both"/>
        <w:rPr>
          <w:rFonts w:ascii="Palatino Linotype" w:eastAsia="Palatino Linotype" w:hAnsi="Palatino Linotype" w:cs="Palatino Linotype"/>
          <w:i/>
          <w:sz w:val="22"/>
          <w:szCs w:val="22"/>
        </w:rPr>
      </w:pPr>
    </w:p>
    <w:p w14:paraId="37E3EA32"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D9C43D3" w14:textId="77777777" w:rsidR="0096200F" w:rsidRDefault="0096200F">
      <w:pPr>
        <w:ind w:left="567" w:right="567"/>
        <w:jc w:val="both"/>
        <w:rPr>
          <w:rFonts w:ascii="Palatino Linotype" w:eastAsia="Palatino Linotype" w:hAnsi="Palatino Linotype" w:cs="Palatino Linotype"/>
          <w:i/>
          <w:sz w:val="22"/>
          <w:szCs w:val="22"/>
        </w:rPr>
      </w:pPr>
    </w:p>
    <w:p w14:paraId="2EE2D051" w14:textId="77777777" w:rsidR="0096200F" w:rsidRDefault="00D30C2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E5E8506" w14:textId="77777777" w:rsidR="0096200F" w:rsidRDefault="0096200F">
      <w:pPr>
        <w:ind w:left="567" w:right="567"/>
        <w:jc w:val="both"/>
        <w:rPr>
          <w:rFonts w:ascii="Palatino Linotype" w:eastAsia="Palatino Linotype" w:hAnsi="Palatino Linotype" w:cs="Palatino Linotype"/>
        </w:rPr>
      </w:pPr>
    </w:p>
    <w:p w14:paraId="1B22099A" w14:textId="77777777" w:rsidR="0096200F" w:rsidRDefault="00D30C2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3D72B4C" w14:textId="77777777" w:rsidR="0096200F" w:rsidRDefault="0096200F">
      <w:pPr>
        <w:spacing w:line="360" w:lineRule="auto"/>
        <w:jc w:val="both"/>
        <w:rPr>
          <w:rFonts w:ascii="Palatino Linotype" w:eastAsia="Palatino Linotype" w:hAnsi="Palatino Linotype" w:cs="Palatino Linotype"/>
        </w:rPr>
      </w:pPr>
    </w:p>
    <w:p w14:paraId="70A4A79F"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77BF749F" w14:textId="77777777" w:rsidR="0096200F" w:rsidRDefault="0096200F">
      <w:pPr>
        <w:spacing w:line="360" w:lineRule="auto"/>
        <w:jc w:val="both"/>
        <w:rPr>
          <w:rFonts w:ascii="Palatino Linotype" w:eastAsia="Palatino Linotype" w:hAnsi="Palatino Linotype" w:cs="Palatino Linotype"/>
        </w:rPr>
      </w:pPr>
    </w:p>
    <w:p w14:paraId="06E9ED54" w14:textId="77777777" w:rsidR="0096200F" w:rsidRDefault="00D30C2F">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14:paraId="574262D7" w14:textId="77777777" w:rsidR="0096200F" w:rsidRDefault="00D30C2F">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14:paraId="28D6BC35" w14:textId="77777777" w:rsidR="0096200F" w:rsidRDefault="00D30C2F">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50FEF885" w14:textId="77777777" w:rsidR="0096200F" w:rsidRDefault="0096200F">
      <w:pPr>
        <w:pBdr>
          <w:top w:val="nil"/>
          <w:left w:val="nil"/>
          <w:bottom w:val="nil"/>
          <w:right w:val="nil"/>
          <w:between w:val="nil"/>
        </w:pBdr>
        <w:rPr>
          <w:color w:val="000000"/>
        </w:rPr>
      </w:pPr>
    </w:p>
    <w:p w14:paraId="6090FA27" w14:textId="77777777" w:rsidR="0096200F" w:rsidRDefault="00D30C2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34D9A354" w14:textId="77777777" w:rsidR="0096200F" w:rsidRDefault="00D30C2F">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14:paraId="1C5B9C58" w14:textId="77777777" w:rsidR="0096200F" w:rsidRDefault="00D30C2F">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14:paraId="018992BF" w14:textId="77777777" w:rsidR="0096200F" w:rsidRDefault="00D30C2F">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Los criterios de búsqueda utilizados, y </w:t>
      </w:r>
    </w:p>
    <w:p w14:paraId="15CF5466" w14:textId="77777777" w:rsidR="0096200F" w:rsidRDefault="00D30C2F">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4DE58A92" w14:textId="77777777" w:rsidR="0096200F" w:rsidRDefault="0096200F">
      <w:pPr>
        <w:spacing w:line="360" w:lineRule="auto"/>
        <w:ind w:right="-93"/>
        <w:jc w:val="both"/>
        <w:rPr>
          <w:rFonts w:ascii="Palatino Linotype" w:eastAsia="Palatino Linotype" w:hAnsi="Palatino Linotype" w:cs="Palatino Linotype"/>
        </w:rPr>
      </w:pPr>
    </w:p>
    <w:p w14:paraId="7A01ED3F"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del análisis realizado al Acuerdo de Inexistencia remitidos se pudo observar que el Sujeto Obligado, sí señala la información solicitada, cita parcialmente el fundamento legal faltando la IV del artículo 169 de la Ley de Transparencia, sí señala la motivación para declarar la inexistencia de la información,  se señalan los criterios de búsqueda utilizados y las circunstancias que fueron tomadas en cuenta, el tipo de archivos en los que se realizó la búsqueda, se señalan las circunstancias de tiempo, modo y lugar que generaron la inexistencia en cuestión, pero </w:t>
      </w:r>
      <w:r>
        <w:rPr>
          <w:rFonts w:ascii="Palatino Linotype" w:eastAsia="Palatino Linotype" w:hAnsi="Palatino Linotype" w:cs="Palatino Linotype"/>
          <w:b/>
          <w:u w:val="single"/>
        </w:rPr>
        <w:t xml:space="preserve">no inserta la notificación al órgano interno de control o su equivalente del SUJETO OBLIGADO, quien en su caso, deberá iniciar el procedimiento de responsabilidad administrativa que corresponda, por lo que se estima </w:t>
      </w:r>
      <w:r>
        <w:rPr>
          <w:rFonts w:ascii="Palatino Linotype" w:eastAsia="Palatino Linotype" w:hAnsi="Palatino Linotype" w:cs="Palatino Linotype"/>
        </w:rPr>
        <w:t xml:space="preserve">que NO cumplió a cabalidad con las formalidades exigidas   particularmente respecto a lo señalado en la fracción IV del artículo 169 de la Ley de Transparencia. </w:t>
      </w:r>
    </w:p>
    <w:p w14:paraId="36F7891E" w14:textId="77777777" w:rsidR="0096200F" w:rsidRDefault="0096200F">
      <w:pPr>
        <w:spacing w:line="360" w:lineRule="auto"/>
        <w:jc w:val="both"/>
        <w:rPr>
          <w:rFonts w:ascii="Palatino Linotype" w:eastAsia="Palatino Linotype" w:hAnsi="Palatino Linotype" w:cs="Palatino Linotype"/>
        </w:rPr>
      </w:pPr>
    </w:p>
    <w:p w14:paraId="515407DC"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mérito de lo expuesto en líneas anteriores, resultan fundados los motivos de inconformidad vertidos por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ello con fundamento en la </w:t>
      </w:r>
      <w:r>
        <w:rPr>
          <w:rFonts w:ascii="Palatino Linotype" w:eastAsia="Palatino Linotype" w:hAnsi="Palatino Linotype" w:cs="Palatino Linotype"/>
          <w:i/>
        </w:rPr>
        <w:t>primera hipótesis</w:t>
      </w:r>
      <w:r>
        <w:rPr>
          <w:rFonts w:ascii="Palatino Linotype" w:eastAsia="Palatino Linotype" w:hAnsi="Palatino Linotype" w:cs="Palatino Linotype"/>
        </w:rPr>
        <w:t xml:space="preserve"> del artículo 186, fracción III, de la Ley de Transparencia y Acceso a la Información Pública del Estado de México y Municipios,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a las solicitudes de información que ha sido materia del presente fallo, por lo que este Pleno:</w:t>
      </w:r>
    </w:p>
    <w:p w14:paraId="1FBE5319" w14:textId="77777777" w:rsidR="0096200F" w:rsidRDefault="00D30C2F">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14:paraId="6386A731" w14:textId="77777777" w:rsidR="0096200F" w:rsidRDefault="0096200F">
      <w:pPr>
        <w:spacing w:line="360" w:lineRule="auto"/>
        <w:jc w:val="center"/>
        <w:rPr>
          <w:rFonts w:ascii="Palatino Linotype" w:eastAsia="Palatino Linotype" w:hAnsi="Palatino Linotype" w:cs="Palatino Linotype"/>
          <w:b/>
        </w:rPr>
      </w:pPr>
    </w:p>
    <w:p w14:paraId="3FC8FD16" w14:textId="77777777" w:rsidR="0096200F" w:rsidRDefault="00D30C2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05654/INFOEM/IP/RR/2021</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 Sujeto Obligado.</w:t>
      </w:r>
    </w:p>
    <w:p w14:paraId="1CA1F941" w14:textId="77777777" w:rsidR="0096200F" w:rsidRDefault="00D30C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del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de lo siguiente:</w:t>
      </w:r>
    </w:p>
    <w:p w14:paraId="0CE3F84D" w14:textId="77777777" w:rsidR="0096200F" w:rsidRDefault="0096200F">
      <w:pPr>
        <w:spacing w:line="360" w:lineRule="auto"/>
        <w:jc w:val="both"/>
        <w:rPr>
          <w:rFonts w:ascii="Palatino Linotype" w:eastAsia="Palatino Linotype" w:hAnsi="Palatino Linotype" w:cs="Palatino Linotype"/>
        </w:rPr>
      </w:pPr>
    </w:p>
    <w:p w14:paraId="20B9529A" w14:textId="77777777" w:rsidR="0096200F" w:rsidRDefault="00D30C2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bookmarkStart w:id="0" w:name="_heading=h.gjdgxs" w:colFirst="0" w:colLast="0"/>
      <w:bookmarkEnd w:id="0"/>
      <w:r>
        <w:rPr>
          <w:rFonts w:ascii="Palatino Linotype" w:eastAsia="Palatino Linotype" w:hAnsi="Palatino Linotype" w:cs="Palatino Linotype"/>
          <w:i/>
          <w:color w:val="000000"/>
        </w:rPr>
        <w:t>Acuerdo de Inexistencia del Programa Anual de Evaluación 2018, cumpliendo con todas las formalidades establecidas artículos 49, fracciones II y XIII, 169 y 170 de la Ley de Transparencia y Acceso a la Información Pública del Estado de México y Municipios</w:t>
      </w:r>
      <w:r>
        <w:rPr>
          <w:rFonts w:ascii="Palatino Linotype" w:eastAsia="Palatino Linotype" w:hAnsi="Palatino Linotype" w:cs="Palatino Linotype"/>
          <w:i/>
        </w:rPr>
        <w:t xml:space="preserve">. </w:t>
      </w:r>
    </w:p>
    <w:p w14:paraId="00A2B35E" w14:textId="77777777" w:rsidR="0096200F" w:rsidRDefault="00D30C2F">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Tercero. Notifíquese </w:t>
      </w:r>
      <w:r>
        <w:rPr>
          <w:rFonts w:ascii="Palatino Linotype" w:eastAsia="Palatino Linotype" w:hAnsi="Palatino Linotype" w:cs="Palatino Linotype"/>
        </w:rPr>
        <w:t xml:space="preserve">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la presente resolución, al titular de la Unidad de Transparencia del 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CC7D351" w14:textId="77777777" w:rsidR="0096200F" w:rsidRDefault="00D30C2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Cuarto. 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así como, que de conformidad con </w:t>
      </w:r>
      <w:r>
        <w:rPr>
          <w:rFonts w:ascii="Palatino Linotype" w:eastAsia="Palatino Linotype" w:hAnsi="Palatino Linotype" w:cs="Palatino Linotype"/>
        </w:rPr>
        <w:lastRenderedPageBreak/>
        <w:t xml:space="preserve">lo establecido en el artículo 196 de la Ley de Transparencia y Acceso a la Información Pública del Estado de México y Municipios, en caso de que considere que le causa algún perjuicio podrá impugnarla vía Juicio de Amparo en los términos de las leyes aplicables, o bien acudir ante el Instituto Nacional de Transparencia vía recurso de Inconformidad de acuerdo con el artículo 159 de la Ley General de Transparencia. </w:t>
      </w:r>
    </w:p>
    <w:p w14:paraId="1902D725" w14:textId="77777777" w:rsidR="0096200F" w:rsidRDefault="00D30C2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046A1B" w14:textId="77777777" w:rsidR="00C07D6D" w:rsidRDefault="00C07D6D" w:rsidP="00C07D6D">
      <w:pPr>
        <w:spacing w:line="360" w:lineRule="auto"/>
        <w:ind w:right="142"/>
        <w:jc w:val="both"/>
        <w:rPr>
          <w:rFonts w:ascii="Palatino Linotype" w:eastAsia="Palatino Linotype" w:hAnsi="Palatino Linotype" w:cs="Palatino Linotype"/>
          <w:sz w:val="20"/>
          <w:szCs w:val="20"/>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SEXTA SESIÓN ORDINARIA CELEBRADA EL DIECISÉIS DE FEBRERO DE DOS MIL VEINTIDÓS, ANTE EL ANTE EL SECRETARIO TÉCNICO DEL PLENO, ALEXIS TAPIA RAMÍREZ. </w:t>
      </w:r>
    </w:p>
    <w:p w14:paraId="4D67421C" w14:textId="77777777" w:rsidR="00C07D6D" w:rsidRDefault="00C07D6D" w:rsidP="00C07D6D">
      <w:pPr>
        <w:spacing w:line="360" w:lineRule="auto"/>
        <w:jc w:val="both"/>
        <w:rPr>
          <w:rFonts w:ascii="Palatino Linotype" w:eastAsia="Palatino Linotype" w:hAnsi="Palatino Linotype" w:cs="Palatino Linotype"/>
          <w:sz w:val="20"/>
          <w:szCs w:val="20"/>
        </w:rPr>
      </w:pPr>
    </w:p>
    <w:p w14:paraId="0D5FFDC6" w14:textId="77777777" w:rsidR="0096200F" w:rsidRDefault="00D30C2F">
      <w:pPr>
        <w:spacing w:before="240" w:after="240" w:line="360" w:lineRule="auto"/>
        <w:jc w:val="both"/>
        <w:rPr>
          <w:rFonts w:ascii="Palatino Linotype" w:eastAsia="Palatino Linotype" w:hAnsi="Palatino Linotype" w:cs="Palatino Linotype"/>
        </w:rPr>
        <w:sectPr w:rsidR="0096200F">
          <w:headerReference w:type="default" r:id="rId22"/>
          <w:footerReference w:type="default" r:id="rId23"/>
          <w:headerReference w:type="first" r:id="rId24"/>
          <w:footerReference w:type="first" r:id="rId25"/>
          <w:pgSz w:w="12240" w:h="15840"/>
          <w:pgMar w:top="1417" w:right="1701" w:bottom="1417" w:left="1701" w:header="709" w:footer="709" w:gutter="0"/>
          <w:pgNumType w:start="1"/>
          <w:cols w:space="720"/>
          <w:titlePg/>
        </w:sectPr>
      </w:pPr>
      <w:r>
        <w:rPr>
          <w:rFonts w:ascii="Palatino Linotype" w:eastAsia="Palatino Linotype" w:hAnsi="Palatino Linotype" w:cs="Palatino Linotype"/>
        </w:rPr>
        <w:t>.</w:t>
      </w:r>
    </w:p>
    <w:p w14:paraId="369740FD" w14:textId="77777777" w:rsidR="0096200F" w:rsidRDefault="0096200F">
      <w:pPr>
        <w:spacing w:before="240" w:after="240" w:line="360" w:lineRule="auto"/>
        <w:jc w:val="both"/>
        <w:rPr>
          <w:rFonts w:ascii="Palatino Linotype" w:eastAsia="Palatino Linotype" w:hAnsi="Palatino Linotype" w:cs="Palatino Linotype"/>
        </w:rPr>
      </w:pPr>
    </w:p>
    <w:p w14:paraId="63A4FC41" w14:textId="77777777" w:rsidR="0096200F" w:rsidRDefault="0096200F"/>
    <w:p w14:paraId="4B6E3B5B" w14:textId="77777777" w:rsidR="0096200F" w:rsidRDefault="0096200F"/>
    <w:sectPr w:rsidR="0096200F">
      <w:headerReference w:type="first" r:id="rId26"/>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0F0B5" w14:textId="77777777" w:rsidR="004023C3" w:rsidRDefault="004023C3">
      <w:r>
        <w:separator/>
      </w:r>
    </w:p>
  </w:endnote>
  <w:endnote w:type="continuationSeparator" w:id="0">
    <w:p w14:paraId="5FABC89B" w14:textId="77777777" w:rsidR="004023C3" w:rsidRDefault="0040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9159" w14:textId="77777777" w:rsidR="0096200F" w:rsidRDefault="00D30C2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4BCC">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4BC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0126DAED" w14:textId="77777777" w:rsidR="0096200F" w:rsidRDefault="0096200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9248" w14:textId="77777777" w:rsidR="0096200F" w:rsidRDefault="00D30C2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4BC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4BC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3E62B471" w14:textId="77777777" w:rsidR="0096200F" w:rsidRDefault="0096200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2028D" w14:textId="77777777" w:rsidR="004023C3" w:rsidRDefault="004023C3">
      <w:r>
        <w:separator/>
      </w:r>
    </w:p>
  </w:footnote>
  <w:footnote w:type="continuationSeparator" w:id="0">
    <w:p w14:paraId="0FA3DC8E" w14:textId="77777777" w:rsidR="004023C3" w:rsidRDefault="00402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DF1B" w14:textId="77777777" w:rsidR="0096200F" w:rsidRDefault="00D30C2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669513A2" wp14:editId="001F1315">
          <wp:simplePos x="0" y="0"/>
          <wp:positionH relativeFrom="column">
            <wp:posOffset>-665860</wp:posOffset>
          </wp:positionH>
          <wp:positionV relativeFrom="paragraph">
            <wp:posOffset>-453617</wp:posOffset>
          </wp:positionV>
          <wp:extent cx="7635600" cy="9943200"/>
          <wp:effectExtent l="0" t="0" r="0" b="0"/>
          <wp:wrapNone/>
          <wp:docPr id="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812" w:type="dxa"/>
      <w:tblInd w:w="3119" w:type="dxa"/>
      <w:tblLayout w:type="fixed"/>
      <w:tblLook w:val="0400" w:firstRow="0" w:lastRow="0" w:firstColumn="0" w:lastColumn="0" w:noHBand="0" w:noVBand="1"/>
    </w:tblPr>
    <w:tblGrid>
      <w:gridCol w:w="2551"/>
      <w:gridCol w:w="3261"/>
    </w:tblGrid>
    <w:tr w:rsidR="0096200F" w14:paraId="4C89B799" w14:textId="77777777">
      <w:tc>
        <w:tcPr>
          <w:tcW w:w="2551" w:type="dxa"/>
          <w:vAlign w:val="center"/>
        </w:tcPr>
        <w:p w14:paraId="13DC07D2" w14:textId="77777777" w:rsidR="0096200F" w:rsidRDefault="00D30C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7B24C440" w14:textId="77777777" w:rsidR="0096200F" w:rsidRDefault="00D30C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005654/INFOEM/IP/RR/2021. </w:t>
          </w:r>
        </w:p>
      </w:tc>
    </w:tr>
    <w:tr w:rsidR="0096200F" w14:paraId="0EFAA2EB" w14:textId="77777777">
      <w:tc>
        <w:tcPr>
          <w:tcW w:w="2551" w:type="dxa"/>
          <w:vAlign w:val="center"/>
        </w:tcPr>
        <w:p w14:paraId="5A55353B" w14:textId="77777777" w:rsidR="0096200F" w:rsidRDefault="0096200F">
          <w:pPr>
            <w:rPr>
              <w:rFonts w:ascii="Palatino Linotype" w:eastAsia="Palatino Linotype" w:hAnsi="Palatino Linotype" w:cs="Palatino Linotype"/>
              <w:b/>
              <w:sz w:val="22"/>
              <w:szCs w:val="22"/>
            </w:rPr>
          </w:pPr>
        </w:p>
      </w:tc>
      <w:tc>
        <w:tcPr>
          <w:tcW w:w="3261" w:type="dxa"/>
          <w:vAlign w:val="center"/>
        </w:tcPr>
        <w:p w14:paraId="11E811AC" w14:textId="77777777" w:rsidR="0096200F" w:rsidRDefault="0096200F">
          <w:pPr>
            <w:jc w:val="both"/>
            <w:rPr>
              <w:rFonts w:ascii="Palatino Linotype" w:eastAsia="Palatino Linotype" w:hAnsi="Palatino Linotype" w:cs="Palatino Linotype"/>
              <w:b/>
              <w:sz w:val="22"/>
              <w:szCs w:val="22"/>
            </w:rPr>
          </w:pPr>
        </w:p>
      </w:tc>
    </w:tr>
    <w:tr w:rsidR="0096200F" w14:paraId="37F6299C" w14:textId="77777777">
      <w:trPr>
        <w:trHeight w:val="228"/>
      </w:trPr>
      <w:tc>
        <w:tcPr>
          <w:tcW w:w="2551" w:type="dxa"/>
          <w:vAlign w:val="center"/>
        </w:tcPr>
        <w:p w14:paraId="4048C406" w14:textId="77777777" w:rsidR="0096200F" w:rsidRDefault="00D30C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4294EBED" w14:textId="77777777" w:rsidR="0096200F" w:rsidRDefault="0096200F">
          <w:pPr>
            <w:ind w:left="34" w:right="34"/>
            <w:jc w:val="both"/>
            <w:rPr>
              <w:rFonts w:ascii="Palatino Linotype" w:eastAsia="Palatino Linotype" w:hAnsi="Palatino Linotype" w:cs="Palatino Linotype"/>
              <w:b/>
              <w:sz w:val="22"/>
              <w:szCs w:val="22"/>
            </w:rPr>
          </w:pPr>
        </w:p>
        <w:p w14:paraId="662BC374" w14:textId="77777777" w:rsidR="0096200F" w:rsidRDefault="00D30C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Santo Tomas.</w:t>
          </w:r>
        </w:p>
      </w:tc>
    </w:tr>
    <w:tr w:rsidR="0096200F" w14:paraId="79B74FCF" w14:textId="77777777">
      <w:tc>
        <w:tcPr>
          <w:tcW w:w="2551" w:type="dxa"/>
          <w:vAlign w:val="center"/>
        </w:tcPr>
        <w:p w14:paraId="79A711CC" w14:textId="77777777" w:rsidR="0096200F" w:rsidRDefault="00D30C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1962ADEE" w14:textId="77777777" w:rsidR="0096200F" w:rsidRDefault="00D30C2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7DBBED" w14:textId="77777777" w:rsidR="0096200F" w:rsidRDefault="0096200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47B3" w14:textId="77777777" w:rsidR="0096200F" w:rsidRDefault="00D30C2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432BCF51" wp14:editId="02BD233C">
          <wp:simplePos x="0" y="0"/>
          <wp:positionH relativeFrom="column">
            <wp:posOffset>-680313</wp:posOffset>
          </wp:positionH>
          <wp:positionV relativeFrom="paragraph">
            <wp:posOffset>-168884</wp:posOffset>
          </wp:positionV>
          <wp:extent cx="7635600" cy="9943200"/>
          <wp:effectExtent l="0" t="0" r="0" b="0"/>
          <wp:wrapNone/>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662" w:type="dxa"/>
      <w:tblInd w:w="3119" w:type="dxa"/>
      <w:tblLayout w:type="fixed"/>
      <w:tblLook w:val="0400" w:firstRow="0" w:lastRow="0" w:firstColumn="0" w:lastColumn="0" w:noHBand="0" w:noVBand="1"/>
    </w:tblPr>
    <w:tblGrid>
      <w:gridCol w:w="2551"/>
      <w:gridCol w:w="4111"/>
    </w:tblGrid>
    <w:tr w:rsidR="0096200F" w14:paraId="64C478D1" w14:textId="77777777">
      <w:tc>
        <w:tcPr>
          <w:tcW w:w="2551" w:type="dxa"/>
          <w:vAlign w:val="center"/>
        </w:tcPr>
        <w:p w14:paraId="310C92D7" w14:textId="77777777" w:rsidR="0096200F" w:rsidRDefault="00D30C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14:paraId="4A6A22C3" w14:textId="77777777" w:rsidR="0096200F" w:rsidRDefault="00D30C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005654/INFOEM/IP/RR/2021. </w:t>
          </w:r>
        </w:p>
      </w:tc>
    </w:tr>
    <w:tr w:rsidR="0096200F" w14:paraId="14A00BDA" w14:textId="77777777">
      <w:tc>
        <w:tcPr>
          <w:tcW w:w="2551" w:type="dxa"/>
          <w:vAlign w:val="center"/>
        </w:tcPr>
        <w:p w14:paraId="605BCBEE" w14:textId="77777777" w:rsidR="0096200F" w:rsidRDefault="0096200F">
          <w:pPr>
            <w:rPr>
              <w:rFonts w:ascii="Palatino Linotype" w:eastAsia="Palatino Linotype" w:hAnsi="Palatino Linotype" w:cs="Palatino Linotype"/>
              <w:b/>
              <w:sz w:val="22"/>
              <w:szCs w:val="22"/>
            </w:rPr>
          </w:pPr>
        </w:p>
      </w:tc>
      <w:tc>
        <w:tcPr>
          <w:tcW w:w="4111" w:type="dxa"/>
          <w:vAlign w:val="center"/>
        </w:tcPr>
        <w:p w14:paraId="3CAB59C7" w14:textId="77777777" w:rsidR="0096200F" w:rsidRDefault="0096200F">
          <w:pPr>
            <w:jc w:val="both"/>
            <w:rPr>
              <w:rFonts w:ascii="Palatino Linotype" w:eastAsia="Palatino Linotype" w:hAnsi="Palatino Linotype" w:cs="Palatino Linotype"/>
              <w:b/>
              <w:sz w:val="22"/>
              <w:szCs w:val="22"/>
            </w:rPr>
          </w:pPr>
        </w:p>
      </w:tc>
    </w:tr>
    <w:tr w:rsidR="0096200F" w14:paraId="4E8D591A" w14:textId="77777777">
      <w:trPr>
        <w:trHeight w:val="228"/>
      </w:trPr>
      <w:tc>
        <w:tcPr>
          <w:tcW w:w="2551" w:type="dxa"/>
          <w:vAlign w:val="center"/>
        </w:tcPr>
        <w:p w14:paraId="5AF35487" w14:textId="77777777" w:rsidR="0096200F" w:rsidRDefault="00D30C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p w14:paraId="43FEB0EF" w14:textId="77777777" w:rsidR="0096200F" w:rsidRDefault="00D30C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14:paraId="1CD69E43" w14:textId="77777777" w:rsidR="0096200F" w:rsidRDefault="0096200F">
          <w:pPr>
            <w:ind w:left="34" w:right="34"/>
            <w:jc w:val="both"/>
            <w:rPr>
              <w:rFonts w:ascii="Palatino Linotype" w:eastAsia="Palatino Linotype" w:hAnsi="Palatino Linotype" w:cs="Palatino Linotype"/>
              <w:b/>
              <w:sz w:val="22"/>
              <w:szCs w:val="22"/>
            </w:rPr>
          </w:pPr>
        </w:p>
        <w:p w14:paraId="70823738" w14:textId="77777777" w:rsidR="0096200F" w:rsidRDefault="00D30C2F">
          <w:pPr>
            <w:ind w:left="34"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Santo Tomas.</w:t>
          </w:r>
        </w:p>
      </w:tc>
    </w:tr>
    <w:tr w:rsidR="0096200F" w14:paraId="749CF1C9" w14:textId="77777777">
      <w:tc>
        <w:tcPr>
          <w:tcW w:w="2551" w:type="dxa"/>
          <w:vAlign w:val="center"/>
        </w:tcPr>
        <w:p w14:paraId="1FA01ABB" w14:textId="77777777" w:rsidR="0096200F" w:rsidRDefault="00D30C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14:paraId="5C2E3B11" w14:textId="77777777" w:rsidR="0096200F" w:rsidRDefault="00D30C2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F49A77" w14:textId="77777777" w:rsidR="0096200F" w:rsidRDefault="0096200F">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FFB1" w14:textId="77777777" w:rsidR="0096200F" w:rsidRDefault="0096200F">
    <w:pPr>
      <w:pBdr>
        <w:top w:val="nil"/>
        <w:left w:val="nil"/>
        <w:bottom w:val="nil"/>
        <w:right w:val="nil"/>
        <w:between w:val="nil"/>
      </w:pBdr>
      <w:tabs>
        <w:tab w:val="center" w:pos="4419"/>
        <w:tab w:val="right" w:pos="8838"/>
      </w:tabs>
      <w:jc w:val="both"/>
      <w:rPr>
        <w:color w:val="000000"/>
      </w:rPr>
    </w:pPr>
  </w:p>
  <w:p w14:paraId="1ED9CB19" w14:textId="77777777" w:rsidR="0096200F" w:rsidRDefault="0096200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488"/>
    <w:multiLevelType w:val="multilevel"/>
    <w:tmpl w:val="F0CC4816"/>
    <w:lvl w:ilvl="0">
      <w:start w:val="3"/>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 w15:restartNumberingAfterBreak="0">
    <w:nsid w:val="0C996D56"/>
    <w:multiLevelType w:val="multilevel"/>
    <w:tmpl w:val="A914145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155631"/>
    <w:multiLevelType w:val="multilevel"/>
    <w:tmpl w:val="BC3C009E"/>
    <w:lvl w:ilvl="0">
      <w:start w:val="5"/>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 w15:restartNumberingAfterBreak="0">
    <w:nsid w:val="52B70018"/>
    <w:multiLevelType w:val="multilevel"/>
    <w:tmpl w:val="80629A9E"/>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FA51B5"/>
    <w:multiLevelType w:val="multilevel"/>
    <w:tmpl w:val="9548556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6DE0129"/>
    <w:multiLevelType w:val="multilevel"/>
    <w:tmpl w:val="6214F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00F"/>
    <w:rsid w:val="000B04E3"/>
    <w:rsid w:val="001356F2"/>
    <w:rsid w:val="004023C3"/>
    <w:rsid w:val="00474BCC"/>
    <w:rsid w:val="0096200F"/>
    <w:rsid w:val="00C07D6D"/>
    <w:rsid w:val="00D30C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99477"/>
  <w15:docId w15:val="{A1645A45-5AD7-4AFA-9147-1AACEF0B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3E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next w:val="Normal"/>
    <w:link w:val="Ttulo2Car"/>
    <w:uiPriority w:val="9"/>
    <w:unhideWhenUsed/>
    <w:qFormat/>
    <w:rsid w:val="009653E6"/>
    <w:pPr>
      <w:keepNext/>
      <w:keepLines/>
      <w:spacing w:after="12" w:line="248" w:lineRule="auto"/>
      <w:ind w:left="10" w:right="64" w:hanging="10"/>
      <w:jc w:val="center"/>
      <w:outlineLvl w:val="1"/>
    </w:pPr>
    <w:rPr>
      <w:rFonts w:ascii="Palatino Linotype" w:eastAsia="Palatino Linotype" w:hAnsi="Palatino Linotype" w:cs="Palatino Linotype"/>
      <w:b/>
      <w:i/>
      <w:color w:val="000000"/>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2Car">
    <w:name w:val="Título 2 Car"/>
    <w:basedOn w:val="Fuentedeprrafopredeter"/>
    <w:link w:val="Ttulo2"/>
    <w:uiPriority w:val="9"/>
    <w:rsid w:val="009653E6"/>
    <w:rPr>
      <w:rFonts w:ascii="Palatino Linotype" w:eastAsia="Palatino Linotype" w:hAnsi="Palatino Linotype" w:cs="Palatino Linotype"/>
      <w:b/>
      <w:i/>
      <w:color w:val="000000"/>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653E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653E6"/>
    <w:pPr>
      <w:ind w:left="708"/>
    </w:pPr>
    <w:rPr>
      <w:sz w:val="22"/>
      <w:szCs w:val="22"/>
      <w:lang w:eastAsia="en-US"/>
    </w:rPr>
  </w:style>
  <w:style w:type="paragraph" w:customStyle="1" w:styleId="paragraph">
    <w:name w:val="paragraph"/>
    <w:basedOn w:val="Normal"/>
    <w:rsid w:val="009653E6"/>
    <w:pPr>
      <w:spacing w:before="100" w:beforeAutospacing="1" w:after="100" w:afterAutospacing="1"/>
    </w:pPr>
    <w:rPr>
      <w:lang w:val="es-MX" w:eastAsia="es-MX"/>
    </w:rPr>
  </w:style>
  <w:style w:type="character" w:customStyle="1" w:styleId="normaltextrun">
    <w:name w:val="normaltextrun"/>
    <w:basedOn w:val="Fuentedeprrafopredeter"/>
    <w:rsid w:val="009653E6"/>
  </w:style>
  <w:style w:type="character" w:customStyle="1" w:styleId="apple-converted-space">
    <w:name w:val="apple-converted-space"/>
    <w:basedOn w:val="Fuentedeprrafopredeter"/>
    <w:rsid w:val="009653E6"/>
  </w:style>
  <w:style w:type="character" w:customStyle="1" w:styleId="eop">
    <w:name w:val="eop"/>
    <w:basedOn w:val="Fuentedeprrafopredeter"/>
    <w:rsid w:val="009653E6"/>
  </w:style>
  <w:style w:type="table" w:styleId="Tablaconcuadrcula">
    <w:name w:val="Table Grid"/>
    <w:basedOn w:val="Tablanormal"/>
    <w:uiPriority w:val="59"/>
    <w:rsid w:val="009653E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653E6"/>
    <w:rPr>
      <w:color w:val="0000FF"/>
      <w:u w:val="single"/>
    </w:rPr>
  </w:style>
  <w:style w:type="paragraph" w:styleId="Encabezado">
    <w:name w:val="header"/>
    <w:basedOn w:val="Normal"/>
    <w:link w:val="EncabezadoCar"/>
    <w:uiPriority w:val="99"/>
    <w:unhideWhenUsed/>
    <w:rsid w:val="009653E6"/>
    <w:pPr>
      <w:tabs>
        <w:tab w:val="center" w:pos="4419"/>
        <w:tab w:val="right" w:pos="8838"/>
      </w:tabs>
    </w:pPr>
  </w:style>
  <w:style w:type="character" w:customStyle="1" w:styleId="EncabezadoCar">
    <w:name w:val="Encabezado Car"/>
    <w:basedOn w:val="Fuentedeprrafopredeter"/>
    <w:link w:val="Encabezado"/>
    <w:uiPriority w:val="99"/>
    <w:rsid w:val="009653E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653E6"/>
    <w:pPr>
      <w:tabs>
        <w:tab w:val="center" w:pos="4419"/>
        <w:tab w:val="right" w:pos="8838"/>
      </w:tabs>
    </w:pPr>
  </w:style>
  <w:style w:type="character" w:customStyle="1" w:styleId="PiedepginaCar">
    <w:name w:val="Pie de página Car"/>
    <w:basedOn w:val="Fuentedeprrafopredeter"/>
    <w:link w:val="Piedepgina"/>
    <w:uiPriority w:val="99"/>
    <w:rsid w:val="009653E6"/>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653E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653E6"/>
    <w:rPr>
      <w:rFonts w:ascii="Times New Roman" w:eastAsia="Times New Roman" w:hAnsi="Times New Roman" w:cs="Times New Roman"/>
      <w:sz w:val="20"/>
      <w:szCs w:val="20"/>
      <w:lang w:val="es-ES" w:eastAsia="es-ES"/>
    </w:rPr>
  </w:style>
  <w:style w:type="table" w:customStyle="1" w:styleId="TableGrid">
    <w:name w:val="TableGrid"/>
    <w:rsid w:val="009653E6"/>
    <w:rPr>
      <w:rFonts w:eastAsiaTheme="minorEastAsia"/>
    </w:rPr>
    <w:tblPr>
      <w:tblCellMar>
        <w:top w:w="0" w:type="dxa"/>
        <w:left w:w="0" w:type="dxa"/>
        <w:bottom w:w="0" w:type="dxa"/>
        <w:right w:w="0" w:type="dxa"/>
      </w:tblCellMar>
    </w:tblPr>
  </w:style>
  <w:style w:type="paragraph" w:styleId="Sinespaciado">
    <w:name w:val="No Spacing"/>
    <w:aliases w:val="Francesa,INAI"/>
    <w:link w:val="SinespaciadoCar"/>
    <w:uiPriority w:val="1"/>
    <w:qFormat/>
    <w:rsid w:val="00EC3BEA"/>
  </w:style>
  <w:style w:type="character" w:customStyle="1" w:styleId="SinespaciadoCar">
    <w:name w:val="Sin espaciado Car"/>
    <w:aliases w:val="Francesa Car,INAI Car"/>
    <w:link w:val="Sinespaciado"/>
    <w:uiPriority w:val="1"/>
    <w:locked/>
    <w:rsid w:val="00EC3BEA"/>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55200.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aki/6AtIP8Xe7gWMTwkvqWz+rw==">AMUW2mWU8zDpRH6UFm8yQTEqhuv1zmiXCXhUXmE+f2cfQxbaLPzdn9Pvy6Zh7t0wfadZSePCmqeL0iNbh+6LUXGroA+qjz4Ppa1wIC7vhKyc6bntlAGgI4CW1DBrLkoQNe11JT0RLtFY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5509</Words>
  <Characters>30304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misael hernandez</dc:creator>
  <cp:lastModifiedBy>KEPZAR Productos y Servicios de Tecnología</cp:lastModifiedBy>
  <cp:revision>2</cp:revision>
  <dcterms:created xsi:type="dcterms:W3CDTF">2022-03-04T19:40:00Z</dcterms:created>
  <dcterms:modified xsi:type="dcterms:W3CDTF">2022-03-04T19:40:00Z</dcterms:modified>
</cp:coreProperties>
</file>