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510" w:rsidRDefault="00E55BD0">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veintisiete de abril del dos mil veintidós.</w:t>
      </w:r>
    </w:p>
    <w:p w:rsidR="00AA7510" w:rsidRDefault="00E55BD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Vistos </w:t>
      </w:r>
      <w:r>
        <w:rPr>
          <w:rFonts w:ascii="Palatino Linotype" w:eastAsia="Palatino Linotype" w:hAnsi="Palatino Linotype" w:cs="Palatino Linotype"/>
        </w:rPr>
        <w:t xml:space="preserve">los expedientes relativos a los recurso de revisión </w:t>
      </w:r>
      <w:r>
        <w:rPr>
          <w:rFonts w:ascii="Palatino Linotype" w:eastAsia="Palatino Linotype" w:hAnsi="Palatino Linotype" w:cs="Palatino Linotype"/>
          <w:b/>
        </w:rPr>
        <w:t>01614/INFOEM/IP/RR/2022 y 01615/INFOEM/IP/RR/2022</w:t>
      </w:r>
      <w:r>
        <w:rPr>
          <w:rFonts w:ascii="Palatino Linotype" w:eastAsia="Palatino Linotype" w:hAnsi="Palatino Linotype" w:cs="Palatino Linotype"/>
        </w:rPr>
        <w:t>, interpuesto</w:t>
      </w:r>
      <w:r w:rsidR="009E6D1F">
        <w:rPr>
          <w:rFonts w:ascii="Palatino Linotype" w:eastAsia="Palatino Linotype" w:hAnsi="Palatino Linotype" w:cs="Palatino Linotype"/>
        </w:rPr>
        <w:t>s</w:t>
      </w:r>
      <w:r>
        <w:rPr>
          <w:rFonts w:ascii="Palatino Linotype" w:eastAsia="Palatino Linotype" w:hAnsi="Palatino Linotype" w:cs="Palatino Linotype"/>
        </w:rPr>
        <w:t xml:space="preserve"> por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una persona usuaria que no proporcionó nombre o seudónimo para ser identificado, en lo sucesivo el </w:t>
      </w:r>
      <w:r>
        <w:rPr>
          <w:rFonts w:ascii="Palatino Linotype" w:eastAsia="Palatino Linotype" w:hAnsi="Palatino Linotype" w:cs="Palatino Linotype"/>
          <w:b/>
        </w:rPr>
        <w:t>RECURRENTE</w:t>
      </w:r>
      <w:r w:rsidR="009E6D1F">
        <w:rPr>
          <w:rFonts w:ascii="Palatino Linotype" w:eastAsia="Palatino Linotype" w:hAnsi="Palatino Linotype" w:cs="Palatino Linotype"/>
        </w:rPr>
        <w:t>, en contra de la falta de</w:t>
      </w:r>
      <w:r>
        <w:rPr>
          <w:rFonts w:ascii="Palatino Linotype" w:eastAsia="Palatino Linotype" w:hAnsi="Palatino Linotype" w:cs="Palatino Linotype"/>
        </w:rPr>
        <w:t xml:space="preserve"> respuesta a sus solicitudes de información con número</w:t>
      </w:r>
      <w:r w:rsidR="009E6D1F">
        <w:rPr>
          <w:rFonts w:ascii="Palatino Linotype" w:eastAsia="Palatino Linotype" w:hAnsi="Palatino Linotype" w:cs="Palatino Linotype"/>
        </w:rPr>
        <w:t>s</w:t>
      </w:r>
      <w:r>
        <w:rPr>
          <w:rFonts w:ascii="Palatino Linotype" w:eastAsia="Palatino Linotype" w:hAnsi="Palatino Linotype" w:cs="Palatino Linotype"/>
        </w:rPr>
        <w:t xml:space="preserve"> de folio </w:t>
      </w:r>
      <w:r>
        <w:rPr>
          <w:rFonts w:ascii="Palatino Linotype" w:eastAsia="Palatino Linotype" w:hAnsi="Palatino Linotype" w:cs="Palatino Linotype"/>
          <w:b/>
        </w:rPr>
        <w:t>00339/DIFMETEPEC/IP/2022 y 00338/DIFMETEPEC/IP/2022,</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Sistema Municipal Para el Desarrollo Integral de la Familia de Metepec, en lo sucesivo el</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 siguiente. </w:t>
      </w:r>
    </w:p>
    <w:p w:rsidR="00AA7510" w:rsidRDefault="00E55BD0">
      <w:pPr>
        <w:numPr>
          <w:ilvl w:val="0"/>
          <w:numId w:val="2"/>
        </w:numPr>
        <w:pBdr>
          <w:top w:val="nil"/>
          <w:left w:val="nil"/>
          <w:bottom w:val="nil"/>
          <w:right w:val="nil"/>
          <w:between w:val="nil"/>
        </w:pBdr>
        <w:spacing w:before="240" w:after="240" w:line="360" w:lineRule="auto"/>
        <w:ind w:left="567" w:hanging="283"/>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rsidR="00AA7510" w:rsidRDefault="00E55BD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rPr>
        <w:t xml:space="preserve">Con fecha tres de febrero del dos mil veintidós,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 de acceso 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rsidR="00AA7510" w:rsidRDefault="00E55BD0">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00339/DIFMETEPEC/IP/2022:</w:t>
      </w:r>
    </w:p>
    <w:p w:rsidR="00AA7510" w:rsidRDefault="00E55BD0">
      <w:pPr>
        <w:spacing w:before="240" w:after="240"/>
        <w:ind w:left="566"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roofErr w:type="spellStart"/>
      <w:r>
        <w:rPr>
          <w:rFonts w:ascii="Palatino Linotype" w:eastAsia="Palatino Linotype" w:hAnsi="Palatino Linotype" w:cs="Palatino Linotype"/>
          <w:i/>
          <w:color w:val="000000"/>
          <w:sz w:val="22"/>
          <w:szCs w:val="22"/>
        </w:rPr>
        <w:t>kiero</w:t>
      </w:r>
      <w:proofErr w:type="spellEnd"/>
      <w:r>
        <w:rPr>
          <w:rFonts w:ascii="Palatino Linotype" w:eastAsia="Palatino Linotype" w:hAnsi="Palatino Linotype" w:cs="Palatino Linotype"/>
          <w:i/>
          <w:color w:val="000000"/>
          <w:sz w:val="22"/>
          <w:szCs w:val="22"/>
        </w:rPr>
        <w:t xml:space="preserve"> saber si el </w:t>
      </w:r>
      <w:proofErr w:type="spellStart"/>
      <w:r>
        <w:rPr>
          <w:rFonts w:ascii="Palatino Linotype" w:eastAsia="Palatino Linotype" w:hAnsi="Palatino Linotype" w:cs="Palatino Linotype"/>
          <w:i/>
          <w:color w:val="000000"/>
          <w:sz w:val="22"/>
          <w:szCs w:val="22"/>
        </w:rPr>
        <w:t>dif</w:t>
      </w:r>
      <w:proofErr w:type="spellEnd"/>
      <w:r>
        <w:rPr>
          <w:rFonts w:ascii="Palatino Linotype" w:eastAsia="Palatino Linotype" w:hAnsi="Palatino Linotype" w:cs="Palatino Linotype"/>
          <w:i/>
          <w:color w:val="000000"/>
          <w:sz w:val="22"/>
          <w:szCs w:val="22"/>
        </w:rPr>
        <w:t xml:space="preserve"> compro sillas nuevas </w:t>
      </w:r>
      <w:proofErr w:type="spellStart"/>
      <w:r>
        <w:rPr>
          <w:rFonts w:ascii="Palatino Linotype" w:eastAsia="Palatino Linotype" w:hAnsi="Palatino Linotype" w:cs="Palatino Linotype"/>
          <w:i/>
          <w:color w:val="000000"/>
          <w:sz w:val="22"/>
          <w:szCs w:val="22"/>
        </w:rPr>
        <w:t>pork</w:t>
      </w:r>
      <w:proofErr w:type="spellEnd"/>
      <w:r>
        <w:rPr>
          <w:rFonts w:ascii="Palatino Linotype" w:eastAsia="Palatino Linotype" w:hAnsi="Palatino Linotype" w:cs="Palatino Linotype"/>
          <w:i/>
          <w:color w:val="000000"/>
          <w:sz w:val="22"/>
          <w:szCs w:val="22"/>
        </w:rPr>
        <w:t xml:space="preserve"> el culito de la presidenta necesita sillas de </w:t>
      </w:r>
      <w:proofErr w:type="spellStart"/>
      <w:r>
        <w:rPr>
          <w:rFonts w:ascii="Palatino Linotype" w:eastAsia="Palatino Linotype" w:hAnsi="Palatino Linotype" w:cs="Palatino Linotype"/>
          <w:i/>
          <w:color w:val="000000"/>
          <w:sz w:val="22"/>
          <w:szCs w:val="22"/>
        </w:rPr>
        <w:t>calidat</w:t>
      </w:r>
      <w:proofErr w:type="spellEnd"/>
      <w:r>
        <w:rPr>
          <w:rFonts w:ascii="Palatino Linotype" w:eastAsia="Palatino Linotype" w:hAnsi="Palatino Linotype" w:cs="Palatino Linotype"/>
          <w:i/>
          <w:color w:val="000000"/>
          <w:sz w:val="22"/>
          <w:szCs w:val="22"/>
        </w:rPr>
        <w:t>” (Sic)</w:t>
      </w:r>
    </w:p>
    <w:p w:rsidR="00AA7510" w:rsidRDefault="00E55BD0">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Solicitud 00338/DIFMETEPEC/IP/2022:</w:t>
      </w:r>
    </w:p>
    <w:p w:rsidR="00AA7510" w:rsidRDefault="00E55BD0">
      <w:pPr>
        <w:spacing w:before="240" w:after="240"/>
        <w:ind w:left="709"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“buenos días. </w:t>
      </w:r>
      <w:proofErr w:type="spellStart"/>
      <w:proofErr w:type="gramStart"/>
      <w:r>
        <w:rPr>
          <w:rFonts w:ascii="Palatino Linotype" w:eastAsia="Palatino Linotype" w:hAnsi="Palatino Linotype" w:cs="Palatino Linotype"/>
          <w:i/>
          <w:color w:val="000000"/>
          <w:sz w:val="22"/>
          <w:szCs w:val="22"/>
        </w:rPr>
        <w:t>cual</w:t>
      </w:r>
      <w:proofErr w:type="spellEnd"/>
      <w:proofErr w:type="gramEnd"/>
      <w:r>
        <w:rPr>
          <w:rFonts w:ascii="Palatino Linotype" w:eastAsia="Palatino Linotype" w:hAnsi="Palatino Linotype" w:cs="Palatino Linotype"/>
          <w:i/>
          <w:color w:val="000000"/>
          <w:sz w:val="22"/>
          <w:szCs w:val="22"/>
        </w:rPr>
        <w:t xml:space="preserve"> es la canción favorita de la presidenta </w:t>
      </w:r>
      <w:proofErr w:type="spellStart"/>
      <w:r>
        <w:rPr>
          <w:rFonts w:ascii="Palatino Linotype" w:eastAsia="Palatino Linotype" w:hAnsi="Palatino Linotype" w:cs="Palatino Linotype"/>
          <w:i/>
          <w:color w:val="000000"/>
          <w:sz w:val="22"/>
          <w:szCs w:val="22"/>
        </w:rPr>
        <w:t>esq</w:t>
      </w:r>
      <w:proofErr w:type="spellEnd"/>
      <w:r>
        <w:rPr>
          <w:rFonts w:ascii="Palatino Linotype" w:eastAsia="Palatino Linotype" w:hAnsi="Palatino Linotype" w:cs="Palatino Linotype"/>
          <w:i/>
          <w:color w:val="000000"/>
          <w:sz w:val="22"/>
          <w:szCs w:val="22"/>
        </w:rPr>
        <w:t xml:space="preserve"> le quiero llevar serenata” (Sic)</w:t>
      </w:r>
    </w:p>
    <w:p w:rsidR="00AA7510" w:rsidRDefault="00E55BD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en cada una de las solicitudes: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rsidR="00AA7510" w:rsidRDefault="00AA7510">
      <w:pPr>
        <w:spacing w:line="360" w:lineRule="auto"/>
        <w:jc w:val="both"/>
        <w:rPr>
          <w:rFonts w:ascii="Palatino Linotype" w:eastAsia="Palatino Linotype" w:hAnsi="Palatino Linotype" w:cs="Palatino Linotype"/>
          <w:b/>
        </w:rPr>
      </w:pPr>
    </w:p>
    <w:p w:rsidR="00AA7510" w:rsidRDefault="00E55BD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2. Solicitudes de Aclaración</w:t>
      </w:r>
      <w:r>
        <w:rPr>
          <w:rFonts w:ascii="Palatino Linotype" w:eastAsia="Palatino Linotype" w:hAnsi="Palatino Linotype" w:cs="Palatino Linotype"/>
        </w:rPr>
        <w:t xml:space="preserve">. En fecha ocho de febrero del año dos mil veintidós el </w:t>
      </w:r>
      <w:r>
        <w:rPr>
          <w:rFonts w:ascii="Palatino Linotype" w:eastAsia="Palatino Linotype" w:hAnsi="Palatino Linotype" w:cs="Palatino Linotype"/>
          <w:b/>
        </w:rPr>
        <w:t>SUJETO OBLIGADO</w:t>
      </w:r>
      <w:r w:rsidR="009E6D1F">
        <w:rPr>
          <w:rFonts w:ascii="Palatino Linotype" w:eastAsia="Palatino Linotype" w:hAnsi="Palatino Linotype" w:cs="Palatino Linotype"/>
        </w:rPr>
        <w:t>, formuló</w:t>
      </w:r>
      <w:r>
        <w:rPr>
          <w:rFonts w:ascii="Palatino Linotype" w:eastAsia="Palatino Linotype" w:hAnsi="Palatino Linotype" w:cs="Palatino Linotype"/>
        </w:rPr>
        <w:t xml:space="preserve"> en las solicitudes número </w:t>
      </w:r>
      <w:r>
        <w:rPr>
          <w:rFonts w:ascii="Palatino Linotype" w:eastAsia="Palatino Linotype" w:hAnsi="Palatino Linotype" w:cs="Palatino Linotype"/>
          <w:b/>
        </w:rPr>
        <w:t xml:space="preserve">00339/DIFMETEPEC/IP/2022 y 00338/DIFMETEPEC/IP/2022, </w:t>
      </w:r>
      <w:r>
        <w:rPr>
          <w:rFonts w:ascii="Palatino Linotype" w:eastAsia="Palatino Linotype" w:hAnsi="Palatino Linotype" w:cs="Palatino Linotype"/>
        </w:rPr>
        <w:t>vía SAIMEX a la parte Recurrente la aclaración, en los siguientes términos:</w:t>
      </w:r>
    </w:p>
    <w:p w:rsidR="00AA7510" w:rsidRDefault="00AA7510">
      <w:pPr>
        <w:jc w:val="both"/>
        <w:rPr>
          <w:rFonts w:ascii="Palatino Linotype" w:eastAsia="Palatino Linotype" w:hAnsi="Palatino Linotype" w:cs="Palatino Linotype"/>
        </w:rPr>
      </w:pPr>
    </w:p>
    <w:p w:rsidR="00AA7510" w:rsidRDefault="00E55BD0">
      <w:pPr>
        <w:ind w:left="709"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 fundamento en el </w:t>
      </w:r>
      <w:proofErr w:type="spellStart"/>
      <w:r>
        <w:rPr>
          <w:rFonts w:ascii="Palatino Linotype" w:eastAsia="Palatino Linotype" w:hAnsi="Palatino Linotype" w:cs="Palatino Linotype"/>
          <w:i/>
          <w:color w:val="000000"/>
          <w:sz w:val="22"/>
          <w:szCs w:val="22"/>
        </w:rPr>
        <w:t>articulo</w:t>
      </w:r>
      <w:proofErr w:type="spellEnd"/>
      <w:r>
        <w:rPr>
          <w:rFonts w:ascii="Palatino Linotype" w:eastAsia="Palatino Linotype" w:hAnsi="Palatino Linotype" w:cs="Palatino Linotype"/>
          <w:i/>
          <w:color w:val="000000"/>
          <w:sz w:val="22"/>
          <w:szCs w:val="22"/>
        </w:rPr>
        <w:t xml:space="preserve"> 159 de la Ley de Transparencia y Acceso a la Información Pública del Estado de México y Municipios, se le requiere para que dentro del plazo de diez días hábiles realice lo siguiente:</w:t>
      </w:r>
    </w:p>
    <w:p w:rsidR="00AA7510" w:rsidRDefault="00E55BD0">
      <w:pPr>
        <w:ind w:left="709"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PREGUNTA CONFUSA, AMBIGUA o VAGA: No precisa el contenido de la información que requiere, es incomprensible.</w:t>
      </w:r>
    </w:p>
    <w:p w:rsidR="00AA7510" w:rsidRDefault="00E55BD0">
      <w:pPr>
        <w:ind w:left="709"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AA7510" w:rsidRDefault="00E55BD0">
      <w:pPr>
        <w:ind w:left="709"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AA7510" w:rsidRDefault="00E55BD0">
      <w:pPr>
        <w:ind w:left="709"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Licenciado FERNANDO OSCAR ZAPATA NAVARRETE” (Sic)</w:t>
      </w:r>
    </w:p>
    <w:p w:rsidR="00AA7510" w:rsidRDefault="00AA7510">
      <w:pPr>
        <w:spacing w:line="360" w:lineRule="auto"/>
        <w:jc w:val="both"/>
        <w:rPr>
          <w:rFonts w:ascii="Palatino Linotype" w:eastAsia="Palatino Linotype" w:hAnsi="Palatino Linotype" w:cs="Palatino Linotype"/>
          <w:b/>
        </w:rPr>
      </w:pPr>
    </w:p>
    <w:p w:rsidR="00AA7510" w:rsidRDefault="00E55BD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3. Solicitudes concluidas</w:t>
      </w:r>
      <w:r>
        <w:rPr>
          <w:rFonts w:ascii="Palatino Linotype" w:eastAsia="Palatino Linotype" w:hAnsi="Palatino Linotype" w:cs="Palatino Linotype"/>
        </w:rPr>
        <w:t xml:space="preserve">. De la revisión a los expedientes electrónicos se desprende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w:t>
      </w:r>
      <w:r w:rsidR="009E6D1F">
        <w:rPr>
          <w:rFonts w:ascii="Palatino Linotype" w:eastAsia="Palatino Linotype" w:hAnsi="Palatino Linotype" w:cs="Palatino Linotype"/>
        </w:rPr>
        <w:t>desahogó la aclaración formulada</w:t>
      </w:r>
      <w:r>
        <w:rPr>
          <w:rFonts w:ascii="Palatino Linotype" w:eastAsia="Palatino Linotype" w:hAnsi="Palatino Linotype" w:cs="Palatino Linotype"/>
        </w:rPr>
        <w:t xml:space="preserve">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ni hizo alguna otra manifestación al respecto, motivo por el cual en fecha veintitrés de febrero de dos mil veintiuno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las solicitudes 00339/DIFMETEPEC/IP/2022 y 00338/DIFMETEPEC/IP/2022</w:t>
      </w:r>
      <w:r>
        <w:rPr>
          <w:rFonts w:ascii="Palatino Linotype" w:eastAsia="Palatino Linotype" w:hAnsi="Palatino Linotype" w:cs="Palatino Linotype"/>
          <w:b/>
        </w:rPr>
        <w:t>,</w:t>
      </w:r>
      <w:r>
        <w:rPr>
          <w:rFonts w:ascii="Palatino Linotype" w:eastAsia="Palatino Linotype" w:hAnsi="Palatino Linotype" w:cs="Palatino Linotype"/>
        </w:rPr>
        <w:t xml:space="preserve"> manifestó lo siguiente:</w:t>
      </w:r>
    </w:p>
    <w:p w:rsidR="00AA7510" w:rsidRDefault="00E55BD0">
      <w:pPr>
        <w:ind w:left="709"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“Con fundamento en el </w:t>
      </w:r>
      <w:proofErr w:type="spellStart"/>
      <w:r>
        <w:rPr>
          <w:rFonts w:ascii="Palatino Linotype" w:eastAsia="Palatino Linotype" w:hAnsi="Palatino Linotype" w:cs="Palatino Linotype"/>
          <w:i/>
          <w:color w:val="000000"/>
          <w:sz w:val="22"/>
          <w:szCs w:val="22"/>
        </w:rPr>
        <w:t>articulo</w:t>
      </w:r>
      <w:proofErr w:type="spellEnd"/>
      <w:r>
        <w:rPr>
          <w:rFonts w:ascii="Palatino Linotype" w:eastAsia="Palatino Linotype" w:hAnsi="Palatino Linotype" w:cs="Palatino Linotype"/>
          <w:i/>
          <w:color w:val="000000"/>
          <w:sz w:val="22"/>
          <w:szCs w:val="22"/>
        </w:rPr>
        <w:t xml:space="preserve"> 159, tercer párrafo de la Ley de Transparencia y Acceso a la Información Pública del Estado de México y Municipios, se le hace de su conocimiento que se tiene por no presentada la solicitud de aclaración citada al rubro, en virtud de que</w:t>
      </w:r>
    </w:p>
    <w:p w:rsidR="00AA7510" w:rsidRDefault="00E55BD0">
      <w:pPr>
        <w:ind w:left="709"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Por este conducto, me permito notificar que con fundamento en el artículo 159 de la Ley de Transparencia y Acceso a la Información Pública del Estado de México y Municipios, se tiene por no presentada la solicitud de información, quedando a salvo sus derechos para volver a presentar la solicitud.</w:t>
      </w:r>
    </w:p>
    <w:p w:rsidR="00AA7510" w:rsidRDefault="00E55BD0">
      <w:pPr>
        <w:ind w:left="709"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rsidR="00AA7510" w:rsidRDefault="00E55BD0">
      <w:pPr>
        <w:ind w:left="709"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rsidR="00AA7510" w:rsidRDefault="00E55BD0">
      <w:pPr>
        <w:ind w:left="709"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Licenciado FERNANDO OSCAR ZAPATA NAVARRETE” (Sic)</w:t>
      </w:r>
    </w:p>
    <w:p w:rsidR="00AA7510" w:rsidRDefault="00AA7510">
      <w:pPr>
        <w:spacing w:line="360" w:lineRule="auto"/>
        <w:jc w:val="both"/>
        <w:rPr>
          <w:rFonts w:ascii="Verdana" w:eastAsia="Verdana" w:hAnsi="Verdana" w:cs="Verdana"/>
          <w:color w:val="000000"/>
          <w:sz w:val="18"/>
          <w:szCs w:val="18"/>
        </w:rPr>
      </w:pPr>
    </w:p>
    <w:p w:rsidR="00AA7510" w:rsidRDefault="009E6D1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Sujeto Obligado adjuntó </w:t>
      </w:r>
      <w:r w:rsidR="00E55BD0">
        <w:rPr>
          <w:rFonts w:ascii="Palatino Linotype" w:eastAsia="Palatino Linotype" w:hAnsi="Palatino Linotype" w:cs="Palatino Linotype"/>
        </w:rPr>
        <w:t>en ambas solicitudes: “988_2021_10_15_16_53_46_852.pdf”: Oficio signado por la Titular de la Unidad de Transparencia, mediante el cual manifiesta que se tiene por no presentada la solicitud de información, como se observa a continuación:</w:t>
      </w:r>
    </w:p>
    <w:p w:rsidR="00AA7510" w:rsidRDefault="00E55BD0">
      <w:pPr>
        <w:spacing w:line="360" w:lineRule="auto"/>
        <w:jc w:val="both"/>
        <w:rPr>
          <w:rFonts w:ascii="Palatino Linotype" w:eastAsia="Palatino Linotype" w:hAnsi="Palatino Linotype" w:cs="Palatino Linotype"/>
        </w:rPr>
      </w:pPr>
      <w:r>
        <w:rPr>
          <w:noProof/>
          <w:lang w:val="es-MX" w:eastAsia="es-MX"/>
        </w:rPr>
        <w:drawing>
          <wp:inline distT="0" distB="0" distL="0" distR="0">
            <wp:extent cx="5462256" cy="2109436"/>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38426" t="12106" r="22421" b="45511"/>
                    <a:stretch>
                      <a:fillRect/>
                    </a:stretch>
                  </pic:blipFill>
                  <pic:spPr>
                    <a:xfrm>
                      <a:off x="0" y="0"/>
                      <a:ext cx="5462256" cy="2109436"/>
                    </a:xfrm>
                    <a:prstGeom prst="rect">
                      <a:avLst/>
                    </a:prstGeom>
                    <a:ln/>
                  </pic:spPr>
                </pic:pic>
              </a:graphicData>
            </a:graphic>
          </wp:inline>
        </w:drawing>
      </w:r>
    </w:p>
    <w:p w:rsidR="00AA7510" w:rsidRDefault="00E55BD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 los recursos de revisión. </w:t>
      </w:r>
      <w:r w:rsidR="009E6D1F">
        <w:rPr>
          <w:rFonts w:ascii="Palatino Linotype" w:hAnsi="Palatino Linotype"/>
          <w:color w:val="000000"/>
        </w:rPr>
        <w:t xml:space="preserve">El </w:t>
      </w:r>
      <w:r w:rsidR="009E6D1F">
        <w:rPr>
          <w:rFonts w:ascii="Palatino Linotype" w:hAnsi="Palatino Linotype"/>
          <w:b/>
          <w:bCs/>
          <w:color w:val="000000"/>
        </w:rPr>
        <w:t xml:space="preserve">RECURRENTE </w:t>
      </w:r>
      <w:r w:rsidR="009E6D1F">
        <w:rPr>
          <w:rFonts w:ascii="Palatino Linotype" w:hAnsi="Palatino Linotype"/>
          <w:color w:val="000000"/>
        </w:rPr>
        <w:t xml:space="preserve">inconforme con la falta de respuesta del </w:t>
      </w:r>
      <w:r w:rsidR="009E6D1F">
        <w:rPr>
          <w:rFonts w:ascii="Palatino Linotype" w:hAnsi="Palatino Linotype"/>
          <w:b/>
          <w:bCs/>
          <w:color w:val="000000"/>
        </w:rPr>
        <w:t>SUJETO OBLIGADO</w:t>
      </w:r>
      <w:r w:rsidR="009E6D1F">
        <w:rPr>
          <w:rFonts w:ascii="Palatino Linotype" w:hAnsi="Palatino Linotype"/>
          <w:color w:val="000000"/>
        </w:rPr>
        <w:t xml:space="preserve">, </w:t>
      </w:r>
      <w:r>
        <w:rPr>
          <w:rFonts w:ascii="Palatino Linotype" w:eastAsia="Palatino Linotype" w:hAnsi="Palatino Linotype" w:cs="Palatino Linotype"/>
        </w:rPr>
        <w:t xml:space="preserve">interpuso los recursos de revisión </w:t>
      </w:r>
      <w:r>
        <w:rPr>
          <w:rFonts w:ascii="Palatino Linotype" w:eastAsia="Palatino Linotype" w:hAnsi="Palatino Linotype" w:cs="Palatino Linotype"/>
        </w:rPr>
        <w:lastRenderedPageBreak/>
        <w:t xml:space="preserve">número </w:t>
      </w:r>
      <w:r>
        <w:rPr>
          <w:rFonts w:ascii="Palatino Linotype" w:eastAsia="Palatino Linotype" w:hAnsi="Palatino Linotype" w:cs="Palatino Linotype"/>
          <w:b/>
        </w:rPr>
        <w:t xml:space="preserve">01614/INFOEM/IP/RR/2022 y 01615/INFOEM/IP/RR/2022, </w:t>
      </w:r>
      <w:r>
        <w:rPr>
          <w:rFonts w:ascii="Palatino Linotype" w:eastAsia="Palatino Linotype" w:hAnsi="Palatino Linotype" w:cs="Palatino Linotype"/>
        </w:rPr>
        <w:t>a través de los cuales expresó en ambos lo siguiente:</w:t>
      </w:r>
    </w:p>
    <w:p w:rsidR="00AA7510" w:rsidRDefault="00AA7510">
      <w:pPr>
        <w:spacing w:line="360" w:lineRule="auto"/>
        <w:jc w:val="both"/>
        <w:rPr>
          <w:rFonts w:ascii="Palatino Linotype" w:eastAsia="Palatino Linotype" w:hAnsi="Palatino Linotype" w:cs="Palatino Linotype"/>
        </w:rPr>
      </w:pPr>
    </w:p>
    <w:p w:rsidR="00AA7510" w:rsidRDefault="00E55BD0">
      <w:pPr>
        <w:spacing w:line="360" w:lineRule="auto"/>
        <w:rPr>
          <w:rFonts w:ascii="Palatino Linotype" w:eastAsia="Palatino Linotype" w:hAnsi="Palatino Linotype" w:cs="Palatino Linotype"/>
          <w:b/>
        </w:rPr>
      </w:pPr>
      <w:r>
        <w:rPr>
          <w:rFonts w:ascii="Palatino Linotype" w:eastAsia="Palatino Linotype" w:hAnsi="Palatino Linotype" w:cs="Palatino Linotype"/>
          <w:b/>
        </w:rPr>
        <w:t>a) Acto impugnado.</w:t>
      </w:r>
    </w:p>
    <w:p w:rsidR="00AA7510" w:rsidRDefault="00E55BD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respuesta proporcionada por el Sujeto Obligado.” (Sic)</w:t>
      </w:r>
    </w:p>
    <w:p w:rsidR="00AA7510" w:rsidRDefault="00AA7510">
      <w:pPr>
        <w:ind w:left="851" w:right="902"/>
        <w:jc w:val="both"/>
        <w:rPr>
          <w:rFonts w:ascii="Palatino Linotype" w:eastAsia="Palatino Linotype" w:hAnsi="Palatino Linotype" w:cs="Palatino Linotype"/>
          <w:i/>
          <w:color w:val="000000"/>
          <w:sz w:val="22"/>
          <w:szCs w:val="22"/>
        </w:rPr>
      </w:pPr>
    </w:p>
    <w:p w:rsidR="00AA7510" w:rsidRDefault="00E55BD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rsidR="00AA7510" w:rsidRDefault="00E55BD0">
      <w:pPr>
        <w:ind w:left="851"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w:t>
      </w:r>
      <w:r>
        <w:rPr>
          <w:rFonts w:ascii="Palatino Linotype" w:eastAsia="Palatino Linotype" w:hAnsi="Palatino Linotype" w:cs="Palatino Linotype"/>
          <w:i/>
          <w:color w:val="000000"/>
          <w:sz w:val="22"/>
          <w:szCs w:val="22"/>
        </w:rPr>
        <w:lastRenderedPageBreak/>
        <w:t xml:space="preserve">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w:t>
      </w:r>
      <w:r w:rsidRPr="001A40A8">
        <w:rPr>
          <w:rFonts w:ascii="Palatino Linotype" w:eastAsia="Palatino Linotype" w:hAnsi="Palatino Linotype" w:cs="Palatino Linotype"/>
          <w:i/>
          <w:color w:val="000000"/>
          <w:sz w:val="22"/>
          <w:szCs w:val="22"/>
        </w:rPr>
        <w:t>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w:t>
      </w:r>
      <w:r>
        <w:rPr>
          <w:rFonts w:ascii="Palatino Linotype" w:eastAsia="Palatino Linotype" w:hAnsi="Palatino Linotype" w:cs="Palatino Linotype"/>
          <w:i/>
          <w:color w:val="000000"/>
          <w:sz w:val="22"/>
          <w:szCs w:val="22"/>
        </w:rPr>
        <w:t xml:space="preserve">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w:t>
      </w:r>
    </w:p>
    <w:p w:rsidR="00AA7510" w:rsidRDefault="00AA7510">
      <w:pPr>
        <w:ind w:left="851" w:right="902"/>
        <w:jc w:val="both"/>
        <w:rPr>
          <w:rFonts w:ascii="Palatino Linotype" w:eastAsia="Palatino Linotype" w:hAnsi="Palatino Linotype" w:cs="Palatino Linotype"/>
          <w:i/>
          <w:color w:val="000000"/>
          <w:sz w:val="22"/>
          <w:szCs w:val="22"/>
        </w:rPr>
      </w:pPr>
    </w:p>
    <w:p w:rsidR="00AA7510" w:rsidRDefault="00AA7510">
      <w:pPr>
        <w:spacing w:line="360" w:lineRule="auto"/>
        <w:jc w:val="both"/>
        <w:rPr>
          <w:rFonts w:ascii="Palatino Linotype" w:eastAsia="Palatino Linotype" w:hAnsi="Palatino Linotype" w:cs="Palatino Linotype"/>
          <w:b/>
        </w:rPr>
      </w:pPr>
    </w:p>
    <w:p w:rsidR="00AA7510" w:rsidRDefault="00E55BD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 xml:space="preserve">01614/INFOEM/IP/RR/2022,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y el recurso de revisión número </w:t>
      </w:r>
      <w:r>
        <w:rPr>
          <w:rFonts w:ascii="Palatino Linotype" w:eastAsia="Palatino Linotype" w:hAnsi="Palatino Linotype" w:cs="Palatino Linotype"/>
          <w:b/>
        </w:rPr>
        <w:t xml:space="preserve">01615/INFOEM/IP/RR/2022, </w:t>
      </w:r>
      <w:r>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al  Comisionado </w:t>
      </w:r>
      <w:r w:rsidR="009E6D1F">
        <w:rPr>
          <w:rFonts w:ascii="Palatino Linotype" w:eastAsia="Palatino Linotype" w:hAnsi="Palatino Linotype" w:cs="Palatino Linotype"/>
        </w:rPr>
        <w:t xml:space="preserve">Presidente </w:t>
      </w:r>
      <w:r>
        <w:rPr>
          <w:rFonts w:ascii="Palatino Linotype" w:eastAsia="Palatino Linotype" w:hAnsi="Palatino Linotype" w:cs="Palatino Linotype"/>
          <w:b/>
        </w:rPr>
        <w:t>José Martínez Vilchis</w:t>
      </w:r>
      <w:r>
        <w:rPr>
          <w:rFonts w:ascii="Palatino Linotype" w:eastAsia="Palatino Linotype" w:hAnsi="Palatino Linotype" w:cs="Palatino Linotype"/>
        </w:rPr>
        <w:t>, para su análisis, estudio, elaboración del proyecto y presentación ante el Pleno de este Instituto.</w:t>
      </w:r>
    </w:p>
    <w:p w:rsidR="001A40A8" w:rsidRDefault="001A40A8">
      <w:pPr>
        <w:spacing w:line="360" w:lineRule="auto"/>
        <w:jc w:val="both"/>
        <w:rPr>
          <w:rFonts w:ascii="Palatino Linotype" w:eastAsia="Palatino Linotype" w:hAnsi="Palatino Linotype" w:cs="Palatino Linotype"/>
        </w:rPr>
      </w:pPr>
    </w:p>
    <w:p w:rsidR="00AA7510" w:rsidRDefault="00E55BD0">
      <w:pPr>
        <w:spacing w:before="4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6. Acumulación, </w:t>
      </w:r>
      <w:r>
        <w:rPr>
          <w:rFonts w:ascii="Palatino Linotype" w:eastAsia="Palatino Linotype" w:hAnsi="Palatino Linotype" w:cs="Palatino Linotype"/>
        </w:rPr>
        <w:t xml:space="preserve">en la Novena Sesión Ordinaria del Pleno de este Instituto de Transparencia, Acceso a la Información Pública y Protección de Datos Personales del Estado de México y Municipios, celebrada en fecha nueve de marzo de dos mil veintidós, al advertir la conexidad de causa y con la finalidad de evitar que se dicten resoluciones contradictorias, se acordó la acumulación de los recursos señalados en este fallo; determinando que fuera Ponente,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rsidR="00AA7510" w:rsidRDefault="00E55BD0">
      <w:pPr>
        <w:spacing w:before="280"/>
        <w:ind w:left="1134" w:right="132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195.- En la tramitación del recurso de revisión se aplicarán supletoriamente las disposiciones contenidas en el Código de Procedimientos Administrativos del Estado de México.” (Sic)</w:t>
      </w:r>
    </w:p>
    <w:p w:rsidR="00AA7510" w:rsidRDefault="00AA7510">
      <w:pPr>
        <w:ind w:right="1325"/>
        <w:jc w:val="both"/>
        <w:rPr>
          <w:rFonts w:ascii="Palatino Linotype" w:eastAsia="Palatino Linotype" w:hAnsi="Palatino Linotype" w:cs="Palatino Linotype"/>
          <w:i/>
          <w:sz w:val="22"/>
          <w:szCs w:val="22"/>
        </w:rPr>
      </w:pPr>
    </w:p>
    <w:p w:rsidR="00AA7510" w:rsidRDefault="00E55BD0">
      <w:pPr>
        <w:ind w:left="1134" w:right="132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rsidR="00AA7510" w:rsidRDefault="00AA7510">
      <w:pPr>
        <w:spacing w:after="240" w:line="360" w:lineRule="auto"/>
        <w:jc w:val="both"/>
        <w:rPr>
          <w:rFonts w:ascii="Palatino Linotype" w:eastAsia="Palatino Linotype" w:hAnsi="Palatino Linotype" w:cs="Palatino Linotype"/>
          <w:b/>
        </w:rPr>
      </w:pPr>
    </w:p>
    <w:p w:rsidR="00AA7510" w:rsidRDefault="00E55BD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Admisión de los recursos de revisión: </w:t>
      </w:r>
      <w:r>
        <w:rPr>
          <w:rFonts w:ascii="Palatino Linotype" w:eastAsia="Palatino Linotype" w:hAnsi="Palatino Linotype" w:cs="Palatino Linotype"/>
        </w:rPr>
        <w:t xml:space="preserve">En fecha primero de marzo de dos mil veintidós, la Comisionada ponente, admitió a trámite los recursos de revisión que ahora se resuelven, dando un plazo máximo de siete días hábiles para que las partes </w:t>
      </w:r>
      <w:r>
        <w:rPr>
          <w:rFonts w:ascii="Palatino Linotype" w:eastAsia="Palatino Linotype" w:hAnsi="Palatino Linotype" w:cs="Palatino Linotype"/>
        </w:rPr>
        <w:lastRenderedPageBreak/>
        <w:t xml:space="preserve">manifestaran lo que a su derecho resultara conveniente, ofrecieran pruebas, formularan alegatos y el Sujeto Obligado presentara su informe justificado. </w:t>
      </w:r>
    </w:p>
    <w:p w:rsidR="00AA7510" w:rsidRDefault="00E55BD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8. Manifestaciones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su informe justificado, del mismo modo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omitió realizar manifestaciones, como se observa a continuación:</w:t>
      </w:r>
    </w:p>
    <w:p w:rsidR="00AA7510" w:rsidRDefault="00E55BD0">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noProof/>
          <w:lang w:val="es-MX" w:eastAsia="es-MX"/>
        </w:rPr>
        <w:drawing>
          <wp:inline distT="0" distB="0" distL="0" distR="0">
            <wp:extent cx="5556507" cy="922193"/>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9336" t="34590" r="19381" b="36217"/>
                    <a:stretch>
                      <a:fillRect/>
                    </a:stretch>
                  </pic:blipFill>
                  <pic:spPr>
                    <a:xfrm>
                      <a:off x="0" y="0"/>
                      <a:ext cx="5556507" cy="922193"/>
                    </a:xfrm>
                    <a:prstGeom prst="rect">
                      <a:avLst/>
                    </a:prstGeom>
                    <a:ln/>
                  </pic:spPr>
                </pic:pic>
              </a:graphicData>
            </a:graphic>
          </wp:inline>
        </w:drawing>
      </w:r>
    </w:p>
    <w:p w:rsidR="00AA7510" w:rsidRDefault="00E55BD0">
      <w:pPr>
        <w:spacing w:line="360" w:lineRule="auto"/>
        <w:jc w:val="both"/>
        <w:rPr>
          <w:rFonts w:ascii="Palatino Linotype" w:eastAsia="Palatino Linotype" w:hAnsi="Palatino Linotype" w:cs="Palatino Linotype"/>
        </w:rPr>
      </w:pPr>
      <w:r>
        <w:rPr>
          <w:noProof/>
          <w:lang w:val="es-MX" w:eastAsia="es-MX"/>
        </w:rPr>
        <w:drawing>
          <wp:inline distT="0" distB="0" distL="0" distR="0">
            <wp:extent cx="5551976" cy="1110453"/>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9461" t="35130" r="19241" b="38590"/>
                    <a:stretch>
                      <a:fillRect/>
                    </a:stretch>
                  </pic:blipFill>
                  <pic:spPr>
                    <a:xfrm>
                      <a:off x="0" y="0"/>
                      <a:ext cx="5551976" cy="1110453"/>
                    </a:xfrm>
                    <a:prstGeom prst="rect">
                      <a:avLst/>
                    </a:prstGeom>
                    <a:ln/>
                  </pic:spPr>
                </pic:pic>
              </a:graphicData>
            </a:graphic>
          </wp:inline>
        </w:drawing>
      </w:r>
    </w:p>
    <w:p w:rsidR="00AA7510" w:rsidRDefault="00AA7510">
      <w:pPr>
        <w:widowControl w:val="0"/>
        <w:spacing w:line="360" w:lineRule="auto"/>
        <w:jc w:val="both"/>
        <w:rPr>
          <w:rFonts w:ascii="Palatino Linotype" w:eastAsia="Palatino Linotype" w:hAnsi="Palatino Linotype" w:cs="Palatino Linotype"/>
          <w:b/>
        </w:rPr>
      </w:pPr>
    </w:p>
    <w:p w:rsidR="00AA7510" w:rsidRDefault="00E55BD0">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Cierre de instrucción. </w:t>
      </w:r>
      <w:r>
        <w:rPr>
          <w:rFonts w:ascii="Palatino Linotype" w:eastAsia="Palatino Linotype" w:hAnsi="Palatino Linotype" w:cs="Palatino Linotype"/>
        </w:rPr>
        <w:t>En fecha veinte de abril del dos mil veintidós la Comisionada ponente determinó los cierres de instrucción en términos de la fracción VI del artículo 185 de la Ley de Transparencia y Acceso a la Información Pública del Estado de México y Municipios.</w:t>
      </w:r>
    </w:p>
    <w:p w:rsidR="00AA7510" w:rsidRDefault="00AA7510">
      <w:pPr>
        <w:widowControl w:val="0"/>
        <w:spacing w:line="360" w:lineRule="auto"/>
        <w:jc w:val="both"/>
        <w:rPr>
          <w:rFonts w:ascii="Palatino Linotype" w:eastAsia="Palatino Linotype" w:hAnsi="Palatino Linotype" w:cs="Palatino Linotype"/>
        </w:rPr>
      </w:pPr>
    </w:p>
    <w:p w:rsidR="00AA7510" w:rsidRDefault="00E55BD0">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9.- Ampliación del plazo.</w:t>
      </w:r>
      <w:r>
        <w:rPr>
          <w:rFonts w:ascii="Palatino Linotype" w:eastAsia="Palatino Linotype" w:hAnsi="Palatino Linotype" w:cs="Palatino Linotype"/>
        </w:rPr>
        <w:t xml:space="preserve"> En </w:t>
      </w:r>
      <w:r w:rsidRPr="001A40A8">
        <w:rPr>
          <w:rFonts w:ascii="Palatino Linotype" w:eastAsia="Palatino Linotype" w:hAnsi="Palatino Linotype" w:cs="Palatino Linotype"/>
        </w:rPr>
        <w:t>fecha veintiuno de abril del año dos mil veintidós</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con fundamento en el artículo 181, párrafo tercero de la Ley de Transparencia y Acceso </w:t>
      </w:r>
      <w:r>
        <w:rPr>
          <w:rFonts w:ascii="Palatino Linotype" w:eastAsia="Palatino Linotype" w:hAnsi="Palatino Linotype" w:cs="Palatino Linotype"/>
        </w:rPr>
        <w:lastRenderedPageBreak/>
        <w:t>a la Información Pública del Estado de México y Municipios, se acordó la ampliación del plazo para su resolución.</w:t>
      </w:r>
    </w:p>
    <w:p w:rsidR="001A40A8" w:rsidRDefault="001A40A8" w:rsidP="001A40A8">
      <w:pPr>
        <w:spacing w:before="240" w:after="240" w:line="360" w:lineRule="auto"/>
        <w:jc w:val="both"/>
        <w:rPr>
          <w:rFonts w:ascii="Palatino Linotype" w:eastAsia="Palatino Linotype" w:hAnsi="Palatino Linotype" w:cs="Palatino Linotype"/>
        </w:rPr>
      </w:pPr>
      <w:r w:rsidRPr="005329FC">
        <w:rPr>
          <w:rFonts w:ascii="Palatino Linotype" w:eastAsia="Palatino Linotype" w:hAnsi="Palatino Linotype" w:cs="Palatino Linotype"/>
        </w:rPr>
        <w:t>En razón de que fue</w:t>
      </w:r>
      <w:r>
        <w:rPr>
          <w:rFonts w:ascii="Palatino Linotype" w:eastAsia="Palatino Linotype" w:hAnsi="Palatino Linotype" w:cs="Palatino Linotype"/>
        </w:rPr>
        <w:t>ron</w:t>
      </w:r>
      <w:r w:rsidRPr="005329FC">
        <w:rPr>
          <w:rFonts w:ascii="Palatino Linotype" w:eastAsia="Palatino Linotype" w:hAnsi="Palatino Linotype" w:cs="Palatino Linotype"/>
        </w:rPr>
        <w:t xml:space="preserve"> debidamente sustanciado</w:t>
      </w:r>
      <w:r>
        <w:rPr>
          <w:rFonts w:ascii="Palatino Linotype" w:eastAsia="Palatino Linotype" w:hAnsi="Palatino Linotype" w:cs="Palatino Linotype"/>
        </w:rPr>
        <w:t>s los</w:t>
      </w:r>
      <w:r w:rsidRPr="005329FC">
        <w:rPr>
          <w:rFonts w:ascii="Palatino Linotype" w:eastAsia="Palatino Linotype" w:hAnsi="Palatino Linotype" w:cs="Palatino Linotype"/>
        </w:rPr>
        <w:t xml:space="preserve"> expediente</w:t>
      </w:r>
      <w:r>
        <w:rPr>
          <w:rFonts w:ascii="Palatino Linotype" w:eastAsia="Palatino Linotype" w:hAnsi="Palatino Linotype" w:cs="Palatino Linotype"/>
        </w:rPr>
        <w:t>s</w:t>
      </w:r>
      <w:r w:rsidRPr="005329FC">
        <w:rPr>
          <w:rFonts w:ascii="Palatino Linotype" w:eastAsia="Palatino Linotype" w:hAnsi="Palatino Linotype" w:cs="Palatino Linotype"/>
        </w:rPr>
        <w:t xml:space="preserve"> electrónico</w:t>
      </w:r>
      <w:r>
        <w:rPr>
          <w:rFonts w:ascii="Palatino Linotype" w:eastAsia="Palatino Linotype" w:hAnsi="Palatino Linotype" w:cs="Palatino Linotype"/>
        </w:rPr>
        <w:t>s</w:t>
      </w:r>
      <w:r w:rsidRPr="005329FC">
        <w:rPr>
          <w:rFonts w:ascii="Palatino Linotype" w:eastAsia="Palatino Linotype" w:hAnsi="Palatino Linotype" w:cs="Palatino Linotype"/>
        </w:rPr>
        <w:t xml:space="preserve"> y no existe diligencia pendiente de desahogo, se emite la Resolución que conforme a Derecho proceda, de acuerdo con los siguientes: </w:t>
      </w:r>
    </w:p>
    <w:p w:rsidR="00AA7510" w:rsidRDefault="00E55BD0">
      <w:pPr>
        <w:numPr>
          <w:ilvl w:val="0"/>
          <w:numId w:val="3"/>
        </w:numPr>
        <w:pBdr>
          <w:top w:val="nil"/>
          <w:left w:val="nil"/>
          <w:bottom w:val="nil"/>
          <w:right w:val="nil"/>
          <w:between w:val="nil"/>
        </w:pBdr>
        <w:spacing w:after="240" w:line="360" w:lineRule="auto"/>
        <w:ind w:left="720"/>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 O N S I D E R A N D O:</w:t>
      </w:r>
    </w:p>
    <w:p w:rsidR="00AA7510" w:rsidRDefault="00E55BD0">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rsidR="00AA7510" w:rsidRPr="002A3659" w:rsidRDefault="00E55BD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de los Recursos de </w:t>
      </w:r>
      <w:r w:rsidRPr="002A3659">
        <w:rPr>
          <w:rFonts w:ascii="Palatino Linotype" w:eastAsia="Palatino Linotype" w:hAnsi="Palatino Linotype" w:cs="Palatino Linotype"/>
          <w:b/>
        </w:rPr>
        <w:t>Revisión</w:t>
      </w:r>
      <w:r w:rsidRPr="002A3659">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w:t>
      </w:r>
      <w:r w:rsidRPr="002A3659">
        <w:rPr>
          <w:rFonts w:ascii="Palatino Linotype" w:eastAsia="Palatino Linotype" w:hAnsi="Palatino Linotype" w:cs="Palatino Linotype"/>
        </w:rPr>
        <w:lastRenderedPageBreak/>
        <w:t xml:space="preserve">Municipios; en la especie se advierte que los presentes medios de impugnación fueron interpuestos dentro del plazo de quince días previsto en el primer artículo de referencia; contados a partir del día siguiente en que el particular tiene conocimiento de que el </w:t>
      </w:r>
      <w:r w:rsidRPr="002A3659">
        <w:rPr>
          <w:rFonts w:ascii="Palatino Linotype" w:eastAsia="Palatino Linotype" w:hAnsi="Palatino Linotype" w:cs="Palatino Linotype"/>
          <w:b/>
        </w:rPr>
        <w:t>SUJETO OBLIGADO</w:t>
      </w:r>
      <w:r w:rsidRPr="002A3659">
        <w:rPr>
          <w:rFonts w:ascii="Palatino Linotype" w:eastAsia="Palatino Linotype" w:hAnsi="Palatino Linotype" w:cs="Palatino Linotype"/>
        </w:rPr>
        <w:t xml:space="preserve"> tuvo por no presentada la solicitud que le fue planteada, en razón de, no haber desahogado la aclaración correspondiente haciéndole de conocimiento que contaba con el término de quince días para interponer el recurso de revisión, tal y como lo prevé el artículo 178 de la Ley de Transparencia y Acceso a la Información Pública del Estado de México y Municipios, el cual se inserta a continuación:</w:t>
      </w:r>
    </w:p>
    <w:p w:rsidR="00AA7510" w:rsidRPr="002A3659" w:rsidRDefault="00E55BD0">
      <w:pPr>
        <w:ind w:left="1134" w:right="1327"/>
        <w:jc w:val="both"/>
        <w:rPr>
          <w:rFonts w:ascii="Palatino Linotype" w:eastAsia="Palatino Linotype" w:hAnsi="Palatino Linotype" w:cs="Palatino Linotype"/>
          <w:i/>
          <w:sz w:val="22"/>
          <w:szCs w:val="22"/>
        </w:rPr>
      </w:pPr>
      <w:r w:rsidRPr="002A3659">
        <w:rPr>
          <w:rFonts w:ascii="Palatino Linotype" w:eastAsia="Palatino Linotype" w:hAnsi="Palatino Linotype" w:cs="Palatino Linotype"/>
          <w:i/>
          <w:sz w:val="22"/>
          <w:szCs w:val="22"/>
        </w:rPr>
        <w:t>“Artículo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A7510" w:rsidRPr="002A3659" w:rsidRDefault="00E55BD0">
      <w:pPr>
        <w:ind w:left="1134" w:right="1327"/>
        <w:jc w:val="both"/>
        <w:rPr>
          <w:rFonts w:ascii="Palatino Linotype" w:eastAsia="Palatino Linotype" w:hAnsi="Palatino Linotype" w:cs="Palatino Linotype"/>
          <w:i/>
          <w:sz w:val="22"/>
          <w:szCs w:val="22"/>
        </w:rPr>
      </w:pPr>
      <w:r w:rsidRPr="002A3659">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A7510" w:rsidRPr="002A3659" w:rsidRDefault="00E55BD0">
      <w:pPr>
        <w:ind w:left="1134" w:right="1327"/>
        <w:jc w:val="both"/>
        <w:rPr>
          <w:rFonts w:ascii="Palatino Linotype" w:eastAsia="Palatino Linotype" w:hAnsi="Palatino Linotype" w:cs="Palatino Linotype"/>
          <w:i/>
          <w:sz w:val="22"/>
          <w:szCs w:val="22"/>
        </w:rPr>
      </w:pPr>
      <w:r w:rsidRPr="002A3659">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 (Sic)</w:t>
      </w:r>
    </w:p>
    <w:p w:rsidR="00AA7510" w:rsidRPr="002A3659" w:rsidRDefault="00E55BD0">
      <w:pPr>
        <w:spacing w:before="240" w:after="240" w:line="360" w:lineRule="auto"/>
        <w:jc w:val="both"/>
        <w:rPr>
          <w:rFonts w:ascii="Palatino Linotype" w:eastAsia="Palatino Linotype" w:hAnsi="Palatino Linotype" w:cs="Palatino Linotype"/>
        </w:rPr>
      </w:pPr>
      <w:r w:rsidRPr="002A3659">
        <w:rPr>
          <w:rFonts w:ascii="Palatino Linotype" w:eastAsia="Palatino Linotype" w:hAnsi="Palatino Linotype" w:cs="Palatino Linotype"/>
        </w:rPr>
        <w:t xml:space="preserve">En esta tesitura, atendiendo a que el </w:t>
      </w:r>
      <w:r w:rsidRPr="002A3659">
        <w:rPr>
          <w:rFonts w:ascii="Palatino Linotype" w:eastAsia="Palatino Linotype" w:hAnsi="Palatino Linotype" w:cs="Palatino Linotype"/>
          <w:b/>
        </w:rPr>
        <w:t>SUJETO OBLIGADO</w:t>
      </w:r>
      <w:r w:rsidRPr="002A3659">
        <w:rPr>
          <w:rFonts w:ascii="Palatino Linotype" w:eastAsia="Palatino Linotype" w:hAnsi="Palatino Linotype" w:cs="Palatino Linotype"/>
        </w:rPr>
        <w:t xml:space="preserve"> notificó el acuerdo por el que se tiene por no presentada la solicitud de información pública, el día veintitrés de febrero de dos mil veintidós, mientras que la parte </w:t>
      </w:r>
      <w:r w:rsidRPr="002A3659">
        <w:rPr>
          <w:rFonts w:ascii="Palatino Linotype" w:eastAsia="Palatino Linotype" w:hAnsi="Palatino Linotype" w:cs="Palatino Linotype"/>
          <w:b/>
        </w:rPr>
        <w:t>RECURRENTE</w:t>
      </w:r>
      <w:r w:rsidRPr="002A3659">
        <w:rPr>
          <w:rFonts w:ascii="Palatino Linotype" w:eastAsia="Palatino Linotype" w:hAnsi="Palatino Linotype" w:cs="Palatino Linotype"/>
        </w:rPr>
        <w:t xml:space="preserve"> interpuso el recurso de revisión el mismo día, circunstancia que no es determinante para declararlo extemporáneo, toda vez que el tiempo concedido es para delimitar el </w:t>
      </w:r>
      <w:r w:rsidRPr="002A3659">
        <w:rPr>
          <w:rFonts w:ascii="Palatino Linotype" w:eastAsia="Palatino Linotype" w:hAnsi="Palatino Linotype" w:cs="Palatino Linotype"/>
        </w:rPr>
        <w:lastRenderedPageBreak/>
        <w:t>término en que puede impugnarse la respuesta, lo cual no impide  que se presente antes de iniciado el plazo previsto. Criterio de este Órgano garante que se robustece con la jurisprudencia número 1a</w:t>
      </w:r>
      <w:proofErr w:type="gramStart"/>
      <w:r w:rsidRPr="002A3659">
        <w:rPr>
          <w:rFonts w:ascii="Palatino Linotype" w:eastAsia="Palatino Linotype" w:hAnsi="Palatino Linotype" w:cs="Palatino Linotype"/>
        </w:rPr>
        <w:t>./</w:t>
      </w:r>
      <w:proofErr w:type="gramEnd"/>
      <w:r w:rsidRPr="002A3659">
        <w:rPr>
          <w:rFonts w:ascii="Palatino Linotype" w:eastAsia="Palatino Linotype" w:hAnsi="Palatino Linotype" w:cs="Palatino Linotype"/>
        </w:rPr>
        <w:t>J. 41/2015 (10a.), Décima época, sustentada por la Primera Sala de la Suprema Corte de Justicia de la Nación, visible en la página 569, libro 19, tomo I, de la Gaceta del Semanario Judicial de la Federación, del mes de junio de 2015, que se inserta a continuación:</w:t>
      </w:r>
    </w:p>
    <w:p w:rsidR="00AA7510" w:rsidRPr="002A3659" w:rsidRDefault="00E55BD0">
      <w:pPr>
        <w:pBdr>
          <w:top w:val="nil"/>
          <w:left w:val="nil"/>
          <w:bottom w:val="nil"/>
          <w:right w:val="nil"/>
          <w:between w:val="nil"/>
        </w:pBdr>
        <w:ind w:left="567" w:right="476"/>
        <w:jc w:val="both"/>
        <w:rPr>
          <w:rFonts w:ascii="Palatino Linotype" w:eastAsia="Palatino Linotype" w:hAnsi="Palatino Linotype" w:cs="Palatino Linotype"/>
          <w:i/>
          <w:color w:val="000000"/>
          <w:sz w:val="22"/>
          <w:szCs w:val="22"/>
        </w:rPr>
      </w:pPr>
      <w:r w:rsidRPr="002A3659">
        <w:rPr>
          <w:rFonts w:ascii="Palatino Linotype" w:eastAsia="Palatino Linotype" w:hAnsi="Palatino Linotype" w:cs="Palatino Linotype"/>
          <w:color w:val="000000"/>
          <w:sz w:val="22"/>
          <w:szCs w:val="22"/>
        </w:rPr>
        <w:t>“</w:t>
      </w:r>
      <w:r w:rsidRPr="002A3659">
        <w:rPr>
          <w:rFonts w:ascii="Palatino Linotype" w:eastAsia="Palatino Linotype" w:hAnsi="Palatino Linotype" w:cs="Palatino Linotype"/>
          <w:i/>
          <w:color w:val="000000"/>
          <w:sz w:val="22"/>
          <w:szCs w:val="22"/>
        </w:rPr>
        <w:t>RECURSO DE RECLAMACIÓN. SU INTERPOSICIÓN NO ES EXTEMPORÁNEA SI SE REALIZA ANTES DE QUE INICIE EL PLAZO PARA HACERLO.</w:t>
      </w:r>
    </w:p>
    <w:p w:rsidR="00AA7510" w:rsidRPr="002A3659" w:rsidRDefault="00E55BD0">
      <w:pPr>
        <w:pBdr>
          <w:top w:val="nil"/>
          <w:left w:val="nil"/>
          <w:bottom w:val="nil"/>
          <w:right w:val="nil"/>
          <w:between w:val="nil"/>
        </w:pBdr>
        <w:ind w:left="567" w:right="476"/>
        <w:jc w:val="both"/>
        <w:rPr>
          <w:rFonts w:ascii="Palatino Linotype" w:eastAsia="Palatino Linotype" w:hAnsi="Palatino Linotype" w:cs="Palatino Linotype"/>
          <w:i/>
          <w:color w:val="000000"/>
          <w:sz w:val="22"/>
          <w:szCs w:val="22"/>
        </w:rPr>
      </w:pPr>
      <w:r w:rsidRPr="002A3659">
        <w:rPr>
          <w:rFonts w:ascii="Palatino Linotype" w:eastAsia="Palatino Linotype" w:hAnsi="Palatino Linotype" w:cs="Palatino Linotype"/>
          <w:i/>
          <w:color w:val="000000"/>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w:t>
      </w:r>
    </w:p>
    <w:p w:rsidR="00AA7510" w:rsidRPr="002A3659" w:rsidRDefault="00E55BD0">
      <w:pPr>
        <w:pBdr>
          <w:top w:val="nil"/>
          <w:left w:val="nil"/>
          <w:bottom w:val="nil"/>
          <w:right w:val="nil"/>
          <w:between w:val="nil"/>
        </w:pBdr>
        <w:ind w:left="567" w:right="476"/>
        <w:jc w:val="both"/>
        <w:rPr>
          <w:rFonts w:ascii="Palatino Linotype" w:eastAsia="Palatino Linotype" w:hAnsi="Palatino Linotype" w:cs="Palatino Linotype"/>
          <w:i/>
          <w:color w:val="000000"/>
          <w:sz w:val="22"/>
          <w:szCs w:val="22"/>
        </w:rPr>
      </w:pPr>
      <w:r w:rsidRPr="002A3659">
        <w:rPr>
          <w:rFonts w:ascii="Palatino Linotype" w:eastAsia="Palatino Linotype" w:hAnsi="Palatino Linotype" w:cs="Palatino Linotype"/>
          <w:i/>
          <w:color w:val="000000"/>
          <w:sz w:val="22"/>
          <w:szCs w:val="22"/>
        </w:rPr>
        <w:t>De ahí que si dicho recurso se interpone antes de que inicie el plazo para hacerlo, su presentación no es extemporánea.</w:t>
      </w:r>
    </w:p>
    <w:p w:rsidR="00AA7510" w:rsidRPr="002A3659" w:rsidRDefault="00E55BD0">
      <w:pPr>
        <w:pBdr>
          <w:top w:val="nil"/>
          <w:left w:val="nil"/>
          <w:bottom w:val="nil"/>
          <w:right w:val="nil"/>
          <w:between w:val="nil"/>
        </w:pBdr>
        <w:ind w:left="567" w:right="476"/>
        <w:jc w:val="both"/>
        <w:rPr>
          <w:rFonts w:ascii="Palatino Linotype" w:eastAsia="Palatino Linotype" w:hAnsi="Palatino Linotype" w:cs="Palatino Linotype"/>
          <w:i/>
          <w:color w:val="000000"/>
          <w:sz w:val="22"/>
          <w:szCs w:val="22"/>
        </w:rPr>
      </w:pPr>
      <w:r w:rsidRPr="002A3659">
        <w:rPr>
          <w:rFonts w:ascii="Palatino Linotype" w:eastAsia="Palatino Linotype" w:hAnsi="Palatino Linotype" w:cs="Palatino Linotype"/>
          <w:i/>
          <w:color w:val="000000"/>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AA7510" w:rsidRPr="002A3659" w:rsidRDefault="00E55BD0">
      <w:pPr>
        <w:pBdr>
          <w:top w:val="nil"/>
          <w:left w:val="nil"/>
          <w:bottom w:val="nil"/>
          <w:right w:val="nil"/>
          <w:between w:val="nil"/>
        </w:pBdr>
        <w:ind w:left="567" w:right="476"/>
        <w:jc w:val="both"/>
        <w:rPr>
          <w:rFonts w:ascii="Palatino Linotype" w:eastAsia="Palatino Linotype" w:hAnsi="Palatino Linotype" w:cs="Palatino Linotype"/>
          <w:i/>
          <w:color w:val="000000"/>
          <w:sz w:val="22"/>
          <w:szCs w:val="22"/>
        </w:rPr>
      </w:pPr>
      <w:r w:rsidRPr="002A3659">
        <w:rPr>
          <w:rFonts w:ascii="Palatino Linotype" w:eastAsia="Palatino Linotype" w:hAnsi="Palatino Linotype" w:cs="Palatino Linotype"/>
          <w:i/>
          <w:color w:val="000000"/>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AA7510" w:rsidRPr="002A3659" w:rsidRDefault="00E55BD0">
      <w:pPr>
        <w:pBdr>
          <w:top w:val="nil"/>
          <w:left w:val="nil"/>
          <w:bottom w:val="nil"/>
          <w:right w:val="nil"/>
          <w:between w:val="nil"/>
        </w:pBdr>
        <w:ind w:left="567" w:right="476"/>
        <w:jc w:val="both"/>
        <w:rPr>
          <w:rFonts w:ascii="Palatino Linotype" w:eastAsia="Palatino Linotype" w:hAnsi="Palatino Linotype" w:cs="Palatino Linotype"/>
          <w:i/>
          <w:color w:val="000000"/>
          <w:sz w:val="22"/>
          <w:szCs w:val="22"/>
        </w:rPr>
      </w:pPr>
      <w:r w:rsidRPr="002A3659">
        <w:rPr>
          <w:rFonts w:ascii="Palatino Linotype" w:eastAsia="Palatino Linotype" w:hAnsi="Palatino Linotype" w:cs="Palatino Linotype"/>
          <w:i/>
          <w:color w:val="000000"/>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2A3659">
        <w:rPr>
          <w:rFonts w:ascii="Palatino Linotype" w:eastAsia="Palatino Linotype" w:hAnsi="Palatino Linotype" w:cs="Palatino Linotype"/>
          <w:i/>
          <w:color w:val="000000"/>
          <w:sz w:val="22"/>
          <w:szCs w:val="22"/>
        </w:rPr>
        <w:t>Arboleya</w:t>
      </w:r>
      <w:proofErr w:type="spellEnd"/>
      <w:r w:rsidRPr="002A3659">
        <w:rPr>
          <w:rFonts w:ascii="Palatino Linotype" w:eastAsia="Palatino Linotype" w:hAnsi="Palatino Linotype" w:cs="Palatino Linotype"/>
          <w:i/>
          <w:color w:val="000000"/>
          <w:sz w:val="22"/>
          <w:szCs w:val="22"/>
        </w:rPr>
        <w:t>.</w:t>
      </w:r>
    </w:p>
    <w:p w:rsidR="00AA7510" w:rsidRPr="002A3659" w:rsidRDefault="00E55BD0">
      <w:pPr>
        <w:pBdr>
          <w:top w:val="nil"/>
          <w:left w:val="nil"/>
          <w:bottom w:val="nil"/>
          <w:right w:val="nil"/>
          <w:between w:val="nil"/>
        </w:pBdr>
        <w:ind w:left="567" w:right="476"/>
        <w:jc w:val="both"/>
        <w:rPr>
          <w:rFonts w:ascii="Palatino Linotype" w:eastAsia="Palatino Linotype" w:hAnsi="Palatino Linotype" w:cs="Palatino Linotype"/>
          <w:i/>
          <w:color w:val="000000"/>
          <w:sz w:val="22"/>
          <w:szCs w:val="22"/>
        </w:rPr>
      </w:pPr>
      <w:r w:rsidRPr="002A3659">
        <w:rPr>
          <w:rFonts w:ascii="Palatino Linotype" w:eastAsia="Palatino Linotype" w:hAnsi="Palatino Linotype" w:cs="Palatino Linotype"/>
          <w:i/>
          <w:color w:val="000000"/>
          <w:sz w:val="22"/>
          <w:szCs w:val="22"/>
        </w:rPr>
        <w:t xml:space="preserve">Recurso de reclamación 1164/2014. Paula Abascal Valdez. 18 de febrero de 2015. Cinco votos de los Ministros Arturo Zaldívar Lelo de Larrea, José Ramón Cossío Díaz, Jorge </w:t>
      </w:r>
      <w:r w:rsidRPr="002A3659">
        <w:rPr>
          <w:rFonts w:ascii="Palatino Linotype" w:eastAsia="Palatino Linotype" w:hAnsi="Palatino Linotype" w:cs="Palatino Linotype"/>
          <w:i/>
          <w:color w:val="000000"/>
          <w:sz w:val="22"/>
          <w:szCs w:val="22"/>
        </w:rPr>
        <w:lastRenderedPageBreak/>
        <w:t xml:space="preserve">Mario Pardo Rebolledo, Olga Sánchez Cordero de García Villegas y Alfredo Gutiérrez Ortiz Mena. Ponente: José Ramón Cossío Díaz. Secretaria: Lorena </w:t>
      </w:r>
      <w:proofErr w:type="spellStart"/>
      <w:r w:rsidRPr="002A3659">
        <w:rPr>
          <w:rFonts w:ascii="Palatino Linotype" w:eastAsia="Palatino Linotype" w:hAnsi="Palatino Linotype" w:cs="Palatino Linotype"/>
          <w:i/>
          <w:color w:val="000000"/>
          <w:sz w:val="22"/>
          <w:szCs w:val="22"/>
        </w:rPr>
        <w:t>Goslinga</w:t>
      </w:r>
      <w:proofErr w:type="spellEnd"/>
      <w:r w:rsidRPr="002A3659">
        <w:rPr>
          <w:rFonts w:ascii="Palatino Linotype" w:eastAsia="Palatino Linotype" w:hAnsi="Palatino Linotype" w:cs="Palatino Linotype"/>
          <w:i/>
          <w:color w:val="000000"/>
          <w:sz w:val="22"/>
          <w:szCs w:val="22"/>
        </w:rPr>
        <w:t xml:space="preserve"> </w:t>
      </w:r>
      <w:proofErr w:type="spellStart"/>
      <w:r w:rsidRPr="002A3659">
        <w:rPr>
          <w:rFonts w:ascii="Palatino Linotype" w:eastAsia="Palatino Linotype" w:hAnsi="Palatino Linotype" w:cs="Palatino Linotype"/>
          <w:i/>
          <w:color w:val="000000"/>
          <w:sz w:val="22"/>
          <w:szCs w:val="22"/>
        </w:rPr>
        <w:t>Remírez</w:t>
      </w:r>
      <w:proofErr w:type="spellEnd"/>
      <w:r w:rsidRPr="002A3659">
        <w:rPr>
          <w:rFonts w:ascii="Palatino Linotype" w:eastAsia="Palatino Linotype" w:hAnsi="Palatino Linotype" w:cs="Palatino Linotype"/>
          <w:i/>
          <w:color w:val="000000"/>
          <w:sz w:val="22"/>
          <w:szCs w:val="22"/>
        </w:rPr>
        <w:t>.</w:t>
      </w:r>
    </w:p>
    <w:p w:rsidR="00AA7510" w:rsidRPr="002A3659" w:rsidRDefault="00AA7510">
      <w:pPr>
        <w:pBdr>
          <w:top w:val="nil"/>
          <w:left w:val="nil"/>
          <w:bottom w:val="nil"/>
          <w:right w:val="nil"/>
          <w:between w:val="nil"/>
        </w:pBdr>
        <w:ind w:left="567" w:right="476"/>
        <w:jc w:val="both"/>
        <w:rPr>
          <w:rFonts w:ascii="Palatino Linotype" w:eastAsia="Palatino Linotype" w:hAnsi="Palatino Linotype" w:cs="Palatino Linotype"/>
          <w:i/>
          <w:color w:val="000000"/>
          <w:sz w:val="22"/>
          <w:szCs w:val="22"/>
        </w:rPr>
      </w:pPr>
    </w:p>
    <w:p w:rsidR="00AA7510" w:rsidRPr="002A3659" w:rsidRDefault="00E55BD0">
      <w:pPr>
        <w:pBdr>
          <w:top w:val="nil"/>
          <w:left w:val="nil"/>
          <w:bottom w:val="nil"/>
          <w:right w:val="nil"/>
          <w:between w:val="nil"/>
        </w:pBdr>
        <w:ind w:left="567" w:right="476"/>
        <w:jc w:val="both"/>
        <w:rPr>
          <w:rFonts w:ascii="Palatino Linotype" w:eastAsia="Palatino Linotype" w:hAnsi="Palatino Linotype" w:cs="Palatino Linotype"/>
          <w:i/>
          <w:color w:val="000000"/>
          <w:sz w:val="22"/>
          <w:szCs w:val="22"/>
        </w:rPr>
      </w:pPr>
      <w:r w:rsidRPr="002A3659">
        <w:rPr>
          <w:rFonts w:ascii="Palatino Linotype" w:eastAsia="Palatino Linotype" w:hAnsi="Palatino Linotype" w:cs="Palatino Linotype"/>
          <w:i/>
          <w:color w:val="000000"/>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AA7510" w:rsidRPr="002A3659" w:rsidRDefault="00E55BD0">
      <w:pPr>
        <w:pBdr>
          <w:top w:val="nil"/>
          <w:left w:val="nil"/>
          <w:bottom w:val="nil"/>
          <w:right w:val="nil"/>
          <w:between w:val="nil"/>
        </w:pBdr>
        <w:ind w:left="567" w:right="476"/>
        <w:jc w:val="both"/>
        <w:rPr>
          <w:rFonts w:ascii="Palatino Linotype" w:eastAsia="Palatino Linotype" w:hAnsi="Palatino Linotype" w:cs="Palatino Linotype"/>
          <w:i/>
          <w:color w:val="000000"/>
          <w:sz w:val="22"/>
          <w:szCs w:val="22"/>
        </w:rPr>
      </w:pPr>
      <w:r w:rsidRPr="002A3659">
        <w:rPr>
          <w:rFonts w:ascii="Palatino Linotype" w:eastAsia="Palatino Linotype" w:hAnsi="Palatino Linotype" w:cs="Palatino Linotype"/>
          <w:i/>
          <w:color w:val="000000"/>
          <w:sz w:val="22"/>
          <w:szCs w:val="22"/>
        </w:rPr>
        <w:t>Tesis de jurisprudencia 41/2015 (10a.). Aprobada por la Primera Sala de este Alto Tribunal, en sesión privada de veintisiete de mayo de dos mil quince.” (Sic)</w:t>
      </w:r>
    </w:p>
    <w:p w:rsidR="00AA7510" w:rsidRDefault="00E55BD0">
      <w:pPr>
        <w:spacing w:before="240" w:after="240" w:line="360" w:lineRule="auto"/>
        <w:jc w:val="both"/>
        <w:rPr>
          <w:rFonts w:ascii="Palatino Linotype" w:eastAsia="Palatino Linotype" w:hAnsi="Palatino Linotype" w:cs="Palatino Linotype"/>
        </w:rPr>
      </w:pPr>
      <w:r w:rsidRPr="002A3659">
        <w:rPr>
          <w:rFonts w:ascii="Palatino Linotype" w:eastAsia="Palatino Linotype" w:hAnsi="Palatino Linotype" w:cs="Palatino Linotype"/>
        </w:rPr>
        <w:t>Luego entonces, se encuentra dentro de los márgenes temporales previstos por la normatividad vigente.</w:t>
      </w:r>
    </w:p>
    <w:p w:rsidR="00AA7510" w:rsidRDefault="00E55BD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Al mismo tiempo, tras la revisión del formato de interposición del recurso</w:t>
      </w:r>
      <w:r>
        <w:rPr>
          <w:rFonts w:ascii="Palatino Linotype" w:eastAsia="Palatino Linotype" w:hAnsi="Palatino Linotype" w:cs="Palatino Linotype"/>
        </w:rPr>
        <w:t xml:space="preserve">,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eastAsia="Palatino Linotype" w:hAnsi="Palatino Linotype" w:cs="Palatino Linotype"/>
          <w:b/>
        </w:rPr>
        <w:t>no proporcionó su nombre</w:t>
      </w:r>
      <w:r>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A7510" w:rsidRDefault="00AA7510">
      <w:pPr>
        <w:ind w:left="567" w:right="474"/>
        <w:jc w:val="both"/>
        <w:rPr>
          <w:rFonts w:ascii="Palatino Linotype" w:eastAsia="Palatino Linotype" w:hAnsi="Palatino Linotype" w:cs="Palatino Linotype"/>
          <w:i/>
        </w:rPr>
      </w:pPr>
    </w:p>
    <w:p w:rsidR="00AA7510" w:rsidRDefault="00E55BD0">
      <w:pPr>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rsidR="00AA7510" w:rsidRDefault="00AA7510">
      <w:pPr>
        <w:spacing w:after="240" w:line="360" w:lineRule="auto"/>
        <w:jc w:val="both"/>
        <w:rPr>
          <w:rFonts w:ascii="Palatino Linotype" w:eastAsia="Palatino Linotype" w:hAnsi="Palatino Linotype" w:cs="Palatino Linotype"/>
        </w:rPr>
      </w:pPr>
    </w:p>
    <w:p w:rsidR="00AA7510" w:rsidRDefault="00E55BD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por cuanto hace a la procedibilidad de los recursos de revisión, una vez realizado el análisis del formato de interposición de los mismos, se concluye la acreditación plena de los elementos formales precisados por el artículo 180 de la Ley </w:t>
      </w:r>
      <w:r>
        <w:rPr>
          <w:rFonts w:ascii="Palatino Linotype" w:eastAsia="Palatino Linotype" w:hAnsi="Palatino Linotype" w:cs="Palatino Linotype"/>
        </w:rPr>
        <w:lastRenderedPageBreak/>
        <w:t xml:space="preserve">de Transparencia y Acceso a la Información Pública del Estado de México y Municipios, en atención a que fueron presentados mediante formato visible en el SAIMEX. </w:t>
      </w:r>
    </w:p>
    <w:p w:rsidR="00AA7510" w:rsidRPr="002A3659" w:rsidRDefault="00E55BD0">
      <w:pPr>
        <w:spacing w:before="240" w:after="240" w:line="360" w:lineRule="auto"/>
        <w:jc w:val="both"/>
        <w:rPr>
          <w:rFonts w:ascii="Quattrocento Sans" w:eastAsia="Quattrocento Sans" w:hAnsi="Quattrocento Sans" w:cs="Quattrocento Sans"/>
        </w:rPr>
      </w:pPr>
      <w:r>
        <w:rPr>
          <w:rFonts w:ascii="Palatino Linotype" w:eastAsia="Palatino Linotype" w:hAnsi="Palatino Linotype" w:cs="Palatino Linotype"/>
        </w:rPr>
        <w:t xml:space="preserve">Ahora bien, resulta procedente la interposición del recurso de revisión, según lo aducido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términos del artículo 179, fracción VII del </w:t>
      </w:r>
      <w:r w:rsidRPr="002A3659">
        <w:rPr>
          <w:rFonts w:ascii="Palatino Linotype" w:eastAsia="Palatino Linotype" w:hAnsi="Palatino Linotype" w:cs="Palatino Linotype"/>
        </w:rPr>
        <w:t>ordenamiento legal de la materia, que a la letra dice:</w:t>
      </w:r>
    </w:p>
    <w:p w:rsidR="00AA7510" w:rsidRPr="002A3659" w:rsidRDefault="00E55BD0">
      <w:pPr>
        <w:spacing w:before="240" w:after="240"/>
        <w:ind w:left="993" w:right="1041"/>
        <w:jc w:val="both"/>
        <w:rPr>
          <w:rFonts w:ascii="Palatino Linotype" w:eastAsia="Palatino Linotype" w:hAnsi="Palatino Linotype" w:cs="Palatino Linotype"/>
          <w:sz w:val="22"/>
          <w:szCs w:val="22"/>
        </w:rPr>
      </w:pPr>
      <w:r w:rsidRPr="002A3659">
        <w:rPr>
          <w:rFonts w:ascii="Palatino Linotype" w:eastAsia="Palatino Linotype" w:hAnsi="Palatino Linotype" w:cs="Palatino Linotype"/>
          <w:i/>
          <w:sz w:val="22"/>
          <w:szCs w:val="22"/>
        </w:rPr>
        <w:t>“</w:t>
      </w:r>
      <w:r w:rsidRPr="002A3659">
        <w:rPr>
          <w:rFonts w:ascii="Palatino Linotype" w:eastAsia="Palatino Linotype" w:hAnsi="Palatino Linotype" w:cs="Palatino Linotype"/>
          <w:b/>
          <w:sz w:val="22"/>
          <w:szCs w:val="22"/>
        </w:rPr>
        <w:t>Artículo 179.</w:t>
      </w:r>
      <w:r w:rsidRPr="002A3659">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2A3659">
        <w:rPr>
          <w:rFonts w:ascii="Palatino Linotype" w:eastAsia="Palatino Linotype" w:hAnsi="Palatino Linotype" w:cs="Palatino Linotype"/>
          <w:sz w:val="22"/>
          <w:szCs w:val="22"/>
        </w:rPr>
        <w:t> </w:t>
      </w:r>
    </w:p>
    <w:p w:rsidR="00AA7510" w:rsidRPr="002A3659" w:rsidRDefault="00E55BD0">
      <w:pPr>
        <w:numPr>
          <w:ilvl w:val="0"/>
          <w:numId w:val="4"/>
        </w:numPr>
        <w:spacing w:before="240" w:after="240"/>
        <w:ind w:right="1041" w:hanging="87"/>
        <w:jc w:val="both"/>
        <w:rPr>
          <w:rFonts w:ascii="Palatino Linotype" w:eastAsia="Palatino Linotype" w:hAnsi="Palatino Linotype" w:cs="Palatino Linotype"/>
          <w:i/>
          <w:sz w:val="22"/>
          <w:szCs w:val="22"/>
        </w:rPr>
      </w:pPr>
      <w:r w:rsidRPr="002A3659">
        <w:rPr>
          <w:rFonts w:ascii="Palatino Linotype" w:eastAsia="Palatino Linotype" w:hAnsi="Palatino Linotype" w:cs="Palatino Linotype"/>
          <w:i/>
          <w:sz w:val="22"/>
          <w:szCs w:val="22"/>
        </w:rPr>
        <w:t>La falta de respuesta a una solicitud de acceso a la información…(Sic)</w:t>
      </w:r>
    </w:p>
    <w:p w:rsidR="00AA7510" w:rsidRDefault="00AA7510">
      <w:pPr>
        <w:spacing w:before="240" w:line="360" w:lineRule="auto"/>
        <w:jc w:val="both"/>
        <w:rPr>
          <w:rFonts w:ascii="Palatino Linotype" w:eastAsia="Palatino Linotype" w:hAnsi="Palatino Linotype" w:cs="Palatino Linotype"/>
          <w:b/>
        </w:rPr>
      </w:pPr>
    </w:p>
    <w:p w:rsidR="00AA7510" w:rsidRDefault="00E55BD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Tercero. Análisis de las causales de sobreseimiento. </w:t>
      </w:r>
      <w:r>
        <w:rPr>
          <w:rFonts w:ascii="Palatino Linotype" w:eastAsia="Palatino Linotype" w:hAnsi="Palatino Linotype" w:cs="Palatino Linotype"/>
        </w:rPr>
        <w:t xml:space="preserve">Previo al análisis de las actuaciones que integran el expediente en el Sistema de Acceso a la Información Mexiquense, en importante primeramente enfatizar que el Derecho de Acceso a la Información Pública </w:t>
      </w:r>
      <w:r>
        <w:rPr>
          <w:rFonts w:ascii="Palatino Linotype" w:eastAsia="Palatino Linotype" w:hAnsi="Palatino Linotype" w:cs="Palatino Linotype"/>
          <w:color w:val="000000"/>
        </w:rPr>
        <w:t xml:space="preserve">consiste en que la </w:t>
      </w:r>
      <w:r>
        <w:rPr>
          <w:rFonts w:ascii="Palatino Linotype" w:eastAsia="Palatino Linotype" w:hAnsi="Palatino Linotype" w:cs="Palatino Linotype"/>
          <w:b/>
          <w:color w:val="000000"/>
          <w:u w:val="single"/>
        </w:rPr>
        <w:t>información solicitada conste en un soporte documental</w:t>
      </w:r>
      <w:r>
        <w:rPr>
          <w:rFonts w:ascii="Palatino Linotype" w:eastAsia="Palatino Linotype" w:hAnsi="Palatino Linotype" w:cs="Palatino Linotype"/>
          <w:color w:val="000000"/>
        </w:rPr>
        <w:t xml:space="preserve"> en cualquiera de sus formas, a saber: </w:t>
      </w:r>
      <w:r>
        <w:rPr>
          <w:rFonts w:ascii="Palatino Linotype" w:eastAsia="Palatino Linotype" w:hAnsi="Palatino Linotype" w:cs="Palatino Linotype"/>
        </w:rPr>
        <w:t xml:space="preserve">expedientes, reportes, estudios, </w:t>
      </w:r>
      <w:r>
        <w:rPr>
          <w:rFonts w:ascii="Palatino Linotype" w:eastAsia="Palatino Linotype" w:hAnsi="Palatino Linotype" w:cs="Palatino Linotype"/>
          <w:b/>
        </w:rPr>
        <w:t>actas,</w:t>
      </w:r>
      <w:r>
        <w:rPr>
          <w:rFonts w:ascii="Palatino Linotype" w:eastAsia="Palatino Linotype" w:hAnsi="Palatino Linotype" w:cs="Palatino Linotype"/>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Pr>
          <w:rFonts w:ascii="Palatino Linotype" w:eastAsia="Palatino Linotype" w:hAnsi="Palatino Linotype" w:cs="Palatino Linotype"/>
          <w:color w:val="000000"/>
        </w:rPr>
        <w:t xml:space="preserve">; los que, </w:t>
      </w:r>
      <w:r>
        <w:rPr>
          <w:rFonts w:ascii="Palatino Linotype" w:eastAsia="Palatino Linotype" w:hAnsi="Palatino Linotype" w:cs="Palatino Linotype"/>
        </w:rPr>
        <w:t>podrán estar en cualquier medio, sea escrito, impreso, sonoro, visual, electrónico, informático u holográfico</w:t>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color w:val="000000"/>
        </w:rPr>
        <w:lastRenderedPageBreak/>
        <w:t xml:space="preserve">conformidad con el artículo 3, fracción XI de la Ley de la materia, el cual dispone lo siguiente: </w:t>
      </w:r>
    </w:p>
    <w:p w:rsidR="00AA7510" w:rsidRDefault="00E55BD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3. </w:t>
      </w:r>
      <w:r>
        <w:rPr>
          <w:rFonts w:ascii="Palatino Linotype" w:eastAsia="Palatino Linotype" w:hAnsi="Palatino Linotype" w:cs="Palatino Linotype"/>
          <w:i/>
          <w:color w:val="000000"/>
          <w:sz w:val="22"/>
          <w:szCs w:val="22"/>
        </w:rPr>
        <w:t>Para los efectos de la presente Ley se entenderá por:</w:t>
      </w:r>
    </w:p>
    <w:p w:rsidR="00AA7510" w:rsidRDefault="00E55BD0">
      <w:pPr>
        <w:ind w:left="851" w:right="85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A7510" w:rsidRDefault="00E55BD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w:t>
      </w:r>
      <w:r>
        <w:rPr>
          <w:rFonts w:ascii="Palatino Linotype" w:eastAsia="Palatino Linotype" w:hAnsi="Palatino Linotype" w:cs="Palatino Linotype"/>
          <w:b/>
          <w:i/>
          <w:color w:val="000000"/>
          <w:sz w:val="22"/>
          <w:szCs w:val="22"/>
        </w:rPr>
        <w:t xml:space="preserve"> </w:t>
      </w:r>
      <w:r>
        <w:rPr>
          <w:rFonts w:ascii="Palatino Linotype" w:eastAsia="Palatino Linotype" w:hAnsi="Palatino Linotype" w:cs="Palatino Linotype"/>
          <w:i/>
          <w:color w:val="000000"/>
          <w:sz w:val="22"/>
          <w:szCs w:val="22"/>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A7510" w:rsidRDefault="00E55BD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rsidR="00AA7510" w:rsidRDefault="00E55BD0">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AA7510" w:rsidRDefault="00AA7510">
      <w:pPr>
        <w:ind w:left="851" w:right="850"/>
        <w:jc w:val="both"/>
        <w:rPr>
          <w:rFonts w:ascii="Palatino Linotype" w:eastAsia="Palatino Linotype" w:hAnsi="Palatino Linotype" w:cs="Palatino Linotype"/>
          <w:sz w:val="22"/>
          <w:szCs w:val="22"/>
        </w:rPr>
      </w:pPr>
    </w:p>
    <w:p w:rsidR="00AA7510" w:rsidRDefault="00E55BD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AA7510" w:rsidRDefault="00AA7510">
      <w:pPr>
        <w:ind w:left="851" w:right="850"/>
        <w:jc w:val="both"/>
        <w:rPr>
          <w:rFonts w:ascii="Palatino Linotype" w:eastAsia="Palatino Linotype" w:hAnsi="Palatino Linotype" w:cs="Palatino Linotype"/>
          <w:sz w:val="20"/>
          <w:szCs w:val="20"/>
        </w:rPr>
      </w:pPr>
    </w:p>
    <w:p w:rsidR="00AA7510" w:rsidRDefault="00E55BD0">
      <w:pPr>
        <w:ind w:left="851" w:right="90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AA7510" w:rsidRDefault="00E55BD0">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A7510" w:rsidRDefault="00E55BD0">
      <w:pPr>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AA7510" w:rsidRDefault="00E55BD0">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1) Que se trate de información </w:t>
      </w:r>
      <w:r>
        <w:rPr>
          <w:rFonts w:ascii="Palatino Linotype" w:eastAsia="Palatino Linotype" w:hAnsi="Palatino Linotype" w:cs="Palatino Linotype"/>
          <w:b/>
          <w:i/>
          <w:sz w:val="22"/>
          <w:szCs w:val="22"/>
          <w:u w:val="single"/>
        </w:rPr>
        <w:t>registrada en cualquier soporte documental</w:t>
      </w:r>
      <w:r>
        <w:rPr>
          <w:rFonts w:ascii="Palatino Linotype" w:eastAsia="Palatino Linotype" w:hAnsi="Palatino Linotype" w:cs="Palatino Linotype"/>
          <w:i/>
          <w:sz w:val="22"/>
          <w:szCs w:val="22"/>
        </w:rPr>
        <w:t>, que en ejercicio de las atribuciones conferidas, sea generada por los Sujetos Obligados;</w:t>
      </w:r>
    </w:p>
    <w:p w:rsidR="00AA7510" w:rsidRDefault="00E55BD0">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Que se trate de información </w:t>
      </w:r>
      <w:r>
        <w:rPr>
          <w:rFonts w:ascii="Palatino Linotype" w:eastAsia="Palatino Linotype" w:hAnsi="Palatino Linotype" w:cs="Palatino Linotype"/>
          <w:b/>
          <w:i/>
          <w:sz w:val="22"/>
          <w:szCs w:val="22"/>
          <w:u w:val="single"/>
        </w:rPr>
        <w:t>registrada en cualquier soporte documental</w:t>
      </w:r>
      <w:r>
        <w:rPr>
          <w:rFonts w:ascii="Palatino Linotype" w:eastAsia="Palatino Linotype" w:hAnsi="Palatino Linotype" w:cs="Palatino Linotype"/>
          <w:i/>
          <w:sz w:val="22"/>
          <w:szCs w:val="22"/>
        </w:rPr>
        <w:t>, que en ejercicio de las atribuciones conferidas, sea administrada por los Sujetos Obligados, y</w:t>
      </w:r>
    </w:p>
    <w:p w:rsidR="00AA7510" w:rsidRDefault="00E55BD0">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w:t>
      </w:r>
      <w:r>
        <w:rPr>
          <w:rFonts w:ascii="Palatino Linotype" w:eastAsia="Palatino Linotype" w:hAnsi="Palatino Linotype" w:cs="Palatino Linotype"/>
          <w:b/>
          <w:i/>
          <w:sz w:val="22"/>
          <w:szCs w:val="22"/>
          <w:u w:val="single"/>
        </w:rPr>
        <w:t>registrada en cualquier soporte documental</w:t>
      </w:r>
      <w:r>
        <w:rPr>
          <w:rFonts w:ascii="Palatino Linotype" w:eastAsia="Palatino Linotype" w:hAnsi="Palatino Linotype" w:cs="Palatino Linotype"/>
          <w:i/>
          <w:sz w:val="22"/>
          <w:szCs w:val="22"/>
        </w:rPr>
        <w:t>, que en ejercicio de las atribuciones conferidas, se encuentre en posesión de los Sujetos Obligados.” (Sic)</w:t>
      </w:r>
    </w:p>
    <w:p w:rsidR="00AA7510" w:rsidRDefault="00AA7510">
      <w:pPr>
        <w:ind w:left="851" w:right="901"/>
        <w:jc w:val="both"/>
        <w:rPr>
          <w:rFonts w:ascii="Palatino Linotype" w:eastAsia="Palatino Linotype" w:hAnsi="Palatino Linotype" w:cs="Palatino Linotype"/>
          <w:i/>
          <w:sz w:val="22"/>
          <w:szCs w:val="22"/>
        </w:rPr>
      </w:pPr>
    </w:p>
    <w:p w:rsidR="00AA7510" w:rsidRDefault="00AA7510">
      <w:pPr>
        <w:ind w:left="851" w:right="901"/>
        <w:jc w:val="both"/>
        <w:rPr>
          <w:rFonts w:ascii="Palatino Linotype" w:eastAsia="Palatino Linotype" w:hAnsi="Palatino Linotype" w:cs="Palatino Linotype"/>
          <w:i/>
          <w:sz w:val="22"/>
          <w:szCs w:val="22"/>
        </w:rPr>
      </w:pPr>
    </w:p>
    <w:p w:rsidR="00AA7510" w:rsidRDefault="00E55BD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generó o porque como parte del ejercicio de sus funciones la recibió y por consiguiente, la administra y posee. </w:t>
      </w:r>
    </w:p>
    <w:p w:rsidR="00AA7510" w:rsidRDefault="00AA7510">
      <w:pPr>
        <w:spacing w:line="360" w:lineRule="auto"/>
        <w:jc w:val="both"/>
        <w:rPr>
          <w:rFonts w:ascii="Palatino Linotype" w:eastAsia="Palatino Linotype" w:hAnsi="Palatino Linotype" w:cs="Palatino Linotype"/>
        </w:rPr>
      </w:pPr>
    </w:p>
    <w:p w:rsidR="00AA7510" w:rsidRDefault="00E55BD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es pertinente recordar que de las constancias que integran los expedientes de los recursos de revisión al rubro indicado, el entonces solicitante formuló sus requerimientos en el formato previamente establecido para tal efecto, en el que manifestó: </w:t>
      </w:r>
    </w:p>
    <w:p w:rsidR="00AA7510" w:rsidRDefault="00E55BD0">
      <w:pPr>
        <w:spacing w:before="240" w:after="240"/>
        <w:ind w:left="566"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roofErr w:type="spellStart"/>
      <w:r>
        <w:rPr>
          <w:rFonts w:ascii="Palatino Linotype" w:eastAsia="Palatino Linotype" w:hAnsi="Palatino Linotype" w:cs="Palatino Linotype"/>
          <w:i/>
          <w:color w:val="000000"/>
        </w:rPr>
        <w:t>kiero</w:t>
      </w:r>
      <w:proofErr w:type="spellEnd"/>
      <w:r>
        <w:rPr>
          <w:rFonts w:ascii="Palatino Linotype" w:eastAsia="Palatino Linotype" w:hAnsi="Palatino Linotype" w:cs="Palatino Linotype"/>
          <w:i/>
          <w:color w:val="000000"/>
        </w:rPr>
        <w:t xml:space="preserve"> saber si el </w:t>
      </w:r>
      <w:proofErr w:type="spellStart"/>
      <w:r>
        <w:rPr>
          <w:rFonts w:ascii="Palatino Linotype" w:eastAsia="Palatino Linotype" w:hAnsi="Palatino Linotype" w:cs="Palatino Linotype"/>
          <w:i/>
          <w:color w:val="000000"/>
        </w:rPr>
        <w:t>dif</w:t>
      </w:r>
      <w:proofErr w:type="spellEnd"/>
      <w:r>
        <w:rPr>
          <w:rFonts w:ascii="Palatino Linotype" w:eastAsia="Palatino Linotype" w:hAnsi="Palatino Linotype" w:cs="Palatino Linotype"/>
          <w:i/>
          <w:color w:val="000000"/>
        </w:rPr>
        <w:t xml:space="preserve"> compro sillas nuevas </w:t>
      </w:r>
      <w:proofErr w:type="spellStart"/>
      <w:r>
        <w:rPr>
          <w:rFonts w:ascii="Palatino Linotype" w:eastAsia="Palatino Linotype" w:hAnsi="Palatino Linotype" w:cs="Palatino Linotype"/>
          <w:i/>
          <w:color w:val="000000"/>
        </w:rPr>
        <w:t>pork</w:t>
      </w:r>
      <w:proofErr w:type="spellEnd"/>
      <w:r>
        <w:rPr>
          <w:rFonts w:ascii="Palatino Linotype" w:eastAsia="Palatino Linotype" w:hAnsi="Palatino Linotype" w:cs="Palatino Linotype"/>
          <w:i/>
          <w:color w:val="000000"/>
        </w:rPr>
        <w:t xml:space="preserve"> el culito de la presidenta necesita sillas de </w:t>
      </w:r>
      <w:proofErr w:type="spellStart"/>
      <w:r>
        <w:rPr>
          <w:rFonts w:ascii="Palatino Linotype" w:eastAsia="Palatino Linotype" w:hAnsi="Palatino Linotype" w:cs="Palatino Linotype"/>
          <w:i/>
          <w:color w:val="000000"/>
        </w:rPr>
        <w:t>calidat</w:t>
      </w:r>
      <w:proofErr w:type="spellEnd"/>
      <w:r>
        <w:rPr>
          <w:rFonts w:ascii="Palatino Linotype" w:eastAsia="Palatino Linotype" w:hAnsi="Palatino Linotype" w:cs="Palatino Linotype"/>
          <w:i/>
          <w:color w:val="000000"/>
        </w:rPr>
        <w:t>” (Sic)</w:t>
      </w:r>
    </w:p>
    <w:p w:rsidR="00AA7510" w:rsidRDefault="00E55BD0">
      <w:pPr>
        <w:spacing w:before="240" w:after="240"/>
        <w:ind w:left="566"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“buenos días. </w:t>
      </w:r>
      <w:proofErr w:type="spellStart"/>
      <w:proofErr w:type="gramStart"/>
      <w:r>
        <w:rPr>
          <w:rFonts w:ascii="Palatino Linotype" w:eastAsia="Palatino Linotype" w:hAnsi="Palatino Linotype" w:cs="Palatino Linotype"/>
          <w:i/>
          <w:color w:val="000000"/>
        </w:rPr>
        <w:t>cual</w:t>
      </w:r>
      <w:proofErr w:type="spellEnd"/>
      <w:proofErr w:type="gramEnd"/>
      <w:r>
        <w:rPr>
          <w:rFonts w:ascii="Palatino Linotype" w:eastAsia="Palatino Linotype" w:hAnsi="Palatino Linotype" w:cs="Palatino Linotype"/>
          <w:i/>
          <w:color w:val="000000"/>
        </w:rPr>
        <w:t xml:space="preserve"> es la canción favorita de la presidenta </w:t>
      </w:r>
      <w:proofErr w:type="spellStart"/>
      <w:r>
        <w:rPr>
          <w:rFonts w:ascii="Palatino Linotype" w:eastAsia="Palatino Linotype" w:hAnsi="Palatino Linotype" w:cs="Palatino Linotype"/>
          <w:i/>
          <w:color w:val="000000"/>
        </w:rPr>
        <w:t>esq</w:t>
      </w:r>
      <w:proofErr w:type="spellEnd"/>
      <w:r>
        <w:rPr>
          <w:rFonts w:ascii="Palatino Linotype" w:eastAsia="Palatino Linotype" w:hAnsi="Palatino Linotype" w:cs="Palatino Linotype"/>
          <w:i/>
          <w:color w:val="000000"/>
        </w:rPr>
        <w:t xml:space="preserve"> le quiero llevar serenata” (Sic)</w:t>
      </w:r>
    </w:p>
    <w:p w:rsidR="00AA7510" w:rsidRDefault="00E55BD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particular planteó cuestiones que tienen que ver con la Presidenta del  Sistema Municipal para el Desarrollo Integral de la Familia de Metepec, situación que </w:t>
      </w:r>
      <w:r>
        <w:rPr>
          <w:rFonts w:ascii="Palatino Linotype" w:eastAsia="Palatino Linotype" w:hAnsi="Palatino Linotype" w:cs="Palatino Linotype"/>
        </w:rPr>
        <w:lastRenderedPageBreak/>
        <w:t>conlleva a precisar que con tal pronunciamiento el particular no pretendió ejercer su derecho de acceso a la información pública; sino que por este medio presentó una inquietud; cuya manifestación que no es factible atenderse vía acceso a la información pública, toda vez, que la atención a dicho cuestionamiento no se puede colmar con documentos que obren en los archivos del Sujeto Obligado.</w:t>
      </w:r>
    </w:p>
    <w:p w:rsidR="00AA7510" w:rsidRDefault="00AA7510">
      <w:pPr>
        <w:spacing w:line="360" w:lineRule="auto"/>
        <w:jc w:val="both"/>
        <w:rPr>
          <w:rFonts w:ascii="Palatino Linotype" w:eastAsia="Palatino Linotype" w:hAnsi="Palatino Linotype" w:cs="Palatino Linotype"/>
        </w:rPr>
      </w:pPr>
    </w:p>
    <w:p w:rsidR="00AA7510" w:rsidRDefault="00E55BD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del análisis realizado a los expedientes electrónicos, se advierte que las solicitudes no constituyen un derecho de acceso a la información y por lo tanto no es atendible mediante una solicitud de acceso a la información pública, porque se tratan de manifestaciones subjetivas vertidas por el particular, interrogantes y declaraciones, situación que conlleva a afirmar que se está en presencia del ejercicio del derecho a la libre expresión. </w:t>
      </w:r>
    </w:p>
    <w:p w:rsidR="00AA7510" w:rsidRDefault="00E55BD0">
      <w:pPr>
        <w:pBdr>
          <w:top w:val="nil"/>
          <w:left w:val="nil"/>
          <w:bottom w:val="nil"/>
          <w:right w:val="nil"/>
          <w:between w:val="nil"/>
        </w:pBd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David Cienfuegos Salgado, concibe al </w:t>
      </w:r>
      <w:r>
        <w:rPr>
          <w:rFonts w:ascii="Palatino Linotype" w:eastAsia="Palatino Linotype" w:hAnsi="Palatino Linotype" w:cs="Palatino Linotype"/>
          <w:b/>
          <w:color w:val="000000"/>
          <w:u w:val="single"/>
        </w:rPr>
        <w:t>derecho de acceso a la información pública</w:t>
      </w:r>
      <w:r>
        <w:rPr>
          <w:rFonts w:ascii="Palatino Linotype" w:eastAsia="Palatino Linotype" w:hAnsi="Palatino Linotype" w:cs="Palatino Linotype"/>
          <w:color w:val="000000"/>
        </w:rPr>
        <w:t xml:space="preserve"> es el derecho de conocer la </w:t>
      </w:r>
      <w:r>
        <w:rPr>
          <w:rFonts w:ascii="Palatino Linotype" w:eastAsia="Palatino Linotype" w:hAnsi="Palatino Linotype" w:cs="Palatino Linotype"/>
          <w:color w:val="000000"/>
          <w:u w:val="single"/>
        </w:rPr>
        <w:t>información de carácter público que se genera o está en posesión de los órganos del poder público</w:t>
      </w:r>
      <w:r>
        <w:rPr>
          <w:rFonts w:ascii="Palatino Linotype" w:eastAsia="Palatino Linotype" w:hAnsi="Palatino Linotype" w:cs="Palatino Linotype"/>
          <w:color w:val="000000"/>
        </w:rPr>
        <w:t xml:space="preserve"> o de los sujetos que utilizan o se benefician con recursos provenientes del Estado, es el derecho que tienen los ciudadanos para acceder a documentos y datos que obren en el poder del gobierno.</w:t>
      </w:r>
    </w:p>
    <w:p w:rsidR="00AA7510" w:rsidRDefault="00E55BD0">
      <w:pPr>
        <w:pBdr>
          <w:top w:val="nil"/>
          <w:left w:val="nil"/>
          <w:bottom w:val="nil"/>
          <w:right w:val="nil"/>
          <w:between w:val="nil"/>
        </w:pBdr>
        <w:spacing w:line="405" w:lineRule="auto"/>
        <w:ind w:right="9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Ernesto Villanueva define al derecho de acceso a la información pública como la prerrogativa de la persona para acceder a datos, registros y todo tipo de informaciones en poder de las entidades públicas y empresas privadas que </w:t>
      </w:r>
      <w:r>
        <w:rPr>
          <w:rFonts w:ascii="Palatino Linotype" w:eastAsia="Palatino Linotype" w:hAnsi="Palatino Linotype" w:cs="Palatino Linotype"/>
          <w:color w:val="000000"/>
        </w:rPr>
        <w:lastRenderedPageBreak/>
        <w:t>ejercen gasto público o cumplen funciones de autoridad, con las excepciones taxativas que establezca la ley en una sociedad democrática.</w:t>
      </w:r>
      <w:r>
        <w:rPr>
          <w:rFonts w:ascii="Palatino Linotype" w:eastAsia="Palatino Linotype" w:hAnsi="Palatino Linotype" w:cs="Palatino Linotype"/>
          <w:color w:val="000000"/>
          <w:vertAlign w:val="superscript"/>
        </w:rPr>
        <w:footnoteReference w:id="1"/>
      </w:r>
    </w:p>
    <w:p w:rsidR="00AA7510" w:rsidRDefault="00AA7510">
      <w:pPr>
        <w:pBdr>
          <w:top w:val="nil"/>
          <w:left w:val="nil"/>
          <w:bottom w:val="nil"/>
          <w:right w:val="nil"/>
          <w:between w:val="nil"/>
        </w:pBdr>
        <w:spacing w:line="405" w:lineRule="auto"/>
        <w:ind w:right="99"/>
        <w:jc w:val="both"/>
        <w:rPr>
          <w:rFonts w:ascii="Palatino Linotype" w:eastAsia="Palatino Linotype" w:hAnsi="Palatino Linotype" w:cs="Palatino Linotype"/>
          <w:color w:val="000000"/>
        </w:rPr>
      </w:pPr>
    </w:p>
    <w:p w:rsidR="00AA7510" w:rsidRDefault="00E55BD0">
      <w:pPr>
        <w:pBdr>
          <w:top w:val="nil"/>
          <w:left w:val="nil"/>
          <w:bottom w:val="nil"/>
          <w:right w:val="nil"/>
          <w:between w:val="nil"/>
        </w:pBdr>
        <w:spacing w:line="405" w:lineRule="auto"/>
        <w:ind w:right="9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consiguiente,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Pr>
          <w:rFonts w:ascii="Palatino Linotype" w:eastAsia="Palatino Linotype" w:hAnsi="Palatino Linotype" w:cs="Palatino Linotype"/>
          <w:b/>
          <w:color w:val="000000"/>
          <w:u w:val="single"/>
        </w:rPr>
        <w:t>interrogantes, inquietudes, quejas y manifestaciones</w:t>
      </w:r>
      <w:r>
        <w:rPr>
          <w:rFonts w:ascii="Palatino Linotype" w:eastAsia="Palatino Linotype" w:hAnsi="Palatino Linotype" w:cs="Palatino Linotype"/>
          <w:color w:val="000000"/>
        </w:rPr>
        <w:t xml:space="preserve"> resultan estar encaminadas a ser satisfechas en ejercicio del derecho de libertad de expresión.</w:t>
      </w:r>
    </w:p>
    <w:p w:rsidR="00AA7510" w:rsidRDefault="00AA7510">
      <w:pPr>
        <w:pBdr>
          <w:top w:val="nil"/>
          <w:left w:val="nil"/>
          <w:bottom w:val="nil"/>
          <w:right w:val="nil"/>
          <w:between w:val="nil"/>
        </w:pBdr>
        <w:spacing w:line="405" w:lineRule="auto"/>
        <w:ind w:right="99"/>
        <w:jc w:val="both"/>
        <w:rPr>
          <w:rFonts w:ascii="Palatino Linotype" w:eastAsia="Palatino Linotype" w:hAnsi="Palatino Linotype" w:cs="Palatino Linotype"/>
          <w:color w:val="000000"/>
        </w:rPr>
      </w:pPr>
    </w:p>
    <w:p w:rsidR="00AA7510" w:rsidRDefault="00E55BD0">
      <w:pPr>
        <w:pBdr>
          <w:top w:val="nil"/>
          <w:left w:val="nil"/>
          <w:bottom w:val="nil"/>
          <w:right w:val="nil"/>
          <w:between w:val="nil"/>
        </w:pBdr>
        <w:spacing w:line="405" w:lineRule="auto"/>
        <w:ind w:right="9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w:t>
      </w:r>
      <w:r>
        <w:rPr>
          <w:rFonts w:ascii="Palatino Linotype" w:eastAsia="Palatino Linotype" w:hAnsi="Palatino Linotype" w:cs="Palatino Linotype"/>
          <w:color w:val="000000"/>
        </w:rPr>
        <w:lastRenderedPageBreak/>
        <w:t xml:space="preserve">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libertad de expresión ejercido por un gobernado; en consecuencia, este Instinto no tiene atribuciones para pronunciarse respecto a las </w:t>
      </w:r>
      <w:r w:rsidR="000E29FD">
        <w:rPr>
          <w:rFonts w:ascii="Palatino Linotype" w:eastAsia="Palatino Linotype" w:hAnsi="Palatino Linotype" w:cs="Palatino Linotype"/>
          <w:color w:val="000000"/>
        </w:rPr>
        <w:t>manifestaciones expuestas por el</w:t>
      </w:r>
      <w:r>
        <w:rPr>
          <w:rFonts w:ascii="Palatino Linotype" w:eastAsia="Palatino Linotype" w:hAnsi="Palatino Linotype" w:cs="Palatino Linotype"/>
          <w:color w:val="000000"/>
        </w:rPr>
        <w:t xml:space="preserve"> hoy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máxime que se advierte que las mismas se tratan de aseveraciones que pudieran ser consideradas de carácter subjetivo hechas sin un soporte que las sustente; es decir, la solicitud del particular es tendente 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aclare o actué sobre una inquietud.</w:t>
      </w:r>
    </w:p>
    <w:p w:rsidR="00AA7510" w:rsidRDefault="00AA7510">
      <w:pPr>
        <w:pBdr>
          <w:top w:val="nil"/>
          <w:left w:val="nil"/>
          <w:bottom w:val="nil"/>
          <w:right w:val="nil"/>
          <w:between w:val="nil"/>
        </w:pBdr>
        <w:spacing w:line="405" w:lineRule="auto"/>
        <w:ind w:right="99"/>
        <w:jc w:val="both"/>
        <w:rPr>
          <w:rFonts w:ascii="Palatino Linotype" w:eastAsia="Palatino Linotype" w:hAnsi="Palatino Linotype" w:cs="Palatino Linotype"/>
          <w:color w:val="000000"/>
        </w:rPr>
      </w:pPr>
    </w:p>
    <w:p w:rsidR="00AA7510" w:rsidRDefault="00E55BD0">
      <w:pPr>
        <w:pBdr>
          <w:top w:val="nil"/>
          <w:left w:val="nil"/>
          <w:bottom w:val="nil"/>
          <w:right w:val="nil"/>
          <w:between w:val="nil"/>
        </w:pBdr>
        <w:spacing w:line="405" w:lineRule="auto"/>
        <w:ind w:right="9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consiguiente, en relació</w:t>
      </w:r>
      <w:r w:rsidR="000E29FD">
        <w:rPr>
          <w:rFonts w:ascii="Palatino Linotype" w:eastAsia="Palatino Linotype" w:hAnsi="Palatino Linotype" w:cs="Palatino Linotype"/>
          <w:color w:val="000000"/>
        </w:rPr>
        <w:t>n a las afirmaciones que hizo el</w:t>
      </w:r>
      <w:r>
        <w:rPr>
          <w:rFonts w:ascii="Palatino Linotype" w:eastAsia="Palatino Linotype" w:hAnsi="Palatino Linotype" w:cs="Palatino Linotype"/>
          <w:color w:val="000000"/>
        </w:rPr>
        <w:t xml:space="preserve"> particular en su solicitud, resta solamente señalarle, que quedan a salvo sus derechos que considere ejercibles a través de las vías y autoridades que estime procedentes; máxime que este Instituto se encuentra impedido para pronunciarse sobre la veracidad o no de </w:t>
      </w:r>
      <w:r>
        <w:rPr>
          <w:rFonts w:ascii="Palatino Linotype" w:eastAsia="Palatino Linotype" w:hAnsi="Palatino Linotype" w:cs="Palatino Linotype"/>
          <w:color w:val="000000"/>
        </w:rPr>
        <w:lastRenderedPageBreak/>
        <w:t xml:space="preserve">lo que señala en solicitud; así como, para ordenar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que atienda o de solución a </w:t>
      </w:r>
      <w:r w:rsidR="000E29FD">
        <w:rPr>
          <w:rFonts w:ascii="Palatino Linotype" w:eastAsia="Palatino Linotype" w:hAnsi="Palatino Linotype" w:cs="Palatino Linotype"/>
          <w:color w:val="000000"/>
        </w:rPr>
        <w:t>las manifestaciones</w:t>
      </w:r>
      <w:r>
        <w:rPr>
          <w:rFonts w:ascii="Palatino Linotype" w:eastAsia="Palatino Linotype" w:hAnsi="Palatino Linotype" w:cs="Palatino Linotype"/>
          <w:color w:val="000000"/>
        </w:rPr>
        <w:t xml:space="preserve"> del particular. </w:t>
      </w:r>
    </w:p>
    <w:p w:rsidR="00AA7510" w:rsidRDefault="00AA7510">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p>
    <w:p w:rsidR="00AA7510" w:rsidRDefault="00E55BD0">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no se advierte que el recurso de revisión encuadre en alguno de los supuestos de procedencia que plantea la Ley de Transparencia y Acceso a la Información Pública del Estado de México y Municipios en su artículo 179 descrito en la página precedente.</w:t>
      </w:r>
    </w:p>
    <w:p w:rsidR="00AA7510" w:rsidRDefault="00AA7510">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p>
    <w:p w:rsidR="00AA7510" w:rsidRDefault="00E474AC">
      <w:pPr>
        <w:pBdr>
          <w:top w:val="nil"/>
          <w:left w:val="nil"/>
          <w:bottom w:val="nil"/>
          <w:right w:val="nil"/>
          <w:between w:val="nil"/>
        </w:pBdr>
        <w:spacing w:line="360" w:lineRule="auto"/>
        <w:ind w:right="96"/>
        <w:jc w:val="both"/>
        <w:rPr>
          <w:rFonts w:ascii="Palatino Linotype" w:eastAsia="Palatino Linotype" w:hAnsi="Palatino Linotype" w:cs="Palatino Linotype"/>
        </w:rPr>
      </w:pPr>
      <w:r>
        <w:rPr>
          <w:rFonts w:ascii="Palatino Linotype" w:eastAsia="Palatino Linotype" w:hAnsi="Palatino Linotype" w:cs="Palatino Linotype"/>
        </w:rPr>
        <w:t>Máxime</w:t>
      </w:r>
      <w:r w:rsidR="00E55BD0">
        <w:rPr>
          <w:rFonts w:ascii="Palatino Linotype" w:eastAsia="Palatino Linotype" w:hAnsi="Palatino Linotype" w:cs="Palatino Linotype"/>
          <w:color w:val="000000"/>
        </w:rPr>
        <w:t xml:space="preserve">, que de los expediente electrónicos que se analizan se advierte que el </w:t>
      </w:r>
      <w:r w:rsidR="00E55BD0">
        <w:rPr>
          <w:rFonts w:ascii="Palatino Linotype" w:eastAsia="Palatino Linotype" w:hAnsi="Palatino Linotype" w:cs="Palatino Linotype"/>
          <w:b/>
          <w:color w:val="000000"/>
        </w:rPr>
        <w:t>SUJETO OBLIGADO</w:t>
      </w:r>
      <w:r w:rsidR="00E55BD0">
        <w:rPr>
          <w:rFonts w:ascii="Palatino Linotype" w:eastAsia="Palatino Linotype" w:hAnsi="Palatino Linotype" w:cs="Palatino Linotype"/>
          <w:color w:val="000000"/>
        </w:rPr>
        <w:t xml:space="preserve">, dio por concluidas las solicitudes de información </w:t>
      </w:r>
      <w:r w:rsidR="000E29FD">
        <w:rPr>
          <w:rFonts w:ascii="Palatino Linotype" w:eastAsia="Palatino Linotype" w:hAnsi="Palatino Linotype" w:cs="Palatino Linotype"/>
          <w:color w:val="000000"/>
        </w:rPr>
        <w:t>porque el particular no desahogó</w:t>
      </w:r>
      <w:r w:rsidR="00E55BD0">
        <w:rPr>
          <w:rFonts w:ascii="Palatino Linotype" w:eastAsia="Palatino Linotype" w:hAnsi="Palatino Linotype" w:cs="Palatino Linotype"/>
          <w:color w:val="000000"/>
        </w:rPr>
        <w:t xml:space="preserve"> las aclaraciones respectivas que se le requirieron; por ello, </w:t>
      </w:r>
      <w:r w:rsidR="00E55BD0">
        <w:rPr>
          <w:rFonts w:ascii="Palatino Linotype" w:eastAsia="Palatino Linotype" w:hAnsi="Palatino Linotype" w:cs="Palatino Linotype"/>
        </w:rPr>
        <w:t xml:space="preserve">es menester mencionar que el artículo 159 de la Ley de Transparencia y Acceso a la Información Pública del Estado de México y Municipios, concede a los Sujetos Obligados la posibilidad de requerir a los solicitantes, la aclaración de su solicitud cuando se estime que los elementos vertidos no son suficientes para efectuar la búsqueda exhaustiva al interior de sus archivos. </w:t>
      </w:r>
    </w:p>
    <w:p w:rsidR="00AA7510" w:rsidRDefault="00AA7510">
      <w:pPr>
        <w:tabs>
          <w:tab w:val="left" w:pos="709"/>
        </w:tabs>
        <w:spacing w:line="360" w:lineRule="auto"/>
        <w:jc w:val="both"/>
        <w:rPr>
          <w:rFonts w:ascii="Palatino Linotype" w:eastAsia="Palatino Linotype" w:hAnsi="Palatino Linotype" w:cs="Palatino Linotype"/>
        </w:rPr>
      </w:pPr>
    </w:p>
    <w:p w:rsidR="00AA7510" w:rsidRDefault="00E55BD0">
      <w:pPr>
        <w:tabs>
          <w:tab w:val="left" w:pos="709"/>
        </w:tabs>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“Artículo 159. Cuando los detalles proporcionados para localizar los documentos resulten insuficientes, incompletos o sean erróneos, </w:t>
      </w:r>
      <w:r>
        <w:rPr>
          <w:rFonts w:ascii="Palatino Linotype" w:eastAsia="Palatino Linotype" w:hAnsi="Palatino Linotype" w:cs="Palatino Linotype"/>
          <w:b/>
          <w:i/>
          <w:sz w:val="22"/>
          <w:szCs w:val="22"/>
        </w:rPr>
        <w:t xml:space="preserve">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rsidR="00AA7510" w:rsidRDefault="00E55BD0">
      <w:pPr>
        <w:tabs>
          <w:tab w:val="left" w:pos="709"/>
        </w:tabs>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este requerimiento interrumpirá el plazo de respuesta establecido en el artículo 163 de la presente Ley, por lo que comenzará a computarse nuevamente al día </w:t>
      </w:r>
      <w:r>
        <w:rPr>
          <w:rFonts w:ascii="Palatino Linotype" w:eastAsia="Palatino Linotype" w:hAnsi="Palatino Linotype" w:cs="Palatino Linotype"/>
          <w:i/>
          <w:sz w:val="22"/>
          <w:szCs w:val="22"/>
        </w:rPr>
        <w:lastRenderedPageBreak/>
        <w:t xml:space="preserve">siguiente del desahogo por parte del particular. En este caso, el sujeto obligado atenderá la solicitud en los términos en que fue desahogado el requerimiento de información adicional. </w:t>
      </w:r>
    </w:p>
    <w:p w:rsidR="00AA7510" w:rsidRDefault="00E55BD0">
      <w:pPr>
        <w:tabs>
          <w:tab w:val="left" w:pos="709"/>
        </w:tabs>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r>
        <w:rPr>
          <w:rFonts w:ascii="Palatino Linotype" w:eastAsia="Palatino Linotype" w:hAnsi="Palatino Linotype" w:cs="Palatino Linotype"/>
          <w:i/>
          <w:sz w:val="22"/>
          <w:szCs w:val="22"/>
        </w:rPr>
        <w:t>”(Sic)</w:t>
      </w:r>
    </w:p>
    <w:p w:rsidR="00AA7510" w:rsidRDefault="00E55BD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robustecer el análisis del asunto, en un ejercicio de interpretación explicativa de la norma jurídica se colige lo siguiente: </w:t>
      </w:r>
    </w:p>
    <w:p w:rsidR="00AA7510" w:rsidRDefault="00E55BD0">
      <w:pPr>
        <w:numPr>
          <w:ilvl w:val="0"/>
          <w:numId w:val="1"/>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Sujeto Obligado le asiste el derecho para efectuar el requerimiento al solicitante para que complete, corrija o amplíe los datos de la solicitud planteada. </w:t>
      </w:r>
    </w:p>
    <w:p w:rsidR="00AA7510" w:rsidRDefault="00E55BD0">
      <w:pPr>
        <w:numPr>
          <w:ilvl w:val="0"/>
          <w:numId w:val="1"/>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requerimiento se notificará al particular en un plazo que no excederá de cinco días hábiles contados a partir de la presentación de la solicitud. </w:t>
      </w:r>
    </w:p>
    <w:p w:rsidR="00AA7510" w:rsidRDefault="00E55BD0">
      <w:pPr>
        <w:numPr>
          <w:ilvl w:val="0"/>
          <w:numId w:val="1"/>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plazo para desahogar el requerimiento es de diez días hábiles. </w:t>
      </w:r>
    </w:p>
    <w:p w:rsidR="00AA7510" w:rsidRDefault="00E55BD0">
      <w:pPr>
        <w:numPr>
          <w:ilvl w:val="0"/>
          <w:numId w:val="1"/>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Transcurrido el plazo de diez días hábiles antes citado, sin que se dé cumplimiento al requerimiento, se tendrá por no presentada la solicitud. </w:t>
      </w:r>
    </w:p>
    <w:p w:rsidR="00AA7510" w:rsidRDefault="00E55BD0">
      <w:pPr>
        <w:numPr>
          <w:ilvl w:val="0"/>
          <w:numId w:val="1"/>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que se considere no presentada la solicitud, quedan a salvo los derechos del particular para presentar una nueva solicitud de información. </w:t>
      </w:r>
    </w:p>
    <w:p w:rsidR="00AA7510" w:rsidRDefault="00E55BD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Trasladando esta premisa a los medios de impugnación que nos ocupa, se tiene que las prevenciones hechas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hizo en apego al marco jurídico que rige los procedimientos relativos al derecho de acceso a la información pública, toda vez que resultaba necesario aportar mayores elementos para realizar una búsqueda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así mismo se realizó dentro del plazo previsto por la normatividad para la aclaración, ello en virtud de que el mismo transcurrió del cuatro al once de febrero de dos mil veintidós, por lo tanto, si el requerimiento de aclaración fue notificado al particular el </w:t>
      </w:r>
      <w:r>
        <w:rPr>
          <w:rFonts w:ascii="Palatino Linotype" w:eastAsia="Palatino Linotype" w:hAnsi="Palatino Linotype" w:cs="Palatino Linotype"/>
          <w:b/>
        </w:rPr>
        <w:t>ocho de febrero de dos mil veintidós</w:t>
      </w:r>
      <w:r>
        <w:rPr>
          <w:rFonts w:ascii="Palatino Linotype" w:eastAsia="Palatino Linotype" w:hAnsi="Palatino Linotype" w:cs="Palatino Linotype"/>
        </w:rPr>
        <w:t xml:space="preserve">, es decir, al </w:t>
      </w:r>
      <w:r>
        <w:rPr>
          <w:rFonts w:ascii="Palatino Linotype" w:eastAsia="Palatino Linotype" w:hAnsi="Palatino Linotype" w:cs="Palatino Linotype"/>
          <w:b/>
        </w:rPr>
        <w:t>segundo día hábil</w:t>
      </w:r>
      <w:r>
        <w:rPr>
          <w:rFonts w:ascii="Palatino Linotype" w:eastAsia="Palatino Linotype" w:hAnsi="Palatino Linotype" w:cs="Palatino Linotype"/>
        </w:rPr>
        <w:t xml:space="preserve"> de haberse presentado la solicitud, sin contabilizar los días 5 y 6 de febrero del 2022, por corresponden a los días sábado y domingo y el 7 de febrero del 2022, por ser día inhábil de acuerdo al calendario oficial de éste Organismo Garante; por consiguiente se encuentra dentro del término establecido por el artículo 159 de la legislación aplicable en la materia. </w:t>
      </w:r>
    </w:p>
    <w:p w:rsidR="00AA7510" w:rsidRDefault="00E55BD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tomando en consideración que el requerimiento de aclaración a la solicitud de información fue notificado al particular, el ocho de febrero de dos mil veintidós, el plazo de diez días hábiles concedidos para tal efecto, transcurrieron del nueve al veintidós de febrero de dos mil veintidós, sin que obre en las constancias de los expedientes electrónicos que nos ocupa, que el particular hubiese dado cumplimiento a dicho requerimiento.</w:t>
      </w:r>
    </w:p>
    <w:p w:rsidR="00AA7510" w:rsidRDefault="00E55BD0">
      <w:pPr>
        <w:pBdr>
          <w:top w:val="nil"/>
          <w:left w:val="nil"/>
          <w:bottom w:val="nil"/>
          <w:right w:val="nil"/>
          <w:between w:val="nil"/>
        </w:pBdr>
        <w:spacing w:line="360" w:lineRule="auto"/>
        <w:ind w:right="96"/>
        <w:jc w:val="both"/>
        <w:rPr>
          <w:rFonts w:ascii="Palatino Linotype" w:eastAsia="Palatino Linotype" w:hAnsi="Palatino Linotype" w:cs="Palatino Linotype"/>
          <w:color w:val="000000"/>
        </w:rPr>
      </w:pPr>
      <w:bookmarkStart w:id="1" w:name="_heading=h.30j0zll" w:colFirst="0" w:colLast="0"/>
      <w:bookmarkEnd w:id="1"/>
      <w:r>
        <w:rPr>
          <w:rFonts w:ascii="Palatino Linotype" w:eastAsia="Palatino Linotype" w:hAnsi="Palatino Linotype" w:cs="Palatino Linotype"/>
          <w:color w:val="000000"/>
        </w:rPr>
        <w:t>Por lo tanto, en virtud de los argumentos expuestos con anterioridad así como del análisis realizado a</w:t>
      </w:r>
      <w:r w:rsidR="00E474AC">
        <w:rPr>
          <w:rFonts w:ascii="Palatino Linotype" w:eastAsia="Palatino Linotype" w:hAnsi="Palatino Linotype" w:cs="Palatino Linotype"/>
          <w:color w:val="000000"/>
        </w:rPr>
        <w:t xml:space="preserve"> las constancias que obran en los</w:t>
      </w:r>
      <w:r>
        <w:rPr>
          <w:rFonts w:ascii="Palatino Linotype" w:eastAsia="Palatino Linotype" w:hAnsi="Palatino Linotype" w:cs="Palatino Linotype"/>
          <w:color w:val="000000"/>
        </w:rPr>
        <w:t xml:space="preserve"> expediente</w:t>
      </w:r>
      <w:r w:rsidR="00E474AC">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electrónico</w:t>
      </w:r>
      <w:r w:rsidR="00E474AC">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del S</w:t>
      </w:r>
      <w:r w:rsidR="00E474AC">
        <w:rPr>
          <w:rFonts w:ascii="Palatino Linotype" w:eastAsia="Palatino Linotype" w:hAnsi="Palatino Linotype" w:cs="Palatino Linotype"/>
          <w:color w:val="000000"/>
        </w:rPr>
        <w:t>AIMEX, se determina sobreseer los</w:t>
      </w:r>
      <w:r>
        <w:rPr>
          <w:rFonts w:ascii="Palatino Linotype" w:eastAsia="Palatino Linotype" w:hAnsi="Palatino Linotype" w:cs="Palatino Linotype"/>
          <w:color w:val="000000"/>
        </w:rPr>
        <w:t xml:space="preserve"> presente</w:t>
      </w:r>
      <w:r w:rsidR="00E474AC">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recurso</w:t>
      </w:r>
      <w:r w:rsidR="00E474AC">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de revisión por actualizarse </w:t>
      </w:r>
      <w:r>
        <w:rPr>
          <w:rFonts w:ascii="Palatino Linotype" w:eastAsia="Palatino Linotype" w:hAnsi="Palatino Linotype" w:cs="Palatino Linotype"/>
          <w:color w:val="000000"/>
        </w:rPr>
        <w:lastRenderedPageBreak/>
        <w:t>la causal de sobreseimiento prevista en la fracción IV del artículo 192 de la Ley de Transparencia y Acceso a la Información Pública del Estado de México y Municipios en su correlación con la causal de improcedencia contemplada en la fracción III del artículo 191 del ordenamiento legal en cita, los que se transcriben a continuación, para un mejor entendimiento:</w:t>
      </w:r>
    </w:p>
    <w:p w:rsidR="00AA7510" w:rsidRDefault="00AA7510">
      <w:pPr>
        <w:pBdr>
          <w:top w:val="nil"/>
          <w:left w:val="nil"/>
          <w:bottom w:val="nil"/>
          <w:right w:val="nil"/>
          <w:between w:val="nil"/>
        </w:pBdr>
        <w:ind w:left="567" w:right="616"/>
        <w:jc w:val="both"/>
        <w:rPr>
          <w:rFonts w:ascii="Palatino Linotype" w:eastAsia="Palatino Linotype" w:hAnsi="Palatino Linotype" w:cs="Palatino Linotype"/>
          <w:i/>
          <w:color w:val="000000"/>
          <w:sz w:val="22"/>
          <w:szCs w:val="22"/>
        </w:rPr>
      </w:pPr>
    </w:p>
    <w:p w:rsidR="00AA7510" w:rsidRDefault="00E55BD0">
      <w:pPr>
        <w:pBdr>
          <w:top w:val="nil"/>
          <w:left w:val="nil"/>
          <w:bottom w:val="nil"/>
          <w:right w:val="nil"/>
          <w:between w:val="nil"/>
        </w:pBdr>
        <w:ind w:left="567" w:right="6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192.</w:t>
      </w:r>
      <w:r>
        <w:rPr>
          <w:rFonts w:ascii="Palatino Linotype" w:eastAsia="Palatino Linotype" w:hAnsi="Palatino Linotype" w:cs="Palatino Linotype"/>
          <w:i/>
          <w:color w:val="000000"/>
          <w:sz w:val="22"/>
          <w:szCs w:val="22"/>
        </w:rPr>
        <w:t xml:space="preserve"> El recurso será sobreseído, en todo o en parte, cuando una vez admitido, se actualicen alguno de los siguientes supuestos:</w:t>
      </w:r>
    </w:p>
    <w:p w:rsidR="00AA7510" w:rsidRDefault="00E55BD0">
      <w:pPr>
        <w:pBdr>
          <w:top w:val="nil"/>
          <w:left w:val="nil"/>
          <w:bottom w:val="nil"/>
          <w:right w:val="nil"/>
          <w:between w:val="nil"/>
        </w:pBdr>
        <w:ind w:left="567" w:right="6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A7510" w:rsidRDefault="00E55BD0">
      <w:pPr>
        <w:pBdr>
          <w:top w:val="nil"/>
          <w:left w:val="nil"/>
          <w:bottom w:val="nil"/>
          <w:right w:val="nil"/>
          <w:between w:val="nil"/>
        </w:pBdr>
        <w:ind w:left="567" w:right="6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IV</w:t>
      </w:r>
      <w:r>
        <w:rPr>
          <w:rFonts w:ascii="Palatino Linotype" w:eastAsia="Palatino Linotype" w:hAnsi="Palatino Linotype" w:cs="Palatino Linotype"/>
          <w:i/>
          <w:color w:val="000000"/>
          <w:sz w:val="22"/>
          <w:szCs w:val="22"/>
        </w:rPr>
        <w:t xml:space="preserve">. Admitido el recurso de revisión, </w:t>
      </w:r>
      <w:r>
        <w:rPr>
          <w:rFonts w:ascii="Palatino Linotype" w:eastAsia="Palatino Linotype" w:hAnsi="Palatino Linotype" w:cs="Palatino Linotype"/>
          <w:b/>
          <w:i/>
          <w:color w:val="000000"/>
          <w:sz w:val="22"/>
          <w:szCs w:val="22"/>
        </w:rPr>
        <w:t>aparezca alguna causal de improcedencia</w:t>
      </w:r>
      <w:r>
        <w:rPr>
          <w:rFonts w:ascii="Palatino Linotype" w:eastAsia="Palatino Linotype" w:hAnsi="Palatino Linotype" w:cs="Palatino Linotype"/>
          <w:i/>
          <w:color w:val="000000"/>
          <w:sz w:val="22"/>
          <w:szCs w:val="22"/>
        </w:rPr>
        <w:t xml:space="preserve"> en los términos de la presente Ley…</w:t>
      </w:r>
    </w:p>
    <w:p w:rsidR="00AA7510" w:rsidRDefault="00E55BD0">
      <w:pPr>
        <w:pBdr>
          <w:top w:val="nil"/>
          <w:left w:val="nil"/>
          <w:bottom w:val="nil"/>
          <w:right w:val="nil"/>
          <w:between w:val="nil"/>
        </w:pBdr>
        <w:ind w:left="567" w:right="6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191</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 xml:space="preserve">será </w:t>
      </w:r>
      <w:r>
        <w:rPr>
          <w:rFonts w:ascii="Palatino Linotype" w:eastAsia="Palatino Linotype" w:hAnsi="Palatino Linotype" w:cs="Palatino Linotype"/>
          <w:i/>
          <w:color w:val="000000"/>
          <w:sz w:val="22"/>
          <w:szCs w:val="22"/>
        </w:rPr>
        <w:t xml:space="preserve">desechado por </w:t>
      </w:r>
      <w:r>
        <w:rPr>
          <w:rFonts w:ascii="Palatino Linotype" w:eastAsia="Palatino Linotype" w:hAnsi="Palatino Linotype" w:cs="Palatino Linotype"/>
          <w:b/>
          <w:i/>
          <w:color w:val="000000"/>
          <w:sz w:val="22"/>
          <w:szCs w:val="22"/>
        </w:rPr>
        <w:t>improcedente cuando</w:t>
      </w:r>
      <w:r>
        <w:rPr>
          <w:rFonts w:ascii="Palatino Linotype" w:eastAsia="Palatino Linotype" w:hAnsi="Palatino Linotype" w:cs="Palatino Linotype"/>
          <w:i/>
          <w:color w:val="000000"/>
          <w:sz w:val="22"/>
          <w:szCs w:val="22"/>
        </w:rPr>
        <w:t>:</w:t>
      </w:r>
    </w:p>
    <w:p w:rsidR="00AA7510" w:rsidRDefault="00E55BD0">
      <w:pPr>
        <w:pBdr>
          <w:top w:val="nil"/>
          <w:left w:val="nil"/>
          <w:bottom w:val="nil"/>
          <w:right w:val="nil"/>
          <w:between w:val="nil"/>
        </w:pBdr>
        <w:ind w:left="567" w:right="6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rsidR="00AA7510" w:rsidRDefault="00E55BD0">
      <w:pPr>
        <w:pBdr>
          <w:top w:val="nil"/>
          <w:left w:val="nil"/>
          <w:bottom w:val="nil"/>
          <w:right w:val="nil"/>
          <w:between w:val="nil"/>
        </w:pBdr>
        <w:ind w:left="567" w:right="61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No actualice alguno de los supuestos previstos en la presente Ley... “(Sic)</w:t>
      </w:r>
    </w:p>
    <w:p w:rsidR="00AA7510" w:rsidRDefault="00E55BD0">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AA7510" w:rsidRDefault="00AA7510">
      <w:pPr>
        <w:spacing w:line="360" w:lineRule="auto"/>
        <w:jc w:val="both"/>
        <w:rPr>
          <w:rFonts w:ascii="Palatino Linotype" w:eastAsia="Palatino Linotype" w:hAnsi="Palatino Linotype" w:cs="Palatino Linotype"/>
        </w:rPr>
      </w:pPr>
    </w:p>
    <w:p w:rsidR="00AA7510" w:rsidRDefault="00E55BD0">
      <w:pPr>
        <w:spacing w:after="240" w:line="276"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 DE LAS CUESTIONES DE FONDO</w:t>
      </w:r>
    </w:p>
    <w:p w:rsidR="00AA7510" w:rsidRDefault="00E55BD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AA7510" w:rsidRDefault="00E55BD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AA7510" w:rsidRDefault="00E55BD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AA7510" w:rsidRDefault="00E55BD0">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rsidR="00AA7510" w:rsidRDefault="00E55BD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Pr>
          <w:rFonts w:ascii="Palatino Linotype" w:eastAsia="Palatino Linotype" w:hAnsi="Palatino Linotype" w:cs="Palatino Linotype"/>
          <w:color w:val="000000"/>
        </w:rPr>
        <w:tab/>
      </w:r>
    </w:p>
    <w:p w:rsidR="00AA7510" w:rsidRDefault="00E55BD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con fundamento en lo prescrito en los artículos 5 párrafos trigésimo, trigésimo primero y trigésimo segundo de la Constitución Política del Estado Libre y Soberano de México; 2, fracción II; 29, 36 fracciones I y II; 176, 178, 179, 181 y 185 </w:t>
      </w:r>
      <w:r>
        <w:rPr>
          <w:rFonts w:ascii="Palatino Linotype" w:eastAsia="Palatino Linotype" w:hAnsi="Palatino Linotype" w:cs="Palatino Linotype"/>
        </w:rPr>
        <w:lastRenderedPageBreak/>
        <w:t>de la Ley de Transparencia y Acceso a la Información Pública del Estado de México y Municipios, este Pleno:</w:t>
      </w:r>
    </w:p>
    <w:p w:rsidR="00AA7510" w:rsidRDefault="00E55BD0">
      <w:pPr>
        <w:spacing w:before="240" w:line="360" w:lineRule="auto"/>
        <w:ind w:left="360"/>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rsidR="00AA7510" w:rsidRDefault="00AA7510">
      <w:pPr>
        <w:spacing w:line="360" w:lineRule="auto"/>
        <w:jc w:val="both"/>
        <w:rPr>
          <w:rFonts w:ascii="Palatino Linotype" w:eastAsia="Palatino Linotype" w:hAnsi="Palatino Linotype" w:cs="Palatino Linotype"/>
          <w:b/>
          <w:highlight w:val="white"/>
        </w:rPr>
      </w:pPr>
    </w:p>
    <w:p w:rsidR="00AA7510" w:rsidRDefault="00E55BD0">
      <w:pPr>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PRIMERO.</w:t>
      </w:r>
      <w:r>
        <w:rPr>
          <w:rFonts w:ascii="Palatino Linotype" w:eastAsia="Palatino Linotype" w:hAnsi="Palatino Linotype" w:cs="Palatino Linotype"/>
          <w:highlight w:val="white"/>
        </w:rPr>
        <w:t xml:space="preserve"> Se </w:t>
      </w:r>
      <w:r>
        <w:rPr>
          <w:rFonts w:ascii="Palatino Linotype" w:eastAsia="Palatino Linotype" w:hAnsi="Palatino Linotype" w:cs="Palatino Linotype"/>
          <w:b/>
          <w:highlight w:val="white"/>
        </w:rPr>
        <w:t>SOBRESEEN</w:t>
      </w:r>
      <w:r>
        <w:rPr>
          <w:rFonts w:ascii="Palatino Linotype" w:eastAsia="Palatino Linotype" w:hAnsi="Palatino Linotype" w:cs="Palatino Linotype"/>
          <w:highlight w:val="white"/>
        </w:rPr>
        <w:t xml:space="preserve"> los recursos de revisión número </w:t>
      </w:r>
      <w:r>
        <w:rPr>
          <w:rFonts w:ascii="Palatino Linotype" w:eastAsia="Palatino Linotype" w:hAnsi="Palatino Linotype" w:cs="Palatino Linotype"/>
          <w:b/>
          <w:highlight w:val="white"/>
        </w:rPr>
        <w:t>01614/INFOEM/IP/RR/2022 y 01615/INFOEM/IP/RR/2022</w:t>
      </w:r>
      <w:r>
        <w:rPr>
          <w:rFonts w:ascii="Palatino Linotype" w:eastAsia="Palatino Linotype" w:hAnsi="Palatino Linotype" w:cs="Palatino Linotype"/>
          <w:highlight w:val="white"/>
        </w:rPr>
        <w:t xml:space="preserve">, porque una vez admitidos se actualizó la causal de improcedencia prevista en la fracción III del artículo 191, de la Ley de Transparencia vigente en la entidad, que los dejó sin materia en términos del Considerando </w:t>
      </w:r>
      <w:r>
        <w:rPr>
          <w:rFonts w:ascii="Palatino Linotype" w:eastAsia="Palatino Linotype" w:hAnsi="Palatino Linotype" w:cs="Palatino Linotype"/>
          <w:b/>
          <w:highlight w:val="white"/>
        </w:rPr>
        <w:t>TERCERO</w:t>
      </w:r>
      <w:r>
        <w:rPr>
          <w:rFonts w:ascii="Palatino Linotype" w:eastAsia="Palatino Linotype" w:hAnsi="Palatino Linotype" w:cs="Palatino Linotype"/>
          <w:highlight w:val="white"/>
        </w:rPr>
        <w:t xml:space="preserve"> de la presente resolución.</w:t>
      </w:r>
    </w:p>
    <w:p w:rsidR="00AA7510" w:rsidRDefault="00AA7510">
      <w:pPr>
        <w:spacing w:line="360" w:lineRule="auto"/>
        <w:jc w:val="both"/>
        <w:rPr>
          <w:rFonts w:ascii="Palatino Linotype" w:eastAsia="Palatino Linotype" w:hAnsi="Palatino Linotype" w:cs="Palatino Linotype"/>
          <w:b/>
          <w:highlight w:val="white"/>
        </w:rPr>
      </w:pPr>
    </w:p>
    <w:p w:rsidR="00AA7510" w:rsidRDefault="00E55BD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 xml:space="preserve">SEGUNDO. Notifíquese </w:t>
      </w:r>
      <w:r>
        <w:rPr>
          <w:rFonts w:ascii="Palatino Linotype" w:eastAsia="Palatino Linotype" w:hAnsi="Palatino Linotype" w:cs="Palatino Linotype"/>
          <w:highlight w:val="white"/>
        </w:rPr>
        <w:t>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 xml:space="preserve">al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la presente resolución para su conocimiento, lo anterior en términos del artículo 189 de la </w:t>
      </w:r>
      <w:r>
        <w:rPr>
          <w:rFonts w:ascii="Palatino Linotype" w:eastAsia="Palatino Linotype" w:hAnsi="Palatino Linotype" w:cs="Palatino Linotype"/>
        </w:rPr>
        <w:t>Ley de Transparencia y Acceso a la Información Pública del Estado de México y Municipios.</w:t>
      </w:r>
    </w:p>
    <w:p w:rsidR="00AA7510" w:rsidRDefault="00AA7510">
      <w:pPr>
        <w:spacing w:line="360" w:lineRule="auto"/>
        <w:jc w:val="both"/>
        <w:rPr>
          <w:rFonts w:ascii="Palatino Linotype" w:eastAsia="Palatino Linotype" w:hAnsi="Palatino Linotype" w:cs="Palatino Linotype"/>
          <w:highlight w:val="white"/>
        </w:rPr>
      </w:pPr>
    </w:p>
    <w:p w:rsidR="00AA7510" w:rsidRDefault="00E55BD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SAIMEX la presente resolución al </w:t>
      </w:r>
      <w:r>
        <w:rPr>
          <w:rFonts w:ascii="Palatino Linotype" w:eastAsia="Palatino Linotype" w:hAnsi="Palatino Linotype" w:cs="Palatino Linotype"/>
          <w:b/>
        </w:rPr>
        <w:t>RECURRENTE</w:t>
      </w:r>
      <w:r>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en la vía Juicio de Amparo en los términos de las leyes aplicables.</w:t>
      </w:r>
    </w:p>
    <w:p w:rsidR="00AA7510" w:rsidRDefault="00AA7510">
      <w:pPr>
        <w:spacing w:line="360" w:lineRule="auto"/>
        <w:ind w:right="49"/>
        <w:jc w:val="both"/>
        <w:rPr>
          <w:rFonts w:ascii="Palatino Linotype" w:eastAsia="Palatino Linotype" w:hAnsi="Palatino Linotype" w:cs="Palatino Linotype"/>
        </w:rPr>
      </w:pPr>
      <w:bookmarkStart w:id="2" w:name="_heading=h.3znysh7" w:colFirst="0" w:colLast="0"/>
      <w:bookmarkEnd w:id="2"/>
    </w:p>
    <w:p w:rsidR="00AA7510" w:rsidRDefault="00E55BD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w:t>
      </w:r>
      <w:r>
        <w:rPr>
          <w:rFonts w:ascii="Palatino Linotype" w:eastAsia="Palatino Linotype" w:hAnsi="Palatino Linotype" w:cs="Palatino Linotype"/>
        </w:rPr>
        <w:lastRenderedPageBreak/>
        <w:t>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VEINTISIETE DE ABRIL DE DOS MIL VEINTIDÓS, ANTE EL SECRETARIO TÉCNICO DEL PLENO ALEXIS TAPIA RAMÍREZ.</w:t>
      </w:r>
    </w:p>
    <w:p w:rsidR="00AA7510" w:rsidRDefault="005A0579">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39091</wp:posOffset>
                </wp:positionH>
                <wp:positionV relativeFrom="paragraph">
                  <wp:posOffset>124789</wp:posOffset>
                </wp:positionV>
                <wp:extent cx="5552236" cy="4762195"/>
                <wp:effectExtent l="0" t="0" r="29845" b="19685"/>
                <wp:wrapNone/>
                <wp:docPr id="1" name="Conector recto 1"/>
                <wp:cNvGraphicFramePr/>
                <a:graphic xmlns:a="http://schemas.openxmlformats.org/drawingml/2006/main">
                  <a:graphicData uri="http://schemas.microsoft.com/office/word/2010/wordprocessingShape">
                    <wps:wsp>
                      <wps:cNvCnPr/>
                      <wps:spPr>
                        <a:xfrm>
                          <a:off x="0" y="0"/>
                          <a:ext cx="5552236" cy="4762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BAA229"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pt,9.85pt" to="440.3pt,3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" strokecolor="black [3200]" strokeweight=".5pt">
                <v:stroke joinstyle="miter"/>
              </v:line>
            </w:pict>
          </mc:Fallback>
        </mc:AlternateContent>
      </w:r>
    </w:p>
    <w:p w:rsidR="00AA7510" w:rsidRDefault="00AA7510"/>
    <w:p w:rsidR="00AA7510" w:rsidRDefault="00AA7510"/>
    <w:p w:rsidR="00AA7510" w:rsidRDefault="00AA7510"/>
    <w:p w:rsidR="00AA7510" w:rsidRDefault="00AA7510">
      <w:bookmarkStart w:id="3" w:name="_heading=h.1fob9te" w:colFirst="0" w:colLast="0"/>
      <w:bookmarkEnd w:id="3"/>
    </w:p>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5A0579" w:rsidRDefault="005A0579">
      <w:pPr>
        <w:sectPr w:rsidR="005A0579">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pPr>
    </w:p>
    <w:p w:rsidR="00AA7510" w:rsidRDefault="00AA7510">
      <w:bookmarkStart w:id="4" w:name="_GoBack"/>
      <w:bookmarkEnd w:id="4"/>
    </w:p>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p w:rsidR="00AA7510" w:rsidRDefault="00AA7510"/>
    <w:sectPr w:rsidR="00AA7510">
      <w:headerReference w:type="first" r:id="rId1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EB3" w:rsidRDefault="001D0EB3">
      <w:r>
        <w:separator/>
      </w:r>
    </w:p>
  </w:endnote>
  <w:endnote w:type="continuationSeparator" w:id="0">
    <w:p w:rsidR="001D0EB3" w:rsidRDefault="001D0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Quattrocento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510" w:rsidRDefault="00E55BD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A0579">
      <w:rPr>
        <w:rFonts w:ascii="Arial" w:eastAsia="Arial" w:hAnsi="Arial" w:cs="Arial"/>
        <w:b/>
        <w:noProof/>
        <w:color w:val="000000"/>
        <w:sz w:val="20"/>
        <w:szCs w:val="20"/>
      </w:rPr>
      <w:t>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A0579">
      <w:rPr>
        <w:rFonts w:ascii="Arial" w:eastAsia="Arial" w:hAnsi="Arial" w:cs="Arial"/>
        <w:b/>
        <w:noProof/>
        <w:color w:val="000000"/>
        <w:sz w:val="20"/>
        <w:szCs w:val="20"/>
      </w:rPr>
      <w:t>25</w:t>
    </w:r>
    <w:r>
      <w:rPr>
        <w:rFonts w:ascii="Arial" w:eastAsia="Arial" w:hAnsi="Arial" w:cs="Arial"/>
        <w:b/>
        <w:color w:val="000000"/>
        <w:sz w:val="20"/>
        <w:szCs w:val="20"/>
      </w:rPr>
      <w:fldChar w:fldCharType="end"/>
    </w:r>
  </w:p>
  <w:p w:rsidR="00AA7510" w:rsidRDefault="00AA7510">
    <w:pPr>
      <w:pBdr>
        <w:top w:val="nil"/>
        <w:left w:val="nil"/>
        <w:bottom w:val="nil"/>
        <w:right w:val="nil"/>
        <w:between w:val="nil"/>
      </w:pBdr>
      <w:tabs>
        <w:tab w:val="center" w:pos="4252"/>
        <w:tab w:val="right" w:pos="8504"/>
      </w:tabs>
      <w:rPr>
        <w:color w:val="000000"/>
      </w:rPr>
    </w:pPr>
  </w:p>
  <w:p w:rsidR="00AA7510" w:rsidRDefault="00AA751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510" w:rsidRDefault="00E55BD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sidR="005A0579">
      <w:rPr>
        <w:rFonts w:ascii="Arial" w:eastAsia="Arial" w:hAnsi="Arial" w:cs="Arial"/>
        <w:b/>
        <w:color w:val="000000"/>
        <w:sz w:val="20"/>
        <w:szCs w:val="20"/>
      </w:rPr>
      <w:t>25</w:t>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A0579">
      <w:rPr>
        <w:rFonts w:ascii="Arial" w:eastAsia="Arial" w:hAnsi="Arial" w:cs="Arial"/>
        <w:b/>
        <w:noProof/>
        <w:color w:val="000000"/>
        <w:sz w:val="20"/>
        <w:szCs w:val="20"/>
      </w:rPr>
      <w:t>25</w:t>
    </w:r>
    <w:r>
      <w:rPr>
        <w:rFonts w:ascii="Arial" w:eastAsia="Arial" w:hAnsi="Arial" w:cs="Arial"/>
        <w:b/>
        <w:color w:val="000000"/>
        <w:sz w:val="20"/>
        <w:szCs w:val="20"/>
      </w:rPr>
      <w:fldChar w:fldCharType="end"/>
    </w:r>
  </w:p>
  <w:p w:rsidR="00AA7510" w:rsidRDefault="00AA751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EB3" w:rsidRDefault="001D0EB3">
      <w:r>
        <w:separator/>
      </w:r>
    </w:p>
  </w:footnote>
  <w:footnote w:type="continuationSeparator" w:id="0">
    <w:p w:rsidR="001D0EB3" w:rsidRDefault="001D0EB3">
      <w:r>
        <w:continuationSeparator/>
      </w:r>
    </w:p>
  </w:footnote>
  <w:footnote w:id="1">
    <w:p w:rsidR="00AA7510" w:rsidRDefault="00E55BD0">
      <w:pPr>
        <w:pBdr>
          <w:top w:val="nil"/>
          <w:left w:val="nil"/>
          <w:bottom w:val="nil"/>
          <w:right w:val="nil"/>
          <w:between w:val="nil"/>
        </w:pBdr>
        <w:spacing w:line="198" w:lineRule="auto"/>
        <w:ind w:left="93"/>
        <w:rPr>
          <w:rFonts w:ascii="Palatino Linotype" w:eastAsia="Palatino Linotype" w:hAnsi="Palatino Linotype" w:cs="Palatino Linotype"/>
          <w:color w:val="000000"/>
          <w:sz w:val="16"/>
          <w:szCs w:val="16"/>
        </w:rPr>
      </w:pPr>
      <w:r>
        <w:rPr>
          <w:vertAlign w:val="superscript"/>
        </w:rPr>
        <w:footnoteRef/>
      </w:r>
      <w:r>
        <w:rPr>
          <w:color w:val="000000"/>
          <w:sz w:val="23"/>
          <w:szCs w:val="23"/>
        </w:rPr>
        <w:t xml:space="preserve"> </w:t>
      </w:r>
      <w:r>
        <w:rPr>
          <w:rFonts w:ascii="Palatino Linotype" w:eastAsia="Palatino Linotype" w:hAnsi="Palatino Linotype" w:cs="Palatino Linotype"/>
          <w:color w:val="000000"/>
          <w:sz w:val="16"/>
          <w:szCs w:val="16"/>
        </w:rPr>
        <w:t xml:space="preserve">VILLANUEVA </w:t>
      </w:r>
      <w:proofErr w:type="spellStart"/>
      <w:r>
        <w:rPr>
          <w:rFonts w:ascii="Palatino Linotype" w:eastAsia="Palatino Linotype" w:hAnsi="Palatino Linotype" w:cs="Palatino Linotype"/>
          <w:color w:val="000000"/>
          <w:sz w:val="16"/>
          <w:szCs w:val="16"/>
        </w:rPr>
        <w:t>VILLANUEVA</w:t>
      </w:r>
      <w:proofErr w:type="spellEnd"/>
      <w:r>
        <w:rPr>
          <w:rFonts w:ascii="Palatino Linotype" w:eastAsia="Palatino Linotype" w:hAnsi="Palatino Linotype" w:cs="Palatino Linotype"/>
          <w:color w:val="000000"/>
          <w:sz w:val="16"/>
          <w:szCs w:val="16"/>
        </w:rPr>
        <w:t xml:space="preserve"> Ernesto, Derecho de la Información, Ed, Porrúa S.A., México. 2006, pág.270.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510" w:rsidRDefault="00E55BD0">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simplePos x="0" y="0"/>
          <wp:positionH relativeFrom="column">
            <wp:posOffset>-723898</wp:posOffset>
          </wp:positionH>
          <wp:positionV relativeFrom="paragraph">
            <wp:posOffset>-314866</wp:posOffset>
          </wp:positionV>
          <wp:extent cx="7635163" cy="9944100"/>
          <wp:effectExtent l="0" t="0" r="0" b="0"/>
          <wp:wrapNone/>
          <wp:docPr id="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6"/>
      <w:tblW w:w="5385" w:type="dxa"/>
      <w:tblInd w:w="3261" w:type="dxa"/>
      <w:tblLayout w:type="fixed"/>
      <w:tblLook w:val="0400" w:firstRow="0" w:lastRow="0" w:firstColumn="0" w:lastColumn="0" w:noHBand="0" w:noVBand="1"/>
    </w:tblPr>
    <w:tblGrid>
      <w:gridCol w:w="2409"/>
      <w:gridCol w:w="2976"/>
    </w:tblGrid>
    <w:tr w:rsidR="00AA7510">
      <w:tc>
        <w:tcPr>
          <w:tcW w:w="2409" w:type="dxa"/>
          <w:vAlign w:val="center"/>
        </w:tcPr>
        <w:p w:rsidR="00AA7510" w:rsidRDefault="00E55BD0">
          <w:pPr>
            <w:ind w:right="-249"/>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rsidR="00AA7510" w:rsidRDefault="00E55BD0">
          <w:pPr>
            <w:ind w:firstLine="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01614/INFOEM/IP/RR/2022 y acumulado.</w:t>
          </w:r>
        </w:p>
      </w:tc>
    </w:tr>
    <w:tr w:rsidR="00AA7510">
      <w:trPr>
        <w:trHeight w:val="228"/>
      </w:trPr>
      <w:tc>
        <w:tcPr>
          <w:tcW w:w="2409" w:type="dxa"/>
          <w:vAlign w:val="center"/>
        </w:tcPr>
        <w:p w:rsidR="00AA7510" w:rsidRDefault="00E55BD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rsidR="00AA7510" w:rsidRDefault="00E55BD0">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Sistema Municipal Para el Desarrollo Integral de la Familia de Metepec.</w:t>
          </w:r>
        </w:p>
      </w:tc>
    </w:tr>
    <w:tr w:rsidR="00AA7510">
      <w:tc>
        <w:tcPr>
          <w:tcW w:w="2409" w:type="dxa"/>
          <w:vAlign w:val="center"/>
        </w:tcPr>
        <w:p w:rsidR="00AA7510" w:rsidRDefault="00E55BD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rsidR="00AA7510" w:rsidRDefault="00E55BD0">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AA7510" w:rsidRDefault="00E55BD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510" w:rsidRDefault="00E55BD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simplePos x="0" y="0"/>
          <wp:positionH relativeFrom="column">
            <wp:posOffset>-1080131</wp:posOffset>
          </wp:positionH>
          <wp:positionV relativeFrom="paragraph">
            <wp:posOffset>-438781</wp:posOffset>
          </wp:positionV>
          <wp:extent cx="7635600" cy="9943200"/>
          <wp:effectExtent l="0" t="0" r="0" b="0"/>
          <wp:wrapNone/>
          <wp:docPr id="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5"/>
      <w:tblW w:w="6097" w:type="dxa"/>
      <w:tblInd w:w="3119" w:type="dxa"/>
      <w:tblLayout w:type="fixed"/>
      <w:tblLook w:val="0400" w:firstRow="0" w:lastRow="0" w:firstColumn="0" w:lastColumn="0" w:noHBand="0" w:noVBand="1"/>
    </w:tblPr>
    <w:tblGrid>
      <w:gridCol w:w="2410"/>
      <w:gridCol w:w="3687"/>
    </w:tblGrid>
    <w:tr w:rsidR="00AA7510">
      <w:tc>
        <w:tcPr>
          <w:tcW w:w="2410" w:type="dxa"/>
          <w:vAlign w:val="center"/>
        </w:tcPr>
        <w:p w:rsidR="00AA7510" w:rsidRDefault="00E55BD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rsidR="00AA7510" w:rsidRDefault="00E55BD0">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01614/INFOEM/IP/RR/2022 y acumulado.</w:t>
          </w:r>
        </w:p>
      </w:tc>
    </w:tr>
    <w:tr w:rsidR="00AA7510">
      <w:tc>
        <w:tcPr>
          <w:tcW w:w="2410" w:type="dxa"/>
          <w:vAlign w:val="center"/>
        </w:tcPr>
        <w:p w:rsidR="00AA7510" w:rsidRDefault="00E55BD0">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rsidR="00AA7510" w:rsidRDefault="00AA7510">
          <w:pPr>
            <w:jc w:val="both"/>
            <w:rPr>
              <w:rFonts w:ascii="Palatino Linotype" w:eastAsia="Palatino Linotype" w:hAnsi="Palatino Linotype" w:cs="Palatino Linotype"/>
              <w:b/>
              <w:sz w:val="21"/>
              <w:szCs w:val="21"/>
            </w:rPr>
          </w:pPr>
        </w:p>
      </w:tc>
    </w:tr>
    <w:tr w:rsidR="00AA7510">
      <w:trPr>
        <w:trHeight w:val="228"/>
      </w:trPr>
      <w:tc>
        <w:tcPr>
          <w:tcW w:w="2410" w:type="dxa"/>
          <w:vAlign w:val="center"/>
        </w:tcPr>
        <w:p w:rsidR="00AA7510" w:rsidRDefault="00E55BD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rsidR="00AA7510" w:rsidRDefault="00E55BD0">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Sistema Municipal Para el Desarrollo Integral de la Familia de Metepec.</w:t>
          </w:r>
        </w:p>
      </w:tc>
    </w:tr>
    <w:tr w:rsidR="00AA7510">
      <w:tc>
        <w:tcPr>
          <w:tcW w:w="2410" w:type="dxa"/>
          <w:vAlign w:val="center"/>
        </w:tcPr>
        <w:p w:rsidR="00AA7510" w:rsidRDefault="00E55BD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rsidR="00AA7510" w:rsidRDefault="00E55BD0">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rsidR="00AA7510" w:rsidRDefault="00AA751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579" w:rsidRDefault="005A0579">
    <w:pPr>
      <w:pBdr>
        <w:top w:val="nil"/>
        <w:left w:val="nil"/>
        <w:bottom w:val="nil"/>
        <w:right w:val="nil"/>
        <w:between w:val="nil"/>
      </w:pBdr>
      <w:tabs>
        <w:tab w:val="center" w:pos="4252"/>
        <w:tab w:val="right" w:pos="8504"/>
      </w:tabs>
      <w:jc w:val="both"/>
      <w:rPr>
        <w:rFonts w:ascii="Calibri" w:eastAsia="Calibri" w:hAnsi="Calibri" w:cs="Calibri"/>
        <w:color w:val="000000"/>
      </w:rPr>
    </w:pPr>
  </w:p>
  <w:p w:rsidR="005A0579" w:rsidRDefault="005A057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2269FF"/>
    <w:multiLevelType w:val="multilevel"/>
    <w:tmpl w:val="6BB0B1D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9934282"/>
    <w:multiLevelType w:val="multilevel"/>
    <w:tmpl w:val="852C4D90"/>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7F0553A"/>
    <w:multiLevelType w:val="multilevel"/>
    <w:tmpl w:val="CEF0745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C1A202A"/>
    <w:multiLevelType w:val="multilevel"/>
    <w:tmpl w:val="47502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510"/>
    <w:rsid w:val="000E29FD"/>
    <w:rsid w:val="001A40A8"/>
    <w:rsid w:val="001D0EB3"/>
    <w:rsid w:val="002A3659"/>
    <w:rsid w:val="005A0579"/>
    <w:rsid w:val="009E6D1F"/>
    <w:rsid w:val="00AA7510"/>
    <w:rsid w:val="00E474AC"/>
    <w:rsid w:val="00E55B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ABDB02-5A57-4DC7-9562-D22188057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DC3"/>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B1DC3"/>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1DC3"/>
    <w:rPr>
      <w:rFonts w:eastAsiaTheme="minorEastAsia"/>
      <w:sz w:val="24"/>
      <w:szCs w:val="24"/>
      <w:lang w:val="es-ES_tradnl" w:eastAsia="es-ES"/>
    </w:rPr>
  </w:style>
  <w:style w:type="paragraph" w:styleId="Piedepgina">
    <w:name w:val="footer"/>
    <w:basedOn w:val="Normal"/>
    <w:link w:val="PiedepginaCar"/>
    <w:uiPriority w:val="99"/>
    <w:unhideWhenUsed/>
    <w:rsid w:val="000B1DC3"/>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1DC3"/>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1DC3"/>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1DC3"/>
    <w:pPr>
      <w:ind w:left="708"/>
    </w:pPr>
    <w:rPr>
      <w:sz w:val="22"/>
      <w:szCs w:val="22"/>
      <w:lang w:val="es-MX" w:eastAsia="en-US"/>
    </w:rPr>
  </w:style>
  <w:style w:type="character" w:customStyle="1" w:styleId="normaltextrun">
    <w:name w:val="normaltextrun"/>
    <w:basedOn w:val="Fuentedeprrafopredeter"/>
    <w:rsid w:val="000B1DC3"/>
  </w:style>
  <w:style w:type="character" w:customStyle="1" w:styleId="apple-converted-space">
    <w:name w:val="apple-converted-space"/>
    <w:basedOn w:val="Fuentedeprrafopredeter"/>
    <w:rsid w:val="000B1DC3"/>
  </w:style>
  <w:style w:type="paragraph" w:styleId="NormalWeb">
    <w:name w:val="Normal (Web)"/>
    <w:basedOn w:val="Normal"/>
    <w:uiPriority w:val="99"/>
    <w:unhideWhenUsed/>
    <w:rsid w:val="000B1DC3"/>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1DC3"/>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1DC3"/>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0B1DC3"/>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1"/>
    <w:qFormat/>
    <w:rsid w:val="00B54B5E"/>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B54B5E"/>
    <w:rPr>
      <w:rFonts w:eastAsiaTheme="minorHAnsi"/>
      <w:sz w:val="23"/>
      <w:szCs w:val="23"/>
      <w:lang w:val="es-MX" w:eastAsia="en-US"/>
    </w:r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YZmQP4IQ9iRwth9IIUY6II+Ljg==">AMUW2mU/LFJpA68Y8aKZlbnoWwbCB+Xmn8yBrg8pPxkc9uuQ5JCDK75SyRW9u/LCLuQjUkNU4NR0bUX6uh9xX/AMSLJp7Jzgiquw21ICNs8qYbRwUO190nM0nGJFlgw73rrro8LjR+GoBSUXgBjErptyzdQcRNZxsul0mu7+M3PfyhZVxngF5dY=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5787</Words>
  <Characters>31830</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Jhancarlo</cp:lastModifiedBy>
  <cp:revision>5</cp:revision>
  <dcterms:created xsi:type="dcterms:W3CDTF">2022-04-21T18:29:00Z</dcterms:created>
  <dcterms:modified xsi:type="dcterms:W3CDTF">2022-04-29T15:40:00Z</dcterms:modified>
</cp:coreProperties>
</file>