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DE7D2C" w14:textId="77777777" w:rsidR="00C64823" w:rsidRDefault="00C64823">
      <w:pPr>
        <w:widowControl w:val="0"/>
        <w:pBdr>
          <w:top w:val="nil"/>
          <w:left w:val="nil"/>
          <w:bottom w:val="nil"/>
          <w:right w:val="nil"/>
          <w:between w:val="nil"/>
        </w:pBdr>
        <w:spacing w:line="276" w:lineRule="auto"/>
      </w:pPr>
      <w:bookmarkStart w:id="0" w:name="_heading=h.30j0zll" w:colFirst="0" w:colLast="0"/>
      <w:bookmarkEnd w:id="0"/>
    </w:p>
    <w:p w14:paraId="4274B163" w14:textId="77777777" w:rsidR="00C64823" w:rsidRDefault="004C1404">
      <w:pPr>
        <w:spacing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primero de junio de dos mil veintidós.</w:t>
      </w:r>
    </w:p>
    <w:p w14:paraId="11C609D8" w14:textId="77777777" w:rsidR="00C64823" w:rsidRDefault="004C1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04272/INFOEM/IP/RR/2022</w:t>
      </w:r>
      <w:r>
        <w:rPr>
          <w:rFonts w:ascii="Palatino Linotype" w:eastAsia="Palatino Linotype" w:hAnsi="Palatino Linotype" w:cs="Palatino Linotype"/>
        </w:rPr>
        <w:t xml:space="preserve">, promovido por un particular de manera anónima a quien en lo sucesivo se le denominará </w:t>
      </w:r>
      <w:r>
        <w:rPr>
          <w:rFonts w:ascii="Palatino Linotype" w:eastAsia="Palatino Linotype" w:hAnsi="Palatino Linotype" w:cs="Palatino Linotype"/>
          <w:b/>
        </w:rPr>
        <w:t>EL RECURRENTE</w:t>
      </w:r>
      <w:r>
        <w:rPr>
          <w:rFonts w:ascii="Palatino Linotype" w:eastAsia="Palatino Linotype" w:hAnsi="Palatino Linotype" w:cs="Palatino Linotype"/>
        </w:rPr>
        <w:t>, en contra de la falta respuesta del</w:t>
      </w:r>
      <w:r>
        <w:rPr>
          <w:rFonts w:ascii="Palatino Linotype" w:eastAsia="Palatino Linotype" w:hAnsi="Palatino Linotype" w:cs="Palatino Linotype"/>
          <w:b/>
        </w:rPr>
        <w:t xml:space="preserve"> Ayuntamiento de Capulhuac, </w:t>
      </w:r>
      <w:r>
        <w:rPr>
          <w:rFonts w:ascii="Palatino Linotype" w:eastAsia="Palatino Linotype" w:hAnsi="Palatino Linotype" w:cs="Palatino Linotype"/>
        </w:rPr>
        <w:t xml:space="preserve">a quien en lo sucesivo se le denominará </w:t>
      </w:r>
      <w:r>
        <w:rPr>
          <w:rFonts w:ascii="Palatino Linotype" w:eastAsia="Palatino Linotype" w:hAnsi="Palatino Linotype" w:cs="Palatino Linotype"/>
          <w:b/>
        </w:rPr>
        <w:t>EL SUJETO OBLIGADO</w:t>
      </w:r>
      <w:r>
        <w:rPr>
          <w:rFonts w:ascii="Palatino Linotype" w:eastAsia="Palatino Linotype" w:hAnsi="Palatino Linotype" w:cs="Palatino Linotype"/>
        </w:rPr>
        <w:t>, se procede a dictar la presente resolución con base en lo siguiente:</w:t>
      </w:r>
    </w:p>
    <w:p w14:paraId="75746601" w14:textId="77777777" w:rsidR="00C64823" w:rsidRDefault="004C1404">
      <w:pPr>
        <w:spacing w:before="280" w:after="28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ANTECEDENTES:</w:t>
      </w:r>
    </w:p>
    <w:p w14:paraId="0D7A1998" w14:textId="77777777" w:rsidR="00C64823" w:rsidRDefault="004C1404">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I.</w:t>
      </w:r>
      <w:r>
        <w:rPr>
          <w:rFonts w:ascii="Palatino Linotype" w:eastAsia="Palatino Linotype" w:hAnsi="Palatino Linotype" w:cs="Palatino Linotype"/>
          <w:color w:val="000000"/>
          <w:sz w:val="28"/>
          <w:szCs w:val="28"/>
        </w:rPr>
        <w:t xml:space="preserve"> </w:t>
      </w:r>
      <w:r>
        <w:rPr>
          <w:rFonts w:ascii="Palatino Linotype" w:eastAsia="Palatino Linotype" w:hAnsi="Palatino Linotype" w:cs="Palatino Linotype"/>
          <w:b/>
          <w:color w:val="000000"/>
          <w:sz w:val="28"/>
          <w:szCs w:val="28"/>
        </w:rPr>
        <w:t>De la Solicitud de Información:</w:t>
      </w:r>
    </w:p>
    <w:p w14:paraId="20349EFB" w14:textId="77777777" w:rsidR="00C64823" w:rsidRDefault="004C1404">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En fecha tres de marzo de dos mil veintidós,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 xml:space="preserve">presentó a través del Sistema de Acceso a la Información Mexiquense, que en lo subsecuente se denominará </w:t>
      </w:r>
      <w:r>
        <w:rPr>
          <w:rFonts w:ascii="Palatino Linotype" w:eastAsia="Palatino Linotype" w:hAnsi="Palatino Linotype" w:cs="Palatino Linotype"/>
          <w:b/>
          <w:color w:val="000000"/>
        </w:rPr>
        <w:t>EL SAIMEX,</w:t>
      </w:r>
      <w:r>
        <w:rPr>
          <w:rFonts w:ascii="Palatino Linotype" w:eastAsia="Palatino Linotype" w:hAnsi="Palatino Linotype" w:cs="Palatino Linotype"/>
          <w:color w:val="000000"/>
        </w:rPr>
        <w:t xml:space="preserve"> ante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la solicitud de acceso a la Información Pública a la que se le asignó el número </w:t>
      </w:r>
      <w:r>
        <w:rPr>
          <w:rFonts w:ascii="Palatino Linotype" w:eastAsia="Palatino Linotype" w:hAnsi="Palatino Linotype" w:cs="Palatino Linotype"/>
          <w:b/>
          <w:color w:val="000000"/>
        </w:rPr>
        <w:t>00044/CAPULHUA/IP/2022,</w:t>
      </w:r>
      <w:r>
        <w:rPr>
          <w:rFonts w:ascii="Palatino Linotype" w:eastAsia="Palatino Linotype" w:hAnsi="Palatino Linotype" w:cs="Palatino Linotype"/>
          <w:color w:val="000000"/>
        </w:rPr>
        <w:t xml:space="preserve"> mediante la cual requirió, lo siguiente:</w:t>
      </w:r>
    </w:p>
    <w:p w14:paraId="1DC3D6F5"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“Solicito amablemente y en su calidad de sujeto obligado, la versión pública la NOMINA de las primeras tres quincenas de la administración municipal de Capulhuac, incluyendo a todas y todos los trabajadores del ayuntamiento desde niveles operativos hasta ejecutivos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(Sic)</w:t>
      </w:r>
    </w:p>
    <w:p w14:paraId="7D1A2B53" w14:textId="77777777" w:rsidR="00C64823" w:rsidRDefault="004C1404">
      <w:pPr>
        <w:spacing w:before="280" w:after="280"/>
        <w:ind w:right="709"/>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p>
    <w:p w14:paraId="6FFD0370" w14:textId="77777777" w:rsidR="00C64823" w:rsidRDefault="00C64823">
      <w:pPr>
        <w:spacing w:before="280" w:after="280"/>
        <w:ind w:right="709"/>
        <w:jc w:val="both"/>
        <w:rPr>
          <w:rFonts w:ascii="Palatino Linotype" w:eastAsia="Palatino Linotype" w:hAnsi="Palatino Linotype" w:cs="Palatino Linotype"/>
          <w:b/>
        </w:rPr>
      </w:pPr>
    </w:p>
    <w:p w14:paraId="5879DC4B" w14:textId="77777777" w:rsidR="00C64823" w:rsidRDefault="004C1404">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II. Solicitud de Aclaración </w:t>
      </w:r>
    </w:p>
    <w:p w14:paraId="560505C8" w14:textId="77777777" w:rsidR="00C64823" w:rsidRDefault="004C1404">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constancias que obran en el expediente electrónico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se advierte que el Titular de la Unidad de Transparencia en fecha 08 de marzo señaló lo siguiente: </w:t>
      </w:r>
    </w:p>
    <w:p w14:paraId="19BBB003" w14:textId="77777777" w:rsidR="00C64823" w:rsidRDefault="004C1404">
      <w:pPr>
        <w:widowControl w:val="0"/>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Capulhuac, México a 08 de Marzo de 2022</w:t>
      </w:r>
    </w:p>
    <w:p w14:paraId="505C1B36" w14:textId="77777777" w:rsidR="00C64823" w:rsidRDefault="004C1404">
      <w:pPr>
        <w:widowControl w:val="0"/>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Nombre del solicitante: C. Solicitante</w:t>
      </w:r>
    </w:p>
    <w:p w14:paraId="788CC254" w14:textId="77777777" w:rsidR="00C64823" w:rsidRDefault="004C1404">
      <w:pPr>
        <w:widowControl w:val="0"/>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Folio de la solicitud: 00044/CAPULHUA/IP/2022</w:t>
      </w:r>
    </w:p>
    <w:p w14:paraId="4B07F6F1" w14:textId="77777777" w:rsidR="00C64823" w:rsidRDefault="004C1404">
      <w:pPr>
        <w:widowControl w:val="0"/>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 xml:space="preserve">Con fundamento en el </w:t>
      </w:r>
      <w:proofErr w:type="spellStart"/>
      <w:r>
        <w:rPr>
          <w:rFonts w:ascii="Palatino Linotype" w:eastAsia="Palatino Linotype" w:hAnsi="Palatino Linotype" w:cs="Palatino Linotype"/>
          <w:i/>
        </w:rPr>
        <w:t>articulo</w:t>
      </w:r>
      <w:proofErr w:type="spellEnd"/>
      <w:r>
        <w:rPr>
          <w:rFonts w:ascii="Palatino Linotype" w:eastAsia="Palatino Linotype" w:hAnsi="Palatino Linotype" w:cs="Palatino Linotype"/>
          <w:i/>
        </w:rPr>
        <w:t xml:space="preserve"> 159 de la Ley de Transparencia y Acceso a la Información Pública del Estado de México y Municipios, se le requiere para que dentro del plazo de diez días hábiles realice lo siguiente:</w:t>
      </w:r>
    </w:p>
    <w:p w14:paraId="0B996115" w14:textId="77777777" w:rsidR="00C64823" w:rsidRDefault="004C1404">
      <w:pPr>
        <w:widowControl w:val="0"/>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 xml:space="preserve">se anexa </w:t>
      </w:r>
      <w:proofErr w:type="spellStart"/>
      <w:r>
        <w:rPr>
          <w:rFonts w:ascii="Palatino Linotype" w:eastAsia="Palatino Linotype" w:hAnsi="Palatino Linotype" w:cs="Palatino Linotype"/>
          <w:i/>
        </w:rPr>
        <w:t>informacion</w:t>
      </w:r>
      <w:proofErr w:type="spellEnd"/>
    </w:p>
    <w:p w14:paraId="162E1AD4" w14:textId="77777777" w:rsidR="00C64823" w:rsidRDefault="004C1404">
      <w:pPr>
        <w:widowControl w:val="0"/>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1C7F356" w14:textId="77777777" w:rsidR="00C64823" w:rsidRDefault="004C1404">
      <w:pPr>
        <w:widowControl w:val="0"/>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6ECEE62F" w14:textId="77777777" w:rsidR="00C64823" w:rsidRDefault="004C1404">
      <w:pPr>
        <w:widowControl w:val="0"/>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P.D. IGNACIO BENITEZ BOBADILLA</w:t>
      </w:r>
    </w:p>
    <w:p w14:paraId="12617EE8" w14:textId="77777777" w:rsidR="00C64823" w:rsidRDefault="004C1404">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remitió en archivo adjunto el oficio número MCAP/TM0176/2022 del Tesorero Municipal mediante indicó que con fundamento en el artículo 159 de la Ley de Transparencia y Acceso a la Información Pública del Estado de México y Municipios, no podía ser atendida la solicitud del particular.</w:t>
      </w:r>
    </w:p>
    <w:p w14:paraId="414E4EFE" w14:textId="77777777" w:rsidR="00C64823" w:rsidRDefault="004C1404">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lastRenderedPageBreak/>
        <w:t xml:space="preserve">III. No atendió la Aclaración </w:t>
      </w:r>
    </w:p>
    <w:p w14:paraId="74392F67" w14:textId="77777777" w:rsidR="00C64823" w:rsidRDefault="004C1404">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Del expediente electrónico conformado en 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del Recurso de Revisión materia del presente estudio, se advierte que en fecha diez de marzo de dos mil veintidós,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tuvo por no atendida la solicitud de aclaración realizada al particular, en los términos referidos en el antecedente anterior.</w:t>
      </w:r>
    </w:p>
    <w:p w14:paraId="50DC670C" w14:textId="77777777" w:rsidR="00C64823" w:rsidRDefault="004C1404">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sz w:val="28"/>
          <w:szCs w:val="28"/>
        </w:rPr>
      </w:pPr>
      <w:r>
        <w:rPr>
          <w:rFonts w:ascii="Palatino Linotype" w:eastAsia="Palatino Linotype" w:hAnsi="Palatino Linotype" w:cs="Palatino Linotype"/>
          <w:b/>
          <w:color w:val="000000"/>
          <w:sz w:val="28"/>
          <w:szCs w:val="28"/>
        </w:rPr>
        <w:t>IV.</w:t>
      </w:r>
      <w:r>
        <w:rPr>
          <w:rFonts w:ascii="Palatino Linotype" w:eastAsia="Palatino Linotype" w:hAnsi="Palatino Linotype" w:cs="Palatino Linotype"/>
          <w:color w:val="000000"/>
          <w:sz w:val="28"/>
          <w:szCs w:val="28"/>
        </w:rPr>
        <w:t xml:space="preserve"> </w:t>
      </w:r>
      <w:r>
        <w:rPr>
          <w:rFonts w:ascii="Palatino Linotype" w:eastAsia="Palatino Linotype" w:hAnsi="Palatino Linotype" w:cs="Palatino Linotype"/>
          <w:b/>
          <w:color w:val="000000"/>
          <w:sz w:val="28"/>
          <w:szCs w:val="28"/>
        </w:rPr>
        <w:t xml:space="preserve">Respuesta.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omitió responder a la solicitud de información.</w:t>
      </w:r>
      <w:r>
        <w:rPr>
          <w:rFonts w:ascii="Palatino Linotype" w:eastAsia="Palatino Linotype" w:hAnsi="Palatino Linotype" w:cs="Palatino Linotype"/>
          <w:color w:val="000000"/>
          <w:sz w:val="28"/>
          <w:szCs w:val="28"/>
        </w:rPr>
        <w:t xml:space="preserve"> </w:t>
      </w:r>
    </w:p>
    <w:p w14:paraId="326A0F1A" w14:textId="77777777" w:rsidR="00C64823" w:rsidRDefault="004C1404">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V.</w:t>
      </w:r>
      <w:r>
        <w:rPr>
          <w:rFonts w:ascii="Palatino Linotype" w:eastAsia="Palatino Linotype" w:hAnsi="Palatino Linotype" w:cs="Palatino Linotype"/>
          <w:color w:val="000000"/>
          <w:sz w:val="28"/>
          <w:szCs w:val="28"/>
        </w:rPr>
        <w:t xml:space="preserve"> </w:t>
      </w:r>
      <w:r>
        <w:rPr>
          <w:rFonts w:ascii="Palatino Linotype" w:eastAsia="Palatino Linotype" w:hAnsi="Palatino Linotype" w:cs="Palatino Linotype"/>
          <w:b/>
          <w:color w:val="000000"/>
          <w:sz w:val="28"/>
          <w:szCs w:val="28"/>
        </w:rPr>
        <w:t>Del Recurso de Revisión.</w:t>
      </w:r>
    </w:p>
    <w:p w14:paraId="29D226D2" w14:textId="77777777" w:rsidR="00C64823" w:rsidRDefault="004C1404">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fecha veintidós de marzo de dos mil veintidós, el particular presentó ante este Instituto el Recurso de Revisión materia del presente estudio, a través del</w:t>
      </w:r>
      <w:r>
        <w:rPr>
          <w:rFonts w:ascii="Palatino Linotype" w:eastAsia="Palatino Linotype" w:hAnsi="Palatino Linotype" w:cs="Palatino Linotype"/>
          <w:b/>
          <w:color w:val="000000"/>
        </w:rPr>
        <w:t xml:space="preserve"> SAIMEX, </w:t>
      </w:r>
      <w:r>
        <w:rPr>
          <w:rFonts w:ascii="Palatino Linotype" w:eastAsia="Palatino Linotype" w:hAnsi="Palatino Linotype" w:cs="Palatino Linotype"/>
          <w:color w:val="000000"/>
        </w:rPr>
        <w:t xml:space="preserve">al que se le asignó el número al rubro citado, en contra de la respuesta otorgada por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 xml:space="preserve">y en el cual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 xml:space="preserve">señaló las siguientes manifestaciones: </w:t>
      </w:r>
    </w:p>
    <w:p w14:paraId="7E281FFA" w14:textId="77777777" w:rsidR="00C64823" w:rsidRDefault="004C1404">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Acto Impugnado: </w:t>
      </w:r>
    </w:p>
    <w:p w14:paraId="645FA3EB" w14:textId="77777777" w:rsidR="00C64823" w:rsidRDefault="004C1404">
      <w:pPr>
        <w:tabs>
          <w:tab w:val="left" w:pos="7936"/>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“Respuesta a la Solicitud de Transparencia: 00044/CAPULHUAC/IP/2022.” (Sic)</w:t>
      </w:r>
    </w:p>
    <w:p w14:paraId="44205001" w14:textId="77777777" w:rsidR="00C64823" w:rsidRDefault="004C1404">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Razones o motivos de Inconformidad:</w:t>
      </w:r>
    </w:p>
    <w:p w14:paraId="26AA03D7" w14:textId="77777777" w:rsidR="00C64823" w:rsidRDefault="004C1404">
      <w:pPr>
        <w:tabs>
          <w:tab w:val="left" w:pos="7936"/>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“Recurso de Revisión a solicitud: 00044/CAPULHUA/IP/2022 Con fundamento en la Ley de Transparencia y Acceso a la información Pública del Estado de México y Municipios, invocando los artículos 2, fracción II. Proveer lo necesario para garantizar a toda persona el derecho de acceso a la información pública, a </w:t>
      </w:r>
      <w:r>
        <w:rPr>
          <w:rFonts w:ascii="Palatino Linotype" w:eastAsia="Palatino Linotype" w:hAnsi="Palatino Linotype" w:cs="Palatino Linotype"/>
          <w:i/>
          <w:sz w:val="22"/>
          <w:szCs w:val="22"/>
        </w:rPr>
        <w:lastRenderedPageBreak/>
        <w:t xml:space="preserve">través de procedimientos sencillos, expeditos, oportunos y gratuitos, determinando las bases mínimas sobre las cuales se regirán los mismos; así como el Artículo 3. Para los efectos de la presente Ley se entenderá por: fracción XLI.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 y la fracción XLV. Versión pública: Documento en el que se elimine, suprime o borra la información clasificada como reservada o confidencial para permitir su acceso. El día 3 de marzo del 2022 hice la siguiente solicitud: “Solicito amablemente y en su calidad de sujeto obligado, la versión pública de la NOMINA de las tres primeras quincenas de la administración municipal de Capulhuac, incluyendo a todas y todos los trabajadores del ayuntamiento desde niveles operativos hasta ejecutivos. El día 8 de marzo del 2022 esta fue la respuesta que da el C.P. Carlos Rangel Gómez, en calidad de Tesorero Municipal al responsable de la Unidad de Transparencia del Ayuntamiento de Capulhuac, es la siguiente: “Sobre el particular, y en cumplimiento a lo establecido por los artículos 3 fracción XXIX, 23 fracción l, 24 fracción XI, y 160 de la Ley de Transparencia y Acceso a la información Pública del Estado de México y Municipios, me permito hacer de su conocimiento que no es posible atender de acuerdo </w:t>
      </w:r>
      <w:proofErr w:type="spellStart"/>
      <w:r>
        <w:rPr>
          <w:rFonts w:ascii="Palatino Linotype" w:eastAsia="Palatino Linotype" w:hAnsi="Palatino Linotype" w:cs="Palatino Linotype"/>
          <w:i/>
          <w:sz w:val="22"/>
          <w:szCs w:val="22"/>
        </w:rPr>
        <w:t>Io</w:t>
      </w:r>
      <w:proofErr w:type="spellEnd"/>
      <w:r>
        <w:rPr>
          <w:rFonts w:ascii="Palatino Linotype" w:eastAsia="Palatino Linotype" w:hAnsi="Palatino Linotype" w:cs="Palatino Linotype"/>
          <w:i/>
          <w:sz w:val="22"/>
          <w:szCs w:val="22"/>
        </w:rPr>
        <w:t xml:space="preserve"> establecido en el artículo 159 Ley de Transparencia y Acceso a la información Pública del Estado de México y Municipios.” El día 10 de marzo el responsable de la UT del Ayuntamiento de Capulhuac, extrañamente y sin sentido a la petición manifiesta lo siguiente: Folio de la solicitud: 00044/CAPULHUA/IP/2022 Con fundamento en el </w:t>
      </w:r>
      <w:proofErr w:type="spellStart"/>
      <w:r>
        <w:rPr>
          <w:rFonts w:ascii="Palatino Linotype" w:eastAsia="Palatino Linotype" w:hAnsi="Palatino Linotype" w:cs="Palatino Linotype"/>
          <w:i/>
          <w:sz w:val="22"/>
          <w:szCs w:val="22"/>
        </w:rPr>
        <w:t>articulo</w:t>
      </w:r>
      <w:proofErr w:type="spellEnd"/>
      <w:r>
        <w:rPr>
          <w:rFonts w:ascii="Palatino Linotype" w:eastAsia="Palatino Linotype" w:hAnsi="Palatino Linotype" w:cs="Palatino Linotype"/>
          <w:i/>
          <w:sz w:val="22"/>
          <w:szCs w:val="22"/>
        </w:rPr>
        <w:t xml:space="preserve"> 159, tercer párrafo de la Ley de Transparencia y Acceso a la Información Pública del Estado de México y Municipios, se le hace de su conocimiento que se tiene por no presentada la solicitud de aclaración citada al rubro, en virtud de que no presenta </w:t>
      </w:r>
      <w:proofErr w:type="spellStart"/>
      <w:r>
        <w:rPr>
          <w:rFonts w:ascii="Palatino Linotype" w:eastAsia="Palatino Linotype" w:hAnsi="Palatino Linotype" w:cs="Palatino Linotype"/>
          <w:i/>
          <w:sz w:val="22"/>
          <w:szCs w:val="22"/>
        </w:rPr>
        <w:t>aclaracion</w:t>
      </w:r>
      <w:proofErr w:type="spellEnd"/>
      <w:r>
        <w:rPr>
          <w:rFonts w:ascii="Palatino Linotype" w:eastAsia="Palatino Linotype" w:hAnsi="Palatino Linotype" w:cs="Palatino Linotype"/>
          <w:i/>
          <w:sz w:val="22"/>
          <w:szCs w:val="22"/>
        </w:rPr>
        <w:t xml:space="preserve"> 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 Respuesta por demás insulsa a la inteligencia y legalidad, por demás pretensiosa al tomarse atribuciones sin fundamento para dar por concluida la solicitud, lo cual resulta opaco y contrario al artículo 6to. Constitucional, Fracción I. Toda la información en posesión de cualquier </w:t>
      </w:r>
      <w:r>
        <w:rPr>
          <w:rFonts w:ascii="Palatino Linotype" w:eastAsia="Palatino Linotype" w:hAnsi="Palatino Linotype" w:cs="Palatino Linotype"/>
          <w:i/>
          <w:sz w:val="22"/>
          <w:szCs w:val="22"/>
        </w:rPr>
        <w:lastRenderedPageBreak/>
        <w:t>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En tal sentido y atendiendo los derechos ciudadanos que salvaguardan la información, tengo por presentado el Recurso de Revisión a la solicitud 00044/CAPULHUA/IP/2022.” (Sic)</w:t>
      </w:r>
    </w:p>
    <w:p w14:paraId="636221E6" w14:textId="77777777" w:rsidR="00C64823" w:rsidRDefault="004C1404">
      <w:pPr>
        <w:widowControl w:val="0"/>
        <w:pBdr>
          <w:top w:val="nil"/>
          <w:left w:val="nil"/>
          <w:bottom w:val="nil"/>
          <w:right w:val="nil"/>
          <w:between w:val="nil"/>
        </w:pBdr>
        <w:tabs>
          <w:tab w:val="left" w:pos="0"/>
        </w:tabs>
        <w:spacing w:before="280" w:after="280" w:line="360" w:lineRule="auto"/>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VI. Del turno del Recurso de Revisión.</w:t>
      </w:r>
    </w:p>
    <w:p w14:paraId="46BB69BE" w14:textId="77777777" w:rsidR="00C64823" w:rsidRDefault="004C1404">
      <w:pPr>
        <w:widowControl w:val="0"/>
        <w:pBdr>
          <w:top w:val="nil"/>
          <w:left w:val="nil"/>
          <w:bottom w:val="nil"/>
          <w:right w:val="nil"/>
          <w:between w:val="nil"/>
        </w:pBdr>
        <w:tabs>
          <w:tab w:val="left" w:pos="0"/>
        </w:tabs>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fecha veintidós de marzo de dos mil veintidós, el Recurso de que se trata se envió electrónicamente al Instituto; por lo que, con fundamento en el artículo 185, fracción I de la Ley de Transparencia y Acceso a la Información Pública del Estado de México y Municipios, se turnó,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a la </w:t>
      </w:r>
      <w:r>
        <w:rPr>
          <w:rFonts w:ascii="Palatino Linotype" w:eastAsia="Palatino Linotype" w:hAnsi="Palatino Linotype" w:cs="Palatino Linotype"/>
          <w:b/>
          <w:color w:val="000000"/>
        </w:rPr>
        <w:t xml:space="preserve">Comisionada Sharon Cristina Morales Martínez, </w:t>
      </w:r>
      <w:r>
        <w:rPr>
          <w:rFonts w:ascii="Palatino Linotype" w:eastAsia="Palatino Linotype" w:hAnsi="Palatino Linotype" w:cs="Palatino Linotype"/>
          <w:color w:val="000000"/>
        </w:rPr>
        <w:t xml:space="preserve">a efecto de que decretara su admisión o </w:t>
      </w:r>
      <w:proofErr w:type="spellStart"/>
      <w:r>
        <w:rPr>
          <w:rFonts w:ascii="Palatino Linotype" w:eastAsia="Palatino Linotype" w:hAnsi="Palatino Linotype" w:cs="Palatino Linotype"/>
          <w:color w:val="000000"/>
        </w:rPr>
        <w:t>desechamiento</w:t>
      </w:r>
      <w:proofErr w:type="spellEnd"/>
      <w:r>
        <w:rPr>
          <w:rFonts w:ascii="Palatino Linotype" w:eastAsia="Palatino Linotype" w:hAnsi="Palatino Linotype" w:cs="Palatino Linotype"/>
          <w:color w:val="000000"/>
        </w:rPr>
        <w:t>.</w:t>
      </w:r>
    </w:p>
    <w:p w14:paraId="1ED47B29" w14:textId="77777777" w:rsidR="00C64823" w:rsidRDefault="004C1404">
      <w:pPr>
        <w:widowControl w:val="0"/>
        <w:tabs>
          <w:tab w:val="left" w:pos="0"/>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 Admisión del Recurso de Revisión.</w:t>
      </w:r>
    </w:p>
    <w:p w14:paraId="5885A544" w14:textId="77777777" w:rsidR="00C64823" w:rsidRDefault="004C1404">
      <w:pPr>
        <w:widowControl w:val="0"/>
        <w:tabs>
          <w:tab w:val="left" w:pos="0"/>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fecha veinticuatro de marzo de dos mil veintidós, en atención a lo dispuesto en el artículo 185, fracciones I, II y IV, de la Ley de Transparencia y Acceso a la Información Pública del Estado de México y Municipios, se notificó a las partes el Acuerdo de admisión a trámite del referido Recurso de Revisión; así como, la integración del expediente respectivo, mismo que se puso a su disposición, para que en el plazo máximo de siete días hábiles,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realizara manifestaciones, alegatos y ofreciera las pruebas que a su derecho conviniera y, en </w:t>
      </w:r>
      <w:r>
        <w:rPr>
          <w:rFonts w:ascii="Palatino Linotype" w:eastAsia="Palatino Linotype" w:hAnsi="Palatino Linotype" w:cs="Palatino Linotype"/>
        </w:rPr>
        <w:lastRenderedPageBreak/>
        <w:t>el caso del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para que exhibiera el Informe Justificado correspondiente.</w:t>
      </w:r>
    </w:p>
    <w:p w14:paraId="1A220596" w14:textId="77777777" w:rsidR="00C64823" w:rsidRDefault="004C1404">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b) Manifestaciones.</w:t>
      </w:r>
    </w:p>
    <w:p w14:paraId="263D03D7" w14:textId="77777777" w:rsidR="00C64823" w:rsidRDefault="004C140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las constancias que obran en 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se desprende que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 xml:space="preserve">en fecha primero de abril rindió el informe justificado correspondiente adjuntando en el apartado de manifestaciones el oficio número MCAP/TM/223/2022 firmado por el Tesorero Municipal mediante el cual indicó que la solicitud de información carece de datos que ayuden a proporcionar la información solicitada; motivo por el cual invita al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a que se pronuncie sobre datos exactos respecto del periodo del cual requiere la información.</w:t>
      </w:r>
    </w:p>
    <w:p w14:paraId="0DC9195D" w14:textId="77777777" w:rsidR="00C64823" w:rsidRDefault="004C140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no presentó pruebas ni realizó manifestación alguna en relación al Recurso de Revisión sirve de sustento a lo anterior, la captura de pantalla siguiente:</w:t>
      </w:r>
    </w:p>
    <w:p w14:paraId="76DEB87C" w14:textId="77777777" w:rsidR="00C64823" w:rsidRDefault="004C1404">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Pr>
          <w:noProof/>
          <w:color w:val="000000"/>
          <w:lang w:eastAsia="es-MX"/>
        </w:rPr>
        <w:drawing>
          <wp:inline distT="0" distB="0" distL="0" distR="0" wp14:anchorId="673B8506" wp14:editId="716B1822">
            <wp:extent cx="5241682" cy="1347280"/>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13122" t="30388" r="14913" b="43851"/>
                    <a:stretch>
                      <a:fillRect/>
                    </a:stretch>
                  </pic:blipFill>
                  <pic:spPr>
                    <a:xfrm>
                      <a:off x="0" y="0"/>
                      <a:ext cx="5241682" cy="1347280"/>
                    </a:xfrm>
                    <a:prstGeom prst="rect">
                      <a:avLst/>
                    </a:prstGeom>
                    <a:ln/>
                  </pic:spPr>
                </pic:pic>
              </a:graphicData>
            </a:graphic>
          </wp:inline>
        </w:drawing>
      </w:r>
    </w:p>
    <w:p w14:paraId="2C8CEE3A" w14:textId="77777777" w:rsidR="00C64823" w:rsidRDefault="004C1404">
      <w:pPr>
        <w:spacing w:before="280"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c) Acuerdo de ampliación.</w:t>
      </w:r>
    </w:p>
    <w:p w14:paraId="359BFD63" w14:textId="77777777" w:rsidR="00C64823" w:rsidRDefault="004C1404">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rPr>
        <w:t xml:space="preserve">diecisiete </w:t>
      </w:r>
      <w:r>
        <w:rPr>
          <w:rFonts w:ascii="Palatino Linotype" w:eastAsia="Palatino Linotype" w:hAnsi="Palatino Linotype" w:cs="Palatino Linotype"/>
          <w:color w:val="000000"/>
        </w:rPr>
        <w:t xml:space="preserve">de mayo de dos mil veintidós, se notificó a las partes el Acuerdo de ampliación del plazo para resolver el Recurso de Revisión en estudio, por un periodo </w:t>
      </w:r>
      <w:r>
        <w:rPr>
          <w:rFonts w:ascii="Palatino Linotype" w:eastAsia="Palatino Linotype" w:hAnsi="Palatino Linotype" w:cs="Palatino Linotype"/>
          <w:color w:val="000000"/>
        </w:rPr>
        <w:lastRenderedPageBreak/>
        <w:t>de hasta quince días hábiles, de conformidad con el artículo 181, tercer párrafo de la Ley de Transparencia y Acceso a la Información Pública del Estado de México y Municipios.</w:t>
      </w:r>
    </w:p>
    <w:p w14:paraId="3C54A265" w14:textId="77777777" w:rsidR="00C64823" w:rsidRDefault="004C1404">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 Cierre de Instrucción.</w:t>
      </w:r>
    </w:p>
    <w:p w14:paraId="15E6D7F5" w14:textId="77777777" w:rsidR="00C64823" w:rsidRDefault="004C1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w:t>
      </w:r>
      <w:r>
        <w:rPr>
          <w:rFonts w:ascii="Palatino Linotype" w:eastAsia="Palatino Linotype" w:hAnsi="Palatino Linotype" w:cs="Palatino Linotype"/>
          <w:color w:val="000000"/>
        </w:rPr>
        <w:t>analizado</w:t>
      </w:r>
      <w:r>
        <w:rPr>
          <w:rFonts w:ascii="Palatino Linotype" w:eastAsia="Palatino Linotype" w:hAnsi="Palatino Linotype" w:cs="Palatino Linotype"/>
        </w:rPr>
        <w:t xml:space="preserve"> el estado procesal que guarda el expediente, el diecisiete de mayo de dos mil veintidós, se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53F78E9F" w14:textId="77777777" w:rsidR="00C64823" w:rsidRDefault="004C1404">
      <w:pPr>
        <w:spacing w:before="280"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e) </w:t>
      </w:r>
      <w:proofErr w:type="spellStart"/>
      <w:r>
        <w:rPr>
          <w:rFonts w:ascii="Palatino Linotype" w:eastAsia="Palatino Linotype" w:hAnsi="Palatino Linotype" w:cs="Palatino Linotype"/>
          <w:b/>
        </w:rPr>
        <w:t>Returno</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la Décima Octava Sesión Ordinaria celebrada el dieciocho de mayo de dos mil veintidós, el Pleno del Instituto de Transparencia, Acceso a la Información Pública y Protección de Datos Personales del Estado de México y Municipios aprobó el </w:t>
      </w:r>
      <w:proofErr w:type="spellStart"/>
      <w:r>
        <w:rPr>
          <w:rFonts w:ascii="Palatino Linotype" w:eastAsia="Palatino Linotype" w:hAnsi="Palatino Linotype" w:cs="Palatino Linotype"/>
        </w:rPr>
        <w:t>returno</w:t>
      </w:r>
      <w:proofErr w:type="spellEnd"/>
      <w:r>
        <w:rPr>
          <w:rFonts w:ascii="Palatino Linotype" w:eastAsia="Palatino Linotype" w:hAnsi="Palatino Linotype" w:cs="Palatino Linotype"/>
        </w:rPr>
        <w:t xml:space="preserve"> del recurso de revisión  al rubro indicado a la Ponencia de la Comisionada </w:t>
      </w:r>
      <w:r>
        <w:rPr>
          <w:rFonts w:ascii="Palatino Linotype" w:eastAsia="Palatino Linotype" w:hAnsi="Palatino Linotype" w:cs="Palatino Linotype"/>
          <w:b/>
        </w:rPr>
        <w:t xml:space="preserve">Guadalupe Ramírez Peña. </w:t>
      </w:r>
    </w:p>
    <w:p w14:paraId="5B274194" w14:textId="77777777" w:rsidR="00C64823" w:rsidRDefault="004C1404">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Pr>
          <w:rFonts w:ascii="Palatino Linotype" w:eastAsia="Palatino Linotype" w:hAnsi="Palatino Linotype" w:cs="Palatino Linotype"/>
          <w:b/>
        </w:rPr>
        <w:t xml:space="preserve"> </w:t>
      </w:r>
    </w:p>
    <w:p w14:paraId="0C0BA01D" w14:textId="77777777" w:rsidR="00C64823" w:rsidRDefault="004C1404">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CONSIDERANDO</w:t>
      </w:r>
    </w:p>
    <w:p w14:paraId="350A27BE" w14:textId="77777777" w:rsidR="00C64823" w:rsidRDefault="004C1404">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PRIMERO</w:t>
      </w:r>
      <w:r>
        <w:rPr>
          <w:rFonts w:ascii="Palatino Linotype" w:eastAsia="Palatino Linotype" w:hAnsi="Palatino Linotype" w:cs="Palatino Linotype"/>
          <w:b/>
          <w:color w:val="000000"/>
        </w:rPr>
        <w:t>. Competencia</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w:t>
      </w:r>
      <w:r>
        <w:rPr>
          <w:rFonts w:ascii="Palatino Linotype" w:eastAsia="Palatino Linotype" w:hAnsi="Palatino Linotype" w:cs="Palatino Linotype"/>
          <w:color w:val="000000"/>
        </w:rPr>
        <w:lastRenderedPageBreak/>
        <w:t>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1A36822"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SEGUNDO</w:t>
      </w:r>
      <w:r>
        <w:rPr>
          <w:rFonts w:ascii="Palatino Linotype" w:eastAsia="Palatino Linotype" w:hAnsi="Palatino Linotype" w:cs="Palatino Linotype"/>
          <w:b/>
        </w:rPr>
        <w:t xml:space="preserve">. Oportunidad y Procedibilidad. </w:t>
      </w:r>
      <w:r>
        <w:rPr>
          <w:rFonts w:ascii="Palatino Linotype" w:eastAsia="Palatino Linotype" w:hAnsi="Palatino Linotype" w:cs="Palatino Linotype"/>
        </w:rPr>
        <w:t>Es de precisar que la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Ley de Transparencia y Acceso a la Información Pública del Estado de México y Municipios, describe el mecanismo de procedencia de los recursos de revisión, como se dispone en los artículos 163 y 166, del tenor literal siguiente: </w:t>
      </w:r>
    </w:p>
    <w:p w14:paraId="54DEBE76" w14:textId="77777777" w:rsidR="00C64823" w:rsidRDefault="004C1404">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163. </w:t>
      </w:r>
      <w:r>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003D941B" w14:textId="77777777" w:rsidR="00C64823" w:rsidRDefault="004C1404">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w:t>
      </w:r>
    </w:p>
    <w:p w14:paraId="55677E1D" w14:textId="77777777" w:rsidR="00C64823" w:rsidRDefault="004C1404">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sz w:val="22"/>
          <w:szCs w:val="22"/>
        </w:rPr>
        <w:t>Artículo 166.</w:t>
      </w:r>
      <w:r>
        <w:rPr>
          <w:rFonts w:ascii="Palatino Linotype" w:eastAsia="Palatino Linotype" w:hAnsi="Palatino Linotype" w:cs="Palatino Linotype"/>
          <w:i/>
          <w:sz w:val="22"/>
          <w:szCs w:val="22"/>
        </w:rPr>
        <w:t xml:space="preserve"> […]</w:t>
      </w:r>
    </w:p>
    <w:p w14:paraId="7E5E021D" w14:textId="77777777" w:rsidR="00C64823" w:rsidRDefault="004C1404">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77840A1E"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w:t>
      </w:r>
      <w:r>
        <w:rPr>
          <w:rFonts w:ascii="Palatino Linotype" w:eastAsia="Palatino Linotype" w:hAnsi="Palatino Linotype" w:cs="Palatino Linotype"/>
        </w:rPr>
        <w:lastRenderedPageBreak/>
        <w:t>días hábiles, sin que los Sujetos Obligados entreguen la respuesta a la solicitud de información, ésta se considera negada; por lo que al solicitante le asiste el derecho para presentar el recurso de revisión.</w:t>
      </w:r>
    </w:p>
    <w:p w14:paraId="1F851D35"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50BE3AEB" w14:textId="77777777" w:rsidR="00C64823" w:rsidRDefault="004C1404">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Por su parte, el artículo 178 del citado ordenamiento, establece:</w:t>
      </w:r>
    </w:p>
    <w:p w14:paraId="2CE719D8" w14:textId="77777777" w:rsidR="00C64823" w:rsidRDefault="004C1404">
      <w:pPr>
        <w:ind w:left="851" w:right="851"/>
        <w:jc w:val="both"/>
        <w:rPr>
          <w:rFonts w:ascii="Palatino Linotype" w:eastAsia="Palatino Linotype" w:hAnsi="Palatino Linotype" w:cs="Palatino Linotype"/>
          <w:i/>
        </w:rPr>
      </w:pPr>
      <w:bookmarkStart w:id="1" w:name="_heading=h.tyjcwt" w:colFirst="0" w:colLast="0"/>
      <w:bookmarkEnd w:id="1"/>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Pr>
          <w:rFonts w:ascii="Palatino Linotype" w:eastAsia="Palatino Linotype" w:hAnsi="Palatino Linotype" w:cs="Palatino Linotype"/>
          <w:b/>
          <w:i/>
          <w:sz w:val="22"/>
          <w:szCs w:val="22"/>
        </w:rPr>
        <w:t>.”</w:t>
      </w:r>
    </w:p>
    <w:p w14:paraId="38D75075"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advierte que el recurso de revisión se ha de interponer dentro del plazo de quince días hábiles, a partir de la fecha en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14:paraId="37365BF1"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negativa ficta constituye una presunción legal, en el entendido de que donde no hubo respuesta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w:t>
      </w:r>
      <w:r>
        <w:rPr>
          <w:rFonts w:ascii="Palatino Linotype" w:eastAsia="Palatino Linotype" w:hAnsi="Palatino Linotype" w:cs="Palatino Linotype"/>
        </w:rPr>
        <w:lastRenderedPageBreak/>
        <w:t>de defensa del particular en contra de la incertidumbre jurídica y que tiende a realizar ese Estado de Derecho en el que, el particular, tiene siempre una vía de defensa en contra de los actos autoritarios que le perjudican.</w:t>
      </w:r>
    </w:p>
    <w:p w14:paraId="3B71F24F"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 xml:space="preserve"> del mismo.</w:t>
      </w:r>
    </w:p>
    <w:p w14:paraId="1D699EA9" w14:textId="77777777" w:rsidR="00C64823" w:rsidRDefault="004C1404">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Pr>
          <w:rFonts w:ascii="Palatino Linotype" w:eastAsia="Palatino Linotype" w:hAnsi="Palatino Linotype" w:cs="Palatino Linotype"/>
          <w:b/>
        </w:rPr>
        <w:t>Sujeto Obligado</w:t>
      </w:r>
      <w:r>
        <w:rPr>
          <w:rFonts w:ascii="Palatino Linotype" w:eastAsia="Palatino Linotype" w:hAnsi="Palatino Linotype" w:cs="Palatino Linotype"/>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77F88AB0" w14:textId="77777777" w:rsidR="00C64823" w:rsidRDefault="004C1404">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sz w:val="22"/>
          <w:szCs w:val="22"/>
        </w:rPr>
        <w:t>“CRITERIO 0001-15. NEGATIVA FICTA. PLAZO PARA INTERPONER EL RECURSO DE REVISIÓN TRATÁNDOSE DE</w:t>
      </w:r>
      <w:r>
        <w:rPr>
          <w:rFonts w:ascii="Palatino Linotype" w:eastAsia="Palatino Linotype" w:hAnsi="Palatino Linotype" w:cs="Palatino Linotype"/>
          <w:i/>
          <w:sz w:val="22"/>
          <w:szCs w:val="22"/>
        </w:rPr>
        <w:t xml:space="preserve">. El artículo 48, párrafo </w:t>
      </w:r>
      <w:r>
        <w:rPr>
          <w:rFonts w:ascii="Palatino Linotype" w:eastAsia="Palatino Linotype" w:hAnsi="Palatino Linotype" w:cs="Palatino Linotype"/>
          <w:i/>
          <w:sz w:val="22"/>
          <w:szCs w:val="22"/>
        </w:rPr>
        <w:lastRenderedPageBreak/>
        <w:t>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Pr>
          <w:rFonts w:ascii="Palatino Linotype" w:eastAsia="Palatino Linotype" w:hAnsi="Palatino Linotype" w:cs="Palatino Linotype"/>
          <w:i/>
        </w:rPr>
        <w:t xml:space="preserve"> </w:t>
      </w:r>
    </w:p>
    <w:p w14:paraId="14ED8537" w14:textId="77777777" w:rsidR="00C64823" w:rsidRDefault="004C1404">
      <w:pPr>
        <w:shd w:val="clear" w:color="auto" w:fill="FFFFFF"/>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rPr>
        <w:t>Es de suma importancia mencionar que, si bien la</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no proporcionó nombre </w:t>
      </w:r>
      <w:r>
        <w:rPr>
          <w:rFonts w:ascii="Palatino Linotype" w:eastAsia="Palatino Linotype" w:hAnsi="Palatino Linotype" w:cs="Palatino Linotype"/>
          <w:color w:val="2222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71C4B72" w14:textId="77777777" w:rsidR="00C64823" w:rsidRDefault="004C1404">
      <w:pPr>
        <w:shd w:val="clear" w:color="auto" w:fill="FFFFFF"/>
        <w:spacing w:before="120" w:after="120" w:line="276" w:lineRule="auto"/>
        <w:ind w:left="851" w:right="902"/>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Las solicitudes anónimas</w:t>
      </w:r>
      <w:r>
        <w:rPr>
          <w:rFonts w:ascii="Palatino Linotype" w:eastAsia="Palatino Linotype" w:hAnsi="Palatino Linotype" w:cs="Palatino Linotype"/>
          <w:i/>
          <w:color w:val="222222"/>
          <w:sz w:val="22"/>
          <w:szCs w:val="22"/>
        </w:rPr>
        <w:t>, con nombre incompleto o seudónimo </w:t>
      </w:r>
      <w:r>
        <w:rPr>
          <w:rFonts w:ascii="Palatino Linotype" w:eastAsia="Palatino Linotype" w:hAnsi="Palatino Linotype" w:cs="Palatino Linotype"/>
          <w:b/>
          <w:i/>
          <w:color w:val="222222"/>
          <w:sz w:val="22"/>
          <w:szCs w:val="22"/>
        </w:rPr>
        <w:t>serán procedentes para su trámite por parte del sujeto obligado ante quien se presente</w:t>
      </w:r>
      <w:r>
        <w:rPr>
          <w:rFonts w:ascii="Palatino Linotype" w:eastAsia="Palatino Linotype" w:hAnsi="Palatino Linotype" w:cs="Palatino Linotype"/>
          <w:i/>
          <w:color w:val="222222"/>
          <w:sz w:val="22"/>
          <w:szCs w:val="22"/>
        </w:rPr>
        <w:t>. No podrá requerirse información adicional con motivo del nombre proporcionado por el solicitante."</w:t>
      </w:r>
    </w:p>
    <w:p w14:paraId="138744A9"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w:t>
      </w:r>
      <w:r>
        <w:rPr>
          <w:rFonts w:ascii="Palatino Linotype" w:eastAsia="Palatino Linotype" w:hAnsi="Palatino Linotype" w:cs="Palatino Linotype"/>
        </w:rPr>
        <w:lastRenderedPageBreak/>
        <w:t>Municipios, en atención a que fue presentado mediante el formato visible en el SAIMEX.</w:t>
      </w:r>
    </w:p>
    <w:p w14:paraId="4761BEC4"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antes de entrar al estudio de la presente resolución es preciso determinar si resulta procedente la interposición del recurso de revisión, toda vez que se actualizan la hipótesis prevista en el artículo 179, fracción VII de la ley de la materia, que a la letra dice:</w:t>
      </w:r>
    </w:p>
    <w:p w14:paraId="0BE047F6" w14:textId="77777777" w:rsidR="00C64823" w:rsidRDefault="004C1404">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6356B47" w14:textId="77777777" w:rsidR="00C64823" w:rsidRDefault="004C1404">
      <w:pPr>
        <w:ind w:left="1134"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A616480" w14:textId="77777777" w:rsidR="00C64823" w:rsidRDefault="004C1404">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falta de respuesta a una solicitud de acceso a la información;</w:t>
      </w:r>
    </w:p>
    <w:p w14:paraId="455956F2" w14:textId="77777777" w:rsidR="00C64823" w:rsidRDefault="004C1404">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0F695098"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precepto legal citado, establece como supuesto de procedencia del recurso de revisión, en aquellos casos en que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estime negado el acceso a la información por la falta de respuesta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este asunto se actualiza la hipótesis jurídica citada, en atención a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combate falta de trámite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expresa motivos de inconformidad en contra de dicha circunstancia.</w:t>
      </w:r>
    </w:p>
    <w:p w14:paraId="5645800E" w14:textId="77777777" w:rsidR="00C64823" w:rsidRDefault="004C1404">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TERCERO</w:t>
      </w:r>
      <w:r>
        <w:rPr>
          <w:rFonts w:ascii="Palatino Linotype" w:eastAsia="Palatino Linotype" w:hAnsi="Palatino Linotype" w:cs="Palatino Linotype"/>
          <w:b/>
          <w:color w:val="000000"/>
        </w:rPr>
        <w:t xml:space="preserve">. Materia de la revisión. </w:t>
      </w:r>
      <w:r>
        <w:rPr>
          <w:rFonts w:ascii="Palatino Linotype" w:eastAsia="Palatino Linotype" w:hAnsi="Palatino Linotype" w:cs="Palatino Linotype"/>
          <w:color w:val="000000"/>
        </w:rPr>
        <w:t xml:space="preserve">Este Organismo Garante procede del análisis de los agravios hechos valer por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a fin de determinar si se violenta en perjuicio de éste, el derecho de acceso a la información previsto en la Constitución Política de los Estados Unidos Mexicanos y en la Constitución Política del Estado Libre y Soberano de México.</w:t>
      </w:r>
    </w:p>
    <w:p w14:paraId="434E72B3" w14:textId="77777777" w:rsidR="00C64823" w:rsidRDefault="004C1404">
      <w:pPr>
        <w:spacing w:before="24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sz w:val="28"/>
          <w:szCs w:val="28"/>
        </w:rPr>
        <w:lastRenderedPageBreak/>
        <w:t xml:space="preserve">CUARTO. </w:t>
      </w:r>
      <w:r>
        <w:rPr>
          <w:rFonts w:ascii="Palatino Linotype" w:eastAsia="Palatino Linotype" w:hAnsi="Palatino Linotype" w:cs="Palatino Linotype"/>
          <w:b/>
        </w:rPr>
        <w:t>Estudio y análisis del asunto.</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El presente análisis y la emisión de la resolución se fundan en el contenido íntegro de las actuaciones que obran en el expediente electrónico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33932029" w14:textId="77777777" w:rsidR="00C64823" w:rsidRDefault="004C1404">
      <w:pPr>
        <w:widowControl w:val="0"/>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tenor, para un mejor estudio y comprensión del asunto que se resuelve, es preciso recordar que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solicitó al </w:t>
      </w:r>
      <w:r>
        <w:rPr>
          <w:rFonts w:ascii="Palatino Linotype" w:eastAsia="Palatino Linotype" w:hAnsi="Palatino Linotype" w:cs="Palatino Linotype"/>
          <w:b/>
          <w:color w:val="000000"/>
        </w:rPr>
        <w:t xml:space="preserve">SUJETO OBLIGADO </w:t>
      </w:r>
      <w:proofErr w:type="spellStart"/>
      <w:proofErr w:type="gramStart"/>
      <w:r>
        <w:rPr>
          <w:rFonts w:ascii="Palatino Linotype" w:eastAsia="Palatino Linotype" w:hAnsi="Palatino Linotype" w:cs="Palatino Linotype"/>
          <w:color w:val="000000"/>
        </w:rPr>
        <w:t>s¿</w:t>
      </w:r>
      <w:proofErr w:type="gramEnd"/>
      <w:r>
        <w:rPr>
          <w:rFonts w:ascii="Palatino Linotype" w:eastAsia="Palatino Linotype" w:hAnsi="Palatino Linotype" w:cs="Palatino Linotype"/>
          <w:color w:val="000000"/>
        </w:rPr>
        <w:t>lo</w:t>
      </w:r>
      <w:proofErr w:type="spellEnd"/>
      <w:r>
        <w:rPr>
          <w:rFonts w:ascii="Palatino Linotype" w:eastAsia="Palatino Linotype" w:hAnsi="Palatino Linotype" w:cs="Palatino Linotype"/>
          <w:color w:val="000000"/>
        </w:rPr>
        <w:t xml:space="preserve"> siguiente:</w:t>
      </w:r>
    </w:p>
    <w:p w14:paraId="2E458449"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“Solicito amablemente y en su calidad de sujeto obligado, la versión pública la NOMINA de las primeras tres quincenas de la administración municipal de Capulhuac, incluyendo a todas y todos los trabajadores del ayuntamiento desde niveles operativos hasta ejecutivos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(Sic)</w:t>
      </w:r>
    </w:p>
    <w:p w14:paraId="3BF0B19F" w14:textId="77777777" w:rsidR="00C64823" w:rsidRDefault="004C1404">
      <w:pPr>
        <w:widowControl w:val="0"/>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atención a lo previsto en el artículo 159 de la Ley de Transparencia y Acceso a la Información Pública del Estado de México y Municipios que a la letra reza:</w:t>
      </w:r>
    </w:p>
    <w:p w14:paraId="1BDAF715"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159.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r>
        <w:rPr>
          <w:rFonts w:ascii="Palatino Linotype" w:eastAsia="Palatino Linotype" w:hAnsi="Palatino Linotype" w:cs="Palatino Linotype"/>
          <w:i/>
          <w:sz w:val="22"/>
          <w:szCs w:val="22"/>
        </w:rPr>
        <w:t>.</w:t>
      </w:r>
    </w:p>
    <w:p w14:paraId="3A459DB2" w14:textId="77777777" w:rsidR="00C64823" w:rsidRDefault="00C64823">
      <w:pPr>
        <w:ind w:left="851" w:right="616"/>
        <w:jc w:val="both"/>
        <w:rPr>
          <w:rFonts w:ascii="Palatino Linotype" w:eastAsia="Palatino Linotype" w:hAnsi="Palatino Linotype" w:cs="Palatino Linotype"/>
          <w:i/>
          <w:sz w:val="22"/>
          <w:szCs w:val="22"/>
        </w:rPr>
      </w:pPr>
    </w:p>
    <w:p w14:paraId="1BBF90EE"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este requerimiento interrumpirá el plazo de respuesta establecido en el artículo 163 de la presente Ley, por lo que comenzará a computarse nuevamente al día siguiente del desahogo por parte del particular. En este caso, el sujeto obligado </w:t>
      </w:r>
      <w:r>
        <w:rPr>
          <w:rFonts w:ascii="Palatino Linotype" w:eastAsia="Palatino Linotype" w:hAnsi="Palatino Linotype" w:cs="Palatino Linotype"/>
          <w:i/>
          <w:sz w:val="22"/>
          <w:szCs w:val="22"/>
        </w:rPr>
        <w:lastRenderedPageBreak/>
        <w:t xml:space="preserve">atenderá la solicitud en los términos en que fue desahogado el requerimiento de información adicional. </w:t>
      </w:r>
    </w:p>
    <w:p w14:paraId="1F27B715" w14:textId="77777777" w:rsidR="00C64823" w:rsidRDefault="00C64823">
      <w:pPr>
        <w:ind w:left="851" w:right="616"/>
        <w:jc w:val="both"/>
        <w:rPr>
          <w:rFonts w:ascii="Palatino Linotype" w:eastAsia="Palatino Linotype" w:hAnsi="Palatino Linotype" w:cs="Palatino Linotype"/>
          <w:i/>
          <w:sz w:val="22"/>
          <w:szCs w:val="22"/>
        </w:rPr>
      </w:pPr>
    </w:p>
    <w:p w14:paraId="51A75215"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w:t>
      </w:r>
    </w:p>
    <w:p w14:paraId="1B04C4FA" w14:textId="77777777" w:rsidR="00C64823" w:rsidRDefault="00C64823">
      <w:pPr>
        <w:ind w:left="851" w:right="616"/>
        <w:jc w:val="both"/>
        <w:rPr>
          <w:rFonts w:ascii="Palatino Linotype" w:eastAsia="Palatino Linotype" w:hAnsi="Palatino Linotype" w:cs="Palatino Linotype"/>
          <w:i/>
          <w:sz w:val="22"/>
          <w:szCs w:val="22"/>
        </w:rPr>
      </w:pPr>
    </w:p>
    <w:p w14:paraId="21055A07"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el caso de requerimientos parciales no desahogados, se tendrá por presentada la solicitud por lo que respecta a los contenidos de información que no formaron parte del requerimiento.” </w:t>
      </w:r>
    </w:p>
    <w:p w14:paraId="655B82A7"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02B01EC8" w14:textId="77777777" w:rsidR="00C64823" w:rsidRDefault="004C1404">
      <w:pPr>
        <w:widowControl w:val="0"/>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Así,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 xml:space="preserve">se limitó a requerir al particular manifestara la temporalidad de las tres quincenas de las que solicitaba la información; pues a su decir no se encontraba en posibilidades de atender puntualmente su solicitud de información, pronunciamiento que no constituye una respuesta del </w:t>
      </w:r>
      <w:r>
        <w:rPr>
          <w:rFonts w:ascii="Palatino Linotype" w:eastAsia="Palatino Linotype" w:hAnsi="Palatino Linotype" w:cs="Palatino Linotype"/>
          <w:b/>
          <w:color w:val="000000"/>
        </w:rPr>
        <w:t xml:space="preserve">SUJETO OBLIGADO. </w:t>
      </w:r>
    </w:p>
    <w:p w14:paraId="39999787" w14:textId="77777777" w:rsidR="00C64823" w:rsidRDefault="004C1404">
      <w:pPr>
        <w:widowControl w:val="0"/>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Inconforme con la determinación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de solicitarle una aclaración pues a su decir se advierten elementos de convicción para poder atenderla.</w:t>
      </w:r>
    </w:p>
    <w:p w14:paraId="5456EAB7" w14:textId="77777777" w:rsidR="00C64823" w:rsidRDefault="004C1404">
      <w:pPr>
        <w:widowControl w:val="0"/>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informe justificado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ratificó su manifestación de no poder atender la solicitud de información planteada pues no se expresó temporalidad alguna respecto de la cual se pudiera hacer entrega de la información.</w:t>
      </w:r>
    </w:p>
    <w:p w14:paraId="257742B4" w14:textId="77777777" w:rsidR="00C64823" w:rsidRDefault="004C1404">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Hechas las manifestaciones que anteceden, en primer lugar, es importante señalar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que la aclaración solicitada al particular resultaba innecesaria toda vez que si bien no especificó temporalidad alguna para la entrega de la nómina </w:t>
      </w:r>
      <w:r>
        <w:rPr>
          <w:rFonts w:ascii="Palatino Linotype" w:eastAsia="Palatino Linotype" w:hAnsi="Palatino Linotype" w:cs="Palatino Linotype"/>
          <w:color w:val="000000"/>
        </w:rPr>
        <w:lastRenderedPageBreak/>
        <w:t xml:space="preserve">de las tres primeras quincenas de la administración municipal resulta evidente que se trata de la actual administración si se toma en consideración que dicha solicitud de información se presentó el tres de marzo del presente año; es por ello que, con fundamento en los artículos 13 y 181, párrafo cuarto de la Ley de Transparencia y Acceso a la Información Pública del Estado de México y Municipios, se suple la deficiencia presentada en la solicitud de información para precisar que lo solicitado por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consistió en la nómina general del Ayuntamiento de Capulhuac de la primera y segunda quincena del mes de enero y la</w:t>
      </w:r>
      <w:r>
        <w:rPr>
          <w:rFonts w:ascii="Palatino Linotype" w:eastAsia="Palatino Linotype" w:hAnsi="Palatino Linotype" w:cs="Palatino Linotype"/>
        </w:rPr>
        <w:t xml:space="preserve"> primera </w:t>
      </w:r>
      <w:r>
        <w:rPr>
          <w:rFonts w:ascii="Palatino Linotype" w:eastAsia="Palatino Linotype" w:hAnsi="Palatino Linotype" w:cs="Palatino Linotype"/>
          <w:color w:val="000000"/>
        </w:rPr>
        <w:t>quincena del mes de febrero de dos mil veintidós.</w:t>
      </w:r>
    </w:p>
    <w:p w14:paraId="6B46AD28" w14:textId="77777777" w:rsidR="00C64823" w:rsidRDefault="004C1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ese orden de ideas, es importante señalar que la Titular de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deberá dar atención a lo previsto en el artículo 162 de la Ley de Transparencia y Acceso a la Información Pública del Estado de México y Municipios, resultando conveniente señalar que la figura de los Servidores Públicos Habilitados dentro de las diversas unidades administrativas o áreas de los Sujeto Obligados, es la de apoyar, gestionar y entregar la información o datos personales que se ubiquen en la misma, a sus respectivas Unidades de Transparencia, en términos de lo dispuesto en los artículos 3 fracción XXXIX, 50, 51, 53 y 59 fracciones I, II y III, de la Ley de la materia, mismos que se transcriben a continuación:</w:t>
      </w:r>
    </w:p>
    <w:p w14:paraId="116DD976"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Para los efectos de la presente Ley se entenderá por</w:t>
      </w:r>
      <w:r>
        <w:rPr>
          <w:rFonts w:ascii="Palatino Linotype" w:eastAsia="Palatino Linotype" w:hAnsi="Palatino Linotype" w:cs="Palatino Linotype"/>
          <w:i/>
          <w:sz w:val="22"/>
          <w:szCs w:val="22"/>
        </w:rPr>
        <w:t xml:space="preserve">: </w:t>
      </w:r>
    </w:p>
    <w:p w14:paraId="3E3C3625"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Servidor público habilitado</w:t>
      </w:r>
      <w:r>
        <w:rPr>
          <w:rFonts w:ascii="Palatino Linotype" w:eastAsia="Palatino Linotype" w:hAnsi="Palatino Linotype" w:cs="Palatino Linotype"/>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26F5FEB6"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46395AB8" w14:textId="77777777" w:rsidR="00C64823" w:rsidRDefault="004C1404">
      <w:pPr>
        <w:ind w:left="851"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50.</w:t>
      </w:r>
      <w:r>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w:t>
      </w:r>
    </w:p>
    <w:p w14:paraId="215A0D14" w14:textId="77777777" w:rsidR="00C64823" w:rsidRDefault="004C1404">
      <w:pPr>
        <w:ind w:left="851"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51</w:t>
      </w:r>
      <w:r>
        <w:rPr>
          <w:rFonts w:ascii="Palatino Linotype" w:eastAsia="Palatino Linotype" w:hAnsi="Palatino Linotype" w:cs="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6B46FA4" w14:textId="77777777" w:rsidR="00C64823" w:rsidRDefault="004C1404">
      <w:pPr>
        <w:ind w:left="851"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Las Unidades de Transparencia tendrán las siguientes funciones:</w:t>
      </w:r>
    </w:p>
    <w:p w14:paraId="232BA2F9" w14:textId="77777777" w:rsidR="00C64823" w:rsidRDefault="004C1404">
      <w:pPr>
        <w:ind w:left="851"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5C17ED5E" w14:textId="77777777" w:rsidR="00C64823" w:rsidRDefault="004C1404">
      <w:pPr>
        <w:ind w:left="851" w:right="6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Recibir, </w:t>
      </w:r>
      <w:r>
        <w:rPr>
          <w:rFonts w:ascii="Palatino Linotype" w:eastAsia="Palatino Linotype" w:hAnsi="Palatino Linotype" w:cs="Palatino Linotype"/>
          <w:b/>
          <w:i/>
          <w:sz w:val="22"/>
          <w:szCs w:val="22"/>
          <w:u w:val="single"/>
        </w:rPr>
        <w:t>tramitar</w:t>
      </w:r>
      <w:r>
        <w:rPr>
          <w:rFonts w:ascii="Palatino Linotype" w:eastAsia="Palatino Linotype" w:hAnsi="Palatino Linotype" w:cs="Palatino Linotype"/>
          <w:b/>
          <w:i/>
          <w:sz w:val="22"/>
          <w:szCs w:val="22"/>
        </w:rPr>
        <w:t xml:space="preserve"> y dar respuesta a las solicitudes de acceso a la información;</w:t>
      </w:r>
    </w:p>
    <w:p w14:paraId="1CFA10DB" w14:textId="77777777" w:rsidR="00C64823" w:rsidRDefault="004C1404">
      <w:pPr>
        <w:ind w:left="851"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Auxiliar a los particulares en la elaboración de solicitudes de acceso a la información y, en su caso, orientarlos sobre los sujetos obligados competentes conforme a la normatividad aplicable;</w:t>
      </w:r>
    </w:p>
    <w:p w14:paraId="40657601" w14:textId="77777777" w:rsidR="00C64823" w:rsidRDefault="004C1404">
      <w:pPr>
        <w:ind w:left="851"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Realizar, con efectividad, los trámites internos necesarios para la atención de las solicitudes de acceso a la información;</w:t>
      </w:r>
    </w:p>
    <w:p w14:paraId="0F6CD30B" w14:textId="77777777" w:rsidR="00C64823" w:rsidRDefault="004C1404">
      <w:pPr>
        <w:ind w:left="851"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Entregar, en su caso, a los particulares la información solicitada;</w:t>
      </w:r>
    </w:p>
    <w:p w14:paraId="5CE8F5D5" w14:textId="77777777" w:rsidR="00C64823" w:rsidRDefault="004C1404">
      <w:pPr>
        <w:ind w:left="851"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Efectuar las notificaciones a los solicitantes;</w:t>
      </w:r>
    </w:p>
    <w:p w14:paraId="702BC5FE" w14:textId="77777777" w:rsidR="00C64823" w:rsidRDefault="004C1404">
      <w:pPr>
        <w:ind w:left="851"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Proponer al Comité de Transparencia, los procedimientos internos que aseguren la mayor eficiencia en la gestión de las solicitudes de acceso a la información, conforme a la normatividad aplicable;</w:t>
      </w:r>
    </w:p>
    <w:p w14:paraId="5A578467" w14:textId="77777777" w:rsidR="00C64823" w:rsidRDefault="004C1404">
      <w:pPr>
        <w:ind w:left="851"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Proponer a quien preside el Comité de Transparencia, personal habilitado que sea necesario para recibir y dar trámite a las solicitudes de acceso a la información;</w:t>
      </w:r>
    </w:p>
    <w:p w14:paraId="6A7F493E" w14:textId="77777777" w:rsidR="00C64823" w:rsidRDefault="004C1404">
      <w:pPr>
        <w:ind w:left="851"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3029C9F5" w14:textId="77777777" w:rsidR="00C64823" w:rsidRDefault="004C1404">
      <w:pPr>
        <w:ind w:left="851"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Presentar ante el Comité, el proyecto de clasificación de información;</w:t>
      </w:r>
    </w:p>
    <w:p w14:paraId="4E358E33" w14:textId="77777777" w:rsidR="00C64823" w:rsidRDefault="004C1404">
      <w:pPr>
        <w:ind w:left="851"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 Promover e implementar políticas de transparencia proactiva procurando su accesibilidad;</w:t>
      </w:r>
    </w:p>
    <w:p w14:paraId="779D1E54" w14:textId="77777777" w:rsidR="00C64823" w:rsidRDefault="004C1404">
      <w:pPr>
        <w:ind w:left="851"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 Fomentar la transparencia y accesibilidad al interior del sujeto obligado;</w:t>
      </w:r>
    </w:p>
    <w:p w14:paraId="61A17A9E" w14:textId="77777777" w:rsidR="00C64823" w:rsidRDefault="004C1404">
      <w:pPr>
        <w:ind w:left="851"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XIII. Hacer del conocimiento de la instancia competente la probable responsabilidad por el incumplimiento de las obligaciones previstas en la presente Ley; y</w:t>
      </w:r>
    </w:p>
    <w:p w14:paraId="0AE9F437" w14:textId="77777777" w:rsidR="00C64823" w:rsidRDefault="004C1404">
      <w:pPr>
        <w:ind w:left="851"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XIV. Las demás que resulten necesarias para facilitar el acceso a la información y aquellas que se desprenden de la presente Ley y demás disposiciones jurídicas aplicables.</w:t>
      </w:r>
    </w:p>
    <w:p w14:paraId="4C4A9C46" w14:textId="77777777" w:rsidR="00C64823" w:rsidRDefault="004C1404">
      <w:pPr>
        <w:ind w:left="851"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655A0F68" w14:textId="77777777" w:rsidR="00C64823" w:rsidRDefault="004C1404">
      <w:pPr>
        <w:ind w:left="851"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4B0DEAC9"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servidores públicos habilitados tendrán las funciones siguientes</w:t>
      </w:r>
      <w:r>
        <w:rPr>
          <w:rFonts w:ascii="Palatino Linotype" w:eastAsia="Palatino Linotype" w:hAnsi="Palatino Linotype" w:cs="Palatino Linotype"/>
          <w:i/>
          <w:sz w:val="22"/>
          <w:szCs w:val="22"/>
        </w:rPr>
        <w:t xml:space="preserve">: </w:t>
      </w:r>
    </w:p>
    <w:p w14:paraId="6FF51156"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Localizar la información que le solicite la Unidad de Transparencia</w:t>
      </w:r>
      <w:r>
        <w:rPr>
          <w:rFonts w:ascii="Palatino Linotype" w:eastAsia="Palatino Linotype" w:hAnsi="Palatino Linotype" w:cs="Palatino Linotype"/>
          <w:i/>
          <w:sz w:val="22"/>
          <w:szCs w:val="22"/>
        </w:rPr>
        <w:t xml:space="preserve">; </w:t>
      </w:r>
    </w:p>
    <w:p w14:paraId="27A6F4CC" w14:textId="77777777" w:rsidR="00C64823" w:rsidRDefault="004C1404">
      <w:pPr>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b/>
          <w:i/>
          <w:sz w:val="22"/>
          <w:szCs w:val="22"/>
          <w:u w:val="single"/>
        </w:rPr>
        <w:t>Proporcionar la información que obre en los archivos y que le sea solicitada por la Unidad de Transparencia</w:t>
      </w:r>
      <w:r>
        <w:rPr>
          <w:rFonts w:ascii="Palatino Linotype" w:eastAsia="Palatino Linotype" w:hAnsi="Palatino Linotype" w:cs="Palatino Linotype"/>
          <w:b/>
          <w:i/>
          <w:sz w:val="22"/>
          <w:szCs w:val="22"/>
        </w:rPr>
        <w:t xml:space="preserve">; </w:t>
      </w:r>
    </w:p>
    <w:p w14:paraId="4B0A06F5" w14:textId="77777777" w:rsidR="00C64823" w:rsidRDefault="004C1404">
      <w:pPr>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Apoyar a la Unidad de Transparencia en lo que esta le solicite para el cumplimiento de sus funciones</w:t>
      </w:r>
      <w:r>
        <w:rPr>
          <w:rFonts w:ascii="Palatino Linotype" w:eastAsia="Palatino Linotype" w:hAnsi="Palatino Linotype" w:cs="Palatino Linotype"/>
          <w:b/>
          <w:i/>
          <w:sz w:val="22"/>
          <w:szCs w:val="22"/>
        </w:rPr>
        <w:t xml:space="preserve">; </w:t>
      </w:r>
    </w:p>
    <w:p w14:paraId="5AB9BE78" w14:textId="77777777" w:rsidR="00C64823" w:rsidRDefault="004C1404">
      <w:pPr>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22CCD6CA" w14:textId="77777777" w:rsidR="00C64823" w:rsidRDefault="004C1404">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2758CB04"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w:t>
      </w:r>
    </w:p>
    <w:p w14:paraId="147124CF"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 responsable de dicha área funge como enlace entre el Sujeto Obligado y los solicitantes, y tiene bajo su responsabilidad el tramitar internamente la solicitud de información.</w:t>
      </w:r>
    </w:p>
    <w:p w14:paraId="539DD032"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manera que, si bien, el Titular de la Unidad de Transparencia no tiene bajo su resguardo el archivo que pudiese contener la documentación solicitada, sino que </w:t>
      </w:r>
      <w:r>
        <w:rPr>
          <w:rFonts w:ascii="Palatino Linotype" w:eastAsia="Palatino Linotype" w:hAnsi="Palatino Linotype" w:cs="Palatino Linotype"/>
        </w:rPr>
        <w:lastRenderedPageBreak/>
        <w:t xml:space="preserve">puede obrar en las distintas áreas que conforman la estructura del </w:t>
      </w:r>
      <w:r>
        <w:rPr>
          <w:rFonts w:ascii="Palatino Linotype" w:eastAsia="Palatino Linotype" w:hAnsi="Palatino Linotype" w:cs="Palatino Linotype"/>
          <w:b/>
        </w:rPr>
        <w:t>SUJETO OBLIGADO</w:t>
      </w:r>
      <w:r>
        <w:rPr>
          <w:rFonts w:ascii="Palatino Linotype" w:eastAsia="Palatino Linotype" w:hAnsi="Palatino Linotype" w:cs="Palatino Linotype"/>
        </w:rPr>
        <w:t>, es por ello que, debe turnar la solicitud al servidor público habilitado que tiene bajo su resguardo la misma. Los servidores públicos habilitados tienen como función, buscar, localizar y en su caso entregar la información solicitada.</w:t>
      </w:r>
    </w:p>
    <w:p w14:paraId="6848F470"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por ello, que corresponde al Titular de la Unidad de Transparencia el garantizar que las solicitudes se turnen a todas las áreas competentes que puedan contar con la información, </w:t>
      </w:r>
      <w:r>
        <w:rPr>
          <w:rFonts w:ascii="Palatino Linotype" w:eastAsia="Palatino Linotype" w:hAnsi="Palatino Linotype" w:cs="Palatino Linotype"/>
          <w:b/>
        </w:rPr>
        <w:t>con el objeto de que se realice una búsqueda exhaustiva y razonable de la información solicitada</w:t>
      </w:r>
      <w:r>
        <w:rPr>
          <w:rFonts w:ascii="Palatino Linotype" w:eastAsia="Palatino Linotype" w:hAnsi="Palatino Linotype" w:cs="Palatino Linotype"/>
        </w:rPr>
        <w:t>.</w:t>
      </w:r>
    </w:p>
    <w:p w14:paraId="51D66A91" w14:textId="77777777" w:rsidR="00C64823" w:rsidRDefault="004C1404">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sentido, resulta importante traer a contexto el contenido del artículo 95, fracción IV de la Ley Orgánica Municipal del Estado de México, que establece lo siguiente:</w:t>
      </w:r>
    </w:p>
    <w:p w14:paraId="29C31C83"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95</w:t>
      </w:r>
      <w:r>
        <w:rPr>
          <w:rFonts w:ascii="Palatino Linotype" w:eastAsia="Palatino Linotype" w:hAnsi="Palatino Linotype" w:cs="Palatino Linotype"/>
          <w:i/>
          <w:sz w:val="22"/>
          <w:szCs w:val="22"/>
        </w:rPr>
        <w:t>.- Son atribuciones del tesorero municipal:</w:t>
      </w:r>
    </w:p>
    <w:p w14:paraId="3D298D48"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E1DC5C4"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Llevar los registros contables, financieros y administrativos de los ingresos, egresos, e inventarios</w:t>
      </w:r>
      <w:r>
        <w:rPr>
          <w:rFonts w:ascii="Palatino Linotype" w:eastAsia="Palatino Linotype" w:hAnsi="Palatino Linotype" w:cs="Palatino Linotype"/>
          <w:i/>
          <w:sz w:val="22"/>
          <w:szCs w:val="22"/>
        </w:rPr>
        <w:t>;</w:t>
      </w:r>
    </w:p>
    <w:p w14:paraId="5738DC66" w14:textId="77777777" w:rsidR="00C64823" w:rsidRDefault="004C1404">
      <w:pPr>
        <w:widowControl w:val="0"/>
        <w:tabs>
          <w:tab w:val="left" w:pos="1701"/>
          <w:tab w:val="left" w:pos="1843"/>
        </w:tabs>
        <w:spacing w:before="36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el supuesto normativo en cita prevé al área de Tesorería Municipal como la principal responsable de conocer las erogaciones que haga lleve a cabo el Municipio y en ese sentido debemos traer a contexto ahora el contenido de los artículos 1, 2 y 220-K fracciones II y IV y último párrafo de la Ley del Trabajo de los Servidores Públicos del Estado y Municipios, que establecen lo siguiente:</w:t>
      </w:r>
    </w:p>
    <w:p w14:paraId="3B6C19FC"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Esta ley es de orden público e interés social y tiene por objeto regular las relaciones de trabajo, comprendidas entre los poderes públicos del Estado y los Municipios y sus respectivos servidores públicos.</w:t>
      </w:r>
    </w:p>
    <w:p w14:paraId="3D2DA5B9"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Igualmente, </w:t>
      </w:r>
      <w:r>
        <w:rPr>
          <w:rFonts w:ascii="Palatino Linotype" w:eastAsia="Palatino Linotype" w:hAnsi="Palatino Linotype" w:cs="Palatino Linotype"/>
          <w:b/>
          <w:i/>
          <w:sz w:val="22"/>
          <w:szCs w:val="22"/>
        </w:rPr>
        <w:t>se regulan por esta ley las relaciones de trabajo entre</w:t>
      </w:r>
      <w:r>
        <w:rPr>
          <w:rFonts w:ascii="Palatino Linotype" w:eastAsia="Palatino Linotype" w:hAnsi="Palatino Linotype" w:cs="Palatino Linotype"/>
          <w:i/>
          <w:sz w:val="22"/>
          <w:szCs w:val="22"/>
        </w:rPr>
        <w:t xml:space="preserve"> los tribunales administrativos, los organismos descentralizados, fideicomisos de carácter estatal y municipal y </w:t>
      </w:r>
      <w:r>
        <w:rPr>
          <w:rFonts w:ascii="Palatino Linotype" w:eastAsia="Palatino Linotype" w:hAnsi="Palatino Linotype" w:cs="Palatino Linotype"/>
          <w:b/>
          <w:i/>
          <w:sz w:val="22"/>
          <w:szCs w:val="22"/>
        </w:rPr>
        <w:t>los órganos autónomos que sus leyes de creación así lo determinen y sus servidores públicos.</w:t>
      </w:r>
    </w:p>
    <w:p w14:paraId="1B3B877F"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14:paraId="55C9CC15" w14:textId="77777777" w:rsidR="00C64823" w:rsidRDefault="00C64823">
      <w:pPr>
        <w:ind w:left="851" w:right="616"/>
        <w:jc w:val="both"/>
        <w:rPr>
          <w:rFonts w:ascii="Palatino Linotype" w:eastAsia="Palatino Linotype" w:hAnsi="Palatino Linotype" w:cs="Palatino Linotype"/>
          <w:i/>
          <w:sz w:val="22"/>
          <w:szCs w:val="22"/>
        </w:rPr>
      </w:pPr>
    </w:p>
    <w:p w14:paraId="39A71D44"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w:t>
      </w:r>
      <w:r>
        <w:rPr>
          <w:rFonts w:ascii="Palatino Linotype" w:eastAsia="Palatino Linotype" w:hAnsi="Palatino Linotype" w:cs="Palatino Linotype"/>
          <w:i/>
          <w:sz w:val="22"/>
          <w:szCs w:val="22"/>
        </w:rPr>
        <w:t xml:space="preserve"> Son sujetos de esta ley los servidores públicos y las instituciones públicas. </w:t>
      </w:r>
    </w:p>
    <w:p w14:paraId="5B1A9929"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672A378"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16F609D0"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7E33485" w14:textId="77777777" w:rsidR="00C64823" w:rsidRDefault="004C1404">
      <w:pPr>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Recibos de pagos de salarios o las constancias documentales del pago de salario cuando sea por depósito o mediante información electrónica;</w:t>
      </w:r>
    </w:p>
    <w:p w14:paraId="6262C8DA"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2C03AD3" w14:textId="77777777" w:rsidR="00C64823" w:rsidRDefault="004C1404">
      <w:pPr>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 Recibos o las constancias de depósito o del medio de información magnética o electrónica que sean utilizadas para el pago de salarios, prima vacacional, aguinaldo y demás prestaciones establecidas en la presente ley; y</w:t>
      </w:r>
    </w:p>
    <w:p w14:paraId="239D6C26" w14:textId="77777777" w:rsidR="00C64823" w:rsidRDefault="004C1404">
      <w:pPr>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documentos</w:t>
      </w:r>
      <w:r>
        <w:rPr>
          <w:rFonts w:ascii="Palatino Linotype" w:eastAsia="Palatino Linotype" w:hAnsi="Palatino Linotype" w:cs="Palatino Linotype"/>
          <w:i/>
          <w:sz w:val="22"/>
          <w:szCs w:val="22"/>
        </w:rPr>
        <w:t xml:space="preserve"> señalados en la fracción I de este artículo, </w:t>
      </w:r>
      <w:r>
        <w:rPr>
          <w:rFonts w:ascii="Palatino Linotype" w:eastAsia="Palatino Linotype" w:hAnsi="Palatino Linotype" w:cs="Palatino Linotype"/>
          <w:b/>
          <w:i/>
          <w:sz w:val="22"/>
          <w:szCs w:val="22"/>
        </w:rPr>
        <w:t>deberán conservarse</w:t>
      </w:r>
      <w:r>
        <w:rPr>
          <w:rFonts w:ascii="Palatino Linotype" w:eastAsia="Palatino Linotype" w:hAnsi="Palatino Linotype" w:cs="Palatino Linotype"/>
          <w:i/>
          <w:sz w:val="22"/>
          <w:szCs w:val="22"/>
        </w:rPr>
        <w:t xml:space="preserve"> mientras dure la relación laboral y hasta un año después; </w:t>
      </w:r>
      <w:r>
        <w:rPr>
          <w:rFonts w:ascii="Palatino Linotype" w:eastAsia="Palatino Linotype" w:hAnsi="Palatino Linotype" w:cs="Palatino Linotype"/>
          <w:b/>
          <w:i/>
          <w:sz w:val="22"/>
          <w:szCs w:val="22"/>
        </w:rPr>
        <w:t>los señalados por las fracciones II</w:t>
      </w:r>
      <w:r>
        <w:rPr>
          <w:rFonts w:ascii="Palatino Linotype" w:eastAsia="Palatino Linotype" w:hAnsi="Palatino Linotype" w:cs="Palatino Linotype"/>
          <w:i/>
          <w:sz w:val="22"/>
          <w:szCs w:val="22"/>
        </w:rPr>
        <w:t xml:space="preserve">, III, IV </w:t>
      </w:r>
      <w:r>
        <w:rPr>
          <w:rFonts w:ascii="Palatino Linotype" w:eastAsia="Palatino Linotype" w:hAnsi="Palatino Linotype" w:cs="Palatino Linotype"/>
          <w:b/>
          <w:i/>
          <w:sz w:val="22"/>
          <w:szCs w:val="22"/>
        </w:rPr>
        <w:t>durante el último año y un año después de que se extinga la relación laboral</w:t>
      </w:r>
      <w:r>
        <w:rPr>
          <w:rFonts w:ascii="Palatino Linotype" w:eastAsia="Palatino Linotype" w:hAnsi="Palatino Linotype" w:cs="Palatino Linotype"/>
          <w:i/>
          <w:sz w:val="22"/>
          <w:szCs w:val="22"/>
        </w:rPr>
        <w:t xml:space="preserve">, y </w:t>
      </w:r>
      <w:r>
        <w:rPr>
          <w:rFonts w:ascii="Palatino Linotype" w:eastAsia="Palatino Linotype" w:hAnsi="Palatino Linotype" w:cs="Palatino Linotype"/>
          <w:b/>
          <w:i/>
          <w:sz w:val="22"/>
          <w:szCs w:val="22"/>
        </w:rPr>
        <w:t>los mencionados en la fracción V, conforme lo señalen las leyes que los rijan.</w:t>
      </w:r>
    </w:p>
    <w:p w14:paraId="694AA9D3"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7061E116"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 (Sic)</w:t>
      </w:r>
    </w:p>
    <w:p w14:paraId="7604F63C" w14:textId="77777777" w:rsidR="00C64823" w:rsidRDefault="00C64823">
      <w:pPr>
        <w:ind w:left="851" w:right="616"/>
        <w:jc w:val="both"/>
        <w:rPr>
          <w:rFonts w:ascii="Palatino Linotype" w:eastAsia="Palatino Linotype" w:hAnsi="Palatino Linotype" w:cs="Palatino Linotype"/>
          <w:i/>
          <w:sz w:val="22"/>
          <w:szCs w:val="22"/>
        </w:rPr>
      </w:pPr>
    </w:p>
    <w:p w14:paraId="376755B5"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124FC89D"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Lo anterior es así, ya que las relaciones de trabajo entre servidores públicos y las instituciones públicas o dependencias públicas del Estado de México, se deben regir por el ordenamiento legal antes citado, el cual mandata a las instituciones públicas, incluyendo los municipios, el conservar los recibos o constancias de pago de salarios, prima vacacional, aguinaldo y demás prestaciones legales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 </w:t>
      </w:r>
    </w:p>
    <w:p w14:paraId="19CFE9EE" w14:textId="77777777" w:rsidR="00C64823" w:rsidRDefault="004C1404">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rPr>
        <w:t>Máxime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r>
        <w:rPr>
          <w:rFonts w:ascii="Palatino Linotype" w:eastAsia="Palatino Linotype" w:hAnsi="Palatino Linotype" w:cs="Palatino Linotype"/>
          <w:highlight w:val="white"/>
        </w:rPr>
        <w:t xml:space="preserve"> </w:t>
      </w:r>
    </w:p>
    <w:p w14:paraId="584E2075" w14:textId="77777777" w:rsidR="00C64823" w:rsidRDefault="004C1404">
      <w:pPr>
        <w:tabs>
          <w:tab w:val="left" w:pos="851"/>
        </w:tabs>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Sirve de apoyo a lo anterior por analogía, los criterios 01/2003 y 002/2003 emitidos por el Comité de Acceso a la Información y Protección de Datos Personales de la Suprema Corte de Justicia de la Nación que a continuación se citan: </w:t>
      </w:r>
    </w:p>
    <w:p w14:paraId="48400FE8"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Criterio 01/2003.</w:t>
      </w:r>
    </w:p>
    <w:p w14:paraId="5CAF043B"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INGRESOS DE LOS SERVIDORES PÚBLICOS. CONSTITUYEN INFORMACIÓN PÚBLICA AÚN CUANDO SU DIFUSIÓN PUEDE AFECTAR LA VIDA O LA SEGURIDAD DE AQUELLOS</w:t>
      </w:r>
      <w:r>
        <w:rPr>
          <w:rFonts w:ascii="Palatino Linotype" w:eastAsia="Palatino Linotype" w:hAnsi="Palatino Linotype" w:cs="Palatino Linotype"/>
          <w:i/>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w:t>
      </w:r>
      <w:r>
        <w:rPr>
          <w:rFonts w:ascii="Palatino Linotype" w:eastAsia="Palatino Linotype" w:hAnsi="Palatino Linotype" w:cs="Palatino Linotype"/>
          <w:i/>
          <w:sz w:val="22"/>
          <w:szCs w:val="22"/>
        </w:rPr>
        <w:lastRenderedPageBreak/>
        <w:t>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41423A2E" w14:textId="77777777" w:rsidR="00C64823" w:rsidRDefault="00C64823">
      <w:pPr>
        <w:ind w:left="851" w:right="616"/>
        <w:jc w:val="both"/>
        <w:rPr>
          <w:rFonts w:ascii="Palatino Linotype" w:eastAsia="Palatino Linotype" w:hAnsi="Palatino Linotype" w:cs="Palatino Linotype"/>
          <w:i/>
          <w:sz w:val="22"/>
          <w:szCs w:val="22"/>
        </w:rPr>
      </w:pPr>
    </w:p>
    <w:p w14:paraId="24BEBC06" w14:textId="77777777" w:rsidR="00C64823" w:rsidRDefault="004C1404">
      <w:pPr>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02/2003.</w:t>
      </w:r>
    </w:p>
    <w:p w14:paraId="443FE654" w14:textId="77777777" w:rsidR="00C64823" w:rsidRDefault="00C64823">
      <w:pPr>
        <w:ind w:left="851" w:right="616"/>
        <w:jc w:val="both"/>
        <w:rPr>
          <w:rFonts w:ascii="Palatino Linotype" w:eastAsia="Palatino Linotype" w:hAnsi="Palatino Linotype" w:cs="Palatino Linotype"/>
          <w:b/>
          <w:i/>
          <w:sz w:val="22"/>
          <w:szCs w:val="22"/>
        </w:rPr>
      </w:pPr>
    </w:p>
    <w:p w14:paraId="62740E8A" w14:textId="77777777" w:rsidR="00C64823" w:rsidRDefault="004C1404">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SON INFORMACIÓN PÚBLICA AÚN CUANDO CONSTITUYEN DATOS PERSONALES QUE SE REFIEREN AL PATRIMONIO DE AQUÉLLOS</w:t>
      </w:r>
      <w:r>
        <w:rPr>
          <w:rFonts w:ascii="Palatino Linotype" w:eastAsia="Palatino Linotype" w:hAnsi="Palatino Linotype" w:cs="Palatino Linotype"/>
          <w:i/>
          <w:sz w:val="22"/>
          <w:szCs w:val="22"/>
        </w:rPr>
        <w:t>.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195E9ECC" w14:textId="77777777" w:rsidR="00C64823" w:rsidRDefault="00C64823">
      <w:pPr>
        <w:ind w:left="851" w:right="616"/>
        <w:jc w:val="both"/>
        <w:rPr>
          <w:rFonts w:ascii="Palatino Linotype" w:eastAsia="Palatino Linotype" w:hAnsi="Palatino Linotype" w:cs="Palatino Linotype"/>
          <w:i/>
          <w:sz w:val="22"/>
          <w:szCs w:val="22"/>
        </w:rPr>
      </w:pPr>
    </w:p>
    <w:p w14:paraId="5DFEC9B4" w14:textId="77777777" w:rsidR="00C64823" w:rsidRDefault="004C1404">
      <w:pPr>
        <w:tabs>
          <w:tab w:val="left" w:pos="851"/>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debe precisarse que la obligación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generar, administrar y poseer la información detallada se encuentra prevista en los Lineamientos para la Integración del Informe Trimestral de los Sujetos de Fiscalización </w:t>
      </w:r>
      <w:r>
        <w:rPr>
          <w:rFonts w:ascii="Palatino Linotype" w:eastAsia="Palatino Linotype" w:hAnsi="Palatino Linotype" w:cs="Palatino Linotype"/>
          <w:b/>
        </w:rPr>
        <w:t>MUNICIPALES</w:t>
      </w:r>
      <w:r>
        <w:rPr>
          <w:rFonts w:ascii="Palatino Linotype" w:eastAsia="Palatino Linotype" w:hAnsi="Palatino Linotype" w:cs="Palatino Linotype"/>
        </w:rPr>
        <w:t xml:space="preserve"> para el Ejercicio 2022, emitidos por el Órgano Superior de Fiscalización del Estado de México, (los cuales definen los criterios, formatos, documentación necesaria para presentar los informes trimestrales por parte de los Sujetos Obligados; homologar la información y </w:t>
      </w:r>
      <w:proofErr w:type="spellStart"/>
      <w:r>
        <w:rPr>
          <w:rFonts w:ascii="Palatino Linotype" w:eastAsia="Palatino Linotype" w:hAnsi="Palatino Linotype" w:cs="Palatino Linotype"/>
        </w:rPr>
        <w:t>eficientar</w:t>
      </w:r>
      <w:proofErr w:type="spellEnd"/>
      <w:r>
        <w:rPr>
          <w:rFonts w:ascii="Palatino Linotype" w:eastAsia="Palatino Linotype" w:hAnsi="Palatino Linotype" w:cs="Palatino Linotype"/>
        </w:rPr>
        <w:t xml:space="preserve"> la  fiscalización; su contenido se divide en: presentación, objetivo, marco legal de </w:t>
      </w:r>
      <w:r>
        <w:rPr>
          <w:rFonts w:ascii="Palatino Linotype" w:eastAsia="Palatino Linotype" w:hAnsi="Palatino Linotype" w:cs="Palatino Linotype"/>
        </w:rPr>
        <w:lastRenderedPageBreak/>
        <w:t>actuación, disposiciones generales, disposiciones específicas, procedimiento para la fiscalización del informe trimestral, así como el proceso para su integración que debe presentar todo Sujeto Obligado; en este último, se detalla la información y respecto al tema que interesa, resulta conveniente señalar el contenido del módulo 4, sirviendo de sustento las capturas de pantalla siguientes:</w:t>
      </w:r>
    </w:p>
    <w:p w14:paraId="128CF72E" w14:textId="77777777" w:rsidR="00C64823" w:rsidRDefault="004C1404">
      <w:pPr>
        <w:tabs>
          <w:tab w:val="left" w:pos="851"/>
        </w:tabs>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3489D234" wp14:editId="2651E67D">
            <wp:extent cx="4908157" cy="3672763"/>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27823" t="13543" r="17888" b="12707"/>
                    <a:stretch>
                      <a:fillRect/>
                    </a:stretch>
                  </pic:blipFill>
                  <pic:spPr>
                    <a:xfrm>
                      <a:off x="0" y="0"/>
                      <a:ext cx="4908157" cy="3672763"/>
                    </a:xfrm>
                    <a:prstGeom prst="rect">
                      <a:avLst/>
                    </a:prstGeom>
                    <a:ln/>
                  </pic:spPr>
                </pic:pic>
              </a:graphicData>
            </a:graphic>
          </wp:inline>
        </w:drawing>
      </w:r>
      <w:r>
        <w:rPr>
          <w:noProof/>
          <w:lang w:eastAsia="es-MX"/>
        </w:rPr>
        <mc:AlternateContent>
          <mc:Choice Requires="wpg">
            <w:drawing>
              <wp:anchor distT="0" distB="0" distL="114300" distR="114300" simplePos="0" relativeHeight="251658240" behindDoc="0" locked="0" layoutInCell="1" hidden="0" allowOverlap="1" wp14:anchorId="2F041BD5" wp14:editId="4BAC8CBA">
                <wp:simplePos x="0" y="0"/>
                <wp:positionH relativeFrom="column">
                  <wp:posOffset>76201</wp:posOffset>
                </wp:positionH>
                <wp:positionV relativeFrom="paragraph">
                  <wp:posOffset>4572000</wp:posOffset>
                </wp:positionV>
                <wp:extent cx="5564021" cy="3121072"/>
                <wp:effectExtent l="0" t="0" r="0" b="0"/>
                <wp:wrapNone/>
                <wp:docPr id="38" name="Conector recto de flecha 38"/>
                <wp:cNvGraphicFramePr/>
                <a:graphic xmlns:a="http://schemas.openxmlformats.org/drawingml/2006/main">
                  <a:graphicData uri="http://schemas.microsoft.com/office/word/2010/wordprocessingShape">
                    <wps:wsp>
                      <wps:cNvCnPr/>
                      <wps:spPr>
                        <a:xfrm>
                          <a:off x="2592565" y="2248039"/>
                          <a:ext cx="5506871" cy="3063922"/>
                        </a:xfrm>
                        <a:prstGeom prst="straightConnector1">
                          <a:avLst/>
                        </a:prstGeom>
                        <a:noFill/>
                        <a:ln w="19050" cap="flat" cmpd="sng">
                          <a:solidFill>
                            <a:schemeClr val="accent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4572000</wp:posOffset>
                </wp:positionV>
                <wp:extent cx="5564021" cy="3121072"/>
                <wp:effectExtent b="0" l="0" r="0" t="0"/>
                <wp:wrapNone/>
                <wp:docPr id="38"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5564021" cy="3121072"/>
                        </a:xfrm>
                        <a:prstGeom prst="rect"/>
                        <a:ln/>
                      </pic:spPr>
                    </pic:pic>
                  </a:graphicData>
                </a:graphic>
              </wp:anchor>
            </w:drawing>
          </mc:Fallback>
        </mc:AlternateContent>
      </w:r>
    </w:p>
    <w:p w14:paraId="44F34BB2" w14:textId="77777777" w:rsidR="00C64823" w:rsidRDefault="004C1404">
      <w:pPr>
        <w:tabs>
          <w:tab w:val="left" w:pos="851"/>
        </w:tabs>
        <w:spacing w:line="360" w:lineRule="auto"/>
        <w:jc w:val="center"/>
        <w:rPr>
          <w:rFonts w:ascii="Palatino Linotype" w:eastAsia="Palatino Linotype" w:hAnsi="Palatino Linotype" w:cs="Palatino Linotype"/>
        </w:rPr>
      </w:pPr>
      <w:r>
        <w:rPr>
          <w:noProof/>
          <w:lang w:eastAsia="es-MX"/>
        </w:rPr>
        <w:lastRenderedPageBreak/>
        <w:drawing>
          <wp:inline distT="0" distB="0" distL="0" distR="0" wp14:anchorId="359F86F3" wp14:editId="4408E7C7">
            <wp:extent cx="5496376" cy="2971229"/>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13237" t="18515" r="8691" b="6420"/>
                    <a:stretch>
                      <a:fillRect/>
                    </a:stretch>
                  </pic:blipFill>
                  <pic:spPr>
                    <a:xfrm>
                      <a:off x="0" y="0"/>
                      <a:ext cx="5496376" cy="2971229"/>
                    </a:xfrm>
                    <a:prstGeom prst="rect">
                      <a:avLst/>
                    </a:prstGeom>
                    <a:ln/>
                  </pic:spPr>
                </pic:pic>
              </a:graphicData>
            </a:graphic>
          </wp:inline>
        </w:drawing>
      </w:r>
    </w:p>
    <w:p w14:paraId="44ABB70B" w14:textId="77777777" w:rsidR="00C64823" w:rsidRDefault="004C1404">
      <w:pPr>
        <w:tabs>
          <w:tab w:val="left" w:pos="851"/>
        </w:tabs>
        <w:spacing w:line="360" w:lineRule="auto"/>
        <w:jc w:val="center"/>
        <w:rPr>
          <w:rFonts w:ascii="Palatino Linotype" w:eastAsia="Palatino Linotype" w:hAnsi="Palatino Linotype" w:cs="Palatino Linotype"/>
        </w:rPr>
      </w:pPr>
      <w:r>
        <w:rPr>
          <w:noProof/>
          <w:lang w:eastAsia="es-MX"/>
        </w:rPr>
        <w:drawing>
          <wp:inline distT="0" distB="0" distL="0" distR="0" wp14:anchorId="24B08C6B" wp14:editId="2407B785">
            <wp:extent cx="5062807" cy="3877468"/>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20593" t="16704" r="22378" b="5614"/>
                    <a:stretch>
                      <a:fillRect/>
                    </a:stretch>
                  </pic:blipFill>
                  <pic:spPr>
                    <a:xfrm>
                      <a:off x="0" y="0"/>
                      <a:ext cx="5062807" cy="3877468"/>
                    </a:xfrm>
                    <a:prstGeom prst="rect">
                      <a:avLst/>
                    </a:prstGeom>
                    <a:ln/>
                  </pic:spPr>
                </pic:pic>
              </a:graphicData>
            </a:graphic>
          </wp:inline>
        </w:drawing>
      </w:r>
    </w:p>
    <w:p w14:paraId="0A99F080" w14:textId="77777777" w:rsidR="00C64823" w:rsidRDefault="004C1404">
      <w:pPr>
        <w:tabs>
          <w:tab w:val="left" w:pos="851"/>
        </w:tabs>
        <w:spacing w:line="360" w:lineRule="auto"/>
        <w:jc w:val="center"/>
        <w:rPr>
          <w:rFonts w:ascii="Palatino Linotype" w:eastAsia="Palatino Linotype" w:hAnsi="Palatino Linotype" w:cs="Palatino Linotype"/>
        </w:rPr>
      </w:pPr>
      <w:r>
        <w:rPr>
          <w:noProof/>
          <w:lang w:eastAsia="es-MX"/>
        </w:rPr>
        <w:lastRenderedPageBreak/>
        <w:drawing>
          <wp:inline distT="0" distB="0" distL="0" distR="0" wp14:anchorId="57182A34" wp14:editId="5517F245">
            <wp:extent cx="5065714" cy="4518069"/>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4325" t="13081" r="25434" b="7222"/>
                    <a:stretch>
                      <a:fillRect/>
                    </a:stretch>
                  </pic:blipFill>
                  <pic:spPr>
                    <a:xfrm>
                      <a:off x="0" y="0"/>
                      <a:ext cx="5065714" cy="4518069"/>
                    </a:xfrm>
                    <a:prstGeom prst="rect">
                      <a:avLst/>
                    </a:prstGeom>
                    <a:ln/>
                  </pic:spPr>
                </pic:pic>
              </a:graphicData>
            </a:graphic>
          </wp:inline>
        </w:drawing>
      </w:r>
    </w:p>
    <w:p w14:paraId="4EAC0743" w14:textId="77777777" w:rsidR="00C64823" w:rsidRDefault="004C1404">
      <w:pPr>
        <w:tabs>
          <w:tab w:val="left" w:pos="851"/>
        </w:tabs>
        <w:spacing w:line="360" w:lineRule="auto"/>
        <w:jc w:val="center"/>
        <w:rPr>
          <w:rFonts w:ascii="Palatino Linotype" w:eastAsia="Palatino Linotype" w:hAnsi="Palatino Linotype" w:cs="Palatino Linotype"/>
        </w:rPr>
      </w:pPr>
      <w:bookmarkStart w:id="2" w:name="_GoBack"/>
      <w:r>
        <w:rPr>
          <w:noProof/>
          <w:lang w:eastAsia="es-MX"/>
        </w:rPr>
        <w:drawing>
          <wp:inline distT="0" distB="0" distL="0" distR="0" wp14:anchorId="12B611B1" wp14:editId="6DD177DC">
            <wp:extent cx="5442102" cy="2394032"/>
            <wp:effectExtent l="0" t="0" r="0" b="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24213" t="26362" r="25886" b="34594"/>
                    <a:stretch>
                      <a:fillRect/>
                    </a:stretch>
                  </pic:blipFill>
                  <pic:spPr>
                    <a:xfrm>
                      <a:off x="0" y="0"/>
                      <a:ext cx="5442102" cy="2394032"/>
                    </a:xfrm>
                    <a:prstGeom prst="rect">
                      <a:avLst/>
                    </a:prstGeom>
                    <a:ln/>
                  </pic:spPr>
                </pic:pic>
              </a:graphicData>
            </a:graphic>
          </wp:inline>
        </w:drawing>
      </w:r>
      <w:bookmarkEnd w:id="2"/>
    </w:p>
    <w:p w14:paraId="389F67FD"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consecuencia, resulta evidente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en el presente asunto, cuenta con las facultades para generar el documento a través del cual se puede atender la solicitud materia del requerimiento en análisis, resaltando que la conciliación de nómina que se analizó es el documento en el que pudiera obrar la información solicitada motivo por el cual con la finalidad de garantizar el pleno ejercicio del derecho de acceso a la información pública, este Instituto considera pertinente ordenar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previa búsqueda exhaustiva y razonable haga entrega del documento referido de la segunda quincena de enero y las dos quincenas del mes de febrero de dos mil veintidós, en </w:t>
      </w:r>
      <w:r>
        <w:rPr>
          <w:rFonts w:ascii="Palatino Linotype" w:eastAsia="Palatino Linotype" w:hAnsi="Palatino Linotype" w:cs="Palatino Linotype"/>
          <w:b/>
        </w:rPr>
        <w:t>versión pública</w:t>
      </w:r>
      <w:r>
        <w:rPr>
          <w:rFonts w:ascii="Palatino Linotype" w:eastAsia="Palatino Linotype" w:hAnsi="Palatino Linotype" w:cs="Palatino Linotype"/>
        </w:rPr>
        <w:t>.</w:t>
      </w:r>
    </w:p>
    <w:p w14:paraId="566515CC"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Respecto de la documentación con la cual se podría colmar la solicitud de información, resulta oportuno observar lo dispuesto en los artículos 3, fracciones IX, XX, XXI y XLV; 4, 91, 143, 51 y 137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servidores públicos.</w:t>
      </w:r>
    </w:p>
    <w:p w14:paraId="7F02187C"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w:t>
      </w:r>
      <w:r>
        <w:rPr>
          <w:rFonts w:ascii="Palatino Linotype" w:eastAsia="Palatino Linotype" w:hAnsi="Palatino Linotype" w:cs="Palatino Linotype"/>
        </w:rPr>
        <w:lastRenderedPageBreak/>
        <w:t xml:space="preserve">deberá estar justificado en la Ley, tal como lo dispone el artículo 38 de la Ley de Protección de Datos Personales en Posesión de Sujetos Obligados del Estado de México y Municipios. </w:t>
      </w:r>
    </w:p>
    <w:p w14:paraId="0E724409"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0A8D1D4"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y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y los que de manera sucinta se analizan a continuación, entre otros.</w:t>
      </w:r>
    </w:p>
    <w:p w14:paraId="77869392"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00D834EA"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172A5A4"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Lo anterior es compartido por el Instituto Nacional de Transparencia, Acceso a la Información y Protección de Datos (INAI) a través del Criterio 19/17, el cual es del tenor literal siguiente:</w:t>
      </w:r>
    </w:p>
    <w:p w14:paraId="264933A3" w14:textId="77777777" w:rsidR="00C64823" w:rsidRDefault="004C1404">
      <w:pPr>
        <w:ind w:left="851" w:right="902"/>
        <w:jc w:val="both"/>
        <w:rPr>
          <w:rFonts w:ascii="Arial" w:eastAsia="Arial" w:hAnsi="Arial" w:cs="Arial"/>
          <w:sz w:val="22"/>
          <w:szCs w:val="22"/>
        </w:rPr>
      </w:pPr>
      <w:r>
        <w:rPr>
          <w:rFonts w:ascii="Palatino Linotype" w:eastAsia="Palatino Linotype" w:hAnsi="Palatino Linotype" w:cs="Palatino Linotype"/>
          <w:b/>
          <w:i/>
          <w:sz w:val="22"/>
          <w:szCs w:val="22"/>
        </w:rPr>
        <w:t xml:space="preserve">“Registro Federal de Contribuyentes (RFC) de personas físicas. </w:t>
      </w:r>
      <w:r>
        <w:rPr>
          <w:rFonts w:ascii="Palatino Linotype" w:eastAsia="Palatino Linotype" w:hAnsi="Palatino Linotype" w:cs="Palatino Linotype"/>
          <w:i/>
          <w:sz w:val="22"/>
          <w:szCs w:val="22"/>
        </w:rPr>
        <w:t>El RFC es una clave de carácter fiscal, única e irrepetible, que permite identificar al titular, su edad y fecha de nacimiento, por lo que es un dato personal de carácter confidencial.” (Sic)</w:t>
      </w:r>
    </w:p>
    <w:p w14:paraId="614EB5E3" w14:textId="77777777" w:rsidR="00C64823" w:rsidRDefault="004C140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el RFC se vincula al nombre de su titular y permite identificar la edad de la persona, su fecha de nacimiento, así como su </w:t>
      </w:r>
      <w:proofErr w:type="spellStart"/>
      <w:r>
        <w:rPr>
          <w:rFonts w:ascii="Palatino Linotype" w:eastAsia="Palatino Linotype" w:hAnsi="Palatino Linotype" w:cs="Palatino Linotype"/>
          <w:color w:val="000000"/>
        </w:rPr>
        <w:t>homoclave</w:t>
      </w:r>
      <w:proofErr w:type="spellEnd"/>
      <w:r>
        <w:rPr>
          <w:rFonts w:ascii="Palatino Linotype" w:eastAsia="Palatino Linotype" w:hAnsi="Palatino Linotype" w:cs="Palatino Linotype"/>
          <w:color w:val="000000"/>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23A4A377" w14:textId="77777777" w:rsidR="00C64823" w:rsidRDefault="004C140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E1FCDDD"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Argumento que es compartido por el Instituto Nacional de Transparencia, Acceso a la Información y Protección de Datos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 xml:space="preserve">criterio número 18/17, el cual refiere: </w:t>
      </w:r>
    </w:p>
    <w:p w14:paraId="25299BFC" w14:textId="77777777" w:rsidR="00C64823" w:rsidRDefault="004C1404">
      <w:pPr>
        <w:pBdr>
          <w:top w:val="nil"/>
          <w:left w:val="nil"/>
          <w:bottom w:val="nil"/>
          <w:right w:val="nil"/>
          <w:between w:val="nil"/>
        </w:pBdr>
        <w:ind w:left="851" w:right="902"/>
        <w:jc w:val="both"/>
        <w:rPr>
          <w:rFonts w:ascii="Arial" w:eastAsia="Arial" w:hAnsi="Arial" w:cs="Arial"/>
          <w:b/>
          <w:color w:val="000000"/>
          <w:sz w:val="22"/>
          <w:szCs w:val="22"/>
        </w:rPr>
      </w:pPr>
      <w:r>
        <w:rPr>
          <w:rFonts w:ascii="Palatino Linotype" w:eastAsia="Palatino Linotype" w:hAnsi="Palatino Linotype" w:cs="Palatino Linotype"/>
          <w:b/>
          <w:i/>
          <w:color w:val="000000"/>
          <w:sz w:val="22"/>
          <w:szCs w:val="22"/>
        </w:rPr>
        <w:t xml:space="preserve">“Clave Única de Registro de Población (CURP). </w:t>
      </w:r>
      <w:r>
        <w:rPr>
          <w:rFonts w:ascii="Palatino Linotype" w:eastAsia="Palatino Linotype" w:hAnsi="Palatino Linotype" w:cs="Palatino Linotype"/>
          <w:i/>
          <w:color w:val="000000"/>
          <w:sz w:val="22"/>
          <w:szCs w:val="22"/>
        </w:rPr>
        <w:t xml:space="preserve">La Clave Única de Registro de Población se integra por datos personales que sólo conciernen al particular titular de la misma, como lo son su nombre, apellidos, fecha de nacimiento, lugar </w:t>
      </w:r>
      <w:r>
        <w:rPr>
          <w:rFonts w:ascii="Palatino Linotype" w:eastAsia="Palatino Linotype" w:hAnsi="Palatino Linotype" w:cs="Palatino Linotype"/>
          <w:i/>
          <w:color w:val="000000"/>
          <w:sz w:val="22"/>
          <w:szCs w:val="22"/>
        </w:rPr>
        <w:lastRenderedPageBreak/>
        <w:t>de nacimiento y sexo. Dichos datos, constituyen información que distingue plenamente a una persona física del resto de los habitantes del país, por lo que la CURP está considerada como información confidencial.” (Sic)</w:t>
      </w:r>
    </w:p>
    <w:p w14:paraId="4851E066"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081A7855" w14:textId="77777777" w:rsidR="00C64823" w:rsidRDefault="004C140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número de ficha de identificación única de los trabajadores es información de carácter confidencial.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dicha información es susceptible de clasificarse con el carácter de confidencial</w:t>
      </w:r>
      <w:r>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7A870F18" w14:textId="77777777" w:rsidR="00C64823" w:rsidRDefault="00C64823">
      <w:pPr>
        <w:ind w:left="851" w:right="902"/>
        <w:jc w:val="both"/>
        <w:rPr>
          <w:rFonts w:ascii="Palatino Linotype" w:eastAsia="Palatino Linotype" w:hAnsi="Palatino Linotype" w:cs="Palatino Linotype"/>
          <w:i/>
          <w:sz w:val="22"/>
          <w:szCs w:val="22"/>
        </w:rPr>
      </w:pPr>
    </w:p>
    <w:p w14:paraId="2A5B1118" w14:textId="77777777" w:rsidR="00C64823" w:rsidRDefault="004C140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cuanto hace a las deducciones, para entender los límites y alcances de esta restricción, es oportuno recurrir al artículo 84 de la Ley del Trabajo de los Servidores Públicos del Estado y Municipios:</w:t>
      </w:r>
    </w:p>
    <w:p w14:paraId="02AB857D" w14:textId="77777777" w:rsidR="00C64823" w:rsidRDefault="004C1404">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84. </w:t>
      </w:r>
      <w:r>
        <w:rPr>
          <w:rFonts w:ascii="Palatino Linotype" w:eastAsia="Palatino Linotype" w:hAnsi="Palatino Linotype" w:cs="Palatino Linotype"/>
          <w:i/>
          <w:sz w:val="22"/>
          <w:szCs w:val="22"/>
        </w:rPr>
        <w:t>Sólo podrán hacerse retenciones, descuentos o deducciones al sueldo de los servidores públicos por concepto de:</w:t>
      </w:r>
    </w:p>
    <w:p w14:paraId="092CAFA1" w14:textId="77777777" w:rsidR="00C64823" w:rsidRDefault="004C140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Gravámenes fiscales relacionados con el sueldo;</w:t>
      </w:r>
    </w:p>
    <w:p w14:paraId="125A7535" w14:textId="77777777" w:rsidR="00C64823" w:rsidRDefault="004C140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334F21D3" w14:textId="77777777" w:rsidR="00C64823" w:rsidRDefault="004C140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III. Cuotas sindicales;</w:t>
      </w:r>
    </w:p>
    <w:p w14:paraId="7DD1735A" w14:textId="77777777" w:rsidR="00C64823" w:rsidRDefault="004C140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67434821" w14:textId="77777777" w:rsidR="00C64823" w:rsidRDefault="004C140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1B3308F6" w14:textId="77777777" w:rsidR="00C64823" w:rsidRDefault="004C140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0FEB7939" w14:textId="77777777" w:rsidR="00C64823" w:rsidRDefault="004C140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Faltas de puntualidad o de asistencia injustificadas;</w:t>
      </w:r>
    </w:p>
    <w:p w14:paraId="5796277E" w14:textId="77777777" w:rsidR="00C64823" w:rsidRDefault="004C140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14:paraId="3675F7EC" w14:textId="77777777" w:rsidR="00C64823" w:rsidRDefault="004C1404">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14:paraId="66B4E8D5" w14:textId="77777777" w:rsidR="00C64823" w:rsidRDefault="004C140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455513E3" w14:textId="77777777" w:rsidR="00C64823" w:rsidRDefault="004C140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6BE8C381"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es procedente ordenar la entrega del Acuerdo del Comité de Transparencia por el que se clasificó la información ordenada, es decir, deberá emitir el acuerdo correspondiente de manera fundada y motivada, mediante el cual testó y/o disoció aquellos elementos señalados en la presente resolución, en el entendido </w:t>
      </w:r>
      <w:r>
        <w:rPr>
          <w:rFonts w:ascii="Palatino Linotype" w:eastAsia="Palatino Linotype" w:hAnsi="Palatino Linotype" w:cs="Palatino Linotype"/>
        </w:rPr>
        <w:lastRenderedPageBreak/>
        <w:t>de que debe ser pública toda la demás información relacionada que no encuadre en los conceptos anteriores.</w:t>
      </w:r>
    </w:p>
    <w:p w14:paraId="5BA1161C"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esta manera,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DDA1FE4" w14:textId="77777777" w:rsidR="00C64823" w:rsidRDefault="004C140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Entonces,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 que son del siguiente tenor:</w:t>
      </w:r>
    </w:p>
    <w:p w14:paraId="44064100" w14:textId="77777777" w:rsidR="00C64823" w:rsidRDefault="004C1404">
      <w:pPr>
        <w:pBdr>
          <w:top w:val="nil"/>
          <w:left w:val="nil"/>
          <w:bottom w:val="nil"/>
          <w:right w:val="nil"/>
          <w:between w:val="nil"/>
        </w:pBdr>
        <w:ind w:left="851" w:right="85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i/>
          <w:color w:val="000000"/>
          <w:sz w:val="21"/>
          <w:szCs w:val="21"/>
        </w:rPr>
        <w:t>“</w:t>
      </w:r>
      <w:r>
        <w:rPr>
          <w:rFonts w:ascii="Palatino Linotype" w:eastAsia="Palatino Linotype" w:hAnsi="Palatino Linotype" w:cs="Palatino Linotype"/>
          <w:b/>
          <w:i/>
          <w:color w:val="000000"/>
          <w:sz w:val="21"/>
          <w:szCs w:val="21"/>
        </w:rPr>
        <w:t>Artículo 137.</w:t>
      </w:r>
      <w:r>
        <w:rPr>
          <w:rFonts w:ascii="Palatino Linotype" w:eastAsia="Palatino Linotype" w:hAnsi="Palatino Linotype" w:cs="Palatino Linotype"/>
          <w:i/>
          <w:color w:val="000000"/>
          <w:sz w:val="21"/>
          <w:szCs w:val="21"/>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EF8684E" w14:textId="77777777" w:rsidR="00C64823" w:rsidRDefault="004C1404">
      <w:pPr>
        <w:pBdr>
          <w:top w:val="nil"/>
          <w:left w:val="nil"/>
          <w:bottom w:val="nil"/>
          <w:right w:val="nil"/>
          <w:between w:val="nil"/>
        </w:pBdr>
        <w:ind w:left="851" w:right="85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b/>
          <w:i/>
          <w:color w:val="000000"/>
          <w:sz w:val="21"/>
          <w:szCs w:val="21"/>
        </w:rPr>
        <w:t>Artículo 143.</w:t>
      </w:r>
      <w:r>
        <w:rPr>
          <w:rFonts w:ascii="Palatino Linotype" w:eastAsia="Palatino Linotype" w:hAnsi="Palatino Linotype" w:cs="Palatino Linotype"/>
          <w:i/>
          <w:color w:val="000000"/>
          <w:sz w:val="21"/>
          <w:szCs w:val="21"/>
        </w:rPr>
        <w:t xml:space="preserve"> Para los efectos de esta Ley se considera información confidencial, la clasificada como tal, de manera permanente, por su naturaleza, cuando:</w:t>
      </w:r>
    </w:p>
    <w:p w14:paraId="5AC640DD" w14:textId="77777777" w:rsidR="00C64823" w:rsidRDefault="004C1404">
      <w:pPr>
        <w:pBdr>
          <w:top w:val="nil"/>
          <w:left w:val="nil"/>
          <w:bottom w:val="nil"/>
          <w:right w:val="nil"/>
          <w:between w:val="nil"/>
        </w:pBdr>
        <w:ind w:left="851" w:right="85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b/>
          <w:i/>
          <w:color w:val="000000"/>
          <w:sz w:val="21"/>
          <w:szCs w:val="21"/>
        </w:rPr>
        <w:lastRenderedPageBreak/>
        <w:t>I.</w:t>
      </w:r>
      <w:r>
        <w:rPr>
          <w:rFonts w:ascii="Palatino Linotype" w:eastAsia="Palatino Linotype" w:hAnsi="Palatino Linotype" w:cs="Palatino Linotype"/>
          <w:i/>
          <w:color w:val="000000"/>
          <w:sz w:val="21"/>
          <w:szCs w:val="21"/>
        </w:rPr>
        <w:t xml:space="preserve"> Se refiera a la información privada y los datos personales concernientes a una persona física o jurídico colectiva identificada o identificable; </w:t>
      </w:r>
    </w:p>
    <w:p w14:paraId="02B357E6" w14:textId="77777777" w:rsidR="00C64823" w:rsidRDefault="004C1404">
      <w:pPr>
        <w:pBdr>
          <w:top w:val="nil"/>
          <w:left w:val="nil"/>
          <w:bottom w:val="nil"/>
          <w:right w:val="nil"/>
          <w:between w:val="nil"/>
        </w:pBdr>
        <w:ind w:left="851" w:right="85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b/>
          <w:i/>
          <w:color w:val="000000"/>
          <w:sz w:val="21"/>
          <w:szCs w:val="21"/>
        </w:rPr>
        <w:t>II.</w:t>
      </w:r>
      <w:r>
        <w:rPr>
          <w:rFonts w:ascii="Palatino Linotype" w:eastAsia="Palatino Linotype" w:hAnsi="Palatino Linotype" w:cs="Palatino Linotype"/>
          <w:i/>
          <w:color w:val="000000"/>
          <w:sz w:val="21"/>
          <w:szCs w:val="21"/>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353FBE77" w14:textId="77777777" w:rsidR="00C64823" w:rsidRDefault="004C1404">
      <w:pPr>
        <w:pBdr>
          <w:top w:val="nil"/>
          <w:left w:val="nil"/>
          <w:bottom w:val="nil"/>
          <w:right w:val="nil"/>
          <w:between w:val="nil"/>
        </w:pBdr>
        <w:ind w:left="851" w:right="85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b/>
          <w:i/>
          <w:color w:val="000000"/>
          <w:sz w:val="21"/>
          <w:szCs w:val="21"/>
        </w:rPr>
        <w:t>III.</w:t>
      </w:r>
      <w:r>
        <w:rPr>
          <w:rFonts w:ascii="Palatino Linotype" w:eastAsia="Palatino Linotype" w:hAnsi="Palatino Linotype" w:cs="Palatino Linotype"/>
          <w:i/>
          <w:color w:val="000000"/>
          <w:sz w:val="21"/>
          <w:szCs w:val="21"/>
        </w:rPr>
        <w:t xml:space="preserve"> La que presenten los particulares a los sujetos obligados, de conformidad con lo dispuesto por las leyes o los tratados internacionales. </w:t>
      </w:r>
    </w:p>
    <w:p w14:paraId="697A9FA4" w14:textId="77777777" w:rsidR="00C64823" w:rsidRDefault="004C1404">
      <w:pPr>
        <w:pBdr>
          <w:top w:val="nil"/>
          <w:left w:val="nil"/>
          <w:bottom w:val="nil"/>
          <w:right w:val="nil"/>
          <w:between w:val="nil"/>
        </w:pBdr>
        <w:ind w:left="851" w:right="85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i/>
          <w:color w:val="000000"/>
          <w:sz w:val="21"/>
          <w:szCs w:val="21"/>
        </w:rPr>
        <w:t xml:space="preserve">La información confidencial no estará sujeta a temporalidad alguna y sólo podrán tener acceso a ella los titulares de la misma, sus representantes y los servidores públicos facultados para ello. </w:t>
      </w:r>
    </w:p>
    <w:p w14:paraId="204B4134" w14:textId="77777777" w:rsidR="00C64823" w:rsidRDefault="004C1404">
      <w:pPr>
        <w:pBdr>
          <w:top w:val="nil"/>
          <w:left w:val="nil"/>
          <w:bottom w:val="nil"/>
          <w:right w:val="nil"/>
          <w:between w:val="nil"/>
        </w:pBdr>
        <w:ind w:left="851" w:right="85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i/>
          <w:color w:val="000000"/>
          <w:sz w:val="21"/>
          <w:szCs w:val="21"/>
        </w:rPr>
        <w:t>No se considerará confidencial la información que se encuentre en los registros públicos o en fuentes de acceso público, ni tampoco la que sea considerada por la presente ley como información pública.</w:t>
      </w:r>
    </w:p>
    <w:p w14:paraId="02112D94" w14:textId="77777777" w:rsidR="00C64823" w:rsidRDefault="004C1404">
      <w:pPr>
        <w:pBdr>
          <w:top w:val="nil"/>
          <w:left w:val="nil"/>
          <w:bottom w:val="nil"/>
          <w:right w:val="nil"/>
          <w:between w:val="nil"/>
        </w:pBdr>
        <w:ind w:left="851" w:right="85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b/>
          <w:i/>
          <w:color w:val="000000"/>
          <w:sz w:val="21"/>
          <w:szCs w:val="21"/>
        </w:rPr>
        <w:t>Artículo 149.</w:t>
      </w:r>
      <w:r>
        <w:rPr>
          <w:rFonts w:ascii="Palatino Linotype" w:eastAsia="Palatino Linotype" w:hAnsi="Palatino Linotype" w:cs="Palatino Linotype"/>
          <w:i/>
          <w:color w:val="000000"/>
          <w:sz w:val="21"/>
          <w:szCs w:val="21"/>
        </w:rPr>
        <w:t xml:space="preserve"> El acuerdo que clasifique la información como confidencial deberá contener un razonamiento lógico en el que demuestre que la información se encuentra en alguna o algunas de las hipótesis previstas en la presente Ley.” (Sic)</w:t>
      </w:r>
    </w:p>
    <w:p w14:paraId="680E3764" w14:textId="77777777" w:rsidR="00C64823" w:rsidRDefault="00C64823">
      <w:pPr>
        <w:pBdr>
          <w:top w:val="nil"/>
          <w:left w:val="nil"/>
          <w:bottom w:val="nil"/>
          <w:right w:val="nil"/>
          <w:between w:val="nil"/>
        </w:pBdr>
        <w:spacing w:after="240"/>
        <w:ind w:left="567"/>
        <w:jc w:val="both"/>
        <w:rPr>
          <w:rFonts w:ascii="Palatino Linotype" w:eastAsia="Palatino Linotype" w:hAnsi="Palatino Linotype" w:cs="Palatino Linotype"/>
          <w:color w:val="000000"/>
        </w:rPr>
      </w:pPr>
    </w:p>
    <w:p w14:paraId="046FF31E"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55CE6CB6" w14:textId="77777777" w:rsidR="00C64823" w:rsidRDefault="004C1404">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deberá observar lo que para tal efecto señalen los Lineamientos Generales en Materia de Clasificación y Desclasificación de la Información, así como para la elaboración de Versiones Públicas, que fueron expedidos por el Consejo Nacional del Sistema Nacional de Transparencia, Acceso a la Información Pública y Protección de Datos Personales, que dicen:</w:t>
      </w:r>
    </w:p>
    <w:p w14:paraId="6B2D5F67" w14:textId="77777777" w:rsidR="00C64823" w:rsidRDefault="004C1404">
      <w:pPr>
        <w:ind w:left="851" w:right="851"/>
        <w:jc w:val="both"/>
        <w:rPr>
          <w:rFonts w:ascii="Arial" w:eastAsia="Arial" w:hAnsi="Arial" w:cs="Arial"/>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 xml:space="preserve">Para clasificar la información como reservada o confidencial, de manera total o parcial, el titular del área del sujeto obligado deberá atender lo dispuesto </w:t>
      </w:r>
      <w:r>
        <w:rPr>
          <w:rFonts w:ascii="Palatino Linotype" w:eastAsia="Palatino Linotype" w:hAnsi="Palatino Linotype" w:cs="Palatino Linotype"/>
          <w:i/>
          <w:sz w:val="22"/>
          <w:szCs w:val="22"/>
          <w:u w:val="single"/>
        </w:rPr>
        <w:lastRenderedPageBreak/>
        <w:t>por el Título Sexto de la Ley General, en relación con las disposiciones contenidas en los presentes lineamientos, así como en aquellas disposiciones legales aplicables a la materia en el ámbito de sus respectivas competencias</w:t>
      </w:r>
      <w:r>
        <w:rPr>
          <w:rFonts w:ascii="Palatino Linotype" w:eastAsia="Palatino Linotype" w:hAnsi="Palatino Linotype" w:cs="Palatino Linotype"/>
          <w:i/>
          <w:sz w:val="22"/>
          <w:szCs w:val="22"/>
        </w:rPr>
        <w:t>, en tanto estas últimas no contravengan lo dispuesto en la Ley General.</w:t>
      </w:r>
    </w:p>
    <w:p w14:paraId="46B1D1BA" w14:textId="77777777" w:rsidR="00C64823" w:rsidRDefault="004C1404">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EC7A836" w14:textId="77777777" w:rsidR="00C64823" w:rsidRDefault="004C1404">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14:paraId="3C8CD8B7" w14:textId="77777777" w:rsidR="00C64823" w:rsidRDefault="004C1404">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Quinto. </w:t>
      </w:r>
      <w:r>
        <w:rPr>
          <w:rFonts w:ascii="Palatino Linotype" w:eastAsia="Palatino Linotype" w:hAnsi="Palatino Linotype" w:cs="Palatino Linotype"/>
          <w:i/>
          <w:sz w:val="22"/>
          <w:szCs w:val="22"/>
          <w:u w:val="single"/>
        </w:rPr>
        <w:t>La carga de la prueba para justificar toda negativa de acceso a la información, por actualizarse cualquiera de los supuestos de clasificación previstos en la Ley General</w:t>
      </w:r>
      <w:r>
        <w:rPr>
          <w:rFonts w:ascii="Palatino Linotype" w:eastAsia="Palatino Linotype" w:hAnsi="Palatino Linotype" w:cs="Palatino Linotype"/>
          <w:i/>
          <w:sz w:val="22"/>
          <w:szCs w:val="22"/>
        </w:rPr>
        <w:t>, la Ley Federal </w:t>
      </w:r>
      <w:r>
        <w:rPr>
          <w:rFonts w:ascii="Palatino Linotype" w:eastAsia="Palatino Linotype" w:hAnsi="Palatino Linotype" w:cs="Palatino Linotype"/>
          <w:i/>
          <w:sz w:val="22"/>
          <w:szCs w:val="22"/>
          <w:u w:val="single"/>
        </w:rPr>
        <w:t>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Pr>
          <w:rFonts w:ascii="Palatino Linotype" w:eastAsia="Palatino Linotype" w:hAnsi="Palatino Linotype" w:cs="Palatino Linotype"/>
          <w:i/>
          <w:sz w:val="22"/>
          <w:szCs w:val="22"/>
        </w:rPr>
        <w:t>, observando lo dispuesto en la Ley General y las demás disposiciones aplicables en la materia.</w:t>
      </w:r>
    </w:p>
    <w:p w14:paraId="0262A7B2" w14:textId="77777777" w:rsidR="00C64823" w:rsidRDefault="00C64823">
      <w:pPr>
        <w:shd w:val="clear" w:color="auto" w:fill="FFFFFF"/>
        <w:ind w:left="851" w:right="851"/>
        <w:jc w:val="both"/>
        <w:rPr>
          <w:rFonts w:ascii="Palatino Linotype" w:eastAsia="Palatino Linotype" w:hAnsi="Palatino Linotype" w:cs="Palatino Linotype"/>
          <w:b/>
          <w:i/>
          <w:sz w:val="22"/>
          <w:szCs w:val="22"/>
        </w:rPr>
      </w:pPr>
    </w:p>
    <w:p w14:paraId="1DC80885" w14:textId="77777777" w:rsidR="00C64823" w:rsidRDefault="004C1404">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Octavo. </w:t>
      </w:r>
      <w:r>
        <w:rPr>
          <w:rFonts w:ascii="Palatino Linotype" w:eastAsia="Palatino Linotype" w:hAnsi="Palatino Linotype" w:cs="Palatino Linotype"/>
          <w:i/>
          <w:sz w:val="22"/>
          <w:szCs w:val="22"/>
          <w:u w:val="single"/>
        </w:rPr>
        <w:t>Para fundar la clasificación de la información se debe señalar el artículo, fracción, inciso, párrafo o numeral de la ley o tratado internacional suscrito por el Estado mexicano que expresamente le otorga el carácter de reservada o confidencial</w:t>
      </w:r>
      <w:r>
        <w:rPr>
          <w:rFonts w:ascii="Palatino Linotype" w:eastAsia="Palatino Linotype" w:hAnsi="Palatino Linotype" w:cs="Palatino Linotype"/>
          <w:i/>
          <w:sz w:val="22"/>
          <w:szCs w:val="22"/>
        </w:rPr>
        <w:t>.</w:t>
      </w:r>
    </w:p>
    <w:p w14:paraId="1DFB9A48" w14:textId="77777777" w:rsidR="00C64823" w:rsidRDefault="004C1404">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u w:val="single"/>
        </w:rPr>
        <w:t>Para motivar la clasificación se deberán señalar las razones o circunstancias especiales que lo llevaron a concluir que el caso particular se ajusta al supuesto previsto por la norma legal invocada como fundamento.</w:t>
      </w:r>
      <w:r>
        <w:rPr>
          <w:rFonts w:ascii="Palatino Linotype" w:eastAsia="Palatino Linotype" w:hAnsi="Palatino Linotype" w:cs="Palatino Linotype"/>
          <w:i/>
          <w:sz w:val="22"/>
          <w:szCs w:val="22"/>
        </w:rPr>
        <w:t>” (Sic)</w:t>
      </w:r>
    </w:p>
    <w:p w14:paraId="585A7CF8" w14:textId="77777777" w:rsidR="00C64823" w:rsidRDefault="00C64823">
      <w:pPr>
        <w:shd w:val="clear" w:color="auto" w:fill="FFFFFF"/>
        <w:ind w:left="851" w:right="851"/>
        <w:jc w:val="both"/>
        <w:rPr>
          <w:rFonts w:ascii="Palatino Linotype" w:eastAsia="Palatino Linotype" w:hAnsi="Palatino Linotype" w:cs="Palatino Linotype"/>
          <w:i/>
          <w:sz w:val="21"/>
          <w:szCs w:val="21"/>
        </w:rPr>
      </w:pPr>
    </w:p>
    <w:p w14:paraId="22791481"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w:t>
      </w:r>
      <w:r>
        <w:rPr>
          <w:rFonts w:ascii="Palatino Linotype" w:eastAsia="Palatino Linotype" w:hAnsi="Palatino Linotype" w:cs="Palatino Linotype"/>
        </w:rPr>
        <w:lastRenderedPageBreak/>
        <w:t>comprender porque no aparecen en la documentación respectiva, es decir, si no se exponen de manera puntual las razones de ello se estaría violentando desde un inicio el derecho de acceso a la información del solicitante.</w:t>
      </w:r>
    </w:p>
    <w:p w14:paraId="1A146D9C" w14:textId="77777777" w:rsidR="00C64823" w:rsidRDefault="004C1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No se omite señalar que para el caso del personal de Seguridad Pública Municipal se deberá omitir su nombre, como parte de la versión pública que se entregue de la información que se ordena entregar, debiendo dejar visibles el cargo y área de adscripción de los mismos.</w:t>
      </w:r>
    </w:p>
    <w:p w14:paraId="1CBDBDDC" w14:textId="77777777" w:rsidR="00C64823" w:rsidRDefault="004C140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No se omite señalar que por cuanto hace al nombre de los servidores públicos que son elementos operativos de policía de la Dirección de Seguridad Pública, es información que debe considerarse como reservada, de conformidad con lo siguiente:</w:t>
      </w:r>
    </w:p>
    <w:p w14:paraId="36295FA3" w14:textId="77777777" w:rsidR="00C64823" w:rsidRDefault="00C64823">
      <w:pPr>
        <w:spacing w:line="360" w:lineRule="auto"/>
        <w:jc w:val="both"/>
        <w:rPr>
          <w:rFonts w:ascii="Palatino Linotype" w:eastAsia="Palatino Linotype" w:hAnsi="Palatino Linotype" w:cs="Palatino Linotype"/>
          <w:b/>
        </w:rPr>
      </w:pPr>
    </w:p>
    <w:p w14:paraId="6C46CB53" w14:textId="77777777" w:rsidR="00C64823" w:rsidRDefault="004C1404">
      <w:pPr>
        <w:spacing w:line="360" w:lineRule="auto"/>
        <w:jc w:val="both"/>
        <w:rPr>
          <w:rFonts w:ascii="Palatino Linotype" w:eastAsia="Palatino Linotype" w:hAnsi="Palatino Linotype" w:cs="Palatino Linotype"/>
          <w:b/>
          <w:color w:val="0D0D0D"/>
        </w:rPr>
      </w:pPr>
      <w:r>
        <w:rPr>
          <w:rFonts w:ascii="Palatino Linotype" w:eastAsia="Palatino Linotype" w:hAnsi="Palatino Linotype" w:cs="Palatino Linotype"/>
        </w:rPr>
        <w:t xml:space="preserve">Es necesario precisar que, la información respecto del personal de seguridad corresponde a información reservada; esto es, ya que los elementos operativos se dedican a combatir de manera directa a los delincuentes en el municipio, así como a prevenir la actividad delictiva. Entonces, </w:t>
      </w:r>
      <w:r>
        <w:rPr>
          <w:rFonts w:ascii="Palatino Linotype" w:eastAsia="Palatino Linotype" w:hAnsi="Palatino Linotype" w:cs="Palatino Linotype"/>
          <w:color w:val="0D0D0D"/>
        </w:rPr>
        <w:t xml:space="preserve">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Pr>
          <w:rFonts w:ascii="Palatino Linotype" w:eastAsia="Palatino Linotype" w:hAnsi="Palatino Linotype" w:cs="Palatino Linotype"/>
          <w:b/>
          <w:color w:val="0D0D0D"/>
        </w:rPr>
        <w:t>análisis caso por caso.</w:t>
      </w:r>
    </w:p>
    <w:p w14:paraId="72F32A8E" w14:textId="77777777" w:rsidR="00C64823" w:rsidRDefault="00C64823">
      <w:pPr>
        <w:spacing w:line="360" w:lineRule="auto"/>
        <w:jc w:val="both"/>
        <w:rPr>
          <w:rFonts w:ascii="Palatino Linotype" w:eastAsia="Palatino Linotype" w:hAnsi="Palatino Linotype" w:cs="Palatino Linotype"/>
          <w:b/>
          <w:color w:val="0D0D0D"/>
        </w:rPr>
      </w:pPr>
    </w:p>
    <w:p w14:paraId="75B49014" w14:textId="77777777" w:rsidR="00C64823" w:rsidRDefault="004C1404">
      <w:pPr>
        <w:spacing w:line="360" w:lineRule="auto"/>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lastRenderedPageBreak/>
        <w:t xml:space="preserve">Además, el artículo 131 de la Ley referida, así como el Quinto de los Lineamientos Generales, establecen que los sujetos obligados </w:t>
      </w:r>
      <w:r>
        <w:rPr>
          <w:rFonts w:ascii="Palatino Linotype" w:eastAsia="Palatino Linotype" w:hAnsi="Palatino Linotype" w:cs="Palatino Linotype"/>
          <w:b/>
          <w:color w:val="0D0D0D"/>
        </w:rPr>
        <w:t>deberán fundar y motivar</w:t>
      </w:r>
      <w:r>
        <w:rPr>
          <w:rFonts w:ascii="Palatino Linotype" w:eastAsia="Palatino Linotype" w:hAnsi="Palatino Linotype" w:cs="Palatino Linotype"/>
          <w:color w:val="0D0D0D"/>
        </w:rPr>
        <w:t xml:space="preserve"> debidamente la clasificación de la información.</w:t>
      </w:r>
    </w:p>
    <w:p w14:paraId="2B085145" w14:textId="77777777" w:rsidR="00C64823" w:rsidRDefault="00C64823">
      <w:pPr>
        <w:spacing w:line="360" w:lineRule="auto"/>
        <w:jc w:val="both"/>
        <w:rPr>
          <w:rFonts w:ascii="Palatino Linotype" w:eastAsia="Palatino Linotype" w:hAnsi="Palatino Linotype" w:cs="Palatino Linotype"/>
          <w:b/>
          <w:color w:val="0D0D0D"/>
        </w:rPr>
      </w:pPr>
    </w:p>
    <w:p w14:paraId="79227D3C" w14:textId="77777777" w:rsidR="00C64823" w:rsidRDefault="004C1404">
      <w:pPr>
        <w:spacing w:line="360" w:lineRule="auto"/>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Al respecto, el Octavo de los Lineamientos Generales, precisa lo siguiente:</w:t>
      </w:r>
    </w:p>
    <w:p w14:paraId="3B2B5757" w14:textId="77777777" w:rsidR="00C64823" w:rsidRDefault="00C64823">
      <w:pPr>
        <w:spacing w:line="360" w:lineRule="auto"/>
        <w:jc w:val="both"/>
        <w:rPr>
          <w:rFonts w:ascii="Palatino Linotype" w:eastAsia="Palatino Linotype" w:hAnsi="Palatino Linotype" w:cs="Palatino Linotype"/>
          <w:color w:val="0D0D0D"/>
        </w:rPr>
      </w:pPr>
    </w:p>
    <w:p w14:paraId="08C277DB" w14:textId="77777777" w:rsidR="00C64823" w:rsidRDefault="004C1404">
      <w:pPr>
        <w:numPr>
          <w:ilvl w:val="0"/>
          <w:numId w:val="2"/>
        </w:numPr>
        <w:spacing w:line="360" w:lineRule="auto"/>
        <w:jc w:val="both"/>
        <w:rPr>
          <w:rFonts w:ascii="Palatino Linotype" w:eastAsia="Palatino Linotype" w:hAnsi="Palatino Linotype" w:cs="Palatino Linotype"/>
          <w:color w:val="0D0D0D"/>
        </w:rPr>
      </w:pPr>
      <w:r>
        <w:rPr>
          <w:rFonts w:ascii="Palatino Linotype" w:eastAsia="Palatino Linotype" w:hAnsi="Palatino Linotype" w:cs="Palatino Linotype"/>
          <w:b/>
          <w:color w:val="0D0D0D"/>
        </w:rPr>
        <w:t>Para fundar la clasificación</w:t>
      </w:r>
      <w:r>
        <w:rPr>
          <w:rFonts w:ascii="Palatino Linotype" w:eastAsia="Palatino Linotype" w:hAnsi="Palatino Linotype" w:cs="Palatino Linotype"/>
          <w:color w:val="0D0D0D"/>
        </w:rPr>
        <w:t xml:space="preserve"> de la información se deberán señalar el artículo, fracción, inciso, párrafo o numeral de la Ley aplicable;</w:t>
      </w:r>
    </w:p>
    <w:p w14:paraId="277CB878" w14:textId="77777777" w:rsidR="00C64823" w:rsidRDefault="00C64823">
      <w:pPr>
        <w:spacing w:line="360" w:lineRule="auto"/>
        <w:jc w:val="both"/>
        <w:rPr>
          <w:rFonts w:ascii="Palatino Linotype" w:eastAsia="Palatino Linotype" w:hAnsi="Palatino Linotype" w:cs="Palatino Linotype"/>
          <w:color w:val="0D0D0D"/>
        </w:rPr>
      </w:pPr>
    </w:p>
    <w:p w14:paraId="76BD9800" w14:textId="77777777" w:rsidR="00C64823" w:rsidRDefault="004C1404">
      <w:pPr>
        <w:numPr>
          <w:ilvl w:val="0"/>
          <w:numId w:val="2"/>
        </w:numPr>
        <w:spacing w:line="360" w:lineRule="auto"/>
        <w:jc w:val="both"/>
        <w:rPr>
          <w:rFonts w:ascii="Palatino Linotype" w:eastAsia="Palatino Linotype" w:hAnsi="Palatino Linotype" w:cs="Palatino Linotype"/>
          <w:color w:val="0D0D0D"/>
        </w:rPr>
      </w:pPr>
      <w:r>
        <w:rPr>
          <w:rFonts w:ascii="Palatino Linotype" w:eastAsia="Palatino Linotype" w:hAnsi="Palatino Linotype" w:cs="Palatino Linotype"/>
          <w:b/>
          <w:color w:val="0D0D0D"/>
        </w:rPr>
        <w:t>Para motivar la clasificación</w:t>
      </w:r>
      <w:r>
        <w:rPr>
          <w:rFonts w:ascii="Palatino Linotype" w:eastAsia="Palatino Linotype" w:hAnsi="Palatino Linotype" w:cs="Palatino Linotype"/>
          <w:color w:val="0D0D0D"/>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627D31FB" w14:textId="77777777" w:rsidR="00C64823" w:rsidRDefault="00C64823">
      <w:pPr>
        <w:pBdr>
          <w:top w:val="nil"/>
          <w:left w:val="nil"/>
          <w:bottom w:val="nil"/>
          <w:right w:val="nil"/>
          <w:between w:val="nil"/>
        </w:pBdr>
        <w:spacing w:line="360" w:lineRule="auto"/>
        <w:ind w:left="708"/>
        <w:rPr>
          <w:rFonts w:ascii="Palatino Linotype" w:eastAsia="Palatino Linotype" w:hAnsi="Palatino Linotype" w:cs="Palatino Linotype"/>
          <w:color w:val="0D0D0D"/>
        </w:rPr>
      </w:pPr>
    </w:p>
    <w:p w14:paraId="77F35F4B" w14:textId="77777777" w:rsidR="00C64823" w:rsidRDefault="004C1404">
      <w:pPr>
        <w:spacing w:line="360" w:lineRule="auto"/>
        <w:jc w:val="both"/>
        <w:rPr>
          <w:rFonts w:ascii="Palatino Linotype" w:eastAsia="Palatino Linotype" w:hAnsi="Palatino Linotype" w:cs="Palatino Linotype"/>
          <w:b/>
          <w:color w:val="0D0D0D"/>
        </w:rPr>
      </w:pPr>
      <w:r>
        <w:rPr>
          <w:rFonts w:ascii="Palatino Linotype" w:eastAsia="Palatino Linotype" w:hAnsi="Palatino Linotype" w:cs="Palatino Linotype"/>
          <w:color w:val="0D0D0D"/>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 este.</w:t>
      </w:r>
    </w:p>
    <w:p w14:paraId="4E9BBCC7" w14:textId="77777777" w:rsidR="00C64823" w:rsidRDefault="00C64823">
      <w:pPr>
        <w:spacing w:line="360" w:lineRule="auto"/>
        <w:jc w:val="both"/>
        <w:rPr>
          <w:rFonts w:ascii="Palatino Linotype" w:eastAsia="Palatino Linotype" w:hAnsi="Palatino Linotype" w:cs="Palatino Linotype"/>
          <w:color w:val="0D0D0D"/>
        </w:rPr>
      </w:pPr>
    </w:p>
    <w:p w14:paraId="47A5F3F0" w14:textId="77777777" w:rsidR="00C64823" w:rsidRDefault="004C1404">
      <w:pPr>
        <w:spacing w:line="360" w:lineRule="auto"/>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lastRenderedPageBreak/>
        <w:t>En ese orden de ideas, el Trigésimo tercero de los Lineamientos Generales establece la forma en que se debe fundamentar y motivar la reserva de la información, es decir, a través de los siguientes pasos:</w:t>
      </w:r>
    </w:p>
    <w:p w14:paraId="448C0944" w14:textId="77777777" w:rsidR="00C64823" w:rsidRDefault="00C64823">
      <w:pPr>
        <w:spacing w:line="360" w:lineRule="auto"/>
        <w:jc w:val="both"/>
        <w:rPr>
          <w:rFonts w:ascii="Palatino Linotype" w:eastAsia="Palatino Linotype" w:hAnsi="Palatino Linotype" w:cs="Palatino Linotype"/>
          <w:color w:val="0D0D0D"/>
        </w:rPr>
      </w:pPr>
    </w:p>
    <w:p w14:paraId="4B4C4FB1" w14:textId="77777777" w:rsidR="00C64823" w:rsidRDefault="004C1404">
      <w:pPr>
        <w:numPr>
          <w:ilvl w:val="0"/>
          <w:numId w:val="3"/>
        </w:numPr>
        <w:spacing w:line="360" w:lineRule="auto"/>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499A18E9" w14:textId="77777777" w:rsidR="00C64823" w:rsidRDefault="00C64823">
      <w:pPr>
        <w:spacing w:line="360" w:lineRule="auto"/>
        <w:ind w:left="720"/>
        <w:jc w:val="both"/>
        <w:rPr>
          <w:rFonts w:ascii="Palatino Linotype" w:eastAsia="Palatino Linotype" w:hAnsi="Palatino Linotype" w:cs="Palatino Linotype"/>
          <w:color w:val="0D0D0D"/>
        </w:rPr>
      </w:pPr>
    </w:p>
    <w:p w14:paraId="37BA73CB" w14:textId="77777777" w:rsidR="00C64823" w:rsidRDefault="004C1404">
      <w:pPr>
        <w:numPr>
          <w:ilvl w:val="0"/>
          <w:numId w:val="3"/>
        </w:numPr>
        <w:spacing w:line="360" w:lineRule="auto"/>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Se deberá demostrar que la publicidad de la información generaría un riesgo de perjuicio, que rebasa el interés público;</w:t>
      </w:r>
    </w:p>
    <w:p w14:paraId="06F901B9" w14:textId="77777777" w:rsidR="00C64823" w:rsidRDefault="00C64823">
      <w:pPr>
        <w:pBdr>
          <w:top w:val="nil"/>
          <w:left w:val="nil"/>
          <w:bottom w:val="nil"/>
          <w:right w:val="nil"/>
          <w:between w:val="nil"/>
        </w:pBdr>
        <w:spacing w:line="360" w:lineRule="auto"/>
        <w:ind w:left="708"/>
        <w:rPr>
          <w:rFonts w:ascii="Palatino Linotype" w:eastAsia="Palatino Linotype" w:hAnsi="Palatino Linotype" w:cs="Palatino Linotype"/>
          <w:color w:val="0D0D0D"/>
        </w:rPr>
      </w:pPr>
    </w:p>
    <w:p w14:paraId="19C3DAEB" w14:textId="77777777" w:rsidR="00C64823" w:rsidRDefault="004C1404">
      <w:pPr>
        <w:numPr>
          <w:ilvl w:val="0"/>
          <w:numId w:val="3"/>
        </w:numPr>
        <w:spacing w:line="360" w:lineRule="auto"/>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Se acreditará el vínculo entre la difusión de la información y la afectación del interés jurídico tutelado;</w:t>
      </w:r>
    </w:p>
    <w:p w14:paraId="09B23281" w14:textId="77777777" w:rsidR="00C64823" w:rsidRDefault="00C64823">
      <w:pPr>
        <w:spacing w:line="360" w:lineRule="auto"/>
        <w:ind w:left="720"/>
        <w:rPr>
          <w:rFonts w:ascii="Palatino Linotype" w:eastAsia="Palatino Linotype" w:hAnsi="Palatino Linotype" w:cs="Palatino Linotype"/>
          <w:color w:val="0D0D0D"/>
        </w:rPr>
      </w:pPr>
    </w:p>
    <w:p w14:paraId="14483D22" w14:textId="77777777" w:rsidR="00C64823" w:rsidRDefault="004C1404">
      <w:pPr>
        <w:numPr>
          <w:ilvl w:val="0"/>
          <w:numId w:val="3"/>
        </w:numPr>
        <w:spacing w:line="360" w:lineRule="auto"/>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Se precisará las razones objetivas por las que la apertura de la información generaría una afectación, por medio del riesgo real, demostrable e identificable;</w:t>
      </w:r>
    </w:p>
    <w:p w14:paraId="325DF2A8" w14:textId="77777777" w:rsidR="00C64823" w:rsidRDefault="00C64823">
      <w:pPr>
        <w:spacing w:line="360" w:lineRule="auto"/>
        <w:ind w:left="720"/>
        <w:rPr>
          <w:rFonts w:ascii="Palatino Linotype" w:eastAsia="Palatino Linotype" w:hAnsi="Palatino Linotype" w:cs="Palatino Linotype"/>
          <w:color w:val="0D0D0D"/>
        </w:rPr>
      </w:pPr>
    </w:p>
    <w:p w14:paraId="5932DE70" w14:textId="77777777" w:rsidR="00C64823" w:rsidRDefault="004C1404">
      <w:pPr>
        <w:numPr>
          <w:ilvl w:val="0"/>
          <w:numId w:val="3"/>
        </w:numPr>
        <w:spacing w:line="360" w:lineRule="auto"/>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Se deberán señalar las circunstancias de modo, tiempo y lugar del daño, y</w:t>
      </w:r>
    </w:p>
    <w:p w14:paraId="0F8C4C80" w14:textId="77777777" w:rsidR="00C64823" w:rsidRDefault="00C64823">
      <w:pPr>
        <w:spacing w:line="360" w:lineRule="auto"/>
        <w:ind w:left="720"/>
        <w:rPr>
          <w:rFonts w:ascii="Palatino Linotype" w:eastAsia="Palatino Linotype" w:hAnsi="Palatino Linotype" w:cs="Palatino Linotype"/>
          <w:color w:val="0D0D0D"/>
        </w:rPr>
      </w:pPr>
    </w:p>
    <w:p w14:paraId="145F8DDD" w14:textId="77777777" w:rsidR="00C64823" w:rsidRDefault="004C1404">
      <w:pPr>
        <w:numPr>
          <w:ilvl w:val="0"/>
          <w:numId w:val="3"/>
        </w:numPr>
        <w:spacing w:line="360" w:lineRule="auto"/>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Se elegirá la opción de excepción al acceso a la información que menos restrinja, la cual será adecuada y proporcional para la protección del interés público.</w:t>
      </w:r>
    </w:p>
    <w:p w14:paraId="30D21614" w14:textId="77777777" w:rsidR="00C64823" w:rsidRDefault="00C64823">
      <w:pPr>
        <w:pBdr>
          <w:top w:val="nil"/>
          <w:left w:val="nil"/>
          <w:bottom w:val="nil"/>
          <w:right w:val="nil"/>
          <w:between w:val="nil"/>
        </w:pBdr>
        <w:spacing w:line="360" w:lineRule="auto"/>
        <w:ind w:left="708"/>
        <w:rPr>
          <w:rFonts w:ascii="Palatino Linotype" w:eastAsia="Palatino Linotype" w:hAnsi="Palatino Linotype" w:cs="Palatino Linotype"/>
          <w:color w:val="0D0D0D"/>
        </w:rPr>
      </w:pPr>
    </w:p>
    <w:p w14:paraId="06A5B8FD" w14:textId="77777777" w:rsidR="00C64823" w:rsidRDefault="004C140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D0D0D"/>
        </w:rPr>
        <w:t xml:space="preserve">De acuerdo con lo expuesto, </w:t>
      </w:r>
      <w:r>
        <w:rPr>
          <w:rFonts w:ascii="Palatino Linotype" w:eastAsia="Palatino Linotype" w:hAnsi="Palatino Linotype" w:cs="Palatino Linotype"/>
        </w:rPr>
        <w:t>el Sujeto Obligado, debe fundar y motivar la existencia de información reserva al momento del cumplimiento del Recurso, con la entrega del Acta del Comité de Transparencia con la prueba de daño respectiva,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 en términos del Trigésimo tercero de los Lineamientos Generales, relacionado con el artículo 129 de la Ley de Transparencia y Acceso a la Información Pública del Estado de México y Municipios, de acuerdo con lo siguiente:</w:t>
      </w:r>
    </w:p>
    <w:p w14:paraId="1EB66C79" w14:textId="77777777" w:rsidR="00C64823" w:rsidRDefault="00C64823">
      <w:pPr>
        <w:spacing w:line="360" w:lineRule="auto"/>
        <w:jc w:val="both"/>
        <w:rPr>
          <w:rFonts w:ascii="Palatino Linotype" w:eastAsia="Palatino Linotype" w:hAnsi="Palatino Linotype" w:cs="Palatino Linotype"/>
        </w:rPr>
      </w:pPr>
    </w:p>
    <w:p w14:paraId="576C1806" w14:textId="77777777" w:rsidR="00C64823" w:rsidRDefault="004C1404">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w:t>
      </w:r>
      <w:r>
        <w:rPr>
          <w:rFonts w:ascii="Palatino Linotype" w:eastAsia="Palatino Linotype" w:hAnsi="Palatino Linotype" w:cs="Palatino Linotype"/>
          <w:b/>
        </w:rPr>
        <w:t xml:space="preserve"> </w:t>
      </w:r>
      <w:r>
        <w:rPr>
          <w:rFonts w:ascii="Palatino Linotype" w:eastAsia="Palatino Linotype" w:hAnsi="Palatino Linotype" w:cs="Palatino Linotype"/>
        </w:rPr>
        <w:t>artículo 140, fracción IV, de la Ley de Transparencia y Acceso a la Información Pública del Estado de México y Municipios, (homólogo a parte del artículo 113, fracción V de la Ley General de Transparencia y Acceso a la Información Pública), prevé lo siguiente:</w:t>
      </w:r>
    </w:p>
    <w:p w14:paraId="68E2959D" w14:textId="77777777" w:rsidR="00C64823" w:rsidRDefault="00C64823">
      <w:pPr>
        <w:spacing w:line="360" w:lineRule="auto"/>
        <w:jc w:val="both"/>
        <w:rPr>
          <w:rFonts w:ascii="Palatino Linotype" w:eastAsia="Palatino Linotype" w:hAnsi="Palatino Linotype" w:cs="Palatino Linotype"/>
          <w:sz w:val="22"/>
          <w:szCs w:val="22"/>
        </w:rPr>
      </w:pPr>
    </w:p>
    <w:p w14:paraId="57929667" w14:textId="77777777" w:rsidR="00C64823" w:rsidRDefault="004C1404">
      <w:pPr>
        <w:tabs>
          <w:tab w:val="left" w:pos="4962"/>
        </w:tabs>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140.</w:t>
      </w:r>
      <w:r>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2DA0DC9D" w14:textId="77777777" w:rsidR="00C64823" w:rsidRDefault="004C1404">
      <w:pPr>
        <w:tabs>
          <w:tab w:val="left" w:pos="4962"/>
        </w:tabs>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al III…</w:t>
      </w:r>
    </w:p>
    <w:p w14:paraId="0F3C3BCB" w14:textId="77777777" w:rsidR="00C64823" w:rsidRDefault="004C1404">
      <w:pPr>
        <w:tabs>
          <w:tab w:val="left" w:pos="4962"/>
        </w:tabs>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Ponga en riesgo la vida, la seguridad o la salud de una persona física;</w:t>
      </w:r>
    </w:p>
    <w:p w14:paraId="14CE9C89" w14:textId="77777777" w:rsidR="00C64823" w:rsidRDefault="004C1404">
      <w:pPr>
        <w:tabs>
          <w:tab w:val="left" w:pos="4962"/>
        </w:tabs>
        <w:spacing w:line="360"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al XI…</w:t>
      </w:r>
    </w:p>
    <w:p w14:paraId="5557F9AD" w14:textId="77777777" w:rsidR="00C64823" w:rsidRDefault="00C64823">
      <w:pPr>
        <w:spacing w:line="360" w:lineRule="auto"/>
        <w:jc w:val="both"/>
        <w:rPr>
          <w:rFonts w:ascii="Palatino Linotype" w:eastAsia="Palatino Linotype" w:hAnsi="Palatino Linotype" w:cs="Palatino Linotype"/>
          <w:sz w:val="22"/>
          <w:szCs w:val="22"/>
        </w:rPr>
      </w:pPr>
    </w:p>
    <w:p w14:paraId="2B124DBF" w14:textId="77777777" w:rsidR="00C64823" w:rsidRDefault="004C140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citado se desprende que como información reservada podrá clasificarse aquella cuya publicación pueda poner en riesgo la vida, seguridad o </w:t>
      </w:r>
      <w:r>
        <w:rPr>
          <w:rFonts w:ascii="Palatino Linotype" w:eastAsia="Palatino Linotype" w:hAnsi="Palatino Linotype" w:cs="Palatino Linotype"/>
        </w:rPr>
        <w:lastRenderedPageBreak/>
        <w:t>salud de una persona física; para acreditar lo anterior, los Lineamientos Generales, establecen lo siguiente:</w:t>
      </w:r>
    </w:p>
    <w:p w14:paraId="783D6170" w14:textId="77777777" w:rsidR="00C64823" w:rsidRDefault="00C64823">
      <w:pPr>
        <w:spacing w:line="360" w:lineRule="auto"/>
        <w:jc w:val="both"/>
        <w:rPr>
          <w:rFonts w:ascii="Palatino Linotype" w:eastAsia="Palatino Linotype" w:hAnsi="Palatino Linotype" w:cs="Palatino Linotype"/>
        </w:rPr>
      </w:pPr>
    </w:p>
    <w:p w14:paraId="65D009B6" w14:textId="77777777" w:rsidR="00C64823" w:rsidRDefault="004C1404">
      <w:pPr>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Vigésimo tercero. </w:t>
      </w:r>
      <w:r>
        <w:rPr>
          <w:rFonts w:ascii="Palatino Linotype" w:eastAsia="Palatino Linotype" w:hAnsi="Palatino Linotype" w:cs="Palatino Linotype"/>
          <w:i/>
          <w:sz w:val="22"/>
          <w:szCs w:val="22"/>
        </w:rPr>
        <w:t>Para clasificar la información como reservada, de conformidad con el artículo 113, fracción V de la Ley General, será necesario acreditar un vínculo, entre la persona física y la información que pueda poner en riesgo su vida, seguridad o salud.</w:t>
      </w:r>
    </w:p>
    <w:p w14:paraId="7911670D" w14:textId="77777777" w:rsidR="00C64823" w:rsidRDefault="004C1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Lineamiento referido, se desprende que para clasificar la información como reservada, será necesario </w:t>
      </w:r>
      <w:r>
        <w:rPr>
          <w:rFonts w:ascii="Palatino Linotype" w:eastAsia="Palatino Linotype" w:hAnsi="Palatino Linotype" w:cs="Palatino Linotype"/>
          <w:b/>
        </w:rPr>
        <w:t>acreditar un vínculo, entre la persona física y la información que pueda poner en riesgo su vida, seguridad o salud</w:t>
      </w:r>
      <w:r>
        <w:rPr>
          <w:rFonts w:ascii="Palatino Linotype" w:eastAsia="Palatino Linotype" w:hAnsi="Palatino Linotype" w:cs="Palatino Linotype"/>
        </w:rPr>
        <w:t>.</w:t>
      </w:r>
    </w:p>
    <w:p w14:paraId="2BAB590E" w14:textId="77777777" w:rsidR="00C64823" w:rsidRDefault="004C1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el artículo 81, fracción III, de la Ley de Seguridad del Estado de México, establece lo siguiente:</w:t>
      </w:r>
    </w:p>
    <w:p w14:paraId="67844753" w14:textId="77777777" w:rsidR="00C64823" w:rsidRDefault="004C1404">
      <w:pPr>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81.-</w:t>
      </w:r>
      <w:r>
        <w:rPr>
          <w:rFonts w:ascii="Palatino Linotype" w:eastAsia="Palatino Linotype" w:hAnsi="Palatino Linotype" w:cs="Palatino Linotype"/>
          <w:i/>
          <w:sz w:val="22"/>
          <w:szCs w:val="22"/>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58B121CE" w14:textId="77777777" w:rsidR="00C64823" w:rsidRDefault="004C1404">
      <w:pPr>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E6AAFD5" w14:textId="77777777" w:rsidR="00C64823" w:rsidRDefault="004C1404">
      <w:pPr>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relativa a los servidores públicos integrantes de las instituciones de seguridad pública, cuya revelación pueda poner en riesgo su vida e integridad física con motivo de sus funciones;</w:t>
      </w:r>
    </w:p>
    <w:p w14:paraId="7DE8499A" w14:textId="77777777" w:rsidR="00C64823" w:rsidRDefault="004C1404">
      <w:pPr>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35CA73C" w14:textId="77777777" w:rsidR="00C64823" w:rsidRDefault="00C64823">
      <w:pPr>
        <w:spacing w:line="360" w:lineRule="auto"/>
        <w:jc w:val="both"/>
        <w:rPr>
          <w:rFonts w:ascii="Palatino Linotype" w:eastAsia="Palatino Linotype" w:hAnsi="Palatino Linotype" w:cs="Palatino Linotype"/>
        </w:rPr>
      </w:pPr>
    </w:p>
    <w:p w14:paraId="2488803D" w14:textId="77777777" w:rsidR="00C64823" w:rsidRDefault="004C140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23AC7D07" w14:textId="77777777" w:rsidR="00C64823" w:rsidRDefault="00C64823">
      <w:pPr>
        <w:spacing w:line="360" w:lineRule="auto"/>
        <w:jc w:val="both"/>
        <w:rPr>
          <w:rFonts w:ascii="Palatino Linotype" w:eastAsia="Palatino Linotype" w:hAnsi="Palatino Linotype" w:cs="Palatino Linotype"/>
        </w:rPr>
      </w:pPr>
    </w:p>
    <w:p w14:paraId="2B45395B" w14:textId="77777777" w:rsidR="00C64823" w:rsidRDefault="004C140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contexto, tal como se precisó en párrafos anteriores, </w:t>
      </w:r>
      <w:r>
        <w:rPr>
          <w:rFonts w:ascii="Palatino Linotype" w:eastAsia="Palatino Linotype" w:hAnsi="Palatino Linotype" w:cs="Palatino Linotype"/>
          <w:b/>
        </w:rPr>
        <w:t xml:space="preserve">los datos de servidores públicos, entre los que se encuentran el nombre de los trabajadores, por regla general, </w:t>
      </w:r>
      <w:r>
        <w:rPr>
          <w:rFonts w:ascii="Palatino Linotype" w:eastAsia="Palatino Linotype" w:hAnsi="Palatino Linotype" w:cs="Palatino Linotype"/>
        </w:rPr>
        <w:t>son de naturaleza pública, ya que su publicidad orienta a cumplir los objetivos que persigue la Ley.</w:t>
      </w:r>
    </w:p>
    <w:p w14:paraId="19B61A4C" w14:textId="77777777" w:rsidR="00C64823" w:rsidRDefault="00C64823">
      <w:pPr>
        <w:spacing w:line="360" w:lineRule="auto"/>
        <w:jc w:val="both"/>
        <w:rPr>
          <w:rFonts w:ascii="Palatino Linotype" w:eastAsia="Palatino Linotype" w:hAnsi="Palatino Linotype" w:cs="Palatino Linotype"/>
        </w:rPr>
      </w:pPr>
    </w:p>
    <w:p w14:paraId="7A1B9EF6" w14:textId="77777777" w:rsidR="00C64823" w:rsidRDefault="004C140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No obstante, resulta necesario traer a colación por analogía, el Criterio 06/09, emitido por el entonces Instituto Federal de Acceso a la Información y Protección de Datos ahora Instituto Nacional de Transparencia, Acceso a la Información y Protección de Datos Personales, que establece lo siguiente:</w:t>
      </w:r>
    </w:p>
    <w:p w14:paraId="10AE3CE7" w14:textId="77777777" w:rsidR="00C64823" w:rsidRDefault="00C64823">
      <w:pPr>
        <w:spacing w:line="360" w:lineRule="auto"/>
        <w:jc w:val="both"/>
        <w:rPr>
          <w:rFonts w:ascii="Palatino Linotype" w:eastAsia="Palatino Linotype" w:hAnsi="Palatino Linotype" w:cs="Palatino Linotype"/>
          <w:i/>
          <w:sz w:val="22"/>
          <w:szCs w:val="22"/>
        </w:rPr>
      </w:pPr>
    </w:p>
    <w:p w14:paraId="07633560" w14:textId="77777777" w:rsidR="00C64823" w:rsidRDefault="004C1404">
      <w:pPr>
        <w:tabs>
          <w:tab w:val="left" w:pos="4962"/>
        </w:tabs>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040353FC" w14:textId="77777777" w:rsidR="00C64823" w:rsidRDefault="00C64823">
      <w:pPr>
        <w:spacing w:line="360" w:lineRule="auto"/>
        <w:jc w:val="both"/>
        <w:rPr>
          <w:rFonts w:ascii="Palatino Linotype" w:eastAsia="Palatino Linotype" w:hAnsi="Palatino Linotype" w:cs="Palatino Linotype"/>
          <w:sz w:val="22"/>
          <w:szCs w:val="22"/>
        </w:rPr>
      </w:pPr>
    </w:p>
    <w:p w14:paraId="0EB98F31" w14:textId="77777777" w:rsidR="00C64823" w:rsidRDefault="004C140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7FB6F774" w14:textId="77777777" w:rsidR="00C64823" w:rsidRDefault="00C64823">
      <w:pPr>
        <w:spacing w:line="360" w:lineRule="auto"/>
        <w:jc w:val="both"/>
        <w:rPr>
          <w:rFonts w:ascii="Palatino Linotype" w:eastAsia="Palatino Linotype" w:hAnsi="Palatino Linotype" w:cs="Palatino Linotype"/>
        </w:rPr>
      </w:pPr>
    </w:p>
    <w:p w14:paraId="2940273C" w14:textId="77777777" w:rsidR="00C64823" w:rsidRDefault="004C140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si bien por regla general los nombres de los trabajadores gubernamentales son información pública de oficio, existe una excepción relativa a </w:t>
      </w:r>
      <w:r>
        <w:rPr>
          <w:rFonts w:ascii="Palatino Linotype" w:eastAsia="Palatino Linotype" w:hAnsi="Palatino Linotype" w:cs="Palatino Linotype"/>
          <w:b/>
        </w:rPr>
        <w:t>aquellos que realicen actividades operativas en materia de seguridad,</w:t>
      </w:r>
      <w:r>
        <w:rPr>
          <w:rFonts w:ascii="Palatino Linotype" w:eastAsia="Palatino Linotype" w:hAnsi="Palatino Linotype" w:cs="Palatino Linotype"/>
        </w:rPr>
        <w:t xml:space="preserve"> como es el caso de los elementos operativos y la policía municipal.</w:t>
      </w:r>
    </w:p>
    <w:p w14:paraId="1D2DF9A6" w14:textId="77777777" w:rsidR="00C64823" w:rsidRDefault="00C64823">
      <w:pPr>
        <w:spacing w:line="360" w:lineRule="auto"/>
        <w:jc w:val="both"/>
        <w:rPr>
          <w:rFonts w:ascii="Palatino Linotype" w:eastAsia="Palatino Linotype" w:hAnsi="Palatino Linotype" w:cs="Palatino Linotype"/>
        </w:rPr>
      </w:pPr>
    </w:p>
    <w:p w14:paraId="07CF0869" w14:textId="77777777" w:rsidR="00C64823" w:rsidRDefault="004C140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2C8252FA" w14:textId="77777777" w:rsidR="00C64823" w:rsidRDefault="00C64823">
      <w:pPr>
        <w:spacing w:line="360" w:lineRule="auto"/>
        <w:jc w:val="both"/>
        <w:rPr>
          <w:rFonts w:ascii="Palatino Linotype" w:eastAsia="Palatino Linotype" w:hAnsi="Palatino Linotype" w:cs="Palatino Linotype"/>
        </w:rPr>
      </w:pPr>
    </w:p>
    <w:p w14:paraId="1EB60874" w14:textId="77777777" w:rsidR="00C64823" w:rsidRDefault="004C140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contexto, el artículo 6, fracciones XI y XII de dicho ordenamiento jurídico, establece los siguientes conceptos:</w:t>
      </w:r>
    </w:p>
    <w:p w14:paraId="486F167E" w14:textId="77777777" w:rsidR="00C64823" w:rsidRDefault="00C64823">
      <w:pPr>
        <w:spacing w:line="360" w:lineRule="auto"/>
        <w:jc w:val="both"/>
        <w:rPr>
          <w:rFonts w:ascii="Palatino Linotype" w:eastAsia="Palatino Linotype" w:hAnsi="Palatino Linotype" w:cs="Palatino Linotype"/>
        </w:rPr>
      </w:pPr>
    </w:p>
    <w:p w14:paraId="68BEBD22" w14:textId="77777777" w:rsidR="00C64823" w:rsidRDefault="004C1404">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 xml:space="preserve">Instituciones Policiales: </w:t>
      </w:r>
      <w:r>
        <w:rPr>
          <w:rFonts w:ascii="Palatino Linotype" w:eastAsia="Palatino Linotype" w:hAnsi="Palatino Linotype" w:cs="Palatino Linotype"/>
          <w:color w:val="000000"/>
        </w:rPr>
        <w:t xml:space="preserve">Son los cuerpos de policía, de vigilancia y custodia de los establecimientos penitenciarios, detención preventiva, centros de arraigo y en general, </w:t>
      </w:r>
      <w:r>
        <w:rPr>
          <w:rFonts w:ascii="Palatino Linotype" w:eastAsia="Palatino Linotype" w:hAnsi="Palatino Linotype" w:cs="Palatino Linotype"/>
          <w:b/>
          <w:color w:val="000000"/>
        </w:rPr>
        <w:t>todas las dependencias encargadas de la seguridad pública a nivel</w:t>
      </w:r>
      <w:r>
        <w:rPr>
          <w:rFonts w:ascii="Palatino Linotype" w:eastAsia="Palatino Linotype" w:hAnsi="Palatino Linotype" w:cs="Palatino Linotype"/>
          <w:color w:val="000000"/>
        </w:rPr>
        <w:t xml:space="preserve"> estatal y </w:t>
      </w:r>
      <w:r>
        <w:rPr>
          <w:rFonts w:ascii="Palatino Linotype" w:eastAsia="Palatino Linotype" w:hAnsi="Palatino Linotype" w:cs="Palatino Linotype"/>
          <w:b/>
          <w:color w:val="000000"/>
        </w:rPr>
        <w:t>municipal.</w:t>
      </w:r>
    </w:p>
    <w:p w14:paraId="786AA7A0" w14:textId="77777777" w:rsidR="00C64823" w:rsidRDefault="00C64823">
      <w:pPr>
        <w:pBdr>
          <w:top w:val="nil"/>
          <w:left w:val="nil"/>
          <w:bottom w:val="nil"/>
          <w:right w:val="nil"/>
          <w:between w:val="nil"/>
        </w:pBdr>
        <w:spacing w:line="360" w:lineRule="auto"/>
        <w:ind w:left="708"/>
        <w:jc w:val="both"/>
        <w:rPr>
          <w:rFonts w:ascii="Palatino Linotype" w:eastAsia="Palatino Linotype" w:hAnsi="Palatino Linotype" w:cs="Palatino Linotype"/>
          <w:color w:val="000000"/>
        </w:rPr>
      </w:pPr>
    </w:p>
    <w:p w14:paraId="2EADA302" w14:textId="77777777" w:rsidR="00C64823" w:rsidRDefault="004C1404">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Instituciones de Seguridad Pública: </w:t>
      </w:r>
      <w:r>
        <w:rPr>
          <w:rFonts w:ascii="Palatino Linotype" w:eastAsia="Palatino Linotype" w:hAnsi="Palatino Linotype" w:cs="Palatino Linotype"/>
          <w:color w:val="000000"/>
        </w:rPr>
        <w:t xml:space="preserve">Instituciones Policiales, Procuración de Justicia, Sistema Penitenciario y </w:t>
      </w:r>
      <w:r>
        <w:rPr>
          <w:rFonts w:ascii="Palatino Linotype" w:eastAsia="Palatino Linotype" w:hAnsi="Palatino Linotype" w:cs="Palatino Linotype"/>
          <w:b/>
          <w:color w:val="000000"/>
        </w:rPr>
        <w:t xml:space="preserve">dependencias encargadas de la seguridad pública a nivel </w:t>
      </w:r>
      <w:r>
        <w:rPr>
          <w:rFonts w:ascii="Palatino Linotype" w:eastAsia="Palatino Linotype" w:hAnsi="Palatino Linotype" w:cs="Palatino Linotype"/>
          <w:color w:val="000000"/>
        </w:rPr>
        <w:t xml:space="preserve">estatal y </w:t>
      </w:r>
      <w:r>
        <w:rPr>
          <w:rFonts w:ascii="Palatino Linotype" w:eastAsia="Palatino Linotype" w:hAnsi="Palatino Linotype" w:cs="Palatino Linotype"/>
          <w:b/>
          <w:color w:val="000000"/>
        </w:rPr>
        <w:t>municipal.</w:t>
      </w:r>
    </w:p>
    <w:p w14:paraId="56533D32" w14:textId="77777777" w:rsidR="00C64823" w:rsidRDefault="00C64823">
      <w:pPr>
        <w:pBdr>
          <w:top w:val="nil"/>
          <w:left w:val="nil"/>
          <w:bottom w:val="nil"/>
          <w:right w:val="nil"/>
          <w:between w:val="nil"/>
        </w:pBdr>
        <w:spacing w:line="360" w:lineRule="auto"/>
        <w:ind w:left="708"/>
        <w:rPr>
          <w:rFonts w:ascii="Palatino Linotype" w:eastAsia="Palatino Linotype" w:hAnsi="Palatino Linotype" w:cs="Palatino Linotype"/>
          <w:b/>
          <w:color w:val="000000"/>
        </w:rPr>
      </w:pPr>
    </w:p>
    <w:p w14:paraId="525F8D37" w14:textId="77777777" w:rsidR="00C64823" w:rsidRDefault="00C64823">
      <w:pPr>
        <w:pBdr>
          <w:top w:val="nil"/>
          <w:left w:val="nil"/>
          <w:bottom w:val="nil"/>
          <w:right w:val="nil"/>
          <w:between w:val="nil"/>
        </w:pBdr>
        <w:spacing w:line="360" w:lineRule="auto"/>
        <w:ind w:left="708"/>
        <w:rPr>
          <w:rFonts w:ascii="Palatino Linotype" w:eastAsia="Palatino Linotype" w:hAnsi="Palatino Linotype" w:cs="Palatino Linotype"/>
          <w:b/>
          <w:color w:val="000000"/>
        </w:rPr>
      </w:pPr>
    </w:p>
    <w:p w14:paraId="36B95FF5" w14:textId="77777777" w:rsidR="00C64823" w:rsidRDefault="004C140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Conforme a lo anterior, se puede deducir que la Dirección de Seguridad Pública Municipal, es una institución de seguridad pública, pues tiene como atribución principal resguardar el orden público y la paz social, la prevención de delitos y la inhibición de manifestaciones de conductas antisociales.</w:t>
      </w:r>
    </w:p>
    <w:p w14:paraId="00A2FFD7" w14:textId="77777777" w:rsidR="00C64823" w:rsidRDefault="00C64823">
      <w:pPr>
        <w:spacing w:line="360" w:lineRule="auto"/>
        <w:jc w:val="both"/>
        <w:rPr>
          <w:rFonts w:ascii="Palatino Linotype" w:eastAsia="Palatino Linotype" w:hAnsi="Palatino Linotype" w:cs="Palatino Linotype"/>
        </w:rPr>
      </w:pPr>
    </w:p>
    <w:p w14:paraId="083D99AD" w14:textId="77777777" w:rsidR="00C64823" w:rsidRDefault="004C1404">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el Instructivo de llenado del Formato “Personal de Seguridad Pública”, del Secretariado Ejecutivo del Sistema Nacional de Seguridad Pública (consultado el veinte de abril de dos mil veintidós, a las dieciocho horas, en la liga electrónica </w:t>
      </w:r>
      <w:hyperlink r:id="rId15">
        <w:r>
          <w:rPr>
            <w:rFonts w:ascii="Palatino Linotype" w:eastAsia="Palatino Linotype" w:hAnsi="Palatino Linotype" w:cs="Palatino Linotype"/>
            <w:color w:val="0563C1"/>
            <w:u w:val="single"/>
          </w:rPr>
          <w:t>http://secretariadoejecutivo.gob.mx/work/models/SecretariadoEjecutivo/Resource/328/1/images/instructivo_final_edo_fuerza(1).pdf</w:t>
        </w:r>
      </w:hyperlink>
      <w:r>
        <w:rPr>
          <w:rFonts w:ascii="Palatino Linotype" w:eastAsia="Palatino Linotype" w:hAnsi="Palatino Linotype" w:cs="Palatino Linotype"/>
        </w:rPr>
        <w:t xml:space="preserve">), establece que los elementos operativos de seguridad pública, son aquellos que desempeñan funciones de campo (policiacas, especializadas o equivalentes y que no </w:t>
      </w:r>
      <w:r>
        <w:rPr>
          <w:rFonts w:ascii="Palatino Linotype" w:eastAsia="Palatino Linotype" w:hAnsi="Palatino Linotype" w:cs="Palatino Linotype"/>
          <w:b/>
        </w:rPr>
        <w:t>desempeña funciones de mando</w:t>
      </w:r>
      <w:r>
        <w:rPr>
          <w:rFonts w:ascii="Palatino Linotype" w:eastAsia="Palatino Linotype" w:hAnsi="Palatino Linotype" w:cs="Palatino Linotype"/>
        </w:rPr>
        <w:t xml:space="preserve">), entre los cuales, se encuentra </w:t>
      </w:r>
      <w:r>
        <w:rPr>
          <w:rFonts w:ascii="Palatino Linotype" w:eastAsia="Palatino Linotype" w:hAnsi="Palatino Linotype" w:cs="Palatino Linotype"/>
          <w:b/>
        </w:rPr>
        <w:t>la Policía Municipal</w:t>
      </w:r>
      <w:r>
        <w:rPr>
          <w:rFonts w:ascii="Palatino Linotype" w:eastAsia="Palatino Linotype" w:hAnsi="Palatino Linotype" w:cs="Palatino Linotype"/>
        </w:rPr>
        <w:t>.</w:t>
      </w:r>
    </w:p>
    <w:p w14:paraId="3E3D28AA" w14:textId="77777777" w:rsidR="00C64823" w:rsidRDefault="00C64823">
      <w:pPr>
        <w:tabs>
          <w:tab w:val="left" w:pos="4962"/>
        </w:tabs>
        <w:spacing w:line="360" w:lineRule="auto"/>
        <w:jc w:val="both"/>
        <w:rPr>
          <w:rFonts w:ascii="Palatino Linotype" w:eastAsia="Palatino Linotype" w:hAnsi="Palatino Linotype" w:cs="Palatino Linotype"/>
        </w:rPr>
      </w:pPr>
    </w:p>
    <w:p w14:paraId="4B4DC42E" w14:textId="77777777" w:rsidR="00C64823" w:rsidRDefault="004C1404">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14:paraId="016C06B6" w14:textId="77777777" w:rsidR="00C64823" w:rsidRDefault="00C64823">
      <w:pPr>
        <w:spacing w:line="360" w:lineRule="auto"/>
        <w:jc w:val="both"/>
        <w:rPr>
          <w:rFonts w:ascii="Palatino Linotype" w:eastAsia="Palatino Linotype" w:hAnsi="Palatino Linotype" w:cs="Palatino Linotype"/>
        </w:rPr>
      </w:pPr>
    </w:p>
    <w:p w14:paraId="284A1A1C" w14:textId="77777777" w:rsidR="00C64823" w:rsidRDefault="004C140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3DD85B2C" w14:textId="77777777" w:rsidR="00C64823" w:rsidRDefault="00C64823">
      <w:pPr>
        <w:spacing w:line="360" w:lineRule="auto"/>
        <w:jc w:val="both"/>
        <w:rPr>
          <w:rFonts w:ascii="Palatino Linotype" w:eastAsia="Palatino Linotype" w:hAnsi="Palatino Linotype" w:cs="Palatino Linotype"/>
        </w:rPr>
      </w:pPr>
    </w:p>
    <w:p w14:paraId="302E7267" w14:textId="77777777" w:rsidR="00C64823" w:rsidRDefault="004C140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00E79943" w14:textId="77777777" w:rsidR="00C64823" w:rsidRDefault="004C1404">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Por tales consideraciones, </w:t>
      </w:r>
      <w:r>
        <w:rPr>
          <w:rFonts w:ascii="Palatino Linotype" w:eastAsia="Palatino Linotype" w:hAnsi="Palatino Linotype" w:cs="Palatino Linotype"/>
          <w:b/>
        </w:rPr>
        <w:t>resulta procedente la reserva del nombre de los elementos operativos de la Dirección de Seguridad Pública Municipal, en términos del artículo 140, fracción IV, de la Ley de Transparencia y Acceso a la Información Pública del Estado de México y Municipios.</w:t>
      </w:r>
    </w:p>
    <w:p w14:paraId="4FEF4986" w14:textId="77777777" w:rsidR="00C64823" w:rsidRDefault="004C1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todo lo expuesto, ante lo </w:t>
      </w:r>
      <w:r>
        <w:rPr>
          <w:rFonts w:ascii="Palatino Linotype" w:eastAsia="Palatino Linotype" w:hAnsi="Palatino Linotype" w:cs="Palatino Linotype"/>
          <w:b/>
        </w:rPr>
        <w:t>fundado</w:t>
      </w:r>
      <w:r>
        <w:rPr>
          <w:rFonts w:ascii="Palatino Linotype" w:eastAsia="Palatino Linotype" w:hAnsi="Palatino Linotype" w:cs="Palatino Linotype"/>
        </w:rPr>
        <w:t xml:space="preserve"> de las razones o motivos de inconformidad hechos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este Instituto estima que lo dable es </w:t>
      </w:r>
      <w:r>
        <w:rPr>
          <w:rFonts w:ascii="Palatino Linotype" w:eastAsia="Palatino Linotype" w:hAnsi="Palatino Linotype" w:cs="Palatino Linotype"/>
          <w:b/>
        </w:rPr>
        <w:t>Ordenar</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dé respuesta a la solicitud de acceso a la información, atendiendo lo señalado en el presente Considerando.</w:t>
      </w:r>
    </w:p>
    <w:p w14:paraId="29E47DA3" w14:textId="77777777" w:rsidR="00C64823" w:rsidRDefault="004C1404">
      <w:pPr>
        <w:spacing w:before="280" w:after="280"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es de señalar que, como ya se mencionó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omitió proporcionar la respuesta a su solicitud de acceso a la información pública, en el término contemplado en el ya citado artículo 163 de la Ley de la materia, razón por la que </w:t>
      </w:r>
      <w:r>
        <w:rPr>
          <w:rFonts w:ascii="Palatino Linotype" w:eastAsia="Palatino Linotype" w:hAnsi="Palatino Linotype" w:cs="Palatino Linotype"/>
          <w:b/>
        </w:rPr>
        <w:t>se ordena dar vista al Titular de la Contraloría Interna y Órgano de Control y Vigilancia de este Instituto</w:t>
      </w:r>
      <w:r>
        <w:rPr>
          <w:rFonts w:ascii="Palatino Linotype" w:eastAsia="Palatino Linotype" w:hAnsi="Palatino Linotype" w:cs="Palatino Linotype"/>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3DB4A0FE"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59114C0" w14:textId="77777777" w:rsidR="00C64823" w:rsidRDefault="004C1404">
      <w:pPr>
        <w:spacing w:before="280" w:after="28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RESUELVE:</w:t>
      </w:r>
    </w:p>
    <w:p w14:paraId="39D5F9D8" w14:textId="77777777" w:rsidR="00C64823" w:rsidRDefault="004C1404">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PRIMERO.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los motivos de inconformidad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04272/INFOEM/IP/RR/2022 </w:t>
      </w:r>
      <w:r>
        <w:rPr>
          <w:rFonts w:ascii="Palatino Linotype" w:eastAsia="Palatino Linotype" w:hAnsi="Palatino Linotype" w:cs="Palatino Linotype"/>
        </w:rPr>
        <w:t xml:space="preserve">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w:t>
      </w:r>
    </w:p>
    <w:p w14:paraId="60DEA31E" w14:textId="77777777" w:rsidR="00C64823" w:rsidRDefault="004C1404">
      <w:pPr>
        <w:widowControl w:val="0"/>
        <w:spacing w:before="280"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SEGUNDO</w:t>
      </w:r>
      <w:r>
        <w:rPr>
          <w:rFonts w:ascii="Palatino Linotype" w:eastAsia="Palatino Linotype" w:hAnsi="Palatino Linotype" w:cs="Palatino Linotype"/>
          <w:sz w:val="28"/>
          <w:szCs w:val="28"/>
        </w:rPr>
        <w:t>.</w:t>
      </w:r>
      <w:r>
        <w:rPr>
          <w:rFonts w:ascii="Palatino Linotype" w:eastAsia="Palatino Linotype" w:hAnsi="Palatino Linotype" w:cs="Palatino Linotype"/>
        </w:rPr>
        <w:t xml:space="preserve"> Se </w:t>
      </w:r>
      <w:r>
        <w:rPr>
          <w:rFonts w:ascii="Palatino Linotype" w:eastAsia="Palatino Linotype" w:hAnsi="Palatino Linotype" w:cs="Palatino Linotype"/>
          <w:b/>
        </w:rPr>
        <w:t xml:space="preserve">Ordena al SUJETO OBLIGADO </w:t>
      </w:r>
      <w:r>
        <w:rPr>
          <w:rFonts w:ascii="Palatino Linotype" w:eastAsia="Palatino Linotype" w:hAnsi="Palatino Linotype" w:cs="Palatino Linotype"/>
        </w:rPr>
        <w:t>que en términos del Considerando Cuarto  de la presente resolución, haga entrega vía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w:t>
      </w:r>
      <w:r>
        <w:rPr>
          <w:rFonts w:ascii="Palatino Linotype" w:eastAsia="Palatino Linotype" w:hAnsi="Palatino Linotype" w:cs="Palatino Linotype"/>
          <w:b/>
        </w:rPr>
        <w:t xml:space="preserve">versión pública, </w:t>
      </w:r>
      <w:r>
        <w:rPr>
          <w:rFonts w:ascii="Palatino Linotype" w:eastAsia="Palatino Linotype" w:hAnsi="Palatino Linotype" w:cs="Palatino Linotype"/>
        </w:rPr>
        <w:t>lo siguiente</w:t>
      </w:r>
      <w:r>
        <w:rPr>
          <w:rFonts w:ascii="Palatino Linotype" w:eastAsia="Palatino Linotype" w:hAnsi="Palatino Linotype" w:cs="Palatino Linotype"/>
          <w:b/>
        </w:rPr>
        <w:t>:</w:t>
      </w:r>
    </w:p>
    <w:p w14:paraId="582492F5" w14:textId="77777777" w:rsidR="00C64823" w:rsidRDefault="004C1404">
      <w:pPr>
        <w:spacing w:before="280" w:after="28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“Nómina general de todo el personal del Ayuntamiento de Capulhuac, correspondiente a la primera y segunda quincena del mes de enero y la primera quincena del mes de febrero de dos mil veintidós. </w:t>
      </w:r>
    </w:p>
    <w:p w14:paraId="0E26B1C6" w14:textId="77777777" w:rsidR="00C64823" w:rsidRDefault="004C1404">
      <w:pPr>
        <w:pBdr>
          <w:top w:val="nil"/>
          <w:left w:val="nil"/>
          <w:bottom w:val="nil"/>
          <w:right w:val="nil"/>
          <w:between w:val="nil"/>
        </w:pBdr>
        <w:spacing w:before="120" w:after="120"/>
        <w:ind w:left="851" w:right="709"/>
        <w:jc w:val="both"/>
        <w:rPr>
          <w:rFonts w:ascii="Palatino Linotype" w:eastAsia="Palatino Linotype" w:hAnsi="Palatino Linotype" w:cs="Palatino Linotype"/>
          <w:i/>
          <w:color w:val="000000"/>
          <w:sz w:val="22"/>
          <w:szCs w:val="22"/>
        </w:rPr>
      </w:pPr>
      <w:bookmarkStart w:id="3" w:name="_heading=h.gjdgxs" w:colFirst="0" w:colLast="0"/>
      <w:bookmarkEnd w:id="3"/>
      <w:r>
        <w:rPr>
          <w:rFonts w:ascii="Palatino Linotype" w:eastAsia="Palatino Linotype" w:hAnsi="Palatino Linotype" w:cs="Palatino Linotype"/>
          <w:i/>
          <w:color w:val="000000"/>
          <w:sz w:val="22"/>
          <w:szCs w:val="22"/>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7D7EBA90"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que conforme a los artículos 186 último párrafo y 189 párrafo segundo de la Ley de Transparencia y Acceso a la Información </w:t>
      </w:r>
      <w:r>
        <w:rPr>
          <w:rFonts w:ascii="Palatino Linotype" w:eastAsia="Palatino Linotype" w:hAnsi="Palatino Linotype" w:cs="Palatino Linotype"/>
        </w:rPr>
        <w:lastRenderedPageBreak/>
        <w:t>Pública del Estado de México y Municipios, dé cumplimiento a lo ordenado dentro del plazo de diez días hábiles, debiendo informar a este Instituto en un plazo de tres días hábiles siguientes sobre el cumplimiento dado a la presente resolución.</w:t>
      </w:r>
    </w:p>
    <w:p w14:paraId="01C82B04" w14:textId="77777777" w:rsidR="00C64823" w:rsidRDefault="004C1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726DFF0" w14:textId="77777777" w:rsidR="00C64823" w:rsidRDefault="004C140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 xml:space="preserve">a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que la respuesta que dé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2969EFD4" w14:textId="77777777" w:rsidR="00C64823" w:rsidRDefault="004C140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SEXTO. Gírese </w:t>
      </w:r>
      <w:r>
        <w:rPr>
          <w:rFonts w:ascii="Palatino Linotype" w:eastAsia="Palatino Linotype" w:hAnsi="Palatino Linotype" w:cs="Palatino Linotype"/>
        </w:rPr>
        <w:t>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Pr>
          <w:rFonts w:ascii="Palatino Linotype" w:eastAsia="Palatino Linotype" w:hAnsi="Palatino Linotype" w:cs="Palatino Linotype"/>
          <w:b/>
        </w:rPr>
        <w:t xml:space="preserve"> Cuarto </w:t>
      </w:r>
      <w:r>
        <w:rPr>
          <w:rFonts w:ascii="Palatino Linotype" w:eastAsia="Palatino Linotype" w:hAnsi="Palatino Linotype" w:cs="Palatino Linotype"/>
        </w:rPr>
        <w:t>de la presente resolución.</w:t>
      </w:r>
      <w:r>
        <w:rPr>
          <w:rFonts w:ascii="Palatino Linotype" w:eastAsia="Palatino Linotype" w:hAnsi="Palatino Linotype" w:cs="Palatino Linotype"/>
          <w:b/>
        </w:rPr>
        <w:t xml:space="preserve"> </w:t>
      </w:r>
    </w:p>
    <w:p w14:paraId="60226950" w14:textId="77777777" w:rsidR="00C64823" w:rsidRDefault="004C140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SÉPTIMO. </w:t>
      </w:r>
      <w:r>
        <w:rPr>
          <w:rFonts w:ascii="Palatino Linotype" w:eastAsia="Palatino Linotype" w:hAnsi="Palatino Linotype" w:cs="Palatino Linotype"/>
        </w:rPr>
        <w:t xml:space="preserve">Con fundamento en el artículo 198 de la Ley de la Ley de Transparencia y Acceso a la Información Pública del Estado de México y Municipios, se apercibe al Sujeto Obligado que, en caso de negarse a cumplir la presente resolución o hacerlo </w:t>
      </w:r>
      <w:r>
        <w:rPr>
          <w:rFonts w:ascii="Palatino Linotype" w:eastAsia="Palatino Linotype" w:hAnsi="Palatino Linotype" w:cs="Palatino Linotype"/>
        </w:rPr>
        <w:lastRenderedPageBreak/>
        <w:t>de manera parcial se actuará de conformidad con lo previsto en los artículos 213, 214, 216 y 217 de dicha Ley.</w:t>
      </w:r>
      <w:r>
        <w:rPr>
          <w:rFonts w:ascii="Palatino Linotype" w:eastAsia="Palatino Linotype" w:hAnsi="Palatino Linotype" w:cs="Palatino Linotype"/>
          <w:b/>
        </w:rPr>
        <w:t xml:space="preserve">  </w:t>
      </w:r>
    </w:p>
    <w:p w14:paraId="232EFEFA" w14:textId="52D77C54" w:rsidR="00C64823" w:rsidRDefault="004C1404">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MAYORÍA DE VOTOS EL PLENO DEL INSTITUTO DE TRANSPARENCIA, ACCESO A LA INFORMACIÓN PÚBLICA Y PROTECCIÓN DE DATOS PERSONALES DEL ESTADO DE MÉXICO Y MUNICIPIOS, CONFORMADO POR LOS COMISIONADOS JOSÉ MARTÍNEZ VILCHIS; MARÍA DEL ROSARIO MEJÍA AYALA; SHARON CRISTINA MORALES MARTÍNEZ EMITIENDO VOTO DISIDENTE; LUIS GUSTAVO PARRA NORIEGA EMITIENDO VOTO PARTICULAR Y GUADALUPE RAMÍREZ PEÑA; EN LA VIGÉSIMA SESIÓN ORDINARIA CELEBRADA EL UNO DE JUNIO DE DOS MIL VEINTIDÓS, ANTE EL SECRETARIO TÉCNICO DEL PLENO, ALEXIS TAPIA RAMÍREZ.</w:t>
      </w:r>
    </w:p>
    <w:bookmarkStart w:id="4" w:name="_heading=h.1fob9te" w:colFirst="0" w:colLast="0"/>
    <w:bookmarkEnd w:id="4"/>
    <w:p w14:paraId="5CF87949" w14:textId="2B79152D" w:rsidR="00C64823" w:rsidRDefault="00E92F4E">
      <w:pPr>
        <w:widowControl w:val="0"/>
        <w:spacing w:before="280" w:after="280" w:line="360" w:lineRule="auto"/>
        <w:jc w:val="both"/>
      </w:pPr>
      <w:r>
        <w:rPr>
          <w:noProof/>
          <w:lang w:eastAsia="es-MX"/>
        </w:rPr>
        <mc:AlternateContent>
          <mc:Choice Requires="wps">
            <w:drawing>
              <wp:anchor distT="0" distB="0" distL="114300" distR="114300" simplePos="0" relativeHeight="251659264" behindDoc="0" locked="0" layoutInCell="1" allowOverlap="1" wp14:anchorId="5F2E1FA2" wp14:editId="57D46E0F">
                <wp:simplePos x="0" y="0"/>
                <wp:positionH relativeFrom="column">
                  <wp:posOffset>312730</wp:posOffset>
                </wp:positionH>
                <wp:positionV relativeFrom="paragraph">
                  <wp:posOffset>59424</wp:posOffset>
                </wp:positionV>
                <wp:extent cx="4954772" cy="3189768"/>
                <wp:effectExtent l="0" t="0" r="36830" b="29845"/>
                <wp:wrapNone/>
                <wp:docPr id="1" name="Conector recto 1"/>
                <wp:cNvGraphicFramePr/>
                <a:graphic xmlns:a="http://schemas.openxmlformats.org/drawingml/2006/main">
                  <a:graphicData uri="http://schemas.microsoft.com/office/word/2010/wordprocessingShape">
                    <wps:wsp>
                      <wps:cNvCnPr/>
                      <wps:spPr>
                        <a:xfrm>
                          <a:off x="0" y="0"/>
                          <a:ext cx="4954772" cy="31897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6E99E0B"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6pt,4.7pt" to="414.75pt,2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" strokecolor="#5b9bd5 [3204]" strokeweight=".5pt">
                <v:stroke joinstyle="miter"/>
              </v:line>
            </w:pict>
          </mc:Fallback>
        </mc:AlternateContent>
      </w:r>
      <w:r w:rsidR="004C1404">
        <w:br w:type="page"/>
      </w:r>
    </w:p>
    <w:p w14:paraId="4351D5C3" w14:textId="77777777" w:rsidR="00C64823" w:rsidRDefault="00C64823"/>
    <w:p w14:paraId="3582776D" w14:textId="77777777" w:rsidR="00C64823" w:rsidRDefault="00C64823"/>
    <w:p w14:paraId="692C656A" w14:textId="77777777" w:rsidR="00C64823" w:rsidRDefault="00C64823"/>
    <w:sectPr w:rsidR="00C64823">
      <w:headerReference w:type="default" r:id="rId16"/>
      <w:footerReference w:type="default" r:id="rId17"/>
      <w:headerReference w:type="first" r:id="rId18"/>
      <w:footerReference w:type="first" r:id="rId19"/>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50354A" w14:textId="77777777" w:rsidR="00D37EB9" w:rsidRDefault="00D37EB9">
      <w:r>
        <w:separator/>
      </w:r>
    </w:p>
  </w:endnote>
  <w:endnote w:type="continuationSeparator" w:id="0">
    <w:p w14:paraId="55B906E6" w14:textId="77777777" w:rsidR="00D37EB9" w:rsidRDefault="00D37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EBBF5" w14:textId="77777777" w:rsidR="00C64823" w:rsidRDefault="004C140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3D2AC5">
      <w:rPr>
        <w:rFonts w:ascii="Palatino Linotype" w:eastAsia="Palatino Linotype" w:hAnsi="Palatino Linotype" w:cs="Palatino Linotype"/>
        <w:noProof/>
        <w:color w:val="000000"/>
        <w:sz w:val="22"/>
        <w:szCs w:val="22"/>
      </w:rPr>
      <w:t>45</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3D2AC5">
      <w:rPr>
        <w:rFonts w:ascii="Palatino Linotype" w:eastAsia="Palatino Linotype" w:hAnsi="Palatino Linotype" w:cs="Palatino Linotype"/>
        <w:noProof/>
        <w:color w:val="000000"/>
        <w:sz w:val="22"/>
        <w:szCs w:val="22"/>
      </w:rPr>
      <w:t>46</w:t>
    </w:r>
    <w:r>
      <w:rPr>
        <w:rFonts w:ascii="Palatino Linotype" w:eastAsia="Palatino Linotype" w:hAnsi="Palatino Linotype" w:cs="Palatino Linotype"/>
        <w:color w:val="000000"/>
        <w:sz w:val="22"/>
        <w:szCs w:val="22"/>
      </w:rPr>
      <w:fldChar w:fldCharType="end"/>
    </w:r>
  </w:p>
  <w:p w14:paraId="35CD6DA3" w14:textId="77777777" w:rsidR="00C64823" w:rsidRDefault="00C6482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776EC" w14:textId="77777777" w:rsidR="00C64823" w:rsidRDefault="004C140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3D2AC5">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3D2AC5">
      <w:rPr>
        <w:rFonts w:ascii="Palatino Linotype" w:eastAsia="Palatino Linotype" w:hAnsi="Palatino Linotype" w:cs="Palatino Linotype"/>
        <w:noProof/>
        <w:color w:val="000000"/>
        <w:sz w:val="22"/>
        <w:szCs w:val="22"/>
      </w:rPr>
      <w:t>46</w:t>
    </w:r>
    <w:r>
      <w:rPr>
        <w:rFonts w:ascii="Palatino Linotype" w:eastAsia="Palatino Linotype" w:hAnsi="Palatino Linotype" w:cs="Palatino Linotype"/>
        <w:color w:val="000000"/>
        <w:sz w:val="22"/>
        <w:szCs w:val="22"/>
      </w:rPr>
      <w:fldChar w:fldCharType="end"/>
    </w:r>
  </w:p>
  <w:p w14:paraId="4FCA101A" w14:textId="77777777" w:rsidR="00C64823" w:rsidRDefault="00C6482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C0676" w14:textId="77777777" w:rsidR="00D37EB9" w:rsidRDefault="00D37EB9">
      <w:r>
        <w:separator/>
      </w:r>
    </w:p>
  </w:footnote>
  <w:footnote w:type="continuationSeparator" w:id="0">
    <w:p w14:paraId="6AFA668E" w14:textId="77777777" w:rsidR="00D37EB9" w:rsidRDefault="00D37E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EA7E6" w14:textId="77777777" w:rsidR="00C64823" w:rsidRDefault="00C64823">
    <w:pPr>
      <w:widowControl w:val="0"/>
      <w:pBdr>
        <w:top w:val="nil"/>
        <w:left w:val="nil"/>
        <w:bottom w:val="nil"/>
        <w:right w:val="nil"/>
        <w:between w:val="nil"/>
      </w:pBdr>
      <w:spacing w:line="276" w:lineRule="auto"/>
      <w:rPr>
        <w:color w:val="000000"/>
      </w:rPr>
    </w:pPr>
  </w:p>
  <w:tbl>
    <w:tblPr>
      <w:tblStyle w:val="a4"/>
      <w:tblW w:w="9073" w:type="dxa"/>
      <w:tblInd w:w="-284" w:type="dxa"/>
      <w:tblLayout w:type="fixed"/>
      <w:tblLook w:val="0400" w:firstRow="0" w:lastRow="0" w:firstColumn="0" w:lastColumn="0" w:noHBand="0" w:noVBand="1"/>
    </w:tblPr>
    <w:tblGrid>
      <w:gridCol w:w="3403"/>
      <w:gridCol w:w="2552"/>
      <w:gridCol w:w="3118"/>
    </w:tblGrid>
    <w:tr w:rsidR="00C64823" w14:paraId="29CCFC73" w14:textId="77777777">
      <w:tc>
        <w:tcPr>
          <w:tcW w:w="3403" w:type="dxa"/>
          <w:vMerge w:val="restart"/>
          <w:shd w:val="clear" w:color="auto" w:fill="auto"/>
        </w:tcPr>
        <w:p w14:paraId="03DBE8C4" w14:textId="77777777" w:rsidR="00C64823" w:rsidRDefault="004C1404">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14:anchorId="0160A0AC" wp14:editId="7300A6C5">
                <wp:extent cx="1692162" cy="852673"/>
                <wp:effectExtent l="0" t="0" r="0" b="0"/>
                <wp:docPr id="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267D6240" w14:textId="77777777" w:rsidR="00C64823" w:rsidRDefault="004C14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8" w:type="dxa"/>
          <w:shd w:val="clear" w:color="auto" w:fill="auto"/>
          <w:vAlign w:val="center"/>
        </w:tcPr>
        <w:p w14:paraId="332EE9D2" w14:textId="77777777" w:rsidR="00C64823" w:rsidRDefault="004C140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04272/INFOEM/IP/RR/2022</w:t>
          </w:r>
        </w:p>
      </w:tc>
    </w:tr>
    <w:tr w:rsidR="00C64823" w14:paraId="1B5412D7" w14:textId="77777777">
      <w:trPr>
        <w:trHeight w:val="228"/>
      </w:trPr>
      <w:tc>
        <w:tcPr>
          <w:tcW w:w="3403" w:type="dxa"/>
          <w:vMerge/>
          <w:shd w:val="clear" w:color="auto" w:fill="auto"/>
        </w:tcPr>
        <w:p w14:paraId="37FD957B" w14:textId="77777777" w:rsidR="00C64823" w:rsidRDefault="00C64823">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165C5106" w14:textId="77777777" w:rsidR="00C64823" w:rsidRDefault="004C14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8" w:type="dxa"/>
          <w:shd w:val="clear" w:color="auto" w:fill="auto"/>
          <w:vAlign w:val="center"/>
        </w:tcPr>
        <w:p w14:paraId="6E9D15A3" w14:textId="77777777" w:rsidR="00C64823" w:rsidRDefault="004C140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Capulhuac</w:t>
          </w:r>
        </w:p>
      </w:tc>
    </w:tr>
    <w:tr w:rsidR="00C64823" w14:paraId="5A4B643A" w14:textId="77777777">
      <w:tc>
        <w:tcPr>
          <w:tcW w:w="3403" w:type="dxa"/>
          <w:vMerge/>
          <w:shd w:val="clear" w:color="auto" w:fill="auto"/>
        </w:tcPr>
        <w:p w14:paraId="03638911" w14:textId="77777777" w:rsidR="00C64823" w:rsidRDefault="00C64823">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1C8E052E" w14:textId="77777777" w:rsidR="00C64823" w:rsidRDefault="004C14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8" w:type="dxa"/>
          <w:shd w:val="clear" w:color="auto" w:fill="auto"/>
        </w:tcPr>
        <w:p w14:paraId="0F696B70" w14:textId="107AD203" w:rsidR="00C64823" w:rsidRDefault="00E92F4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950FC49" w14:textId="77777777" w:rsidR="00C64823" w:rsidRDefault="00D37EB9">
    <w:pPr>
      <w:pBdr>
        <w:top w:val="nil"/>
        <w:left w:val="nil"/>
        <w:bottom w:val="nil"/>
        <w:right w:val="nil"/>
        <w:between w:val="nil"/>
      </w:pBdr>
      <w:tabs>
        <w:tab w:val="center" w:pos="4419"/>
        <w:tab w:val="right" w:pos="8838"/>
      </w:tabs>
      <w:rPr>
        <w:color w:val="000000"/>
      </w:rPr>
    </w:pPr>
    <w:r>
      <w:rPr>
        <w:rFonts w:ascii="Palatino Linotype" w:eastAsia="Palatino Linotype" w:hAnsi="Palatino Linotype" w:cs="Palatino Linotype"/>
        <w:color w:val="000000"/>
        <w:sz w:val="28"/>
        <w:szCs w:val="28"/>
      </w:rPr>
      <w:pict w14:anchorId="7B0ACD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72.65pt;margin-top:-72.45pt;width:540pt;height:10in;z-index:-251658240;mso-position-horizontal:absolute;mso-position-horizontal-relative:margin;mso-position-vertical:absolute;mso-position-vertical-relative:margin">
          <v:imagedata r:id="rId2"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1E20A" w14:textId="77777777" w:rsidR="00C64823" w:rsidRDefault="00C64823">
    <w:pPr>
      <w:widowControl w:val="0"/>
      <w:pBdr>
        <w:top w:val="nil"/>
        <w:left w:val="nil"/>
        <w:bottom w:val="nil"/>
        <w:right w:val="nil"/>
        <w:between w:val="nil"/>
      </w:pBdr>
      <w:spacing w:line="276" w:lineRule="auto"/>
    </w:pPr>
  </w:p>
  <w:tbl>
    <w:tblPr>
      <w:tblStyle w:val="a3"/>
      <w:tblW w:w="9356" w:type="dxa"/>
      <w:tblInd w:w="-142" w:type="dxa"/>
      <w:tblLayout w:type="fixed"/>
      <w:tblLook w:val="0400" w:firstRow="0" w:lastRow="0" w:firstColumn="0" w:lastColumn="0" w:noHBand="0" w:noVBand="1"/>
    </w:tblPr>
    <w:tblGrid>
      <w:gridCol w:w="3403"/>
      <w:gridCol w:w="2552"/>
      <w:gridCol w:w="3401"/>
    </w:tblGrid>
    <w:tr w:rsidR="00C64823" w14:paraId="1B499ECF" w14:textId="77777777">
      <w:tc>
        <w:tcPr>
          <w:tcW w:w="3403" w:type="dxa"/>
          <w:vMerge w:val="restart"/>
          <w:shd w:val="clear" w:color="auto" w:fill="auto"/>
        </w:tcPr>
        <w:p w14:paraId="4CA9598C" w14:textId="77777777" w:rsidR="00C64823" w:rsidRDefault="004C1404">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14:anchorId="688AD3F0" wp14:editId="30F18C1C">
                <wp:extent cx="1692162" cy="852673"/>
                <wp:effectExtent l="0" t="0" r="0" b="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17DD2761" w14:textId="77777777" w:rsidR="00C64823" w:rsidRDefault="004C14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1" w:type="dxa"/>
          <w:shd w:val="clear" w:color="auto" w:fill="auto"/>
          <w:vAlign w:val="center"/>
        </w:tcPr>
        <w:p w14:paraId="1A3C6DB6" w14:textId="77777777" w:rsidR="00C64823" w:rsidRDefault="004C140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04272/INFOEM/IP/RR/2022</w:t>
          </w:r>
        </w:p>
      </w:tc>
    </w:tr>
    <w:tr w:rsidR="00C64823" w14:paraId="18C945F1" w14:textId="77777777">
      <w:tc>
        <w:tcPr>
          <w:tcW w:w="3403" w:type="dxa"/>
          <w:vMerge/>
          <w:shd w:val="clear" w:color="auto" w:fill="auto"/>
        </w:tcPr>
        <w:p w14:paraId="725E2DCF" w14:textId="77777777" w:rsidR="00C64823" w:rsidRDefault="00C64823">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22104A66" w14:textId="77777777" w:rsidR="00C64823" w:rsidRDefault="004C14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1" w:type="dxa"/>
          <w:shd w:val="clear" w:color="auto" w:fill="auto"/>
          <w:vAlign w:val="center"/>
        </w:tcPr>
        <w:p w14:paraId="6602E99E" w14:textId="77777777" w:rsidR="00C64823" w:rsidRDefault="00C64823">
          <w:pPr>
            <w:jc w:val="both"/>
            <w:rPr>
              <w:rFonts w:ascii="Palatino Linotype" w:eastAsia="Palatino Linotype" w:hAnsi="Palatino Linotype" w:cs="Palatino Linotype"/>
              <w:b/>
              <w:sz w:val="22"/>
              <w:szCs w:val="22"/>
            </w:rPr>
          </w:pPr>
        </w:p>
      </w:tc>
    </w:tr>
    <w:tr w:rsidR="00C64823" w14:paraId="0CFE8711" w14:textId="77777777">
      <w:trPr>
        <w:trHeight w:val="228"/>
      </w:trPr>
      <w:tc>
        <w:tcPr>
          <w:tcW w:w="3403" w:type="dxa"/>
          <w:vMerge/>
          <w:shd w:val="clear" w:color="auto" w:fill="auto"/>
        </w:tcPr>
        <w:p w14:paraId="7C8CE578" w14:textId="77777777" w:rsidR="00C64823" w:rsidRDefault="00C64823">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444C3244" w14:textId="77777777" w:rsidR="00C64823" w:rsidRDefault="004C14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1" w:type="dxa"/>
          <w:shd w:val="clear" w:color="auto" w:fill="auto"/>
          <w:vAlign w:val="center"/>
        </w:tcPr>
        <w:p w14:paraId="3A313657" w14:textId="77777777" w:rsidR="00C64823" w:rsidRDefault="004C140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Capulhuac </w:t>
          </w:r>
        </w:p>
      </w:tc>
    </w:tr>
    <w:tr w:rsidR="00C64823" w14:paraId="2A8FF372" w14:textId="77777777">
      <w:tc>
        <w:tcPr>
          <w:tcW w:w="3403" w:type="dxa"/>
          <w:vMerge/>
          <w:shd w:val="clear" w:color="auto" w:fill="auto"/>
        </w:tcPr>
        <w:p w14:paraId="1B905A64" w14:textId="77777777" w:rsidR="00C64823" w:rsidRDefault="00C64823">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0BE85F2F" w14:textId="77777777" w:rsidR="00C64823" w:rsidRDefault="004C14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1" w:type="dxa"/>
          <w:shd w:val="clear" w:color="auto" w:fill="auto"/>
        </w:tcPr>
        <w:p w14:paraId="6C985208" w14:textId="77777777" w:rsidR="00C64823" w:rsidRDefault="004C140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F7B1DAD" w14:textId="77777777" w:rsidR="00C64823" w:rsidRDefault="004C1404">
    <w:pPr>
      <w:pBdr>
        <w:top w:val="nil"/>
        <w:left w:val="nil"/>
        <w:bottom w:val="nil"/>
        <w:right w:val="nil"/>
        <w:between w:val="nil"/>
      </w:pBdr>
      <w:tabs>
        <w:tab w:val="center" w:pos="4419"/>
        <w:tab w:val="right" w:pos="8838"/>
      </w:tabs>
      <w:rPr>
        <w:color w:val="000000"/>
      </w:rPr>
    </w:pPr>
    <w:r>
      <w:rPr>
        <w:noProof/>
        <w:color w:val="000000"/>
        <w:lang w:eastAsia="es-MX"/>
      </w:rPr>
      <w:drawing>
        <wp:anchor distT="0" distB="0" distL="0" distR="0" simplePos="0" relativeHeight="251657216" behindDoc="1" locked="0" layoutInCell="1" hidden="0" allowOverlap="1" wp14:anchorId="3D98D38E" wp14:editId="2AF8D012">
          <wp:simplePos x="0" y="0"/>
          <wp:positionH relativeFrom="margin">
            <wp:posOffset>-770252</wp:posOffset>
          </wp:positionH>
          <wp:positionV relativeFrom="margin">
            <wp:posOffset>-1332862</wp:posOffset>
          </wp:positionV>
          <wp:extent cx="6858000" cy="9144000"/>
          <wp:effectExtent l="0" t="0" r="0" b="0"/>
          <wp:wrapNone/>
          <wp:docPr id="47" name="image1.jpg" descr="RESOLUCIÓN"/>
          <wp:cNvGraphicFramePr/>
          <a:graphic xmlns:a="http://schemas.openxmlformats.org/drawingml/2006/main">
            <a:graphicData uri="http://schemas.openxmlformats.org/drawingml/2006/picture">
              <pic:pic xmlns:pic="http://schemas.openxmlformats.org/drawingml/2006/picture">
                <pic:nvPicPr>
                  <pic:cNvPr id="0" name="image1.jpg" descr="RESOLUCIÓN"/>
                  <pic:cNvPicPr preferRelativeResize="0"/>
                </pic:nvPicPr>
                <pic:blipFill>
                  <a:blip r:embed="rId2"/>
                  <a:srcRect/>
                  <a:stretch>
                    <a:fillRect/>
                  </a:stretch>
                </pic:blipFill>
                <pic:spPr>
                  <a:xfrm>
                    <a:off x="0" y="0"/>
                    <a:ext cx="6858000" cy="9144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7E7786"/>
    <w:multiLevelType w:val="multilevel"/>
    <w:tmpl w:val="4974627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9D25CD8"/>
    <w:multiLevelType w:val="multilevel"/>
    <w:tmpl w:val="3B7C762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D052938"/>
    <w:multiLevelType w:val="multilevel"/>
    <w:tmpl w:val="E188A41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823"/>
    <w:rsid w:val="001F509F"/>
    <w:rsid w:val="003D2AC5"/>
    <w:rsid w:val="004C1404"/>
    <w:rsid w:val="00667674"/>
    <w:rsid w:val="007C4076"/>
    <w:rsid w:val="00B17869"/>
    <w:rsid w:val="00C64823"/>
    <w:rsid w:val="00D37EB9"/>
    <w:rsid w:val="00E92F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983944D"/>
  <w15:docId w15:val="{FE3AEFAC-5F85-45A1-B8BA-7445F0D9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761"/>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57761"/>
    <w:pPr>
      <w:tabs>
        <w:tab w:val="center" w:pos="4419"/>
        <w:tab w:val="right" w:pos="8838"/>
      </w:tabs>
    </w:pPr>
  </w:style>
  <w:style w:type="character" w:customStyle="1" w:styleId="EncabezadoCar">
    <w:name w:val="Encabezado Car"/>
    <w:basedOn w:val="Fuentedeprrafopredeter"/>
    <w:link w:val="Encabezado"/>
    <w:uiPriority w:val="99"/>
    <w:rsid w:val="00D5776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D57761"/>
    <w:pPr>
      <w:tabs>
        <w:tab w:val="center" w:pos="4419"/>
        <w:tab w:val="right" w:pos="8838"/>
      </w:tabs>
    </w:pPr>
  </w:style>
  <w:style w:type="character" w:customStyle="1" w:styleId="PiedepginaCar">
    <w:name w:val="Pie de página Car"/>
    <w:basedOn w:val="Fuentedeprrafopredeter"/>
    <w:link w:val="Piedepgina"/>
    <w:uiPriority w:val="99"/>
    <w:rsid w:val="00D57761"/>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776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7761"/>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D57761"/>
    <w:rPr>
      <w:rFonts w:ascii="Times New Roman" w:eastAsia="Times New Roman" w:hAnsi="Times New Roman" w:cs="Times New Roman"/>
      <w:sz w:val="24"/>
      <w:szCs w:val="24"/>
      <w:lang w:eastAsia="es-ES"/>
    </w:rPr>
  </w:style>
  <w:style w:type="paragraph" w:styleId="Sinespaciado">
    <w:name w:val="No Spacing"/>
    <w:aliases w:val="Francesa,INAI"/>
    <w:link w:val="SinespaciadoCar"/>
    <w:uiPriority w:val="1"/>
    <w:qFormat/>
    <w:rsid w:val="00D57761"/>
    <w:rPr>
      <w:lang w:eastAsia="es-ES"/>
    </w:rPr>
  </w:style>
  <w:style w:type="paragraph" w:customStyle="1" w:styleId="Default">
    <w:name w:val="Default"/>
    <w:rsid w:val="00D57761"/>
    <w:pPr>
      <w:autoSpaceDE w:val="0"/>
      <w:autoSpaceDN w:val="0"/>
      <w:adjustRightInd w:val="0"/>
    </w:pPr>
    <w:rPr>
      <w:rFonts w:ascii="Arial" w:hAnsi="Arial" w:cs="Arial"/>
      <w:color w:val="000000"/>
    </w:rPr>
  </w:style>
  <w:style w:type="character" w:styleId="Textoennegrita">
    <w:name w:val="Strong"/>
    <w:basedOn w:val="Fuentedeprrafopredeter"/>
    <w:uiPriority w:val="22"/>
    <w:qFormat/>
    <w:rsid w:val="00D57761"/>
    <w:rPr>
      <w:b/>
      <w:bCs/>
    </w:rPr>
  </w:style>
  <w:style w:type="character" w:styleId="Hipervnculo">
    <w:name w:val="Hyperlink"/>
    <w:basedOn w:val="Fuentedeprrafopredeter"/>
    <w:uiPriority w:val="99"/>
    <w:semiHidden/>
    <w:unhideWhenUsed/>
    <w:rsid w:val="009C210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cretariadoejecutivo.gob.mx/work/models/SecretariadoEjecutivo/Resource/328/1/images/instructivo_final_edo_fuerza(1).pdf" TargetMode="External"/><Relationship Id="rId10" Type="http://schemas.openxmlformats.org/officeDocument/2006/relationships/image" Target="media/image8.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otKS8CYjszkpfVNxoKTURh1UzA==">AMUW2mUU2PXdAjGMoRl4SCb9GKEv18WCGXVlk33zYBaXJuGirfRpNGwzWc2Ioh2MuJpd9ZQ3ztVkJ2dQfFvNv/Cjf1l3n+decrnJzh6Rac4mKkbkY+moIhpS4IUtY9SCMdiPcH/tnzzGK++TKXv2ydxLWYPZqBd+UH3NbhSGr/NWma5rh5RoEA4=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11297</Words>
  <Characters>62139</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mendoza</dc:creator>
  <cp:lastModifiedBy>USUARIO</cp:lastModifiedBy>
  <cp:revision>4</cp:revision>
  <cp:lastPrinted>2022-06-02T21:27:00Z</cp:lastPrinted>
  <dcterms:created xsi:type="dcterms:W3CDTF">2022-07-04T23:30:00Z</dcterms:created>
  <dcterms:modified xsi:type="dcterms:W3CDTF">2022-07-08T00:19:00Z</dcterms:modified>
</cp:coreProperties>
</file>