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C27992" w:rsidRDefault="009F09BC" w:rsidP="009F09BC">
      <w:pPr>
        <w:tabs>
          <w:tab w:val="left" w:pos="3465"/>
        </w:tabs>
        <w:spacing w:before="240" w:after="360" w:line="360" w:lineRule="auto"/>
        <w:jc w:val="both"/>
        <w:rPr>
          <w:rFonts w:ascii="Palatino Linotype" w:hAnsi="Palatino Linotype"/>
        </w:rPr>
      </w:pPr>
      <w:r w:rsidRPr="00C27992">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6923F0" w:rsidRPr="00C27992">
        <w:rPr>
          <w:rFonts w:ascii="Palatino Linotype" w:hAnsi="Palatino Linotype"/>
        </w:rPr>
        <w:t>diecinueve</w:t>
      </w:r>
      <w:r w:rsidR="006A04B6" w:rsidRPr="00C27992">
        <w:rPr>
          <w:rFonts w:ascii="Palatino Linotype" w:hAnsi="Palatino Linotype"/>
        </w:rPr>
        <w:t xml:space="preserve"> (</w:t>
      </w:r>
      <w:r w:rsidR="00053FB7" w:rsidRPr="00C27992">
        <w:rPr>
          <w:rFonts w:ascii="Palatino Linotype" w:hAnsi="Palatino Linotype"/>
        </w:rPr>
        <w:t>1</w:t>
      </w:r>
      <w:r w:rsidR="006923F0" w:rsidRPr="00C27992">
        <w:rPr>
          <w:rFonts w:ascii="Palatino Linotype" w:hAnsi="Palatino Linotype"/>
        </w:rPr>
        <w:t>9</w:t>
      </w:r>
      <w:r w:rsidRPr="00C27992">
        <w:rPr>
          <w:rFonts w:ascii="Palatino Linotype" w:hAnsi="Palatino Linotype"/>
        </w:rPr>
        <w:t xml:space="preserve">) de </w:t>
      </w:r>
      <w:r w:rsidR="00D30C5D" w:rsidRPr="00C27992">
        <w:rPr>
          <w:rFonts w:ascii="Palatino Linotype" w:hAnsi="Palatino Linotype"/>
        </w:rPr>
        <w:t>octubre</w:t>
      </w:r>
      <w:r w:rsidR="00E61C13" w:rsidRPr="00C27992">
        <w:rPr>
          <w:rFonts w:ascii="Palatino Linotype" w:hAnsi="Palatino Linotype"/>
        </w:rPr>
        <w:t xml:space="preserve"> de dos mil veintidós</w:t>
      </w:r>
      <w:r w:rsidRPr="00C27992">
        <w:rPr>
          <w:rFonts w:ascii="Palatino Linotype" w:hAnsi="Palatino Linotype"/>
        </w:rPr>
        <w:t>.</w:t>
      </w:r>
    </w:p>
    <w:p w:rsidR="009F09BC" w:rsidRPr="00C27992" w:rsidRDefault="009F09BC" w:rsidP="009F09BC">
      <w:pPr>
        <w:spacing w:before="240" w:after="360" w:line="360" w:lineRule="auto"/>
        <w:jc w:val="both"/>
        <w:rPr>
          <w:rFonts w:ascii="Palatino Linotype" w:hAnsi="Palatino Linotype"/>
          <w:b/>
        </w:rPr>
      </w:pPr>
      <w:r w:rsidRPr="00C27992">
        <w:rPr>
          <w:rFonts w:ascii="Palatino Linotype" w:hAnsi="Palatino Linotype"/>
          <w:b/>
        </w:rPr>
        <w:t>VISTO</w:t>
      </w:r>
      <w:r w:rsidRPr="00C27992">
        <w:rPr>
          <w:rFonts w:ascii="Palatino Linotype" w:hAnsi="Palatino Linotype"/>
        </w:rPr>
        <w:t xml:space="preserve"> </w:t>
      </w:r>
      <w:r w:rsidR="008A699B" w:rsidRPr="00C27992">
        <w:rPr>
          <w:rFonts w:ascii="Palatino Linotype" w:hAnsi="Palatino Linotype"/>
        </w:rPr>
        <w:t>e</w:t>
      </w:r>
      <w:r w:rsidRPr="00C27992">
        <w:rPr>
          <w:rFonts w:ascii="Palatino Linotype" w:hAnsi="Palatino Linotype"/>
        </w:rPr>
        <w:t xml:space="preserve">l expediente electrónico formado con motivo del recurso de revisión </w:t>
      </w:r>
      <w:r w:rsidR="004856B7" w:rsidRPr="00C27992">
        <w:rPr>
          <w:rFonts w:ascii="Palatino Linotype" w:hAnsi="Palatino Linotype"/>
          <w:b/>
        </w:rPr>
        <w:t>13148/INFOEM/IP/RR/2022</w:t>
      </w:r>
      <w:r w:rsidRPr="00C27992">
        <w:rPr>
          <w:rFonts w:ascii="Palatino Linotype" w:hAnsi="Palatino Linotype"/>
        </w:rPr>
        <w:t>,</w:t>
      </w:r>
      <w:r w:rsidRPr="00C27992">
        <w:rPr>
          <w:rFonts w:ascii="Palatino Linotype" w:hAnsi="Palatino Linotype" w:cs="Arial"/>
          <w:b/>
          <w:bCs/>
        </w:rPr>
        <w:t xml:space="preserve"> </w:t>
      </w:r>
      <w:r w:rsidRPr="00C27992">
        <w:rPr>
          <w:rFonts w:ascii="Palatino Linotype" w:hAnsi="Palatino Linotype"/>
        </w:rPr>
        <w:t xml:space="preserve">promovido por </w:t>
      </w:r>
      <w:r w:rsidR="00C27992" w:rsidRPr="00C27992">
        <w:rPr>
          <w:rFonts w:ascii="Palatino Linotype" w:hAnsi="Palatino Linotype"/>
          <w:b/>
        </w:rPr>
        <w:t xml:space="preserve">XXXX </w:t>
      </w:r>
      <w:proofErr w:type="spellStart"/>
      <w:r w:rsidR="00C27992" w:rsidRPr="00C27992">
        <w:rPr>
          <w:rFonts w:ascii="Palatino Linotype" w:hAnsi="Palatino Linotype"/>
          <w:b/>
        </w:rPr>
        <w:t>XXXX</w:t>
      </w:r>
      <w:proofErr w:type="spellEnd"/>
      <w:r w:rsidR="00C27992" w:rsidRPr="00C27992">
        <w:rPr>
          <w:rFonts w:ascii="Palatino Linotype" w:hAnsi="Palatino Linotype"/>
          <w:b/>
        </w:rPr>
        <w:t xml:space="preserve"> </w:t>
      </w:r>
      <w:proofErr w:type="spellStart"/>
      <w:r w:rsidR="00C27992" w:rsidRPr="00C27992">
        <w:rPr>
          <w:rFonts w:ascii="Palatino Linotype" w:hAnsi="Palatino Linotype"/>
          <w:b/>
        </w:rPr>
        <w:t>XXXX</w:t>
      </w:r>
      <w:proofErr w:type="spellEnd"/>
      <w:r w:rsidRPr="00C27992">
        <w:rPr>
          <w:rFonts w:ascii="Palatino Linotype" w:hAnsi="Palatino Linotype"/>
        </w:rPr>
        <w:t xml:space="preserve">, a quien en lo sucesivo se le identificará como </w:t>
      </w:r>
      <w:r w:rsidRPr="00C27992">
        <w:rPr>
          <w:rFonts w:ascii="Palatino Linotype" w:hAnsi="Palatino Linotype"/>
          <w:b/>
        </w:rPr>
        <w:t>EL RECURRENTE</w:t>
      </w:r>
      <w:r w:rsidRPr="00C27992">
        <w:rPr>
          <w:rFonts w:ascii="Palatino Linotype" w:hAnsi="Palatino Linotype" w:cs="Arial"/>
        </w:rPr>
        <w:t xml:space="preserve">, en contra de la respuesta </w:t>
      </w:r>
      <w:r w:rsidR="00652937" w:rsidRPr="00C27992">
        <w:rPr>
          <w:rFonts w:ascii="Palatino Linotype" w:hAnsi="Palatino Linotype" w:cs="Arial"/>
        </w:rPr>
        <w:t xml:space="preserve">del </w:t>
      </w:r>
      <w:r w:rsidR="004856B7" w:rsidRPr="00C27992">
        <w:rPr>
          <w:rFonts w:ascii="Palatino Linotype" w:hAnsi="Palatino Linotype" w:cs="Arial"/>
          <w:b/>
        </w:rPr>
        <w:t>Tribunal Estatal de Conciliación y Arbitraje</w:t>
      </w:r>
      <w:r w:rsidRPr="00C27992">
        <w:rPr>
          <w:rFonts w:ascii="Palatino Linotype" w:hAnsi="Palatino Linotype" w:cs="Arial"/>
          <w:b/>
        </w:rPr>
        <w:t>,</w:t>
      </w:r>
      <w:r w:rsidRPr="00C27992">
        <w:rPr>
          <w:rFonts w:ascii="Palatino Linotype" w:hAnsi="Palatino Linotype"/>
          <w:b/>
        </w:rPr>
        <w:t xml:space="preserve"> </w:t>
      </w:r>
      <w:r w:rsidRPr="00C27992">
        <w:rPr>
          <w:rFonts w:ascii="Palatino Linotype" w:hAnsi="Palatino Linotype"/>
        </w:rPr>
        <w:t>en lo sucesivo el</w:t>
      </w:r>
      <w:r w:rsidRPr="00C27992">
        <w:rPr>
          <w:rFonts w:ascii="Palatino Linotype" w:hAnsi="Palatino Linotype"/>
          <w:b/>
        </w:rPr>
        <w:t xml:space="preserve"> SUJETO OBLIGADO</w:t>
      </w:r>
      <w:r w:rsidRPr="00C27992">
        <w:rPr>
          <w:rFonts w:ascii="Palatino Linotype" w:hAnsi="Palatino Linotype"/>
        </w:rPr>
        <w:t>, se procede a dictar la presente resolución, con base en los siguientes:</w:t>
      </w:r>
    </w:p>
    <w:p w:rsidR="009F09BC" w:rsidRPr="00C27992" w:rsidRDefault="009F09BC" w:rsidP="009F09BC">
      <w:pPr>
        <w:pStyle w:val="Ttulo1"/>
        <w:spacing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C27992">
        <w:rPr>
          <w:rFonts w:ascii="Palatino Linotype" w:hAnsi="Palatino Linotype"/>
          <w:b/>
          <w:color w:val="000000" w:themeColor="text1"/>
          <w:sz w:val="24"/>
          <w:szCs w:val="24"/>
        </w:rPr>
        <w:t>ANTECEDENTES</w:t>
      </w:r>
      <w:bookmarkEnd w:id="0"/>
      <w:bookmarkEnd w:id="1"/>
      <w:bookmarkEnd w:id="2"/>
    </w:p>
    <w:p w:rsidR="009F09BC" w:rsidRPr="00C27992" w:rsidRDefault="009F09BC" w:rsidP="00D66E65">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C27992">
        <w:rPr>
          <w:rFonts w:ascii="Palatino Linotype" w:eastAsia="Calibri" w:hAnsi="Palatino Linotype" w:cs="Arial"/>
          <w:lang w:val="es-ES"/>
        </w:rPr>
        <w:t xml:space="preserve">El día </w:t>
      </w:r>
      <w:r w:rsidR="004856B7" w:rsidRPr="00C27992">
        <w:rPr>
          <w:rFonts w:ascii="Palatino Linotype" w:eastAsia="Calibri" w:hAnsi="Palatino Linotype" w:cs="Arial"/>
          <w:lang w:val="es-ES"/>
        </w:rPr>
        <w:t>veintiocho</w:t>
      </w:r>
      <w:r w:rsidRPr="00C27992">
        <w:rPr>
          <w:rFonts w:ascii="Palatino Linotype" w:eastAsia="Calibri" w:hAnsi="Palatino Linotype" w:cs="Arial"/>
          <w:lang w:val="es-ES"/>
        </w:rPr>
        <w:t xml:space="preserve"> (</w:t>
      </w:r>
      <w:r w:rsidR="006923F0" w:rsidRPr="00C27992">
        <w:rPr>
          <w:rFonts w:ascii="Palatino Linotype" w:eastAsia="Calibri" w:hAnsi="Palatino Linotype" w:cs="Arial"/>
          <w:lang w:val="es-ES"/>
        </w:rPr>
        <w:t>2</w:t>
      </w:r>
      <w:r w:rsidR="004856B7" w:rsidRPr="00C27992">
        <w:rPr>
          <w:rFonts w:ascii="Palatino Linotype" w:eastAsia="Calibri" w:hAnsi="Palatino Linotype" w:cs="Arial"/>
          <w:lang w:val="es-ES"/>
        </w:rPr>
        <w:t>8</w:t>
      </w:r>
      <w:r w:rsidRPr="00C27992">
        <w:rPr>
          <w:rFonts w:ascii="Palatino Linotype" w:eastAsia="Calibri" w:hAnsi="Palatino Linotype" w:cs="Arial"/>
          <w:lang w:val="es-ES"/>
        </w:rPr>
        <w:t xml:space="preserve">) de </w:t>
      </w:r>
      <w:r w:rsidR="004856B7" w:rsidRPr="00C27992">
        <w:rPr>
          <w:rFonts w:ascii="Palatino Linotype" w:eastAsia="Calibri" w:hAnsi="Palatino Linotype" w:cs="Arial"/>
          <w:lang w:val="es-ES"/>
        </w:rPr>
        <w:t>juni</w:t>
      </w:r>
      <w:r w:rsidR="00E61C13" w:rsidRPr="00C27992">
        <w:rPr>
          <w:rFonts w:ascii="Palatino Linotype" w:eastAsia="Calibri" w:hAnsi="Palatino Linotype" w:cs="Arial"/>
          <w:lang w:val="es-ES"/>
        </w:rPr>
        <w:t>o de dos mil veintidós</w:t>
      </w:r>
      <w:r w:rsidRPr="00C27992">
        <w:rPr>
          <w:rFonts w:ascii="Palatino Linotype" w:hAnsi="Palatino Linotype"/>
          <w:b/>
        </w:rPr>
        <w:t xml:space="preserve">, </w:t>
      </w:r>
      <w:r w:rsidRPr="00C27992">
        <w:rPr>
          <w:rFonts w:ascii="Palatino Linotype" w:eastAsia="Calibri" w:hAnsi="Palatino Linotype" w:cs="Arial"/>
          <w:lang w:val="es-ES"/>
        </w:rPr>
        <w:t xml:space="preserve">se presentó ante el </w:t>
      </w:r>
      <w:r w:rsidRPr="00C27992">
        <w:rPr>
          <w:rFonts w:ascii="Palatino Linotype" w:eastAsia="Calibri" w:hAnsi="Palatino Linotype" w:cs="Arial"/>
          <w:b/>
          <w:lang w:val="es-ES"/>
        </w:rPr>
        <w:t>SUJETO OBLIGADO</w:t>
      </w:r>
      <w:r w:rsidRPr="00C27992">
        <w:rPr>
          <w:rFonts w:ascii="Palatino Linotype" w:eastAsia="Calibri" w:hAnsi="Palatino Linotype" w:cs="Arial"/>
        </w:rPr>
        <w:t xml:space="preserve"> vía </w:t>
      </w:r>
      <w:r w:rsidR="008A699B" w:rsidRPr="00C27992">
        <w:rPr>
          <w:rFonts w:ascii="Palatino Linotype" w:eastAsia="Calibri" w:hAnsi="Palatino Linotype" w:cs="Arial"/>
          <w:lang w:val="es-ES"/>
        </w:rPr>
        <w:t>SAIMEX, la solicitud</w:t>
      </w:r>
      <w:r w:rsidRPr="00C27992">
        <w:rPr>
          <w:rFonts w:ascii="Palatino Linotype" w:eastAsia="Calibri" w:hAnsi="Palatino Linotype" w:cs="Arial"/>
          <w:lang w:val="es-ES"/>
        </w:rPr>
        <w:t xml:space="preserve"> de información pública</w:t>
      </w:r>
      <w:r w:rsidR="008A699B" w:rsidRPr="00C27992">
        <w:rPr>
          <w:rFonts w:ascii="Palatino Linotype" w:eastAsia="Calibri" w:hAnsi="Palatino Linotype" w:cs="Arial"/>
          <w:lang w:val="es-ES"/>
        </w:rPr>
        <w:t xml:space="preserve"> registrada</w:t>
      </w:r>
      <w:r w:rsidRPr="00C27992">
        <w:rPr>
          <w:rFonts w:ascii="Palatino Linotype" w:eastAsia="Calibri" w:hAnsi="Palatino Linotype" w:cs="Arial"/>
          <w:lang w:val="es-ES"/>
        </w:rPr>
        <w:t xml:space="preserve"> con </w:t>
      </w:r>
      <w:r w:rsidR="008A699B" w:rsidRPr="00C27992">
        <w:rPr>
          <w:rFonts w:ascii="Palatino Linotype" w:eastAsia="Calibri" w:hAnsi="Palatino Linotype" w:cs="Arial"/>
          <w:lang w:val="es-ES"/>
        </w:rPr>
        <w:t xml:space="preserve">el </w:t>
      </w:r>
      <w:r w:rsidRPr="00C27992">
        <w:rPr>
          <w:rFonts w:ascii="Palatino Linotype" w:eastAsia="Calibri" w:hAnsi="Palatino Linotype" w:cs="Arial"/>
          <w:lang w:val="es-ES"/>
        </w:rPr>
        <w:t>número</w:t>
      </w:r>
      <w:r w:rsidRPr="00C27992">
        <w:rPr>
          <w:rFonts w:ascii="Palatino Linotype" w:hAnsi="Palatino Linotype"/>
          <w:b/>
          <w:bCs/>
          <w:color w:val="000000" w:themeColor="text1"/>
        </w:rPr>
        <w:t xml:space="preserve"> </w:t>
      </w:r>
      <w:r w:rsidR="004856B7" w:rsidRPr="00C27992">
        <w:rPr>
          <w:rFonts w:ascii="Palatino Linotype" w:hAnsi="Palatino Linotype"/>
          <w:b/>
          <w:bCs/>
          <w:color w:val="000000" w:themeColor="text1"/>
        </w:rPr>
        <w:t>00097/TRIECA/IP/2022</w:t>
      </w:r>
      <w:r w:rsidRPr="00C27992">
        <w:rPr>
          <w:rFonts w:ascii="Palatino Linotype" w:hAnsi="Palatino Linotype"/>
          <w:b/>
          <w:bCs/>
          <w:color w:val="000000" w:themeColor="text1"/>
        </w:rPr>
        <w:t xml:space="preserve">; </w:t>
      </w:r>
      <w:r w:rsidRPr="00C27992">
        <w:rPr>
          <w:rFonts w:ascii="Palatino Linotype" w:eastAsia="Calibri" w:hAnsi="Palatino Linotype" w:cs="Arial"/>
          <w:lang w:val="es-ES"/>
        </w:rPr>
        <w:t>mediante la cual se solicitó la siguiente información:</w:t>
      </w:r>
    </w:p>
    <w:p w:rsidR="008A699B" w:rsidRPr="00C27992" w:rsidRDefault="008A699B" w:rsidP="008A699B">
      <w:pPr>
        <w:pStyle w:val="Prrafodelista"/>
        <w:spacing w:before="240" w:after="240" w:line="360" w:lineRule="auto"/>
        <w:ind w:left="0"/>
        <w:jc w:val="both"/>
        <w:rPr>
          <w:rFonts w:ascii="Palatino Linotype" w:eastAsia="Calibri" w:hAnsi="Palatino Linotype" w:cs="Arial"/>
          <w:lang w:val="es-ES"/>
        </w:rPr>
      </w:pPr>
    </w:p>
    <w:p w:rsidR="009F09BC" w:rsidRPr="00C27992" w:rsidRDefault="008A699B" w:rsidP="008A699B">
      <w:pPr>
        <w:pStyle w:val="Prrafodelista"/>
        <w:spacing w:line="360" w:lineRule="auto"/>
        <w:ind w:left="426" w:right="474"/>
        <w:jc w:val="both"/>
        <w:rPr>
          <w:rFonts w:ascii="Palatino Linotype" w:hAnsi="Palatino Linotype"/>
          <w:i/>
        </w:rPr>
      </w:pPr>
      <w:r w:rsidRPr="00C27992">
        <w:rPr>
          <w:rFonts w:ascii="Palatino Linotype" w:hAnsi="Palatino Linotype"/>
          <w:i/>
        </w:rPr>
        <w:t>“</w:t>
      </w:r>
      <w:r w:rsidR="004856B7" w:rsidRPr="00C27992">
        <w:rPr>
          <w:rFonts w:ascii="Palatino Linotype" w:hAnsi="Palatino Linotype"/>
          <w:i/>
        </w:rPr>
        <w:t xml:space="preserve">CON RESPECTO A LO REFERIDO SOBRE EL EXPEDIENTE SAE725/2013 SOLICITO LOS CRITERIOS QUE APLICA LA SALA AUXILIAR ECATEPEC PARA APLICAR DISCRECIONALMENTE LA JURISPRUDENCIA CON REGISTRO DIGITAL 184376 "TRABAJADORES DE CONFIANZA AL SERVICIO DEL ESTADO. CUANDO DE LA LEGISLACIÓN CORRESPONDIENTE (FEDERAL O LOCAL) APAREZCA QUE CARECEN </w:t>
      </w:r>
      <w:r w:rsidR="004856B7" w:rsidRPr="00C27992">
        <w:rPr>
          <w:rFonts w:ascii="Palatino Linotype" w:hAnsi="Palatino Linotype"/>
          <w:i/>
        </w:rPr>
        <w:lastRenderedPageBreak/>
        <w:t xml:space="preserve">DE ACCIÓN PARA DEMANDAR LA INDEMNIZACIÓN CONSTITUCIONAL O LA REINSTALACIÓN POR DESPIDO, LA DEMANDADA DEBE SER ABSUELTA AUNQUE NO SE HAYA OPUESTO LA EXCEPCIÓN RELATIVA." QUE APARECE INVOCADA EN DIVERSOS LAUDOS DONDE EL DEMANDADO NO OPONE LA EXCEPCIÓN DE TRABAJADOR DE CONFIANZA, PERO LA SALA AUXILIAR DE ECATEPEC, LO REALIZA, LO CUAL EN EL EXPEDIENTE SAE725/2013 ES MUY INTERESANTE QUE NO SE APLIQUE DICHA JURISPRUDENCIA CUYA APLICACIÓN ES OBLIGATORIA, POR DICHA SITUACIÓN SE PRESUME QUE EXISTE UN ACTO DE CORRUPCIÓN QUE DEBERÁ SER INVESTIGADO POR EL ÓRGANO INTERNO DE CONTROL DEL TRIBUNAL ESTATAL DE CONCILIACIÓN Y ARBITRAJE. CON RESPECTO A LO REFERIDO EN QUE NO SE CONTEMPLA COMO UNA CAUSAL DE DESECHAMIENTO LA PRESENTACIÓN DE LA DEMANDA DE FORMA EXTEMPÓRANEA, DERIVADO A QUE LA PRESENTACIÓN DE LA DEMANDA DEL EXPEDIENTE SAE725/2013 FUE POSTERIOR AL TIEMPO PREVISTO EN LA LEY BUROCRÁTICA DEL ESTADO DE MÉXICO DE UN MES (30 DÍAS NATURALES) SEGÚN LO ESTIPULADO EN EL ARTÍCULO 180, FRACCIÓN I, INCISO C, SOLICITO LA FUNDAMENTACIÓN Y LA MOTIVACIÓN PARA QUE EN EL LAUDO NO SE HICIERA NINGUNA MANIFESTACIÓN SOBRE LO SEÑALADO EN LA CONTESTACIÓN DE LA DEMANDA POR EL REPRESENTANTE DEL AYUNTAMIENTO DEMANDADO AL SEÑALAR LA EXCEPCIÓN DE PRESCRIPCIÓN: “.. PARA TODAS LAS PRESTACIONES RECLAMADAS </w:t>
      </w:r>
      <w:r w:rsidR="004856B7" w:rsidRPr="00C27992">
        <w:rPr>
          <w:rFonts w:ascii="Palatino Linotype" w:hAnsi="Palatino Linotype"/>
          <w:i/>
        </w:rPr>
        <w:lastRenderedPageBreak/>
        <w:t xml:space="preserve">POR EL ACTOR EN EL CAPÍTULO DE PRESTACIONES Y ESPECIALMENTE EN LOS INCISOS A AL I CON ANTERIORIDAD AL 13 DE FEBRERO DEL 2012, EN VIRTUD QUE PRESENTÓ SU DEMANDA CON FECHA 14 DE FEBRERO DE 2013, COMO SE DESPRENDE DEL AUTO DE RADICACIÓN QUE OBRA EN AUTOS; EN VIRTUD QUE TRASCURRIÓ CON EXCESO EL TÉRMINO A QUE SE REFIERE EL PRECEPTO LEGAL ANTES SEÑALADO, PARA QUE PUDIERA EXIGIR EL CUMPLIMIENTO DE LAS MISMAS”, SITUACIÓN QUE NUEVAMENTE, PERMITE LA PRESUNCIÓN DE UN ACTO DE CORRUPCIÓN, AL NO EMITIR UN LAUDO CON BASE EN LOS ARTÍCULOS 245 Y 246 DE LA LEY DEL TRABAJO DE LOS SERVIDORES PÚBLICOS DEL ESTADO Y MUNICIPIOS. CON RESPECTO A LO REFERIDO EN QUE NO SE PROMOVIÓ LA INTERPOSICIÓN DEL AMPARO POR PARTE DE LA MUNICIPALIDAD DEMANDADA, RAZÓN POR LA CUAL EL LAUDO EMITIDO POR LA SALA AUXILIAR QUEDÓ FIRME, ELEVÁNDOSE A LA CATEGORÍA DE COSA JUZGADA, SOLICITO LA DOCUMENTAL CON LA QUE SE NOTIFICÓ AL AYUNTAMIENTO, PRECISANDO QUE EL NOMBRE DE LOS ABOGADOS DEL AYUNTAMIENTO DEBERÁN SER PÚBLICOS, AL SER SERVIDORES PÚBLICOS QUE RECIBEN DINERO PÚBLICO (SUELDO). CON RESPECTO A LO REFERIDO EN QUE LAS PARTES COMPARECIERON A LAS INSTALACIONES DE LA SALA EN FECHA 29 DE ABRIL DEL AÑO 2019, SOLICITO EL CONVENIO CELEBRADO EN MODALIDAD DE PAGO DEL LAUDO DEL EXPEDIENTE SAE725/2013. POR ÚLTIMO, SE SOLICITAN LOS CARGOS </w:t>
      </w:r>
      <w:r w:rsidR="004856B7" w:rsidRPr="00C27992">
        <w:rPr>
          <w:rFonts w:ascii="Palatino Linotype" w:hAnsi="Palatino Linotype"/>
          <w:i/>
        </w:rPr>
        <w:lastRenderedPageBreak/>
        <w:t>QUE DESEMPEÑAN LA LIC. HEIDI JOSEFINA HUERTA CANO, EL C. ARTURO RIVERA VARGAS Y LA LIC. VERÓNICA ISABEL LÓPEZ GARCÉS.</w:t>
      </w:r>
      <w:r w:rsidRPr="00C27992">
        <w:rPr>
          <w:rFonts w:ascii="Palatino Linotype" w:hAnsi="Palatino Linotype"/>
          <w:i/>
        </w:rPr>
        <w:t>”</w:t>
      </w:r>
    </w:p>
    <w:p w:rsidR="008A699B" w:rsidRPr="00C27992" w:rsidRDefault="008A699B" w:rsidP="009F09BC">
      <w:pPr>
        <w:pStyle w:val="Prrafodelista"/>
        <w:spacing w:line="360" w:lineRule="auto"/>
        <w:ind w:left="851" w:right="34"/>
        <w:jc w:val="both"/>
        <w:rPr>
          <w:rFonts w:ascii="Palatino Linotype" w:hAnsi="Palatino Linotype"/>
        </w:rPr>
      </w:pPr>
    </w:p>
    <w:p w:rsidR="009F09BC" w:rsidRPr="00C27992" w:rsidRDefault="009F09BC" w:rsidP="00D66E65">
      <w:pPr>
        <w:pStyle w:val="Prrafodelista"/>
        <w:numPr>
          <w:ilvl w:val="0"/>
          <w:numId w:val="2"/>
        </w:numPr>
        <w:spacing w:line="360" w:lineRule="auto"/>
        <w:ind w:left="851" w:right="34"/>
        <w:jc w:val="both"/>
        <w:rPr>
          <w:rFonts w:ascii="Palatino Linotype" w:hAnsi="Palatino Linotype"/>
        </w:rPr>
      </w:pPr>
      <w:r w:rsidRPr="00C27992">
        <w:rPr>
          <w:rFonts w:ascii="Palatino Linotype" w:eastAsia="Times New Roman" w:hAnsi="Palatino Linotype" w:cs="Arial"/>
          <w:lang w:val="es-ES"/>
        </w:rPr>
        <w:t>Se eligió como modalidad de entrega de la información</w:t>
      </w:r>
      <w:r w:rsidRPr="00C27992">
        <w:rPr>
          <w:rFonts w:ascii="Palatino Linotype" w:hAnsi="Palatino Linotype"/>
        </w:rPr>
        <w:t xml:space="preserve">: A través del </w:t>
      </w:r>
      <w:r w:rsidRPr="00C27992">
        <w:rPr>
          <w:rFonts w:ascii="Palatino Linotype" w:hAnsi="Palatino Linotype"/>
          <w:b/>
        </w:rPr>
        <w:t>SAIMEX</w:t>
      </w:r>
    </w:p>
    <w:p w:rsidR="00BE0A62" w:rsidRPr="00C27992" w:rsidRDefault="00BE0A62" w:rsidP="00BE2A9D">
      <w:pPr>
        <w:spacing w:line="360" w:lineRule="auto"/>
        <w:ind w:right="34"/>
        <w:jc w:val="both"/>
        <w:rPr>
          <w:rFonts w:ascii="Palatino Linotype" w:hAnsi="Palatino Linotype"/>
        </w:rPr>
      </w:pPr>
    </w:p>
    <w:p w:rsidR="009F09BC" w:rsidRPr="00C27992" w:rsidRDefault="009861EE" w:rsidP="009548C4">
      <w:pPr>
        <w:pStyle w:val="Prrafodelista"/>
        <w:numPr>
          <w:ilvl w:val="0"/>
          <w:numId w:val="1"/>
        </w:numPr>
        <w:tabs>
          <w:tab w:val="left" w:pos="0"/>
        </w:tabs>
        <w:spacing w:line="360" w:lineRule="auto"/>
        <w:ind w:left="0" w:right="51" w:firstLine="0"/>
        <w:jc w:val="both"/>
        <w:rPr>
          <w:rFonts w:ascii="Palatino Linotype" w:hAnsi="Palatino Linotype" w:cs="Arial"/>
          <w:i/>
          <w:color w:val="000000" w:themeColor="text1"/>
        </w:rPr>
      </w:pPr>
      <w:r w:rsidRPr="00C27992">
        <w:rPr>
          <w:rFonts w:ascii="Palatino Linotype" w:hAnsi="Palatino Linotype" w:cs="Arial"/>
          <w:color w:val="000000" w:themeColor="text1"/>
        </w:rPr>
        <w:t xml:space="preserve">El </w:t>
      </w:r>
      <w:r w:rsidR="009548C4" w:rsidRPr="00C27992">
        <w:rPr>
          <w:rFonts w:ascii="Palatino Linotype" w:hAnsi="Palatino Linotype" w:cs="Arial"/>
          <w:color w:val="000000" w:themeColor="text1"/>
        </w:rPr>
        <w:t>uno</w:t>
      </w:r>
      <w:r w:rsidR="009F09BC" w:rsidRPr="00C27992">
        <w:rPr>
          <w:rFonts w:ascii="Palatino Linotype" w:hAnsi="Palatino Linotype" w:cs="Arial"/>
          <w:color w:val="000000" w:themeColor="text1"/>
        </w:rPr>
        <w:t xml:space="preserve"> (</w:t>
      </w:r>
      <w:r w:rsidR="006923F0" w:rsidRPr="00C27992">
        <w:rPr>
          <w:rFonts w:ascii="Palatino Linotype" w:hAnsi="Palatino Linotype" w:cs="Arial"/>
          <w:color w:val="000000" w:themeColor="text1"/>
        </w:rPr>
        <w:t>0</w:t>
      </w:r>
      <w:r w:rsidR="009548C4" w:rsidRPr="00C27992">
        <w:rPr>
          <w:rFonts w:ascii="Palatino Linotype" w:hAnsi="Palatino Linotype" w:cs="Arial"/>
          <w:color w:val="000000" w:themeColor="text1"/>
        </w:rPr>
        <w:t>1</w:t>
      </w:r>
      <w:r w:rsidR="009F09BC" w:rsidRPr="00C27992">
        <w:rPr>
          <w:rFonts w:ascii="Palatino Linotype" w:hAnsi="Palatino Linotype" w:cs="Arial"/>
          <w:color w:val="000000" w:themeColor="text1"/>
        </w:rPr>
        <w:t xml:space="preserve">) de </w:t>
      </w:r>
      <w:r w:rsidR="006923F0" w:rsidRPr="00C27992">
        <w:rPr>
          <w:rFonts w:ascii="Palatino Linotype" w:hAnsi="Palatino Linotype" w:cs="Arial"/>
          <w:color w:val="000000" w:themeColor="text1"/>
        </w:rPr>
        <w:t>agosto</w:t>
      </w:r>
      <w:r w:rsidR="002C4997" w:rsidRPr="00C27992">
        <w:rPr>
          <w:rFonts w:ascii="Palatino Linotype" w:hAnsi="Palatino Linotype" w:cs="Arial"/>
          <w:color w:val="000000" w:themeColor="text1"/>
        </w:rPr>
        <w:t xml:space="preserve"> de dos mil veintidós</w:t>
      </w:r>
      <w:r w:rsidR="009F09BC" w:rsidRPr="00C27992">
        <w:rPr>
          <w:rFonts w:ascii="Palatino Linotype" w:hAnsi="Palatino Linotype" w:cs="Arial"/>
          <w:color w:val="000000" w:themeColor="text1"/>
        </w:rPr>
        <w:t xml:space="preserve">, el </w:t>
      </w:r>
      <w:r w:rsidR="009F09BC" w:rsidRPr="00C27992">
        <w:rPr>
          <w:rFonts w:ascii="Palatino Linotype" w:hAnsi="Palatino Linotype" w:cs="Arial"/>
          <w:b/>
          <w:color w:val="000000" w:themeColor="text1"/>
        </w:rPr>
        <w:t>SUJETO OBLIGADO,</w:t>
      </w:r>
      <w:r w:rsidR="009F09BC" w:rsidRPr="00C27992">
        <w:rPr>
          <w:rFonts w:ascii="Palatino Linotype" w:hAnsi="Palatino Linotype" w:cs="Arial"/>
          <w:color w:val="000000" w:themeColor="text1"/>
        </w:rPr>
        <w:t xml:space="preserve"> dio respuesta a la solicitud de información </w:t>
      </w:r>
      <w:r w:rsidR="009548C4" w:rsidRPr="00C27992">
        <w:rPr>
          <w:rFonts w:ascii="Palatino Linotype" w:hAnsi="Palatino Linotype" w:cs="Arial"/>
          <w:color w:val="000000" w:themeColor="text1"/>
        </w:rPr>
        <w:t>a través del archivo</w:t>
      </w:r>
      <w:r w:rsidR="006923F0" w:rsidRPr="00C27992">
        <w:rPr>
          <w:rFonts w:ascii="Palatino Linotype" w:hAnsi="Palatino Linotype" w:cs="Arial"/>
          <w:color w:val="000000" w:themeColor="text1"/>
        </w:rPr>
        <w:t xml:space="preserve"> electrónico</w:t>
      </w:r>
      <w:r w:rsidR="009548C4" w:rsidRPr="00C27992">
        <w:rPr>
          <w:rFonts w:ascii="Palatino Linotype" w:hAnsi="Palatino Linotype" w:cs="Arial"/>
          <w:color w:val="000000" w:themeColor="text1"/>
        </w:rPr>
        <w:t xml:space="preserve"> de nombre</w:t>
      </w:r>
      <w:r w:rsidR="006923F0" w:rsidRPr="00C27992">
        <w:rPr>
          <w:rFonts w:ascii="Palatino Linotype" w:hAnsi="Palatino Linotype" w:cs="Arial"/>
          <w:color w:val="000000" w:themeColor="text1"/>
        </w:rPr>
        <w:t xml:space="preserve"> </w:t>
      </w:r>
      <w:r w:rsidR="009548C4" w:rsidRPr="00C27992">
        <w:rPr>
          <w:rFonts w:ascii="Palatino Linotype" w:hAnsi="Palatino Linotype" w:cs="Arial"/>
          <w:b/>
          <w:color w:val="000000" w:themeColor="text1"/>
        </w:rPr>
        <w:t>SAIMEX-00097-TRIECA-IP-2022.PDF</w:t>
      </w:r>
      <w:r w:rsidR="006923F0" w:rsidRPr="00C27992">
        <w:rPr>
          <w:rFonts w:ascii="Palatino Linotype" w:hAnsi="Palatino Linotype" w:cs="Arial"/>
          <w:color w:val="000000" w:themeColor="text1"/>
        </w:rPr>
        <w:t xml:space="preserve">, cuyo contenido </w:t>
      </w:r>
      <w:r w:rsidR="006923F0" w:rsidRPr="00C27992">
        <w:rPr>
          <w:rFonts w:ascii="Palatino Linotype" w:hAnsi="Palatino Linotype" w:cs="Arial"/>
          <w:i/>
          <w:color w:val="000000" w:themeColor="text1"/>
        </w:rPr>
        <w:t>grosso modo</w:t>
      </w:r>
      <w:r w:rsidR="006923F0" w:rsidRPr="00C27992">
        <w:rPr>
          <w:rFonts w:ascii="Palatino Linotype" w:hAnsi="Palatino Linotype" w:cs="Arial"/>
          <w:color w:val="000000" w:themeColor="text1"/>
        </w:rPr>
        <w:t xml:space="preserve"> es el siguiente</w:t>
      </w:r>
      <w:r w:rsidR="009F09BC" w:rsidRPr="00C27992">
        <w:rPr>
          <w:rFonts w:ascii="Palatino Linotype" w:hAnsi="Palatino Linotype" w:cs="Arial"/>
          <w:color w:val="000000" w:themeColor="text1"/>
        </w:rPr>
        <w:t>:</w:t>
      </w:r>
    </w:p>
    <w:p w:rsidR="00453A1F" w:rsidRPr="00C27992" w:rsidRDefault="00453A1F" w:rsidP="00453A1F">
      <w:pPr>
        <w:pStyle w:val="Prrafodelista"/>
        <w:tabs>
          <w:tab w:val="left" w:pos="0"/>
        </w:tabs>
        <w:spacing w:line="360" w:lineRule="auto"/>
        <w:ind w:left="0" w:right="51"/>
        <w:jc w:val="both"/>
        <w:rPr>
          <w:rFonts w:ascii="Palatino Linotype" w:hAnsi="Palatino Linotype" w:cs="Arial"/>
          <w:i/>
          <w:color w:val="000000" w:themeColor="text1"/>
        </w:rPr>
      </w:pPr>
    </w:p>
    <w:p w:rsidR="00BE2A9D" w:rsidRPr="00C27992" w:rsidRDefault="009548C4" w:rsidP="00BE2A9D">
      <w:pPr>
        <w:pStyle w:val="Prrafodelista"/>
        <w:tabs>
          <w:tab w:val="left" w:pos="0"/>
        </w:tabs>
        <w:spacing w:line="360" w:lineRule="auto"/>
        <w:ind w:left="0" w:right="51"/>
        <w:jc w:val="both"/>
        <w:rPr>
          <w:rFonts w:ascii="Palatino Linotype" w:hAnsi="Palatino Linotype" w:cs="Arial"/>
          <w:color w:val="000000" w:themeColor="text1"/>
        </w:rPr>
      </w:pPr>
      <w:r w:rsidRPr="00C27992">
        <w:rPr>
          <w:rFonts w:ascii="Palatino Linotype" w:hAnsi="Palatino Linotype" w:cs="Arial"/>
          <w:noProof/>
          <w:color w:val="000000" w:themeColor="text1"/>
          <w:lang w:val="es-MX" w:eastAsia="es-MX"/>
        </w:rPr>
        <w:drawing>
          <wp:inline distT="0" distB="0" distL="0" distR="0">
            <wp:extent cx="5610225" cy="2914650"/>
            <wp:effectExtent l="19050" t="19050" r="28575"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2914650"/>
                    </a:xfrm>
                    <a:prstGeom prst="rect">
                      <a:avLst/>
                    </a:prstGeom>
                    <a:noFill/>
                    <a:ln>
                      <a:solidFill>
                        <a:schemeClr val="tx1"/>
                      </a:solidFill>
                    </a:ln>
                  </pic:spPr>
                </pic:pic>
              </a:graphicData>
            </a:graphic>
          </wp:inline>
        </w:drawing>
      </w:r>
    </w:p>
    <w:p w:rsidR="00453A1F" w:rsidRPr="00C27992" w:rsidRDefault="00453A1F" w:rsidP="00BE2A9D">
      <w:pPr>
        <w:pStyle w:val="Prrafodelista"/>
        <w:tabs>
          <w:tab w:val="left" w:pos="0"/>
        </w:tabs>
        <w:spacing w:line="360" w:lineRule="auto"/>
        <w:ind w:left="0" w:right="51"/>
        <w:jc w:val="both"/>
        <w:rPr>
          <w:rFonts w:ascii="Palatino Linotype" w:hAnsi="Palatino Linotype" w:cs="Arial"/>
          <w:color w:val="000000" w:themeColor="text1"/>
        </w:rPr>
      </w:pPr>
      <w:r w:rsidRPr="00C27992">
        <w:rPr>
          <w:rFonts w:ascii="Palatino Linotype" w:hAnsi="Palatino Linotype" w:cs="Arial"/>
          <w:noProof/>
          <w:color w:val="000000" w:themeColor="text1"/>
          <w:lang w:val="es-MX" w:eastAsia="es-MX"/>
        </w:rPr>
        <w:lastRenderedPageBreak/>
        <w:drawing>
          <wp:inline distT="0" distB="0" distL="0" distR="0">
            <wp:extent cx="5610225" cy="1228725"/>
            <wp:effectExtent l="19050" t="19050" r="28575" b="285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1228725"/>
                    </a:xfrm>
                    <a:prstGeom prst="rect">
                      <a:avLst/>
                    </a:prstGeom>
                    <a:noFill/>
                    <a:ln>
                      <a:solidFill>
                        <a:schemeClr val="tx1"/>
                      </a:solidFill>
                    </a:ln>
                  </pic:spPr>
                </pic:pic>
              </a:graphicData>
            </a:graphic>
          </wp:inline>
        </w:drawing>
      </w:r>
    </w:p>
    <w:p w:rsidR="00804DAA" w:rsidRPr="00C27992" w:rsidRDefault="00804DAA" w:rsidP="00BE2A9D">
      <w:pPr>
        <w:pStyle w:val="Prrafodelista"/>
        <w:tabs>
          <w:tab w:val="left" w:pos="0"/>
        </w:tabs>
        <w:spacing w:line="360" w:lineRule="auto"/>
        <w:ind w:left="0" w:right="51"/>
        <w:jc w:val="center"/>
        <w:rPr>
          <w:rFonts w:ascii="Palatino Linotype" w:hAnsi="Palatino Linotype" w:cs="Arial"/>
          <w:color w:val="000000" w:themeColor="text1"/>
        </w:rPr>
      </w:pPr>
    </w:p>
    <w:p w:rsidR="009F09BC" w:rsidRPr="00C27992" w:rsidRDefault="009F09BC" w:rsidP="00D66E65">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C27992">
        <w:rPr>
          <w:rFonts w:ascii="Palatino Linotype" w:eastAsia="Times New Roman" w:hAnsi="Palatino Linotype" w:cs="Arial"/>
          <w:color w:val="000000" w:themeColor="text1"/>
          <w:lang w:val="es-ES"/>
        </w:rPr>
        <w:t>E</w:t>
      </w:r>
      <w:r w:rsidR="002C4997" w:rsidRPr="00C27992">
        <w:rPr>
          <w:rFonts w:ascii="Palatino Linotype" w:eastAsia="Times New Roman" w:hAnsi="Palatino Linotype" w:cs="Arial"/>
          <w:color w:val="000000" w:themeColor="text1"/>
          <w:lang w:val="es-ES"/>
        </w:rPr>
        <w:t xml:space="preserve">l </w:t>
      </w:r>
      <w:r w:rsidR="009548C4" w:rsidRPr="00C27992">
        <w:rPr>
          <w:rFonts w:ascii="Palatino Linotype" w:eastAsia="Times New Roman" w:hAnsi="Palatino Linotype" w:cs="Arial"/>
          <w:color w:val="000000" w:themeColor="text1"/>
          <w:lang w:val="es-ES"/>
        </w:rPr>
        <w:t>cinco</w:t>
      </w:r>
      <w:r w:rsidR="002C4997" w:rsidRPr="00C27992">
        <w:rPr>
          <w:rFonts w:ascii="Palatino Linotype" w:eastAsia="Times New Roman" w:hAnsi="Palatino Linotype" w:cs="Arial"/>
          <w:color w:val="000000" w:themeColor="text1"/>
          <w:lang w:val="es-ES"/>
        </w:rPr>
        <w:t xml:space="preserve"> </w:t>
      </w:r>
      <w:r w:rsidRPr="00C27992">
        <w:rPr>
          <w:rFonts w:ascii="Palatino Linotype" w:eastAsia="Times New Roman" w:hAnsi="Palatino Linotype" w:cs="Arial"/>
          <w:color w:val="000000" w:themeColor="text1"/>
          <w:lang w:val="es-ES"/>
        </w:rPr>
        <w:t>(</w:t>
      </w:r>
      <w:r w:rsidR="009548C4" w:rsidRPr="00C27992">
        <w:rPr>
          <w:rFonts w:ascii="Palatino Linotype" w:eastAsia="Times New Roman" w:hAnsi="Palatino Linotype" w:cs="Arial"/>
          <w:color w:val="000000" w:themeColor="text1"/>
          <w:lang w:val="es-ES"/>
        </w:rPr>
        <w:t>05</w:t>
      </w:r>
      <w:r w:rsidRPr="00C27992">
        <w:rPr>
          <w:rFonts w:ascii="Palatino Linotype" w:eastAsia="Times New Roman" w:hAnsi="Palatino Linotype" w:cs="Arial"/>
          <w:color w:val="000000" w:themeColor="text1"/>
          <w:lang w:val="es-ES"/>
        </w:rPr>
        <w:t xml:space="preserve">) de </w:t>
      </w:r>
      <w:r w:rsidR="009548C4" w:rsidRPr="00C27992">
        <w:rPr>
          <w:rFonts w:ascii="Palatino Linotype" w:eastAsia="Times New Roman" w:hAnsi="Palatino Linotype" w:cs="Arial"/>
          <w:color w:val="000000" w:themeColor="text1"/>
          <w:lang w:val="es-ES"/>
        </w:rPr>
        <w:t>agosto</w:t>
      </w:r>
      <w:r w:rsidRPr="00C27992">
        <w:rPr>
          <w:rFonts w:ascii="Palatino Linotype" w:eastAsia="Times New Roman" w:hAnsi="Palatino Linotype" w:cs="Arial"/>
          <w:color w:val="000000" w:themeColor="text1"/>
          <w:lang w:val="es-ES"/>
        </w:rPr>
        <w:t xml:space="preserve"> de </w:t>
      </w:r>
      <w:r w:rsidR="00025C53" w:rsidRPr="00C27992">
        <w:rPr>
          <w:rFonts w:ascii="Palatino Linotype" w:eastAsia="Times New Roman" w:hAnsi="Palatino Linotype" w:cs="Arial"/>
          <w:color w:val="000000" w:themeColor="text1"/>
          <w:lang w:val="es-ES"/>
        </w:rPr>
        <w:t>dos mil veintidós</w:t>
      </w:r>
      <w:r w:rsidRPr="00C27992">
        <w:rPr>
          <w:rFonts w:ascii="Palatino Linotype" w:eastAsia="Times New Roman" w:hAnsi="Palatino Linotype" w:cs="Arial"/>
          <w:color w:val="000000" w:themeColor="text1"/>
          <w:lang w:val="es-ES"/>
        </w:rPr>
        <w:t xml:space="preserve">, el particular interpuso </w:t>
      </w:r>
      <w:r w:rsidR="002C4997" w:rsidRPr="00C27992">
        <w:rPr>
          <w:rFonts w:ascii="Palatino Linotype" w:eastAsia="Times New Roman" w:hAnsi="Palatino Linotype" w:cs="Arial"/>
          <w:color w:val="000000" w:themeColor="text1"/>
          <w:lang w:val="es-ES"/>
        </w:rPr>
        <w:t>e</w:t>
      </w:r>
      <w:r w:rsidRPr="00C27992">
        <w:rPr>
          <w:rFonts w:ascii="Palatino Linotype" w:eastAsia="Times New Roman" w:hAnsi="Palatino Linotype" w:cs="Arial"/>
          <w:color w:val="000000" w:themeColor="text1"/>
          <w:lang w:val="es-ES"/>
        </w:rPr>
        <w:t>l recurso de revisión en contra de la respuesta, manifestando l</w:t>
      </w:r>
      <w:r w:rsidR="002C4997" w:rsidRPr="00C27992">
        <w:rPr>
          <w:rFonts w:ascii="Palatino Linotype" w:eastAsia="Times New Roman" w:hAnsi="Palatino Linotype" w:cs="Arial"/>
          <w:color w:val="000000" w:themeColor="text1"/>
          <w:lang w:val="es-ES"/>
        </w:rPr>
        <w:t>a</w:t>
      </w:r>
      <w:r w:rsidRPr="00C27992">
        <w:rPr>
          <w:rFonts w:ascii="Palatino Linotype" w:eastAsia="Times New Roman" w:hAnsi="Palatino Linotype" w:cs="Arial"/>
          <w:color w:val="000000" w:themeColor="text1"/>
          <w:lang w:val="es-ES"/>
        </w:rPr>
        <w:t xml:space="preserve">s </w:t>
      </w:r>
      <w:r w:rsidR="002C4997" w:rsidRPr="00C27992">
        <w:rPr>
          <w:rFonts w:ascii="Palatino Linotype" w:eastAsia="Times New Roman" w:hAnsi="Palatino Linotype" w:cs="Arial"/>
          <w:color w:val="000000" w:themeColor="text1"/>
          <w:lang w:val="es-ES"/>
        </w:rPr>
        <w:t>siguientes</w:t>
      </w:r>
      <w:r w:rsidRPr="00C27992">
        <w:rPr>
          <w:rFonts w:ascii="Palatino Linotype" w:eastAsia="Times New Roman" w:hAnsi="Palatino Linotype" w:cs="Arial"/>
          <w:color w:val="000000" w:themeColor="text1"/>
          <w:lang w:val="es-ES"/>
        </w:rPr>
        <w:t xml:space="preserve"> razones o motivos de inconformidad:</w:t>
      </w:r>
    </w:p>
    <w:p w:rsidR="009F09BC" w:rsidRPr="00C27992" w:rsidRDefault="009F09BC" w:rsidP="009F09BC">
      <w:pPr>
        <w:pStyle w:val="Prrafodelista"/>
        <w:tabs>
          <w:tab w:val="left" w:pos="0"/>
        </w:tabs>
        <w:spacing w:line="360" w:lineRule="auto"/>
        <w:ind w:left="0" w:right="49"/>
        <w:jc w:val="both"/>
        <w:rPr>
          <w:rFonts w:ascii="Palatino Linotype" w:hAnsi="Palatino Linotype" w:cs="Arial"/>
          <w:i/>
          <w:color w:val="000000" w:themeColor="text1"/>
        </w:rPr>
      </w:pPr>
    </w:p>
    <w:p w:rsidR="009F09BC" w:rsidRPr="00C27992" w:rsidRDefault="009F09BC" w:rsidP="00BB350C">
      <w:pPr>
        <w:pStyle w:val="Prrafodelista"/>
        <w:numPr>
          <w:ilvl w:val="0"/>
          <w:numId w:val="2"/>
        </w:numPr>
        <w:spacing w:line="360" w:lineRule="auto"/>
        <w:jc w:val="both"/>
        <w:rPr>
          <w:rFonts w:ascii="Palatino Linotype" w:hAnsi="Palatino Linotype"/>
          <w:i/>
          <w:color w:val="000000" w:themeColor="text1"/>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C27992">
        <w:rPr>
          <w:rStyle w:val="Ttulo2Car"/>
          <w:rFonts w:ascii="Palatino Linotype" w:hAnsi="Palatino Linotype"/>
          <w:b/>
          <w:color w:val="auto"/>
          <w:sz w:val="24"/>
          <w:szCs w:val="24"/>
        </w:rPr>
        <w:t>Acto impugnado</w:t>
      </w:r>
      <w:bookmarkEnd w:id="3"/>
      <w:r w:rsidRPr="00C27992">
        <w:rPr>
          <w:rStyle w:val="Ttulo2Car"/>
          <w:rFonts w:ascii="Palatino Linotype" w:hAnsi="Palatino Linotype"/>
          <w:b/>
          <w:color w:val="000000" w:themeColor="text1"/>
          <w:sz w:val="24"/>
          <w:szCs w:val="24"/>
        </w:rPr>
        <w:t xml:space="preserve">: </w:t>
      </w:r>
      <w:r w:rsidRPr="00C27992">
        <w:rPr>
          <w:rStyle w:val="Ttulo2Car"/>
          <w:rFonts w:ascii="Palatino Linotype" w:hAnsi="Palatino Linotype"/>
          <w:i/>
          <w:color w:val="000000" w:themeColor="text1"/>
          <w:sz w:val="24"/>
          <w:szCs w:val="24"/>
        </w:rPr>
        <w:t>“</w:t>
      </w:r>
      <w:bookmarkEnd w:id="4"/>
      <w:bookmarkEnd w:id="5"/>
      <w:bookmarkEnd w:id="6"/>
      <w:bookmarkEnd w:id="7"/>
      <w:bookmarkEnd w:id="8"/>
      <w:bookmarkEnd w:id="9"/>
      <w:bookmarkEnd w:id="10"/>
      <w:r w:rsidR="00BB350C" w:rsidRPr="00C27992">
        <w:rPr>
          <w:rStyle w:val="Ttulo2Car"/>
          <w:rFonts w:ascii="Palatino Linotype" w:hAnsi="Palatino Linotype"/>
          <w:i/>
          <w:color w:val="000000" w:themeColor="text1"/>
          <w:sz w:val="24"/>
          <w:szCs w:val="24"/>
        </w:rPr>
        <w:t>Entrega de información incompleta.</w:t>
      </w:r>
      <w:r w:rsidR="00652937" w:rsidRPr="00C27992">
        <w:rPr>
          <w:rStyle w:val="Ttulo2Car"/>
          <w:rFonts w:ascii="Palatino Linotype" w:hAnsi="Palatino Linotype"/>
          <w:i/>
          <w:color w:val="000000" w:themeColor="text1"/>
          <w:sz w:val="24"/>
          <w:szCs w:val="24"/>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9F09BC" w:rsidRPr="00C27992" w:rsidRDefault="009F09BC" w:rsidP="002650A0">
      <w:pPr>
        <w:spacing w:line="360" w:lineRule="auto"/>
        <w:jc w:val="both"/>
        <w:rPr>
          <w:rFonts w:ascii="Palatino Linotype" w:hAnsi="Palatino Linotype"/>
          <w:i/>
          <w:color w:val="000000" w:themeColor="text1"/>
        </w:rPr>
      </w:pPr>
    </w:p>
    <w:p w:rsidR="009F09BC" w:rsidRPr="00C27992" w:rsidRDefault="009F09BC" w:rsidP="00BB350C">
      <w:pPr>
        <w:pStyle w:val="Prrafodelista"/>
        <w:numPr>
          <w:ilvl w:val="0"/>
          <w:numId w:val="2"/>
        </w:numPr>
        <w:spacing w:line="360" w:lineRule="auto"/>
        <w:jc w:val="both"/>
        <w:rPr>
          <w:rFonts w:ascii="Palatino Linotype" w:hAnsi="Palatino Linotype"/>
          <w:i/>
          <w:color w:val="000000" w:themeColor="text1"/>
        </w:rPr>
      </w:pPr>
      <w:bookmarkStart w:id="127" w:name="_Toc53584977"/>
      <w:bookmarkStart w:id="128" w:name="_Toc60925404"/>
      <w:bookmarkStart w:id="129" w:name="_Toc81364834"/>
      <w:bookmarkStart w:id="130" w:name="_Toc81390611"/>
      <w:bookmarkStart w:id="131" w:name="_Toc82611034"/>
      <w:bookmarkStart w:id="132" w:name="_Toc83128577"/>
      <w:r w:rsidRPr="00C27992">
        <w:rPr>
          <w:rStyle w:val="Ttulo2Car"/>
          <w:rFonts w:ascii="Palatino Linotype" w:hAnsi="Palatino Linotype"/>
          <w:b/>
          <w:color w:val="000000" w:themeColor="text1"/>
          <w:sz w:val="24"/>
          <w:szCs w:val="24"/>
        </w:rPr>
        <w:t>Razones o Motivos de inconformidad:</w:t>
      </w:r>
      <w:bookmarkEnd w:id="68"/>
      <w:bookmarkEnd w:id="127"/>
      <w:bookmarkEnd w:id="128"/>
      <w:bookmarkEnd w:id="129"/>
      <w:bookmarkEnd w:id="130"/>
      <w:bookmarkEnd w:id="131"/>
      <w:bookmarkEnd w:id="132"/>
      <w:r w:rsidRPr="00C27992">
        <w:rPr>
          <w:rFonts w:ascii="Palatino Linotype" w:hAnsi="Palatino Linotype"/>
          <w:b/>
          <w:color w:val="000000" w:themeColor="text1"/>
        </w:rPr>
        <w:t xml:space="preserve"> </w:t>
      </w:r>
      <w:r w:rsidRPr="00C27992">
        <w:rPr>
          <w:rFonts w:ascii="Palatino Linotype" w:hAnsi="Palatino Linotype"/>
          <w:i/>
          <w:color w:val="000000" w:themeColor="text1"/>
        </w:rPr>
        <w:t>“</w:t>
      </w:r>
      <w:r w:rsidR="00BB350C" w:rsidRPr="00C27992">
        <w:rPr>
          <w:rFonts w:ascii="Palatino Linotype" w:hAnsi="Palatino Linotype"/>
          <w:i/>
          <w:color w:val="000000" w:themeColor="text1"/>
        </w:rPr>
        <w:t xml:space="preserve">La Sala Ecatepec no entrega la siguiente información requerida: A. La documental con la que notificó a las partes el laudo del expediente SAE725/2013. Según lo manifestado en su respuesta, la notificación fue mediante el Boletín Laboral de la Sala Auxiliar Ecatepec del 30 de octubre de 2018, pero no se anexa. B. El convenio celebrado en modalidad de pago del laudo del expediente SAE725/2013, que tampoco se entrega. Que permitiría identificar a los abogados del ayuntamiento que no promovieron el juicio de amparo directo y que con su actuación se afectaron las arcas municipales, por lo que se reitera que existe un acto de corrupción entre las partes involucradas en el expediente SAE725/2013 y el personal de la Sala Auxiliar Ecatepec, entre otros, de la Lic. Heidi Josefina Huerta Cano, del C. Arturo Rivera Vargas y de la Lic. </w:t>
      </w:r>
      <w:r w:rsidR="00BB350C" w:rsidRPr="00C27992">
        <w:rPr>
          <w:rFonts w:ascii="Palatino Linotype" w:hAnsi="Palatino Linotype"/>
          <w:i/>
          <w:color w:val="000000" w:themeColor="text1"/>
        </w:rPr>
        <w:lastRenderedPageBreak/>
        <w:t>Verónica Isabel López Garcés, que fueron quienes emitieron el laudo del expediente SAE725/2013.</w:t>
      </w:r>
      <w:r w:rsidRPr="00C27992">
        <w:rPr>
          <w:rFonts w:ascii="Palatino Linotype" w:hAnsi="Palatino Linotype"/>
          <w:i/>
          <w:color w:val="000000" w:themeColor="text1"/>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rsidR="0082142B" w:rsidRPr="00C27992" w:rsidRDefault="0082142B" w:rsidP="0082142B">
      <w:pPr>
        <w:pStyle w:val="Prrafodelista"/>
        <w:rPr>
          <w:rFonts w:ascii="Palatino Linotype" w:hAnsi="Palatino Linotype"/>
          <w:i/>
          <w:color w:val="000000" w:themeColor="text1"/>
        </w:rPr>
      </w:pPr>
    </w:p>
    <w:p w:rsidR="009F09BC" w:rsidRPr="00C27992" w:rsidRDefault="00CC5B2F" w:rsidP="00D66E65">
      <w:pPr>
        <w:pStyle w:val="Prrafodelista"/>
        <w:numPr>
          <w:ilvl w:val="0"/>
          <w:numId w:val="1"/>
        </w:numPr>
        <w:spacing w:before="240" w:after="240" w:line="360" w:lineRule="auto"/>
        <w:ind w:left="0" w:firstLine="0"/>
        <w:jc w:val="both"/>
        <w:rPr>
          <w:rFonts w:ascii="Palatino Linotype" w:hAnsi="Palatino Linotype"/>
          <w:i/>
        </w:rPr>
      </w:pPr>
      <w:r w:rsidRPr="00C27992">
        <w:rPr>
          <w:rFonts w:ascii="Palatino Linotype" w:eastAsia="Calibri" w:hAnsi="Palatino Linotype" w:cs="Arial"/>
          <w:lang w:val="es-ES"/>
        </w:rPr>
        <w:t>La Comisionada</w:t>
      </w:r>
      <w:r w:rsidR="009F09BC" w:rsidRPr="00C27992">
        <w:rPr>
          <w:rFonts w:ascii="Palatino Linotype" w:eastAsia="Calibri" w:hAnsi="Palatino Linotype" w:cs="Arial"/>
          <w:lang w:val="es-ES"/>
        </w:rPr>
        <w:t xml:space="preserve"> Ponente con fundamento en lo dispuesto por el artículo 185 fracción II de la ley de la materia, a través del acuerdo de admisión de fecha </w:t>
      </w:r>
      <w:r w:rsidR="00BB350C" w:rsidRPr="00C27992">
        <w:rPr>
          <w:rFonts w:ascii="Palatino Linotype" w:eastAsia="Calibri" w:hAnsi="Palatino Linotype" w:cs="Arial"/>
          <w:lang w:val="es-ES"/>
        </w:rPr>
        <w:t>diez</w:t>
      </w:r>
      <w:r w:rsidR="009F09BC" w:rsidRPr="00C27992">
        <w:rPr>
          <w:rFonts w:ascii="Palatino Linotype" w:eastAsia="Calibri" w:hAnsi="Palatino Linotype" w:cs="Arial"/>
          <w:lang w:val="es-ES"/>
        </w:rPr>
        <w:t xml:space="preserve"> (</w:t>
      </w:r>
      <w:r w:rsidR="00C83CF9" w:rsidRPr="00C27992">
        <w:rPr>
          <w:rFonts w:ascii="Palatino Linotype" w:eastAsia="Calibri" w:hAnsi="Palatino Linotype" w:cs="Arial"/>
          <w:lang w:val="es-ES"/>
        </w:rPr>
        <w:t>1</w:t>
      </w:r>
      <w:r w:rsidR="00BB350C" w:rsidRPr="00C27992">
        <w:rPr>
          <w:rFonts w:ascii="Palatino Linotype" w:eastAsia="Calibri" w:hAnsi="Palatino Linotype" w:cs="Arial"/>
          <w:lang w:val="es-ES"/>
        </w:rPr>
        <w:t>0</w:t>
      </w:r>
      <w:r w:rsidR="009F09BC" w:rsidRPr="00C27992">
        <w:rPr>
          <w:rFonts w:ascii="Palatino Linotype" w:eastAsia="Calibri" w:hAnsi="Palatino Linotype" w:cs="Arial"/>
          <w:lang w:val="es-ES"/>
        </w:rPr>
        <w:t xml:space="preserve">) de </w:t>
      </w:r>
      <w:r w:rsidR="00BB350C" w:rsidRPr="00C27992">
        <w:rPr>
          <w:rFonts w:ascii="Palatino Linotype" w:eastAsia="Calibri" w:hAnsi="Palatino Linotype" w:cs="Arial"/>
          <w:lang w:val="es-ES"/>
        </w:rPr>
        <w:t>agosto</w:t>
      </w:r>
      <w:r w:rsidR="009F09BC" w:rsidRPr="00C27992">
        <w:rPr>
          <w:rFonts w:ascii="Palatino Linotype" w:eastAsia="Calibri" w:hAnsi="Palatino Linotype" w:cs="Arial"/>
          <w:lang w:val="es-ES"/>
        </w:rPr>
        <w:t xml:space="preserve"> del año en curso, puso a disposición de las partes el expediente electrónico </w:t>
      </w:r>
      <w:r w:rsidR="009F09BC" w:rsidRPr="00C27992">
        <w:rPr>
          <w:rFonts w:ascii="Palatino Linotype" w:eastAsia="Calibri" w:hAnsi="Palatino Linotype" w:cs="Arial"/>
        </w:rPr>
        <w:t xml:space="preserve">vía </w:t>
      </w:r>
      <w:r w:rsidR="009F09BC" w:rsidRPr="00C27992">
        <w:rPr>
          <w:rFonts w:ascii="Palatino Linotype" w:eastAsia="Calibri" w:hAnsi="Palatino Linotype" w:cs="Arial"/>
          <w:b/>
          <w:lang w:val="es-ES"/>
        </w:rPr>
        <w:t xml:space="preserve">SAIMEX </w:t>
      </w:r>
      <w:r w:rsidR="009F09BC" w:rsidRPr="00C27992">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C27992">
        <w:rPr>
          <w:rFonts w:ascii="Palatino Linotype" w:eastAsia="Calibri" w:hAnsi="Palatino Linotype" w:cs="Arial"/>
          <w:b/>
          <w:lang w:val="es-ES"/>
        </w:rPr>
        <w:t>SUJETO OBLIGADO</w:t>
      </w:r>
      <w:r w:rsidR="009F09BC" w:rsidRPr="00C27992">
        <w:rPr>
          <w:rFonts w:ascii="Palatino Linotype" w:eastAsia="Calibri" w:hAnsi="Palatino Linotype" w:cs="Arial"/>
          <w:lang w:val="es-ES"/>
        </w:rPr>
        <w:t xml:space="preserve"> presentará el Informe Justificado procedente.</w:t>
      </w:r>
    </w:p>
    <w:p w:rsidR="009F09BC" w:rsidRPr="00C27992" w:rsidRDefault="009F09BC" w:rsidP="009F09BC">
      <w:pPr>
        <w:pStyle w:val="Prrafodelista"/>
        <w:spacing w:before="240" w:after="240" w:line="360" w:lineRule="auto"/>
        <w:ind w:left="0"/>
        <w:jc w:val="both"/>
        <w:rPr>
          <w:rFonts w:ascii="Palatino Linotype" w:hAnsi="Palatino Linotype"/>
        </w:rPr>
      </w:pPr>
    </w:p>
    <w:p w:rsidR="009F09BC" w:rsidRPr="00C27992" w:rsidRDefault="009F09BC" w:rsidP="00D66E65">
      <w:pPr>
        <w:pStyle w:val="Prrafodelista"/>
        <w:numPr>
          <w:ilvl w:val="0"/>
          <w:numId w:val="1"/>
        </w:numPr>
        <w:spacing w:before="240" w:after="240" w:line="360" w:lineRule="auto"/>
        <w:ind w:left="0" w:firstLine="0"/>
        <w:jc w:val="both"/>
        <w:rPr>
          <w:rFonts w:ascii="Palatino Linotype" w:hAnsi="Palatino Linotype"/>
        </w:rPr>
      </w:pPr>
      <w:r w:rsidRPr="00C27992">
        <w:rPr>
          <w:rFonts w:ascii="Palatino Linotype" w:hAnsi="Palatino Linotype"/>
          <w:color w:val="000000"/>
        </w:rPr>
        <w:t xml:space="preserve">El </w:t>
      </w:r>
      <w:r w:rsidRPr="00C27992">
        <w:rPr>
          <w:rFonts w:ascii="Palatino Linotype" w:hAnsi="Palatino Linotype"/>
          <w:b/>
          <w:color w:val="000000"/>
        </w:rPr>
        <w:t xml:space="preserve">SUJETO </w:t>
      </w:r>
      <w:r w:rsidRPr="00C27992">
        <w:rPr>
          <w:rFonts w:ascii="Palatino Linotype" w:eastAsia="Calibri" w:hAnsi="Palatino Linotype" w:cs="Arial"/>
          <w:b/>
          <w:lang w:val="es-ES"/>
        </w:rPr>
        <w:t>OBLIGADO</w:t>
      </w:r>
      <w:r w:rsidR="007A6A1A" w:rsidRPr="00C27992">
        <w:rPr>
          <w:rFonts w:ascii="Palatino Linotype" w:hAnsi="Palatino Linotype"/>
          <w:color w:val="000000"/>
        </w:rPr>
        <w:t xml:space="preserve"> </w:t>
      </w:r>
      <w:r w:rsidR="00BB350C" w:rsidRPr="00C27992">
        <w:rPr>
          <w:rFonts w:ascii="Palatino Linotype" w:hAnsi="Palatino Linotype"/>
          <w:color w:val="000000"/>
        </w:rPr>
        <w:t xml:space="preserve">en fecha doce (12) de agosto del año en curso, rindió el informe justificado correspondiente, mismo que por contener datos personales no fue posible notificarlo al hoy </w:t>
      </w:r>
      <w:r w:rsidR="00BB350C" w:rsidRPr="00C27992">
        <w:rPr>
          <w:rFonts w:ascii="Palatino Linotype" w:hAnsi="Palatino Linotype"/>
          <w:b/>
          <w:color w:val="000000"/>
        </w:rPr>
        <w:t>RECURRENTE</w:t>
      </w:r>
      <w:r w:rsidR="00BB350C" w:rsidRPr="00C27992">
        <w:rPr>
          <w:rFonts w:ascii="Palatino Linotype" w:hAnsi="Palatino Linotype"/>
          <w:color w:val="000000"/>
        </w:rPr>
        <w:t>, como se precisara en párrafos subsecuentes</w:t>
      </w:r>
      <w:r w:rsidR="00BE2A9D" w:rsidRPr="00C27992">
        <w:rPr>
          <w:rFonts w:ascii="Palatino Linotype" w:hAnsi="Palatino Linotype"/>
          <w:color w:val="000000"/>
        </w:rPr>
        <w:t xml:space="preserve">. </w:t>
      </w:r>
      <w:r w:rsidRPr="00C27992">
        <w:rPr>
          <w:rFonts w:ascii="Palatino Linotype" w:hAnsi="Palatino Linotype"/>
          <w:color w:val="000000"/>
        </w:rPr>
        <w:t xml:space="preserve">Por su parte </w:t>
      </w:r>
      <w:r w:rsidRPr="00C27992">
        <w:rPr>
          <w:rFonts w:ascii="Palatino Linotype" w:hAnsi="Palatino Linotype"/>
          <w:b/>
          <w:color w:val="000000"/>
        </w:rPr>
        <w:t xml:space="preserve">EL PARTICULAR </w:t>
      </w:r>
      <w:r w:rsidR="00A305ED" w:rsidRPr="00C27992">
        <w:rPr>
          <w:rFonts w:ascii="Palatino Linotype" w:hAnsi="Palatino Linotype"/>
          <w:color w:val="000000"/>
        </w:rPr>
        <w:t>dejó de realizar manifestaciones que a su derecho conviniera y asistiera</w:t>
      </w:r>
      <w:r w:rsidRPr="00C27992">
        <w:rPr>
          <w:rFonts w:ascii="Palatino Linotype" w:hAnsi="Palatino Linotype"/>
          <w:color w:val="000000"/>
        </w:rPr>
        <w:t>.</w:t>
      </w:r>
    </w:p>
    <w:p w:rsidR="000A7BB4" w:rsidRPr="00C27992" w:rsidRDefault="000A7BB4" w:rsidP="000A7BB4">
      <w:pPr>
        <w:pStyle w:val="Prrafodelista"/>
        <w:rPr>
          <w:rFonts w:ascii="Palatino Linotype" w:hAnsi="Palatino Linotype"/>
        </w:rPr>
      </w:pPr>
    </w:p>
    <w:p w:rsidR="000A7BB4" w:rsidRPr="00C27992" w:rsidRDefault="000A7BB4" w:rsidP="000A7BB4">
      <w:pPr>
        <w:pStyle w:val="Prrafodelista"/>
        <w:numPr>
          <w:ilvl w:val="0"/>
          <w:numId w:val="1"/>
        </w:numPr>
        <w:spacing w:line="360" w:lineRule="auto"/>
        <w:ind w:left="0" w:firstLine="0"/>
        <w:jc w:val="both"/>
        <w:rPr>
          <w:rFonts w:ascii="Palatino Linotype" w:hAnsi="Palatino Linotype"/>
        </w:rPr>
      </w:pPr>
      <w:r w:rsidRPr="00C27992">
        <w:rPr>
          <w:rFonts w:ascii="Palatino Linotype" w:eastAsia="Calibri" w:hAnsi="Palatino Linotype" w:cs="Arial"/>
        </w:rPr>
        <w:t>Este</w:t>
      </w:r>
      <w:r w:rsidRPr="00C27992">
        <w:rPr>
          <w:rFonts w:ascii="Palatino Linotype" w:hAnsi="Palatino Linotype"/>
        </w:rPr>
        <w:t xml:space="preserve"> </w:t>
      </w:r>
      <w:r w:rsidRPr="00C27992">
        <w:rPr>
          <w:rFonts w:ascii="Palatino Linotype" w:eastAsia="Calibri" w:hAnsi="Palatino Linotype" w:cs="Arial"/>
        </w:rPr>
        <w:t>organismo</w:t>
      </w:r>
      <w:r w:rsidRPr="00C27992">
        <w:rPr>
          <w:rFonts w:ascii="Palatino Linotype" w:hAnsi="Palatino Linotype"/>
        </w:rPr>
        <w:t xml:space="preserve"> garante no pasa por alto justificar, que la dilación en la resolución del </w:t>
      </w:r>
      <w:r w:rsidRPr="00C27992">
        <w:rPr>
          <w:rFonts w:ascii="Palatino Linotype" w:hAnsi="Palatino Linotype"/>
          <w:lang w:val="es-MX"/>
        </w:rPr>
        <w:t>presente</w:t>
      </w:r>
      <w:r w:rsidRPr="00C27992">
        <w:rPr>
          <w:rFonts w:ascii="Palatino Linotype" w:hAnsi="Palatino Linotype"/>
        </w:rPr>
        <w:t xml:space="preserv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w:t>
      </w:r>
      <w:r w:rsidRPr="00C27992">
        <w:rPr>
          <w:rFonts w:ascii="Palatino Linotype" w:hAnsi="Palatino Linotype"/>
        </w:rPr>
        <w:lastRenderedPageBreak/>
        <w:t>capacidades técnicas y humanas del personal encargado de la proyección de las resoluciones a dichos medios de impugnación.</w:t>
      </w:r>
    </w:p>
    <w:p w:rsidR="000A7BB4" w:rsidRPr="00C27992" w:rsidRDefault="000A7BB4" w:rsidP="000A7BB4">
      <w:pPr>
        <w:pStyle w:val="Prrafodelista"/>
        <w:spacing w:line="360" w:lineRule="auto"/>
        <w:ind w:left="0"/>
        <w:jc w:val="both"/>
        <w:rPr>
          <w:rFonts w:ascii="Palatino Linotype" w:hAnsi="Palatino Linotype"/>
        </w:rPr>
      </w:pPr>
    </w:p>
    <w:p w:rsidR="000A7BB4" w:rsidRPr="00C27992" w:rsidRDefault="000A7BB4" w:rsidP="000A7BB4">
      <w:pPr>
        <w:pStyle w:val="Prrafodelista"/>
        <w:numPr>
          <w:ilvl w:val="0"/>
          <w:numId w:val="1"/>
        </w:numPr>
        <w:spacing w:line="360" w:lineRule="auto"/>
        <w:ind w:left="0" w:firstLine="0"/>
        <w:jc w:val="both"/>
        <w:rPr>
          <w:rFonts w:ascii="Palatino Linotype" w:hAnsi="Palatino Linotype"/>
        </w:rPr>
      </w:pPr>
      <w:r w:rsidRPr="00C27992">
        <w:rPr>
          <w:rFonts w:ascii="Palatino Linotype" w:eastAsia="Calibri" w:hAnsi="Palatino Linotype" w:cs="Arial"/>
        </w:rPr>
        <w:t>Por</w:t>
      </w:r>
      <w:r w:rsidRPr="00C27992">
        <w:rPr>
          <w:rFonts w:ascii="Palatino Linotype" w:hAnsi="Palatino Linotype"/>
        </w:rPr>
        <w:t xml:space="preserve">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0A7BB4" w:rsidRPr="00C27992" w:rsidRDefault="000A7BB4" w:rsidP="000A7BB4">
      <w:pPr>
        <w:pStyle w:val="Prrafodelista"/>
        <w:rPr>
          <w:rFonts w:ascii="Palatino Linotype" w:hAnsi="Palatino Linotype"/>
        </w:rPr>
      </w:pPr>
    </w:p>
    <w:p w:rsidR="000A7BB4" w:rsidRPr="00C27992" w:rsidRDefault="000A7BB4" w:rsidP="000A7BB4">
      <w:pPr>
        <w:pStyle w:val="Prrafodelista"/>
        <w:numPr>
          <w:ilvl w:val="0"/>
          <w:numId w:val="1"/>
        </w:numPr>
        <w:spacing w:line="360" w:lineRule="auto"/>
        <w:ind w:left="0" w:firstLine="0"/>
        <w:jc w:val="both"/>
        <w:rPr>
          <w:rFonts w:ascii="Palatino Linotype" w:hAnsi="Palatino Linotype"/>
        </w:rPr>
      </w:pPr>
      <w:r w:rsidRPr="00C27992">
        <w:rPr>
          <w:rFonts w:ascii="Palatino Linotype" w:hAnsi="Palatino Linotype"/>
        </w:rPr>
        <w:t xml:space="preserve">Así, en términos de lo que establecen los artículos 8.1 y 25 de la Convención </w:t>
      </w:r>
      <w:r w:rsidRPr="00C27992">
        <w:rPr>
          <w:rFonts w:ascii="Palatino Linotype" w:eastAsia="Calibri" w:hAnsi="Palatino Linotype" w:cs="Arial"/>
        </w:rPr>
        <w:t>Americana</w:t>
      </w:r>
      <w:r w:rsidRPr="00C27992">
        <w:rPr>
          <w:rFonts w:ascii="Palatino Linotype" w:hAnsi="Palatino Linotype"/>
        </w:rPr>
        <w:t xml:space="preserve"> sobre Derechos Humanos, los recursos deben ser sencillos y resolverse en el menor tiempo posible, tomando en consideración la dilación total del procedimiento; esto es, en un plazo razonable.</w:t>
      </w:r>
    </w:p>
    <w:p w:rsidR="000A7BB4" w:rsidRPr="00C27992" w:rsidRDefault="000A7BB4" w:rsidP="000A7BB4">
      <w:pPr>
        <w:pStyle w:val="Prrafodelista"/>
        <w:rPr>
          <w:rFonts w:ascii="Palatino Linotype" w:hAnsi="Palatino Linotype"/>
        </w:rPr>
      </w:pPr>
    </w:p>
    <w:p w:rsidR="000A7BB4" w:rsidRPr="00C27992" w:rsidRDefault="000A7BB4" w:rsidP="000A7BB4">
      <w:pPr>
        <w:pStyle w:val="Prrafodelista"/>
        <w:numPr>
          <w:ilvl w:val="0"/>
          <w:numId w:val="1"/>
        </w:numPr>
        <w:spacing w:line="360" w:lineRule="auto"/>
        <w:ind w:left="0" w:firstLine="0"/>
        <w:jc w:val="both"/>
        <w:rPr>
          <w:rFonts w:ascii="Palatino Linotype" w:hAnsi="Palatino Linotype"/>
        </w:rPr>
      </w:pPr>
      <w:r w:rsidRPr="00C27992">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0A7BB4" w:rsidRPr="00C27992" w:rsidRDefault="000A7BB4" w:rsidP="000A7BB4">
      <w:pPr>
        <w:pStyle w:val="Prrafodelista"/>
        <w:tabs>
          <w:tab w:val="left" w:pos="426"/>
          <w:tab w:val="left" w:pos="567"/>
        </w:tabs>
        <w:spacing w:before="240" w:after="240" w:line="360" w:lineRule="auto"/>
        <w:ind w:left="0"/>
        <w:jc w:val="both"/>
        <w:rPr>
          <w:rFonts w:ascii="Palatino Linotype" w:hAnsi="Palatino Linotype"/>
        </w:rPr>
      </w:pPr>
    </w:p>
    <w:p w:rsidR="000A7BB4" w:rsidRPr="00C27992" w:rsidRDefault="000A7BB4" w:rsidP="000A7BB4">
      <w:pPr>
        <w:pStyle w:val="Prrafodelista"/>
        <w:numPr>
          <w:ilvl w:val="0"/>
          <w:numId w:val="1"/>
        </w:numPr>
        <w:spacing w:line="360" w:lineRule="auto"/>
        <w:ind w:left="0" w:firstLine="0"/>
        <w:jc w:val="both"/>
        <w:rPr>
          <w:rFonts w:ascii="Palatino Linotype" w:hAnsi="Palatino Linotype"/>
        </w:rPr>
      </w:pPr>
      <w:r w:rsidRPr="00C27992">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rsidR="000A7BB4" w:rsidRPr="00C27992" w:rsidRDefault="000A7BB4" w:rsidP="000A7BB4">
      <w:pPr>
        <w:spacing w:line="360" w:lineRule="auto"/>
        <w:jc w:val="both"/>
        <w:rPr>
          <w:rFonts w:ascii="Palatino Linotype" w:hAnsi="Palatino Linotype"/>
          <w:sz w:val="18"/>
        </w:rPr>
      </w:pPr>
    </w:p>
    <w:p w:rsidR="000A7BB4" w:rsidRPr="00C27992" w:rsidRDefault="000A7BB4" w:rsidP="000A7BB4">
      <w:pPr>
        <w:pStyle w:val="Prrafodelista"/>
        <w:numPr>
          <w:ilvl w:val="0"/>
          <w:numId w:val="11"/>
        </w:numPr>
        <w:spacing w:line="360" w:lineRule="auto"/>
        <w:jc w:val="both"/>
        <w:rPr>
          <w:rFonts w:ascii="Palatino Linotype" w:hAnsi="Palatino Linotype"/>
        </w:rPr>
      </w:pPr>
      <w:r w:rsidRPr="00C27992">
        <w:rPr>
          <w:rFonts w:ascii="Palatino Linotype" w:hAnsi="Palatino Linotype"/>
        </w:rPr>
        <w:lastRenderedPageBreak/>
        <w:t xml:space="preserve">Complejidad del Asunto: La complejidad de la prueba, la pluralidad de sujetos procesales, el tiempo transcurrido, las características y contexto del recurso. </w:t>
      </w:r>
    </w:p>
    <w:p w:rsidR="000A7BB4" w:rsidRPr="00C27992" w:rsidRDefault="000A7BB4" w:rsidP="000A7BB4">
      <w:pPr>
        <w:pStyle w:val="Prrafodelista"/>
        <w:spacing w:line="360" w:lineRule="auto"/>
        <w:ind w:left="927"/>
        <w:jc w:val="both"/>
        <w:rPr>
          <w:rFonts w:ascii="Palatino Linotype" w:hAnsi="Palatino Linotype"/>
        </w:rPr>
      </w:pPr>
    </w:p>
    <w:p w:rsidR="000A7BB4" w:rsidRPr="00C27992" w:rsidRDefault="000A7BB4" w:rsidP="000A7BB4">
      <w:pPr>
        <w:pStyle w:val="Prrafodelista"/>
        <w:numPr>
          <w:ilvl w:val="0"/>
          <w:numId w:val="11"/>
        </w:numPr>
        <w:spacing w:line="360" w:lineRule="auto"/>
        <w:jc w:val="both"/>
        <w:rPr>
          <w:rFonts w:ascii="Palatino Linotype" w:hAnsi="Palatino Linotype"/>
        </w:rPr>
      </w:pPr>
      <w:r w:rsidRPr="00C27992">
        <w:rPr>
          <w:rFonts w:ascii="Palatino Linotype" w:hAnsi="Palatino Linotype"/>
        </w:rPr>
        <w:t>Actividad Procesal del interesado. Acciones u omisiones del interesado.</w:t>
      </w:r>
    </w:p>
    <w:p w:rsidR="000A7BB4" w:rsidRPr="00C27992" w:rsidRDefault="000A7BB4" w:rsidP="000A7BB4">
      <w:pPr>
        <w:spacing w:line="360" w:lineRule="auto"/>
        <w:jc w:val="both"/>
        <w:rPr>
          <w:rFonts w:ascii="Palatino Linotype" w:hAnsi="Palatino Linotype"/>
        </w:rPr>
      </w:pPr>
    </w:p>
    <w:p w:rsidR="000A7BB4" w:rsidRPr="00C27992" w:rsidRDefault="000A7BB4" w:rsidP="000A7BB4">
      <w:pPr>
        <w:pStyle w:val="Prrafodelista"/>
        <w:numPr>
          <w:ilvl w:val="0"/>
          <w:numId w:val="11"/>
        </w:numPr>
        <w:spacing w:line="360" w:lineRule="auto"/>
        <w:jc w:val="both"/>
        <w:rPr>
          <w:rFonts w:ascii="Palatino Linotype" w:hAnsi="Palatino Linotype"/>
        </w:rPr>
      </w:pPr>
      <w:r w:rsidRPr="00C27992">
        <w:rPr>
          <w:rFonts w:ascii="Palatino Linotype" w:hAnsi="Palatino Linotype"/>
        </w:rPr>
        <w:t>Conducta de la Autoridad: Las Acciones u omisiones realizadas en el procedimiento. Así como si la autoridad actuó con la debida diligencia.</w:t>
      </w:r>
    </w:p>
    <w:p w:rsidR="000A7BB4" w:rsidRPr="00C27992" w:rsidRDefault="000A7BB4" w:rsidP="000A7BB4">
      <w:pPr>
        <w:spacing w:line="360" w:lineRule="auto"/>
        <w:ind w:left="851" w:hanging="284"/>
        <w:jc w:val="both"/>
        <w:rPr>
          <w:rFonts w:ascii="Palatino Linotype" w:hAnsi="Palatino Linotype"/>
        </w:rPr>
      </w:pPr>
      <w:r w:rsidRPr="00C27992">
        <w:rPr>
          <w:rFonts w:ascii="Palatino Linotype" w:hAnsi="Palatino Linotype"/>
        </w:rPr>
        <w:t>d) La afectación generada en la situación jurídica de la persona involucrada en el proceso: Violación a sus derechos humanos.</w:t>
      </w:r>
    </w:p>
    <w:p w:rsidR="000A7BB4" w:rsidRPr="00C27992" w:rsidRDefault="000A7BB4" w:rsidP="000A7BB4">
      <w:pPr>
        <w:spacing w:line="360" w:lineRule="auto"/>
        <w:jc w:val="both"/>
        <w:rPr>
          <w:rFonts w:ascii="Palatino Linotype" w:hAnsi="Palatino Linotype"/>
        </w:rPr>
      </w:pPr>
    </w:p>
    <w:p w:rsidR="000A7BB4" w:rsidRPr="00C27992" w:rsidRDefault="000A7BB4" w:rsidP="000A7BB4">
      <w:pPr>
        <w:pStyle w:val="Prrafodelista"/>
        <w:numPr>
          <w:ilvl w:val="0"/>
          <w:numId w:val="1"/>
        </w:numPr>
        <w:spacing w:line="360" w:lineRule="auto"/>
        <w:ind w:left="0" w:firstLine="0"/>
        <w:jc w:val="both"/>
        <w:rPr>
          <w:rFonts w:ascii="Palatino Linotype" w:hAnsi="Palatino Linotype"/>
        </w:rPr>
      </w:pPr>
      <w:r w:rsidRPr="00C27992">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0A7BB4" w:rsidRPr="00C27992" w:rsidRDefault="000A7BB4" w:rsidP="000A7BB4">
      <w:pPr>
        <w:pStyle w:val="Prrafodelista"/>
        <w:tabs>
          <w:tab w:val="left" w:pos="426"/>
          <w:tab w:val="left" w:pos="567"/>
        </w:tabs>
        <w:spacing w:before="240" w:after="240" w:line="360" w:lineRule="auto"/>
        <w:ind w:left="0"/>
        <w:jc w:val="both"/>
        <w:rPr>
          <w:rFonts w:ascii="Palatino Linotype" w:hAnsi="Palatino Linotype"/>
          <w:b/>
        </w:rPr>
      </w:pPr>
    </w:p>
    <w:p w:rsidR="000A7BB4" w:rsidRPr="00C27992" w:rsidRDefault="000A7BB4" w:rsidP="000A7BB4">
      <w:pPr>
        <w:pStyle w:val="Prrafodelista"/>
        <w:numPr>
          <w:ilvl w:val="0"/>
          <w:numId w:val="1"/>
        </w:numPr>
        <w:spacing w:line="360" w:lineRule="auto"/>
        <w:ind w:left="0" w:firstLine="0"/>
        <w:jc w:val="both"/>
        <w:rPr>
          <w:rFonts w:ascii="Palatino Linotype" w:hAnsi="Palatino Linotype"/>
          <w:b/>
        </w:rPr>
      </w:pPr>
      <w:r w:rsidRPr="00C27992">
        <w:rPr>
          <w:rFonts w:ascii="Palatino Linotype" w:hAnsi="Palatino Linotype"/>
        </w:rPr>
        <w:t xml:space="preserve">Argumento que encuentra sustento en la jurisprudencia P./J. 32/92 emitida por el Pleno de la Suprema Corte de Justicia de la Nación de rubro </w:t>
      </w:r>
      <w:r w:rsidRPr="00C27992">
        <w:rPr>
          <w:rFonts w:ascii="Palatino Linotype" w:hAnsi="Palatino Linotype"/>
          <w:i/>
        </w:rPr>
        <w:t xml:space="preserve">“TÉRMINOS PROCESALES. PARA DETERMINAR SI UN FUNCIONARIO JUDICIAL ACTUÓ INDEBIDAMENTE POR NO RESPETARLOS SE DEBE ATENDER AL PRESUPUESTO QUE CONSIDERÓ EL LEGISLADOR AL FIJARLOS Y LAS </w:t>
      </w:r>
      <w:r w:rsidRPr="00C27992">
        <w:rPr>
          <w:rFonts w:ascii="Palatino Linotype" w:hAnsi="Palatino Linotype"/>
          <w:i/>
        </w:rPr>
        <w:lastRenderedPageBreak/>
        <w:t>CARACTERÍSTICAS DEL CASO.”</w:t>
      </w:r>
      <w:r w:rsidRPr="00C27992">
        <w:rPr>
          <w:rFonts w:ascii="Palatino Linotype" w:hAnsi="Palatino Linotype"/>
        </w:rPr>
        <w:t>, visible en la Gaceta del Seminario Judicial de la Federación con el registro digital 205635.</w:t>
      </w:r>
    </w:p>
    <w:p w:rsidR="000A7BB4" w:rsidRPr="00C27992" w:rsidRDefault="000A7BB4" w:rsidP="000A7BB4">
      <w:pPr>
        <w:pStyle w:val="Prrafodelista"/>
        <w:tabs>
          <w:tab w:val="left" w:pos="426"/>
          <w:tab w:val="left" w:pos="567"/>
        </w:tabs>
        <w:spacing w:before="240" w:after="240" w:line="360" w:lineRule="auto"/>
        <w:ind w:left="0"/>
        <w:jc w:val="both"/>
        <w:rPr>
          <w:rFonts w:ascii="Palatino Linotype" w:hAnsi="Palatino Linotype"/>
        </w:rPr>
      </w:pPr>
    </w:p>
    <w:p w:rsidR="000A7BB4" w:rsidRPr="00C27992" w:rsidRDefault="000A7BB4" w:rsidP="000A7BB4">
      <w:pPr>
        <w:pStyle w:val="Prrafodelista"/>
        <w:numPr>
          <w:ilvl w:val="0"/>
          <w:numId w:val="1"/>
        </w:numPr>
        <w:spacing w:line="360" w:lineRule="auto"/>
        <w:ind w:left="0" w:firstLine="0"/>
        <w:jc w:val="both"/>
        <w:rPr>
          <w:rFonts w:ascii="Palatino Linotype" w:hAnsi="Palatino Linotype"/>
        </w:rPr>
      </w:pPr>
      <w:r w:rsidRPr="00C27992">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0A7BB4" w:rsidRPr="00C27992" w:rsidRDefault="000A7BB4" w:rsidP="000A7BB4">
      <w:pPr>
        <w:pStyle w:val="Prrafodelista"/>
        <w:rPr>
          <w:rFonts w:ascii="Palatino Linotype" w:hAnsi="Palatino Linotype"/>
        </w:rPr>
      </w:pPr>
    </w:p>
    <w:p w:rsidR="000A7BB4" w:rsidRPr="00C27992" w:rsidRDefault="000A7BB4" w:rsidP="000A7BB4">
      <w:pPr>
        <w:pStyle w:val="Prrafodelista"/>
        <w:numPr>
          <w:ilvl w:val="0"/>
          <w:numId w:val="1"/>
        </w:numPr>
        <w:spacing w:line="360" w:lineRule="auto"/>
        <w:ind w:left="0" w:firstLine="0"/>
        <w:jc w:val="both"/>
        <w:rPr>
          <w:rFonts w:ascii="Palatino Linotype" w:hAnsi="Palatino Linotype"/>
        </w:rPr>
      </w:pPr>
      <w:r w:rsidRPr="00C27992">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rsidR="000A7BB4" w:rsidRPr="00C27992" w:rsidRDefault="000A7BB4" w:rsidP="000A7BB4">
      <w:pPr>
        <w:pStyle w:val="Prrafodelista"/>
        <w:rPr>
          <w:rFonts w:ascii="Palatino Linotype" w:hAnsi="Palatino Linotype"/>
        </w:rPr>
      </w:pPr>
    </w:p>
    <w:p w:rsidR="000A7BB4" w:rsidRPr="00C27992" w:rsidRDefault="000A7BB4" w:rsidP="000A7BB4">
      <w:pPr>
        <w:pStyle w:val="Prrafodelista"/>
        <w:numPr>
          <w:ilvl w:val="0"/>
          <w:numId w:val="1"/>
        </w:numPr>
        <w:spacing w:line="360" w:lineRule="auto"/>
        <w:ind w:left="0" w:firstLine="0"/>
        <w:jc w:val="both"/>
        <w:rPr>
          <w:rFonts w:ascii="Palatino Linotype" w:hAnsi="Palatino Linotype"/>
        </w:rPr>
      </w:pPr>
      <w:r w:rsidRPr="00C27992">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0A7BB4" w:rsidRPr="00C27992" w:rsidRDefault="000A7BB4" w:rsidP="000A7BB4">
      <w:pPr>
        <w:pStyle w:val="Prrafodelista"/>
        <w:rPr>
          <w:rFonts w:ascii="Palatino Linotype" w:hAnsi="Palatino Linotype"/>
        </w:rPr>
      </w:pPr>
    </w:p>
    <w:p w:rsidR="000A7BB4" w:rsidRPr="00C27992" w:rsidRDefault="000A7BB4" w:rsidP="000A7BB4">
      <w:pPr>
        <w:spacing w:line="360" w:lineRule="auto"/>
        <w:ind w:left="426" w:right="474"/>
        <w:jc w:val="both"/>
        <w:rPr>
          <w:rFonts w:ascii="Palatino Linotype" w:hAnsi="Palatino Linotype"/>
        </w:rPr>
      </w:pPr>
      <w:r w:rsidRPr="00C27992">
        <w:rPr>
          <w:rFonts w:ascii="Palatino Linotype" w:hAnsi="Palatino Linotype"/>
        </w:rPr>
        <w:t xml:space="preserve"> </w:t>
      </w:r>
      <w:r w:rsidRPr="00C27992">
        <w:rPr>
          <w:rFonts w:ascii="Palatino Linotype" w:hAnsi="Palatino Linotype"/>
          <w:i/>
        </w:rPr>
        <w:t xml:space="preserve">“PLAZO RAZONABLE PARA RESOLVER. DIMENSIÓN Y EFECTOS DE ESTE CONCEPTO CUANDO SE ADUCE EXCESIVA CARGA DE </w:t>
      </w:r>
      <w:r w:rsidRPr="00C27992">
        <w:rPr>
          <w:rFonts w:ascii="Palatino Linotype" w:hAnsi="Palatino Linotype"/>
          <w:i/>
        </w:rPr>
        <w:lastRenderedPageBreak/>
        <w:t>TRABAJO.”</w:t>
      </w:r>
      <w:r w:rsidRPr="00C27992">
        <w:rPr>
          <w:rFonts w:ascii="Palatino Linotype" w:hAnsi="Palatino Linotype"/>
        </w:rPr>
        <w:t xml:space="preserve"> consultable en el Seminario Judicial de la Federación y su gaceta, con el registro digital 2002351.</w:t>
      </w:r>
    </w:p>
    <w:p w:rsidR="000A7BB4" w:rsidRPr="00C27992" w:rsidRDefault="000A7BB4" w:rsidP="000A7BB4">
      <w:pPr>
        <w:spacing w:line="360" w:lineRule="auto"/>
        <w:ind w:left="426" w:right="474"/>
        <w:jc w:val="both"/>
        <w:rPr>
          <w:rFonts w:ascii="Palatino Linotype" w:hAnsi="Palatino Linotype"/>
          <w:b/>
        </w:rPr>
      </w:pPr>
    </w:p>
    <w:p w:rsidR="00ED6E75" w:rsidRPr="00C27992" w:rsidRDefault="000A7BB4" w:rsidP="000A7BB4">
      <w:pPr>
        <w:spacing w:line="360" w:lineRule="auto"/>
        <w:ind w:left="426" w:right="474"/>
        <w:jc w:val="both"/>
        <w:rPr>
          <w:rFonts w:ascii="Palatino Linotype" w:hAnsi="Palatino Linotype"/>
        </w:rPr>
      </w:pPr>
      <w:r w:rsidRPr="00C27992">
        <w:rPr>
          <w:rFonts w:ascii="Palatino Linotype" w:hAnsi="Palatino Linotype"/>
          <w:i/>
        </w:rPr>
        <w:t>“PLAZO RAZONABLE PARA RESOLVER. CONCEPTO Y ELEMENTOS QUE LO INTEGRAN A LA LUZ DEL DERECHO INTERNACIONAL DE LOS DERECHOS HUMANOS.”</w:t>
      </w:r>
      <w:r w:rsidRPr="00C27992">
        <w:rPr>
          <w:rFonts w:ascii="Palatino Linotype" w:hAnsi="Palatino Linotype"/>
        </w:rPr>
        <w:t>, visible en el Seminario Judicial de la Federación y su gaceta, con el registro digital 2002350.</w:t>
      </w:r>
    </w:p>
    <w:p w:rsidR="000A7BB4" w:rsidRPr="00C27992" w:rsidRDefault="000A7BB4" w:rsidP="000A7BB4">
      <w:pPr>
        <w:spacing w:line="360" w:lineRule="auto"/>
        <w:ind w:left="426" w:right="474"/>
        <w:jc w:val="both"/>
        <w:rPr>
          <w:rFonts w:ascii="Palatino Linotype" w:hAnsi="Palatino Linotype"/>
        </w:rPr>
      </w:pPr>
    </w:p>
    <w:p w:rsidR="00A305ED" w:rsidRPr="00C27992" w:rsidRDefault="00A305ED" w:rsidP="00BB350C">
      <w:pPr>
        <w:pStyle w:val="Prrafodelista"/>
        <w:numPr>
          <w:ilvl w:val="0"/>
          <w:numId w:val="1"/>
        </w:numPr>
        <w:spacing w:line="360" w:lineRule="auto"/>
        <w:ind w:left="0" w:firstLine="0"/>
        <w:jc w:val="both"/>
        <w:rPr>
          <w:rFonts w:ascii="Palatino Linotype" w:hAnsi="Palatino Linotype"/>
          <w:b/>
          <w:color w:val="000000" w:themeColor="text1"/>
        </w:rPr>
      </w:pPr>
      <w:r w:rsidRPr="00C27992">
        <w:rPr>
          <w:rFonts w:ascii="Palatino Linotype" w:hAnsi="Palatino Linotype"/>
        </w:rPr>
        <w:t>M</w:t>
      </w:r>
      <w:r w:rsidR="006672E1" w:rsidRPr="00C27992">
        <w:rPr>
          <w:rFonts w:ascii="Palatino Linotype" w:hAnsi="Palatino Linotype"/>
        </w:rPr>
        <w:t xml:space="preserve">ediante </w:t>
      </w:r>
      <w:r w:rsidR="006672E1" w:rsidRPr="00C27992">
        <w:rPr>
          <w:rFonts w:ascii="Palatino Linotype" w:hAnsi="Palatino Linotype"/>
          <w:color w:val="000000"/>
        </w:rPr>
        <w:t>acuerdos</w:t>
      </w:r>
      <w:r w:rsidR="006672E1" w:rsidRPr="00C27992">
        <w:rPr>
          <w:rFonts w:ascii="Palatino Linotype" w:hAnsi="Palatino Linotype"/>
        </w:rPr>
        <w:t xml:space="preserve"> de fecha</w:t>
      </w:r>
      <w:r w:rsidR="00BB350C" w:rsidRPr="00C27992">
        <w:rPr>
          <w:rFonts w:ascii="Palatino Linotype" w:hAnsi="Palatino Linotype"/>
        </w:rPr>
        <w:t xml:space="preserve"> once (11</w:t>
      </w:r>
      <w:r w:rsidR="009861EE" w:rsidRPr="00C27992">
        <w:rPr>
          <w:rFonts w:ascii="Palatino Linotype" w:hAnsi="Palatino Linotype"/>
        </w:rPr>
        <w:t xml:space="preserve">) </w:t>
      </w:r>
      <w:r w:rsidR="0001674C" w:rsidRPr="00C27992">
        <w:rPr>
          <w:rFonts w:ascii="Palatino Linotype" w:hAnsi="Palatino Linotype"/>
        </w:rPr>
        <w:t xml:space="preserve">de </w:t>
      </w:r>
      <w:r w:rsidR="00521DE8" w:rsidRPr="00C27992">
        <w:rPr>
          <w:rFonts w:ascii="Palatino Linotype" w:hAnsi="Palatino Linotype"/>
        </w:rPr>
        <w:t>octubre</w:t>
      </w:r>
      <w:r w:rsidR="0001674C" w:rsidRPr="00C27992">
        <w:rPr>
          <w:rFonts w:ascii="Palatino Linotype" w:hAnsi="Palatino Linotype"/>
        </w:rPr>
        <w:t xml:space="preserve"> del año en curso, </w:t>
      </w:r>
      <w:r w:rsidR="006672E1" w:rsidRPr="00C27992">
        <w:rPr>
          <w:rFonts w:ascii="Palatino Linotype" w:hAnsi="Palatino Linotype"/>
        </w:rPr>
        <w:t xml:space="preserve">se amplió el termino para resolver y posteriormente </w:t>
      </w:r>
      <w:r w:rsidR="0001674C" w:rsidRPr="00C27992">
        <w:rPr>
          <w:rFonts w:ascii="Palatino Linotype" w:hAnsi="Palatino Linotype"/>
        </w:rPr>
        <w:t>se d</w:t>
      </w:r>
      <w:r w:rsidR="006672E1" w:rsidRPr="00C27992">
        <w:rPr>
          <w:rFonts w:ascii="Palatino Linotype" w:hAnsi="Palatino Linotype"/>
        </w:rPr>
        <w:t>ecretó el cierre de instrucción</w:t>
      </w:r>
      <w:r w:rsidR="00D6651B" w:rsidRPr="00C27992">
        <w:rPr>
          <w:rFonts w:ascii="Palatino Linotype" w:hAnsi="Palatino Linotype"/>
        </w:rPr>
        <w:t xml:space="preserve"> respectivamente</w:t>
      </w:r>
      <w:r w:rsidR="0001674C" w:rsidRPr="00C27992">
        <w:rPr>
          <w:rFonts w:ascii="Palatino Linotype" w:hAnsi="Palatino Linotype"/>
        </w:rPr>
        <w:t xml:space="preserve">, </w:t>
      </w:r>
      <w:r w:rsidR="009F09BC" w:rsidRPr="00C27992">
        <w:rPr>
          <w:rFonts w:ascii="Palatino Linotype" w:hAnsi="Palatino Linotype" w:cs="Arial"/>
        </w:rPr>
        <w:t>por lo que no habiendo más que hacer constar, y -------</w:t>
      </w:r>
      <w:bookmarkStart w:id="133" w:name="_Toc491791302"/>
      <w:bookmarkStart w:id="134" w:name="_Toc83128578"/>
      <w:r w:rsidR="009861EE" w:rsidRPr="00C27992">
        <w:rPr>
          <w:rFonts w:ascii="Palatino Linotype" w:hAnsi="Palatino Linotype" w:cs="Arial"/>
        </w:rPr>
        <w:t>---------------</w:t>
      </w:r>
    </w:p>
    <w:p w:rsidR="00D6651B" w:rsidRPr="00C27992" w:rsidRDefault="00D6651B" w:rsidP="00BB350C">
      <w:pPr>
        <w:pStyle w:val="Prrafodelista"/>
        <w:spacing w:line="360" w:lineRule="auto"/>
        <w:ind w:left="0"/>
        <w:jc w:val="center"/>
        <w:rPr>
          <w:rFonts w:ascii="Palatino Linotype" w:hAnsi="Palatino Linotype"/>
          <w:b/>
          <w:color w:val="000000" w:themeColor="text1"/>
        </w:rPr>
      </w:pPr>
    </w:p>
    <w:p w:rsidR="009F09BC" w:rsidRPr="00C27992" w:rsidRDefault="009F09BC" w:rsidP="00BB350C">
      <w:pPr>
        <w:pStyle w:val="Prrafodelista"/>
        <w:spacing w:line="360" w:lineRule="auto"/>
        <w:ind w:left="0"/>
        <w:jc w:val="center"/>
        <w:rPr>
          <w:rFonts w:ascii="Palatino Linotype" w:hAnsi="Palatino Linotype"/>
          <w:b/>
          <w:color w:val="000000" w:themeColor="text1"/>
        </w:rPr>
      </w:pPr>
      <w:r w:rsidRPr="00C27992">
        <w:rPr>
          <w:rFonts w:ascii="Palatino Linotype" w:hAnsi="Palatino Linotype"/>
          <w:b/>
          <w:color w:val="000000" w:themeColor="text1"/>
        </w:rPr>
        <w:t>CONSIDERANDO</w:t>
      </w:r>
      <w:bookmarkEnd w:id="133"/>
      <w:bookmarkEnd w:id="134"/>
    </w:p>
    <w:p w:rsidR="009F09BC" w:rsidRPr="00C27992" w:rsidRDefault="009F09BC" w:rsidP="00BB350C">
      <w:pPr>
        <w:pStyle w:val="Ttulo2"/>
        <w:spacing w:before="0" w:line="360" w:lineRule="auto"/>
        <w:rPr>
          <w:rFonts w:ascii="Palatino Linotype" w:hAnsi="Palatino Linotype"/>
          <w:b/>
          <w:color w:val="auto"/>
          <w:sz w:val="24"/>
          <w:szCs w:val="24"/>
        </w:rPr>
      </w:pPr>
      <w:bookmarkStart w:id="135" w:name="_Toc491791303"/>
      <w:bookmarkStart w:id="136" w:name="_Toc83128579"/>
      <w:r w:rsidRPr="00C27992">
        <w:rPr>
          <w:rFonts w:ascii="Palatino Linotype" w:hAnsi="Palatino Linotype"/>
          <w:b/>
          <w:color w:val="auto"/>
          <w:sz w:val="24"/>
          <w:szCs w:val="24"/>
        </w:rPr>
        <w:t>PRIMERO. De la competencia</w:t>
      </w:r>
      <w:bookmarkEnd w:id="135"/>
      <w:bookmarkEnd w:id="136"/>
    </w:p>
    <w:p w:rsidR="009F09BC" w:rsidRPr="00C27992" w:rsidRDefault="009F09BC" w:rsidP="00BB350C">
      <w:pPr>
        <w:spacing w:line="360" w:lineRule="auto"/>
        <w:rPr>
          <w:rFonts w:ascii="Palatino Linotype" w:hAnsi="Palatino Linotype"/>
          <w:lang w:val="es-MX" w:eastAsia="en-US"/>
        </w:rPr>
      </w:pPr>
    </w:p>
    <w:p w:rsidR="00353F1D" w:rsidRPr="00C27992" w:rsidRDefault="00353F1D" w:rsidP="00BB350C">
      <w:pPr>
        <w:pStyle w:val="Prrafodelista"/>
        <w:numPr>
          <w:ilvl w:val="0"/>
          <w:numId w:val="1"/>
        </w:numPr>
        <w:spacing w:line="360" w:lineRule="auto"/>
        <w:ind w:left="0" w:firstLine="0"/>
        <w:jc w:val="both"/>
        <w:rPr>
          <w:rFonts w:ascii="Palatino Linotype" w:hAnsi="Palatino Linotype"/>
          <w:color w:val="000000" w:themeColor="text1"/>
        </w:rPr>
      </w:pPr>
      <w:r w:rsidRPr="00C27992">
        <w:rPr>
          <w:rFonts w:ascii="Palatino Linotype" w:hAnsi="Palatino Linotype"/>
          <w:color w:val="000000" w:themeColor="text1"/>
        </w:rPr>
        <w:t xml:space="preserve">El </w:t>
      </w:r>
      <w:r w:rsidRPr="00C27992">
        <w:rPr>
          <w:rFonts w:ascii="Palatino Linotype" w:hAnsi="Palatino Linotype"/>
        </w:rPr>
        <w:t>Instituto</w:t>
      </w:r>
      <w:r w:rsidRPr="00C27992">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w:t>
      </w:r>
      <w:r w:rsidRPr="00C27992">
        <w:rPr>
          <w:rFonts w:ascii="Palatino Linotype" w:hAnsi="Palatino Linotype"/>
          <w:color w:val="000000" w:themeColor="text1"/>
        </w:rPr>
        <w:lastRenderedPageBreak/>
        <w:t>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C83CF9" w:rsidRPr="00C27992" w:rsidRDefault="00C83CF9" w:rsidP="00C83CF9">
      <w:pPr>
        <w:pStyle w:val="Prrafodelista"/>
        <w:spacing w:line="360" w:lineRule="auto"/>
        <w:ind w:left="0"/>
        <w:jc w:val="both"/>
        <w:rPr>
          <w:rFonts w:ascii="Palatino Linotype" w:hAnsi="Palatino Linotype"/>
          <w:color w:val="000000" w:themeColor="text1"/>
        </w:rPr>
      </w:pPr>
    </w:p>
    <w:p w:rsidR="009F09BC" w:rsidRPr="00C27992" w:rsidRDefault="009F09BC" w:rsidP="009F09BC">
      <w:pPr>
        <w:pStyle w:val="Ttulo2"/>
        <w:rPr>
          <w:rFonts w:ascii="Palatino Linotype" w:hAnsi="Palatino Linotype"/>
          <w:b/>
          <w:color w:val="auto"/>
          <w:sz w:val="24"/>
          <w:szCs w:val="24"/>
        </w:rPr>
      </w:pPr>
      <w:bookmarkStart w:id="137" w:name="_Toc491791304"/>
      <w:bookmarkStart w:id="138" w:name="_Toc83128580"/>
      <w:r w:rsidRPr="00C27992">
        <w:rPr>
          <w:rFonts w:ascii="Palatino Linotype" w:hAnsi="Palatino Linotype"/>
          <w:b/>
          <w:color w:val="auto"/>
          <w:sz w:val="24"/>
          <w:szCs w:val="24"/>
        </w:rPr>
        <w:t>SEGUNDO. De la oportunidad y procedencia.</w:t>
      </w:r>
      <w:bookmarkEnd w:id="137"/>
      <w:bookmarkEnd w:id="138"/>
    </w:p>
    <w:p w:rsidR="009F09BC" w:rsidRPr="00C27992" w:rsidRDefault="009F09BC" w:rsidP="009F09BC">
      <w:pPr>
        <w:rPr>
          <w:lang w:val="es-MX" w:eastAsia="en-US"/>
        </w:rPr>
      </w:pPr>
    </w:p>
    <w:p w:rsidR="009F09BC" w:rsidRPr="00C27992" w:rsidRDefault="00425842" w:rsidP="00D66E65">
      <w:pPr>
        <w:pStyle w:val="Prrafodelista"/>
        <w:numPr>
          <w:ilvl w:val="0"/>
          <w:numId w:val="1"/>
        </w:numPr>
        <w:spacing w:line="360" w:lineRule="auto"/>
        <w:ind w:left="0" w:firstLine="0"/>
        <w:jc w:val="both"/>
        <w:rPr>
          <w:rFonts w:ascii="Palatino Linotype" w:hAnsi="Palatino Linotype"/>
        </w:rPr>
      </w:pPr>
      <w:r w:rsidRPr="00C27992">
        <w:rPr>
          <w:rFonts w:ascii="Palatino Linotype" w:eastAsia="Calibri" w:hAnsi="Palatino Linotype" w:cs="Arial"/>
        </w:rPr>
        <w:t>El</w:t>
      </w:r>
      <w:r w:rsidR="00AD63B4" w:rsidRPr="00C27992">
        <w:rPr>
          <w:rFonts w:ascii="Palatino Linotype" w:eastAsia="Calibri" w:hAnsi="Palatino Linotype" w:cs="Arial"/>
        </w:rPr>
        <w:t xml:space="preserve"> </w:t>
      </w:r>
      <w:r w:rsidR="009F09BC" w:rsidRPr="00C27992">
        <w:rPr>
          <w:rFonts w:ascii="Palatino Linotype" w:eastAsia="Calibri" w:hAnsi="Palatino Linotype" w:cs="Arial"/>
        </w:rPr>
        <w:t xml:space="preserve">medio de impugnación fue presentado a través del </w:t>
      </w:r>
      <w:r w:rsidR="009F09BC" w:rsidRPr="00C27992">
        <w:rPr>
          <w:rFonts w:ascii="Palatino Linotype" w:eastAsia="Calibri" w:hAnsi="Palatino Linotype" w:cs="Arial"/>
          <w:b/>
        </w:rPr>
        <w:t>SAIMEX,</w:t>
      </w:r>
      <w:r w:rsidR="009F09BC" w:rsidRPr="00C27992">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C27992">
        <w:rPr>
          <w:rFonts w:ascii="Palatino Linotype" w:eastAsia="Calibri" w:hAnsi="Palatino Linotype" w:cs="Arial"/>
          <w:b/>
        </w:rPr>
        <w:t>SUJETO OBLIGADO</w:t>
      </w:r>
      <w:r w:rsidRPr="00C27992">
        <w:rPr>
          <w:rFonts w:ascii="Palatino Linotype" w:eastAsia="Calibri" w:hAnsi="Palatino Linotype" w:cs="Arial"/>
        </w:rPr>
        <w:t xml:space="preserve"> entregó su</w:t>
      </w:r>
      <w:r w:rsidR="009F09BC" w:rsidRPr="00C27992">
        <w:rPr>
          <w:rFonts w:ascii="Palatino Linotype" w:eastAsia="Calibri" w:hAnsi="Palatino Linotype" w:cs="Arial"/>
        </w:rPr>
        <w:t xml:space="preserve"> respuesta </w:t>
      </w:r>
      <w:r w:rsidRPr="00C27992">
        <w:rPr>
          <w:rFonts w:ascii="Palatino Linotype" w:eastAsia="Calibri" w:hAnsi="Palatino Linotype" w:cs="Arial"/>
        </w:rPr>
        <w:t>e</w:t>
      </w:r>
      <w:r w:rsidR="009F09BC" w:rsidRPr="00C27992">
        <w:rPr>
          <w:rFonts w:ascii="Palatino Linotype" w:eastAsia="Calibri" w:hAnsi="Palatino Linotype" w:cs="Arial"/>
        </w:rPr>
        <w:t xml:space="preserve">l </w:t>
      </w:r>
      <w:r w:rsidR="00BB350C" w:rsidRPr="00C27992">
        <w:rPr>
          <w:rFonts w:ascii="Palatino Linotype" w:eastAsia="Calibri" w:hAnsi="Palatino Linotype" w:cs="Arial"/>
        </w:rPr>
        <w:t>uno</w:t>
      </w:r>
      <w:r w:rsidRPr="00C27992">
        <w:rPr>
          <w:rFonts w:ascii="Palatino Linotype" w:eastAsia="Calibri" w:hAnsi="Palatino Linotype" w:cs="Arial"/>
        </w:rPr>
        <w:t xml:space="preserve"> (</w:t>
      </w:r>
      <w:r w:rsidR="00C83CF9" w:rsidRPr="00C27992">
        <w:rPr>
          <w:rFonts w:ascii="Palatino Linotype" w:eastAsia="Calibri" w:hAnsi="Palatino Linotype" w:cs="Arial"/>
        </w:rPr>
        <w:t>0</w:t>
      </w:r>
      <w:r w:rsidR="00BB350C" w:rsidRPr="00C27992">
        <w:rPr>
          <w:rFonts w:ascii="Palatino Linotype" w:eastAsia="Calibri" w:hAnsi="Palatino Linotype" w:cs="Arial"/>
        </w:rPr>
        <w:t>1</w:t>
      </w:r>
      <w:r w:rsidR="009F09BC" w:rsidRPr="00C27992">
        <w:rPr>
          <w:rFonts w:ascii="Palatino Linotype" w:eastAsia="Calibri" w:hAnsi="Palatino Linotype" w:cs="Arial"/>
        </w:rPr>
        <w:t xml:space="preserve">) de </w:t>
      </w:r>
      <w:r w:rsidR="00C83CF9" w:rsidRPr="00C27992">
        <w:rPr>
          <w:rFonts w:ascii="Palatino Linotype" w:eastAsia="Calibri" w:hAnsi="Palatino Linotype" w:cs="Arial"/>
        </w:rPr>
        <w:t>agosto</w:t>
      </w:r>
      <w:r w:rsidRPr="00C27992">
        <w:rPr>
          <w:rFonts w:ascii="Palatino Linotype" w:eastAsia="Calibri" w:hAnsi="Palatino Linotype" w:cs="Arial"/>
        </w:rPr>
        <w:t xml:space="preserve"> de dos mil veintidós</w:t>
      </w:r>
      <w:r w:rsidR="009F09BC" w:rsidRPr="00C27992">
        <w:rPr>
          <w:rFonts w:ascii="Palatino Linotype" w:eastAsia="Calibri" w:hAnsi="Palatino Linotype" w:cs="Arial"/>
        </w:rPr>
        <w:t xml:space="preserve">, </w:t>
      </w:r>
      <w:r w:rsidR="009F09BC" w:rsidRPr="00C27992">
        <w:rPr>
          <w:rFonts w:ascii="Palatino Linotype" w:hAnsi="Palatino Linotype" w:cs="Arial"/>
        </w:rPr>
        <w:t xml:space="preserve">de tal forma que </w:t>
      </w:r>
      <w:r w:rsidRPr="00C27992">
        <w:rPr>
          <w:rFonts w:ascii="Palatino Linotype" w:hAnsi="Palatino Linotype" w:cs="Arial"/>
        </w:rPr>
        <w:t>e</w:t>
      </w:r>
      <w:r w:rsidR="009F09BC" w:rsidRPr="00C27992">
        <w:rPr>
          <w:rFonts w:ascii="Palatino Linotype" w:hAnsi="Palatino Linotype" w:cs="Arial"/>
        </w:rPr>
        <w:t xml:space="preserve">l plazo para interponer </w:t>
      </w:r>
      <w:r w:rsidRPr="00C27992">
        <w:rPr>
          <w:rFonts w:ascii="Palatino Linotype" w:hAnsi="Palatino Linotype" w:cs="Arial"/>
        </w:rPr>
        <w:t>e</w:t>
      </w:r>
      <w:r w:rsidR="009F09BC" w:rsidRPr="00C27992">
        <w:rPr>
          <w:rFonts w:ascii="Palatino Linotype" w:hAnsi="Palatino Linotype" w:cs="Arial"/>
        </w:rPr>
        <w:t xml:space="preserve">l recurso de revisión </w:t>
      </w:r>
      <w:r w:rsidRPr="00C27992">
        <w:rPr>
          <w:rFonts w:ascii="Palatino Linotype" w:hAnsi="Palatino Linotype" w:cs="Arial"/>
        </w:rPr>
        <w:t>transcurrió</w:t>
      </w:r>
      <w:r w:rsidR="009F09BC" w:rsidRPr="00C27992">
        <w:rPr>
          <w:rFonts w:ascii="Palatino Linotype" w:hAnsi="Palatino Linotype" w:cs="Arial"/>
        </w:rPr>
        <w:t xml:space="preserve"> del día </w:t>
      </w:r>
      <w:r w:rsidR="00BB350C" w:rsidRPr="00C27992">
        <w:rPr>
          <w:rFonts w:ascii="Palatino Linotype" w:hAnsi="Palatino Linotype" w:cs="Arial"/>
        </w:rPr>
        <w:t>d</w:t>
      </w:r>
      <w:r w:rsidR="00C83CF9" w:rsidRPr="00C27992">
        <w:rPr>
          <w:rFonts w:ascii="Palatino Linotype" w:hAnsi="Palatino Linotype" w:cs="Arial"/>
        </w:rPr>
        <w:t>o</w:t>
      </w:r>
      <w:r w:rsidR="00BB350C" w:rsidRPr="00C27992">
        <w:rPr>
          <w:rFonts w:ascii="Palatino Linotype" w:hAnsi="Palatino Linotype" w:cs="Arial"/>
        </w:rPr>
        <w:t>s</w:t>
      </w:r>
      <w:r w:rsidR="000F1081" w:rsidRPr="00C27992">
        <w:rPr>
          <w:rFonts w:ascii="Palatino Linotype" w:hAnsi="Palatino Linotype" w:cs="Arial"/>
        </w:rPr>
        <w:t xml:space="preserve"> (</w:t>
      </w:r>
      <w:r w:rsidR="00BB350C" w:rsidRPr="00C27992">
        <w:rPr>
          <w:rFonts w:ascii="Palatino Linotype" w:hAnsi="Palatino Linotype" w:cs="Arial"/>
        </w:rPr>
        <w:t>02</w:t>
      </w:r>
      <w:r w:rsidR="009F09BC" w:rsidRPr="00C27992">
        <w:rPr>
          <w:rFonts w:ascii="Palatino Linotype" w:hAnsi="Palatino Linotype" w:cs="Arial"/>
        </w:rPr>
        <w:t xml:space="preserve">) </w:t>
      </w:r>
      <w:r w:rsidR="007A460E" w:rsidRPr="00C27992">
        <w:rPr>
          <w:rFonts w:ascii="Palatino Linotype" w:hAnsi="Palatino Linotype" w:cs="Arial"/>
        </w:rPr>
        <w:t xml:space="preserve">al </w:t>
      </w:r>
      <w:r w:rsidR="00BB350C" w:rsidRPr="00C27992">
        <w:rPr>
          <w:rFonts w:ascii="Palatino Linotype" w:hAnsi="Palatino Linotype" w:cs="Arial"/>
        </w:rPr>
        <w:t xml:space="preserve">veintidós </w:t>
      </w:r>
      <w:r w:rsidR="0001674C" w:rsidRPr="00C27992">
        <w:rPr>
          <w:rFonts w:ascii="Palatino Linotype" w:hAnsi="Palatino Linotype" w:cs="Arial"/>
        </w:rPr>
        <w:t xml:space="preserve">de </w:t>
      </w:r>
      <w:r w:rsidR="00BB350C" w:rsidRPr="00C27992">
        <w:rPr>
          <w:rFonts w:ascii="Palatino Linotype" w:hAnsi="Palatino Linotype" w:cs="Arial"/>
        </w:rPr>
        <w:t>agosto</w:t>
      </w:r>
      <w:r w:rsidR="0001674C" w:rsidRPr="00C27992">
        <w:rPr>
          <w:rFonts w:ascii="Palatino Linotype" w:hAnsi="Palatino Linotype" w:cs="Arial"/>
        </w:rPr>
        <w:t xml:space="preserve"> de dos mil </w:t>
      </w:r>
      <w:r w:rsidRPr="00C27992">
        <w:rPr>
          <w:rFonts w:ascii="Palatino Linotype" w:hAnsi="Palatino Linotype" w:cs="Arial"/>
        </w:rPr>
        <w:t>veintidós</w:t>
      </w:r>
      <w:r w:rsidR="0001674C" w:rsidRPr="00C27992">
        <w:rPr>
          <w:rFonts w:ascii="Palatino Linotype" w:hAnsi="Palatino Linotype" w:cs="Arial"/>
        </w:rPr>
        <w:t>; e</w:t>
      </w:r>
      <w:r w:rsidR="009F09BC" w:rsidRPr="00C27992">
        <w:rPr>
          <w:rFonts w:ascii="Palatino Linotype" w:hAnsi="Palatino Linotype" w:cs="Arial"/>
        </w:rPr>
        <w:t xml:space="preserve">n consecuencia, el ahora </w:t>
      </w:r>
      <w:r w:rsidR="009F09BC" w:rsidRPr="00C27992">
        <w:rPr>
          <w:rFonts w:ascii="Palatino Linotype" w:hAnsi="Palatino Linotype" w:cs="Arial"/>
          <w:b/>
        </w:rPr>
        <w:t>RECURRENTE</w:t>
      </w:r>
      <w:r w:rsidR="009F09BC" w:rsidRPr="00C27992">
        <w:rPr>
          <w:rFonts w:ascii="Palatino Linotype" w:hAnsi="Palatino Linotype" w:cs="Arial"/>
        </w:rPr>
        <w:t xml:space="preserve"> presentó </w:t>
      </w:r>
      <w:r w:rsidR="00CA1063" w:rsidRPr="00C27992">
        <w:rPr>
          <w:rFonts w:ascii="Palatino Linotype" w:hAnsi="Palatino Linotype" w:cs="Arial"/>
        </w:rPr>
        <w:t xml:space="preserve">su inconformidad el día </w:t>
      </w:r>
      <w:r w:rsidR="00BB350C" w:rsidRPr="00C27992">
        <w:rPr>
          <w:rFonts w:ascii="Palatino Linotype" w:hAnsi="Palatino Linotype" w:cs="Arial"/>
        </w:rPr>
        <w:t>cinco</w:t>
      </w:r>
      <w:r w:rsidR="0082142B" w:rsidRPr="00C27992">
        <w:rPr>
          <w:rFonts w:ascii="Palatino Linotype" w:hAnsi="Palatino Linotype" w:cs="Arial"/>
        </w:rPr>
        <w:t xml:space="preserve"> </w:t>
      </w:r>
      <w:r w:rsidR="009F09BC" w:rsidRPr="00C27992">
        <w:rPr>
          <w:rFonts w:ascii="Palatino Linotype" w:hAnsi="Palatino Linotype" w:cs="Arial"/>
        </w:rPr>
        <w:t>(</w:t>
      </w:r>
      <w:r w:rsidR="00BB350C" w:rsidRPr="00C27992">
        <w:rPr>
          <w:rFonts w:ascii="Palatino Linotype" w:hAnsi="Palatino Linotype" w:cs="Arial"/>
        </w:rPr>
        <w:t>05</w:t>
      </w:r>
      <w:r w:rsidR="009F09BC" w:rsidRPr="00C27992">
        <w:rPr>
          <w:rFonts w:ascii="Palatino Linotype" w:hAnsi="Palatino Linotype" w:cs="Arial"/>
        </w:rPr>
        <w:t xml:space="preserve">) de </w:t>
      </w:r>
      <w:r w:rsidR="00BB350C" w:rsidRPr="00C27992">
        <w:rPr>
          <w:rFonts w:ascii="Palatino Linotype" w:hAnsi="Palatino Linotype" w:cs="Arial"/>
        </w:rPr>
        <w:t>agosto</w:t>
      </w:r>
      <w:r w:rsidR="007142D6" w:rsidRPr="00C27992">
        <w:rPr>
          <w:rFonts w:ascii="Palatino Linotype" w:hAnsi="Palatino Linotype" w:cs="Arial"/>
        </w:rPr>
        <w:t xml:space="preserve"> de dos mil veintidós</w:t>
      </w:r>
      <w:r w:rsidR="009F09BC" w:rsidRPr="00C27992">
        <w:rPr>
          <w:rFonts w:ascii="Palatino Linotype" w:hAnsi="Palatino Linotype" w:cs="Arial"/>
        </w:rPr>
        <w:t xml:space="preserve">; </w:t>
      </w:r>
      <w:r w:rsidR="0062406B" w:rsidRPr="00C27992">
        <w:rPr>
          <w:rFonts w:ascii="Palatino Linotype" w:hAnsi="Palatino Linotype" w:cs="Arial"/>
        </w:rPr>
        <w:t xml:space="preserve">es decir </w:t>
      </w:r>
      <w:r w:rsidR="0082142B" w:rsidRPr="00C27992">
        <w:rPr>
          <w:rFonts w:ascii="Palatino Linotype" w:hAnsi="Palatino Linotype" w:cs="Arial"/>
        </w:rPr>
        <w:t>dentro d</w:t>
      </w:r>
      <w:r w:rsidR="009F09BC" w:rsidRPr="00C27992">
        <w:rPr>
          <w:rFonts w:ascii="Palatino Linotype" w:hAnsi="Palatino Linotype" w:cs="Arial"/>
        </w:rPr>
        <w:t>el lapso legalmente establecido para tal efecto.</w:t>
      </w:r>
    </w:p>
    <w:p w:rsidR="00A03CA9" w:rsidRPr="00C27992" w:rsidRDefault="009F09BC" w:rsidP="000A7BB4">
      <w:pPr>
        <w:pStyle w:val="Prrafodelista"/>
        <w:numPr>
          <w:ilvl w:val="0"/>
          <w:numId w:val="1"/>
        </w:numPr>
        <w:spacing w:line="360" w:lineRule="auto"/>
        <w:ind w:left="0" w:firstLine="0"/>
        <w:jc w:val="both"/>
        <w:rPr>
          <w:rFonts w:ascii="Palatino Linotype" w:hAnsi="Palatino Linotype"/>
        </w:rPr>
      </w:pPr>
      <w:r w:rsidRPr="00C27992">
        <w:rPr>
          <w:rFonts w:ascii="Palatino Linotype" w:eastAsia="Calibri" w:hAnsi="Palatino Linotype" w:cs="Arial"/>
        </w:rPr>
        <w:t xml:space="preserve">Asimismo, </w:t>
      </w:r>
      <w:r w:rsidR="00CF0D2B" w:rsidRPr="00C27992">
        <w:rPr>
          <w:rFonts w:ascii="Palatino Linotype" w:eastAsia="Calibri" w:hAnsi="Palatino Linotype" w:cs="Arial"/>
        </w:rPr>
        <w:t>e</w:t>
      </w:r>
      <w:r w:rsidRPr="00C27992">
        <w:rPr>
          <w:rFonts w:ascii="Palatino Linotype" w:eastAsia="Calibri" w:hAnsi="Palatino Linotype" w:cs="Arial"/>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A03CA9" w:rsidRPr="00C27992" w:rsidRDefault="00A03CA9" w:rsidP="00A03CA9">
      <w:pPr>
        <w:rPr>
          <w:rFonts w:ascii="Palatino Linotype" w:hAnsi="Palatino Linotype"/>
        </w:rPr>
      </w:pPr>
    </w:p>
    <w:p w:rsidR="009F09BC" w:rsidRPr="00C27992" w:rsidRDefault="000A7BB4" w:rsidP="00CF0D2B">
      <w:pPr>
        <w:pStyle w:val="Ttulo1"/>
        <w:spacing w:before="0" w:line="360" w:lineRule="auto"/>
        <w:rPr>
          <w:rFonts w:ascii="Palatino Linotype" w:hAnsi="Palatino Linotype"/>
          <w:b/>
          <w:color w:val="000000" w:themeColor="text1"/>
          <w:sz w:val="24"/>
          <w:szCs w:val="24"/>
        </w:rPr>
      </w:pPr>
      <w:bookmarkStart w:id="139" w:name="_Toc66998086"/>
      <w:bookmarkStart w:id="140" w:name="_Toc70526130"/>
      <w:r w:rsidRPr="00C27992">
        <w:rPr>
          <w:rFonts w:ascii="Palatino Linotype" w:hAnsi="Palatino Linotype"/>
          <w:b/>
          <w:color w:val="auto"/>
          <w:sz w:val="24"/>
          <w:szCs w:val="24"/>
        </w:rPr>
        <w:t>TERCERO</w:t>
      </w:r>
      <w:r w:rsidR="0038112D" w:rsidRPr="00C27992">
        <w:rPr>
          <w:rFonts w:ascii="Palatino Linotype" w:hAnsi="Palatino Linotype"/>
          <w:b/>
          <w:color w:val="auto"/>
          <w:sz w:val="24"/>
          <w:szCs w:val="24"/>
        </w:rPr>
        <w:t>.</w:t>
      </w:r>
      <w:bookmarkStart w:id="141" w:name="_Toc34246179"/>
      <w:bookmarkStart w:id="142" w:name="_Toc50033991"/>
      <w:bookmarkStart w:id="143" w:name="_Toc51259588"/>
      <w:bookmarkStart w:id="144" w:name="_Toc83128581"/>
      <w:bookmarkEnd w:id="139"/>
      <w:bookmarkEnd w:id="140"/>
      <w:r w:rsidR="009F09BC" w:rsidRPr="00C27992">
        <w:rPr>
          <w:rFonts w:ascii="Palatino Linotype" w:hAnsi="Palatino Linotype"/>
          <w:b/>
          <w:color w:val="000000" w:themeColor="text1"/>
          <w:sz w:val="24"/>
          <w:szCs w:val="24"/>
        </w:rPr>
        <w:t xml:space="preserve"> </w:t>
      </w:r>
      <w:bookmarkStart w:id="145" w:name="_Toc501021589"/>
      <w:r w:rsidR="009F09BC" w:rsidRPr="00C27992">
        <w:rPr>
          <w:rFonts w:ascii="Palatino Linotype" w:hAnsi="Palatino Linotype"/>
          <w:b/>
          <w:color w:val="000000" w:themeColor="text1"/>
          <w:sz w:val="24"/>
          <w:szCs w:val="24"/>
        </w:rPr>
        <w:t xml:space="preserve">Del planteamiento de la </w:t>
      </w:r>
      <w:r w:rsidR="009F09BC" w:rsidRPr="00C27992">
        <w:rPr>
          <w:rFonts w:ascii="Palatino Linotype" w:hAnsi="Palatino Linotype"/>
          <w:b/>
          <w:i/>
          <w:color w:val="000000" w:themeColor="text1"/>
          <w:sz w:val="24"/>
          <w:szCs w:val="24"/>
        </w:rPr>
        <w:t>Litis</w:t>
      </w:r>
      <w:r w:rsidR="009F09BC" w:rsidRPr="00C27992">
        <w:rPr>
          <w:rFonts w:ascii="Palatino Linotype" w:hAnsi="Palatino Linotype"/>
          <w:b/>
          <w:color w:val="000000" w:themeColor="text1"/>
          <w:sz w:val="24"/>
          <w:szCs w:val="24"/>
        </w:rPr>
        <w:t>.</w:t>
      </w:r>
      <w:bookmarkEnd w:id="141"/>
      <w:bookmarkEnd w:id="142"/>
      <w:bookmarkEnd w:id="143"/>
      <w:bookmarkEnd w:id="144"/>
      <w:bookmarkEnd w:id="145"/>
    </w:p>
    <w:p w:rsidR="009F09BC" w:rsidRPr="00C27992" w:rsidRDefault="009F09BC" w:rsidP="009F09BC">
      <w:pPr>
        <w:rPr>
          <w:lang w:val="es-MX" w:eastAsia="en-US"/>
        </w:rPr>
      </w:pPr>
    </w:p>
    <w:p w:rsidR="009F09BC" w:rsidRPr="00C27992" w:rsidRDefault="009F09BC" w:rsidP="00D66E65">
      <w:pPr>
        <w:pStyle w:val="Prrafodelista"/>
        <w:numPr>
          <w:ilvl w:val="0"/>
          <w:numId w:val="1"/>
        </w:numPr>
        <w:spacing w:line="360" w:lineRule="auto"/>
        <w:ind w:left="0" w:firstLine="0"/>
        <w:jc w:val="both"/>
        <w:rPr>
          <w:rFonts w:ascii="Palatino Linotype" w:hAnsi="Palatino Linotype" w:cs="Arial"/>
        </w:rPr>
      </w:pPr>
      <w:r w:rsidRPr="00C27992">
        <w:rPr>
          <w:rFonts w:ascii="Palatino Linotype" w:hAnsi="Palatino Linotype" w:cs="Arial"/>
        </w:rPr>
        <w:t xml:space="preserve">Se </w:t>
      </w:r>
      <w:r w:rsidRPr="00C27992">
        <w:rPr>
          <w:rFonts w:ascii="Palatino Linotype" w:eastAsia="Calibri" w:hAnsi="Palatino Linotype" w:cs="Arial"/>
        </w:rPr>
        <w:t>solicitó</w:t>
      </w:r>
      <w:r w:rsidRPr="00C27992">
        <w:rPr>
          <w:rFonts w:ascii="Palatino Linotype" w:hAnsi="Palatino Linotype" w:cs="Arial"/>
        </w:rPr>
        <w:t xml:space="preserve"> </w:t>
      </w:r>
      <w:r w:rsidR="00AD63B4" w:rsidRPr="00C27992">
        <w:rPr>
          <w:rFonts w:ascii="Palatino Linotype" w:hAnsi="Palatino Linotype" w:cs="Arial"/>
        </w:rPr>
        <w:t xml:space="preserve">tener acceso, a la </w:t>
      </w:r>
      <w:r w:rsidRPr="00C27992">
        <w:rPr>
          <w:rFonts w:ascii="Palatino Linotype" w:hAnsi="Palatino Linotype" w:cs="Arial"/>
        </w:rPr>
        <w:t>información que a continuación se desagrega:</w:t>
      </w:r>
    </w:p>
    <w:p w:rsidR="009F09BC" w:rsidRPr="00C27992" w:rsidRDefault="009F09BC" w:rsidP="009F09BC">
      <w:pPr>
        <w:pStyle w:val="Prrafodelista"/>
        <w:spacing w:line="360" w:lineRule="auto"/>
        <w:ind w:left="0"/>
        <w:jc w:val="both"/>
        <w:rPr>
          <w:rFonts w:ascii="Palatino Linotype" w:hAnsi="Palatino Linotype" w:cs="Arial"/>
        </w:rPr>
      </w:pPr>
    </w:p>
    <w:p w:rsidR="00A03CA9" w:rsidRPr="00C27992" w:rsidRDefault="00A03CA9" w:rsidP="00A03CA9">
      <w:pPr>
        <w:pStyle w:val="Prrafodelista"/>
        <w:numPr>
          <w:ilvl w:val="0"/>
          <w:numId w:val="9"/>
        </w:numPr>
        <w:spacing w:line="360" w:lineRule="auto"/>
        <w:ind w:left="993"/>
        <w:jc w:val="both"/>
        <w:rPr>
          <w:rFonts w:ascii="Palatino Linotype" w:hAnsi="Palatino Linotype" w:cs="Arial"/>
        </w:rPr>
      </w:pPr>
      <w:r w:rsidRPr="00C27992">
        <w:rPr>
          <w:rFonts w:ascii="Palatino Linotype" w:hAnsi="Palatino Linotype" w:cs="Arial"/>
        </w:rPr>
        <w:lastRenderedPageBreak/>
        <w:t xml:space="preserve">Criterios que aplica la Sala Auxiliar Ecatepec para aplicar discrecionalmente la jurisprudencia con registro digital 184376 </w:t>
      </w:r>
      <w:r w:rsidRPr="00C27992">
        <w:rPr>
          <w:rFonts w:ascii="Palatino Linotype" w:hAnsi="Palatino Linotype" w:cs="Arial"/>
          <w:i/>
        </w:rPr>
        <w:t>"TRABAJADORES DE CONFIANZA AL SERVICIO DEL ESTADO. CUANDO DE LA LEGISLACIÓN CORRESPONDIENTE (FEDERAL O LOCAL) APAREZCA QUE CARECEN DE ACCIÓN PARA DEMANDAR LA INDEMNIZACIÓN CONSTITUCIONAL O LA REINSTALACIÓN POR DESPIDO, LA DEMANDADA DEBE SER ABSUELTA AUNQUE NO SE HAYA OPUESTO LA EXCEPCIÓN RELATIVA.";</w:t>
      </w:r>
    </w:p>
    <w:p w:rsidR="00A03CA9" w:rsidRPr="00C27992" w:rsidRDefault="00A03CA9" w:rsidP="00A03CA9">
      <w:pPr>
        <w:pStyle w:val="Prrafodelista"/>
        <w:spacing w:line="360" w:lineRule="auto"/>
        <w:ind w:left="993"/>
        <w:jc w:val="both"/>
        <w:rPr>
          <w:rFonts w:ascii="Palatino Linotype" w:hAnsi="Palatino Linotype" w:cs="Arial"/>
        </w:rPr>
      </w:pPr>
    </w:p>
    <w:p w:rsidR="00A03CA9" w:rsidRPr="00C27992" w:rsidRDefault="00A03CA9" w:rsidP="00A03CA9">
      <w:pPr>
        <w:pStyle w:val="Prrafodelista"/>
        <w:numPr>
          <w:ilvl w:val="0"/>
          <w:numId w:val="9"/>
        </w:numPr>
        <w:spacing w:line="360" w:lineRule="auto"/>
        <w:ind w:left="993"/>
        <w:jc w:val="both"/>
        <w:rPr>
          <w:rFonts w:ascii="Palatino Linotype" w:hAnsi="Palatino Linotype" w:cs="Arial"/>
          <w:i/>
        </w:rPr>
      </w:pPr>
      <w:r w:rsidRPr="00C27992">
        <w:rPr>
          <w:rFonts w:ascii="Palatino Linotype" w:hAnsi="Palatino Linotype" w:cs="Arial"/>
        </w:rPr>
        <w:t xml:space="preserve">La fundamentación y la motivación para que en el laudo no se hiciera ninguna manifestación sobre lo señalado en la contestación de la demanda por el representante del ayuntamiento demandado al señalar la excepción de prescripción: </w:t>
      </w:r>
      <w:r w:rsidRPr="00C27992">
        <w:rPr>
          <w:rFonts w:ascii="Palatino Linotype" w:hAnsi="Palatino Linotype" w:cs="Arial"/>
          <w:i/>
        </w:rPr>
        <w:t>“… PARA TODAS LAS PRESTACIONES RECLAMADAS POR EL ACTOR EN EL CAPÍTULO DE PRESTACIONES Y ESPECIALMENTE EN LOS INCISOS A AL I CON ANTERIORIDAD AL 13 DE FEBRERO DEL 2012, EN VIRTUD QUE PRESENTÓ SU DEMANDA CON FECHA 14 DE FEBRERO DE 2013, COMO SE DESPRENDE DEL AUTO DE RADICACIÓN QUE OBRA EN AUTOS; EN VIRTUD QUE TRASCURRIÓ CON EXCESO EL TÉRMINO A QUE SE REFIERE EL PRECEPTO LEGAL ANTES SEÑALADO, PARA QUE PUDIERA EXIGIR EL CUMPLIMIENTO DE LAS MISMAS”;</w:t>
      </w:r>
    </w:p>
    <w:p w:rsidR="00A03CA9" w:rsidRPr="00C27992" w:rsidRDefault="00A03CA9" w:rsidP="00A03CA9">
      <w:pPr>
        <w:pStyle w:val="Prrafodelista"/>
        <w:spacing w:line="360" w:lineRule="auto"/>
        <w:ind w:left="993"/>
        <w:jc w:val="both"/>
        <w:rPr>
          <w:rFonts w:ascii="Palatino Linotype" w:hAnsi="Palatino Linotype" w:cs="Arial"/>
        </w:rPr>
      </w:pPr>
    </w:p>
    <w:p w:rsidR="00A03CA9" w:rsidRPr="00C27992" w:rsidRDefault="00A03CA9" w:rsidP="00A03CA9">
      <w:pPr>
        <w:pStyle w:val="Prrafodelista"/>
        <w:numPr>
          <w:ilvl w:val="0"/>
          <w:numId w:val="9"/>
        </w:numPr>
        <w:spacing w:line="360" w:lineRule="auto"/>
        <w:ind w:left="993"/>
        <w:jc w:val="both"/>
        <w:rPr>
          <w:rFonts w:ascii="Palatino Linotype" w:hAnsi="Palatino Linotype" w:cs="Arial"/>
        </w:rPr>
      </w:pPr>
      <w:r w:rsidRPr="00C27992">
        <w:rPr>
          <w:rFonts w:ascii="Palatino Linotype" w:hAnsi="Palatino Linotype" w:cs="Arial"/>
        </w:rPr>
        <w:t>La documental con la que se notificó al Ayuntamiento;</w:t>
      </w:r>
    </w:p>
    <w:p w:rsidR="00A03CA9" w:rsidRPr="00C27992" w:rsidRDefault="00A03CA9" w:rsidP="00A03CA9">
      <w:pPr>
        <w:pStyle w:val="Prrafodelista"/>
        <w:spacing w:line="360" w:lineRule="auto"/>
        <w:ind w:left="993"/>
        <w:jc w:val="both"/>
        <w:rPr>
          <w:rFonts w:ascii="Palatino Linotype" w:hAnsi="Palatino Linotype" w:cs="Arial"/>
        </w:rPr>
      </w:pPr>
    </w:p>
    <w:p w:rsidR="00A03CA9" w:rsidRPr="00C27992" w:rsidRDefault="00A03CA9" w:rsidP="00A03CA9">
      <w:pPr>
        <w:pStyle w:val="Prrafodelista"/>
        <w:numPr>
          <w:ilvl w:val="0"/>
          <w:numId w:val="9"/>
        </w:numPr>
        <w:spacing w:line="360" w:lineRule="auto"/>
        <w:ind w:left="993"/>
        <w:jc w:val="both"/>
        <w:rPr>
          <w:rFonts w:ascii="Palatino Linotype" w:hAnsi="Palatino Linotype" w:cs="Arial"/>
        </w:rPr>
      </w:pPr>
      <w:r w:rsidRPr="00C27992">
        <w:rPr>
          <w:rFonts w:ascii="Palatino Linotype" w:hAnsi="Palatino Linotype" w:cs="Arial"/>
        </w:rPr>
        <w:lastRenderedPageBreak/>
        <w:t>El convenio celebrado en modalidad de pago del laudo del expediente SAE725/2013; y</w:t>
      </w:r>
    </w:p>
    <w:p w:rsidR="00A03CA9" w:rsidRPr="00C27992" w:rsidRDefault="00A03CA9" w:rsidP="00A03CA9">
      <w:pPr>
        <w:pStyle w:val="Prrafodelista"/>
        <w:spacing w:line="360" w:lineRule="auto"/>
        <w:ind w:left="993"/>
        <w:jc w:val="both"/>
        <w:rPr>
          <w:rFonts w:ascii="Palatino Linotype" w:hAnsi="Palatino Linotype" w:cs="Arial"/>
        </w:rPr>
      </w:pPr>
    </w:p>
    <w:p w:rsidR="00A03CA9" w:rsidRPr="00C27992" w:rsidRDefault="00A03CA9" w:rsidP="00A03CA9">
      <w:pPr>
        <w:pStyle w:val="Prrafodelista"/>
        <w:numPr>
          <w:ilvl w:val="0"/>
          <w:numId w:val="9"/>
        </w:numPr>
        <w:spacing w:line="360" w:lineRule="auto"/>
        <w:ind w:left="993"/>
        <w:jc w:val="both"/>
        <w:rPr>
          <w:rFonts w:ascii="Palatino Linotype" w:hAnsi="Palatino Linotype" w:cs="Arial"/>
        </w:rPr>
      </w:pPr>
      <w:r w:rsidRPr="00C27992">
        <w:rPr>
          <w:rFonts w:ascii="Palatino Linotype" w:hAnsi="Palatino Linotype" w:cs="Arial"/>
        </w:rPr>
        <w:t>Los cargos que desempeñan los CC. Heidi Josefina Huerta Cano, Arturo Rivera Vargas y Verónica Isabel López Garcés.</w:t>
      </w:r>
    </w:p>
    <w:p w:rsidR="00A03CA9" w:rsidRPr="00C27992" w:rsidRDefault="00A03CA9" w:rsidP="00A03CA9">
      <w:pPr>
        <w:pStyle w:val="Prrafodelista"/>
        <w:spacing w:line="360" w:lineRule="auto"/>
        <w:ind w:left="2160"/>
        <w:jc w:val="both"/>
        <w:rPr>
          <w:rFonts w:ascii="Palatino Linotype" w:hAnsi="Palatino Linotype" w:cs="Arial"/>
        </w:rPr>
      </w:pPr>
    </w:p>
    <w:p w:rsidR="009F09BC" w:rsidRPr="00C27992" w:rsidRDefault="000F1081" w:rsidP="00D66E65">
      <w:pPr>
        <w:numPr>
          <w:ilvl w:val="0"/>
          <w:numId w:val="1"/>
        </w:numPr>
        <w:spacing w:line="360" w:lineRule="auto"/>
        <w:ind w:left="0" w:firstLine="0"/>
        <w:contextualSpacing/>
        <w:jc w:val="both"/>
        <w:rPr>
          <w:rFonts w:ascii="Palatino Linotype" w:hAnsi="Palatino Linotype" w:cs="Arial"/>
        </w:rPr>
      </w:pPr>
      <w:r w:rsidRPr="00C27992">
        <w:rPr>
          <w:rFonts w:ascii="Palatino Linotype" w:hAnsi="Palatino Linotype" w:cs="Arial"/>
        </w:rPr>
        <w:t xml:space="preserve">En respuesta, el </w:t>
      </w:r>
      <w:r w:rsidRPr="00C27992">
        <w:rPr>
          <w:rFonts w:ascii="Palatino Linotype" w:hAnsi="Palatino Linotype" w:cs="Arial"/>
          <w:b/>
        </w:rPr>
        <w:t xml:space="preserve">SUJETO OBLIGADO </w:t>
      </w:r>
      <w:r w:rsidR="00311E1A" w:rsidRPr="00C27992">
        <w:rPr>
          <w:rFonts w:ascii="Palatino Linotype" w:hAnsi="Palatino Linotype" w:cs="Arial"/>
        </w:rPr>
        <w:t>remit</w:t>
      </w:r>
      <w:r w:rsidR="00EA49A6" w:rsidRPr="00C27992">
        <w:rPr>
          <w:rFonts w:ascii="Palatino Linotype" w:hAnsi="Palatino Linotype" w:cs="Arial"/>
        </w:rPr>
        <w:t>ió</w:t>
      </w:r>
      <w:r w:rsidR="00311E1A" w:rsidRPr="00C27992">
        <w:rPr>
          <w:rFonts w:ascii="Palatino Linotype" w:hAnsi="Palatino Linotype" w:cs="Arial"/>
        </w:rPr>
        <w:t xml:space="preserve"> un</w:t>
      </w:r>
      <w:r w:rsidR="00A03CA9" w:rsidRPr="00C27992">
        <w:rPr>
          <w:rFonts w:ascii="Palatino Linotype" w:hAnsi="Palatino Linotype" w:cs="Arial"/>
        </w:rPr>
        <w:t xml:space="preserve"> escrito </w:t>
      </w:r>
      <w:r w:rsidR="00A03CA9" w:rsidRPr="00C27992">
        <w:rPr>
          <w:rFonts w:ascii="Palatino Linotype" w:hAnsi="Palatino Linotype" w:cs="Arial"/>
          <w:i/>
        </w:rPr>
        <w:t>ad hoc</w:t>
      </w:r>
      <w:r w:rsidR="00A03CA9" w:rsidRPr="00C27992">
        <w:rPr>
          <w:rFonts w:ascii="Palatino Linotype" w:hAnsi="Palatino Linotype" w:cs="Arial"/>
        </w:rPr>
        <w:t xml:space="preserve"> mediante el cual se pronuncia respecto a las solicitudes de información planteadas</w:t>
      </w:r>
      <w:r w:rsidR="00661E30" w:rsidRPr="00C27992">
        <w:rPr>
          <w:rFonts w:ascii="Palatino Linotype" w:hAnsi="Palatino Linotype" w:cs="Arial"/>
        </w:rPr>
        <w:t>, no obstante,</w:t>
      </w:r>
      <w:r w:rsidR="00C41E57" w:rsidRPr="00C27992">
        <w:rPr>
          <w:rFonts w:ascii="Palatino Linotype" w:hAnsi="Palatino Linotype" w:cs="Arial"/>
        </w:rPr>
        <w:t xml:space="preserve"> </w:t>
      </w:r>
      <w:r w:rsidR="009F09BC" w:rsidRPr="00C27992">
        <w:rPr>
          <w:rFonts w:ascii="Palatino Linotype" w:hAnsi="Palatino Linotype" w:cs="Arial"/>
          <w:b/>
        </w:rPr>
        <w:t xml:space="preserve">EL PARTICULAR </w:t>
      </w:r>
      <w:r w:rsidR="009F09BC" w:rsidRPr="00C27992">
        <w:rPr>
          <w:rFonts w:ascii="Palatino Linotype" w:hAnsi="Palatino Linotype" w:cs="Arial"/>
        </w:rPr>
        <w:t>inconforme con la respuesta</w:t>
      </w:r>
      <w:r w:rsidR="00EA49A6" w:rsidRPr="00C27992">
        <w:rPr>
          <w:rFonts w:ascii="Palatino Linotype" w:hAnsi="Palatino Linotype" w:cs="Arial"/>
        </w:rPr>
        <w:t xml:space="preserve"> interpuso recurso de revisión</w:t>
      </w:r>
      <w:r w:rsidR="009F09BC" w:rsidRPr="00C27992">
        <w:rPr>
          <w:rFonts w:ascii="Palatino Linotype" w:hAnsi="Palatino Linotype" w:cs="Arial"/>
        </w:rPr>
        <w:t xml:space="preserve">, </w:t>
      </w:r>
      <w:r w:rsidR="00C47D9C" w:rsidRPr="00C27992">
        <w:rPr>
          <w:rFonts w:ascii="Palatino Linotype" w:hAnsi="Palatino Linotype" w:cs="Arial"/>
        </w:rPr>
        <w:t>por</w:t>
      </w:r>
      <w:r w:rsidR="00661E30" w:rsidRPr="00C27992">
        <w:rPr>
          <w:rFonts w:ascii="Palatino Linotype" w:hAnsi="Palatino Linotype" w:cs="Arial"/>
        </w:rPr>
        <w:t>que a su decir l</w:t>
      </w:r>
      <w:r w:rsidR="00A03CA9" w:rsidRPr="00C27992">
        <w:rPr>
          <w:rFonts w:ascii="Palatino Linotype" w:hAnsi="Palatino Linotype" w:cs="Arial"/>
        </w:rPr>
        <w:t>a información es incompleta.</w:t>
      </w:r>
    </w:p>
    <w:p w:rsidR="0074110E" w:rsidRPr="00C27992" w:rsidRDefault="0074110E" w:rsidP="0074110E">
      <w:pPr>
        <w:spacing w:line="360" w:lineRule="auto"/>
        <w:contextualSpacing/>
        <w:jc w:val="both"/>
        <w:rPr>
          <w:rFonts w:ascii="Palatino Linotype" w:hAnsi="Palatino Linotype" w:cs="Arial"/>
        </w:rPr>
      </w:pPr>
    </w:p>
    <w:p w:rsidR="000A7BB4" w:rsidRPr="00C27992" w:rsidRDefault="009F09BC" w:rsidP="000A7BB4">
      <w:pPr>
        <w:numPr>
          <w:ilvl w:val="0"/>
          <w:numId w:val="1"/>
        </w:numPr>
        <w:spacing w:line="360" w:lineRule="auto"/>
        <w:ind w:left="0" w:firstLine="0"/>
        <w:contextualSpacing/>
        <w:jc w:val="both"/>
        <w:rPr>
          <w:rFonts w:ascii="Palatino Linotype" w:eastAsia="MS Mincho" w:hAnsi="Palatino Linotype" w:cs="Arial"/>
        </w:rPr>
      </w:pPr>
      <w:r w:rsidRPr="00C27992">
        <w:rPr>
          <w:rFonts w:ascii="Palatino Linotype" w:eastAsia="MS Mincho" w:hAnsi="Palatino Linotype" w:cs="Arial"/>
        </w:rPr>
        <w:t xml:space="preserve">En </w:t>
      </w:r>
      <w:r w:rsidRPr="00C27992">
        <w:rPr>
          <w:rFonts w:ascii="Palatino Linotype" w:hAnsi="Palatino Linotype" w:cs="Arial"/>
          <w:lang w:eastAsia="es-MX"/>
        </w:rPr>
        <w:t>dichas</w:t>
      </w:r>
      <w:r w:rsidRPr="00C27992">
        <w:rPr>
          <w:rFonts w:ascii="Palatino Linotype" w:eastAsia="Times New Roman" w:hAnsi="Palatino Linotype" w:cs="Arial"/>
        </w:rPr>
        <w:t xml:space="preserve"> condiciones, la </w:t>
      </w:r>
      <w:r w:rsidRPr="00C27992">
        <w:rPr>
          <w:rFonts w:ascii="Palatino Linotype" w:eastAsia="Times New Roman" w:hAnsi="Palatino Linotype" w:cs="Arial"/>
          <w:i/>
        </w:rPr>
        <w:t>Litis</w:t>
      </w:r>
      <w:r w:rsidRPr="00C27992">
        <w:rPr>
          <w:rFonts w:ascii="Palatino Linotype" w:eastAsia="Times New Roman" w:hAnsi="Palatino Linotype" w:cs="Arial"/>
        </w:rPr>
        <w:t xml:space="preserve"> a resolver en este recurso se circunscribe a determinar si </w:t>
      </w:r>
      <w:r w:rsidR="007142AB" w:rsidRPr="00C27992">
        <w:rPr>
          <w:rFonts w:ascii="Palatino Linotype" w:eastAsia="MS Mincho" w:hAnsi="Palatino Linotype" w:cs="Arial"/>
        </w:rPr>
        <w:t>se actualiza</w:t>
      </w:r>
      <w:r w:rsidRPr="00C27992">
        <w:rPr>
          <w:rFonts w:ascii="Palatino Linotype" w:eastAsia="MS Mincho" w:hAnsi="Palatino Linotype" w:cs="Arial"/>
        </w:rPr>
        <w:t xml:space="preserve"> la causal de procedencia prevista en el artículo 179, </w:t>
      </w:r>
      <w:r w:rsidRPr="00C27992">
        <w:rPr>
          <w:rFonts w:ascii="Palatino Linotype" w:eastAsia="MS Mincho" w:hAnsi="Palatino Linotype" w:cs="Arial"/>
          <w:b/>
        </w:rPr>
        <w:t xml:space="preserve">fracción </w:t>
      </w:r>
      <w:r w:rsidR="007142AB" w:rsidRPr="00C27992">
        <w:rPr>
          <w:rFonts w:ascii="Palatino Linotype" w:eastAsia="MS Mincho" w:hAnsi="Palatino Linotype" w:cs="Arial"/>
          <w:b/>
        </w:rPr>
        <w:t>V</w:t>
      </w:r>
      <w:r w:rsidRPr="00C27992">
        <w:rPr>
          <w:rFonts w:ascii="Palatino Linotype" w:eastAsia="MS Mincho" w:hAnsi="Palatino Linotype" w:cs="Arial"/>
        </w:rPr>
        <w:t xml:space="preserve"> de la </w:t>
      </w:r>
      <w:r w:rsidRPr="00C27992">
        <w:rPr>
          <w:rFonts w:ascii="Palatino Linotype" w:eastAsia="MS Mincho" w:hAnsi="Palatino Linotype" w:cs="Arial"/>
          <w:b/>
        </w:rPr>
        <w:t>Ley de Transparencia y Acceso a la Información Pública del Estado de México y Municipios</w:t>
      </w:r>
      <w:r w:rsidRPr="00C27992">
        <w:rPr>
          <w:rFonts w:ascii="Palatino Linotype" w:eastAsia="MS Mincho" w:hAnsi="Palatino Linotype" w:cs="Arial"/>
        </w:rPr>
        <w:t xml:space="preserve">; </w:t>
      </w:r>
      <w:r w:rsidRPr="00C27992">
        <w:rPr>
          <w:rFonts w:ascii="Palatino Linotype" w:eastAsia="Times New Roman" w:hAnsi="Palatino Linotype" w:cs="Arial"/>
          <w:color w:val="000000" w:themeColor="text1"/>
          <w:lang w:val="es-ES" w:eastAsia="es-MX"/>
        </w:rPr>
        <w:t xml:space="preserve">fracción que determina </w:t>
      </w:r>
      <w:r w:rsidR="005B6702" w:rsidRPr="00C27992">
        <w:rPr>
          <w:rFonts w:ascii="Palatino Linotype" w:eastAsia="Times New Roman" w:hAnsi="Palatino Linotype" w:cs="Arial"/>
          <w:color w:val="000000" w:themeColor="text1"/>
          <w:lang w:val="es-ES" w:eastAsia="es-MX"/>
        </w:rPr>
        <w:t>la hipótesis jurídica</w:t>
      </w:r>
      <w:r w:rsidRPr="00C27992">
        <w:rPr>
          <w:rFonts w:ascii="Palatino Linotype" w:eastAsia="Times New Roman" w:hAnsi="Palatino Linotype" w:cs="Arial"/>
          <w:color w:val="000000" w:themeColor="text1"/>
          <w:lang w:val="es-ES" w:eastAsia="es-MX"/>
        </w:rPr>
        <w:t xml:space="preserve"> relativa </w:t>
      </w:r>
      <w:r w:rsidR="005B6702" w:rsidRPr="00C27992">
        <w:rPr>
          <w:rFonts w:ascii="Palatino Linotype" w:eastAsia="Times New Roman" w:hAnsi="Palatino Linotype" w:cs="Arial"/>
          <w:color w:val="000000" w:themeColor="text1"/>
          <w:lang w:val="es-ES" w:eastAsia="es-MX"/>
        </w:rPr>
        <w:t xml:space="preserve">a </w:t>
      </w:r>
      <w:r w:rsidR="007142AB" w:rsidRPr="00C27992">
        <w:rPr>
          <w:rFonts w:ascii="Palatino Linotype" w:eastAsia="Times New Roman" w:hAnsi="Palatino Linotype" w:cs="Arial"/>
          <w:color w:val="000000" w:themeColor="text1"/>
          <w:lang w:val="es-ES" w:eastAsia="es-MX"/>
        </w:rPr>
        <w:t>l</w:t>
      </w:r>
      <w:r w:rsidR="002453DA" w:rsidRPr="00C27992">
        <w:rPr>
          <w:rFonts w:ascii="Palatino Linotype" w:eastAsia="Times New Roman" w:hAnsi="Palatino Linotype" w:cs="Arial"/>
          <w:color w:val="000000" w:themeColor="text1"/>
          <w:lang w:val="es-ES" w:eastAsia="es-MX"/>
        </w:rPr>
        <w:t xml:space="preserve">a entrega de información </w:t>
      </w:r>
      <w:r w:rsidR="00661E30" w:rsidRPr="00C27992">
        <w:rPr>
          <w:rFonts w:ascii="Palatino Linotype" w:eastAsia="Times New Roman" w:hAnsi="Palatino Linotype" w:cs="Arial"/>
          <w:color w:val="000000" w:themeColor="text1"/>
          <w:lang w:val="es-ES" w:eastAsia="es-MX"/>
        </w:rPr>
        <w:t>incompleta</w:t>
      </w:r>
      <w:r w:rsidRPr="00C27992">
        <w:rPr>
          <w:rFonts w:ascii="Palatino Linotype" w:eastAsia="Times New Roman" w:hAnsi="Palatino Linotype" w:cs="Arial"/>
          <w:color w:val="000000" w:themeColor="text1"/>
          <w:lang w:val="es-ES" w:eastAsia="es-MX"/>
        </w:rPr>
        <w:t xml:space="preserve">; </w:t>
      </w:r>
      <w:r w:rsidRPr="00C27992">
        <w:rPr>
          <w:rFonts w:ascii="Palatino Linotype" w:eastAsia="MS Mincho" w:hAnsi="Palatino Linotype" w:cs="Arial"/>
        </w:rPr>
        <w:t>contexto del cual</w:t>
      </w:r>
      <w:r w:rsidR="00423A1D" w:rsidRPr="00C27992">
        <w:rPr>
          <w:rFonts w:ascii="Palatino Linotype" w:eastAsia="MS Mincho" w:hAnsi="Palatino Linotype" w:cs="Arial"/>
        </w:rPr>
        <w:t>, se</w:t>
      </w:r>
      <w:r w:rsidRPr="00C27992">
        <w:rPr>
          <w:rFonts w:ascii="Palatino Linotype" w:eastAsia="MS Mincho" w:hAnsi="Palatino Linotype" w:cs="Arial"/>
        </w:rPr>
        <w:t xml:space="preserve"> dolió </w:t>
      </w:r>
      <w:r w:rsidRPr="00C27992">
        <w:rPr>
          <w:rFonts w:ascii="Palatino Linotype" w:eastAsia="MS Mincho" w:hAnsi="Palatino Linotype" w:cs="Arial"/>
          <w:b/>
        </w:rPr>
        <w:t xml:space="preserve">EL RECURRENTE </w:t>
      </w:r>
      <w:r w:rsidRPr="00C27992">
        <w:rPr>
          <w:rFonts w:ascii="Palatino Linotype" w:eastAsia="MS Mincho" w:hAnsi="Palatino Linotype" w:cs="Arial"/>
        </w:rPr>
        <w:t>al momento de interponer su inconformidad.</w:t>
      </w:r>
      <w:r w:rsidRPr="00C27992">
        <w:rPr>
          <w:rFonts w:ascii="Palatino Linotype" w:eastAsia="Times New Roman" w:hAnsi="Palatino Linotype" w:cs="Arial"/>
          <w:color w:val="000000" w:themeColor="text1"/>
          <w:lang w:val="es-ES" w:eastAsia="es-MX"/>
        </w:rPr>
        <w:t xml:space="preserve"> De modo tal </w:t>
      </w:r>
      <w:r w:rsidRPr="00C27992">
        <w:rPr>
          <w:rFonts w:ascii="Palatino Linotype" w:hAnsi="Palatino Linotype" w:cs="Arial"/>
          <w:color w:val="000000" w:themeColor="text1"/>
          <w:szCs w:val="23"/>
        </w:rPr>
        <w:t xml:space="preserve">que el presente recurso de revisión se abocara en determinar si el </w:t>
      </w:r>
      <w:r w:rsidRPr="00C27992">
        <w:rPr>
          <w:rFonts w:ascii="Palatino Linotype" w:hAnsi="Palatino Linotype" w:cs="Arial"/>
          <w:b/>
          <w:color w:val="000000" w:themeColor="text1"/>
          <w:szCs w:val="23"/>
        </w:rPr>
        <w:t>SUJETO</w:t>
      </w:r>
      <w:r w:rsidRPr="00C27992">
        <w:rPr>
          <w:rFonts w:ascii="Palatino Linotype" w:hAnsi="Palatino Linotype" w:cs="Arial"/>
          <w:color w:val="000000" w:themeColor="text1"/>
          <w:szCs w:val="23"/>
        </w:rPr>
        <w:t xml:space="preserve"> </w:t>
      </w:r>
      <w:r w:rsidRPr="00C27992">
        <w:rPr>
          <w:rFonts w:ascii="Palatino Linotype" w:hAnsi="Palatino Linotype" w:cs="Arial"/>
          <w:b/>
          <w:color w:val="000000" w:themeColor="text1"/>
          <w:szCs w:val="23"/>
        </w:rPr>
        <w:t>OBLIGADO</w:t>
      </w:r>
      <w:r w:rsidRPr="00C27992">
        <w:rPr>
          <w:rFonts w:ascii="Palatino Linotype" w:hAnsi="Palatino Linotype" w:cs="Arial"/>
          <w:color w:val="000000" w:themeColor="text1"/>
          <w:szCs w:val="23"/>
        </w:rPr>
        <w:t xml:space="preserve"> con su respuesta ciertamente </w:t>
      </w:r>
      <w:r w:rsidRPr="00C27992">
        <w:rPr>
          <w:rFonts w:ascii="Palatino Linotype" w:eastAsia="Times New Roman" w:hAnsi="Palatino Linotype"/>
          <w:color w:val="000000" w:themeColor="text1"/>
        </w:rPr>
        <w:t>actualiza la causal de procedencia</w:t>
      </w:r>
      <w:r w:rsidRPr="00C27992">
        <w:rPr>
          <w:rFonts w:ascii="Palatino Linotype" w:eastAsia="Times New Roman" w:hAnsi="Palatino Linotype"/>
          <w:b/>
          <w:color w:val="000000" w:themeColor="text1"/>
        </w:rPr>
        <w:t xml:space="preserve"> </w:t>
      </w:r>
      <w:r w:rsidRPr="00C27992">
        <w:rPr>
          <w:rFonts w:ascii="Palatino Linotype" w:eastAsia="Times New Roman" w:hAnsi="Palatino Linotype" w:cs="Arial"/>
          <w:color w:val="000000" w:themeColor="text1"/>
          <w:lang w:eastAsia="es-MX"/>
        </w:rPr>
        <w:t>antes señalada. Así como comprobar si la respuesta emitida resulta congruente e integral en términos del artículo 11 de la ley de la materia.</w:t>
      </w:r>
    </w:p>
    <w:p w:rsidR="000A7BB4" w:rsidRPr="00C27992" w:rsidRDefault="000A7BB4" w:rsidP="000A7BB4">
      <w:pPr>
        <w:spacing w:line="360" w:lineRule="auto"/>
        <w:contextualSpacing/>
        <w:jc w:val="both"/>
        <w:rPr>
          <w:rFonts w:ascii="Palatino Linotype" w:eastAsia="MS Mincho" w:hAnsi="Palatino Linotype" w:cs="Arial"/>
        </w:rPr>
      </w:pPr>
    </w:p>
    <w:p w:rsidR="009F09BC" w:rsidRPr="00C27992" w:rsidRDefault="009F09BC" w:rsidP="009F09BC">
      <w:pPr>
        <w:pStyle w:val="Prrafodelista"/>
        <w:rPr>
          <w:rFonts w:ascii="Palatino Linotype" w:eastAsia="MS Mincho" w:hAnsi="Palatino Linotype" w:cs="Arial"/>
        </w:rPr>
      </w:pPr>
    </w:p>
    <w:p w:rsidR="009F09BC" w:rsidRPr="00C27992" w:rsidRDefault="000A7BB4" w:rsidP="009F09BC">
      <w:pPr>
        <w:pStyle w:val="Ttulo2"/>
        <w:rPr>
          <w:rFonts w:ascii="Palatino Linotype" w:hAnsi="Palatino Linotype"/>
          <w:b/>
          <w:color w:val="000000" w:themeColor="text1"/>
          <w:sz w:val="24"/>
          <w:szCs w:val="24"/>
        </w:rPr>
      </w:pPr>
      <w:bookmarkStart w:id="146" w:name="_Toc495427545"/>
      <w:bookmarkStart w:id="147" w:name="_Toc23414596"/>
      <w:bookmarkStart w:id="148" w:name="_Toc34819433"/>
      <w:bookmarkStart w:id="149" w:name="_Toc51259589"/>
      <w:bookmarkStart w:id="150" w:name="_Toc83128582"/>
      <w:r w:rsidRPr="00C27992">
        <w:rPr>
          <w:rFonts w:ascii="Palatino Linotype" w:hAnsi="Palatino Linotype"/>
          <w:b/>
          <w:color w:val="000000" w:themeColor="text1"/>
          <w:sz w:val="24"/>
          <w:szCs w:val="24"/>
        </w:rPr>
        <w:lastRenderedPageBreak/>
        <w:t>CUARTO</w:t>
      </w:r>
      <w:r w:rsidR="009F09BC" w:rsidRPr="00C27992">
        <w:rPr>
          <w:rFonts w:ascii="Palatino Linotype" w:hAnsi="Palatino Linotype"/>
          <w:b/>
          <w:color w:val="000000" w:themeColor="text1"/>
          <w:sz w:val="24"/>
          <w:szCs w:val="24"/>
        </w:rPr>
        <w:t>. Del estudio y resolución del asunto.</w:t>
      </w:r>
      <w:bookmarkEnd w:id="146"/>
      <w:bookmarkEnd w:id="147"/>
      <w:bookmarkEnd w:id="148"/>
      <w:bookmarkEnd w:id="149"/>
      <w:bookmarkEnd w:id="150"/>
    </w:p>
    <w:p w:rsidR="009F09BC" w:rsidRPr="00C27992" w:rsidRDefault="009F09BC" w:rsidP="009F09BC">
      <w:pPr>
        <w:spacing w:line="360" w:lineRule="auto"/>
        <w:rPr>
          <w:rFonts w:ascii="Palatino Linotype" w:hAnsi="Palatino Linotype"/>
          <w:lang w:val="es-MX" w:eastAsia="en-US"/>
        </w:rPr>
      </w:pPr>
    </w:p>
    <w:p w:rsidR="005B6702" w:rsidRPr="00C27992" w:rsidRDefault="005B6702" w:rsidP="00D66E65">
      <w:pPr>
        <w:numPr>
          <w:ilvl w:val="0"/>
          <w:numId w:val="1"/>
        </w:numPr>
        <w:spacing w:line="360" w:lineRule="auto"/>
        <w:ind w:left="0" w:firstLine="0"/>
        <w:contextualSpacing/>
        <w:jc w:val="both"/>
        <w:rPr>
          <w:rFonts w:ascii="Palatino Linotype" w:hAnsi="Palatino Linotype"/>
          <w:color w:val="000000" w:themeColor="text1"/>
        </w:rPr>
      </w:pPr>
      <w:r w:rsidRPr="00C27992">
        <w:rPr>
          <w:rFonts w:ascii="Palatino Linotype" w:hAnsi="Palatino Linotype"/>
          <w:color w:val="000000" w:themeColor="text1"/>
        </w:rPr>
        <w:t xml:space="preserve">Acotada la </w:t>
      </w:r>
      <w:r w:rsidRPr="00C27992">
        <w:rPr>
          <w:rFonts w:ascii="Palatino Linotype" w:hAnsi="Palatino Linotype"/>
          <w:i/>
          <w:color w:val="000000" w:themeColor="text1"/>
        </w:rPr>
        <w:t>Litis</w:t>
      </w:r>
      <w:r w:rsidRPr="00C27992">
        <w:rPr>
          <w:rFonts w:ascii="Palatino Linotype" w:hAnsi="Palatino Linotype"/>
          <w:color w:val="000000" w:themeColor="text1"/>
        </w:rPr>
        <w:t xml:space="preserve"> del presente asunto, primeramente es menester precisar</w:t>
      </w:r>
      <w:r w:rsidRPr="00C27992">
        <w:rPr>
          <w:rFonts w:ascii="Palatino Linotype" w:hAnsi="Palatino Linotype"/>
          <w:bCs/>
          <w:color w:val="000000" w:themeColor="text1"/>
          <w:lang w:val="es-MX"/>
        </w:rPr>
        <w:t xml:space="preserve"> que </w:t>
      </w:r>
      <w:r w:rsidRPr="00C27992">
        <w:rPr>
          <w:rFonts w:ascii="Palatino Linotype" w:hAnsi="Palatino Linotype"/>
          <w:bCs/>
          <w:color w:val="000000" w:themeColor="text1"/>
        </w:rPr>
        <w:t xml:space="preserve">este Órgano Garante parte del hecho que el Derecho de </w:t>
      </w:r>
      <w:r w:rsidRPr="00C27992">
        <w:rPr>
          <w:rFonts w:ascii="Palatino Linotype" w:eastAsia="MS Mincho" w:hAnsi="Palatino Linotype" w:cs="Arial"/>
        </w:rPr>
        <w:t>Acceso</w:t>
      </w:r>
      <w:r w:rsidRPr="00C27992">
        <w:rPr>
          <w:rFonts w:ascii="Palatino Linotype" w:hAnsi="Palatino Linotype"/>
          <w:bCs/>
          <w:color w:val="000000" w:themeColor="text1"/>
        </w:rPr>
        <w:t xml:space="preserve"> a la Información Pública, es un derecho humano reconocido en el Pacto de Derechos Civiles y Políticos en su artículo 19.2; en la </w:t>
      </w:r>
      <w:r w:rsidRPr="00C27992">
        <w:rPr>
          <w:rFonts w:ascii="Palatino Linotype" w:hAnsi="Palatino Linotype"/>
          <w:lang w:val="es-MX" w:eastAsia="en-US"/>
        </w:rPr>
        <w:t>Convención</w:t>
      </w:r>
      <w:r w:rsidRPr="00C27992">
        <w:rPr>
          <w:rFonts w:ascii="Palatino Linotype" w:hAnsi="Palatino Linotype"/>
          <w:bCs/>
          <w:color w:val="000000" w:themeColor="text1"/>
        </w:rPr>
        <w:t xml:space="preserve"> Americana sobre Derechos Humanos en su artículo 13.1; en el artículo sexto de la Constitución Política de los Estados Unidos Mexicanos y en el artículo quinto de la Particular del Estado de México, por lo que al respecto el </w:t>
      </w:r>
      <w:r w:rsidRPr="00C27992">
        <w:rPr>
          <w:rFonts w:ascii="Palatino Linotype" w:hAnsi="Palatino Linotype"/>
          <w:b/>
          <w:bCs/>
          <w:color w:val="000000" w:themeColor="text1"/>
        </w:rPr>
        <w:t>SUJETO OBLIGADO</w:t>
      </w:r>
      <w:r w:rsidRPr="00C27992">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27992">
        <w:rPr>
          <w:rFonts w:ascii="Palatino Linotype" w:hAnsi="Palatino Linotype"/>
          <w:b/>
          <w:bCs/>
          <w:color w:val="000000" w:themeColor="text1"/>
        </w:rPr>
        <w:t xml:space="preserve">Constitución Política de los Estados Unidos Mexicanos </w:t>
      </w:r>
      <w:r w:rsidRPr="00C27992">
        <w:rPr>
          <w:rFonts w:ascii="Palatino Linotype" w:hAnsi="Palatino Linotype"/>
          <w:bCs/>
          <w:color w:val="000000" w:themeColor="text1"/>
        </w:rPr>
        <w:t xml:space="preserve">al señalar la obligación de “promover, respetar, proteger y </w:t>
      </w:r>
      <w:r w:rsidRPr="00C27992">
        <w:rPr>
          <w:rFonts w:ascii="Palatino Linotype" w:hAnsi="Palatino Linotype"/>
          <w:b/>
          <w:bCs/>
          <w:color w:val="000000" w:themeColor="text1"/>
        </w:rPr>
        <w:t>garantizar</w:t>
      </w:r>
      <w:r w:rsidRPr="00C27992">
        <w:rPr>
          <w:rFonts w:ascii="Palatino Linotype" w:hAnsi="Palatino Linotype"/>
          <w:bCs/>
          <w:color w:val="000000" w:themeColor="text1"/>
        </w:rPr>
        <w:t xml:space="preserve"> los derechos humanos”, entre los cuales se encuentra dicho derecho.</w:t>
      </w:r>
    </w:p>
    <w:p w:rsidR="005B6702" w:rsidRPr="00C27992" w:rsidRDefault="005B6702" w:rsidP="005B6702">
      <w:pPr>
        <w:pStyle w:val="Prrafodelista"/>
        <w:spacing w:line="360" w:lineRule="auto"/>
        <w:ind w:left="0"/>
        <w:jc w:val="both"/>
        <w:rPr>
          <w:rFonts w:ascii="Palatino Linotype" w:hAnsi="Palatino Linotype"/>
          <w:color w:val="000000" w:themeColor="text1"/>
        </w:rPr>
      </w:pPr>
    </w:p>
    <w:p w:rsidR="005B6702" w:rsidRPr="00C27992" w:rsidRDefault="005B6702" w:rsidP="00D66E65">
      <w:pPr>
        <w:numPr>
          <w:ilvl w:val="0"/>
          <w:numId w:val="1"/>
        </w:numPr>
        <w:spacing w:line="360" w:lineRule="auto"/>
        <w:ind w:left="0" w:firstLine="0"/>
        <w:contextualSpacing/>
        <w:jc w:val="both"/>
        <w:rPr>
          <w:rFonts w:ascii="Palatino Linotype" w:hAnsi="Palatino Linotype"/>
          <w:color w:val="000000" w:themeColor="text1"/>
        </w:rPr>
      </w:pPr>
      <w:r w:rsidRPr="00C27992">
        <w:rPr>
          <w:rFonts w:ascii="Palatino Linotype" w:hAnsi="Palatino Linotype"/>
          <w:color w:val="000000" w:themeColor="text1"/>
        </w:rPr>
        <w:t xml:space="preserve">Por </w:t>
      </w:r>
      <w:r w:rsidRPr="00C27992">
        <w:rPr>
          <w:rFonts w:ascii="Palatino Linotype" w:hAnsi="Palatino Linotype"/>
          <w:color w:val="000000" w:themeColor="text1"/>
          <w:lang w:val="es-MX"/>
        </w:rPr>
        <w:t xml:space="preserve">lo anterior, se deduce que el derecho de acceso a la información pública es un </w:t>
      </w:r>
      <w:r w:rsidRPr="00C27992">
        <w:rPr>
          <w:rFonts w:ascii="Palatino Linotype" w:hAnsi="Palatino Linotype"/>
          <w:color w:val="000000" w:themeColor="text1"/>
        </w:rPr>
        <w:t>derecho</w:t>
      </w:r>
      <w:r w:rsidRPr="00C27992">
        <w:rPr>
          <w:rFonts w:ascii="Palatino Linotype" w:hAnsi="Palatino Linotype"/>
          <w:color w:val="000000" w:themeColor="text1"/>
          <w:lang w:val="es-MX"/>
        </w:rPr>
        <w:t xml:space="preserve"> humano convencional y constitucionalmente reconocido; en </w:t>
      </w:r>
      <w:r w:rsidRPr="00C27992">
        <w:rPr>
          <w:rFonts w:ascii="Palatino Linotype" w:hAnsi="Palatino Linotype"/>
          <w:color w:val="000000" w:themeColor="text1"/>
        </w:rPr>
        <w:t>consecuencia</w:t>
      </w:r>
      <w:r w:rsidRPr="00C27992">
        <w:rPr>
          <w:rFonts w:ascii="Palatino Linotype" w:hAnsi="Palatino Linotype"/>
          <w:color w:val="000000" w:themeColor="text1"/>
          <w:lang w:val="es-MX"/>
        </w:rPr>
        <w:t>, todas las autoridades en el ámbito de sus competencias, funciones y atribuciones tienen la obligación de respetarlo, protegerlo y garantizarlo.</w:t>
      </w:r>
    </w:p>
    <w:p w:rsidR="0037157C" w:rsidRPr="00C27992" w:rsidRDefault="0037157C" w:rsidP="0037157C">
      <w:pPr>
        <w:pStyle w:val="Prrafodelista"/>
        <w:rPr>
          <w:rFonts w:ascii="Palatino Linotype" w:hAnsi="Palatino Linotype"/>
          <w:color w:val="000000" w:themeColor="text1"/>
        </w:rPr>
      </w:pPr>
    </w:p>
    <w:p w:rsidR="005B6702" w:rsidRPr="00C27992" w:rsidRDefault="005B6702" w:rsidP="00D66E65">
      <w:pPr>
        <w:numPr>
          <w:ilvl w:val="0"/>
          <w:numId w:val="1"/>
        </w:numPr>
        <w:spacing w:line="360" w:lineRule="auto"/>
        <w:ind w:left="0" w:firstLine="0"/>
        <w:contextualSpacing/>
        <w:jc w:val="both"/>
        <w:rPr>
          <w:rFonts w:ascii="Palatino Linotype" w:hAnsi="Palatino Linotype"/>
          <w:color w:val="000000" w:themeColor="text1"/>
        </w:rPr>
      </w:pPr>
      <w:r w:rsidRPr="00C27992">
        <w:rPr>
          <w:rFonts w:ascii="Palatino Linotype" w:hAnsi="Palatino Linotype"/>
          <w:color w:val="000000" w:themeColor="text1"/>
        </w:rPr>
        <w:t xml:space="preserve">Así las cosas, </w:t>
      </w:r>
      <w:r w:rsidRPr="00C27992">
        <w:rPr>
          <w:rFonts w:ascii="Palatino Linotype" w:hAnsi="Palatino Linotype"/>
          <w:color w:val="000000" w:themeColor="text1"/>
          <w:lang w:val="es-MX"/>
        </w:rPr>
        <w:t xml:space="preserve">podemos definir el Derecho de Acceso a la Información Pública como: </w:t>
      </w:r>
      <w:r w:rsidRPr="00C27992">
        <w:rPr>
          <w:rFonts w:ascii="Palatino Linotype" w:hAnsi="Palatino Linotype"/>
          <w:i/>
          <w:color w:val="000000" w:themeColor="text1"/>
          <w:lang w:val="es-MX"/>
        </w:rPr>
        <w:t>La igualdad de oportunidades para recibir, buscar e impartir información</w:t>
      </w:r>
      <w:r w:rsidRPr="00C27992">
        <w:rPr>
          <w:rFonts w:ascii="Palatino Linotype" w:hAnsi="Palatino Linotype"/>
          <w:i/>
          <w:color w:val="000000" w:themeColor="text1"/>
          <w:vertAlign w:val="superscript"/>
          <w:lang w:val="es-MX"/>
        </w:rPr>
        <w:footnoteReference w:id="1"/>
      </w:r>
      <w:r w:rsidRPr="00C27992">
        <w:rPr>
          <w:rFonts w:ascii="Palatino Linotype" w:hAnsi="Palatino Linotype"/>
          <w:i/>
          <w:color w:val="000000" w:themeColor="text1"/>
          <w:lang w:val="es-MX"/>
        </w:rPr>
        <w:t xml:space="preserve">en posesión de </w:t>
      </w:r>
      <w:r w:rsidRPr="00C27992">
        <w:rPr>
          <w:rFonts w:ascii="Palatino Linotype" w:hAnsi="Palatino Linotype"/>
          <w:color w:val="000000" w:themeColor="text1"/>
        </w:rPr>
        <w:t>cualquier</w:t>
      </w:r>
      <w:r w:rsidRPr="00C27992">
        <w:rPr>
          <w:rFonts w:ascii="Palatino Linotype" w:hAnsi="Palatino Linotype"/>
          <w:i/>
          <w:color w:val="000000" w:themeColor="text1"/>
          <w:lang w:val="es-MX"/>
        </w:rPr>
        <w:t xml:space="preserve"> autoridad, entidad, órgano y organismo de los poderes Ejecutivo, Legislativo y </w:t>
      </w:r>
      <w:r w:rsidRPr="00C27992">
        <w:rPr>
          <w:rFonts w:ascii="Palatino Linotype" w:hAnsi="Palatino Linotype"/>
          <w:i/>
          <w:color w:val="000000" w:themeColor="text1"/>
          <w:lang w:val="es-MX"/>
        </w:rPr>
        <w:lastRenderedPageBreak/>
        <w:t>Judicial, órganos autónomos, partidos políticos, fideicomisos y fondos públicos, así como de cualquier persona física, moral o sindicato que reciba y ejerza recursos públicos o realice actos de autoridad en el ámbito federal, estatal y municipal,</w:t>
      </w:r>
      <w:r w:rsidRPr="00C27992">
        <w:rPr>
          <w:rFonts w:ascii="Palatino Linotype" w:hAnsi="Palatino Linotype"/>
          <w:i/>
          <w:color w:val="000000" w:themeColor="text1"/>
          <w:vertAlign w:val="superscript"/>
          <w:lang w:val="es-MX"/>
        </w:rPr>
        <w:footnoteReference w:id="2"/>
      </w:r>
      <w:r w:rsidRPr="00C27992">
        <w:rPr>
          <w:rFonts w:ascii="Palatino Linotype" w:hAnsi="Palatino Linotype"/>
          <w:color w:val="000000" w:themeColor="text1"/>
          <w:lang w:val="es-MX"/>
        </w:rPr>
        <w:t>que se constituye como una herramienta fundamental para ejercer</w:t>
      </w:r>
      <w:r w:rsidRPr="00C27992">
        <w:rPr>
          <w:rFonts w:ascii="Palatino Linotype"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Pr="00C27992">
        <w:rPr>
          <w:rFonts w:ascii="Palatino Linotype" w:hAnsi="Palatino Linotype"/>
          <w:i/>
          <w:color w:val="000000" w:themeColor="text1"/>
          <w:vertAlign w:val="superscript"/>
          <w:lang w:val="es-MX"/>
        </w:rPr>
        <w:footnoteReference w:id="3"/>
      </w:r>
      <w:r w:rsidRPr="00C27992">
        <w:rPr>
          <w:rFonts w:ascii="Palatino Linotype" w:hAnsi="Palatino Linotype"/>
          <w:i/>
          <w:color w:val="000000" w:themeColor="text1"/>
          <w:lang w:val="es-MX"/>
        </w:rPr>
        <w:t xml:space="preserve"> </w:t>
      </w:r>
      <w:r w:rsidRPr="00C27992">
        <w:rPr>
          <w:rFonts w:ascii="Palatino Linotype" w:hAnsi="Palatino Linotype"/>
          <w:color w:val="000000" w:themeColor="text1"/>
          <w:lang w:val="es-MX"/>
        </w:rPr>
        <w:t>fomentando</w:t>
      </w:r>
      <w:r w:rsidRPr="00C27992">
        <w:rPr>
          <w:rFonts w:ascii="Palatino Linotype" w:hAnsi="Palatino Linotype"/>
          <w:i/>
          <w:color w:val="000000" w:themeColor="text1"/>
          <w:lang w:val="es-MX"/>
        </w:rPr>
        <w:t xml:space="preserve"> la transparencia de las actividades estatales y </w:t>
      </w:r>
      <w:r w:rsidRPr="00C27992">
        <w:rPr>
          <w:rFonts w:ascii="Palatino Linotype" w:hAnsi="Palatino Linotype"/>
          <w:color w:val="000000" w:themeColor="text1"/>
          <w:lang w:val="es-MX"/>
        </w:rPr>
        <w:t>promoviendo</w:t>
      </w:r>
      <w:r w:rsidRPr="00C27992">
        <w:rPr>
          <w:rFonts w:ascii="Palatino Linotype" w:hAnsi="Palatino Linotype"/>
          <w:i/>
          <w:color w:val="000000" w:themeColor="text1"/>
          <w:lang w:val="es-MX"/>
        </w:rPr>
        <w:t xml:space="preserve"> la responsabilidad de los funcionarios sobre su gestión pública,</w:t>
      </w:r>
      <w:r w:rsidRPr="00C27992">
        <w:rPr>
          <w:rFonts w:ascii="Palatino Linotype" w:hAnsi="Palatino Linotype"/>
          <w:i/>
          <w:color w:val="000000" w:themeColor="text1"/>
          <w:vertAlign w:val="superscript"/>
          <w:lang w:val="es-MX"/>
        </w:rPr>
        <w:footnoteReference w:id="4"/>
      </w:r>
      <w:r w:rsidRPr="00C27992">
        <w:rPr>
          <w:rFonts w:ascii="Palatino Linotype" w:hAnsi="Palatino Linotype"/>
          <w:color w:val="000000" w:themeColor="text1"/>
          <w:lang w:val="es-MX"/>
        </w:rPr>
        <w:t>que permite</w:t>
      </w:r>
      <w:r w:rsidRPr="00C27992">
        <w:rPr>
          <w:rFonts w:ascii="Palatino Linotype" w:hAnsi="Palatino Linotype"/>
          <w:i/>
          <w:color w:val="000000" w:themeColor="text1"/>
          <w:lang w:val="es-MX"/>
        </w:rPr>
        <w:t xml:space="preserve"> saber qué están haciendo los gobiernos por sus pueblos, sin lo cual la verdad languidecería y la participación en el gobierno permanecería fragmentada.</w:t>
      </w:r>
    </w:p>
    <w:p w:rsidR="005B6702" w:rsidRPr="00C27992" w:rsidRDefault="005B6702" w:rsidP="005B6702">
      <w:pPr>
        <w:pStyle w:val="Prrafodelista"/>
        <w:rPr>
          <w:rFonts w:ascii="Palatino Linotype" w:hAnsi="Palatino Linotype"/>
          <w:color w:val="000000" w:themeColor="text1"/>
        </w:rPr>
      </w:pPr>
    </w:p>
    <w:p w:rsidR="005B6702" w:rsidRPr="00C27992" w:rsidRDefault="005B6702" w:rsidP="00D66E65">
      <w:pPr>
        <w:numPr>
          <w:ilvl w:val="0"/>
          <w:numId w:val="1"/>
        </w:numPr>
        <w:spacing w:line="360" w:lineRule="auto"/>
        <w:ind w:left="0" w:firstLine="0"/>
        <w:contextualSpacing/>
        <w:jc w:val="both"/>
        <w:rPr>
          <w:rFonts w:ascii="Palatino Linotype" w:hAnsi="Palatino Linotype"/>
          <w:color w:val="000000" w:themeColor="text1"/>
        </w:rPr>
      </w:pPr>
      <w:r w:rsidRPr="00C27992">
        <w:rPr>
          <w:rFonts w:ascii="Palatino Linotype" w:hAnsi="Palatino Linotype"/>
          <w:color w:val="000000" w:themeColor="text1"/>
        </w:rPr>
        <w:t xml:space="preserve">Por otro lado, </w:t>
      </w:r>
      <w:r w:rsidRPr="00C27992">
        <w:rPr>
          <w:rFonts w:ascii="Palatino Linotype" w:hAnsi="Palatino Linotype"/>
          <w:color w:val="000000" w:themeColor="text1"/>
          <w:lang w:val="es-MX"/>
        </w:rPr>
        <w:t>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rsidR="005B6702" w:rsidRPr="00C27992" w:rsidRDefault="005B6702" w:rsidP="005B6702">
      <w:pPr>
        <w:pStyle w:val="Prrafodelista"/>
        <w:rPr>
          <w:rFonts w:ascii="Palatino Linotype" w:hAnsi="Palatino Linotype"/>
          <w:color w:val="000000" w:themeColor="text1"/>
        </w:rPr>
      </w:pPr>
    </w:p>
    <w:p w:rsidR="00661E30" w:rsidRPr="00C27992" w:rsidRDefault="00423A1D" w:rsidP="00D66E65">
      <w:pPr>
        <w:numPr>
          <w:ilvl w:val="0"/>
          <w:numId w:val="1"/>
        </w:numPr>
        <w:spacing w:line="360" w:lineRule="auto"/>
        <w:ind w:left="0" w:firstLine="0"/>
        <w:contextualSpacing/>
        <w:jc w:val="both"/>
        <w:rPr>
          <w:rFonts w:ascii="Palatino Linotype" w:hAnsi="Palatino Linotype"/>
          <w:color w:val="000000" w:themeColor="text1"/>
        </w:rPr>
      </w:pPr>
      <w:r w:rsidRPr="00C27992">
        <w:rPr>
          <w:rFonts w:ascii="Palatino Linotype" w:hAnsi="Palatino Linotype"/>
          <w:color w:val="000000" w:themeColor="text1"/>
        </w:rPr>
        <w:lastRenderedPageBreak/>
        <w:t xml:space="preserve">Acotado lo anterior, es dable primeramente mencionar que </w:t>
      </w:r>
      <w:r w:rsidR="00661E30" w:rsidRPr="00C27992">
        <w:rPr>
          <w:rFonts w:ascii="Palatino Linotype" w:hAnsi="Palatino Linotype"/>
          <w:color w:val="000000" w:themeColor="text1"/>
        </w:rPr>
        <w:t>el particular se inconforma específicamente respecto a</w:t>
      </w:r>
      <w:r w:rsidR="00453A1F" w:rsidRPr="00C27992">
        <w:rPr>
          <w:rFonts w:ascii="Palatino Linotype" w:hAnsi="Palatino Linotype"/>
          <w:color w:val="000000" w:themeColor="text1"/>
        </w:rPr>
        <w:t xml:space="preserve"> </w:t>
      </w:r>
      <w:r w:rsidR="00661E30" w:rsidRPr="00C27992">
        <w:rPr>
          <w:rFonts w:ascii="Palatino Linotype" w:hAnsi="Palatino Linotype"/>
          <w:color w:val="000000" w:themeColor="text1"/>
        </w:rPr>
        <w:t>l</w:t>
      </w:r>
      <w:r w:rsidR="00453A1F" w:rsidRPr="00C27992">
        <w:rPr>
          <w:rFonts w:ascii="Palatino Linotype" w:hAnsi="Palatino Linotype"/>
          <w:color w:val="000000" w:themeColor="text1"/>
        </w:rPr>
        <w:t>os siguientes</w:t>
      </w:r>
      <w:r w:rsidR="00661E30" w:rsidRPr="00C27992">
        <w:rPr>
          <w:rFonts w:ascii="Palatino Linotype" w:hAnsi="Palatino Linotype"/>
          <w:color w:val="000000" w:themeColor="text1"/>
        </w:rPr>
        <w:t xml:space="preserve"> rubro</w:t>
      </w:r>
      <w:r w:rsidR="00453A1F" w:rsidRPr="00C27992">
        <w:rPr>
          <w:rFonts w:ascii="Palatino Linotype" w:hAnsi="Palatino Linotype"/>
          <w:color w:val="000000" w:themeColor="text1"/>
        </w:rPr>
        <w:t>s:</w:t>
      </w:r>
    </w:p>
    <w:p w:rsidR="00453A1F" w:rsidRPr="00C27992" w:rsidRDefault="00453A1F" w:rsidP="00453A1F">
      <w:pPr>
        <w:pStyle w:val="Prrafodelista"/>
        <w:rPr>
          <w:rFonts w:ascii="Palatino Linotype" w:hAnsi="Palatino Linotype"/>
          <w:color w:val="000000" w:themeColor="text1"/>
        </w:rPr>
      </w:pPr>
    </w:p>
    <w:p w:rsidR="00453A1F" w:rsidRPr="00C27992" w:rsidRDefault="00453A1F" w:rsidP="00453A1F">
      <w:pPr>
        <w:spacing w:line="360" w:lineRule="auto"/>
        <w:ind w:left="567"/>
        <w:contextualSpacing/>
        <w:jc w:val="both"/>
        <w:rPr>
          <w:rFonts w:ascii="Palatino Linotype" w:hAnsi="Palatino Linotype"/>
          <w:b/>
          <w:color w:val="000000" w:themeColor="text1"/>
        </w:rPr>
      </w:pPr>
      <w:r w:rsidRPr="00C27992">
        <w:rPr>
          <w:rFonts w:ascii="Palatino Linotype" w:hAnsi="Palatino Linotype"/>
          <w:b/>
          <w:color w:val="000000" w:themeColor="text1"/>
        </w:rPr>
        <w:t>A. La documental con la que notificó a las partes el laudo del expediente SAE725/2013</w:t>
      </w:r>
    </w:p>
    <w:p w:rsidR="00453A1F" w:rsidRPr="00C27992" w:rsidRDefault="00453A1F" w:rsidP="00453A1F">
      <w:pPr>
        <w:spacing w:line="360" w:lineRule="auto"/>
        <w:ind w:left="567"/>
        <w:contextualSpacing/>
        <w:jc w:val="both"/>
        <w:rPr>
          <w:rFonts w:ascii="Palatino Linotype" w:hAnsi="Palatino Linotype"/>
          <w:b/>
          <w:color w:val="000000" w:themeColor="text1"/>
        </w:rPr>
      </w:pPr>
    </w:p>
    <w:p w:rsidR="00453A1F" w:rsidRPr="00C27992" w:rsidRDefault="00453A1F" w:rsidP="00453A1F">
      <w:pPr>
        <w:spacing w:line="360" w:lineRule="auto"/>
        <w:ind w:left="567"/>
        <w:contextualSpacing/>
        <w:jc w:val="both"/>
        <w:rPr>
          <w:rFonts w:ascii="Palatino Linotype" w:hAnsi="Palatino Linotype"/>
          <w:b/>
          <w:color w:val="000000" w:themeColor="text1"/>
        </w:rPr>
      </w:pPr>
      <w:r w:rsidRPr="00C27992">
        <w:rPr>
          <w:rFonts w:ascii="Palatino Linotype" w:hAnsi="Palatino Linotype"/>
          <w:b/>
          <w:color w:val="000000" w:themeColor="text1"/>
        </w:rPr>
        <w:t>B. El convenio celebrado en modalidad de pago del laudo del expediente SAE725/2013</w:t>
      </w:r>
    </w:p>
    <w:p w:rsidR="00661E30" w:rsidRPr="00C27992" w:rsidRDefault="00661E30" w:rsidP="00661E30">
      <w:pPr>
        <w:pStyle w:val="Prrafodelista"/>
        <w:rPr>
          <w:rFonts w:ascii="Palatino Linotype" w:hAnsi="Palatino Linotype"/>
          <w:color w:val="000000" w:themeColor="text1"/>
        </w:rPr>
      </w:pPr>
    </w:p>
    <w:p w:rsidR="00525DE0" w:rsidRPr="00C27992" w:rsidRDefault="00453A1F" w:rsidP="00D66E65">
      <w:pPr>
        <w:numPr>
          <w:ilvl w:val="0"/>
          <w:numId w:val="1"/>
        </w:numPr>
        <w:spacing w:line="360" w:lineRule="auto"/>
        <w:ind w:left="0" w:firstLine="0"/>
        <w:contextualSpacing/>
        <w:jc w:val="both"/>
        <w:rPr>
          <w:rFonts w:ascii="Palatino Linotype" w:eastAsia="MS Mincho" w:hAnsi="Palatino Linotype" w:cs="Arial"/>
        </w:rPr>
      </w:pPr>
      <w:r w:rsidRPr="00C27992">
        <w:rPr>
          <w:rFonts w:ascii="Palatino Linotype" w:hAnsi="Palatino Linotype"/>
          <w:color w:val="000000" w:themeColor="text1"/>
        </w:rPr>
        <w:t>Por lo que, a</w:t>
      </w:r>
      <w:r w:rsidR="00525DE0" w:rsidRPr="00C27992">
        <w:rPr>
          <w:rFonts w:ascii="Palatino Linotype" w:eastAsia="MS Mincho" w:hAnsi="Palatino Linotype" w:cs="Arial"/>
        </w:rPr>
        <w:t>l no existir</w:t>
      </w:r>
      <w:r w:rsidR="00F749D8" w:rsidRPr="00C27992">
        <w:rPr>
          <w:rFonts w:ascii="Palatino Linotype" w:eastAsia="MS Mincho" w:hAnsi="Palatino Linotype" w:cs="Arial"/>
        </w:rPr>
        <w:t xml:space="preserve"> inconformidad </w:t>
      </w:r>
      <w:r w:rsidRPr="00C27992">
        <w:rPr>
          <w:rFonts w:ascii="Palatino Linotype" w:eastAsia="MS Mincho" w:hAnsi="Palatino Linotype" w:cs="Arial"/>
        </w:rPr>
        <w:t>del resto de solicitudes de información, así como de la</w:t>
      </w:r>
      <w:r w:rsidR="00525DE0" w:rsidRPr="00C27992">
        <w:rPr>
          <w:rFonts w:ascii="Palatino Linotype" w:eastAsia="MS Mincho" w:hAnsi="Palatino Linotype" w:cs="Arial"/>
        </w:rPr>
        <w:t xml:space="preserve"> información remitida en calidad de respuesta</w:t>
      </w:r>
      <w:r w:rsidR="00F749D8" w:rsidRPr="00C27992">
        <w:rPr>
          <w:rFonts w:ascii="Palatino Linotype" w:eastAsia="MS Mincho" w:hAnsi="Palatino Linotype" w:cs="Arial"/>
        </w:rPr>
        <w:t xml:space="preserve"> a esos rubros</w:t>
      </w:r>
      <w:r w:rsidR="00525DE0" w:rsidRPr="00C27992">
        <w:rPr>
          <w:rFonts w:ascii="Palatino Linotype" w:eastAsia="MS Mincho" w:hAnsi="Palatino Linotype" w:cs="Arial"/>
        </w:rPr>
        <w:t xml:space="preserve">, es que se tiene por </w:t>
      </w:r>
      <w:r w:rsidR="00525DE0" w:rsidRPr="00C27992">
        <w:rPr>
          <w:rFonts w:ascii="Palatino Linotype" w:hAnsi="Palatino Linotype"/>
          <w:color w:val="000000" w:themeColor="text1"/>
        </w:rPr>
        <w:t>consentida</w:t>
      </w:r>
      <w:r w:rsidRPr="00C27992">
        <w:rPr>
          <w:rFonts w:ascii="Palatino Linotype" w:hAnsi="Palatino Linotype"/>
          <w:color w:val="000000" w:themeColor="text1"/>
        </w:rPr>
        <w:t>s</w:t>
      </w:r>
      <w:r w:rsidR="00525DE0" w:rsidRPr="00C27992">
        <w:rPr>
          <w:rFonts w:ascii="Palatino Linotype" w:eastAsia="MS Mincho" w:hAnsi="Palatino Linotype" w:cs="Arial"/>
        </w:rPr>
        <w:t>, ya</w:t>
      </w:r>
      <w:r w:rsidR="00525DE0" w:rsidRPr="00C27992">
        <w:rPr>
          <w:rFonts w:ascii="Palatino Linotype" w:hAnsi="Palatino Linotype" w:cs="Arial"/>
          <w:b/>
        </w:rPr>
        <w:t xml:space="preserve"> </w:t>
      </w:r>
      <w:r w:rsidR="00525DE0" w:rsidRPr="00C27992">
        <w:rPr>
          <w:rFonts w:ascii="Palatino Linotype" w:hAnsi="Palatino Linotype" w:cs="Arial"/>
        </w:rPr>
        <w:t xml:space="preserve">que la falta de impugnación respecto de los requerimientos que no fueron manifestados en el recurso de revisión, debe entenderse como </w:t>
      </w:r>
      <w:r w:rsidR="00525DE0" w:rsidRPr="00C27992">
        <w:rPr>
          <w:rFonts w:ascii="Palatino Linotype" w:hAnsi="Palatino Linotype" w:cs="Arial"/>
          <w:b/>
        </w:rPr>
        <w:t>actos consentidos</w:t>
      </w:r>
      <w:r w:rsidR="00525DE0" w:rsidRPr="00C27992">
        <w:rPr>
          <w:rFonts w:ascii="Palatino Linotype" w:hAnsi="Palatino Linotype" w:cs="Arial"/>
        </w:rPr>
        <w:t>.</w:t>
      </w:r>
    </w:p>
    <w:p w:rsidR="00525DE0" w:rsidRPr="00C27992" w:rsidRDefault="00525DE0" w:rsidP="00525DE0">
      <w:pPr>
        <w:pStyle w:val="Prrafodelista"/>
        <w:rPr>
          <w:rFonts w:ascii="Palatino Linotype" w:eastAsia="MS Mincho" w:hAnsi="Palatino Linotype" w:cs="Arial"/>
        </w:rPr>
      </w:pPr>
    </w:p>
    <w:p w:rsidR="00525DE0" w:rsidRPr="00C27992" w:rsidRDefault="00525DE0" w:rsidP="00D66E65">
      <w:pPr>
        <w:numPr>
          <w:ilvl w:val="0"/>
          <w:numId w:val="1"/>
        </w:numPr>
        <w:spacing w:line="360" w:lineRule="auto"/>
        <w:ind w:left="0" w:firstLine="0"/>
        <w:contextualSpacing/>
        <w:jc w:val="both"/>
        <w:rPr>
          <w:rFonts w:ascii="Palatino Linotype" w:hAnsi="Palatino Linotype" w:cs="Arial"/>
        </w:rPr>
      </w:pPr>
      <w:r w:rsidRPr="00C27992">
        <w:rPr>
          <w:rFonts w:ascii="Palatino Linotype" w:eastAsia="MS Mincho" w:hAnsi="Palatino Linotype" w:cs="Arial"/>
        </w:rPr>
        <w:t>Esto</w:t>
      </w:r>
      <w:r w:rsidRPr="00C27992">
        <w:rPr>
          <w:rFonts w:ascii="Palatino Linotype" w:hAnsi="Palatino Linotype" w:cs="Arial"/>
        </w:rPr>
        <w:t xml:space="preserve"> es así, debido a que cuando el recurrente impugna la respuesta del sujeto obligado y éste no expresa razón o motivo de inconformidad en contra de todos los rubros solicitados, los mismos deben declararse firmes, pues se entiende que el recurrente ésta conforme con la información entregada al no contravenir la misma. Sirve de apoyo por analogía, la Tesis Jurisprudencial Número 3ª./J.7/91, publicada en el Semanario Judicial de la Federación y su Gaceta bajo el número de registro 174,177, que establece lo siguiente:</w:t>
      </w:r>
    </w:p>
    <w:p w:rsidR="00525DE0" w:rsidRPr="00C27992" w:rsidRDefault="00525DE0" w:rsidP="00525DE0">
      <w:pPr>
        <w:pStyle w:val="Prrafodelista"/>
        <w:rPr>
          <w:rFonts w:ascii="Palatino Linotype" w:hAnsi="Palatino Linotype" w:cs="Arial"/>
        </w:rPr>
      </w:pPr>
    </w:p>
    <w:p w:rsidR="00525DE0" w:rsidRPr="00C27992" w:rsidRDefault="00525DE0" w:rsidP="00525DE0">
      <w:pPr>
        <w:pStyle w:val="Prrafodelista"/>
        <w:spacing w:line="360" w:lineRule="auto"/>
        <w:ind w:left="502" w:right="426"/>
        <w:jc w:val="both"/>
        <w:rPr>
          <w:rFonts w:ascii="Palatino Linotype" w:hAnsi="Palatino Linotype" w:cs="Arial"/>
          <w:i/>
        </w:rPr>
      </w:pPr>
      <w:r w:rsidRPr="00C27992">
        <w:rPr>
          <w:rFonts w:ascii="Palatino Linotype" w:hAnsi="Palatino Linotype" w:cs="Arial"/>
          <w:b/>
          <w:bCs/>
          <w:i/>
          <w:iCs/>
        </w:rPr>
        <w:t>“REVISIÓN EN AMPARO. LOS RESOLUTIVOS NO COMBATIDOS DEBEN DECLARARSE FIRMES. </w:t>
      </w:r>
      <w:r w:rsidRPr="00C27992">
        <w:rPr>
          <w:rFonts w:ascii="Palatino Linotype" w:hAnsi="Palatino Linotype" w:cs="Arial"/>
          <w:i/>
          <w:iCs/>
          <w:u w:val="single"/>
        </w:rPr>
        <w:t xml:space="preserve">Cuando algún resolutivo de la sentencia </w:t>
      </w:r>
      <w:r w:rsidRPr="00C27992">
        <w:rPr>
          <w:rFonts w:ascii="Palatino Linotype" w:hAnsi="Palatino Linotype" w:cs="Arial"/>
          <w:i/>
          <w:iCs/>
          <w:u w:val="single"/>
        </w:rPr>
        <w:lastRenderedPageBreak/>
        <w:t>impugnada afecta a EL RECURRENTE, y ésta no expresa agravio en contra de las consideraciones que le sirven de base, dicho resolutivo debe declararse firme.</w:t>
      </w:r>
      <w:r w:rsidRPr="00C27992">
        <w:rPr>
          <w:rFonts w:ascii="Palatino Linotype" w:hAnsi="Palatino Linotype" w:cs="Arial"/>
          <w:i/>
          <w:iCs/>
        </w:rPr>
        <w:t> Esto es, en el caso referido, no obstante que la materia de la revisión comprende a todos los resolutivos que afectan a EL RECURRENTE, </w:t>
      </w:r>
      <w:r w:rsidRPr="00C27992">
        <w:rPr>
          <w:rFonts w:ascii="Palatino Linotype" w:hAnsi="Palatino Linotype" w:cs="Arial"/>
          <w:i/>
          <w:iCs/>
          <w:u w:val="single"/>
        </w:rPr>
        <w:t>deben declararse firmes aquéllos en contra de los cuales no se formuló agravio y dicha declaración de firmeza debe reflejarse en la parte considerativa y en los resolutivos debe confirmarse la sentencia recurrida en la parte correspondiente</w:t>
      </w:r>
      <w:r w:rsidRPr="00C27992">
        <w:rPr>
          <w:rFonts w:ascii="Palatino Linotype" w:hAnsi="Palatino Linotype" w:cs="Arial"/>
          <w:i/>
          <w:iCs/>
        </w:rPr>
        <w:t>.”</w:t>
      </w:r>
    </w:p>
    <w:p w:rsidR="00525DE0" w:rsidRPr="00C27992" w:rsidRDefault="00525DE0" w:rsidP="00525DE0">
      <w:pPr>
        <w:pStyle w:val="Prrafodelista"/>
        <w:spacing w:line="360" w:lineRule="auto"/>
        <w:ind w:left="502" w:right="426"/>
        <w:jc w:val="both"/>
        <w:rPr>
          <w:rFonts w:ascii="Palatino Linotype" w:hAnsi="Palatino Linotype" w:cs="Arial"/>
        </w:rPr>
      </w:pPr>
      <w:r w:rsidRPr="00C27992">
        <w:rPr>
          <w:rFonts w:ascii="Palatino Linotype" w:hAnsi="Palatino Linotype" w:cs="Arial"/>
        </w:rPr>
        <w:t>(Énfasis añadido)</w:t>
      </w:r>
    </w:p>
    <w:p w:rsidR="00525DE0" w:rsidRPr="00C27992" w:rsidRDefault="00525DE0" w:rsidP="00525DE0">
      <w:pPr>
        <w:pStyle w:val="Prrafodelista"/>
        <w:spacing w:line="360" w:lineRule="auto"/>
        <w:ind w:left="502" w:right="426"/>
        <w:jc w:val="both"/>
        <w:rPr>
          <w:rFonts w:ascii="Palatino Linotype" w:hAnsi="Palatino Linotype" w:cs="Arial"/>
        </w:rPr>
      </w:pPr>
    </w:p>
    <w:p w:rsidR="00525DE0" w:rsidRPr="00C27992" w:rsidRDefault="00525DE0" w:rsidP="00D66E65">
      <w:pPr>
        <w:numPr>
          <w:ilvl w:val="0"/>
          <w:numId w:val="1"/>
        </w:numPr>
        <w:spacing w:line="360" w:lineRule="auto"/>
        <w:ind w:left="0" w:firstLine="0"/>
        <w:contextualSpacing/>
        <w:jc w:val="both"/>
        <w:rPr>
          <w:rFonts w:ascii="Palatino Linotype" w:hAnsi="Palatino Linotype" w:cs="Arial"/>
        </w:rPr>
      </w:pPr>
      <w:r w:rsidRPr="00C27992">
        <w:rPr>
          <w:rFonts w:ascii="Palatino Linotype" w:hAnsi="Palatino Linotype" w:cs="Arial"/>
        </w:rPr>
        <w:t xml:space="preserve">Consecuentemente, </w:t>
      </w:r>
      <w:r w:rsidRPr="00C27992">
        <w:rPr>
          <w:rFonts w:ascii="Palatino Linotype" w:hAnsi="Palatino Linotype" w:cs="Arial"/>
          <w:b/>
        </w:rPr>
        <w:t xml:space="preserve">la parte de la respuesta que no fue impugnada debe declararse consentida por el recurrente, toda vez que no realizó </w:t>
      </w:r>
      <w:r w:rsidRPr="00C27992">
        <w:rPr>
          <w:rFonts w:ascii="Palatino Linotype" w:eastAsia="MS Mincho" w:hAnsi="Palatino Linotype" w:cs="Arial"/>
          <w:b/>
        </w:rPr>
        <w:t>manifestaciones</w:t>
      </w:r>
      <w:r w:rsidRPr="00C27992">
        <w:rPr>
          <w:rFonts w:ascii="Palatino Linotype" w:hAnsi="Palatino Linotype" w:cs="Arial"/>
          <w:b/>
        </w:rPr>
        <w:t xml:space="preserve"> de inconformidad</w:t>
      </w:r>
      <w:r w:rsidRPr="00C27992">
        <w:rPr>
          <w:rFonts w:ascii="Palatino Linotype" w:hAnsi="Palatino Linotype" w:cs="Arial"/>
        </w:rPr>
        <w:t>; por lo que, no pueden producirse efectos jurídicos tendentes a revocar, confirmar o modificar el acto reclamado ya que se infiere su consentimiento ante la falta de impugnación eficaz. Sirve de sustento a lo anterior por analogía la tesis jurisprudencial número 176,608 del Semanario Judicial de la Federación y su Gaceta que a la letra dice:</w:t>
      </w:r>
    </w:p>
    <w:p w:rsidR="00525DE0" w:rsidRPr="00C27992" w:rsidRDefault="00525DE0" w:rsidP="00525DE0">
      <w:pPr>
        <w:pStyle w:val="Prrafodelista"/>
        <w:spacing w:line="360" w:lineRule="auto"/>
        <w:ind w:left="0"/>
        <w:jc w:val="both"/>
        <w:rPr>
          <w:rFonts w:ascii="Palatino Linotype" w:hAnsi="Palatino Linotype" w:cs="Arial"/>
        </w:rPr>
      </w:pPr>
    </w:p>
    <w:p w:rsidR="00525DE0" w:rsidRPr="00C27992" w:rsidRDefault="00525DE0" w:rsidP="00525DE0">
      <w:pPr>
        <w:pStyle w:val="Prrafodelista"/>
        <w:spacing w:line="360" w:lineRule="auto"/>
        <w:ind w:left="502" w:right="426"/>
        <w:jc w:val="both"/>
        <w:rPr>
          <w:rFonts w:ascii="Palatino Linotype" w:hAnsi="Palatino Linotype" w:cs="Arial"/>
          <w:i/>
        </w:rPr>
      </w:pPr>
      <w:r w:rsidRPr="00C27992">
        <w:rPr>
          <w:rFonts w:ascii="Palatino Linotype" w:hAnsi="Palatino Linotype" w:cs="Arial"/>
          <w:b/>
          <w:bCs/>
          <w:i/>
          <w:iCs/>
        </w:rPr>
        <w:t>“ACTOS CONSENTIDOS. SON LOS QUE NO SE IMPUGNAN MEDIANTE EL RECURSO IDÓNEO. </w:t>
      </w:r>
      <w:r w:rsidRPr="00C27992">
        <w:rPr>
          <w:rFonts w:ascii="Palatino Linotype" w:hAnsi="Palatino Linotype" w:cs="Arial"/>
          <w:i/>
          <w:iCs/>
          <w:u w:val="single"/>
        </w:rPr>
        <w:t>Debe reputarse como consentido el acto que no se impugnó por el medio establecido por la ley</w:t>
      </w:r>
      <w:r w:rsidRPr="00C27992">
        <w:rPr>
          <w:rFonts w:ascii="Palatino Linotype" w:hAnsi="Palatino Linotype" w:cs="Arial"/>
          <w:i/>
          <w:iCs/>
        </w:rPr>
        <w:t>,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525DE0" w:rsidRPr="00C27992" w:rsidRDefault="00525DE0" w:rsidP="00525DE0">
      <w:pPr>
        <w:pStyle w:val="Prrafodelista"/>
        <w:spacing w:line="360" w:lineRule="auto"/>
        <w:ind w:left="502" w:right="426"/>
        <w:jc w:val="both"/>
        <w:rPr>
          <w:rFonts w:ascii="Palatino Linotype" w:hAnsi="Palatino Linotype" w:cs="Arial"/>
        </w:rPr>
      </w:pPr>
      <w:r w:rsidRPr="00C27992">
        <w:rPr>
          <w:rFonts w:ascii="Palatino Linotype" w:hAnsi="Palatino Linotype" w:cs="Arial"/>
        </w:rPr>
        <w:lastRenderedPageBreak/>
        <w:t>(Énfasis añadido)</w:t>
      </w:r>
    </w:p>
    <w:p w:rsidR="00525DE0" w:rsidRPr="00C27992" w:rsidRDefault="00525DE0" w:rsidP="00525DE0">
      <w:pPr>
        <w:pStyle w:val="Prrafodelista"/>
        <w:spacing w:line="360" w:lineRule="auto"/>
        <w:ind w:left="0"/>
        <w:jc w:val="both"/>
        <w:rPr>
          <w:rFonts w:ascii="Palatino Linotype" w:eastAsia="MS Mincho" w:hAnsi="Palatino Linotype" w:cs="Arial"/>
        </w:rPr>
      </w:pPr>
    </w:p>
    <w:p w:rsidR="00525DE0" w:rsidRPr="00C27992" w:rsidRDefault="00525DE0" w:rsidP="00D66E65">
      <w:pPr>
        <w:numPr>
          <w:ilvl w:val="0"/>
          <w:numId w:val="1"/>
        </w:numPr>
        <w:spacing w:line="360" w:lineRule="auto"/>
        <w:ind w:left="0" w:firstLine="0"/>
        <w:contextualSpacing/>
        <w:jc w:val="both"/>
        <w:rPr>
          <w:rFonts w:ascii="Palatino Linotype" w:eastAsia="MS Mincho" w:hAnsi="Palatino Linotype" w:cs="Arial"/>
        </w:rPr>
      </w:pPr>
      <w:r w:rsidRPr="00C27992">
        <w:rPr>
          <w:rFonts w:ascii="Palatino Linotype" w:eastAsia="MS Mincho" w:hAnsi="Palatino Linotype" w:cs="Arial"/>
        </w:rPr>
        <w:t xml:space="preserve">Así las cosas, al no pronunciarse respecto de las respuestas que allí se vertieron se </w:t>
      </w:r>
      <w:r w:rsidRPr="00C27992">
        <w:rPr>
          <w:rFonts w:ascii="Palatino Linotype" w:hAnsi="Palatino Linotype" w:cs="Arial"/>
        </w:rPr>
        <w:t>considera</w:t>
      </w:r>
      <w:r w:rsidRPr="00C27992">
        <w:rPr>
          <w:rFonts w:ascii="Palatino Linotype" w:eastAsia="MS Mincho" w:hAnsi="Palatino Linotype" w:cs="Arial"/>
        </w:rPr>
        <w:t xml:space="preserve"> que se encuentra conforme con ellas, pues se insiste su inconformidad radicó en </w:t>
      </w:r>
      <w:r w:rsidRPr="00C27992">
        <w:rPr>
          <w:rFonts w:ascii="Palatino Linotype" w:eastAsia="MS Mincho" w:hAnsi="Palatino Linotype" w:cs="Arial"/>
          <w:b/>
        </w:rPr>
        <w:t>la falta de pronunciamiento de todos los rubros</w:t>
      </w:r>
      <w:r w:rsidRPr="00C27992">
        <w:rPr>
          <w:rFonts w:ascii="Palatino Linotype" w:eastAsia="MS Mincho" w:hAnsi="Palatino Linotype" w:cs="Arial"/>
        </w:rPr>
        <w:t>.</w:t>
      </w:r>
    </w:p>
    <w:p w:rsidR="00525DE0" w:rsidRPr="00C27992" w:rsidRDefault="00525DE0" w:rsidP="00525DE0">
      <w:pPr>
        <w:spacing w:line="360" w:lineRule="auto"/>
        <w:contextualSpacing/>
        <w:jc w:val="both"/>
        <w:rPr>
          <w:rFonts w:ascii="Palatino Linotype" w:eastAsia="MS Mincho" w:hAnsi="Palatino Linotype" w:cs="Arial"/>
        </w:rPr>
      </w:pPr>
    </w:p>
    <w:p w:rsidR="00525DE0" w:rsidRPr="00C27992" w:rsidRDefault="00525DE0" w:rsidP="00D66E65">
      <w:pPr>
        <w:numPr>
          <w:ilvl w:val="0"/>
          <w:numId w:val="1"/>
        </w:numPr>
        <w:spacing w:line="360" w:lineRule="auto"/>
        <w:ind w:left="0" w:firstLine="0"/>
        <w:contextualSpacing/>
        <w:jc w:val="both"/>
        <w:rPr>
          <w:rFonts w:ascii="Palatino Linotype" w:hAnsi="Palatino Linotype"/>
        </w:rPr>
      </w:pPr>
      <w:r w:rsidRPr="00C27992">
        <w:rPr>
          <w:rFonts w:ascii="Palatino Linotype" w:eastAsia="Palatino Linotype" w:hAnsi="Palatino Linotype" w:cs="Palatino Linotype"/>
          <w:color w:val="000000"/>
        </w:rPr>
        <w:t xml:space="preserve">Asimismo, no pasa inadvertido que este </w:t>
      </w:r>
      <w:r w:rsidRPr="00C27992">
        <w:rPr>
          <w:rFonts w:ascii="Palatino Linotype" w:eastAsia="MS Mincho" w:hAnsi="Palatino Linotype" w:cs="Arial"/>
        </w:rPr>
        <w:t>Instituto</w:t>
      </w:r>
      <w:r w:rsidRPr="00C27992">
        <w:rPr>
          <w:rFonts w:ascii="Palatino Linotype" w:eastAsia="Palatino Linotype" w:hAnsi="Palatino Linotype" w:cs="Palatino Linotype"/>
          <w:color w:val="000000"/>
        </w:rPr>
        <w:t xml:space="preserve"> no está facultado para dudar de la veracidad de la </w:t>
      </w:r>
      <w:r w:rsidRPr="00C27992">
        <w:rPr>
          <w:rFonts w:ascii="Palatino Linotype" w:eastAsia="MS Mincho" w:hAnsi="Palatino Linotype" w:cs="Arial"/>
        </w:rPr>
        <w:t>información</w:t>
      </w:r>
      <w:r w:rsidRPr="00C27992">
        <w:rPr>
          <w:rFonts w:ascii="Palatino Linotype" w:eastAsia="Palatino Linotype" w:hAnsi="Palatino Linotype" w:cs="Palatino Linotype"/>
          <w:color w:val="000000"/>
        </w:rPr>
        <w:t xml:space="preserve"> que le fue entregada al hoy </w:t>
      </w:r>
      <w:r w:rsidRPr="00C27992">
        <w:rPr>
          <w:rFonts w:ascii="Palatino Linotype" w:eastAsia="Palatino Linotype" w:hAnsi="Palatino Linotype" w:cs="Palatino Linotype"/>
          <w:b/>
          <w:color w:val="000000"/>
        </w:rPr>
        <w:t>RECURRENTE</w:t>
      </w:r>
      <w:r w:rsidRPr="00C27992">
        <w:rPr>
          <w:rFonts w:ascii="Palatino Linotype" w:eastAsia="Palatino Linotype" w:hAnsi="Palatino Linotype" w:cs="Palatino Linotype"/>
          <w:color w:val="000000"/>
        </w:rPr>
        <w:t xml:space="preserve"> en el presente asunto, ni de las respuestas, ni de las documentales que ponen a disposición de los solicitantes los sujetos obligados, </w:t>
      </w:r>
      <w:r w:rsidRPr="00C27992">
        <w:rPr>
          <w:rFonts w:ascii="Palatino Linotype" w:hAnsi="Palatino Linotype" w:cs="Arial"/>
        </w:rPr>
        <w:t xml:space="preserve">situación que se aleja de las atribuciones de este Instituto </w:t>
      </w:r>
      <w:r w:rsidRPr="00C27992">
        <w:rPr>
          <w:rFonts w:ascii="Palatino Linotype" w:hAnsi="Palatino Linotype"/>
          <w:i/>
          <w:color w:val="000000"/>
        </w:rPr>
        <w:t>máxime</w:t>
      </w:r>
      <w:r w:rsidRPr="00C27992">
        <w:rPr>
          <w:rFonts w:ascii="Palatino Linotype" w:hAnsi="Palatino Linotype"/>
          <w:color w:val="000000"/>
        </w:rPr>
        <w:t xml:space="preserve"> que al momento que ponen a disposición ésta, la misma tiene el carácter oficial y se presume veraz, tan es así que la misma queda registrada en el Sistema de Acceso a la Información Mexiquense (SAIMEX).</w:t>
      </w:r>
    </w:p>
    <w:p w:rsidR="00525DE0" w:rsidRPr="00C27992" w:rsidRDefault="00525DE0" w:rsidP="00525DE0">
      <w:pPr>
        <w:pStyle w:val="Prrafodelista"/>
        <w:rPr>
          <w:rFonts w:ascii="Palatino Linotype" w:hAnsi="Palatino Linotype"/>
        </w:rPr>
      </w:pPr>
    </w:p>
    <w:p w:rsidR="00525DE0" w:rsidRPr="00C27992" w:rsidRDefault="00525DE0" w:rsidP="00D66E65">
      <w:pPr>
        <w:numPr>
          <w:ilvl w:val="0"/>
          <w:numId w:val="1"/>
        </w:numPr>
        <w:spacing w:line="360" w:lineRule="auto"/>
        <w:ind w:left="0" w:firstLine="0"/>
        <w:contextualSpacing/>
        <w:jc w:val="both"/>
        <w:rPr>
          <w:rFonts w:ascii="Palatino Linotype" w:hAnsi="Palatino Linotype"/>
        </w:rPr>
      </w:pPr>
      <w:r w:rsidRPr="00C27992">
        <w:rPr>
          <w:rFonts w:ascii="Palatino Linotype" w:eastAsia="Palatino Linotype" w:hAnsi="Palatino Linotype" w:cs="Palatino Linotype"/>
          <w:color w:val="000000"/>
        </w:rPr>
        <w:t>Sirviendo</w:t>
      </w:r>
      <w:r w:rsidRPr="00C27992">
        <w:rPr>
          <w:rFonts w:ascii="Palatino Linotype" w:hAnsi="Palatino Linotype"/>
        </w:rPr>
        <w:t xml:space="preserve"> de apoyo a lo anterior por analogía, el criterio 31-10 emitido por el ahora </w:t>
      </w:r>
      <w:r w:rsidRPr="00C27992">
        <w:rPr>
          <w:rFonts w:ascii="Palatino Linotype" w:hAnsi="Palatino Linotype"/>
          <w:color w:val="000000" w:themeColor="text1"/>
        </w:rPr>
        <w:t>Instituto</w:t>
      </w:r>
      <w:r w:rsidRPr="00C27992">
        <w:rPr>
          <w:rFonts w:ascii="Palatino Linotype" w:hAnsi="Palatino Linotype"/>
        </w:rPr>
        <w:t xml:space="preserve"> </w:t>
      </w:r>
      <w:r w:rsidRPr="00C27992">
        <w:rPr>
          <w:rFonts w:ascii="Palatino Linotype" w:eastAsia="Palatino Linotype" w:hAnsi="Palatino Linotype" w:cs="Palatino Linotype"/>
          <w:color w:val="000000"/>
        </w:rPr>
        <w:t>Nacional</w:t>
      </w:r>
      <w:r w:rsidRPr="00C27992">
        <w:rPr>
          <w:rFonts w:ascii="Palatino Linotype" w:hAnsi="Palatino Linotype"/>
        </w:rPr>
        <w:t xml:space="preserve"> de Transparencia, Acceso a la Información y Protección de Datos Personales, que a la letra dice:</w:t>
      </w:r>
    </w:p>
    <w:p w:rsidR="00525DE0" w:rsidRPr="00C27992" w:rsidRDefault="00525DE0" w:rsidP="00525DE0">
      <w:pPr>
        <w:pStyle w:val="Prrafodelista"/>
        <w:rPr>
          <w:rFonts w:ascii="Palatino Linotype" w:hAnsi="Palatino Linotype"/>
        </w:rPr>
      </w:pPr>
    </w:p>
    <w:p w:rsidR="00525DE0" w:rsidRPr="00C27992" w:rsidRDefault="00525DE0" w:rsidP="00525DE0">
      <w:pPr>
        <w:pStyle w:val="Default"/>
        <w:spacing w:line="360" w:lineRule="auto"/>
        <w:ind w:left="851" w:right="850"/>
        <w:jc w:val="both"/>
        <w:rPr>
          <w:rFonts w:ascii="Palatino Linotype" w:hAnsi="Palatino Linotype"/>
          <w:i/>
        </w:rPr>
      </w:pPr>
      <w:r w:rsidRPr="00C27992">
        <w:rPr>
          <w:rFonts w:ascii="Palatino Linotype" w:hAnsi="Palatino Linotype"/>
          <w:i/>
        </w:rPr>
        <w:t xml:space="preserve">“El Instituto Federal de Acceso a la Información y Protección de Datos </w:t>
      </w:r>
      <w:r w:rsidRPr="00C27992">
        <w:rPr>
          <w:rFonts w:ascii="Palatino Linotype" w:hAnsi="Palatino Linotype"/>
          <w:b/>
          <w:i/>
        </w:rPr>
        <w:t>no cuenta con facultades para pronunciarse respecto de la veracidad de los documentos proporcionados por los sujetos obligados.</w:t>
      </w:r>
      <w:r w:rsidRPr="00C27992">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w:t>
      </w:r>
      <w:r w:rsidRPr="00C27992">
        <w:rPr>
          <w:rFonts w:ascii="Palatino Linotype" w:hAnsi="Palatino Linotype"/>
          <w:i/>
        </w:rPr>
        <w:lastRenderedPageBreak/>
        <w:t>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525DE0" w:rsidRPr="00C27992" w:rsidRDefault="00525DE0" w:rsidP="00525DE0">
      <w:pPr>
        <w:pStyle w:val="Default"/>
        <w:spacing w:line="360" w:lineRule="auto"/>
        <w:ind w:left="851" w:right="850"/>
        <w:jc w:val="both"/>
        <w:rPr>
          <w:rFonts w:ascii="Palatino Linotype" w:hAnsi="Palatino Linotype"/>
          <w:i/>
        </w:rPr>
      </w:pPr>
    </w:p>
    <w:p w:rsidR="00525DE0" w:rsidRPr="00C27992" w:rsidRDefault="00525DE0" w:rsidP="00D66E65">
      <w:pPr>
        <w:numPr>
          <w:ilvl w:val="0"/>
          <w:numId w:val="1"/>
        </w:numPr>
        <w:spacing w:line="360" w:lineRule="auto"/>
        <w:ind w:left="0" w:firstLine="0"/>
        <w:contextualSpacing/>
        <w:jc w:val="both"/>
        <w:rPr>
          <w:rFonts w:ascii="Palatino Linotype" w:hAnsi="Palatino Linotype"/>
          <w:i/>
        </w:rPr>
      </w:pPr>
      <w:r w:rsidRPr="00C27992">
        <w:rPr>
          <w:rFonts w:ascii="Palatino Linotype" w:hAnsi="Palatino Linotype" w:cs="Arial"/>
        </w:rPr>
        <w:t>Así como lo dispuesto por</w:t>
      </w:r>
      <w:r w:rsidRPr="00C27992">
        <w:rPr>
          <w:rFonts w:ascii="Palatino Linotype" w:hAnsi="Palatino Linotype"/>
        </w:rPr>
        <w:t xml:space="preserve"> la </w:t>
      </w:r>
      <w:r w:rsidRPr="00C27992">
        <w:rPr>
          <w:rFonts w:ascii="Palatino Linotype" w:hAnsi="Palatino Linotype"/>
          <w:b/>
        </w:rPr>
        <w:t xml:space="preserve">Ley de Transparencia y Acceso a la Información Pública del </w:t>
      </w:r>
      <w:r w:rsidRPr="00C27992">
        <w:rPr>
          <w:rFonts w:ascii="Palatino Linotype" w:hAnsi="Palatino Linotype" w:cs="Arial"/>
          <w:b/>
        </w:rPr>
        <w:t>Estado</w:t>
      </w:r>
      <w:r w:rsidRPr="00C27992">
        <w:rPr>
          <w:rFonts w:ascii="Palatino Linotype" w:hAnsi="Palatino Linotype"/>
          <w:b/>
        </w:rPr>
        <w:t xml:space="preserve"> de México y Municipios</w:t>
      </w:r>
      <w:r w:rsidRPr="00C27992">
        <w:rPr>
          <w:rFonts w:ascii="Palatino Linotype" w:hAnsi="Palatino Linotype"/>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525DE0" w:rsidRPr="00C27992" w:rsidRDefault="00525DE0" w:rsidP="00525DE0">
      <w:pPr>
        <w:pStyle w:val="Prrafodelista"/>
        <w:spacing w:line="360" w:lineRule="auto"/>
        <w:ind w:left="0"/>
        <w:jc w:val="both"/>
        <w:rPr>
          <w:rFonts w:ascii="Palatino Linotype" w:hAnsi="Palatino Linotype"/>
          <w:i/>
        </w:rPr>
      </w:pPr>
    </w:p>
    <w:p w:rsidR="00525DE0" w:rsidRPr="00C27992" w:rsidRDefault="00525DE0" w:rsidP="00525DE0">
      <w:pPr>
        <w:pStyle w:val="Prrafodelista"/>
        <w:spacing w:line="360" w:lineRule="auto"/>
        <w:ind w:left="567" w:right="680"/>
        <w:jc w:val="both"/>
        <w:rPr>
          <w:rFonts w:ascii="Palatino Linotype" w:hAnsi="Palatino Linotype" w:cs="Arial"/>
          <w:b/>
          <w:i/>
        </w:rPr>
      </w:pPr>
      <w:r w:rsidRPr="00C27992">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C27992">
        <w:rPr>
          <w:rFonts w:ascii="Palatino Linotype" w:hAnsi="Palatino Linotype" w:cs="Arial"/>
          <w:b/>
          <w:i/>
        </w:rPr>
        <w:t xml:space="preserve">Los Sujetos Obligados deben poner en </w:t>
      </w:r>
      <w:r w:rsidRPr="00C27992">
        <w:rPr>
          <w:rFonts w:ascii="Palatino Linotype" w:hAnsi="Palatino Linotype" w:cs="Arial"/>
          <w:b/>
          <w:i/>
        </w:rPr>
        <w:lastRenderedPageBreak/>
        <w:t>práctica, políticas y programas de acceso a la información que se apeguen a criterios de publicidad, veracidad, oportunidad, precisión y suficiencia en beneficio de los solicitantes.</w:t>
      </w:r>
    </w:p>
    <w:p w:rsidR="00525DE0" w:rsidRPr="00C27992" w:rsidRDefault="00525DE0" w:rsidP="00525DE0">
      <w:pPr>
        <w:spacing w:line="360" w:lineRule="auto"/>
        <w:ind w:right="902"/>
        <w:jc w:val="both"/>
        <w:rPr>
          <w:rFonts w:ascii="Palatino Linotype" w:hAnsi="Palatino Linotype" w:cs="Arial"/>
          <w:b/>
        </w:rPr>
      </w:pPr>
    </w:p>
    <w:p w:rsidR="00525DE0" w:rsidRPr="00C27992" w:rsidRDefault="00525DE0" w:rsidP="00D66E65">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C27992">
        <w:rPr>
          <w:rFonts w:ascii="Palatino Linotype" w:hAnsi="Palatino Linotype" w:cs="Arial"/>
        </w:rPr>
        <w:t>Numerales</w:t>
      </w:r>
      <w:r w:rsidRPr="00C27992">
        <w:rPr>
          <w:rFonts w:ascii="Palatino Linotype" w:hAnsi="Palatino Linotype" w:cs="Arial"/>
          <w:noProof/>
          <w:lang w:eastAsia="es-MX"/>
        </w:rPr>
        <w:t xml:space="preserve"> que compelen al </w:t>
      </w:r>
      <w:r w:rsidRPr="00C27992">
        <w:rPr>
          <w:rFonts w:ascii="Palatino Linotype" w:hAnsi="Palatino Linotype" w:cs="Arial"/>
          <w:b/>
          <w:noProof/>
          <w:lang w:eastAsia="es-MX"/>
        </w:rPr>
        <w:t>SUJETO OBLIGADO</w:t>
      </w:r>
      <w:r w:rsidRPr="00C27992">
        <w:rPr>
          <w:rFonts w:ascii="Palatino Linotype" w:hAnsi="Palatino Linotype" w:cs="Arial"/>
          <w:noProof/>
          <w:lang w:eastAsia="es-MX"/>
        </w:rPr>
        <w:t xml:space="preserve"> apegarse en todo momento a los </w:t>
      </w:r>
      <w:r w:rsidRPr="00C27992">
        <w:rPr>
          <w:rFonts w:ascii="Palatino Linotype" w:hAnsi="Palatino Linotype" w:cs="Arial"/>
        </w:rPr>
        <w:t>criterios</w:t>
      </w:r>
      <w:r w:rsidRPr="00C27992">
        <w:rPr>
          <w:rFonts w:ascii="Palatino Linotype" w:hAnsi="Palatino Linotype" w:cs="Arial"/>
          <w:noProof/>
          <w:lang w:eastAsia="es-MX"/>
        </w:rPr>
        <w:t xml:space="preserve"> ya expuestos, impidiendo a este Órgano Colegiado cuestionar la veracidad de la información;</w:t>
      </w:r>
      <w:r w:rsidRPr="00C27992">
        <w:rPr>
          <w:rFonts w:ascii="Palatino Linotype" w:eastAsia="Palatino Linotype" w:hAnsi="Palatino Linotype" w:cs="Palatino Linotype"/>
          <w:color w:val="000000"/>
        </w:rPr>
        <w:t xml:space="preserve"> luego entonces, se tienen por colmadas las solicitudes de información de mérito.</w:t>
      </w:r>
    </w:p>
    <w:p w:rsidR="00525DE0" w:rsidRPr="00C27992" w:rsidRDefault="00525DE0" w:rsidP="00525DE0">
      <w:pPr>
        <w:spacing w:line="360" w:lineRule="auto"/>
        <w:contextualSpacing/>
        <w:jc w:val="both"/>
        <w:rPr>
          <w:rFonts w:ascii="Palatino Linotype" w:eastAsia="Palatino Linotype" w:hAnsi="Palatino Linotype" w:cs="Palatino Linotype"/>
          <w:color w:val="000000"/>
        </w:rPr>
      </w:pPr>
    </w:p>
    <w:p w:rsidR="00BB7E5D" w:rsidRPr="00C27992" w:rsidRDefault="00BB7E5D" w:rsidP="008941CE">
      <w:pPr>
        <w:numPr>
          <w:ilvl w:val="0"/>
          <w:numId w:val="1"/>
        </w:numPr>
        <w:spacing w:line="360" w:lineRule="auto"/>
        <w:ind w:left="0" w:firstLine="0"/>
        <w:contextualSpacing/>
        <w:jc w:val="both"/>
        <w:rPr>
          <w:rFonts w:ascii="Palatino Linotype" w:hAnsi="Palatino Linotype"/>
          <w:color w:val="000000" w:themeColor="text1"/>
        </w:rPr>
      </w:pPr>
      <w:r w:rsidRPr="00C27992">
        <w:rPr>
          <w:rFonts w:ascii="Palatino Linotype" w:hAnsi="Palatino Linotype"/>
          <w:color w:val="000000" w:themeColor="text1"/>
        </w:rPr>
        <w:t>Ahora bien, retomando los</w:t>
      </w:r>
      <w:r w:rsidR="00525DE0" w:rsidRPr="00C27992">
        <w:rPr>
          <w:rFonts w:ascii="Palatino Linotype" w:hAnsi="Palatino Linotype"/>
          <w:color w:val="000000" w:themeColor="text1"/>
        </w:rPr>
        <w:t xml:space="preserve"> acto</w:t>
      </w:r>
      <w:r w:rsidRPr="00C27992">
        <w:rPr>
          <w:rFonts w:ascii="Palatino Linotype" w:hAnsi="Palatino Linotype"/>
          <w:color w:val="000000" w:themeColor="text1"/>
        </w:rPr>
        <w:t>s</w:t>
      </w:r>
      <w:r w:rsidR="00525DE0" w:rsidRPr="00C27992">
        <w:rPr>
          <w:rFonts w:ascii="Palatino Linotype" w:hAnsi="Palatino Linotype"/>
          <w:color w:val="000000" w:themeColor="text1"/>
        </w:rPr>
        <w:t xml:space="preserve"> impugnado</w:t>
      </w:r>
      <w:r w:rsidRPr="00C27992">
        <w:rPr>
          <w:rFonts w:ascii="Palatino Linotype" w:hAnsi="Palatino Linotype"/>
          <w:color w:val="000000" w:themeColor="text1"/>
        </w:rPr>
        <w:t>s</w:t>
      </w:r>
      <w:r w:rsidR="00525DE0" w:rsidRPr="00C27992">
        <w:rPr>
          <w:rFonts w:ascii="Palatino Linotype" w:hAnsi="Palatino Linotype"/>
          <w:color w:val="000000" w:themeColor="text1"/>
        </w:rPr>
        <w:t xml:space="preserve">, </w:t>
      </w:r>
      <w:r w:rsidRPr="00C27992">
        <w:rPr>
          <w:rFonts w:ascii="Palatino Linotype" w:hAnsi="Palatino Linotype"/>
          <w:color w:val="000000" w:themeColor="text1"/>
        </w:rPr>
        <w:t xml:space="preserve">y que primeramente fue el correspondiente a la a documental con la que se notificó a las partes el laudo del expediente SAE725/2013, al respecto el </w:t>
      </w:r>
      <w:r w:rsidRPr="00C27992">
        <w:rPr>
          <w:rFonts w:ascii="Palatino Linotype" w:hAnsi="Palatino Linotype"/>
          <w:b/>
          <w:color w:val="000000" w:themeColor="text1"/>
        </w:rPr>
        <w:t>SUJETO OBLIGADO</w:t>
      </w:r>
      <w:r w:rsidRPr="00C27992">
        <w:rPr>
          <w:rFonts w:ascii="Palatino Linotype" w:hAnsi="Palatino Linotype"/>
          <w:color w:val="000000" w:themeColor="text1"/>
        </w:rPr>
        <w:t>, manifestó que fue debidamente notificado a la parte demandada por medio del boletín laboral de fecha treinta</w:t>
      </w:r>
      <w:r w:rsidR="004A264F" w:rsidRPr="00C27992">
        <w:rPr>
          <w:rFonts w:ascii="Palatino Linotype" w:hAnsi="Palatino Linotype"/>
          <w:color w:val="000000" w:themeColor="text1"/>
        </w:rPr>
        <w:t xml:space="preserve"> (30)</w:t>
      </w:r>
      <w:r w:rsidRPr="00C27992">
        <w:rPr>
          <w:rFonts w:ascii="Palatino Linotype" w:hAnsi="Palatino Linotype"/>
          <w:color w:val="000000" w:themeColor="text1"/>
        </w:rPr>
        <w:t xml:space="preserve"> de octubre del año dos mil dieciocho, en virtud de que de los autos no se desprende domicilio personal para que la demandada le fuera notificado de manera personal el laudo en cuestión, señalando además que dicha resolución fue emitida, derivado de que procedió el amparo y protección de la Justicia Federal para que el </w:t>
      </w:r>
      <w:r w:rsidRPr="00C27992">
        <w:rPr>
          <w:rFonts w:ascii="Palatino Linotype" w:hAnsi="Palatino Linotype"/>
          <w:b/>
          <w:color w:val="000000" w:themeColor="text1"/>
        </w:rPr>
        <w:t xml:space="preserve">SUJETO OBLIGADO </w:t>
      </w:r>
      <w:r w:rsidRPr="00C27992">
        <w:rPr>
          <w:rFonts w:ascii="Palatino Linotype" w:hAnsi="Palatino Linotype"/>
          <w:color w:val="000000" w:themeColor="text1"/>
        </w:rPr>
        <w:t>de manera inmediata dictara el laudo correspondiente en el expediente laboral SAE/725/2013, tal y como consta en la ejecutoria emitida por el Juzgado Sexto de Distrito en el Estado de México con residencia en Ciudad Nezahualcóyotl en el Amparo Indirecto 927/2018.</w:t>
      </w:r>
    </w:p>
    <w:p w:rsidR="00BB7E5D" w:rsidRPr="00C27992" w:rsidRDefault="00BB7E5D" w:rsidP="00BB7E5D">
      <w:pPr>
        <w:pStyle w:val="Prrafodelista"/>
        <w:rPr>
          <w:rFonts w:ascii="Palatino Linotype" w:hAnsi="Palatino Linotype"/>
          <w:color w:val="000000" w:themeColor="text1"/>
        </w:rPr>
      </w:pPr>
    </w:p>
    <w:p w:rsidR="00BB7E5D" w:rsidRPr="00C27992" w:rsidRDefault="00BB7E5D" w:rsidP="008941CE">
      <w:pPr>
        <w:numPr>
          <w:ilvl w:val="0"/>
          <w:numId w:val="1"/>
        </w:numPr>
        <w:spacing w:line="360" w:lineRule="auto"/>
        <w:ind w:left="0" w:firstLine="0"/>
        <w:contextualSpacing/>
        <w:jc w:val="both"/>
        <w:rPr>
          <w:rFonts w:ascii="Palatino Linotype" w:hAnsi="Palatino Linotype"/>
          <w:color w:val="000000" w:themeColor="text1"/>
        </w:rPr>
      </w:pPr>
      <w:r w:rsidRPr="00C27992">
        <w:rPr>
          <w:rFonts w:ascii="Palatino Linotype" w:hAnsi="Palatino Linotype"/>
          <w:color w:val="000000" w:themeColor="text1"/>
        </w:rPr>
        <w:t xml:space="preserve">No obstante, de las constancias que obran en el expediente electrónico en que se actúa, se advierte que </w:t>
      </w:r>
      <w:r w:rsidR="00914FFF" w:rsidRPr="00C27992">
        <w:rPr>
          <w:rFonts w:ascii="Palatino Linotype" w:hAnsi="Palatino Linotype"/>
          <w:color w:val="000000" w:themeColor="text1"/>
        </w:rPr>
        <w:t>ciertamente no</w:t>
      </w:r>
      <w:r w:rsidRPr="00C27992">
        <w:rPr>
          <w:rFonts w:ascii="Palatino Linotype" w:hAnsi="Palatino Linotype"/>
          <w:color w:val="000000" w:themeColor="text1"/>
        </w:rPr>
        <w:t xml:space="preserve"> se adjunta dicho soporte documental o bien, </w:t>
      </w:r>
      <w:r w:rsidRPr="00C27992">
        <w:rPr>
          <w:rFonts w:ascii="Palatino Linotype" w:hAnsi="Palatino Linotype"/>
          <w:color w:val="000000" w:themeColor="text1"/>
        </w:rPr>
        <w:lastRenderedPageBreak/>
        <w:t xml:space="preserve">el hipervínculo de Internet donde se pueda consultar, derivado de que fue notificado vía </w:t>
      </w:r>
      <w:r w:rsidR="00093024" w:rsidRPr="00C27992">
        <w:rPr>
          <w:rFonts w:ascii="Palatino Linotype" w:hAnsi="Palatino Linotype"/>
          <w:color w:val="000000" w:themeColor="text1"/>
        </w:rPr>
        <w:t>Boletín Laboral</w:t>
      </w:r>
      <w:r w:rsidRPr="00C27992">
        <w:rPr>
          <w:rFonts w:ascii="Palatino Linotype" w:hAnsi="Palatino Linotype"/>
          <w:color w:val="000000" w:themeColor="text1"/>
        </w:rPr>
        <w:t>, de modo tal que resultan procedentes las razones o motivos argüidos por el particular.</w:t>
      </w:r>
    </w:p>
    <w:p w:rsidR="00BB7E5D" w:rsidRPr="00C27992" w:rsidRDefault="00BB7E5D" w:rsidP="00BB7E5D">
      <w:pPr>
        <w:pStyle w:val="Prrafodelista"/>
        <w:rPr>
          <w:rFonts w:ascii="Palatino Linotype" w:hAnsi="Palatino Linotype"/>
          <w:color w:val="000000" w:themeColor="text1"/>
        </w:rPr>
      </w:pPr>
    </w:p>
    <w:p w:rsidR="00BB7E5D" w:rsidRPr="00C27992" w:rsidRDefault="004A264F" w:rsidP="008941CE">
      <w:pPr>
        <w:numPr>
          <w:ilvl w:val="0"/>
          <w:numId w:val="1"/>
        </w:numPr>
        <w:spacing w:line="360" w:lineRule="auto"/>
        <w:ind w:left="0" w:firstLine="0"/>
        <w:contextualSpacing/>
        <w:jc w:val="both"/>
        <w:rPr>
          <w:rFonts w:ascii="Palatino Linotype" w:hAnsi="Palatino Linotype"/>
          <w:color w:val="000000" w:themeColor="text1"/>
        </w:rPr>
      </w:pPr>
      <w:r w:rsidRPr="00C27992">
        <w:rPr>
          <w:rFonts w:ascii="Palatino Linotype" w:hAnsi="Palatino Linotype"/>
          <w:color w:val="000000" w:themeColor="text1"/>
        </w:rPr>
        <w:t>En esa tesitura</w:t>
      </w:r>
      <w:r w:rsidR="00BB7E5D" w:rsidRPr="00C27992">
        <w:rPr>
          <w:rFonts w:ascii="Palatino Linotype" w:hAnsi="Palatino Linotype"/>
          <w:color w:val="000000" w:themeColor="text1"/>
        </w:rPr>
        <w:t xml:space="preserve">, resulta dable modificar la respuesta del </w:t>
      </w:r>
      <w:r w:rsidR="00BB7E5D" w:rsidRPr="00C27992">
        <w:rPr>
          <w:rFonts w:ascii="Palatino Linotype" w:hAnsi="Palatino Linotype"/>
          <w:b/>
          <w:color w:val="000000" w:themeColor="text1"/>
        </w:rPr>
        <w:t>SUJETO OBLIGADO</w:t>
      </w:r>
      <w:r w:rsidR="00BB7E5D" w:rsidRPr="00C27992">
        <w:rPr>
          <w:rFonts w:ascii="Palatino Linotype" w:hAnsi="Palatino Linotype"/>
          <w:color w:val="000000" w:themeColor="text1"/>
        </w:rPr>
        <w:t xml:space="preserve"> a efecto de ordenar que entregue el documento de referencia, sin que exista la necesidad de realizar un análisis pormenorizado de su fuente obligacional para determinar si generó, posee o administra la información; toda vez que este ya la asumió de manera expresa, por lo que resultaría ocioso realizar un análisis pormenorizado de sus atribuciones para concluir –se insiste– algo que ya asumió, tan es así que refiero que </w:t>
      </w:r>
      <w:r w:rsidR="00A323DA" w:rsidRPr="00C27992">
        <w:rPr>
          <w:rFonts w:ascii="Palatino Linotype" w:hAnsi="Palatino Linotype"/>
          <w:color w:val="000000" w:themeColor="text1"/>
        </w:rPr>
        <w:t>ya fue debidamente notificada a la parte demandada en fecha dieciséis (16) de octubre del año 2018.</w:t>
      </w:r>
    </w:p>
    <w:p w:rsidR="00A323DA" w:rsidRPr="00C27992" w:rsidRDefault="00A323DA" w:rsidP="00A323DA">
      <w:pPr>
        <w:pStyle w:val="Prrafodelista"/>
        <w:rPr>
          <w:rFonts w:ascii="Palatino Linotype" w:hAnsi="Palatino Linotype"/>
          <w:color w:val="000000" w:themeColor="text1"/>
        </w:rPr>
      </w:pPr>
    </w:p>
    <w:p w:rsidR="00A323DA" w:rsidRPr="00C27992" w:rsidRDefault="00A323DA" w:rsidP="00A323DA">
      <w:pPr>
        <w:numPr>
          <w:ilvl w:val="0"/>
          <w:numId w:val="1"/>
        </w:numPr>
        <w:spacing w:line="360" w:lineRule="auto"/>
        <w:ind w:left="0" w:firstLine="0"/>
        <w:contextualSpacing/>
        <w:jc w:val="both"/>
        <w:rPr>
          <w:rFonts w:ascii="Palatino Linotype" w:hAnsi="Palatino Linotype"/>
          <w:color w:val="000000" w:themeColor="text1"/>
        </w:rPr>
      </w:pPr>
      <w:r w:rsidRPr="00C27992">
        <w:rPr>
          <w:rFonts w:ascii="Palatino Linotype" w:hAnsi="Palatino Linotype"/>
          <w:color w:val="000000" w:themeColor="text1"/>
        </w:rPr>
        <w:t xml:space="preserve">De modo tal que deberá entregar el soporte documental donde conste o se advierta la notificación de referencia, o bien el hipervínculo de Internet donde conste la notificación, en virtud de que como se señaló, de acuerdo a lo manifestado por el </w:t>
      </w:r>
      <w:r w:rsidRPr="00C27992">
        <w:rPr>
          <w:rFonts w:ascii="Palatino Linotype" w:hAnsi="Palatino Linotype"/>
          <w:b/>
          <w:color w:val="000000" w:themeColor="text1"/>
        </w:rPr>
        <w:t>SUJETO OBLIGADO</w:t>
      </w:r>
      <w:r w:rsidRPr="00C27992">
        <w:rPr>
          <w:rFonts w:ascii="Palatino Linotype" w:hAnsi="Palatino Linotype"/>
          <w:color w:val="000000" w:themeColor="text1"/>
        </w:rPr>
        <w:t xml:space="preserve">, se realizó mediante boletín laboral, </w:t>
      </w:r>
      <w:r w:rsidR="004A264F" w:rsidRPr="00C27992">
        <w:rPr>
          <w:rFonts w:ascii="Palatino Linotype" w:hAnsi="Palatino Linotype"/>
          <w:color w:val="000000" w:themeColor="text1"/>
        </w:rPr>
        <w:t>d</w:t>
      </w:r>
      <w:r w:rsidRPr="00C27992">
        <w:rPr>
          <w:rFonts w:ascii="Palatino Linotype" w:hAnsi="Palatino Linotype"/>
          <w:color w:val="000000" w:themeColor="text1"/>
        </w:rPr>
        <w:t>el cual tiene el deber de mantener actualizado, las notificaciones emitidas por las unidades administrativas y salas del Tribunal Estatal de Conciliación y Arbitraje, como se desprende del Artículo 14 Fracción VII del Reglamento Interior del Tribunal Estatal de Conciliación y Arbitraje, a saber:</w:t>
      </w:r>
    </w:p>
    <w:p w:rsidR="00A323DA" w:rsidRPr="00C27992" w:rsidRDefault="00A323DA" w:rsidP="00A323DA">
      <w:pPr>
        <w:pStyle w:val="Prrafodelista"/>
        <w:rPr>
          <w:rFonts w:ascii="Palatino Linotype" w:hAnsi="Palatino Linotype"/>
          <w:color w:val="000000" w:themeColor="text1"/>
        </w:rPr>
      </w:pPr>
    </w:p>
    <w:p w:rsidR="00A323DA" w:rsidRPr="00C27992" w:rsidRDefault="00A323DA" w:rsidP="00A323DA">
      <w:pPr>
        <w:spacing w:line="360" w:lineRule="auto"/>
        <w:ind w:left="426" w:right="333"/>
        <w:contextualSpacing/>
        <w:jc w:val="both"/>
        <w:rPr>
          <w:rFonts w:ascii="Palatino Linotype" w:hAnsi="Palatino Linotype"/>
          <w:i/>
          <w:color w:val="000000" w:themeColor="text1"/>
        </w:rPr>
      </w:pPr>
      <w:r w:rsidRPr="00C27992">
        <w:rPr>
          <w:rFonts w:ascii="Palatino Linotype" w:hAnsi="Palatino Linotype"/>
          <w:i/>
          <w:color w:val="000000" w:themeColor="text1"/>
        </w:rPr>
        <w:t>“Artículo 14.- La Secretaría General Operativa estará a cargo de un Secretario General Operativo y tendrá además las facultades y obligaciones siguientes:</w:t>
      </w:r>
    </w:p>
    <w:p w:rsidR="00A323DA" w:rsidRPr="00C27992" w:rsidRDefault="00A323DA" w:rsidP="00A323DA">
      <w:pPr>
        <w:spacing w:line="360" w:lineRule="auto"/>
        <w:ind w:left="426" w:right="333"/>
        <w:contextualSpacing/>
        <w:jc w:val="both"/>
        <w:rPr>
          <w:rFonts w:ascii="Palatino Linotype" w:hAnsi="Palatino Linotype"/>
          <w:i/>
          <w:color w:val="000000" w:themeColor="text1"/>
        </w:rPr>
      </w:pPr>
      <w:r w:rsidRPr="00C27992">
        <w:rPr>
          <w:rFonts w:ascii="Palatino Linotype" w:hAnsi="Palatino Linotype"/>
          <w:i/>
          <w:color w:val="000000" w:themeColor="text1"/>
        </w:rPr>
        <w:t>...</w:t>
      </w:r>
    </w:p>
    <w:p w:rsidR="00A323DA" w:rsidRPr="00C27992" w:rsidRDefault="00A323DA" w:rsidP="00A323DA">
      <w:pPr>
        <w:spacing w:line="360" w:lineRule="auto"/>
        <w:ind w:left="426" w:right="333"/>
        <w:contextualSpacing/>
        <w:jc w:val="both"/>
        <w:rPr>
          <w:rFonts w:ascii="Palatino Linotype" w:hAnsi="Palatino Linotype"/>
          <w:i/>
          <w:color w:val="000000" w:themeColor="text1"/>
        </w:rPr>
      </w:pPr>
      <w:r w:rsidRPr="00C27992">
        <w:rPr>
          <w:rFonts w:ascii="Palatino Linotype" w:hAnsi="Palatino Linotype"/>
          <w:i/>
          <w:color w:val="000000" w:themeColor="text1"/>
        </w:rPr>
        <w:lastRenderedPageBreak/>
        <w:t xml:space="preserve">VII. Coordinar, organizar y revisar </w:t>
      </w:r>
      <w:r w:rsidRPr="00C27992">
        <w:rPr>
          <w:rFonts w:ascii="Palatino Linotype" w:hAnsi="Palatino Linotype"/>
          <w:b/>
          <w:i/>
          <w:color w:val="000000" w:themeColor="text1"/>
        </w:rPr>
        <w:t>la publicación diaria del Boletín, el que contendrá una lista de las notificaciones que hagan las</w:t>
      </w:r>
      <w:r w:rsidRPr="00C27992">
        <w:rPr>
          <w:rFonts w:ascii="Palatino Linotype" w:hAnsi="Palatino Linotype"/>
          <w:i/>
          <w:color w:val="000000" w:themeColor="text1"/>
        </w:rPr>
        <w:t xml:space="preserve"> diversas unidades administrativas del Tribunal </w:t>
      </w:r>
      <w:r w:rsidRPr="00C27992">
        <w:rPr>
          <w:rFonts w:ascii="Palatino Linotype" w:hAnsi="Palatino Linotype"/>
          <w:b/>
          <w:i/>
          <w:color w:val="000000" w:themeColor="text1"/>
        </w:rPr>
        <w:t>y de las Salas</w:t>
      </w:r>
      <w:r w:rsidRPr="00C27992">
        <w:rPr>
          <w:rFonts w:ascii="Palatino Linotype" w:hAnsi="Palatino Linotype"/>
          <w:i/>
          <w:color w:val="000000" w:themeColor="text1"/>
        </w:rPr>
        <w:t xml:space="preserve"> o cualquier publicación que estime conveniente el Presidente del Tribunal;</w:t>
      </w:r>
    </w:p>
    <w:p w:rsidR="00A323DA" w:rsidRPr="00C27992" w:rsidRDefault="00A323DA" w:rsidP="00A323DA">
      <w:pPr>
        <w:spacing w:line="360" w:lineRule="auto"/>
        <w:ind w:left="426" w:right="333"/>
        <w:contextualSpacing/>
        <w:jc w:val="both"/>
        <w:rPr>
          <w:rFonts w:ascii="Palatino Linotype" w:hAnsi="Palatino Linotype"/>
          <w:i/>
          <w:color w:val="000000" w:themeColor="text1"/>
        </w:rPr>
      </w:pPr>
      <w:r w:rsidRPr="00C27992">
        <w:rPr>
          <w:rFonts w:ascii="Palatino Linotype" w:hAnsi="Palatino Linotype"/>
          <w:i/>
          <w:color w:val="000000" w:themeColor="text1"/>
        </w:rPr>
        <w:t>...”</w:t>
      </w:r>
    </w:p>
    <w:p w:rsidR="009A458E" w:rsidRPr="00C27992" w:rsidRDefault="009A458E" w:rsidP="00A323DA">
      <w:pPr>
        <w:spacing w:line="360" w:lineRule="auto"/>
        <w:ind w:left="426" w:right="333"/>
        <w:contextualSpacing/>
        <w:jc w:val="both"/>
        <w:rPr>
          <w:rFonts w:ascii="Palatino Linotype" w:hAnsi="Palatino Linotype"/>
          <w:color w:val="000000" w:themeColor="text1"/>
        </w:rPr>
      </w:pPr>
      <w:r w:rsidRPr="00C27992">
        <w:rPr>
          <w:rFonts w:ascii="Palatino Linotype" w:hAnsi="Palatino Linotype"/>
          <w:color w:val="000000" w:themeColor="text1"/>
        </w:rPr>
        <w:t>Énfasis añadido</w:t>
      </w:r>
    </w:p>
    <w:p w:rsidR="009A458E" w:rsidRPr="00C27992" w:rsidRDefault="009A458E" w:rsidP="00A323DA">
      <w:pPr>
        <w:spacing w:line="360" w:lineRule="auto"/>
        <w:ind w:left="426" w:right="333"/>
        <w:contextualSpacing/>
        <w:jc w:val="both"/>
        <w:rPr>
          <w:rFonts w:ascii="Palatino Linotype" w:hAnsi="Palatino Linotype"/>
          <w:color w:val="000000" w:themeColor="text1"/>
        </w:rPr>
      </w:pPr>
    </w:p>
    <w:p w:rsidR="00007B29" w:rsidRPr="00C27992" w:rsidRDefault="00007B29" w:rsidP="00007B29">
      <w:pPr>
        <w:numPr>
          <w:ilvl w:val="0"/>
          <w:numId w:val="1"/>
        </w:numPr>
        <w:spacing w:line="360" w:lineRule="auto"/>
        <w:ind w:left="0" w:firstLine="0"/>
        <w:contextualSpacing/>
        <w:jc w:val="both"/>
        <w:rPr>
          <w:rFonts w:ascii="Palatino Linotype" w:hAnsi="Palatino Linotype"/>
          <w:color w:val="000000"/>
        </w:rPr>
      </w:pPr>
      <w:r w:rsidRPr="00C27992">
        <w:rPr>
          <w:rFonts w:ascii="Palatino Linotype" w:hAnsi="Palatino Linotype"/>
          <w:color w:val="000000"/>
        </w:rPr>
        <w:t xml:space="preserve">Ahora bien, la finalidad del Boletín Laboral Burocrático, no se publica con el </w:t>
      </w:r>
      <w:r w:rsidRPr="00C27992">
        <w:rPr>
          <w:rFonts w:ascii="Palatino Linotype" w:hAnsi="Palatino Linotype"/>
          <w:color w:val="000000" w:themeColor="text1"/>
        </w:rPr>
        <w:t>objetivo</w:t>
      </w:r>
      <w:r w:rsidRPr="00C27992">
        <w:rPr>
          <w:rFonts w:ascii="Palatino Linotype" w:hAnsi="Palatino Linotype"/>
          <w:color w:val="000000"/>
        </w:rPr>
        <w:t xml:space="preserve"> de que cualquier persona almacene en dispositivos personales información de </w:t>
      </w:r>
      <w:r w:rsidRPr="00C27992">
        <w:rPr>
          <w:rFonts w:ascii="Palatino Linotype" w:hAnsi="Palatino Linotype"/>
          <w:color w:val="000000" w:themeColor="text1"/>
        </w:rPr>
        <w:t>particulares</w:t>
      </w:r>
      <w:r w:rsidRPr="00C27992">
        <w:rPr>
          <w:rFonts w:ascii="Palatino Linotype" w:hAnsi="Palatino Linotype"/>
          <w:color w:val="000000"/>
        </w:rPr>
        <w:t xml:space="preserve"> que demandan a instituciones públicas, con el objetivo de hacerlos identificados o identificables, de acuerdo a lo dispuesto en la  Ley del Trabajo de los Servidores Públicos del Estado y Municipios, en sus artículos 213 y 231, a saber:</w:t>
      </w:r>
    </w:p>
    <w:p w:rsidR="00007B29" w:rsidRPr="00C27992" w:rsidRDefault="00007B29" w:rsidP="00007B29">
      <w:pPr>
        <w:spacing w:line="360" w:lineRule="auto"/>
        <w:contextualSpacing/>
        <w:jc w:val="both"/>
        <w:rPr>
          <w:rFonts w:ascii="Palatino Linotype" w:hAnsi="Palatino Linotype"/>
          <w:color w:val="000000"/>
        </w:rPr>
      </w:pPr>
    </w:p>
    <w:p w:rsidR="00007B29" w:rsidRPr="00C27992" w:rsidRDefault="00007B29" w:rsidP="00007B29">
      <w:pPr>
        <w:spacing w:line="360" w:lineRule="auto"/>
        <w:ind w:left="502" w:right="758"/>
        <w:contextualSpacing/>
        <w:jc w:val="both"/>
        <w:rPr>
          <w:rFonts w:ascii="Palatino Linotype" w:hAnsi="Palatino Linotype"/>
          <w:i/>
          <w:color w:val="000000"/>
        </w:rPr>
      </w:pPr>
      <w:r w:rsidRPr="00C27992">
        <w:rPr>
          <w:rFonts w:ascii="Palatino Linotype" w:hAnsi="Palatino Linotype"/>
          <w:i/>
          <w:color w:val="000000"/>
        </w:rPr>
        <w:t>“ARTÍCULO 213.- Las partes desde el escrito inicial de demanda y de la contestación a la misma, respectivamente, así como los terceros interesados, deberán señalar domicilio dentro del municipio de la residencia del Tribunal o de las Salas que se trate o bien, correo electrónico, previa autorización de las partes, para recibir notificaciones; si no lo hacen, las notificaciones personales y de cualquier índole, se harán por estrados o boletín laboral.”</w:t>
      </w:r>
    </w:p>
    <w:p w:rsidR="00007B29" w:rsidRPr="00C27992" w:rsidRDefault="00007B29" w:rsidP="00007B29">
      <w:pPr>
        <w:spacing w:line="360" w:lineRule="auto"/>
        <w:ind w:left="502" w:right="758"/>
        <w:contextualSpacing/>
        <w:jc w:val="both"/>
        <w:rPr>
          <w:rFonts w:ascii="Palatino Linotype" w:hAnsi="Palatino Linotype"/>
          <w:i/>
          <w:color w:val="000000"/>
        </w:rPr>
      </w:pPr>
    </w:p>
    <w:p w:rsidR="00007B29" w:rsidRPr="00C27992" w:rsidRDefault="00007B29" w:rsidP="00007B29">
      <w:pPr>
        <w:spacing w:line="360" w:lineRule="auto"/>
        <w:ind w:left="502" w:right="758"/>
        <w:contextualSpacing/>
        <w:jc w:val="both"/>
        <w:rPr>
          <w:rFonts w:ascii="Palatino Linotype" w:hAnsi="Palatino Linotype"/>
          <w:i/>
          <w:color w:val="000000"/>
        </w:rPr>
      </w:pPr>
      <w:r w:rsidRPr="00C27992">
        <w:rPr>
          <w:rFonts w:ascii="Palatino Linotype" w:hAnsi="Palatino Linotype"/>
          <w:i/>
          <w:color w:val="000000"/>
        </w:rPr>
        <w:t xml:space="preserve">“ARTÍCULO 231.- La falta de notificación de alguno de los demandados obliga al Tribunal o a la Sala a señalar de oficio, nuevo día y hora para la celebración de la audiencia, la cual deberá desahogarse dentro de los siguientes tres días hábiles, salvo que las partes concurran a ella o cuando el actor se desista de las </w:t>
      </w:r>
      <w:r w:rsidRPr="00C27992">
        <w:rPr>
          <w:rFonts w:ascii="Palatino Linotype" w:hAnsi="Palatino Linotype"/>
          <w:i/>
          <w:color w:val="000000"/>
        </w:rPr>
        <w:lastRenderedPageBreak/>
        <w:t>acciones intentadas en contra de los demandados que no hubieran sido notificados.</w:t>
      </w:r>
    </w:p>
    <w:p w:rsidR="00007B29" w:rsidRPr="00C27992" w:rsidRDefault="00007B29" w:rsidP="00007B29">
      <w:pPr>
        <w:spacing w:line="360" w:lineRule="auto"/>
        <w:ind w:left="502" w:right="758"/>
        <w:contextualSpacing/>
        <w:jc w:val="both"/>
        <w:rPr>
          <w:rFonts w:ascii="Palatino Linotype" w:hAnsi="Palatino Linotype"/>
          <w:i/>
          <w:color w:val="000000"/>
        </w:rPr>
      </w:pPr>
      <w:r w:rsidRPr="00C27992">
        <w:rPr>
          <w:rFonts w:ascii="Palatino Linotype" w:hAnsi="Palatino Linotype"/>
          <w:i/>
          <w:color w:val="000000"/>
        </w:rPr>
        <w:t>Las partes que comparezcan a la audiencia quedarán notificadas de la nueva fecha para su celebración. A las partes que habiendo sido notificadas no concurran a la audiencia, se les notificará por estrados o por boletín la nueva fecha de la audiencia, y a las que no fueron notificadas se les hará personalmente”</w:t>
      </w:r>
    </w:p>
    <w:p w:rsidR="00007B29" w:rsidRPr="00C27992" w:rsidRDefault="00007B29" w:rsidP="00007B29">
      <w:pPr>
        <w:spacing w:line="360" w:lineRule="auto"/>
        <w:contextualSpacing/>
        <w:jc w:val="both"/>
        <w:rPr>
          <w:rFonts w:ascii="Palatino Linotype" w:hAnsi="Palatino Linotype"/>
          <w:color w:val="000000"/>
        </w:rPr>
      </w:pPr>
    </w:p>
    <w:p w:rsidR="00007B29" w:rsidRPr="00C27992" w:rsidRDefault="00007B29" w:rsidP="00007B29">
      <w:pPr>
        <w:numPr>
          <w:ilvl w:val="0"/>
          <w:numId w:val="1"/>
        </w:numPr>
        <w:spacing w:line="360" w:lineRule="auto"/>
        <w:ind w:left="0" w:firstLine="0"/>
        <w:contextualSpacing/>
        <w:jc w:val="both"/>
        <w:rPr>
          <w:rFonts w:ascii="Palatino Linotype" w:hAnsi="Palatino Linotype"/>
          <w:color w:val="000000"/>
        </w:rPr>
      </w:pPr>
      <w:r w:rsidRPr="00C27992">
        <w:rPr>
          <w:rFonts w:ascii="Palatino Linotype" w:hAnsi="Palatino Linotype"/>
          <w:color w:val="000000"/>
        </w:rPr>
        <w:t xml:space="preserve">De lo anterior, se advierte que el Boletín, sirve como mecanismo para notificar las </w:t>
      </w:r>
      <w:r w:rsidRPr="00C27992">
        <w:rPr>
          <w:rFonts w:ascii="Palatino Linotype" w:hAnsi="Palatino Linotype" w:cs="Arial"/>
          <w:color w:val="000000" w:themeColor="text1"/>
        </w:rPr>
        <w:t>diversas</w:t>
      </w:r>
      <w:r w:rsidRPr="00C27992">
        <w:rPr>
          <w:rFonts w:ascii="Palatino Linotype" w:hAnsi="Palatino Linotype"/>
          <w:color w:val="000000"/>
        </w:rPr>
        <w:t xml:space="preserve"> diligencias y actuaciones que realiza el Tribunal Estatal de Conciliación y Arbitraje; para desarrollar las diversas etapas que comprende el juicio laboral, asimismo tiene como finalidad dar publicidad a ambas partes de las actuaciones y diligencias que realizó o realizara dicho Tribunal y con ello, se advierte que su finalidad atiende estrictamente a las partes y no se relaciona con la generación de bancos de datos para fines personales o que se hagan públicas para conocer el nombre de quienes han interpuesto juicios en contra de los Entes del Estado; sino que solo atañe a las partes en el juicio.</w:t>
      </w:r>
    </w:p>
    <w:p w:rsidR="00007B29" w:rsidRPr="00C27992" w:rsidRDefault="00007B29" w:rsidP="00007B29">
      <w:pPr>
        <w:numPr>
          <w:ilvl w:val="0"/>
          <w:numId w:val="1"/>
        </w:numPr>
        <w:spacing w:line="360" w:lineRule="auto"/>
        <w:ind w:left="0" w:firstLine="0"/>
        <w:contextualSpacing/>
        <w:jc w:val="both"/>
        <w:rPr>
          <w:rFonts w:ascii="Palatino Linotype" w:hAnsi="Palatino Linotype"/>
          <w:color w:val="000000"/>
        </w:rPr>
      </w:pPr>
      <w:r w:rsidRPr="00C27992">
        <w:rPr>
          <w:rFonts w:ascii="Palatino Linotype" w:hAnsi="Palatino Linotype"/>
          <w:color w:val="000000"/>
        </w:rPr>
        <w:t>En efecto el artículo 22 de la Ley de Protección de Datos Personales del Estado de México, establece que todo tratamiento de datos personales, deberá estar justificado por las finalidades concretas, lícitas, explícitas y legítimas, relacionadas con las atribuciones que la normatividad les confiera, por tal motivo, al estar claramente establecido que la finalidad del Boletín es realizar notificaciones a las partes en juicio.</w:t>
      </w:r>
    </w:p>
    <w:p w:rsidR="00007B29" w:rsidRPr="00C27992" w:rsidRDefault="00007B29" w:rsidP="00007B29">
      <w:pPr>
        <w:spacing w:line="360" w:lineRule="auto"/>
        <w:ind w:left="502"/>
        <w:contextualSpacing/>
        <w:jc w:val="both"/>
        <w:rPr>
          <w:rFonts w:ascii="Palatino Linotype" w:hAnsi="Palatino Linotype"/>
          <w:color w:val="000000"/>
        </w:rPr>
      </w:pPr>
    </w:p>
    <w:p w:rsidR="009A458E" w:rsidRPr="00C27992" w:rsidRDefault="009A458E" w:rsidP="009A458E">
      <w:pPr>
        <w:numPr>
          <w:ilvl w:val="0"/>
          <w:numId w:val="1"/>
        </w:numPr>
        <w:spacing w:line="360" w:lineRule="auto"/>
        <w:ind w:left="0" w:firstLine="0"/>
        <w:contextualSpacing/>
        <w:jc w:val="both"/>
        <w:rPr>
          <w:rFonts w:ascii="Palatino Linotype" w:hAnsi="Palatino Linotype"/>
          <w:color w:val="000000"/>
        </w:rPr>
      </w:pPr>
      <w:r w:rsidRPr="00C27992">
        <w:rPr>
          <w:rFonts w:ascii="Palatino Linotype" w:hAnsi="Palatino Linotype" w:cs="Arial"/>
          <w:color w:val="000000" w:themeColor="text1"/>
        </w:rPr>
        <w:lastRenderedPageBreak/>
        <w:t xml:space="preserve">En ese orden de ideas, es de mencionar que </w:t>
      </w:r>
      <w:r w:rsidRPr="00C27992">
        <w:rPr>
          <w:rFonts w:ascii="Palatino Linotype" w:eastAsia="Calibri" w:hAnsi="Palatino Linotype"/>
        </w:rPr>
        <w:t>la entrega un hipervínculo, del cual se pueden obtener la información</w:t>
      </w:r>
      <w:r w:rsidRPr="00C27992">
        <w:rPr>
          <w:rFonts w:ascii="Palatino Linotype" w:hAnsi="Palatino Linotype"/>
          <w:color w:val="000000"/>
        </w:rPr>
        <w:t xml:space="preserve">, ciertamente </w:t>
      </w:r>
      <w:r w:rsidR="004A264F" w:rsidRPr="00C27992">
        <w:rPr>
          <w:rFonts w:ascii="Palatino Linotype" w:hAnsi="Palatino Linotype"/>
          <w:color w:val="000000"/>
        </w:rPr>
        <w:t xml:space="preserve">también </w:t>
      </w:r>
      <w:r w:rsidRPr="00C27992">
        <w:rPr>
          <w:rFonts w:ascii="Palatino Linotype" w:hAnsi="Palatino Linotype"/>
          <w:color w:val="000000"/>
        </w:rPr>
        <w:t>puede colmar el derecho de acceso a la información de los particulares cuando se cumplan los requisitos que establece la ley de la materia.</w:t>
      </w:r>
    </w:p>
    <w:p w:rsidR="009A458E" w:rsidRPr="00C27992" w:rsidRDefault="009A458E" w:rsidP="009A458E">
      <w:pPr>
        <w:pStyle w:val="Prrafodelista"/>
        <w:spacing w:line="360" w:lineRule="auto"/>
        <w:rPr>
          <w:rFonts w:ascii="Palatino Linotype" w:hAnsi="Palatino Linotype"/>
          <w:color w:val="000000"/>
        </w:rPr>
      </w:pPr>
    </w:p>
    <w:p w:rsidR="009A458E" w:rsidRPr="00C27992" w:rsidRDefault="009A458E" w:rsidP="009A458E">
      <w:pPr>
        <w:numPr>
          <w:ilvl w:val="0"/>
          <w:numId w:val="1"/>
        </w:numPr>
        <w:spacing w:line="360" w:lineRule="auto"/>
        <w:ind w:left="0" w:firstLine="0"/>
        <w:contextualSpacing/>
        <w:jc w:val="both"/>
        <w:rPr>
          <w:rFonts w:ascii="Palatino Linotype" w:eastAsia="MS Mincho" w:hAnsi="Palatino Linotype" w:cs="Tahoma"/>
        </w:rPr>
      </w:pPr>
      <w:r w:rsidRPr="00C27992">
        <w:rPr>
          <w:rFonts w:ascii="Palatino Linotype" w:eastAsia="MS Mincho" w:hAnsi="Palatino Linotype" w:cs="Tahoma"/>
        </w:rPr>
        <w:t>En esa tesitura, la Ley de Transparencia y Acceso a la Información Pública del Estado de México y Municipios en su artículo 161, establece lo siguiente:</w:t>
      </w:r>
    </w:p>
    <w:p w:rsidR="009A458E" w:rsidRPr="00C27992" w:rsidRDefault="009A458E" w:rsidP="009A458E">
      <w:pPr>
        <w:pStyle w:val="Prrafodelista"/>
        <w:rPr>
          <w:rFonts w:ascii="Palatino Linotype" w:eastAsia="MS Mincho" w:hAnsi="Palatino Linotype" w:cs="Tahoma"/>
        </w:rPr>
      </w:pPr>
    </w:p>
    <w:p w:rsidR="009A458E" w:rsidRPr="00C27992" w:rsidRDefault="009A458E" w:rsidP="009A458E">
      <w:pPr>
        <w:pStyle w:val="Prrafodelista"/>
        <w:widowControl w:val="0"/>
        <w:autoSpaceDE w:val="0"/>
        <w:autoSpaceDN w:val="0"/>
        <w:adjustRightInd w:val="0"/>
        <w:spacing w:line="360" w:lineRule="auto"/>
        <w:ind w:left="426" w:right="474"/>
        <w:jc w:val="both"/>
        <w:rPr>
          <w:rFonts w:ascii="Palatino Linotype" w:eastAsia="MS Mincho" w:hAnsi="Palatino Linotype" w:cs="Tahoma"/>
          <w:i/>
        </w:rPr>
      </w:pPr>
      <w:r w:rsidRPr="00C27992">
        <w:rPr>
          <w:rFonts w:ascii="Palatino Linotype" w:eastAsia="MS Mincho" w:hAnsi="Palatino Linotype" w:cs="Tahoma"/>
          <w:i/>
        </w:rPr>
        <w:t>“</w:t>
      </w:r>
      <w:r w:rsidRPr="00C27992">
        <w:rPr>
          <w:rFonts w:ascii="Palatino Linotype" w:eastAsia="MS Mincho" w:hAnsi="Palatino Linotype" w:cs="Tahoma"/>
          <w:b/>
          <w:i/>
        </w:rPr>
        <w:t>Artículo 161.</w:t>
      </w:r>
      <w:r w:rsidRPr="00C27992">
        <w:rPr>
          <w:rFonts w:ascii="Palatino Linotype" w:eastAsia="MS Mincho" w:hAnsi="Palatino Linotype" w:cs="Tahoma"/>
          <w:i/>
        </w:rPr>
        <w:t xml:space="preserve"> </w:t>
      </w:r>
      <w:r w:rsidRPr="00C27992">
        <w:rPr>
          <w:rFonts w:ascii="Palatino Linotype" w:eastAsia="MS Mincho" w:hAnsi="Palatino Linotype" w:cs="Tahoma"/>
          <w:b/>
          <w:i/>
        </w:rPr>
        <w:t>Cuando la información requerida por el solicitante ya esté disponible al público en medios</w:t>
      </w:r>
      <w:r w:rsidRPr="00C27992">
        <w:rPr>
          <w:rFonts w:ascii="Palatino Linotype" w:eastAsia="MS Mincho" w:hAnsi="Palatino Linotype" w:cs="Tahoma"/>
          <w:i/>
        </w:rPr>
        <w:t xml:space="preserve"> </w:t>
      </w:r>
      <w:r w:rsidRPr="00C27992">
        <w:rPr>
          <w:rFonts w:ascii="Palatino Linotype" w:eastAsia="MS Mincho" w:hAnsi="Palatino Linotype" w:cs="Tahoma"/>
          <w:b/>
          <w:i/>
        </w:rPr>
        <w:t>impresos, tales como</w:t>
      </w:r>
      <w:r w:rsidRPr="00C27992">
        <w:rPr>
          <w:rFonts w:ascii="Palatino Linotype" w:eastAsia="MS Mincho" w:hAnsi="Palatino Linotype" w:cs="Tahoma"/>
          <w:i/>
        </w:rPr>
        <w:t xml:space="preserve"> </w:t>
      </w:r>
      <w:r w:rsidRPr="00C27992">
        <w:rPr>
          <w:rFonts w:ascii="Palatino Linotype" w:eastAsia="MS Mincho" w:hAnsi="Palatino Linotype" w:cs="Tahoma"/>
          <w:b/>
          <w:i/>
        </w:rPr>
        <w:t>libros, compendios</w:t>
      </w:r>
      <w:r w:rsidRPr="00C27992">
        <w:rPr>
          <w:rFonts w:ascii="Palatino Linotype" w:eastAsia="MS Mincho" w:hAnsi="Palatino Linotype" w:cs="Tahoma"/>
          <w:i/>
        </w:rPr>
        <w:t xml:space="preserve">, trípticos, registros públicos, </w:t>
      </w:r>
      <w:r w:rsidRPr="00C27992">
        <w:rPr>
          <w:rFonts w:ascii="Palatino Linotype" w:eastAsia="MS Mincho" w:hAnsi="Palatino Linotype" w:cs="Tahoma"/>
          <w:b/>
          <w:i/>
        </w:rPr>
        <w:t>en formatos electrónicos disponibles en Internet</w:t>
      </w:r>
      <w:r w:rsidRPr="00C27992">
        <w:rPr>
          <w:rFonts w:ascii="Palatino Linotype" w:eastAsia="MS Mincho" w:hAnsi="Palatino Linotype" w:cs="Tahoma"/>
          <w:i/>
        </w:rPr>
        <w:t xml:space="preserve"> o en cualquier otro medio, </w:t>
      </w:r>
      <w:r w:rsidRPr="00C27992">
        <w:rPr>
          <w:rFonts w:ascii="Palatino Linotype" w:eastAsia="MS Mincho" w:hAnsi="Palatino Linotype" w:cs="Tahoma"/>
          <w:b/>
          <w:i/>
        </w:rPr>
        <w:t xml:space="preserve">se le hará saber por el medio requerido por el solicitante la fuente, el lugar y la forma en que puede consultar, reproducir o adquirir dicha información </w:t>
      </w:r>
      <w:r w:rsidRPr="00C27992">
        <w:rPr>
          <w:rFonts w:ascii="Palatino Linotype" w:eastAsia="MS Mincho" w:hAnsi="Palatino Linotype" w:cs="Tahoma"/>
          <w:i/>
        </w:rPr>
        <w:t xml:space="preserve">en un plazo no mayor a cinco días hábiles. </w:t>
      </w:r>
      <w:r w:rsidRPr="00C27992">
        <w:rPr>
          <w:rFonts w:ascii="Palatino Linotype" w:eastAsia="MS Mincho" w:hAnsi="Palatino Linotype" w:cs="Tahoma"/>
          <w:b/>
          <w:i/>
        </w:rPr>
        <w:t xml:space="preserve">La fuente deberá ser precisa y concreta </w:t>
      </w:r>
      <w:r w:rsidRPr="00C27992">
        <w:rPr>
          <w:rFonts w:ascii="Palatino Linotype" w:eastAsia="MS Mincho" w:hAnsi="Palatino Linotype" w:cs="Tahoma"/>
          <w:i/>
        </w:rPr>
        <w:t>y no debe implicar que el solicitante realice una búsqueda en toda la información que se encuentre disponible.”</w:t>
      </w:r>
    </w:p>
    <w:p w:rsidR="009A458E" w:rsidRPr="00C27992" w:rsidRDefault="009A458E" w:rsidP="009A458E">
      <w:pPr>
        <w:pStyle w:val="Prrafodelista"/>
        <w:widowControl w:val="0"/>
        <w:autoSpaceDE w:val="0"/>
        <w:autoSpaceDN w:val="0"/>
        <w:adjustRightInd w:val="0"/>
        <w:spacing w:line="360" w:lineRule="auto"/>
        <w:ind w:left="426" w:right="474"/>
        <w:jc w:val="both"/>
        <w:rPr>
          <w:rFonts w:ascii="Palatino Linotype" w:eastAsia="MS Mincho" w:hAnsi="Palatino Linotype" w:cs="Tahoma"/>
        </w:rPr>
      </w:pPr>
      <w:r w:rsidRPr="00C27992">
        <w:rPr>
          <w:rFonts w:ascii="Palatino Linotype" w:eastAsia="MS Mincho" w:hAnsi="Palatino Linotype" w:cs="Tahoma"/>
        </w:rPr>
        <w:t>(Énfasis añadido)</w:t>
      </w:r>
    </w:p>
    <w:p w:rsidR="00984DE7" w:rsidRPr="00C27992" w:rsidRDefault="00984DE7" w:rsidP="009A458E">
      <w:pPr>
        <w:pStyle w:val="Prrafodelista"/>
        <w:widowControl w:val="0"/>
        <w:autoSpaceDE w:val="0"/>
        <w:autoSpaceDN w:val="0"/>
        <w:adjustRightInd w:val="0"/>
        <w:spacing w:line="360" w:lineRule="auto"/>
        <w:ind w:left="426" w:right="474"/>
        <w:jc w:val="both"/>
        <w:rPr>
          <w:rFonts w:ascii="Palatino Linotype" w:eastAsia="MS Mincho" w:hAnsi="Palatino Linotype" w:cs="Tahoma"/>
        </w:rPr>
      </w:pPr>
    </w:p>
    <w:p w:rsidR="009A458E" w:rsidRPr="00C27992" w:rsidRDefault="009A458E" w:rsidP="009A458E">
      <w:pPr>
        <w:numPr>
          <w:ilvl w:val="0"/>
          <w:numId w:val="1"/>
        </w:numPr>
        <w:spacing w:line="360" w:lineRule="auto"/>
        <w:ind w:left="0" w:firstLine="0"/>
        <w:contextualSpacing/>
        <w:jc w:val="both"/>
        <w:rPr>
          <w:rFonts w:ascii="Palatino Linotype" w:hAnsi="Palatino Linotype"/>
          <w:b/>
          <w:color w:val="000000" w:themeColor="text1"/>
          <w:lang w:eastAsia="es-ES_tradnl"/>
        </w:rPr>
      </w:pPr>
      <w:r w:rsidRPr="00C27992">
        <w:rPr>
          <w:rFonts w:ascii="Palatino Linotype" w:hAnsi="Palatino Linotype" w:cs="Arial"/>
        </w:rPr>
        <w:t>D</w:t>
      </w:r>
      <w:r w:rsidRPr="00C27992">
        <w:rPr>
          <w:rFonts w:ascii="Palatino Linotype" w:hAnsi="Palatino Linotype"/>
          <w:color w:val="000000"/>
        </w:rPr>
        <w:t xml:space="preserve">e dicho dispositivo legal se desprende que, si se puede obtener lo </w:t>
      </w:r>
      <w:r w:rsidRPr="00C27992">
        <w:rPr>
          <w:rFonts w:ascii="Palatino Linotype" w:hAnsi="Palatino Linotype" w:cs="Arial"/>
        </w:rPr>
        <w:t>peticionado</w:t>
      </w:r>
      <w:r w:rsidRPr="00C27992">
        <w:rPr>
          <w:rFonts w:ascii="Palatino Linotype" w:hAnsi="Palatino Linotype"/>
          <w:color w:val="000000"/>
        </w:rPr>
        <w:t xml:space="preserve">, a través de un hipervínculo, siendo este, especifico dirigiendo a la </w:t>
      </w:r>
      <w:r w:rsidRPr="00C27992">
        <w:rPr>
          <w:rFonts w:ascii="Palatino Linotype" w:eastAsia="MS Mincho" w:hAnsi="Palatino Linotype" w:cs="Tahoma"/>
        </w:rPr>
        <w:t>información</w:t>
      </w:r>
      <w:r w:rsidRPr="00C27992">
        <w:rPr>
          <w:rFonts w:ascii="Palatino Linotype" w:hAnsi="Palatino Linotype"/>
          <w:color w:val="000000"/>
        </w:rPr>
        <w:t xml:space="preserve"> sin que implique que el particular haga una búsqueda en el universo de información que pudiera obrar en el hipervínculo entregado, entonces se deberá tener por colmada la solicitud de información.</w:t>
      </w:r>
    </w:p>
    <w:p w:rsidR="009A458E" w:rsidRPr="00C27992" w:rsidRDefault="009A458E" w:rsidP="009A458E">
      <w:pPr>
        <w:spacing w:line="360" w:lineRule="auto"/>
        <w:contextualSpacing/>
        <w:jc w:val="both"/>
        <w:rPr>
          <w:rFonts w:ascii="Palatino Linotype" w:hAnsi="Palatino Linotype"/>
          <w:b/>
          <w:color w:val="000000" w:themeColor="text1"/>
          <w:lang w:eastAsia="es-ES_tradnl"/>
        </w:rPr>
      </w:pPr>
    </w:p>
    <w:p w:rsidR="008941CE" w:rsidRPr="00C27992" w:rsidRDefault="008941CE" w:rsidP="008941CE">
      <w:pPr>
        <w:numPr>
          <w:ilvl w:val="0"/>
          <w:numId w:val="1"/>
        </w:numPr>
        <w:spacing w:line="360" w:lineRule="auto"/>
        <w:ind w:left="0" w:firstLine="0"/>
        <w:contextualSpacing/>
        <w:jc w:val="both"/>
        <w:rPr>
          <w:rFonts w:ascii="Palatino Linotype" w:hAnsi="Palatino Linotype" w:cs="Arial"/>
          <w:i/>
          <w:color w:val="000000" w:themeColor="text1"/>
        </w:rPr>
      </w:pPr>
      <w:r w:rsidRPr="00C27992">
        <w:rPr>
          <w:rFonts w:ascii="Palatino Linotype" w:hAnsi="Palatino Linotype" w:cs="Arial"/>
          <w:color w:val="000000" w:themeColor="text1"/>
        </w:rPr>
        <w:lastRenderedPageBreak/>
        <w:t xml:space="preserve">Por otro lado, respecto a esta solicitud de información, se debe señalar que el </w:t>
      </w:r>
      <w:r w:rsidRPr="00C27992">
        <w:rPr>
          <w:rFonts w:ascii="Palatino Linotype" w:hAnsi="Palatino Linotype" w:cs="Arial"/>
          <w:b/>
          <w:color w:val="000000" w:themeColor="text1"/>
        </w:rPr>
        <w:t xml:space="preserve">SUJETO </w:t>
      </w:r>
      <w:r w:rsidRPr="00C27992">
        <w:rPr>
          <w:rFonts w:ascii="Palatino Linotype" w:hAnsi="Palatino Linotype" w:cs="Arial"/>
          <w:b/>
        </w:rPr>
        <w:t>OBLIGADO</w:t>
      </w:r>
      <w:r w:rsidRPr="00C27992">
        <w:rPr>
          <w:rFonts w:ascii="Palatino Linotype" w:hAnsi="Palatino Linotype" w:cs="Arial"/>
          <w:b/>
          <w:color w:val="000000" w:themeColor="text1"/>
        </w:rPr>
        <w:t xml:space="preserve"> </w:t>
      </w:r>
      <w:r w:rsidRPr="00C27992">
        <w:rPr>
          <w:rFonts w:ascii="Palatino Linotype" w:hAnsi="Palatino Linotype" w:cs="Arial"/>
          <w:color w:val="000000" w:themeColor="text1"/>
        </w:rPr>
        <w:t>en calidad de informe justificado, remitió una razón actuarial de fecha veintiséis (26) de octubre del año 2018 donde se asentaron las causas y motivos por los cuales no fue posible notificar el laudo</w:t>
      </w:r>
      <w:r w:rsidR="004A264F" w:rsidRPr="00C27992">
        <w:rPr>
          <w:rFonts w:ascii="Palatino Linotype" w:hAnsi="Palatino Linotype" w:cs="Arial"/>
          <w:color w:val="000000" w:themeColor="text1"/>
        </w:rPr>
        <w:t xml:space="preserve"> personalmente</w:t>
      </w:r>
      <w:r w:rsidRPr="00C27992">
        <w:rPr>
          <w:rFonts w:ascii="Palatino Linotype" w:hAnsi="Palatino Linotype" w:cs="Arial"/>
          <w:color w:val="000000" w:themeColor="text1"/>
        </w:rPr>
        <w:t xml:space="preserve">; asimismo adjunto un proveído donde se acuerda notificar a las partes el laudo a través de boletín laboral, empero, como se señaló en los antecedentes de la presente resolución, no fue posible hacerlas del conocimiento del </w:t>
      </w:r>
      <w:r w:rsidRPr="00C27992">
        <w:rPr>
          <w:rFonts w:ascii="Palatino Linotype" w:hAnsi="Palatino Linotype" w:cs="Arial"/>
          <w:b/>
          <w:color w:val="000000" w:themeColor="text1"/>
        </w:rPr>
        <w:t>RECURRENTE,</w:t>
      </w:r>
      <w:r w:rsidRPr="00C27992">
        <w:rPr>
          <w:rFonts w:ascii="Palatino Linotype" w:hAnsi="Palatino Linotype" w:cs="Arial"/>
          <w:color w:val="000000" w:themeColor="text1"/>
        </w:rPr>
        <w:t xml:space="preserve"> por las consideraciones que se precisaran en párrafos subsecuentes.</w:t>
      </w:r>
    </w:p>
    <w:p w:rsidR="008941CE" w:rsidRPr="00C27992" w:rsidRDefault="008941CE" w:rsidP="008941CE">
      <w:pPr>
        <w:pStyle w:val="Prrafodelista"/>
        <w:rPr>
          <w:rFonts w:ascii="Palatino Linotype" w:hAnsi="Palatino Linotype" w:cs="Arial"/>
          <w:color w:val="000000" w:themeColor="text1"/>
        </w:rPr>
      </w:pPr>
    </w:p>
    <w:p w:rsidR="009A458E" w:rsidRPr="00C27992" w:rsidRDefault="009A458E" w:rsidP="009A458E">
      <w:pPr>
        <w:numPr>
          <w:ilvl w:val="0"/>
          <w:numId w:val="1"/>
        </w:numPr>
        <w:spacing w:line="360" w:lineRule="auto"/>
        <w:ind w:left="0" w:firstLine="0"/>
        <w:contextualSpacing/>
        <w:jc w:val="both"/>
        <w:rPr>
          <w:rFonts w:ascii="Palatino Linotype" w:hAnsi="Palatino Linotype" w:cs="Arial"/>
          <w:i/>
          <w:color w:val="000000" w:themeColor="text1"/>
        </w:rPr>
      </w:pPr>
      <w:r w:rsidRPr="00C27992">
        <w:rPr>
          <w:rFonts w:ascii="Palatino Linotype" w:hAnsi="Palatino Linotype" w:cs="Arial"/>
          <w:color w:val="000000" w:themeColor="text1"/>
        </w:rPr>
        <w:t xml:space="preserve">Seguidamente, deviene la solicitud de información, relativa a el convenio celebrado en modalidad de pago del laudo del expediente SAE725/2013, </w:t>
      </w:r>
      <w:r w:rsidR="004A264F" w:rsidRPr="00C27992">
        <w:rPr>
          <w:rFonts w:ascii="Palatino Linotype" w:hAnsi="Palatino Linotype" w:cs="Arial"/>
          <w:color w:val="000000" w:themeColor="text1"/>
        </w:rPr>
        <w:t xml:space="preserve">que </w:t>
      </w:r>
      <w:r w:rsidRPr="00C27992">
        <w:rPr>
          <w:rFonts w:ascii="Palatino Linotype" w:hAnsi="Palatino Linotype" w:cs="Arial"/>
          <w:color w:val="000000" w:themeColor="text1"/>
        </w:rPr>
        <w:t xml:space="preserve">al igual que en el caso </w:t>
      </w:r>
      <w:r w:rsidRPr="00C27992">
        <w:rPr>
          <w:rFonts w:ascii="Palatino Linotype" w:hAnsi="Palatino Linotype" w:cs="Arial"/>
        </w:rPr>
        <w:t>anterior</w:t>
      </w:r>
      <w:r w:rsidRPr="00C27992">
        <w:rPr>
          <w:rFonts w:ascii="Palatino Linotype" w:hAnsi="Palatino Linotype" w:cs="Arial"/>
          <w:color w:val="000000" w:themeColor="text1"/>
        </w:rPr>
        <w:t xml:space="preserve">, el </w:t>
      </w:r>
      <w:r w:rsidRPr="00C27992">
        <w:rPr>
          <w:rFonts w:ascii="Palatino Linotype" w:hAnsi="Palatino Linotype" w:cs="Arial"/>
          <w:b/>
          <w:color w:val="000000" w:themeColor="text1"/>
        </w:rPr>
        <w:t>SUJETO OBLIGADO</w:t>
      </w:r>
      <w:r w:rsidRPr="00C27992">
        <w:rPr>
          <w:rFonts w:ascii="Palatino Linotype" w:hAnsi="Palatino Linotype" w:cs="Arial"/>
          <w:color w:val="000000" w:themeColor="text1"/>
        </w:rPr>
        <w:t xml:space="preserve"> asume su existencia, </w:t>
      </w:r>
      <w:r w:rsidR="00914FFF" w:rsidRPr="00C27992">
        <w:rPr>
          <w:rFonts w:ascii="Palatino Linotype" w:hAnsi="Palatino Linotype" w:cs="Arial"/>
          <w:color w:val="000000" w:themeColor="text1"/>
        </w:rPr>
        <w:t>así</w:t>
      </w:r>
      <w:r w:rsidRPr="00C27992">
        <w:rPr>
          <w:rFonts w:ascii="Palatino Linotype" w:hAnsi="Palatino Linotype" w:cs="Arial"/>
          <w:color w:val="000000" w:themeColor="text1"/>
        </w:rPr>
        <w:t xml:space="preserve"> como que lo genero, posee y administra en ejercicio de sus funciones de derecho público, tan es así que refiere se adjunta dicho convenio celebrado entre las partes en fecha veintinueve</w:t>
      </w:r>
      <w:r w:rsidR="004A264F" w:rsidRPr="00C27992">
        <w:rPr>
          <w:rFonts w:ascii="Palatino Linotype" w:hAnsi="Palatino Linotype" w:cs="Arial"/>
          <w:color w:val="000000" w:themeColor="text1"/>
        </w:rPr>
        <w:t xml:space="preserve"> (29)</w:t>
      </w:r>
      <w:r w:rsidRPr="00C27992">
        <w:rPr>
          <w:rFonts w:ascii="Palatino Linotype" w:hAnsi="Palatino Linotype" w:cs="Arial"/>
          <w:color w:val="000000" w:themeColor="text1"/>
        </w:rPr>
        <w:t xml:space="preserve"> de abril del año 2019 en versión pública; sin embargo del análisis a la respuesta emitida, no se advierte que haya sido adjuntada la documental de referencia, de modo tal que al igual que la solicitud de información </w:t>
      </w:r>
      <w:r w:rsidR="004A264F" w:rsidRPr="00C27992">
        <w:rPr>
          <w:rFonts w:ascii="Palatino Linotype" w:hAnsi="Palatino Linotype" w:cs="Arial"/>
          <w:color w:val="000000" w:themeColor="text1"/>
        </w:rPr>
        <w:t>preliminar</w:t>
      </w:r>
      <w:r w:rsidRPr="00C27992">
        <w:rPr>
          <w:rFonts w:ascii="Palatino Linotype" w:hAnsi="Palatino Linotype" w:cs="Arial"/>
          <w:color w:val="000000" w:themeColor="text1"/>
        </w:rPr>
        <w:t xml:space="preserve">, resulta procedentes las razones o motivos de inconformidad vertidos por el hoy </w:t>
      </w:r>
      <w:r w:rsidRPr="00C27992">
        <w:rPr>
          <w:rFonts w:ascii="Palatino Linotype" w:hAnsi="Palatino Linotype" w:cs="Arial"/>
          <w:b/>
          <w:color w:val="000000" w:themeColor="text1"/>
        </w:rPr>
        <w:t>RECURRENTE.</w:t>
      </w:r>
    </w:p>
    <w:p w:rsidR="008941CE" w:rsidRPr="00C27992" w:rsidRDefault="008941CE" w:rsidP="008941CE">
      <w:pPr>
        <w:pStyle w:val="Prrafodelista"/>
        <w:rPr>
          <w:rFonts w:ascii="Palatino Linotype" w:hAnsi="Palatino Linotype" w:cs="Arial"/>
          <w:i/>
          <w:color w:val="000000" w:themeColor="text1"/>
        </w:rPr>
      </w:pPr>
    </w:p>
    <w:p w:rsidR="00AB0484" w:rsidRPr="00C27992" w:rsidRDefault="004A264F" w:rsidP="009A458E">
      <w:pPr>
        <w:numPr>
          <w:ilvl w:val="0"/>
          <w:numId w:val="1"/>
        </w:numPr>
        <w:spacing w:line="360" w:lineRule="auto"/>
        <w:ind w:left="0" w:firstLine="0"/>
        <w:contextualSpacing/>
        <w:jc w:val="both"/>
        <w:rPr>
          <w:rFonts w:ascii="Palatino Linotype" w:hAnsi="Palatino Linotype" w:cs="Arial"/>
          <w:i/>
          <w:color w:val="000000" w:themeColor="text1"/>
        </w:rPr>
      </w:pPr>
      <w:r w:rsidRPr="00C27992">
        <w:rPr>
          <w:rFonts w:ascii="Palatino Linotype" w:hAnsi="Palatino Linotype" w:cs="Arial"/>
          <w:color w:val="000000" w:themeColor="text1"/>
        </w:rPr>
        <w:t>Por otro lado</w:t>
      </w:r>
      <w:r w:rsidR="008941CE" w:rsidRPr="00C27992">
        <w:rPr>
          <w:rFonts w:ascii="Palatino Linotype" w:hAnsi="Palatino Linotype" w:cs="Arial"/>
          <w:color w:val="000000" w:themeColor="text1"/>
        </w:rPr>
        <w:t xml:space="preserve">, en un hecho posterior a la interposición del recurso de revisión como lo es la etapa de manifestaciones, el </w:t>
      </w:r>
      <w:r w:rsidR="008941CE" w:rsidRPr="00C27992">
        <w:rPr>
          <w:rFonts w:ascii="Palatino Linotype" w:hAnsi="Palatino Linotype" w:cs="Arial"/>
          <w:b/>
          <w:color w:val="000000" w:themeColor="text1"/>
        </w:rPr>
        <w:t>SUJETO OBLIGADO</w:t>
      </w:r>
      <w:r w:rsidR="008941CE" w:rsidRPr="00C27992">
        <w:rPr>
          <w:rFonts w:ascii="Palatino Linotype" w:hAnsi="Palatino Linotype" w:cs="Arial"/>
          <w:color w:val="000000" w:themeColor="text1"/>
        </w:rPr>
        <w:t xml:space="preserve"> tuvo a bien remitir </w:t>
      </w:r>
      <w:r w:rsidR="00723A87" w:rsidRPr="00C27992">
        <w:rPr>
          <w:rFonts w:ascii="Palatino Linotype" w:hAnsi="Palatino Linotype" w:cs="Arial"/>
          <w:color w:val="000000" w:themeColor="text1"/>
        </w:rPr>
        <w:t>el Acuerdo solicitado</w:t>
      </w:r>
      <w:r w:rsidR="003D4C4B" w:rsidRPr="00C27992">
        <w:rPr>
          <w:rFonts w:ascii="Palatino Linotype" w:hAnsi="Palatino Linotype" w:cs="Arial"/>
          <w:color w:val="000000" w:themeColor="text1"/>
        </w:rPr>
        <w:t xml:space="preserve"> en calidad de informe justificado</w:t>
      </w:r>
      <w:r w:rsidR="00723A87" w:rsidRPr="00C27992">
        <w:rPr>
          <w:rFonts w:ascii="Palatino Linotype" w:hAnsi="Palatino Linotype" w:cs="Arial"/>
          <w:color w:val="000000" w:themeColor="text1"/>
        </w:rPr>
        <w:t xml:space="preserve">, </w:t>
      </w:r>
      <w:r w:rsidRPr="00C27992">
        <w:rPr>
          <w:rFonts w:ascii="Palatino Linotype" w:hAnsi="Palatino Linotype" w:cs="Arial"/>
          <w:color w:val="000000" w:themeColor="text1"/>
        </w:rPr>
        <w:t xml:space="preserve">el cual colma la solicitud de información de mérito; sin embargo, </w:t>
      </w:r>
      <w:r w:rsidR="00723A87" w:rsidRPr="00C27992">
        <w:rPr>
          <w:rFonts w:ascii="Palatino Linotype" w:hAnsi="Palatino Linotype" w:cs="Arial"/>
          <w:color w:val="000000" w:themeColor="text1"/>
        </w:rPr>
        <w:t xml:space="preserve">no pudo ser puesto a la vista del particular </w:t>
      </w:r>
      <w:r w:rsidR="00723A87" w:rsidRPr="00C27992">
        <w:rPr>
          <w:rFonts w:ascii="Palatino Linotype" w:hAnsi="Palatino Linotype" w:cs="Arial"/>
          <w:color w:val="000000" w:themeColor="text1"/>
        </w:rPr>
        <w:lastRenderedPageBreak/>
        <w:t>derivado</w:t>
      </w:r>
      <w:r w:rsidRPr="00C27992">
        <w:rPr>
          <w:rFonts w:ascii="Palatino Linotype" w:hAnsi="Palatino Linotype" w:cs="Arial"/>
          <w:color w:val="000000" w:themeColor="text1"/>
        </w:rPr>
        <w:t xml:space="preserve"> de que se advierten datos personales susceptibles de ser testados como lo es de manera enunciativa mas no limitativa, </w:t>
      </w:r>
      <w:r w:rsidRPr="00C27992">
        <w:rPr>
          <w:rFonts w:ascii="Palatino Linotype" w:hAnsi="Palatino Linotype" w:cs="Arial"/>
          <w:b/>
          <w:color w:val="000000" w:themeColor="text1"/>
        </w:rPr>
        <w:t xml:space="preserve">el nombre </w:t>
      </w:r>
      <w:r w:rsidR="00AB0484" w:rsidRPr="00C27992">
        <w:rPr>
          <w:rFonts w:ascii="Palatino Linotype" w:hAnsi="Palatino Linotype" w:cs="Arial"/>
          <w:b/>
          <w:color w:val="000000" w:themeColor="text1"/>
        </w:rPr>
        <w:t>del abogado particular de la parte actora</w:t>
      </w:r>
      <w:r w:rsidR="00AB0484" w:rsidRPr="00C27992">
        <w:rPr>
          <w:rFonts w:ascii="Palatino Linotype" w:hAnsi="Palatino Linotype" w:cs="Arial"/>
          <w:color w:val="000000" w:themeColor="text1"/>
        </w:rPr>
        <w:t xml:space="preserve">, quien es un particular y no tiene el carácter de servidor público. Al respecto si bien es cierto se observa testado su nombre, también lo es que pese a ello su nombre completo continua legible, </w:t>
      </w:r>
      <w:r w:rsidR="00AB0484" w:rsidRPr="00C27992">
        <w:rPr>
          <w:rFonts w:ascii="Palatino Linotype" w:hAnsi="Palatino Linotype" w:cs="Arial"/>
          <w:b/>
          <w:color w:val="000000" w:themeColor="text1"/>
        </w:rPr>
        <w:t>asimismo se dejó de testar su número de cedula profesional, el cual lo hace identificable.</w:t>
      </w:r>
    </w:p>
    <w:p w:rsidR="00AB0484" w:rsidRPr="00C27992" w:rsidRDefault="00AB0484" w:rsidP="00AB0484">
      <w:pPr>
        <w:pStyle w:val="Prrafodelista"/>
        <w:rPr>
          <w:rFonts w:ascii="Palatino Linotype" w:hAnsi="Palatino Linotype" w:cs="Arial"/>
          <w:color w:val="000000" w:themeColor="text1"/>
        </w:rPr>
      </w:pPr>
    </w:p>
    <w:p w:rsidR="004A264F" w:rsidRPr="00C27992" w:rsidRDefault="00AB0484" w:rsidP="00007B29">
      <w:pPr>
        <w:numPr>
          <w:ilvl w:val="0"/>
          <w:numId w:val="1"/>
        </w:numPr>
        <w:spacing w:line="360" w:lineRule="auto"/>
        <w:ind w:left="0" w:firstLine="0"/>
        <w:contextualSpacing/>
        <w:jc w:val="both"/>
        <w:rPr>
          <w:rFonts w:ascii="Palatino Linotype" w:hAnsi="Palatino Linotype" w:cs="Arial"/>
          <w:i/>
          <w:color w:val="000000" w:themeColor="text1"/>
        </w:rPr>
      </w:pPr>
      <w:r w:rsidRPr="00C27992">
        <w:rPr>
          <w:rFonts w:ascii="Palatino Linotype" w:hAnsi="Palatino Linotype" w:cs="Arial"/>
          <w:color w:val="000000" w:themeColor="text1"/>
        </w:rPr>
        <w:t xml:space="preserve">Asimismo, en algunas partes del documento se dejó visible el nombre </w:t>
      </w:r>
      <w:r w:rsidR="004A264F" w:rsidRPr="00C27992">
        <w:rPr>
          <w:rFonts w:ascii="Palatino Linotype" w:hAnsi="Palatino Linotype" w:cs="Arial"/>
          <w:color w:val="000000" w:themeColor="text1"/>
        </w:rPr>
        <w:t>de la parte actora</w:t>
      </w:r>
      <w:r w:rsidRPr="00C27992">
        <w:rPr>
          <w:rFonts w:ascii="Palatino Linotype" w:hAnsi="Palatino Linotype" w:cs="Arial"/>
          <w:color w:val="000000" w:themeColor="text1"/>
        </w:rPr>
        <w:t xml:space="preserve"> y en otras esta testado, pero aun legible. Luego entonces</w:t>
      </w:r>
      <w:r w:rsidR="004A264F" w:rsidRPr="00C27992">
        <w:rPr>
          <w:rFonts w:ascii="Palatino Linotype" w:hAnsi="Palatino Linotype" w:cs="Arial"/>
          <w:color w:val="000000" w:themeColor="text1"/>
        </w:rPr>
        <w:t xml:space="preserve">, al estar el informe </w:t>
      </w:r>
      <w:r w:rsidR="003D4C4B" w:rsidRPr="00C27992">
        <w:rPr>
          <w:rFonts w:ascii="Palatino Linotype" w:hAnsi="Palatino Linotype" w:cs="Arial"/>
          <w:color w:val="000000" w:themeColor="text1"/>
        </w:rPr>
        <w:t xml:space="preserve">unificado en un solo archivo de formato de documento portátil (PDF), resulta imposible dentro del SAIMEX, hacer del conocimiento del particular aquellos documentos susceptibles de </w:t>
      </w:r>
      <w:r w:rsidRPr="00C27992">
        <w:rPr>
          <w:rFonts w:ascii="Palatino Linotype" w:hAnsi="Palatino Linotype" w:cs="Arial"/>
          <w:color w:val="000000" w:themeColor="text1"/>
        </w:rPr>
        <w:t>notificación</w:t>
      </w:r>
      <w:r w:rsidR="003D4C4B" w:rsidRPr="00C27992">
        <w:rPr>
          <w:rFonts w:ascii="Palatino Linotype" w:hAnsi="Palatino Linotype" w:cs="Arial"/>
          <w:color w:val="000000" w:themeColor="text1"/>
        </w:rPr>
        <w:t xml:space="preserve"> y aquellos que no, mantenerlos sin notificación, como se observa:</w:t>
      </w:r>
    </w:p>
    <w:p w:rsidR="003D4C4B" w:rsidRPr="00C27992" w:rsidRDefault="003D4C4B" w:rsidP="003D4C4B">
      <w:pPr>
        <w:pStyle w:val="Prrafodelista"/>
        <w:rPr>
          <w:rFonts w:ascii="Palatino Linotype" w:hAnsi="Palatino Linotype" w:cs="Arial"/>
          <w:i/>
          <w:color w:val="000000" w:themeColor="text1"/>
        </w:rPr>
      </w:pPr>
    </w:p>
    <w:p w:rsidR="003D4C4B" w:rsidRPr="00C27992" w:rsidRDefault="003D4C4B" w:rsidP="003D4C4B">
      <w:pPr>
        <w:spacing w:line="360" w:lineRule="auto"/>
        <w:contextualSpacing/>
        <w:jc w:val="both"/>
        <w:rPr>
          <w:rFonts w:ascii="Palatino Linotype" w:hAnsi="Palatino Linotype" w:cs="Arial"/>
          <w:i/>
          <w:color w:val="000000" w:themeColor="text1"/>
        </w:rPr>
      </w:pPr>
      <w:r w:rsidRPr="00C27992">
        <w:rPr>
          <w:rFonts w:ascii="Palatino Linotype" w:hAnsi="Palatino Linotype" w:cs="Arial"/>
          <w:i/>
          <w:noProof/>
          <w:color w:val="000000" w:themeColor="text1"/>
          <w:lang w:val="es-MX" w:eastAsia="es-MX"/>
        </w:rPr>
        <w:drawing>
          <wp:inline distT="0" distB="0" distL="0" distR="0">
            <wp:extent cx="5610225" cy="12763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0225" cy="1276350"/>
                    </a:xfrm>
                    <a:prstGeom prst="rect">
                      <a:avLst/>
                    </a:prstGeom>
                    <a:noFill/>
                    <a:ln>
                      <a:noFill/>
                    </a:ln>
                  </pic:spPr>
                </pic:pic>
              </a:graphicData>
            </a:graphic>
          </wp:inline>
        </w:drawing>
      </w:r>
    </w:p>
    <w:p w:rsidR="009A458E" w:rsidRPr="00C27992" w:rsidRDefault="009A458E" w:rsidP="009A458E">
      <w:pPr>
        <w:pStyle w:val="Prrafodelista"/>
        <w:spacing w:before="240" w:after="360" w:line="360" w:lineRule="auto"/>
        <w:ind w:left="0"/>
        <w:jc w:val="both"/>
        <w:rPr>
          <w:rFonts w:ascii="Palatino Linotype" w:hAnsi="Palatino Linotype" w:cs="Arial"/>
          <w:i/>
          <w:color w:val="000000" w:themeColor="text1"/>
        </w:rPr>
      </w:pPr>
    </w:p>
    <w:p w:rsidR="003D4C4B" w:rsidRPr="00C27992" w:rsidRDefault="00AB0484" w:rsidP="00D66E65">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C27992">
        <w:rPr>
          <w:rFonts w:ascii="Palatino Linotype" w:hAnsi="Palatino Linotype" w:cs="Arial"/>
          <w:color w:val="000000" w:themeColor="text1"/>
        </w:rPr>
        <w:t>Ahora bien, s</w:t>
      </w:r>
      <w:r w:rsidR="003D4C4B" w:rsidRPr="00C27992">
        <w:rPr>
          <w:rFonts w:ascii="Palatino Linotype" w:hAnsi="Palatino Linotype" w:cs="Arial"/>
          <w:color w:val="000000" w:themeColor="text1"/>
        </w:rPr>
        <w:t>i bien es cierto se colige que el particular que interpuso la solicitud de información que no</w:t>
      </w:r>
      <w:r w:rsidR="00E4402C" w:rsidRPr="00C27992">
        <w:rPr>
          <w:rFonts w:ascii="Palatino Linotype" w:hAnsi="Palatino Linotype" w:cs="Arial"/>
          <w:color w:val="000000" w:themeColor="text1"/>
        </w:rPr>
        <w:t>s</w:t>
      </w:r>
      <w:r w:rsidR="003D4C4B" w:rsidRPr="00C27992">
        <w:rPr>
          <w:rFonts w:ascii="Palatino Linotype" w:hAnsi="Palatino Linotype" w:cs="Arial"/>
          <w:color w:val="000000" w:themeColor="text1"/>
        </w:rPr>
        <w:t xml:space="preserve"> ocupa, conoce el nombre de las partes</w:t>
      </w:r>
      <w:r w:rsidRPr="00C27992">
        <w:rPr>
          <w:rFonts w:ascii="Palatino Linotype" w:hAnsi="Palatino Linotype" w:cs="Arial"/>
          <w:color w:val="000000" w:themeColor="text1"/>
        </w:rPr>
        <w:t xml:space="preserve"> y de los profesionales en derecho que intervinieron en el asunto</w:t>
      </w:r>
      <w:r w:rsidR="003D4C4B" w:rsidRPr="00C27992">
        <w:rPr>
          <w:rFonts w:ascii="Palatino Linotype" w:hAnsi="Palatino Linotype" w:cs="Arial"/>
          <w:color w:val="000000" w:themeColor="text1"/>
        </w:rPr>
        <w:t xml:space="preserve">, ello no es una causal de </w:t>
      </w:r>
      <w:r w:rsidR="003D4C4B" w:rsidRPr="00C27992">
        <w:rPr>
          <w:rFonts w:ascii="Palatino Linotype" w:hAnsi="Palatino Linotype" w:cs="Arial"/>
          <w:color w:val="000000" w:themeColor="text1"/>
        </w:rPr>
        <w:lastRenderedPageBreak/>
        <w:t>procedencia para que este Instituto sea omiso en su labor de órgano garante de la protección de los datos personales</w:t>
      </w:r>
      <w:r w:rsidR="004B637E" w:rsidRPr="00C27992">
        <w:rPr>
          <w:rFonts w:ascii="Palatino Linotype" w:hAnsi="Palatino Linotype" w:cs="Arial"/>
          <w:color w:val="000000" w:themeColor="text1"/>
        </w:rPr>
        <w:t>.</w:t>
      </w:r>
    </w:p>
    <w:p w:rsidR="004B637E" w:rsidRPr="00C27992" w:rsidRDefault="004B637E" w:rsidP="004B637E">
      <w:pPr>
        <w:pStyle w:val="Prrafodelista"/>
        <w:spacing w:before="240" w:after="360" w:line="360" w:lineRule="auto"/>
        <w:ind w:left="0"/>
        <w:jc w:val="both"/>
        <w:rPr>
          <w:rFonts w:ascii="Palatino Linotype" w:hAnsi="Palatino Linotype" w:cs="Arial"/>
          <w:i/>
          <w:color w:val="000000" w:themeColor="text1"/>
        </w:rPr>
      </w:pPr>
    </w:p>
    <w:p w:rsidR="003D4C4B" w:rsidRPr="00C27992" w:rsidRDefault="00E4402C" w:rsidP="004B637E">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C27992">
        <w:rPr>
          <w:rFonts w:ascii="Palatino Linotype" w:hAnsi="Palatino Linotype" w:cs="Arial"/>
          <w:color w:val="000000" w:themeColor="text1"/>
        </w:rPr>
        <w:t>Por lo que hace</w:t>
      </w:r>
      <w:r w:rsidR="00AB0484" w:rsidRPr="00C27992">
        <w:rPr>
          <w:rFonts w:ascii="Palatino Linotype" w:hAnsi="Palatino Linotype" w:cs="Arial"/>
          <w:color w:val="000000" w:themeColor="text1"/>
        </w:rPr>
        <w:t xml:space="preserve"> a</w:t>
      </w:r>
      <w:r w:rsidR="004B637E" w:rsidRPr="00C27992">
        <w:rPr>
          <w:rFonts w:ascii="Palatino Linotype" w:hAnsi="Palatino Linotype" w:cs="Arial"/>
          <w:color w:val="000000" w:themeColor="text1"/>
        </w:rPr>
        <w:t>l nombre de la parte actora</w:t>
      </w:r>
      <w:r w:rsidRPr="00C27992">
        <w:rPr>
          <w:rFonts w:ascii="Palatino Linotype" w:hAnsi="Palatino Linotype" w:cs="Arial"/>
          <w:color w:val="000000" w:themeColor="text1"/>
        </w:rPr>
        <w:t>, este</w:t>
      </w:r>
      <w:r w:rsidR="004B637E" w:rsidRPr="00C27992">
        <w:rPr>
          <w:rFonts w:ascii="Palatino Linotype" w:hAnsi="Palatino Linotype" w:cs="Arial"/>
          <w:color w:val="000000" w:themeColor="text1"/>
        </w:rPr>
        <w:t xml:space="preserve"> </w:t>
      </w:r>
      <w:r w:rsidR="00AB0484" w:rsidRPr="00C27992">
        <w:rPr>
          <w:rFonts w:ascii="Palatino Linotype" w:hAnsi="Palatino Linotype" w:cs="Arial"/>
          <w:color w:val="000000" w:themeColor="text1"/>
        </w:rPr>
        <w:t>puede ser clasificado o no dependiendo del estado procesal</w:t>
      </w:r>
      <w:r w:rsidR="004B637E" w:rsidRPr="00C27992">
        <w:rPr>
          <w:rFonts w:ascii="Palatino Linotype" w:hAnsi="Palatino Linotype" w:cs="Arial"/>
          <w:color w:val="000000" w:themeColor="text1"/>
        </w:rPr>
        <w:t xml:space="preserve">, </w:t>
      </w:r>
      <w:r w:rsidRPr="00C27992">
        <w:rPr>
          <w:rFonts w:ascii="Palatino Linotype" w:hAnsi="Palatino Linotype" w:cs="Arial"/>
          <w:color w:val="000000" w:themeColor="text1"/>
        </w:rPr>
        <w:t xml:space="preserve">toda vez </w:t>
      </w:r>
      <w:r w:rsidR="00FB4F97" w:rsidRPr="00C27992">
        <w:rPr>
          <w:rFonts w:ascii="Palatino Linotype" w:hAnsi="Palatino Linotype" w:cs="Arial"/>
          <w:color w:val="000000" w:themeColor="text1"/>
        </w:rPr>
        <w:t>que,</w:t>
      </w:r>
      <w:r w:rsidRPr="00C27992">
        <w:rPr>
          <w:rFonts w:ascii="Palatino Linotype" w:hAnsi="Palatino Linotype" w:cs="Arial"/>
          <w:color w:val="000000" w:themeColor="text1"/>
        </w:rPr>
        <w:t xml:space="preserve"> si</w:t>
      </w:r>
      <w:r w:rsidR="004B637E" w:rsidRPr="00C27992">
        <w:rPr>
          <w:rFonts w:ascii="Palatino Linotype" w:hAnsi="Palatino Linotype" w:cs="Arial"/>
          <w:color w:val="000000" w:themeColor="text1"/>
        </w:rPr>
        <w:t xml:space="preserve"> ha recibido recursos públicos por haber sido ganador de la controversia o incluso el pago de los montos </w:t>
      </w:r>
      <w:r w:rsidR="00AB0484" w:rsidRPr="00C27992">
        <w:rPr>
          <w:rFonts w:ascii="Palatino Linotype" w:hAnsi="Palatino Linotype" w:cs="Arial"/>
          <w:color w:val="000000" w:themeColor="text1"/>
        </w:rPr>
        <w:t>acordados en conciliación</w:t>
      </w:r>
      <w:r w:rsidR="004B637E" w:rsidRPr="00C27992">
        <w:rPr>
          <w:rFonts w:ascii="Palatino Linotype" w:hAnsi="Palatino Linotype" w:cs="Arial"/>
          <w:color w:val="000000" w:themeColor="text1"/>
        </w:rPr>
        <w:t xml:space="preserve">, se actualiza el supuesto del artículo 23, párrafo segundo, de la Ley de Transparencia y Acceso a la Información Pública del Estado de México y Municipios, por tratarse de la </w:t>
      </w:r>
      <w:r w:rsidR="00AB0484" w:rsidRPr="00C27992">
        <w:rPr>
          <w:rFonts w:ascii="Palatino Linotype" w:hAnsi="Palatino Linotype" w:cs="Arial"/>
          <w:color w:val="000000" w:themeColor="text1"/>
        </w:rPr>
        <w:t>entrega de recursos públicos y por tanto su nombre es público.</w:t>
      </w:r>
    </w:p>
    <w:p w:rsidR="004B637E" w:rsidRPr="00C27992" w:rsidRDefault="004B637E" w:rsidP="004B637E">
      <w:pPr>
        <w:pStyle w:val="Prrafodelista"/>
        <w:rPr>
          <w:rFonts w:ascii="Palatino Linotype" w:hAnsi="Palatino Linotype" w:cs="Arial"/>
          <w:i/>
          <w:color w:val="000000" w:themeColor="text1"/>
        </w:rPr>
      </w:pPr>
    </w:p>
    <w:p w:rsidR="004B637E" w:rsidRPr="00C27992" w:rsidRDefault="00E4402C" w:rsidP="00007B29">
      <w:pPr>
        <w:pStyle w:val="Prrafodelista"/>
        <w:numPr>
          <w:ilvl w:val="0"/>
          <w:numId w:val="1"/>
        </w:numPr>
        <w:spacing w:before="240" w:after="360" w:line="360" w:lineRule="auto"/>
        <w:ind w:left="0" w:firstLine="0"/>
        <w:jc w:val="both"/>
        <w:rPr>
          <w:rFonts w:ascii="Palatino Linotype" w:hAnsi="Palatino Linotype" w:cs="Arial"/>
          <w:color w:val="000000" w:themeColor="text1"/>
        </w:rPr>
      </w:pPr>
      <w:r w:rsidRPr="00C27992">
        <w:rPr>
          <w:rFonts w:ascii="Palatino Linotype" w:hAnsi="Palatino Linotype" w:cs="Arial"/>
          <w:color w:val="000000" w:themeColor="text1"/>
        </w:rPr>
        <w:t xml:space="preserve">Asimismo, proporcionar el nombre de los actores que ya recibieron recursos públicos con motivo de las demandas interpuestas en contra del Ayuntamiento, es información, cuya publicidad, puede abonar en la transparencia y rendición de cuentas; por tanto, es necesario, atraer al estudio el </w:t>
      </w:r>
      <w:r w:rsidR="00FB4F97" w:rsidRPr="00C27992">
        <w:rPr>
          <w:rFonts w:ascii="Palatino Linotype" w:hAnsi="Palatino Linotype" w:cs="Arial"/>
          <w:color w:val="000000" w:themeColor="text1"/>
        </w:rPr>
        <w:t>C</w:t>
      </w:r>
      <w:r w:rsidRPr="00C27992">
        <w:rPr>
          <w:rFonts w:ascii="Palatino Linotype" w:hAnsi="Palatino Linotype" w:cs="Arial"/>
          <w:color w:val="000000" w:themeColor="text1"/>
        </w:rPr>
        <w:t>riterio 19/13 emitido por el Instituto Nacional de Transparencia, Acceso a la Información y Protección de Datos Personales (INAI), antes IFAI; el cual a la letra precisa:</w:t>
      </w:r>
    </w:p>
    <w:p w:rsidR="00E4402C" w:rsidRPr="00C27992" w:rsidRDefault="00E4402C" w:rsidP="00E4402C">
      <w:pPr>
        <w:pStyle w:val="Prrafodelista"/>
        <w:spacing w:before="240" w:after="360" w:line="360" w:lineRule="auto"/>
        <w:ind w:left="0"/>
        <w:jc w:val="both"/>
        <w:rPr>
          <w:rFonts w:ascii="Palatino Linotype" w:hAnsi="Palatino Linotype" w:cs="Arial"/>
          <w:color w:val="000000" w:themeColor="text1"/>
        </w:rPr>
      </w:pPr>
    </w:p>
    <w:p w:rsidR="00E4402C" w:rsidRPr="00C27992" w:rsidRDefault="00E4402C" w:rsidP="00E4402C">
      <w:pPr>
        <w:pStyle w:val="Prrafodelista"/>
        <w:spacing w:before="240" w:after="360" w:line="360" w:lineRule="auto"/>
        <w:ind w:left="567" w:right="616"/>
        <w:jc w:val="both"/>
        <w:rPr>
          <w:rFonts w:ascii="Palatino Linotype" w:hAnsi="Palatino Linotype" w:cs="Arial"/>
          <w:i/>
          <w:color w:val="000000" w:themeColor="text1"/>
        </w:rPr>
      </w:pPr>
      <w:r w:rsidRPr="00C27992">
        <w:rPr>
          <w:rFonts w:ascii="Palatino Linotype" w:hAnsi="Palatino Linotype" w:cs="Arial"/>
          <w:b/>
          <w:i/>
          <w:color w:val="000000" w:themeColor="text1"/>
        </w:rPr>
        <w:t>“Nombre de actores en juicios laborales constituye, en principio, información confidencial.</w:t>
      </w:r>
      <w:r w:rsidRPr="00C27992">
        <w:rPr>
          <w:rFonts w:ascii="Palatino Linotype" w:hAnsi="Palatino Linotype" w:cs="Arial"/>
          <w:i/>
          <w:color w:val="000000" w:themeColor="text1"/>
        </w:rPr>
        <w:t xml:space="preserve"> El nombre es un atributo de la personalidad y la manifestación principal del derecho a la identidad, en razón de que por sí mismo permite identificar a una persona física. Por lo que respecta al nombre de las personas que han entablado un juicio laboral, éste permite identificar a los actores que presentaron una demanda laboral y participan en un juicio, lo cual constituye una decisión personal que refleja un acto de voluntad de quien lo </w:t>
      </w:r>
      <w:r w:rsidRPr="00C27992">
        <w:rPr>
          <w:rFonts w:ascii="Palatino Linotype" w:hAnsi="Palatino Linotype" w:cs="Arial"/>
          <w:i/>
          <w:color w:val="000000" w:themeColor="text1"/>
        </w:rPr>
        <w:lastRenderedPageBreak/>
        <w:t>realiza. En efecto, las acciones legales que emprenden los actores en el ejercicio de sus derechos laborales hacen evidente la posición jurídica en la cual se han colocado por decisión propia, con relación a determinados órganos de gobierno, para la obtención de algunas prestaciones laborales o económicas, lo cual constituye cuestiones de carácter estrictamente privado. En este tenor, el nombre de los actores de los juicios laborales que se encuentran en trámite o que, en su defecto, concluyeron con la emisión de un laudo desfavorable a los intereses personales del actor constituye información confidencial, conforme a lo dispuesto en el artículo 18, fracción II de la Ley Federal de Transparencia y Acceso a la Información Pública Gubernamental. No obstante, procede la entrega del nombre de los actores en juicios laborales cuando, en definitiva, se haya condenado a una dependencia o entidad al pago de las prestaciones económicas reclamadas o la reinstalación del servidor público, en virtud de que el cumplimiento de dicho fallo se realiza necesariamente con recursos públicos a cargo del presupuesto del sujeto obligado, lo cual permite por una parte, dar cumplimiento a las obligaciones de transparencia contenidas en el artículo 7, fracciones III, IV, IX y XVII de la Ley y, por la otra, transparenta la gestión pública y favorece la rendición de cuentas a los ciudadanos, ya que se refiere al ejercicio de los recursos públicos y al cumplimiento que se da a las resoluciones emitidas por alguna autoridad jurisdiccional encargada de dirimir conflictos</w:t>
      </w:r>
    </w:p>
    <w:p w:rsidR="00E4402C" w:rsidRPr="00C27992" w:rsidRDefault="00E4402C" w:rsidP="00E4402C">
      <w:pPr>
        <w:pStyle w:val="Prrafodelista"/>
        <w:spacing w:before="240" w:after="360" w:line="360" w:lineRule="auto"/>
        <w:ind w:left="567" w:right="616"/>
        <w:jc w:val="both"/>
        <w:rPr>
          <w:rFonts w:ascii="Palatino Linotype" w:hAnsi="Palatino Linotype" w:cs="Arial"/>
          <w:i/>
          <w:color w:val="000000" w:themeColor="text1"/>
        </w:rPr>
      </w:pPr>
      <w:r w:rsidRPr="00C27992">
        <w:rPr>
          <w:rFonts w:ascii="Palatino Linotype" w:hAnsi="Palatino Linotype" w:cs="Arial"/>
          <w:i/>
          <w:color w:val="000000" w:themeColor="text1"/>
        </w:rPr>
        <w:t>laborales.”</w:t>
      </w:r>
    </w:p>
    <w:p w:rsidR="00E4402C" w:rsidRPr="00C27992" w:rsidRDefault="00E4402C" w:rsidP="00E4402C">
      <w:pPr>
        <w:pStyle w:val="Prrafodelista"/>
        <w:spacing w:before="240" w:after="360" w:line="360" w:lineRule="auto"/>
        <w:ind w:left="0"/>
        <w:jc w:val="both"/>
        <w:rPr>
          <w:rFonts w:ascii="Palatino Linotype" w:hAnsi="Palatino Linotype" w:cs="Arial"/>
          <w:color w:val="000000" w:themeColor="text1"/>
        </w:rPr>
      </w:pPr>
    </w:p>
    <w:p w:rsidR="00E4402C" w:rsidRPr="00C27992" w:rsidRDefault="00E4402C" w:rsidP="00007B29">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C27992">
        <w:rPr>
          <w:rFonts w:ascii="Palatino Linotype" w:hAnsi="Palatino Linotype" w:cs="Arial"/>
          <w:color w:val="000000" w:themeColor="text1"/>
        </w:rPr>
        <w:t xml:space="preserve">En atención al Criterio emitido por el Instituto Nacional de Transparencia, Acceso a la Información y Protección de Datos Personales (INAI), se advierte que el </w:t>
      </w:r>
      <w:r w:rsidRPr="00C27992">
        <w:rPr>
          <w:rFonts w:ascii="Palatino Linotype" w:hAnsi="Palatino Linotype" w:cs="Arial"/>
          <w:color w:val="000000" w:themeColor="text1"/>
        </w:rPr>
        <w:lastRenderedPageBreak/>
        <w:t xml:space="preserve">nombre de los actores en los procedimientos laborales, que se encuentren en trámite, o bien que se concluyeran desfavorables a ellos, es un dato personal confidencial; sin embargo, procede su entrega, siempre que culmine con la entrega a favor de los actores de </w:t>
      </w:r>
      <w:r w:rsidR="00FB4F97" w:rsidRPr="00C27992">
        <w:rPr>
          <w:rFonts w:ascii="Palatino Linotype" w:hAnsi="Palatino Linotype" w:cs="Arial"/>
          <w:color w:val="000000" w:themeColor="text1"/>
        </w:rPr>
        <w:t>recursos</w:t>
      </w:r>
      <w:r w:rsidRPr="00C27992">
        <w:rPr>
          <w:rFonts w:ascii="Palatino Linotype" w:hAnsi="Palatino Linotype" w:cs="Arial"/>
          <w:color w:val="000000" w:themeColor="text1"/>
        </w:rPr>
        <w:t xml:space="preserve"> público</w:t>
      </w:r>
      <w:r w:rsidR="00FB4F97" w:rsidRPr="00C27992">
        <w:rPr>
          <w:rFonts w:ascii="Palatino Linotype" w:hAnsi="Palatino Linotype" w:cs="Arial"/>
          <w:color w:val="000000" w:themeColor="text1"/>
        </w:rPr>
        <w:t>s</w:t>
      </w:r>
      <w:r w:rsidRPr="00C27992">
        <w:rPr>
          <w:rFonts w:ascii="Palatino Linotype" w:hAnsi="Palatino Linotype" w:cs="Arial"/>
          <w:color w:val="000000" w:themeColor="text1"/>
        </w:rPr>
        <w:t xml:space="preserve">, </w:t>
      </w:r>
      <w:r w:rsidR="00FB4F97" w:rsidRPr="00C27992">
        <w:rPr>
          <w:rFonts w:ascii="Palatino Linotype" w:hAnsi="Palatino Linotype" w:cs="Arial"/>
          <w:color w:val="000000" w:themeColor="text1"/>
        </w:rPr>
        <w:t>(</w:t>
      </w:r>
      <w:r w:rsidRPr="00C27992">
        <w:rPr>
          <w:rFonts w:ascii="Palatino Linotype" w:hAnsi="Palatino Linotype" w:cs="Arial"/>
          <w:color w:val="000000" w:themeColor="text1"/>
        </w:rPr>
        <w:t>como al parecer ocurre en el presente caso</w:t>
      </w:r>
      <w:r w:rsidR="00FB4F97" w:rsidRPr="00C27992">
        <w:rPr>
          <w:rFonts w:ascii="Palatino Linotype" w:hAnsi="Palatino Linotype" w:cs="Arial"/>
          <w:color w:val="000000" w:themeColor="text1"/>
        </w:rPr>
        <w:t>)</w:t>
      </w:r>
      <w:r w:rsidRPr="00C27992">
        <w:rPr>
          <w:rFonts w:ascii="Palatino Linotype" w:hAnsi="Palatino Linotype" w:cs="Arial"/>
          <w:color w:val="000000" w:themeColor="text1"/>
        </w:rPr>
        <w:t xml:space="preserve">, pues se favorece la rendición de cuentas y se puede verificar el cumplimiento que el </w:t>
      </w:r>
      <w:r w:rsidRPr="00C27992">
        <w:rPr>
          <w:rFonts w:ascii="Palatino Linotype" w:hAnsi="Palatino Linotype" w:cs="Arial"/>
          <w:b/>
          <w:color w:val="000000" w:themeColor="text1"/>
        </w:rPr>
        <w:t>SUJETO OBLIGADO</w:t>
      </w:r>
      <w:r w:rsidRPr="00C27992">
        <w:rPr>
          <w:rFonts w:ascii="Palatino Linotype" w:hAnsi="Palatino Linotype" w:cs="Arial"/>
          <w:color w:val="000000" w:themeColor="text1"/>
        </w:rPr>
        <w:t xml:space="preserve"> de a las resoluciones o convenios suscritos ante la autoridad laboral; empero, al no contar este Órgano Garante con plena certeza de que la parte actora recibió recursos públicos, es que el Ayuntamiento al momento de elaborar la nueva versión pública, deberá dar observancia a las consideraciones ya precisadas respecto a la clasificación o no del nombre de la parte actora, emitiendo para tal efecto el Acuerdo del Comité de Transparencia que sustente la versión pública en términos del Considerando siguiente, y la ponga a disposición del </w:t>
      </w:r>
      <w:r w:rsidRPr="00C27992">
        <w:rPr>
          <w:rFonts w:ascii="Palatino Linotype" w:hAnsi="Palatino Linotype" w:cs="Arial"/>
          <w:b/>
          <w:color w:val="000000" w:themeColor="text1"/>
        </w:rPr>
        <w:t>RECURRENTE</w:t>
      </w:r>
      <w:r w:rsidRPr="00C27992">
        <w:rPr>
          <w:rFonts w:ascii="Palatino Linotype" w:hAnsi="Palatino Linotype" w:cs="Arial"/>
          <w:color w:val="000000" w:themeColor="text1"/>
        </w:rPr>
        <w:t xml:space="preserve"> al momento de dar cumplimiento a  la presente resolución.</w:t>
      </w:r>
    </w:p>
    <w:p w:rsidR="00E4402C" w:rsidRPr="00C27992" w:rsidRDefault="00E4402C" w:rsidP="00E4402C">
      <w:pPr>
        <w:pStyle w:val="Prrafodelista"/>
        <w:spacing w:before="240" w:after="360" w:line="360" w:lineRule="auto"/>
        <w:ind w:left="0"/>
        <w:jc w:val="both"/>
        <w:rPr>
          <w:rFonts w:ascii="Palatino Linotype" w:hAnsi="Palatino Linotype" w:cs="Arial"/>
          <w:i/>
          <w:color w:val="000000" w:themeColor="text1"/>
        </w:rPr>
      </w:pPr>
    </w:p>
    <w:p w:rsidR="00E4402C" w:rsidRPr="00C27992" w:rsidRDefault="00E4402C" w:rsidP="00007B29">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C27992">
        <w:rPr>
          <w:rFonts w:ascii="Palatino Linotype" w:hAnsi="Palatino Linotype" w:cs="Arial"/>
          <w:color w:val="000000" w:themeColor="text1"/>
        </w:rPr>
        <w:t>Por ultimo no pasa desapercibido que también se testaron datos que dada su propia y especial naturaleza son públicos, como lo son las firmas y rubricas de servidores públicos en ejercicio de sus funciones de derecho público, por lo que la nueva versión pública deberá dejarlas visibles.</w:t>
      </w:r>
    </w:p>
    <w:p w:rsidR="00E4402C" w:rsidRPr="00C27992" w:rsidRDefault="00E4402C" w:rsidP="00E4402C">
      <w:pPr>
        <w:pStyle w:val="Prrafodelista"/>
        <w:spacing w:before="240" w:after="360" w:line="360" w:lineRule="auto"/>
        <w:ind w:left="0"/>
        <w:jc w:val="both"/>
        <w:rPr>
          <w:rFonts w:ascii="Palatino Linotype" w:hAnsi="Palatino Linotype" w:cs="Arial"/>
          <w:i/>
          <w:color w:val="000000" w:themeColor="text1"/>
        </w:rPr>
      </w:pPr>
    </w:p>
    <w:p w:rsidR="00F83AC3" w:rsidRPr="00C27992" w:rsidRDefault="00007B29" w:rsidP="00007B29">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C27992">
        <w:rPr>
          <w:rFonts w:ascii="Palatino Linotype" w:hAnsi="Palatino Linotype" w:cs="Arial"/>
        </w:rPr>
        <w:t xml:space="preserve">Así las cosas es que resulta dable modificar la respuesta del </w:t>
      </w:r>
      <w:r w:rsidRPr="00C27992">
        <w:rPr>
          <w:rFonts w:ascii="Palatino Linotype" w:hAnsi="Palatino Linotype" w:cs="Arial"/>
          <w:b/>
        </w:rPr>
        <w:t>SUJETO OBLIGADO</w:t>
      </w:r>
      <w:r w:rsidRPr="00C27992">
        <w:rPr>
          <w:rFonts w:ascii="Palatino Linotype" w:hAnsi="Palatino Linotype" w:cs="Arial"/>
        </w:rPr>
        <w:t xml:space="preserve"> y ordenar que entregue en versión pública la documental faltante y la correcta versión pública del Acuerdo a que anteriormente se hizo referencia, en ese sentido</w:t>
      </w:r>
      <w:r w:rsidR="00F83AC3" w:rsidRPr="00C27992">
        <w:rPr>
          <w:rFonts w:ascii="Palatino Linotype" w:hAnsi="Palatino Linotype" w:cs="Arial"/>
        </w:rPr>
        <w:t xml:space="preserve"> para entender los alcances de la información pública se considera importante citar el criterio </w:t>
      </w:r>
      <w:r w:rsidR="00F83AC3" w:rsidRPr="00C27992">
        <w:rPr>
          <w:rFonts w:ascii="Palatino Linotype" w:hAnsi="Palatino Linotype" w:cs="Arial"/>
          <w:bCs/>
          <w:lang w:eastAsia="es-MX"/>
        </w:rPr>
        <w:t xml:space="preserve">de interpretación en el orden administrativo número </w:t>
      </w:r>
      <w:r w:rsidR="00F83AC3" w:rsidRPr="00C27992">
        <w:rPr>
          <w:rFonts w:ascii="Palatino Linotype" w:hAnsi="Palatino Linotype" w:cs="Arial"/>
          <w:bCs/>
          <w:lang w:eastAsia="es-MX"/>
        </w:rPr>
        <w:lastRenderedPageBreak/>
        <w:t xml:space="preserve">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00F83AC3" w:rsidRPr="00C27992">
        <w:rPr>
          <w:rFonts w:ascii="Palatino Linotype" w:hAnsi="Palatino Linotype" w:cs="Arial"/>
        </w:rPr>
        <w:t>cuyo rubro y texto dispone:</w:t>
      </w:r>
    </w:p>
    <w:p w:rsidR="00F83AC3" w:rsidRPr="00C27992" w:rsidRDefault="00F83AC3" w:rsidP="00F83AC3">
      <w:pPr>
        <w:pStyle w:val="Prrafodelista"/>
        <w:autoSpaceDE w:val="0"/>
        <w:autoSpaceDN w:val="0"/>
        <w:adjustRightInd w:val="0"/>
        <w:spacing w:line="360" w:lineRule="auto"/>
        <w:ind w:left="0"/>
        <w:jc w:val="both"/>
        <w:rPr>
          <w:rFonts w:ascii="Palatino Linotype" w:hAnsi="Palatino Linotype" w:cs="Arial"/>
        </w:rPr>
      </w:pPr>
    </w:p>
    <w:p w:rsidR="00F83AC3" w:rsidRPr="00C27992" w:rsidRDefault="00F83AC3" w:rsidP="00F83AC3">
      <w:pPr>
        <w:autoSpaceDE w:val="0"/>
        <w:autoSpaceDN w:val="0"/>
        <w:adjustRightInd w:val="0"/>
        <w:ind w:left="567" w:right="567"/>
        <w:jc w:val="both"/>
        <w:rPr>
          <w:rFonts w:ascii="Palatino Linotype" w:hAnsi="Palatino Linotype" w:cs="Arial"/>
          <w:b/>
          <w:i/>
          <w:sz w:val="22"/>
          <w:lang w:eastAsia="es-MX"/>
        </w:rPr>
      </w:pPr>
      <w:r w:rsidRPr="00C27992">
        <w:rPr>
          <w:rFonts w:ascii="Palatino Linotype" w:hAnsi="Palatino Linotype" w:cs="Arial"/>
          <w:b/>
          <w:i/>
          <w:sz w:val="22"/>
          <w:lang w:eastAsia="es-MX"/>
        </w:rPr>
        <w:t>“CRITERIO 0002-11</w:t>
      </w:r>
    </w:p>
    <w:p w:rsidR="00F83AC3" w:rsidRPr="00C27992" w:rsidRDefault="00F83AC3" w:rsidP="00F83AC3">
      <w:pPr>
        <w:autoSpaceDE w:val="0"/>
        <w:autoSpaceDN w:val="0"/>
        <w:adjustRightInd w:val="0"/>
        <w:ind w:left="567" w:right="567"/>
        <w:jc w:val="both"/>
        <w:rPr>
          <w:rFonts w:ascii="Palatino Linotype" w:hAnsi="Palatino Linotype" w:cs="Arial"/>
          <w:i/>
          <w:sz w:val="22"/>
          <w:lang w:eastAsia="es-MX"/>
        </w:rPr>
      </w:pPr>
      <w:r w:rsidRPr="00C27992">
        <w:rPr>
          <w:rFonts w:ascii="Palatino Linotype" w:hAnsi="Palatino Linotype" w:cs="Arial"/>
          <w:b/>
          <w:i/>
          <w:sz w:val="22"/>
          <w:lang w:eastAsia="es-MX"/>
        </w:rPr>
        <w:t xml:space="preserve">INFORMACIÓN PÚBLICA, CONCEPTO DE, EN MATERIA DE TRANSPARENCIA. INTERPRETACIÓN TEMÁTICA DE LOS ARTÍCULOS 2, FRACCIÓN </w:t>
      </w:r>
      <w:r w:rsidRPr="00C27992">
        <w:rPr>
          <w:rFonts w:ascii="Palatino Linotype" w:hAnsi="Palatino Linotype" w:cs="Arial"/>
          <w:b/>
          <w:bCs/>
          <w:i/>
          <w:sz w:val="22"/>
          <w:lang w:eastAsia="es-MX"/>
        </w:rPr>
        <w:t xml:space="preserve">V, XV, Y XVI, </w:t>
      </w:r>
      <w:r w:rsidRPr="00C27992">
        <w:rPr>
          <w:rFonts w:ascii="Palatino Linotype" w:hAnsi="Palatino Linotype" w:cs="Arial"/>
          <w:b/>
          <w:i/>
          <w:sz w:val="22"/>
          <w:lang w:eastAsia="es-MX"/>
        </w:rPr>
        <w:t>3, 4,11 Y 41.</w:t>
      </w:r>
      <w:r w:rsidRPr="00C27992">
        <w:rPr>
          <w:rFonts w:ascii="Palatino Linotype" w:hAnsi="Palatino Linotype" w:cs="Arial"/>
          <w:i/>
          <w:sz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F83AC3" w:rsidRPr="00C27992" w:rsidRDefault="00F83AC3" w:rsidP="00F83AC3">
      <w:pPr>
        <w:autoSpaceDE w:val="0"/>
        <w:autoSpaceDN w:val="0"/>
        <w:adjustRightInd w:val="0"/>
        <w:ind w:left="567" w:right="567"/>
        <w:jc w:val="both"/>
        <w:rPr>
          <w:rFonts w:ascii="Palatino Linotype" w:hAnsi="Palatino Linotype" w:cs="Arial"/>
          <w:i/>
          <w:sz w:val="22"/>
          <w:lang w:eastAsia="es-MX"/>
        </w:rPr>
      </w:pPr>
      <w:r w:rsidRPr="00C27992">
        <w:rPr>
          <w:rFonts w:ascii="Palatino Linotype" w:hAnsi="Palatino Linotype" w:cs="Arial"/>
          <w:i/>
          <w:sz w:val="22"/>
          <w:lang w:eastAsia="es-MX"/>
        </w:rPr>
        <w:t>En consecuencia el acceso a la información se refiere a que se cumplan cualquiera de los siguientes tres supuestos:</w:t>
      </w:r>
    </w:p>
    <w:p w:rsidR="00F83AC3" w:rsidRPr="00C27992" w:rsidRDefault="00F83AC3" w:rsidP="00F83AC3">
      <w:pPr>
        <w:autoSpaceDE w:val="0"/>
        <w:autoSpaceDN w:val="0"/>
        <w:adjustRightInd w:val="0"/>
        <w:ind w:left="567" w:right="567"/>
        <w:jc w:val="both"/>
        <w:rPr>
          <w:rFonts w:ascii="Palatino Linotype" w:hAnsi="Palatino Linotype" w:cs="Arial"/>
          <w:i/>
          <w:sz w:val="22"/>
          <w:lang w:eastAsia="es-MX"/>
        </w:rPr>
      </w:pPr>
      <w:r w:rsidRPr="00C27992">
        <w:rPr>
          <w:rFonts w:ascii="Palatino Linotype" w:hAnsi="Palatino Linotype" w:cs="Arial"/>
          <w:i/>
          <w:sz w:val="22"/>
          <w:lang w:eastAsia="es-MX"/>
        </w:rPr>
        <w:t>Que se trate de información registrada en cualquier soporte documental, que en ejercicio de las atribuciones conferidas, sea generada por los Sujetos Obligados;</w:t>
      </w:r>
    </w:p>
    <w:p w:rsidR="00F83AC3" w:rsidRPr="00C27992" w:rsidRDefault="00F83AC3" w:rsidP="00F83AC3">
      <w:pPr>
        <w:autoSpaceDE w:val="0"/>
        <w:autoSpaceDN w:val="0"/>
        <w:adjustRightInd w:val="0"/>
        <w:ind w:left="567" w:right="567"/>
        <w:jc w:val="both"/>
        <w:rPr>
          <w:rFonts w:ascii="Palatino Linotype" w:hAnsi="Palatino Linotype" w:cs="Arial"/>
          <w:i/>
          <w:sz w:val="22"/>
          <w:lang w:eastAsia="es-MX"/>
        </w:rPr>
      </w:pPr>
      <w:r w:rsidRPr="00C27992">
        <w:rPr>
          <w:rFonts w:ascii="Palatino Linotype" w:hAnsi="Palatino Linotype" w:cs="Arial"/>
          <w:i/>
          <w:sz w:val="22"/>
          <w:lang w:eastAsia="es-MX"/>
        </w:rPr>
        <w:t>Que se trate de información registrada en cualquier soporte documental, que en ejercicio de las atribuciones conferidas, sea administrada por los Sujetos Obligados, y</w:t>
      </w:r>
    </w:p>
    <w:p w:rsidR="00F83AC3" w:rsidRPr="00C27992" w:rsidRDefault="00F83AC3" w:rsidP="00F83AC3">
      <w:pPr>
        <w:ind w:left="567" w:right="567"/>
        <w:jc w:val="both"/>
        <w:rPr>
          <w:rFonts w:ascii="Palatino Linotype" w:hAnsi="Palatino Linotype" w:cs="Arial"/>
          <w:i/>
          <w:color w:val="000000" w:themeColor="text1"/>
          <w:sz w:val="22"/>
        </w:rPr>
      </w:pPr>
      <w:r w:rsidRPr="00C27992">
        <w:rPr>
          <w:rFonts w:ascii="Palatino Linotype" w:hAnsi="Palatino Linotype" w:cs="Arial"/>
          <w:i/>
          <w:sz w:val="22"/>
          <w:lang w:eastAsia="es-MX"/>
        </w:rPr>
        <w:t>Que se trate de información registrada en cualquier soporte documental, que en ejercicio de las atribuciones conferidas, se encuentre en posesión de los Sujetos Obligados.”</w:t>
      </w:r>
    </w:p>
    <w:p w:rsidR="00F83AC3" w:rsidRPr="00C27992" w:rsidRDefault="00F83AC3" w:rsidP="00F83AC3">
      <w:pPr>
        <w:pStyle w:val="Prrafodelista"/>
        <w:tabs>
          <w:tab w:val="left" w:pos="851"/>
        </w:tabs>
        <w:spacing w:line="360" w:lineRule="auto"/>
        <w:ind w:left="0" w:right="49"/>
        <w:jc w:val="both"/>
        <w:rPr>
          <w:rFonts w:ascii="Palatino Linotype" w:hAnsi="Palatino Linotype"/>
          <w:lang w:val="es-ES"/>
        </w:rPr>
      </w:pPr>
    </w:p>
    <w:p w:rsidR="00F83AC3" w:rsidRPr="00C27992" w:rsidRDefault="00F83AC3" w:rsidP="00D66E65">
      <w:pPr>
        <w:pStyle w:val="Prrafodelista"/>
        <w:numPr>
          <w:ilvl w:val="0"/>
          <w:numId w:val="1"/>
        </w:numPr>
        <w:tabs>
          <w:tab w:val="left" w:pos="851"/>
        </w:tabs>
        <w:spacing w:before="240" w:after="240" w:line="360" w:lineRule="auto"/>
        <w:ind w:left="0" w:right="49" w:firstLine="0"/>
        <w:jc w:val="both"/>
        <w:rPr>
          <w:rFonts w:ascii="Palatino Linotype" w:hAnsi="Palatino Linotype" w:cs="Arial"/>
          <w:lang w:val="es-ES"/>
        </w:rPr>
      </w:pPr>
      <w:r w:rsidRPr="00C27992">
        <w:rPr>
          <w:rFonts w:ascii="Palatino Linotype" w:hAnsi="Palatino Linotype"/>
          <w:lang w:val="es-ES"/>
        </w:rPr>
        <w:t>El derecho de acceso a la información encuentra su materia elemental en los documentos, y la Ley de Transparencia local nos brinda el siguiente concepto, para darnos un mejor panorama:</w:t>
      </w:r>
    </w:p>
    <w:p w:rsidR="00F83AC3" w:rsidRPr="00C27992" w:rsidRDefault="00F83AC3" w:rsidP="00F83AC3">
      <w:pPr>
        <w:autoSpaceDE w:val="0"/>
        <w:autoSpaceDN w:val="0"/>
        <w:adjustRightInd w:val="0"/>
        <w:ind w:left="567" w:right="567"/>
        <w:jc w:val="both"/>
        <w:rPr>
          <w:rFonts w:ascii="Palatino Linotype" w:hAnsi="Palatino Linotype"/>
          <w:i/>
          <w:sz w:val="22"/>
          <w:lang w:val="es-ES"/>
        </w:rPr>
      </w:pPr>
      <w:r w:rsidRPr="00C27992">
        <w:rPr>
          <w:rFonts w:ascii="Palatino Linotype" w:eastAsiaTheme="minorHAnsi" w:hAnsi="Palatino Linotype" w:cs="Bookman Old Style,Bold"/>
          <w:b/>
          <w:bCs/>
          <w:i/>
          <w:sz w:val="22"/>
          <w:lang w:eastAsia="en-US"/>
        </w:rPr>
        <w:t xml:space="preserve">XI. Documento: </w:t>
      </w:r>
      <w:r w:rsidRPr="00C27992">
        <w:rPr>
          <w:rFonts w:ascii="Palatino Linotype" w:eastAsiaTheme="minorHAnsi" w:hAnsi="Palatino Linotype" w:cs="Bookman Old Style"/>
          <w:i/>
          <w:sz w:val="22"/>
          <w:lang w:eastAsia="en-US"/>
        </w:rPr>
        <w:t>Los expedientes, reportes, estudios, actas, resoluciones, oficios</w:t>
      </w:r>
      <w:r w:rsidRPr="00C27992">
        <w:rPr>
          <w:rFonts w:ascii="Palatino Linotype" w:eastAsiaTheme="minorHAnsi" w:hAnsi="Palatino Linotype" w:cs="Bookman Old Style"/>
          <w:b/>
          <w:i/>
          <w:sz w:val="22"/>
          <w:lang w:eastAsia="en-US"/>
        </w:rPr>
        <w:t>,</w:t>
      </w:r>
      <w:r w:rsidRPr="00C27992">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C27992">
        <w:rPr>
          <w:rFonts w:ascii="Palatino Linotype" w:eastAsiaTheme="minorHAnsi" w:hAnsi="Palatino Linotype" w:cs="Bookman Old Style"/>
          <w:b/>
          <w:i/>
          <w:sz w:val="22"/>
          <w:lang w:eastAsia="en-US"/>
        </w:rPr>
        <w:t>cualquier otro registro</w:t>
      </w:r>
      <w:r w:rsidRPr="00C27992">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w:t>
      </w:r>
      <w:r w:rsidRPr="00C27992">
        <w:rPr>
          <w:rFonts w:ascii="Palatino Linotype" w:eastAsiaTheme="minorHAnsi" w:hAnsi="Palatino Linotype" w:cs="Bookman Old Style"/>
          <w:i/>
          <w:sz w:val="22"/>
          <w:lang w:eastAsia="en-US"/>
        </w:rPr>
        <w:lastRenderedPageBreak/>
        <w:t>elaboración. Los documentos podrán estar en cualquier medio, sea escrito, impreso,  sonoro, visual, electrónico, informático u holográfico;</w:t>
      </w:r>
    </w:p>
    <w:p w:rsidR="00F83AC3" w:rsidRPr="00C27992" w:rsidRDefault="00F83AC3" w:rsidP="00F83AC3">
      <w:pPr>
        <w:pStyle w:val="Prrafodelista"/>
        <w:tabs>
          <w:tab w:val="left" w:pos="851"/>
        </w:tabs>
        <w:spacing w:line="360" w:lineRule="auto"/>
        <w:ind w:left="0" w:right="49"/>
        <w:jc w:val="both"/>
        <w:rPr>
          <w:rFonts w:ascii="Palatino Linotype" w:hAnsi="Palatino Linotype"/>
          <w:lang w:val="es-ES"/>
        </w:rPr>
      </w:pPr>
    </w:p>
    <w:p w:rsidR="00F83AC3" w:rsidRPr="00C27992" w:rsidRDefault="00F83AC3" w:rsidP="00D66E65">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C27992">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F83AC3" w:rsidRPr="00C27992" w:rsidRDefault="00F83AC3" w:rsidP="00F83AC3">
      <w:pPr>
        <w:pStyle w:val="Prrafodelista"/>
        <w:spacing w:line="360" w:lineRule="auto"/>
        <w:ind w:left="0"/>
        <w:jc w:val="both"/>
        <w:rPr>
          <w:rFonts w:ascii="Palatino Linotype" w:eastAsia="Calibri" w:hAnsi="Palatino Linotype" w:cs="Arial"/>
        </w:rPr>
      </w:pPr>
    </w:p>
    <w:p w:rsidR="00F83AC3" w:rsidRPr="00C27992" w:rsidRDefault="00F83AC3" w:rsidP="00D66E65">
      <w:pPr>
        <w:pStyle w:val="Prrafodelista"/>
        <w:numPr>
          <w:ilvl w:val="0"/>
          <w:numId w:val="1"/>
        </w:numPr>
        <w:spacing w:line="360" w:lineRule="auto"/>
        <w:ind w:left="0" w:firstLine="0"/>
        <w:jc w:val="both"/>
        <w:rPr>
          <w:rFonts w:ascii="Palatino Linotype" w:eastAsia="Calibri" w:hAnsi="Palatino Linotype" w:cs="Arial"/>
        </w:rPr>
      </w:pPr>
      <w:r w:rsidRPr="00C27992">
        <w:rPr>
          <w:rFonts w:ascii="Palatino Linotype" w:hAnsi="Palatino Linotype"/>
          <w:color w:val="000000" w:themeColor="text1"/>
        </w:rPr>
        <w:t xml:space="preserve">Resulta necesario referir que, el </w:t>
      </w:r>
      <w:r w:rsidRPr="00C27992">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C27992">
        <w:rPr>
          <w:rFonts w:ascii="Palatino Linotype" w:eastAsia="Calibri" w:hAnsi="Palatino Linotype" w:cs="Arial"/>
          <w:b/>
        </w:rPr>
        <w:t>los Sujetos Obligados deberán documentar todo acto que se derive del ejercicio de sus facultades, competencias o funciones,</w:t>
      </w:r>
      <w:r w:rsidRPr="00C27992">
        <w:rPr>
          <w:rFonts w:ascii="Palatino Linotype" w:eastAsia="Calibri" w:hAnsi="Palatino Linotype" w:cs="Arial"/>
        </w:rPr>
        <w:t xml:space="preserve"> considerando desde su origen la eventual publicidad y reutilización de la información que generen, posean o administren.</w:t>
      </w:r>
    </w:p>
    <w:p w:rsidR="00F83AC3" w:rsidRPr="00C27992" w:rsidRDefault="00F83AC3" w:rsidP="00F83AC3">
      <w:pPr>
        <w:pStyle w:val="Prrafodelista"/>
        <w:rPr>
          <w:rFonts w:ascii="Palatino Linotype" w:eastAsia="Calibri" w:hAnsi="Palatino Linotype" w:cs="Arial"/>
        </w:rPr>
      </w:pPr>
    </w:p>
    <w:p w:rsidR="00F83AC3" w:rsidRPr="00C27992" w:rsidRDefault="00F83AC3" w:rsidP="00D66E65">
      <w:pPr>
        <w:pStyle w:val="Prrafodelista"/>
        <w:numPr>
          <w:ilvl w:val="0"/>
          <w:numId w:val="1"/>
        </w:numPr>
        <w:spacing w:line="360" w:lineRule="auto"/>
        <w:ind w:left="0" w:firstLine="0"/>
        <w:jc w:val="both"/>
        <w:rPr>
          <w:rFonts w:ascii="Palatino Linotype" w:eastAsia="Calibri" w:hAnsi="Palatino Linotype" w:cs="Arial"/>
        </w:rPr>
      </w:pPr>
      <w:r w:rsidRPr="00C27992">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rsidR="00F83AC3" w:rsidRPr="00C27992" w:rsidRDefault="00F83AC3" w:rsidP="00F83AC3">
      <w:pPr>
        <w:pStyle w:val="Prrafodelista"/>
        <w:spacing w:line="360" w:lineRule="auto"/>
        <w:rPr>
          <w:rFonts w:ascii="Palatino Linotype" w:hAnsi="Palatino Linotype" w:cs="Arial"/>
          <w:color w:val="000000"/>
        </w:rPr>
      </w:pPr>
    </w:p>
    <w:p w:rsidR="00F83AC3" w:rsidRPr="00C27992" w:rsidRDefault="00F83AC3" w:rsidP="00F83AC3">
      <w:pPr>
        <w:autoSpaceDE w:val="0"/>
        <w:autoSpaceDN w:val="0"/>
        <w:adjustRightInd w:val="0"/>
        <w:ind w:left="567" w:right="567"/>
        <w:jc w:val="both"/>
        <w:rPr>
          <w:rFonts w:ascii="Palatino Linotype" w:hAnsi="Palatino Linotype" w:cs="Bookman Old Style"/>
          <w:i/>
          <w:sz w:val="22"/>
        </w:rPr>
      </w:pPr>
      <w:r w:rsidRPr="00C27992">
        <w:rPr>
          <w:rFonts w:ascii="Palatino Linotype" w:hAnsi="Palatino Linotype" w:cs="Bookman Old Style,Bold"/>
          <w:b/>
          <w:bCs/>
          <w:i/>
          <w:sz w:val="22"/>
        </w:rPr>
        <w:t xml:space="preserve">Artículo 4. </w:t>
      </w:r>
      <w:r w:rsidRPr="00C27992">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rsidR="00F83AC3" w:rsidRPr="00C27992" w:rsidRDefault="00F83AC3" w:rsidP="00F83AC3">
      <w:pPr>
        <w:autoSpaceDE w:val="0"/>
        <w:autoSpaceDN w:val="0"/>
        <w:adjustRightInd w:val="0"/>
        <w:ind w:left="567" w:right="567"/>
        <w:jc w:val="both"/>
        <w:rPr>
          <w:rFonts w:ascii="Palatino Linotype" w:hAnsi="Palatino Linotype" w:cs="Bookman Old Style"/>
          <w:i/>
          <w:sz w:val="22"/>
        </w:rPr>
      </w:pPr>
    </w:p>
    <w:p w:rsidR="00F83AC3" w:rsidRPr="00C27992" w:rsidRDefault="00F83AC3" w:rsidP="00F83AC3">
      <w:pPr>
        <w:autoSpaceDE w:val="0"/>
        <w:autoSpaceDN w:val="0"/>
        <w:adjustRightInd w:val="0"/>
        <w:ind w:left="567" w:right="567"/>
        <w:jc w:val="both"/>
        <w:rPr>
          <w:rFonts w:ascii="Palatino Linotype" w:hAnsi="Palatino Linotype" w:cs="Bookman Old Style"/>
          <w:i/>
          <w:sz w:val="22"/>
        </w:rPr>
      </w:pPr>
      <w:r w:rsidRPr="00C27992">
        <w:rPr>
          <w:rFonts w:ascii="Palatino Linotype" w:hAnsi="Palatino Linotype" w:cs="Bookman Old Style"/>
          <w:i/>
          <w:sz w:val="22"/>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F83AC3" w:rsidRPr="00C27992" w:rsidRDefault="00F83AC3" w:rsidP="00F83AC3">
      <w:pPr>
        <w:autoSpaceDE w:val="0"/>
        <w:autoSpaceDN w:val="0"/>
        <w:adjustRightInd w:val="0"/>
        <w:ind w:left="567" w:right="567"/>
        <w:jc w:val="both"/>
        <w:rPr>
          <w:rFonts w:ascii="Palatino Linotype" w:hAnsi="Palatino Linotype" w:cs="Bookman Old Style"/>
          <w:i/>
          <w:sz w:val="22"/>
        </w:rPr>
      </w:pPr>
    </w:p>
    <w:p w:rsidR="00F83AC3" w:rsidRPr="00C27992" w:rsidRDefault="00F83AC3" w:rsidP="00F83AC3">
      <w:pPr>
        <w:autoSpaceDE w:val="0"/>
        <w:autoSpaceDN w:val="0"/>
        <w:adjustRightInd w:val="0"/>
        <w:ind w:left="567" w:right="567"/>
        <w:jc w:val="both"/>
        <w:rPr>
          <w:rFonts w:ascii="Palatino Linotype" w:hAnsi="Palatino Linotype" w:cs="Bookman Old Style"/>
          <w:i/>
          <w:sz w:val="22"/>
        </w:rPr>
      </w:pPr>
      <w:r w:rsidRPr="00C27992">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rsidR="00F83AC3" w:rsidRPr="00C27992" w:rsidRDefault="00F83AC3" w:rsidP="00F83AC3">
      <w:pPr>
        <w:autoSpaceDE w:val="0"/>
        <w:autoSpaceDN w:val="0"/>
        <w:adjustRightInd w:val="0"/>
        <w:ind w:left="567" w:right="567"/>
        <w:jc w:val="both"/>
        <w:rPr>
          <w:rFonts w:ascii="Palatino Linotype" w:hAnsi="Palatino Linotype" w:cs="Arial"/>
          <w:i/>
          <w:color w:val="000000"/>
          <w:sz w:val="22"/>
        </w:rPr>
      </w:pPr>
    </w:p>
    <w:p w:rsidR="00F83AC3" w:rsidRPr="00C27992" w:rsidRDefault="00F83AC3" w:rsidP="00F83AC3">
      <w:pPr>
        <w:autoSpaceDE w:val="0"/>
        <w:autoSpaceDN w:val="0"/>
        <w:adjustRightInd w:val="0"/>
        <w:ind w:left="567" w:right="567"/>
        <w:jc w:val="both"/>
        <w:rPr>
          <w:rFonts w:ascii="Palatino Linotype" w:hAnsi="Palatino Linotype" w:cs="Bookman Old Style"/>
          <w:i/>
          <w:sz w:val="22"/>
        </w:rPr>
      </w:pPr>
      <w:r w:rsidRPr="00C27992">
        <w:rPr>
          <w:rFonts w:ascii="Palatino Linotype" w:hAnsi="Palatino Linotype" w:cs="Bookman Old Style,Bold"/>
          <w:b/>
          <w:bCs/>
          <w:i/>
          <w:sz w:val="22"/>
        </w:rPr>
        <w:t xml:space="preserve">Artículo 12. </w:t>
      </w:r>
      <w:r w:rsidRPr="00C27992">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rsidR="00F83AC3" w:rsidRPr="00C27992" w:rsidRDefault="00F83AC3" w:rsidP="00F83AC3">
      <w:pPr>
        <w:autoSpaceDE w:val="0"/>
        <w:autoSpaceDN w:val="0"/>
        <w:adjustRightInd w:val="0"/>
        <w:ind w:left="567" w:right="567"/>
        <w:jc w:val="both"/>
        <w:rPr>
          <w:rFonts w:ascii="Palatino Linotype" w:hAnsi="Palatino Linotype" w:cs="Bookman Old Style"/>
          <w:i/>
          <w:sz w:val="22"/>
        </w:rPr>
      </w:pPr>
    </w:p>
    <w:p w:rsidR="00F83AC3" w:rsidRPr="00C27992" w:rsidRDefault="00F83AC3" w:rsidP="00F83AC3">
      <w:pPr>
        <w:autoSpaceDE w:val="0"/>
        <w:autoSpaceDN w:val="0"/>
        <w:adjustRightInd w:val="0"/>
        <w:ind w:left="567" w:right="567"/>
        <w:jc w:val="both"/>
        <w:rPr>
          <w:rFonts w:ascii="Palatino Linotype" w:hAnsi="Palatino Linotype" w:cs="Bookman Old Style"/>
          <w:b/>
          <w:i/>
          <w:sz w:val="22"/>
        </w:rPr>
      </w:pPr>
      <w:r w:rsidRPr="00C27992">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C27992">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rsidR="00F83AC3" w:rsidRPr="00C27992" w:rsidRDefault="00F83AC3" w:rsidP="00F83AC3">
      <w:pPr>
        <w:autoSpaceDE w:val="0"/>
        <w:autoSpaceDN w:val="0"/>
        <w:adjustRightInd w:val="0"/>
        <w:spacing w:line="360" w:lineRule="auto"/>
        <w:ind w:left="567" w:right="567"/>
        <w:jc w:val="both"/>
        <w:rPr>
          <w:rFonts w:ascii="Palatino Linotype" w:hAnsi="Palatino Linotype" w:cs="Bookman Old Style"/>
          <w:i/>
        </w:rPr>
      </w:pPr>
    </w:p>
    <w:p w:rsidR="00F83AC3" w:rsidRPr="00C27992" w:rsidRDefault="00F83AC3" w:rsidP="00D66E65">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C27992">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C27992">
        <w:rPr>
          <w:rStyle w:val="Refdenotaalpie"/>
          <w:rFonts w:ascii="Palatino Linotype" w:hAnsi="Palatino Linotype"/>
        </w:rPr>
        <w:footnoteReference w:id="5"/>
      </w:r>
      <w:r w:rsidRPr="00C27992">
        <w:rPr>
          <w:rFonts w:ascii="Palatino Linotype" w:hAnsi="Palatino Linotype"/>
          <w:lang w:val="es-ES"/>
        </w:rPr>
        <w:t xml:space="preserve"> y máxima publicidad, sobre éste último se debe poner mayor énfasis, puesto que establece que toda la información en posesión de los Sujetos </w:t>
      </w:r>
      <w:r w:rsidRPr="00C27992">
        <w:rPr>
          <w:rFonts w:ascii="Palatino Linotype" w:hAnsi="Palatino Linotype"/>
          <w:lang w:val="es-ES"/>
        </w:rPr>
        <w:lastRenderedPageBreak/>
        <w:t>Obligados será pública, completa, oportuna y accesible, lo que permite que la ciudadanía tenga un amplio acceso sobre lo que es el actuar de las autoridades.</w:t>
      </w:r>
    </w:p>
    <w:p w:rsidR="00F83AC3" w:rsidRPr="00C27992" w:rsidRDefault="00F83AC3" w:rsidP="00F83AC3">
      <w:pPr>
        <w:pStyle w:val="Prrafodelista"/>
        <w:tabs>
          <w:tab w:val="left" w:pos="851"/>
        </w:tabs>
        <w:spacing w:line="360" w:lineRule="auto"/>
        <w:ind w:left="0" w:right="49"/>
        <w:jc w:val="both"/>
        <w:rPr>
          <w:rFonts w:ascii="Palatino Linotype" w:hAnsi="Palatino Linotype"/>
          <w:lang w:val="es-ES"/>
        </w:rPr>
      </w:pPr>
    </w:p>
    <w:p w:rsidR="00F83AC3" w:rsidRPr="00C27992" w:rsidRDefault="00F83AC3" w:rsidP="00D66E65">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C27992">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F83AC3" w:rsidRPr="00C27992" w:rsidRDefault="00F83AC3" w:rsidP="00F83AC3">
      <w:pPr>
        <w:pStyle w:val="Prrafodelista"/>
        <w:spacing w:line="360" w:lineRule="auto"/>
        <w:rPr>
          <w:rFonts w:ascii="Palatino Linotype" w:hAnsi="Palatino Linotype"/>
          <w:lang w:val="es-ES"/>
        </w:rPr>
      </w:pPr>
    </w:p>
    <w:p w:rsidR="00F83AC3" w:rsidRPr="00C27992" w:rsidRDefault="00F83AC3" w:rsidP="00F83AC3">
      <w:pPr>
        <w:pStyle w:val="Prrafodelista"/>
        <w:tabs>
          <w:tab w:val="left" w:pos="851"/>
        </w:tabs>
        <w:ind w:left="567" w:right="567"/>
        <w:jc w:val="both"/>
        <w:rPr>
          <w:rFonts w:ascii="Palatino Linotype" w:hAnsi="Palatino Linotype"/>
          <w:i/>
        </w:rPr>
      </w:pPr>
      <w:r w:rsidRPr="00C27992">
        <w:rPr>
          <w:rFonts w:ascii="Palatino Linotype" w:hAnsi="Palatino Linotype"/>
          <w:b/>
          <w:i/>
        </w:rPr>
        <w:t>ACCESO A LA INFORMACIÓN. IMPLICACIÓN DEL PRINCIPIO DE MÁXIMA PUBLICIDAD EN EL DERECHO FUNDAMENTAL RELATIVO.</w:t>
      </w:r>
      <w:r w:rsidRPr="00C27992">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w:t>
      </w:r>
      <w:r w:rsidRPr="00C27992">
        <w:rPr>
          <w:rFonts w:ascii="Palatino Linotype" w:hAnsi="Palatino Linotype"/>
          <w:i/>
        </w:rPr>
        <w:lastRenderedPageBreak/>
        <w:t xml:space="preserve">legislación secundaria y justificados bajo determinadas circunstancias, se podrá clasificar como confidencial o reservada, esto es, considerarla con una calidad diversa. </w:t>
      </w:r>
    </w:p>
    <w:p w:rsidR="00F83AC3" w:rsidRPr="00C27992" w:rsidRDefault="00F83AC3" w:rsidP="00F83AC3">
      <w:pPr>
        <w:pStyle w:val="Prrafodelista"/>
        <w:tabs>
          <w:tab w:val="left" w:pos="851"/>
        </w:tabs>
        <w:ind w:left="567" w:right="567"/>
        <w:jc w:val="both"/>
        <w:rPr>
          <w:rFonts w:ascii="Palatino Linotype" w:hAnsi="Palatino Linotype"/>
          <w:i/>
        </w:rPr>
      </w:pPr>
    </w:p>
    <w:p w:rsidR="00F83AC3" w:rsidRPr="00C27992" w:rsidRDefault="00F83AC3" w:rsidP="00F83AC3">
      <w:pPr>
        <w:pStyle w:val="Prrafodelista"/>
        <w:tabs>
          <w:tab w:val="left" w:pos="851"/>
        </w:tabs>
        <w:ind w:left="567" w:right="567"/>
        <w:jc w:val="both"/>
        <w:rPr>
          <w:rFonts w:ascii="Palatino Linotype" w:hAnsi="Palatino Linotype"/>
          <w:i/>
        </w:rPr>
      </w:pPr>
      <w:r w:rsidRPr="00C27992">
        <w:rPr>
          <w:rFonts w:ascii="Palatino Linotype" w:hAnsi="Palatino Linotype"/>
          <w:i/>
        </w:rPr>
        <w:t xml:space="preserve">CUARTO TRIBUNAL COLEGIADO EN MATERIA ADMINISTRATIVA DEL PRIMER CIRCUITO. </w:t>
      </w:r>
    </w:p>
    <w:p w:rsidR="00F83AC3" w:rsidRPr="00C27992" w:rsidRDefault="00F83AC3" w:rsidP="00F83AC3">
      <w:pPr>
        <w:pStyle w:val="Prrafodelista"/>
        <w:tabs>
          <w:tab w:val="left" w:pos="851"/>
        </w:tabs>
        <w:ind w:left="567" w:right="567"/>
        <w:jc w:val="both"/>
        <w:rPr>
          <w:rFonts w:ascii="Palatino Linotype" w:hAnsi="Palatino Linotype"/>
          <w:i/>
        </w:rPr>
      </w:pPr>
    </w:p>
    <w:p w:rsidR="00F83AC3" w:rsidRPr="00C27992" w:rsidRDefault="00F83AC3" w:rsidP="00F83AC3">
      <w:pPr>
        <w:pStyle w:val="Prrafodelista"/>
        <w:tabs>
          <w:tab w:val="left" w:pos="851"/>
        </w:tabs>
        <w:ind w:left="567" w:right="567"/>
        <w:jc w:val="both"/>
        <w:rPr>
          <w:rFonts w:ascii="Palatino Linotype" w:hAnsi="Palatino Linotype"/>
          <w:i/>
        </w:rPr>
      </w:pPr>
      <w:r w:rsidRPr="00C27992">
        <w:rPr>
          <w:rFonts w:ascii="Palatino Linotype" w:hAnsi="Palatino Linotype"/>
          <w:i/>
        </w:rPr>
        <w:t>Amparo en revisión 257/2012. Ruth Corona Muñoz. 6 de diciembre de 2012. Unanimidad de votos. Ponente: Jean Claude Tron Petit. Secretaria: Mayra Susana Martínez López.</w:t>
      </w:r>
    </w:p>
    <w:p w:rsidR="00F83AC3" w:rsidRPr="00C27992" w:rsidRDefault="00F83AC3" w:rsidP="00F83AC3">
      <w:pPr>
        <w:pStyle w:val="Prrafodelista"/>
        <w:tabs>
          <w:tab w:val="left" w:pos="851"/>
        </w:tabs>
        <w:ind w:left="567" w:right="567"/>
        <w:jc w:val="both"/>
        <w:rPr>
          <w:rFonts w:ascii="Palatino Linotype" w:hAnsi="Palatino Linotype"/>
          <w:i/>
          <w:lang w:val="es-ES"/>
        </w:rPr>
      </w:pPr>
    </w:p>
    <w:p w:rsidR="00F83AC3" w:rsidRPr="00C27992" w:rsidRDefault="00F83AC3" w:rsidP="00D66E65">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C27992">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rsidR="00F83AC3" w:rsidRPr="00C27992" w:rsidRDefault="00F83AC3" w:rsidP="00F83AC3">
      <w:pPr>
        <w:tabs>
          <w:tab w:val="left" w:pos="851"/>
        </w:tabs>
        <w:spacing w:line="360" w:lineRule="auto"/>
        <w:ind w:right="49"/>
        <w:jc w:val="both"/>
        <w:rPr>
          <w:rFonts w:ascii="Palatino Linotype" w:hAnsi="Palatino Linotype"/>
          <w:lang w:val="es-ES"/>
        </w:rPr>
      </w:pPr>
    </w:p>
    <w:p w:rsidR="00F83AC3" w:rsidRPr="00C27992" w:rsidRDefault="00F83AC3" w:rsidP="00D66E65">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C27992">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rsidR="00187C95" w:rsidRPr="00C27992" w:rsidRDefault="00187C95" w:rsidP="00187C95">
      <w:pPr>
        <w:pStyle w:val="Prrafodelista"/>
        <w:rPr>
          <w:rFonts w:ascii="Palatino Linotype" w:hAnsi="Palatino Linotype" w:cs="Arial"/>
          <w:lang w:eastAsia="es-MX"/>
        </w:rPr>
      </w:pPr>
    </w:p>
    <w:p w:rsidR="00F83AC3" w:rsidRPr="00C27992" w:rsidRDefault="00F83AC3" w:rsidP="00F83AC3">
      <w:pPr>
        <w:ind w:left="567" w:right="567"/>
        <w:jc w:val="both"/>
        <w:rPr>
          <w:rFonts w:ascii="Palatino Linotype" w:hAnsi="Palatino Linotype" w:cs="Arial"/>
          <w:i/>
          <w:sz w:val="22"/>
        </w:rPr>
      </w:pPr>
      <w:r w:rsidRPr="00C27992">
        <w:rPr>
          <w:rFonts w:ascii="Palatino Linotype" w:hAnsi="Palatino Linotype" w:cs="Arial"/>
          <w:b/>
          <w:i/>
          <w:sz w:val="22"/>
        </w:rPr>
        <w:t>“Artículo 6o.</w:t>
      </w:r>
      <w:r w:rsidRPr="00C27992">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C27992">
        <w:rPr>
          <w:rFonts w:ascii="Palatino Linotype" w:hAnsi="Palatino Linotype" w:cs="Arial"/>
          <w:b/>
          <w:i/>
          <w:sz w:val="22"/>
        </w:rPr>
        <w:t>El derecho a la información será garantizado por el Estado.</w:t>
      </w:r>
      <w:r w:rsidRPr="00C27992">
        <w:rPr>
          <w:rFonts w:ascii="Palatino Linotype" w:hAnsi="Palatino Linotype" w:cs="Arial"/>
          <w:i/>
          <w:sz w:val="22"/>
        </w:rPr>
        <w:t xml:space="preserve"> </w:t>
      </w:r>
    </w:p>
    <w:p w:rsidR="00F83AC3" w:rsidRPr="00C27992" w:rsidRDefault="00F83AC3" w:rsidP="00F83AC3">
      <w:pPr>
        <w:ind w:left="567" w:right="567"/>
        <w:jc w:val="both"/>
        <w:rPr>
          <w:rFonts w:ascii="Palatino Linotype" w:hAnsi="Palatino Linotype" w:cs="Arial"/>
          <w:i/>
          <w:sz w:val="22"/>
        </w:rPr>
      </w:pPr>
    </w:p>
    <w:p w:rsidR="00F83AC3" w:rsidRPr="00C27992" w:rsidRDefault="00F83AC3" w:rsidP="00F83AC3">
      <w:pPr>
        <w:ind w:left="567" w:right="567"/>
        <w:jc w:val="both"/>
        <w:rPr>
          <w:rFonts w:ascii="Palatino Linotype" w:hAnsi="Palatino Linotype" w:cs="Arial"/>
          <w:i/>
          <w:sz w:val="22"/>
        </w:rPr>
      </w:pPr>
      <w:r w:rsidRPr="00C27992">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rsidR="00F83AC3" w:rsidRPr="00C27992" w:rsidRDefault="00F83AC3" w:rsidP="00F83AC3">
      <w:pPr>
        <w:ind w:left="567" w:right="567"/>
        <w:jc w:val="both"/>
        <w:rPr>
          <w:rFonts w:ascii="Palatino Linotype" w:hAnsi="Palatino Linotype" w:cs="Arial"/>
          <w:i/>
          <w:sz w:val="22"/>
        </w:rPr>
      </w:pPr>
    </w:p>
    <w:p w:rsidR="00F83AC3" w:rsidRPr="00C27992" w:rsidRDefault="00F83AC3" w:rsidP="00F83AC3">
      <w:pPr>
        <w:ind w:left="567" w:right="567"/>
        <w:jc w:val="both"/>
        <w:rPr>
          <w:rFonts w:ascii="Palatino Linotype" w:hAnsi="Palatino Linotype" w:cs="Arial"/>
          <w:i/>
          <w:sz w:val="22"/>
        </w:rPr>
      </w:pPr>
      <w:r w:rsidRPr="00C27992">
        <w:rPr>
          <w:rFonts w:ascii="Palatino Linotype" w:hAnsi="Palatino Linotype" w:cs="Arial"/>
          <w:i/>
          <w:sz w:val="22"/>
        </w:rPr>
        <w:t>Para efectos de lo dispuesto en el presente artículo se observará lo siguiente:</w:t>
      </w:r>
    </w:p>
    <w:p w:rsidR="00F83AC3" w:rsidRPr="00C27992" w:rsidRDefault="00F83AC3" w:rsidP="00F83AC3">
      <w:pPr>
        <w:ind w:left="567" w:right="567"/>
        <w:jc w:val="both"/>
        <w:rPr>
          <w:rFonts w:ascii="Palatino Linotype" w:hAnsi="Palatino Linotype" w:cs="Arial"/>
          <w:i/>
          <w:sz w:val="22"/>
        </w:rPr>
      </w:pPr>
    </w:p>
    <w:p w:rsidR="00F83AC3" w:rsidRPr="00C27992" w:rsidRDefault="00F83AC3" w:rsidP="00F83AC3">
      <w:pPr>
        <w:ind w:left="567" w:right="567"/>
        <w:jc w:val="both"/>
        <w:rPr>
          <w:rFonts w:ascii="Palatino Linotype" w:hAnsi="Palatino Linotype" w:cs="Arial"/>
          <w:i/>
          <w:sz w:val="22"/>
        </w:rPr>
      </w:pPr>
      <w:r w:rsidRPr="00C27992">
        <w:rPr>
          <w:rFonts w:ascii="Palatino Linotype" w:hAnsi="Palatino Linotype" w:cs="Arial"/>
          <w:i/>
          <w:sz w:val="22"/>
        </w:rPr>
        <w:lastRenderedPageBreak/>
        <w:t>A. Para el ejercicio del derecho de acceso a la información, la Federación, los Estados y el Distrito Federal, en el ámbito de sus respectivas competencias, se regirán por los siguientes principios y bases:</w:t>
      </w:r>
    </w:p>
    <w:p w:rsidR="00F83AC3" w:rsidRPr="00C27992" w:rsidRDefault="00F83AC3" w:rsidP="00F83AC3">
      <w:pPr>
        <w:ind w:left="567" w:right="567"/>
        <w:jc w:val="both"/>
        <w:rPr>
          <w:rFonts w:ascii="Palatino Linotype" w:hAnsi="Palatino Linotype" w:cs="Arial"/>
          <w:b/>
          <w:i/>
          <w:sz w:val="22"/>
        </w:rPr>
      </w:pPr>
    </w:p>
    <w:p w:rsidR="00F83AC3" w:rsidRPr="00C27992" w:rsidRDefault="00F83AC3" w:rsidP="00F83AC3">
      <w:pPr>
        <w:ind w:left="567" w:right="567"/>
        <w:jc w:val="both"/>
        <w:rPr>
          <w:rFonts w:ascii="Palatino Linotype" w:hAnsi="Palatino Linotype" w:cs="Arial"/>
          <w:i/>
          <w:sz w:val="22"/>
        </w:rPr>
      </w:pPr>
      <w:r w:rsidRPr="00C27992">
        <w:rPr>
          <w:rFonts w:ascii="Palatino Linotype" w:hAnsi="Palatino Linotype" w:cs="Arial"/>
          <w:b/>
          <w:i/>
          <w:sz w:val="22"/>
        </w:rPr>
        <w:t>I. Toda la información en posesión de</w:t>
      </w:r>
      <w:r w:rsidRPr="00C27992">
        <w:rPr>
          <w:rFonts w:ascii="Palatino Linotype" w:hAnsi="Palatino Linotype" w:cs="Arial"/>
          <w:i/>
          <w:sz w:val="22"/>
        </w:rPr>
        <w:t xml:space="preserve"> </w:t>
      </w:r>
      <w:r w:rsidRPr="00C27992">
        <w:rPr>
          <w:rFonts w:ascii="Palatino Linotype" w:hAnsi="Palatino Linotype" w:cs="Arial"/>
          <w:b/>
          <w:i/>
          <w:sz w:val="22"/>
        </w:rPr>
        <w:t>cualquier autoridad</w:t>
      </w:r>
      <w:r w:rsidRPr="00C27992">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C27992">
        <w:rPr>
          <w:rFonts w:ascii="Palatino Linotype" w:hAnsi="Palatino Linotype" w:cs="Arial"/>
          <w:b/>
          <w:i/>
          <w:sz w:val="22"/>
        </w:rPr>
        <w:t>es pública</w:t>
      </w:r>
      <w:r w:rsidRPr="00C27992">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C27992">
        <w:rPr>
          <w:rFonts w:ascii="Palatino Linotype" w:hAnsi="Palatino Linotype" w:cs="Arial"/>
          <w:b/>
          <w:i/>
          <w:sz w:val="22"/>
        </w:rPr>
        <w:t>Los sujetos obligados deberán documentar todo acto que derive del ejercicio de sus facultades, competencias o funciones</w:t>
      </w:r>
      <w:r w:rsidRPr="00C27992">
        <w:rPr>
          <w:rFonts w:ascii="Palatino Linotype" w:hAnsi="Palatino Linotype" w:cs="Arial"/>
          <w:i/>
          <w:sz w:val="22"/>
        </w:rPr>
        <w:t>, la ley determinará los supuestos específicos bajo los cuales procederá la declaración de inexistencia de la información.</w:t>
      </w:r>
    </w:p>
    <w:p w:rsidR="00F83AC3" w:rsidRPr="00C27992" w:rsidRDefault="00F83AC3" w:rsidP="00F83AC3">
      <w:pPr>
        <w:ind w:left="567" w:right="567"/>
        <w:jc w:val="both"/>
        <w:rPr>
          <w:rFonts w:ascii="Palatino Linotype" w:hAnsi="Palatino Linotype" w:cs="Arial"/>
          <w:i/>
          <w:sz w:val="22"/>
        </w:rPr>
      </w:pPr>
    </w:p>
    <w:p w:rsidR="00F83AC3" w:rsidRPr="00C27992" w:rsidRDefault="00F83AC3" w:rsidP="00F83AC3">
      <w:pPr>
        <w:ind w:left="567" w:right="567"/>
        <w:jc w:val="both"/>
        <w:rPr>
          <w:rFonts w:ascii="Palatino Linotype" w:hAnsi="Palatino Linotype" w:cs="Arial"/>
          <w:i/>
          <w:sz w:val="22"/>
        </w:rPr>
      </w:pPr>
      <w:r w:rsidRPr="00C27992">
        <w:rPr>
          <w:rFonts w:ascii="Palatino Linotype" w:hAnsi="Palatino Linotype" w:cs="Arial"/>
          <w:i/>
          <w:sz w:val="22"/>
        </w:rPr>
        <w:t>II. La información que se refiere a la vida privada y los datos personales será protegida en los términos y con las excepciones que fijen las leyes.</w:t>
      </w:r>
    </w:p>
    <w:p w:rsidR="00F83AC3" w:rsidRPr="00C27992" w:rsidRDefault="00F83AC3" w:rsidP="00F83AC3">
      <w:pPr>
        <w:ind w:left="567" w:right="567"/>
        <w:jc w:val="both"/>
        <w:rPr>
          <w:rFonts w:ascii="Palatino Linotype" w:hAnsi="Palatino Linotype" w:cs="Arial"/>
          <w:i/>
          <w:sz w:val="22"/>
        </w:rPr>
      </w:pPr>
    </w:p>
    <w:p w:rsidR="00F83AC3" w:rsidRPr="00C27992" w:rsidRDefault="00F83AC3" w:rsidP="00F83AC3">
      <w:pPr>
        <w:ind w:left="567" w:right="567"/>
        <w:jc w:val="both"/>
        <w:rPr>
          <w:rFonts w:ascii="Palatino Linotype" w:hAnsi="Palatino Linotype" w:cs="Arial"/>
          <w:i/>
          <w:sz w:val="22"/>
        </w:rPr>
      </w:pPr>
      <w:r w:rsidRPr="00C27992">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rsidR="00F83AC3" w:rsidRPr="00C27992" w:rsidRDefault="00F83AC3" w:rsidP="00F83AC3">
      <w:pPr>
        <w:ind w:left="567" w:right="567"/>
        <w:jc w:val="both"/>
        <w:rPr>
          <w:rFonts w:ascii="Palatino Linotype" w:hAnsi="Palatino Linotype" w:cs="Arial"/>
          <w:i/>
          <w:sz w:val="22"/>
        </w:rPr>
      </w:pPr>
    </w:p>
    <w:p w:rsidR="00F83AC3" w:rsidRPr="00C27992" w:rsidRDefault="00F83AC3" w:rsidP="00F83AC3">
      <w:pPr>
        <w:ind w:left="567" w:right="567"/>
        <w:jc w:val="both"/>
        <w:rPr>
          <w:rFonts w:ascii="Palatino Linotype" w:hAnsi="Palatino Linotype" w:cs="Arial"/>
          <w:i/>
          <w:sz w:val="22"/>
        </w:rPr>
      </w:pPr>
      <w:r w:rsidRPr="00C27992">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rsidR="00F83AC3" w:rsidRPr="00C27992" w:rsidRDefault="00F83AC3" w:rsidP="00F83AC3">
      <w:pPr>
        <w:ind w:left="567" w:right="567"/>
        <w:jc w:val="both"/>
        <w:rPr>
          <w:rFonts w:ascii="Palatino Linotype" w:hAnsi="Palatino Linotype" w:cs="Arial"/>
          <w:b/>
          <w:i/>
          <w:sz w:val="22"/>
        </w:rPr>
      </w:pPr>
    </w:p>
    <w:p w:rsidR="00F83AC3" w:rsidRPr="00C27992" w:rsidRDefault="00F83AC3" w:rsidP="00F83AC3">
      <w:pPr>
        <w:ind w:left="567" w:right="567"/>
        <w:jc w:val="both"/>
        <w:rPr>
          <w:rFonts w:ascii="Palatino Linotype" w:hAnsi="Palatino Linotype" w:cs="Arial"/>
          <w:i/>
          <w:sz w:val="22"/>
        </w:rPr>
      </w:pPr>
      <w:r w:rsidRPr="00C27992">
        <w:rPr>
          <w:rFonts w:ascii="Palatino Linotype" w:hAnsi="Palatino Linotype" w:cs="Arial"/>
          <w:b/>
          <w:i/>
          <w:sz w:val="22"/>
        </w:rPr>
        <w:t>V. Los sujetos obligados deberán preservar sus documentos en archivos administrativos actualizados y publicarán, a través de los medios electrónicos disponibles</w:t>
      </w:r>
      <w:r w:rsidRPr="00C27992">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rsidR="00F83AC3" w:rsidRPr="00C27992" w:rsidRDefault="00F83AC3" w:rsidP="00F83AC3">
      <w:pPr>
        <w:ind w:left="567" w:right="567"/>
        <w:jc w:val="both"/>
        <w:rPr>
          <w:rFonts w:ascii="Palatino Linotype" w:hAnsi="Palatino Linotype" w:cs="Arial"/>
          <w:i/>
          <w:sz w:val="22"/>
        </w:rPr>
      </w:pPr>
    </w:p>
    <w:p w:rsidR="00F83AC3" w:rsidRPr="00C27992" w:rsidRDefault="00F83AC3" w:rsidP="00F83AC3">
      <w:pPr>
        <w:ind w:left="567" w:right="567"/>
        <w:jc w:val="both"/>
        <w:rPr>
          <w:rFonts w:ascii="Palatino Linotype" w:hAnsi="Palatino Linotype" w:cs="Arial"/>
          <w:i/>
          <w:sz w:val="22"/>
        </w:rPr>
      </w:pPr>
      <w:r w:rsidRPr="00C27992">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rsidR="00F83AC3" w:rsidRPr="00C27992" w:rsidRDefault="00F83AC3" w:rsidP="00F83AC3">
      <w:pPr>
        <w:ind w:left="567" w:right="567"/>
        <w:jc w:val="both"/>
        <w:rPr>
          <w:rFonts w:ascii="Palatino Linotype" w:hAnsi="Palatino Linotype" w:cs="Arial"/>
          <w:i/>
          <w:sz w:val="22"/>
        </w:rPr>
      </w:pPr>
    </w:p>
    <w:p w:rsidR="00F83AC3" w:rsidRPr="00C27992" w:rsidRDefault="00F83AC3" w:rsidP="00F83AC3">
      <w:pPr>
        <w:ind w:left="567" w:right="567"/>
        <w:jc w:val="both"/>
        <w:rPr>
          <w:rFonts w:ascii="Palatino Linotype" w:hAnsi="Palatino Linotype" w:cs="Arial"/>
          <w:i/>
          <w:sz w:val="22"/>
        </w:rPr>
      </w:pPr>
      <w:r w:rsidRPr="00C27992">
        <w:rPr>
          <w:rFonts w:ascii="Palatino Linotype" w:hAnsi="Palatino Linotype" w:cs="Arial"/>
          <w:i/>
          <w:sz w:val="22"/>
        </w:rPr>
        <w:t>VII. La inobservancia a las disposiciones en materia de acceso a la información pública será sancionada en los términos que dispongan las leyes.</w:t>
      </w:r>
    </w:p>
    <w:p w:rsidR="00F83AC3" w:rsidRPr="00C27992" w:rsidRDefault="00F83AC3" w:rsidP="00F83AC3">
      <w:pPr>
        <w:ind w:left="567" w:right="567"/>
        <w:jc w:val="both"/>
        <w:rPr>
          <w:rFonts w:ascii="Palatino Linotype" w:hAnsi="Palatino Linotype" w:cs="Arial"/>
          <w:i/>
          <w:sz w:val="22"/>
        </w:rPr>
      </w:pPr>
    </w:p>
    <w:p w:rsidR="00F83AC3" w:rsidRPr="00C27992" w:rsidRDefault="00F83AC3" w:rsidP="00F83AC3">
      <w:pPr>
        <w:ind w:left="567" w:right="567"/>
        <w:jc w:val="both"/>
        <w:rPr>
          <w:rFonts w:ascii="Palatino Linotype" w:hAnsi="Palatino Linotype" w:cs="Arial"/>
          <w:i/>
          <w:sz w:val="22"/>
        </w:rPr>
      </w:pPr>
      <w:r w:rsidRPr="00C27992">
        <w:rPr>
          <w:rFonts w:ascii="Palatino Linotype" w:hAnsi="Palatino Linotype" w:cs="Arial"/>
          <w:i/>
          <w:sz w:val="22"/>
        </w:rPr>
        <w:lastRenderedPageBreak/>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F83AC3" w:rsidRPr="00C27992" w:rsidRDefault="00F83AC3" w:rsidP="00F83AC3">
      <w:pPr>
        <w:ind w:left="567" w:right="567"/>
        <w:jc w:val="both"/>
        <w:rPr>
          <w:rFonts w:ascii="Palatino Linotype" w:hAnsi="Palatino Linotype" w:cs="Arial"/>
          <w:i/>
          <w:sz w:val="22"/>
        </w:rPr>
      </w:pPr>
      <w:r w:rsidRPr="00C27992">
        <w:rPr>
          <w:rFonts w:ascii="Palatino Linotype" w:hAnsi="Palatino Linotype" w:cs="Arial"/>
          <w:i/>
          <w:sz w:val="22"/>
        </w:rPr>
        <w:t>…</w:t>
      </w:r>
    </w:p>
    <w:p w:rsidR="00F83AC3" w:rsidRPr="00C27992" w:rsidRDefault="00F83AC3" w:rsidP="00F83AC3">
      <w:pPr>
        <w:ind w:left="567" w:right="567"/>
        <w:jc w:val="both"/>
        <w:rPr>
          <w:rFonts w:ascii="Palatino Linotype" w:hAnsi="Palatino Linotype" w:cs="Arial"/>
          <w:i/>
          <w:sz w:val="22"/>
        </w:rPr>
      </w:pPr>
      <w:r w:rsidRPr="00C27992">
        <w:rPr>
          <w:rFonts w:ascii="Palatino Linotype" w:hAnsi="Palatino Linotype" w:cs="Arial"/>
          <w:i/>
          <w:sz w:val="22"/>
        </w:rPr>
        <w:t>La ley establecerá aquella información que se considere reservada o confidencial.”</w:t>
      </w:r>
    </w:p>
    <w:p w:rsidR="00F83AC3" w:rsidRPr="00C27992" w:rsidRDefault="00F83AC3" w:rsidP="00F83AC3">
      <w:pPr>
        <w:ind w:left="567" w:right="567"/>
        <w:jc w:val="both"/>
        <w:rPr>
          <w:rFonts w:ascii="Palatino Linotype" w:hAnsi="Palatino Linotype"/>
          <w:i/>
          <w:sz w:val="22"/>
        </w:rPr>
      </w:pPr>
    </w:p>
    <w:p w:rsidR="00F83AC3" w:rsidRPr="00C27992" w:rsidRDefault="00F83AC3" w:rsidP="00F83AC3">
      <w:pPr>
        <w:ind w:left="567" w:right="567"/>
        <w:jc w:val="both"/>
        <w:rPr>
          <w:rFonts w:ascii="Palatino Linotype" w:hAnsi="Palatino Linotype"/>
          <w:i/>
          <w:sz w:val="22"/>
        </w:rPr>
      </w:pPr>
      <w:r w:rsidRPr="00C27992">
        <w:rPr>
          <w:rFonts w:ascii="Palatino Linotype" w:hAnsi="Palatino Linotype"/>
          <w:i/>
          <w:sz w:val="22"/>
        </w:rPr>
        <w:t>(Énfasis añadido)</w:t>
      </w:r>
    </w:p>
    <w:p w:rsidR="00F83AC3" w:rsidRPr="00C27992" w:rsidRDefault="00F83AC3" w:rsidP="00F83AC3">
      <w:pPr>
        <w:spacing w:line="360" w:lineRule="auto"/>
        <w:ind w:left="709" w:right="757"/>
        <w:jc w:val="both"/>
        <w:rPr>
          <w:rFonts w:ascii="Palatino Linotype" w:hAnsi="Palatino Linotype"/>
        </w:rPr>
      </w:pPr>
    </w:p>
    <w:p w:rsidR="00F83AC3" w:rsidRPr="00C27992" w:rsidRDefault="00F83AC3" w:rsidP="00D66E65">
      <w:pPr>
        <w:pStyle w:val="Prrafodelista"/>
        <w:numPr>
          <w:ilvl w:val="0"/>
          <w:numId w:val="1"/>
        </w:numPr>
        <w:spacing w:line="360" w:lineRule="auto"/>
        <w:ind w:left="0" w:firstLine="0"/>
        <w:jc w:val="both"/>
        <w:rPr>
          <w:rFonts w:ascii="Palatino Linotype" w:hAnsi="Palatino Linotype" w:cs="Arial"/>
        </w:rPr>
      </w:pPr>
      <w:r w:rsidRPr="00C27992">
        <w:rPr>
          <w:rFonts w:ascii="Palatino Linotype" w:hAnsi="Palatino Linotype" w:cs="Arial"/>
        </w:rPr>
        <w:t>Por su parte, la Constitución Política del Estado Libre y Soberano de México, en su artículo 5°, dispone en su parte conducente, lo siguiente:</w:t>
      </w:r>
    </w:p>
    <w:p w:rsidR="00F31B5E" w:rsidRPr="00C27992" w:rsidRDefault="00F31B5E" w:rsidP="00F31B5E">
      <w:pPr>
        <w:pStyle w:val="Prrafodelista"/>
        <w:spacing w:line="360" w:lineRule="auto"/>
        <w:ind w:left="0"/>
        <w:jc w:val="both"/>
        <w:rPr>
          <w:rFonts w:ascii="Palatino Linotype" w:hAnsi="Palatino Linotype" w:cs="Arial"/>
        </w:rPr>
      </w:pPr>
    </w:p>
    <w:p w:rsidR="00F83AC3" w:rsidRPr="00C27992" w:rsidRDefault="00F83AC3" w:rsidP="00F83AC3">
      <w:pPr>
        <w:ind w:left="567" w:right="567"/>
        <w:jc w:val="both"/>
        <w:rPr>
          <w:rFonts w:ascii="Palatino Linotype" w:hAnsi="Palatino Linotype" w:cs="Arial"/>
          <w:b/>
          <w:i/>
          <w:sz w:val="22"/>
        </w:rPr>
      </w:pPr>
      <w:r w:rsidRPr="00C27992">
        <w:rPr>
          <w:rFonts w:ascii="Palatino Linotype" w:hAnsi="Palatino Linotype" w:cs="Arial"/>
          <w:b/>
          <w:i/>
          <w:sz w:val="22"/>
        </w:rPr>
        <w:t xml:space="preserve">“Artículo 5. … </w:t>
      </w:r>
    </w:p>
    <w:p w:rsidR="00F83AC3" w:rsidRPr="00C27992" w:rsidRDefault="00F83AC3" w:rsidP="00F83AC3">
      <w:pPr>
        <w:ind w:left="567" w:right="567"/>
        <w:jc w:val="both"/>
        <w:rPr>
          <w:rFonts w:ascii="Palatino Linotype" w:hAnsi="Palatino Linotype"/>
          <w:i/>
          <w:sz w:val="22"/>
        </w:rPr>
      </w:pPr>
      <w:r w:rsidRPr="00C27992">
        <w:rPr>
          <w:rFonts w:ascii="Palatino Linotype" w:hAnsi="Palatino Linotype"/>
          <w:b/>
          <w:i/>
          <w:sz w:val="22"/>
        </w:rPr>
        <w:t>El derecho a la información será garantizado por el Estado</w:t>
      </w:r>
      <w:r w:rsidRPr="00C27992">
        <w:rPr>
          <w:rFonts w:ascii="Palatino Linotype" w:hAnsi="Palatino Linotype"/>
          <w:i/>
          <w:sz w:val="22"/>
        </w:rPr>
        <w:t xml:space="preserve">. La ley establecerá las previsiones que permitan asegurar la protección, el respeto y la difusión de este derecho. </w:t>
      </w:r>
    </w:p>
    <w:p w:rsidR="00F83AC3" w:rsidRPr="00C27992" w:rsidRDefault="00F83AC3" w:rsidP="00F83AC3">
      <w:pPr>
        <w:ind w:left="567" w:right="567"/>
        <w:jc w:val="both"/>
        <w:rPr>
          <w:rFonts w:ascii="Palatino Linotype" w:hAnsi="Palatino Linotype"/>
          <w:i/>
          <w:sz w:val="22"/>
        </w:rPr>
      </w:pPr>
      <w:r w:rsidRPr="00C27992">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F83AC3" w:rsidRPr="00C27992" w:rsidRDefault="00F83AC3" w:rsidP="00F83AC3">
      <w:pPr>
        <w:ind w:left="567" w:right="567"/>
        <w:jc w:val="both"/>
        <w:rPr>
          <w:rFonts w:ascii="Palatino Linotype" w:hAnsi="Palatino Linotype"/>
          <w:i/>
          <w:sz w:val="22"/>
        </w:rPr>
      </w:pPr>
    </w:p>
    <w:p w:rsidR="00F83AC3" w:rsidRPr="00C27992" w:rsidRDefault="00F83AC3" w:rsidP="00F83AC3">
      <w:pPr>
        <w:ind w:left="567" w:right="567"/>
        <w:jc w:val="both"/>
        <w:rPr>
          <w:rFonts w:ascii="Palatino Linotype" w:hAnsi="Palatino Linotype"/>
          <w:i/>
          <w:sz w:val="22"/>
        </w:rPr>
      </w:pPr>
      <w:r w:rsidRPr="00C27992">
        <w:rPr>
          <w:rFonts w:ascii="Palatino Linotype" w:hAnsi="Palatino Linotype"/>
          <w:i/>
          <w:sz w:val="22"/>
        </w:rPr>
        <w:t>Este derecho se regirá por los principios y bases siguientes:</w:t>
      </w:r>
    </w:p>
    <w:p w:rsidR="00F83AC3" w:rsidRPr="00C27992" w:rsidRDefault="00F83AC3" w:rsidP="00F83AC3">
      <w:pPr>
        <w:ind w:left="567" w:right="567"/>
        <w:jc w:val="both"/>
        <w:rPr>
          <w:rFonts w:ascii="Palatino Linotype" w:hAnsi="Palatino Linotype"/>
          <w:b/>
          <w:i/>
          <w:sz w:val="22"/>
        </w:rPr>
      </w:pPr>
    </w:p>
    <w:p w:rsidR="00F83AC3" w:rsidRPr="00C27992" w:rsidRDefault="00F83AC3" w:rsidP="00F83AC3">
      <w:pPr>
        <w:ind w:left="567" w:right="567"/>
        <w:jc w:val="both"/>
        <w:rPr>
          <w:rFonts w:ascii="Palatino Linotype" w:hAnsi="Palatino Linotype"/>
          <w:i/>
          <w:sz w:val="22"/>
        </w:rPr>
      </w:pPr>
      <w:r w:rsidRPr="00C27992">
        <w:rPr>
          <w:rFonts w:ascii="Palatino Linotype" w:hAnsi="Palatino Linotype"/>
          <w:b/>
          <w:i/>
          <w:sz w:val="22"/>
        </w:rPr>
        <w:t xml:space="preserve">I. Toda la información en posesión </w:t>
      </w:r>
      <w:r w:rsidRPr="00C27992">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C27992">
        <w:rPr>
          <w:rFonts w:ascii="Palatino Linotype" w:hAnsi="Palatino Linotype"/>
          <w:b/>
          <w:i/>
          <w:sz w:val="22"/>
        </w:rPr>
        <w:t>del gobierno y de la administración pública municipal y sus organismos descentralizados</w:t>
      </w:r>
      <w:r w:rsidRPr="00C27992">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C27992">
        <w:rPr>
          <w:rFonts w:ascii="Palatino Linotype" w:hAnsi="Palatino Linotype"/>
          <w:b/>
          <w:i/>
          <w:sz w:val="22"/>
        </w:rPr>
        <w:t>es pública</w:t>
      </w:r>
      <w:r w:rsidRPr="00C27992">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w:t>
      </w:r>
      <w:r w:rsidRPr="00C27992">
        <w:rPr>
          <w:rFonts w:ascii="Palatino Linotype" w:hAnsi="Palatino Linotype"/>
          <w:i/>
          <w:sz w:val="22"/>
        </w:rPr>
        <w:lastRenderedPageBreak/>
        <w:t>los supuestos específicos bajo los cuales procederá la declaración de inexistencia de la información.</w:t>
      </w:r>
    </w:p>
    <w:p w:rsidR="00F83AC3" w:rsidRPr="00C27992" w:rsidRDefault="00F83AC3" w:rsidP="00F83AC3">
      <w:pPr>
        <w:ind w:left="567" w:right="567"/>
        <w:jc w:val="both"/>
        <w:rPr>
          <w:rFonts w:ascii="Palatino Linotype" w:hAnsi="Palatino Linotype"/>
          <w:i/>
          <w:sz w:val="22"/>
        </w:rPr>
      </w:pPr>
    </w:p>
    <w:p w:rsidR="00F83AC3" w:rsidRPr="00C27992" w:rsidRDefault="00F83AC3" w:rsidP="00F83AC3">
      <w:pPr>
        <w:ind w:left="567" w:right="567"/>
        <w:jc w:val="both"/>
        <w:rPr>
          <w:rFonts w:ascii="Palatino Linotype" w:hAnsi="Palatino Linotype"/>
          <w:i/>
          <w:sz w:val="22"/>
        </w:rPr>
      </w:pPr>
      <w:r w:rsidRPr="00C27992">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F83AC3" w:rsidRPr="00C27992" w:rsidRDefault="00F83AC3" w:rsidP="00F83AC3">
      <w:pPr>
        <w:ind w:left="567" w:right="567"/>
        <w:jc w:val="both"/>
        <w:rPr>
          <w:rFonts w:ascii="Palatino Linotype" w:hAnsi="Palatino Linotype"/>
          <w:i/>
          <w:sz w:val="22"/>
        </w:rPr>
      </w:pPr>
    </w:p>
    <w:p w:rsidR="00F83AC3" w:rsidRPr="00C27992" w:rsidRDefault="00F83AC3" w:rsidP="00F83AC3">
      <w:pPr>
        <w:ind w:left="567" w:right="567"/>
        <w:jc w:val="both"/>
        <w:rPr>
          <w:rFonts w:ascii="Palatino Linotype" w:hAnsi="Palatino Linotype"/>
          <w:i/>
          <w:sz w:val="22"/>
        </w:rPr>
      </w:pPr>
      <w:r w:rsidRPr="00C27992">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rsidR="00F83AC3" w:rsidRPr="00C27992" w:rsidRDefault="00F83AC3" w:rsidP="00F83AC3">
      <w:pPr>
        <w:ind w:left="567" w:right="567"/>
        <w:jc w:val="both"/>
        <w:rPr>
          <w:rFonts w:ascii="Palatino Linotype" w:hAnsi="Palatino Linotype"/>
          <w:i/>
          <w:sz w:val="22"/>
        </w:rPr>
      </w:pPr>
    </w:p>
    <w:p w:rsidR="00F83AC3" w:rsidRPr="00C27992" w:rsidRDefault="00F83AC3" w:rsidP="00F83AC3">
      <w:pPr>
        <w:ind w:left="567" w:right="567"/>
        <w:jc w:val="both"/>
        <w:rPr>
          <w:rFonts w:ascii="Palatino Linotype" w:hAnsi="Palatino Linotype"/>
          <w:i/>
          <w:sz w:val="22"/>
        </w:rPr>
      </w:pPr>
      <w:r w:rsidRPr="00C27992">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rsidR="00F83AC3" w:rsidRPr="00C27992" w:rsidRDefault="00F83AC3" w:rsidP="00F83AC3">
      <w:pPr>
        <w:ind w:left="567" w:right="567"/>
        <w:jc w:val="both"/>
        <w:rPr>
          <w:rFonts w:ascii="Palatino Linotype" w:hAnsi="Palatino Linotype"/>
          <w:i/>
          <w:sz w:val="22"/>
        </w:rPr>
      </w:pPr>
    </w:p>
    <w:p w:rsidR="00F83AC3" w:rsidRPr="00C27992" w:rsidRDefault="00F83AC3" w:rsidP="00F83AC3">
      <w:pPr>
        <w:ind w:left="567" w:right="567"/>
        <w:jc w:val="both"/>
        <w:rPr>
          <w:rFonts w:ascii="Palatino Linotype" w:hAnsi="Palatino Linotype"/>
          <w:i/>
          <w:sz w:val="22"/>
        </w:rPr>
      </w:pPr>
      <w:r w:rsidRPr="00C27992">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F83AC3" w:rsidRPr="00C27992" w:rsidRDefault="00F83AC3" w:rsidP="00F83AC3">
      <w:pPr>
        <w:ind w:left="567" w:right="567"/>
        <w:jc w:val="both"/>
        <w:rPr>
          <w:rFonts w:ascii="Palatino Linotype" w:hAnsi="Palatino Linotype"/>
          <w:b/>
          <w:i/>
          <w:sz w:val="22"/>
        </w:rPr>
      </w:pPr>
    </w:p>
    <w:p w:rsidR="00F83AC3" w:rsidRPr="00C27992" w:rsidRDefault="00F83AC3" w:rsidP="00F83AC3">
      <w:pPr>
        <w:ind w:left="567" w:right="567"/>
        <w:jc w:val="both"/>
        <w:rPr>
          <w:rFonts w:ascii="Palatino Linotype" w:hAnsi="Palatino Linotype"/>
          <w:i/>
          <w:sz w:val="22"/>
        </w:rPr>
      </w:pPr>
      <w:r w:rsidRPr="00C27992">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C27992">
        <w:rPr>
          <w:rFonts w:ascii="Palatino Linotype" w:hAnsi="Palatino Linotype"/>
          <w:i/>
          <w:sz w:val="22"/>
        </w:rPr>
        <w:t xml:space="preserve"> y los indicadores que permitan rendir cuenta del cumplimiento de sus objetivos y los resultados obtenidos.</w:t>
      </w:r>
    </w:p>
    <w:p w:rsidR="00F83AC3" w:rsidRPr="00C27992" w:rsidRDefault="00F83AC3" w:rsidP="00F83AC3">
      <w:pPr>
        <w:ind w:left="567" w:right="567"/>
        <w:jc w:val="both"/>
        <w:rPr>
          <w:rFonts w:ascii="Palatino Linotype" w:hAnsi="Palatino Linotype"/>
          <w:i/>
          <w:sz w:val="22"/>
        </w:rPr>
      </w:pPr>
    </w:p>
    <w:p w:rsidR="00F83AC3" w:rsidRPr="00C27992" w:rsidRDefault="00F83AC3" w:rsidP="00F83AC3">
      <w:pPr>
        <w:ind w:left="567" w:right="567"/>
        <w:jc w:val="both"/>
        <w:rPr>
          <w:rFonts w:ascii="Palatino Linotype" w:hAnsi="Palatino Linotype" w:cs="Arial"/>
          <w:i/>
          <w:sz w:val="22"/>
        </w:rPr>
      </w:pPr>
      <w:r w:rsidRPr="00C27992">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rsidR="00F83AC3" w:rsidRPr="00C27992" w:rsidRDefault="00F83AC3" w:rsidP="00F83AC3">
      <w:pPr>
        <w:ind w:left="567" w:right="567"/>
        <w:jc w:val="both"/>
        <w:rPr>
          <w:rFonts w:ascii="Palatino Linotype" w:hAnsi="Palatino Linotype"/>
          <w:sz w:val="22"/>
        </w:rPr>
      </w:pPr>
    </w:p>
    <w:p w:rsidR="00F83AC3" w:rsidRPr="00C27992" w:rsidRDefault="00F83AC3" w:rsidP="00F83AC3">
      <w:pPr>
        <w:ind w:left="567" w:right="567"/>
        <w:jc w:val="both"/>
        <w:rPr>
          <w:rFonts w:ascii="Palatino Linotype" w:hAnsi="Palatino Linotype"/>
          <w:sz w:val="22"/>
        </w:rPr>
      </w:pPr>
      <w:r w:rsidRPr="00C27992">
        <w:rPr>
          <w:rFonts w:ascii="Palatino Linotype" w:hAnsi="Palatino Linotype"/>
          <w:sz w:val="22"/>
        </w:rPr>
        <w:t>(Énfasis añadido)</w:t>
      </w:r>
    </w:p>
    <w:p w:rsidR="00F83AC3" w:rsidRPr="00C27992" w:rsidRDefault="00F83AC3" w:rsidP="00F83AC3">
      <w:pPr>
        <w:spacing w:line="360" w:lineRule="auto"/>
        <w:ind w:left="567" w:right="567"/>
        <w:jc w:val="both"/>
        <w:rPr>
          <w:rFonts w:ascii="Palatino Linotype" w:hAnsi="Palatino Linotype"/>
        </w:rPr>
      </w:pPr>
    </w:p>
    <w:p w:rsidR="00125822" w:rsidRPr="00C27992" w:rsidRDefault="00FB4F97" w:rsidP="00FB4F97">
      <w:pPr>
        <w:pStyle w:val="Prrafodelista"/>
        <w:numPr>
          <w:ilvl w:val="0"/>
          <w:numId w:val="1"/>
        </w:numPr>
        <w:spacing w:line="360" w:lineRule="auto"/>
        <w:ind w:left="0" w:firstLine="0"/>
        <w:jc w:val="both"/>
        <w:rPr>
          <w:rFonts w:ascii="Palatino Linotype" w:hAnsi="Palatino Linotype" w:cs="Arial"/>
        </w:rPr>
      </w:pPr>
      <w:r w:rsidRPr="00C27992">
        <w:rPr>
          <w:rFonts w:ascii="Palatino Linotype" w:hAnsi="Palatino Linotype" w:cs="Arial"/>
        </w:rPr>
        <w:t xml:space="preserve">Por último, se debe mencionar que en relación a los motivos de inconformidad tocantes a: “… </w:t>
      </w:r>
      <w:r w:rsidRPr="00C27992">
        <w:rPr>
          <w:rFonts w:ascii="Palatino Linotype" w:hAnsi="Palatino Linotype" w:cs="Arial"/>
          <w:i/>
        </w:rPr>
        <w:t xml:space="preserve">por lo que se reitera que existe un acto de corrupción entre las partes involucradas en el expediente SAE725/2013 y el personal de la Sala Auxiliar </w:t>
      </w:r>
      <w:r w:rsidRPr="00C27992">
        <w:rPr>
          <w:rFonts w:ascii="Palatino Linotype" w:hAnsi="Palatino Linotype" w:cs="Arial"/>
          <w:i/>
        </w:rPr>
        <w:lastRenderedPageBreak/>
        <w:t>Ecatepec, entre otros</w:t>
      </w:r>
      <w:r w:rsidRPr="00C27992">
        <w:rPr>
          <w:rFonts w:ascii="Palatino Linotype" w:hAnsi="Palatino Linotype" w:cs="Arial"/>
        </w:rPr>
        <w:t>…” manifestaciones que también fueron vertidas en la solicitud de información inicial.</w:t>
      </w:r>
    </w:p>
    <w:p w:rsidR="00FB4F97" w:rsidRPr="00C27992" w:rsidRDefault="00FB4F97" w:rsidP="00FB4F97">
      <w:pPr>
        <w:pStyle w:val="Prrafodelista"/>
        <w:spacing w:line="360" w:lineRule="auto"/>
        <w:ind w:left="0"/>
        <w:jc w:val="both"/>
        <w:rPr>
          <w:rFonts w:ascii="Palatino Linotype" w:hAnsi="Palatino Linotype" w:cs="Arial"/>
        </w:rPr>
      </w:pPr>
    </w:p>
    <w:p w:rsidR="00FB4F97" w:rsidRPr="00C27992" w:rsidRDefault="00FB4F97" w:rsidP="00FB4F97">
      <w:pPr>
        <w:pStyle w:val="Prrafodelista"/>
        <w:numPr>
          <w:ilvl w:val="0"/>
          <w:numId w:val="1"/>
        </w:numPr>
        <w:spacing w:line="360" w:lineRule="auto"/>
        <w:ind w:left="0" w:firstLine="0"/>
        <w:jc w:val="both"/>
        <w:rPr>
          <w:rFonts w:ascii="Palatino Linotype" w:hAnsi="Palatino Linotype" w:cs="Arial"/>
        </w:rPr>
      </w:pPr>
      <w:r w:rsidRPr="00C27992">
        <w:rPr>
          <w:rFonts w:ascii="Palatino Linotype" w:hAnsi="Palatino Linotype" w:cs="Arial"/>
        </w:rPr>
        <w:t xml:space="preserve">Al respecto este Instituto no es competente de emitir un pronunciamiento al respecto; toda vez que corresponden a manifestaciones subjetivas emitidas por el particular en ejercicio de su derecho de expresión, pero </w:t>
      </w:r>
      <w:r w:rsidR="00EC5F2D" w:rsidRPr="00C27992">
        <w:rPr>
          <w:rFonts w:ascii="Palatino Linotype" w:hAnsi="Palatino Linotype" w:cs="Arial"/>
        </w:rPr>
        <w:t>que,</w:t>
      </w:r>
      <w:r w:rsidRPr="00C27992">
        <w:rPr>
          <w:rFonts w:ascii="Palatino Linotype" w:hAnsi="Palatino Linotype" w:cs="Arial"/>
        </w:rPr>
        <w:t xml:space="preserve"> al no corresponder al ejercicio del derecho de acceso a la información, resultan improcedente para brindarles observancia</w:t>
      </w:r>
      <w:r w:rsidR="00EC5F2D" w:rsidRPr="00C27992">
        <w:rPr>
          <w:rFonts w:ascii="Palatino Linotype" w:hAnsi="Palatino Linotype" w:cs="Arial"/>
        </w:rPr>
        <w:t>.</w:t>
      </w:r>
    </w:p>
    <w:p w:rsidR="00EC5F2D" w:rsidRPr="00C27992" w:rsidRDefault="00EC5F2D" w:rsidP="00EC5F2D">
      <w:pPr>
        <w:pStyle w:val="Prrafodelista"/>
        <w:rPr>
          <w:rFonts w:ascii="Palatino Linotype" w:hAnsi="Palatino Linotype" w:cs="Arial"/>
        </w:rPr>
      </w:pPr>
    </w:p>
    <w:p w:rsidR="00EC5F2D" w:rsidRPr="00C27992" w:rsidRDefault="00EC5F2D" w:rsidP="00EC5F2D">
      <w:pPr>
        <w:pStyle w:val="Prrafodelista"/>
        <w:numPr>
          <w:ilvl w:val="0"/>
          <w:numId w:val="1"/>
        </w:numPr>
        <w:spacing w:line="360" w:lineRule="auto"/>
        <w:ind w:left="0" w:firstLine="0"/>
        <w:jc w:val="both"/>
        <w:rPr>
          <w:rFonts w:ascii="Palatino Linotype" w:hAnsi="Palatino Linotype" w:cs="Arial"/>
        </w:rPr>
      </w:pPr>
      <w:r w:rsidRPr="00C27992">
        <w:rPr>
          <w:rFonts w:ascii="Palatino Linotype" w:hAnsi="Palatino Linotype" w:cs="Arial"/>
        </w:rPr>
        <w:t>Asimismo, respecto a la solicitud de información “…</w:t>
      </w:r>
      <w:r w:rsidRPr="00C27992">
        <w:rPr>
          <w:rFonts w:ascii="Palatino Linotype" w:hAnsi="Palatino Linotype" w:cs="Arial"/>
          <w:i/>
        </w:rPr>
        <w:t>POR DICHA SITUACIÓN SE PRESUME QUE EXISTE UN ACTO DE CORRUPCIÓN QUE DEBERÁ SER INVESTIGADO POR EL ÓRGANO INTERNO DE CONTROL DEL TRIBUNAL ESTATAL DE CONCILIACIÓN Y ARBITRAJE</w:t>
      </w:r>
      <w:r w:rsidRPr="00C27992">
        <w:rPr>
          <w:rFonts w:ascii="Palatino Linotype" w:hAnsi="Palatino Linotype" w:cs="Arial"/>
        </w:rPr>
        <w:t>…” también resulta improcedente, toda vez se advierte que tampoco corresponde al ejercicio del derecho de acceso a la información, sino al de derecho de petición.</w:t>
      </w:r>
    </w:p>
    <w:p w:rsidR="00EC5F2D" w:rsidRPr="00C27992" w:rsidRDefault="00EC5F2D" w:rsidP="00EC5F2D">
      <w:pPr>
        <w:pStyle w:val="Prrafodelista"/>
        <w:rPr>
          <w:rFonts w:ascii="Palatino Linotype" w:hAnsi="Palatino Linotype" w:cs="Arial"/>
        </w:rPr>
      </w:pPr>
    </w:p>
    <w:p w:rsidR="00EC5F2D" w:rsidRPr="00C27992" w:rsidRDefault="00EC5F2D" w:rsidP="00EC5F2D">
      <w:pPr>
        <w:numPr>
          <w:ilvl w:val="0"/>
          <w:numId w:val="1"/>
        </w:numPr>
        <w:spacing w:line="360" w:lineRule="auto"/>
        <w:ind w:left="0" w:firstLine="0"/>
        <w:contextualSpacing/>
        <w:jc w:val="both"/>
        <w:rPr>
          <w:rFonts w:ascii="Palatino Linotype" w:hAnsi="Palatino Linotype" w:cs="Arial"/>
          <w:color w:val="000000" w:themeColor="text1"/>
        </w:rPr>
      </w:pPr>
      <w:r w:rsidRPr="00C27992">
        <w:rPr>
          <w:rFonts w:ascii="Palatino Linotype" w:hAnsi="Palatino Linotype"/>
          <w:color w:val="000000"/>
        </w:rPr>
        <w:t xml:space="preserve">En ese sentido es dable exponer brevemente que </w:t>
      </w:r>
      <w:r w:rsidRPr="00C27992">
        <w:rPr>
          <w:rFonts w:ascii="Palatino Linotype" w:hAnsi="Palatino Linotype"/>
        </w:rPr>
        <w:t xml:space="preserve">el derecho de acceso a la información, es un </w:t>
      </w:r>
      <w:r w:rsidRPr="00C27992">
        <w:rPr>
          <w:rFonts w:ascii="Palatino Linotype" w:hAnsi="Palatino Linotype"/>
          <w:color w:val="000000" w:themeColor="text1"/>
        </w:rPr>
        <w:t>derecho</w:t>
      </w:r>
      <w:r w:rsidRPr="00C27992">
        <w:rPr>
          <w:rFonts w:ascii="Palatino Linotype" w:hAnsi="Palatino Linotype"/>
        </w:rPr>
        <w:t xml:space="preserve"> </w:t>
      </w:r>
      <w:r w:rsidRPr="00C27992">
        <w:rPr>
          <w:rFonts w:ascii="Palatino Linotype" w:hAnsi="Palatino Linotype"/>
          <w:color w:val="000000" w:themeColor="text1"/>
        </w:rPr>
        <w:t>que</w:t>
      </w:r>
      <w:r w:rsidRPr="00C27992">
        <w:rPr>
          <w:rFonts w:ascii="Palatino Linotype" w:hAnsi="Palatino Linotype"/>
          <w:u w:val="single"/>
        </w:rPr>
        <w:t xml:space="preserve"> versa </w:t>
      </w:r>
      <w:r w:rsidRPr="00C27992">
        <w:rPr>
          <w:rFonts w:ascii="Palatino Linotype" w:hAnsi="Palatino Linotype"/>
          <w:color w:val="000000" w:themeColor="text1"/>
          <w:u w:val="single"/>
        </w:rPr>
        <w:t>sobre</w:t>
      </w:r>
      <w:r w:rsidRPr="00C27992">
        <w:rPr>
          <w:rFonts w:ascii="Palatino Linotype" w:hAnsi="Palatino Linotype"/>
          <w:u w:val="single"/>
        </w:rPr>
        <w:t xml:space="preserve"> documentos, por lo que realizar peticiones, preguntas, dudas o cuestionamientos</w:t>
      </w:r>
      <w:r w:rsidRPr="00C27992">
        <w:rPr>
          <w:rFonts w:ascii="Palatino Linotype" w:hAnsi="Palatino Linotype"/>
        </w:rPr>
        <w:t xml:space="preserve">, ciertamente </w:t>
      </w:r>
      <w:r w:rsidRPr="00C27992">
        <w:rPr>
          <w:rFonts w:ascii="Palatino Linotype" w:hAnsi="Palatino Linotype" w:cs="Arial"/>
          <w:color w:val="000000" w:themeColor="text1"/>
        </w:rPr>
        <w:t>debe entenderse por derecho de petición y no por derecho de acceso a la información pública.</w:t>
      </w:r>
    </w:p>
    <w:p w:rsidR="00EC5F2D" w:rsidRPr="00C27992" w:rsidRDefault="00EC5F2D" w:rsidP="00EC5F2D">
      <w:pPr>
        <w:pStyle w:val="Prrafodelista"/>
        <w:rPr>
          <w:rFonts w:ascii="Palatino Linotype" w:hAnsi="Palatino Linotype" w:cs="Arial"/>
          <w:color w:val="000000" w:themeColor="text1"/>
        </w:rPr>
      </w:pPr>
    </w:p>
    <w:p w:rsidR="00EC5F2D" w:rsidRPr="00C27992" w:rsidRDefault="00EC5F2D" w:rsidP="00EC5F2D">
      <w:pPr>
        <w:numPr>
          <w:ilvl w:val="0"/>
          <w:numId w:val="1"/>
        </w:numPr>
        <w:spacing w:line="360" w:lineRule="auto"/>
        <w:ind w:left="0" w:firstLine="0"/>
        <w:contextualSpacing/>
        <w:jc w:val="both"/>
        <w:rPr>
          <w:rFonts w:ascii="Palatino Linotype" w:hAnsi="Palatino Linotype" w:cs="Arial"/>
          <w:i/>
          <w:color w:val="000000" w:themeColor="text1"/>
        </w:rPr>
      </w:pPr>
      <w:r w:rsidRPr="00C27992">
        <w:rPr>
          <w:rFonts w:ascii="Palatino Linotype" w:hAnsi="Palatino Linotype"/>
        </w:rPr>
        <w:t>Por</w:t>
      </w:r>
      <w:r w:rsidRPr="00C27992">
        <w:rPr>
          <w:rFonts w:ascii="Palatino Linotype" w:hAnsi="Palatino Linotype" w:cs="Arial"/>
          <w:color w:val="000000" w:themeColor="text1"/>
        </w:rPr>
        <w:t xml:space="preserve"> lo que respecta a la definición de derecho de petición, el Maestro Ignacio Burgoa </w:t>
      </w:r>
      <w:r w:rsidRPr="00C27992">
        <w:rPr>
          <w:rFonts w:ascii="Palatino Linotype" w:hAnsi="Palatino Linotype"/>
          <w:color w:val="000000"/>
        </w:rPr>
        <w:t>Orihuela</w:t>
      </w:r>
      <w:r w:rsidRPr="00C27992">
        <w:rPr>
          <w:rFonts w:ascii="Palatino Linotype" w:hAnsi="Palatino Linotype" w:cs="Arial"/>
          <w:color w:val="000000" w:themeColor="text1"/>
        </w:rPr>
        <w:t xml:space="preserve"> refiere: “…</w:t>
      </w:r>
      <w:r w:rsidRPr="00C27992">
        <w:rPr>
          <w:rFonts w:ascii="Palatino Linotype" w:hAnsi="Palatino Linotype" w:cs="Arial"/>
          <w:i/>
          <w:color w:val="000000" w:themeColor="text1"/>
        </w:rPr>
        <w:t xml:space="preserve">es un Derecho Público subjetivo individual de la Garantía </w:t>
      </w:r>
      <w:r w:rsidRPr="00C27992">
        <w:rPr>
          <w:rFonts w:ascii="Palatino Linotype" w:hAnsi="Palatino Linotype"/>
          <w:color w:val="000000"/>
        </w:rPr>
        <w:t>Respectiva</w:t>
      </w:r>
      <w:r w:rsidRPr="00C27992">
        <w:rPr>
          <w:rFonts w:ascii="Palatino Linotype" w:hAnsi="Palatino Linotype" w:cs="Arial"/>
          <w:i/>
          <w:color w:val="000000" w:themeColor="text1"/>
        </w:rPr>
        <w:t xml:space="preserve"> Consagrada en el Artículo 8 de la Ley Fundamental. En tal virtud, la persona tiene la facultad de acudir a cualquier autoridad, formulando una solicitud o instancia escrito </w:t>
      </w:r>
      <w:r w:rsidRPr="00C27992">
        <w:rPr>
          <w:rFonts w:ascii="Palatino Linotype" w:hAnsi="Palatino Linotype" w:cs="Arial"/>
          <w:i/>
          <w:color w:val="000000" w:themeColor="text1"/>
        </w:rPr>
        <w:lastRenderedPageBreak/>
        <w:t>de cualquier índole, la cual adopta, específicamente, el carácter de simple petición administrativa, acción o recurso, etc.</w:t>
      </w:r>
      <w:r w:rsidRPr="00C27992">
        <w:rPr>
          <w:rStyle w:val="Refdenotaalpie"/>
          <w:rFonts w:ascii="Palatino Linotype" w:hAnsi="Palatino Linotype"/>
          <w:i/>
          <w:color w:val="000000" w:themeColor="text1"/>
        </w:rPr>
        <w:t xml:space="preserve"> </w:t>
      </w:r>
      <w:r w:rsidRPr="00C27992">
        <w:rPr>
          <w:rStyle w:val="Refdenotaalpie"/>
          <w:rFonts w:ascii="Palatino Linotype" w:hAnsi="Palatino Linotype"/>
          <w:i/>
          <w:color w:val="000000" w:themeColor="text1"/>
        </w:rPr>
        <w:footnoteReference w:id="6"/>
      </w:r>
      <w:r w:rsidRPr="00C27992">
        <w:rPr>
          <w:rFonts w:ascii="Palatino Linotype" w:hAnsi="Palatino Linotype"/>
          <w:i/>
          <w:color w:val="000000" w:themeColor="text1"/>
        </w:rPr>
        <w:t>“</w:t>
      </w:r>
      <w:r w:rsidRPr="00C27992">
        <w:rPr>
          <w:rFonts w:ascii="Palatino Linotype" w:hAnsi="Palatino Linotype" w:cs="Arial"/>
          <w:i/>
          <w:color w:val="000000" w:themeColor="text1"/>
        </w:rPr>
        <w:t xml:space="preserve"> (Sic)</w:t>
      </w:r>
    </w:p>
    <w:p w:rsidR="00EC5F2D" w:rsidRPr="00C27992" w:rsidRDefault="00EC5F2D" w:rsidP="00EC5F2D">
      <w:pPr>
        <w:pStyle w:val="Prrafodelista"/>
        <w:rPr>
          <w:rFonts w:ascii="Palatino Linotype" w:hAnsi="Palatino Linotype" w:cs="Arial"/>
          <w:i/>
          <w:color w:val="000000" w:themeColor="text1"/>
        </w:rPr>
      </w:pPr>
    </w:p>
    <w:p w:rsidR="00EC5F2D" w:rsidRPr="00C27992" w:rsidRDefault="00EC5F2D" w:rsidP="00EC5F2D">
      <w:pPr>
        <w:numPr>
          <w:ilvl w:val="0"/>
          <w:numId w:val="1"/>
        </w:numPr>
        <w:spacing w:line="360" w:lineRule="auto"/>
        <w:ind w:left="0" w:firstLine="0"/>
        <w:contextualSpacing/>
        <w:jc w:val="both"/>
        <w:rPr>
          <w:rFonts w:ascii="Palatino Linotype" w:hAnsi="Palatino Linotype" w:cs="Arial"/>
          <w:i/>
          <w:color w:val="000000" w:themeColor="text1"/>
        </w:rPr>
      </w:pPr>
      <w:r w:rsidRPr="00C27992">
        <w:rPr>
          <w:rFonts w:ascii="Palatino Linotype" w:hAnsi="Palatino Linotype" w:cs="Arial"/>
          <w:color w:val="000000" w:themeColor="text1"/>
        </w:rPr>
        <w:t xml:space="preserve">Por </w:t>
      </w:r>
      <w:r w:rsidRPr="00C27992">
        <w:rPr>
          <w:rFonts w:ascii="Palatino Linotype" w:hAnsi="Palatino Linotype"/>
        </w:rPr>
        <w:t>su</w:t>
      </w:r>
      <w:r w:rsidRPr="00C27992">
        <w:rPr>
          <w:rFonts w:ascii="Palatino Linotype" w:hAnsi="Palatino Linotype" w:cs="Arial"/>
          <w:color w:val="000000" w:themeColor="text1"/>
        </w:rPr>
        <w:t xml:space="preserve"> parte, </w:t>
      </w:r>
      <w:r w:rsidRPr="00C27992">
        <w:rPr>
          <w:rFonts w:ascii="Palatino Linotype" w:hAnsi="Palatino Linotype"/>
        </w:rPr>
        <w:t>David</w:t>
      </w:r>
      <w:r w:rsidRPr="00C27992">
        <w:rPr>
          <w:rFonts w:ascii="Palatino Linotype" w:hAnsi="Palatino Linotype" w:cs="Arial"/>
          <w:color w:val="000000" w:themeColor="text1"/>
        </w:rPr>
        <w:t xml:space="preserve"> Cienfuegos Salgado, concibe al derecho de petición como </w:t>
      </w:r>
      <w:r w:rsidRPr="00C27992">
        <w:rPr>
          <w:rFonts w:ascii="Palatino Linotype" w:hAnsi="Palatino Linotype" w:cs="Arial"/>
          <w:i/>
          <w:color w:val="000000" w:themeColor="text1"/>
        </w:rPr>
        <w:t xml:space="preserve">“el </w:t>
      </w:r>
      <w:r w:rsidRPr="00C27992">
        <w:rPr>
          <w:rFonts w:ascii="Palatino Linotype" w:hAnsi="Palatino Linotype"/>
        </w:rPr>
        <w:t>derecho</w:t>
      </w:r>
      <w:r w:rsidRPr="00C27992">
        <w:rPr>
          <w:rFonts w:ascii="Palatino Linotype" w:hAnsi="Palatino Linotype" w:cs="Arial"/>
          <w:i/>
          <w:color w:val="000000" w:themeColor="text1"/>
        </w:rPr>
        <w:t xml:space="preserve"> de toda persona a ser escuchado por quienes ejercen el poder público.</w:t>
      </w:r>
      <w:r w:rsidRPr="00C27992">
        <w:rPr>
          <w:rStyle w:val="Refdenotaalpie"/>
          <w:rFonts w:ascii="Palatino Linotype" w:hAnsi="Palatino Linotype"/>
          <w:i/>
          <w:color w:val="000000" w:themeColor="text1"/>
        </w:rPr>
        <w:t xml:space="preserve"> </w:t>
      </w:r>
      <w:r w:rsidRPr="00C27992">
        <w:rPr>
          <w:rStyle w:val="Refdenotaalpie"/>
          <w:rFonts w:ascii="Palatino Linotype" w:hAnsi="Palatino Linotype"/>
          <w:i/>
          <w:color w:val="000000" w:themeColor="text1"/>
        </w:rPr>
        <w:footnoteReference w:id="7"/>
      </w:r>
      <w:r w:rsidRPr="00C27992">
        <w:rPr>
          <w:rFonts w:ascii="Palatino Linotype" w:hAnsi="Palatino Linotype" w:cs="Arial"/>
          <w:i/>
          <w:color w:val="000000" w:themeColor="text1"/>
        </w:rPr>
        <w:t xml:space="preserve">” </w:t>
      </w:r>
    </w:p>
    <w:p w:rsidR="00EC5F2D" w:rsidRPr="00C27992" w:rsidRDefault="00EC5F2D" w:rsidP="00EC5F2D">
      <w:pPr>
        <w:pStyle w:val="Prrafodelista"/>
        <w:rPr>
          <w:rFonts w:ascii="Palatino Linotype" w:hAnsi="Palatino Linotype" w:cs="Arial"/>
          <w:i/>
          <w:color w:val="000000" w:themeColor="text1"/>
        </w:rPr>
      </w:pPr>
    </w:p>
    <w:p w:rsidR="00EC5F2D" w:rsidRPr="00C27992" w:rsidRDefault="00EC5F2D" w:rsidP="00EC5F2D">
      <w:pPr>
        <w:numPr>
          <w:ilvl w:val="0"/>
          <w:numId w:val="1"/>
        </w:numPr>
        <w:spacing w:line="360" w:lineRule="auto"/>
        <w:ind w:left="0" w:firstLine="0"/>
        <w:contextualSpacing/>
        <w:jc w:val="both"/>
        <w:rPr>
          <w:rFonts w:ascii="Palatino Linotype" w:hAnsi="Palatino Linotype" w:cs="Arial"/>
          <w:i/>
          <w:color w:val="000000" w:themeColor="text1"/>
        </w:rPr>
      </w:pPr>
      <w:r w:rsidRPr="00C27992">
        <w:rPr>
          <w:rFonts w:ascii="Palatino Linotype" w:hAnsi="Palatino Linotype" w:cs="Arial"/>
          <w:color w:val="000000" w:themeColor="text1"/>
        </w:rPr>
        <w:t xml:space="preserve">A este respecto, y </w:t>
      </w:r>
      <w:r w:rsidRPr="00C27992">
        <w:rPr>
          <w:rFonts w:ascii="Palatino Linotype" w:hAnsi="Palatino Linotype" w:cs="Arial"/>
          <w:b/>
          <w:color w:val="000000" w:themeColor="text1"/>
        </w:rPr>
        <w:t>PARA DIFERENCIAR</w:t>
      </w:r>
      <w:r w:rsidRPr="00C27992">
        <w:rPr>
          <w:rFonts w:ascii="Palatino Linotype" w:hAnsi="Palatino Linotype" w:cs="Arial"/>
          <w:color w:val="000000" w:themeColor="text1"/>
        </w:rPr>
        <w:t xml:space="preserve"> el derecho de petición al derecho de acceso a la información, resulta conducente señalar que José Guadalupe Robles, conceptualiza el derecho a la información como </w:t>
      </w:r>
      <w:r w:rsidRPr="00C27992">
        <w:rPr>
          <w:rFonts w:ascii="Palatino Linotype" w:hAnsi="Palatino Linotype" w:cs="Arial"/>
          <w:i/>
          <w:color w:val="000000" w:themeColor="text1"/>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C27992">
        <w:rPr>
          <w:rStyle w:val="Refdenotaalpie"/>
          <w:rFonts w:ascii="Palatino Linotype" w:hAnsi="Palatino Linotype"/>
          <w:i/>
          <w:color w:val="000000" w:themeColor="text1"/>
        </w:rPr>
        <w:t xml:space="preserve"> </w:t>
      </w:r>
      <w:r w:rsidRPr="00C27992">
        <w:rPr>
          <w:rStyle w:val="Refdenotaalpie"/>
          <w:rFonts w:ascii="Palatino Linotype" w:hAnsi="Palatino Linotype"/>
          <w:i/>
          <w:color w:val="000000" w:themeColor="text1"/>
        </w:rPr>
        <w:footnoteReference w:id="8"/>
      </w:r>
      <w:r w:rsidRPr="00C27992">
        <w:rPr>
          <w:rFonts w:ascii="Palatino Linotype" w:hAnsi="Palatino Linotype" w:cs="Arial"/>
          <w:i/>
          <w:color w:val="000000" w:themeColor="text1"/>
        </w:rPr>
        <w:t xml:space="preserve">“(Sic) </w:t>
      </w:r>
    </w:p>
    <w:p w:rsidR="00EC5F2D" w:rsidRPr="00C27992" w:rsidRDefault="00EC5F2D" w:rsidP="00EC5F2D">
      <w:pPr>
        <w:pStyle w:val="Prrafodelista"/>
        <w:rPr>
          <w:rFonts w:ascii="Palatino Linotype" w:hAnsi="Palatino Linotype" w:cs="Arial"/>
          <w:i/>
          <w:color w:val="000000" w:themeColor="text1"/>
        </w:rPr>
      </w:pPr>
    </w:p>
    <w:p w:rsidR="00EC5F2D" w:rsidRPr="00C27992" w:rsidRDefault="00EC5F2D" w:rsidP="00EC5F2D">
      <w:pPr>
        <w:numPr>
          <w:ilvl w:val="0"/>
          <w:numId w:val="1"/>
        </w:numPr>
        <w:spacing w:line="360" w:lineRule="auto"/>
        <w:ind w:left="0" w:firstLine="0"/>
        <w:contextualSpacing/>
        <w:jc w:val="both"/>
        <w:rPr>
          <w:rFonts w:ascii="Palatino Linotype" w:hAnsi="Palatino Linotype" w:cs="Arial"/>
          <w:i/>
          <w:color w:val="000000" w:themeColor="text1"/>
        </w:rPr>
      </w:pPr>
      <w:r w:rsidRPr="00C27992">
        <w:rPr>
          <w:rFonts w:ascii="Palatino Linotype" w:hAnsi="Palatino Linotype" w:cs="Arial"/>
          <w:color w:val="000000" w:themeColor="text1"/>
        </w:rPr>
        <w:t>Además</w:t>
      </w:r>
      <w:r w:rsidRPr="00C27992">
        <w:rPr>
          <w:rFonts w:ascii="Palatino Linotype" w:hAnsi="Palatino Linotype" w:cs="Arial"/>
          <w:color w:val="000000" w:themeColor="text1"/>
          <w:lang w:eastAsia="es-MX"/>
        </w:rPr>
        <w:t xml:space="preserve">, el derecho a la información constituye una prerrogativa a acceder a </w:t>
      </w:r>
      <w:r w:rsidRPr="00C27992">
        <w:rPr>
          <w:rFonts w:ascii="Palatino Linotype" w:hAnsi="Palatino Linotype" w:cs="Arial"/>
          <w:color w:val="000000" w:themeColor="text1"/>
        </w:rPr>
        <w:t>documentación</w:t>
      </w:r>
      <w:r w:rsidRPr="00C27992">
        <w:rPr>
          <w:rFonts w:ascii="Palatino Linotype" w:hAnsi="Palatino Linotype" w:cs="Arial"/>
          <w:color w:val="000000" w:themeColor="text1"/>
          <w:lang w:eastAsia="es-MX"/>
        </w:rPr>
        <w:t xml:space="preserve"> en </w:t>
      </w:r>
      <w:r w:rsidRPr="00C27992">
        <w:rPr>
          <w:rFonts w:ascii="Palatino Linotype" w:hAnsi="Palatino Linotype" w:cs="Arial"/>
          <w:color w:val="000000" w:themeColor="text1"/>
        </w:rPr>
        <w:t>poder</w:t>
      </w:r>
      <w:r w:rsidRPr="00C27992">
        <w:rPr>
          <w:rFonts w:ascii="Palatino Linotype" w:hAnsi="Palatino Linotype" w:cs="Arial"/>
          <w:color w:val="000000" w:themeColor="text1"/>
          <w:lang w:eastAsia="es-MX"/>
        </w:rPr>
        <w:t xml:space="preserve"> de los Sujetos Obligados, </w:t>
      </w:r>
      <w:r w:rsidRPr="00C27992">
        <w:rPr>
          <w:rFonts w:ascii="Palatino Linotype" w:hAnsi="Palatino Linotype" w:cs="Arial"/>
          <w:color w:val="000000" w:themeColor="text1"/>
          <w:u w:val="single"/>
          <w:lang w:eastAsia="es-MX"/>
        </w:rPr>
        <w:t xml:space="preserve">no así a realizar </w:t>
      </w:r>
      <w:r w:rsidRPr="00C27992">
        <w:rPr>
          <w:rFonts w:ascii="Palatino Linotype" w:hAnsi="Palatino Linotype" w:cs="Arial"/>
          <w:color w:val="000000" w:themeColor="text1"/>
        </w:rPr>
        <w:t>cuestionamientos</w:t>
      </w:r>
      <w:r w:rsidRPr="00C27992">
        <w:rPr>
          <w:rFonts w:ascii="Palatino Linotype" w:hAnsi="Palatino Linotype" w:cs="Arial"/>
          <w:color w:val="000000" w:themeColor="text1"/>
          <w:lang w:eastAsia="es-MX"/>
        </w:rPr>
        <w:t>, o manifestaciones subjetivas. Sirve de apoyo a lo anterior la definición de derecho a la información de Ernesto Villanueva Villanueva que dice: “</w:t>
      </w:r>
      <w:r w:rsidRPr="00C27992">
        <w:rPr>
          <w:rFonts w:ascii="Palatino Linotype" w:hAnsi="Palatino Linotype" w:cs="Arial"/>
          <w:i/>
          <w:color w:val="000000" w:themeColor="text1"/>
          <w:lang w:eastAsia="es-MX"/>
        </w:rPr>
        <w:t xml:space="preserve">la prerrogativa de la persona para acceder a datos, registros y todo tipo de informaciones en poder de entidades públicas y empresas privadas que ejercen gasto público o cumplen </w:t>
      </w:r>
      <w:r w:rsidRPr="00C27992">
        <w:rPr>
          <w:rFonts w:ascii="Palatino Linotype" w:hAnsi="Palatino Linotype" w:cs="Arial"/>
          <w:i/>
          <w:color w:val="000000" w:themeColor="text1"/>
          <w:lang w:eastAsia="es-MX"/>
        </w:rPr>
        <w:lastRenderedPageBreak/>
        <w:t xml:space="preserve">funciones de autoridad, con las excepciones taxativas que establezca la ley en una sociedad democrática.” (Sic) </w:t>
      </w:r>
      <w:r w:rsidRPr="00C27992">
        <w:rPr>
          <w:rStyle w:val="Refdenotaalpie"/>
          <w:rFonts w:ascii="Palatino Linotype" w:hAnsi="Palatino Linotype" w:cs="Arial"/>
          <w:i/>
          <w:color w:val="000000" w:themeColor="text1"/>
          <w:lang w:eastAsia="es-MX"/>
        </w:rPr>
        <w:footnoteReference w:id="9"/>
      </w:r>
    </w:p>
    <w:p w:rsidR="00EC5F2D" w:rsidRPr="00C27992" w:rsidRDefault="00EC5F2D" w:rsidP="00EC5F2D">
      <w:pPr>
        <w:pStyle w:val="Prrafodelista"/>
        <w:rPr>
          <w:rFonts w:ascii="Palatino Linotype" w:hAnsi="Palatino Linotype" w:cs="Arial"/>
          <w:i/>
          <w:color w:val="000000" w:themeColor="text1"/>
        </w:rPr>
      </w:pPr>
    </w:p>
    <w:p w:rsidR="00EC5F2D" w:rsidRPr="00C27992" w:rsidRDefault="00EC5F2D" w:rsidP="00EC5F2D">
      <w:pPr>
        <w:numPr>
          <w:ilvl w:val="0"/>
          <w:numId w:val="1"/>
        </w:numPr>
        <w:spacing w:line="360" w:lineRule="auto"/>
        <w:ind w:left="0" w:firstLine="0"/>
        <w:contextualSpacing/>
        <w:jc w:val="both"/>
        <w:rPr>
          <w:rFonts w:ascii="Palatino Linotype" w:hAnsi="Palatino Linotype" w:cs="Arial"/>
          <w:color w:val="000000" w:themeColor="text1"/>
        </w:rPr>
      </w:pPr>
      <w:r w:rsidRPr="00C27992">
        <w:rPr>
          <w:rFonts w:ascii="Palatino Linotype" w:hAnsi="Palatino Linotype" w:cs="Arial"/>
          <w:color w:val="000000" w:themeColor="text1"/>
        </w:rPr>
        <w:t xml:space="preserve">Ahora bien, para entender los alcances de la información pública se considera importante citar el criterio </w:t>
      </w:r>
      <w:r w:rsidRPr="00C27992">
        <w:rPr>
          <w:rFonts w:ascii="Palatino Linotype" w:hAnsi="Palatino Linotype" w:cs="Arial"/>
          <w:bCs/>
          <w:color w:val="000000" w:themeColor="text1"/>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C27992">
        <w:rPr>
          <w:rFonts w:ascii="Palatino Linotype" w:hAnsi="Palatino Linotype" w:cs="Arial"/>
          <w:color w:val="000000" w:themeColor="text1"/>
        </w:rPr>
        <w:t>cuyo rubro y texto dispone:</w:t>
      </w:r>
    </w:p>
    <w:p w:rsidR="00EC5F2D" w:rsidRPr="00C27992" w:rsidRDefault="00EC5F2D" w:rsidP="00EC5F2D">
      <w:pPr>
        <w:autoSpaceDE w:val="0"/>
        <w:autoSpaceDN w:val="0"/>
        <w:adjustRightInd w:val="0"/>
        <w:spacing w:before="240" w:after="240" w:line="360" w:lineRule="auto"/>
        <w:ind w:left="567" w:right="567"/>
        <w:jc w:val="both"/>
        <w:rPr>
          <w:rFonts w:ascii="Palatino Linotype" w:hAnsi="Palatino Linotype" w:cs="Arial"/>
          <w:b/>
          <w:i/>
          <w:color w:val="000000" w:themeColor="text1"/>
        </w:rPr>
      </w:pPr>
      <w:r w:rsidRPr="00C27992">
        <w:rPr>
          <w:rFonts w:ascii="Palatino Linotype" w:hAnsi="Palatino Linotype" w:cs="Arial"/>
          <w:b/>
          <w:i/>
          <w:color w:val="000000" w:themeColor="text1"/>
        </w:rPr>
        <w:t>“CRITERIO 0002-11</w:t>
      </w:r>
    </w:p>
    <w:p w:rsidR="00EC5F2D" w:rsidRPr="00C27992" w:rsidRDefault="00EC5F2D" w:rsidP="00EC5F2D">
      <w:pPr>
        <w:autoSpaceDE w:val="0"/>
        <w:autoSpaceDN w:val="0"/>
        <w:adjustRightInd w:val="0"/>
        <w:spacing w:before="240" w:after="240" w:line="360" w:lineRule="auto"/>
        <w:ind w:left="567" w:right="567"/>
        <w:jc w:val="both"/>
        <w:rPr>
          <w:rFonts w:ascii="Palatino Linotype" w:hAnsi="Palatino Linotype" w:cs="Arial"/>
          <w:i/>
          <w:color w:val="000000" w:themeColor="text1"/>
        </w:rPr>
      </w:pPr>
      <w:r w:rsidRPr="00C27992">
        <w:rPr>
          <w:rFonts w:ascii="Palatino Linotype" w:hAnsi="Palatino Linotype" w:cs="Arial"/>
          <w:b/>
          <w:i/>
          <w:color w:val="000000" w:themeColor="text1"/>
        </w:rPr>
        <w:t xml:space="preserve">INFORMACIÓN PÚBLICA, CONCEPTO DE, EN MATERIA DE TRANSPARENCIA. INTERPRETACIÓN TEMÁTICA DE LOS ARTÍCULOS 2, FRACCIÓN </w:t>
      </w:r>
      <w:r w:rsidRPr="00C27992">
        <w:rPr>
          <w:rFonts w:ascii="Palatino Linotype" w:hAnsi="Palatino Linotype" w:cs="Arial"/>
          <w:b/>
          <w:bCs/>
          <w:i/>
          <w:color w:val="000000" w:themeColor="text1"/>
        </w:rPr>
        <w:t xml:space="preserve">V, XV, Y XVI, </w:t>
      </w:r>
      <w:r w:rsidRPr="00C27992">
        <w:rPr>
          <w:rFonts w:ascii="Palatino Linotype" w:hAnsi="Palatino Linotype" w:cs="Arial"/>
          <w:b/>
          <w:i/>
          <w:color w:val="000000" w:themeColor="text1"/>
        </w:rPr>
        <w:t>32, 4,11 Y 41.</w:t>
      </w:r>
      <w:r w:rsidRPr="00C27992">
        <w:rPr>
          <w:rFonts w:ascii="Palatino Linotype" w:hAnsi="Palatino Linotype" w:cs="Arial"/>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EC5F2D" w:rsidRPr="00C27992" w:rsidRDefault="00EC5F2D" w:rsidP="00EC5F2D">
      <w:pPr>
        <w:autoSpaceDE w:val="0"/>
        <w:autoSpaceDN w:val="0"/>
        <w:adjustRightInd w:val="0"/>
        <w:spacing w:before="240" w:after="240" w:line="360" w:lineRule="auto"/>
        <w:ind w:left="567" w:right="567"/>
        <w:jc w:val="both"/>
        <w:rPr>
          <w:rFonts w:ascii="Palatino Linotype" w:hAnsi="Palatino Linotype" w:cs="Arial"/>
          <w:i/>
          <w:color w:val="000000" w:themeColor="text1"/>
        </w:rPr>
      </w:pPr>
      <w:r w:rsidRPr="00C27992">
        <w:rPr>
          <w:rFonts w:ascii="Palatino Linotype" w:hAnsi="Palatino Linotype" w:cs="Arial"/>
          <w:i/>
          <w:color w:val="000000" w:themeColor="text1"/>
        </w:rPr>
        <w:t>En consecuencia el acceso a la información se refiere a que se cumplan cualquiera de los siguientes tres supuestos:</w:t>
      </w:r>
    </w:p>
    <w:p w:rsidR="00EC5F2D" w:rsidRPr="00C27992" w:rsidRDefault="00EC5F2D" w:rsidP="00EC5F2D">
      <w:pPr>
        <w:autoSpaceDE w:val="0"/>
        <w:autoSpaceDN w:val="0"/>
        <w:adjustRightInd w:val="0"/>
        <w:spacing w:before="240" w:after="240" w:line="360" w:lineRule="auto"/>
        <w:ind w:left="567" w:right="567"/>
        <w:jc w:val="both"/>
        <w:rPr>
          <w:rFonts w:ascii="Palatino Linotype" w:hAnsi="Palatino Linotype" w:cs="Arial"/>
          <w:i/>
          <w:color w:val="000000" w:themeColor="text1"/>
        </w:rPr>
      </w:pPr>
      <w:r w:rsidRPr="00C27992">
        <w:rPr>
          <w:rFonts w:ascii="Palatino Linotype" w:hAnsi="Palatino Linotype" w:cs="Arial"/>
          <w:i/>
          <w:color w:val="000000" w:themeColor="text1"/>
        </w:rPr>
        <w:lastRenderedPageBreak/>
        <w:t>Que se trate de información registrada en cualquier soporte documental, que en ejercicio de las atribuciones conferidas, sea generada por los Sujetos Obligados;</w:t>
      </w:r>
    </w:p>
    <w:p w:rsidR="00EC5F2D" w:rsidRPr="00C27992" w:rsidRDefault="00EC5F2D" w:rsidP="00EC5F2D">
      <w:pPr>
        <w:autoSpaceDE w:val="0"/>
        <w:autoSpaceDN w:val="0"/>
        <w:adjustRightInd w:val="0"/>
        <w:spacing w:before="240" w:after="240" w:line="360" w:lineRule="auto"/>
        <w:ind w:left="567" w:right="567"/>
        <w:jc w:val="both"/>
        <w:rPr>
          <w:rFonts w:ascii="Palatino Linotype" w:hAnsi="Palatino Linotype" w:cs="Arial"/>
          <w:i/>
          <w:color w:val="000000" w:themeColor="text1"/>
        </w:rPr>
      </w:pPr>
      <w:r w:rsidRPr="00C27992">
        <w:rPr>
          <w:rFonts w:ascii="Palatino Linotype" w:hAnsi="Palatino Linotype" w:cs="Arial"/>
          <w:i/>
          <w:color w:val="000000" w:themeColor="text1"/>
        </w:rPr>
        <w:t>Que se trate de información registrada en cualquier soporte documental, que en ejercicio de las atribuciones conferidas, sea administrada por los Sujetos Obligados, y</w:t>
      </w:r>
    </w:p>
    <w:p w:rsidR="00EC5F2D" w:rsidRPr="00C27992" w:rsidRDefault="00EC5F2D" w:rsidP="00EC5F2D">
      <w:pPr>
        <w:autoSpaceDE w:val="0"/>
        <w:autoSpaceDN w:val="0"/>
        <w:adjustRightInd w:val="0"/>
        <w:spacing w:line="360" w:lineRule="auto"/>
        <w:ind w:left="567" w:right="567"/>
        <w:jc w:val="both"/>
        <w:rPr>
          <w:rFonts w:ascii="Palatino Linotype" w:hAnsi="Palatino Linotype" w:cs="Arial"/>
          <w:i/>
          <w:color w:val="000000" w:themeColor="text1"/>
        </w:rPr>
      </w:pPr>
      <w:r w:rsidRPr="00C27992">
        <w:rPr>
          <w:rFonts w:ascii="Palatino Linotype" w:hAnsi="Palatino Linotype" w:cs="Arial"/>
          <w:i/>
          <w:color w:val="000000" w:themeColor="text1"/>
        </w:rPr>
        <w:t>Que se trate de información registrada en cualquier soporte documental, que en ejercicio de las atribuciones conferidas, se encuentre en posesión de los Sujetos Obligados.”</w:t>
      </w:r>
    </w:p>
    <w:p w:rsidR="00EC5F2D" w:rsidRPr="00C27992" w:rsidRDefault="00EC5F2D" w:rsidP="00EC5F2D">
      <w:pPr>
        <w:autoSpaceDE w:val="0"/>
        <w:autoSpaceDN w:val="0"/>
        <w:adjustRightInd w:val="0"/>
        <w:spacing w:line="360" w:lineRule="auto"/>
        <w:ind w:left="567" w:right="567"/>
        <w:jc w:val="both"/>
        <w:rPr>
          <w:rFonts w:ascii="Palatino Linotype" w:hAnsi="Palatino Linotype" w:cs="Arial"/>
          <w:i/>
          <w:color w:val="000000" w:themeColor="text1"/>
        </w:rPr>
      </w:pPr>
    </w:p>
    <w:p w:rsidR="00EC5F2D" w:rsidRPr="00C27992" w:rsidRDefault="00EC5F2D" w:rsidP="00EC5F2D">
      <w:pPr>
        <w:numPr>
          <w:ilvl w:val="0"/>
          <w:numId w:val="1"/>
        </w:numPr>
        <w:spacing w:line="360" w:lineRule="auto"/>
        <w:ind w:left="0" w:firstLine="0"/>
        <w:contextualSpacing/>
        <w:jc w:val="both"/>
        <w:rPr>
          <w:rFonts w:ascii="Palatino Linotype" w:hAnsi="Palatino Linotype"/>
          <w:color w:val="000000" w:themeColor="text1"/>
        </w:rPr>
      </w:pPr>
      <w:r w:rsidRPr="00C27992">
        <w:rPr>
          <w:rFonts w:ascii="Palatino Linotype" w:hAnsi="Palatino Linotype" w:cs="Arial"/>
          <w:color w:val="000000" w:themeColor="text1"/>
        </w:rPr>
        <w:t xml:space="preserve">De </w:t>
      </w:r>
      <w:r w:rsidRPr="00C27992">
        <w:rPr>
          <w:rFonts w:ascii="Palatino Linotype" w:hAnsi="Palatino Linotype" w:cs="Arial"/>
          <w:color w:val="000000" w:themeColor="text1"/>
          <w:lang w:eastAsia="es-MX"/>
        </w:rPr>
        <w:t>lo</w:t>
      </w:r>
      <w:r w:rsidRPr="00C27992">
        <w:rPr>
          <w:rFonts w:ascii="Palatino Linotype" w:hAnsi="Palatino Linotype" w:cs="Arial"/>
          <w:color w:val="000000" w:themeColor="text1"/>
        </w:rPr>
        <w:t xml:space="preserve"> anterior, se puede concluir que la distinción entre el derecho de petición y el derecho de acceso a la información estriba, principalmente, en que en el primero de ellos </w:t>
      </w:r>
      <w:r w:rsidRPr="00C27992">
        <w:rPr>
          <w:rFonts w:ascii="Palatino Linotype" w:hAnsi="Palatino Linotype" w:cs="Arial"/>
          <w:color w:val="000000" w:themeColor="text1"/>
          <w:lang w:eastAsia="es-MX"/>
        </w:rPr>
        <w:t xml:space="preserve">la pretensión del peticionario consiste generalmente en obligar a la autoridad responsable a que </w:t>
      </w:r>
      <w:r w:rsidRPr="00C27992">
        <w:rPr>
          <w:rFonts w:ascii="Palatino Linotype" w:hAnsi="Palatino Linotype" w:cs="Arial"/>
          <w:b/>
          <w:color w:val="000000" w:themeColor="text1"/>
          <w:u w:val="single"/>
          <w:lang w:eastAsia="es-MX"/>
        </w:rPr>
        <w:t>actúe en el sentido de contestar lo solicitado</w:t>
      </w:r>
      <w:r w:rsidRPr="00C27992">
        <w:rPr>
          <w:rFonts w:ascii="Palatino Linotype" w:hAnsi="Palatino Linotype" w:cs="Arial"/>
          <w:color w:val="000000" w:themeColor="text1"/>
          <w:lang w:eastAsia="es-MX"/>
        </w:rPr>
        <w:t xml:space="preserve">; mientras que en el </w:t>
      </w:r>
      <w:r w:rsidRPr="00C27992">
        <w:rPr>
          <w:rFonts w:ascii="Palatino Linotype" w:hAnsi="Palatino Linotype" w:cs="Arial"/>
          <w:bCs/>
          <w:color w:val="000000" w:themeColor="text1"/>
          <w:lang w:eastAsia="es-CO"/>
        </w:rPr>
        <w:t>segundo supuesto, la petición se encamina primordialmente a</w:t>
      </w:r>
      <w:r w:rsidRPr="00C27992">
        <w:rPr>
          <w:rFonts w:ascii="Palatino Linotype" w:hAnsi="Palatino Linotype" w:cs="Arial"/>
          <w:color w:val="000000" w:themeColor="text1"/>
        </w:rPr>
        <w:t xml:space="preserve"> permitir el </w:t>
      </w:r>
      <w:r w:rsidRPr="00C27992">
        <w:rPr>
          <w:rFonts w:ascii="Palatino Linotype" w:hAnsi="Palatino Linotype" w:cs="Arial"/>
          <w:color w:val="000000" w:themeColor="text1"/>
          <w:lang w:eastAsia="es-CO"/>
        </w:rPr>
        <w:t xml:space="preserve">acceso a datos, registros y todo tipo de información pública </w:t>
      </w:r>
      <w:r w:rsidRPr="00C27992">
        <w:rPr>
          <w:rFonts w:ascii="Palatino Linotype" w:hAnsi="Palatino Linotype" w:cs="Arial"/>
          <w:b/>
          <w:color w:val="000000" w:themeColor="text1"/>
          <w:u w:val="single"/>
          <w:lang w:eastAsia="es-CO"/>
        </w:rPr>
        <w:t>que conste en documentos</w:t>
      </w:r>
      <w:r w:rsidRPr="00C27992">
        <w:rPr>
          <w:rFonts w:ascii="Palatino Linotype" w:hAnsi="Palatino Linotype" w:cs="Arial"/>
          <w:color w:val="000000" w:themeColor="text1"/>
          <w:lang w:eastAsia="es-CO"/>
        </w:rPr>
        <w:t xml:space="preserve">, sea generada o se encuentre en posesión de </w:t>
      </w:r>
      <w:r w:rsidRPr="00C27992">
        <w:rPr>
          <w:rFonts w:ascii="Palatino Linotype" w:hAnsi="Palatino Linotype" w:cs="Arial"/>
          <w:color w:val="000000" w:themeColor="text1"/>
        </w:rPr>
        <w:t>la autoridad.</w:t>
      </w:r>
    </w:p>
    <w:p w:rsidR="00093024" w:rsidRPr="00C27992" w:rsidRDefault="00093024" w:rsidP="00093024">
      <w:pPr>
        <w:spacing w:line="360" w:lineRule="auto"/>
        <w:contextualSpacing/>
        <w:jc w:val="both"/>
        <w:rPr>
          <w:rFonts w:ascii="Palatino Linotype" w:hAnsi="Palatino Linotype" w:cs="Arial"/>
          <w:color w:val="000000" w:themeColor="text1"/>
        </w:rPr>
      </w:pPr>
    </w:p>
    <w:p w:rsidR="00093024" w:rsidRPr="00C27992" w:rsidRDefault="000A7BB4" w:rsidP="00093024">
      <w:pPr>
        <w:pStyle w:val="Ttulo2"/>
        <w:spacing w:before="0" w:line="360" w:lineRule="auto"/>
        <w:rPr>
          <w:rFonts w:ascii="Palatino Linotype" w:hAnsi="Palatino Linotype"/>
          <w:b/>
          <w:color w:val="auto"/>
          <w:sz w:val="24"/>
        </w:rPr>
      </w:pPr>
      <w:bookmarkStart w:id="151" w:name="_Toc531859120"/>
      <w:bookmarkStart w:id="152" w:name="_Toc2871952"/>
      <w:bookmarkStart w:id="153" w:name="_Toc20246253"/>
      <w:bookmarkStart w:id="154" w:name="_Toc24023250"/>
      <w:bookmarkStart w:id="155" w:name="_Toc26461369"/>
      <w:bookmarkStart w:id="156" w:name="_Toc29481474"/>
      <w:bookmarkStart w:id="157" w:name="_Toc36648201"/>
      <w:bookmarkStart w:id="158" w:name="_Toc36732268"/>
      <w:bookmarkStart w:id="159" w:name="_Toc38560292"/>
      <w:bookmarkStart w:id="160" w:name="_Toc83128590"/>
      <w:bookmarkStart w:id="161" w:name="_Toc473799824"/>
      <w:bookmarkStart w:id="162" w:name="_Toc487025370"/>
      <w:bookmarkStart w:id="163" w:name="_Toc493790438"/>
      <w:bookmarkStart w:id="164" w:name="_Toc495606558"/>
      <w:bookmarkStart w:id="165" w:name="_Toc497297048"/>
      <w:bookmarkStart w:id="166" w:name="_Toc498503756"/>
      <w:bookmarkStart w:id="167" w:name="_Toc499201876"/>
      <w:bookmarkStart w:id="168" w:name="_Toc524000321"/>
      <w:r w:rsidRPr="00C27992">
        <w:rPr>
          <w:rFonts w:ascii="Palatino Linotype" w:hAnsi="Palatino Linotype"/>
          <w:b/>
          <w:color w:val="auto"/>
          <w:sz w:val="24"/>
        </w:rPr>
        <w:t>QUINTO</w:t>
      </w:r>
      <w:r w:rsidR="00093024" w:rsidRPr="00C27992">
        <w:rPr>
          <w:rFonts w:ascii="Palatino Linotype" w:hAnsi="Palatino Linotype"/>
          <w:b/>
          <w:color w:val="auto"/>
          <w:sz w:val="24"/>
        </w:rPr>
        <w:t xml:space="preserve">. De la </w:t>
      </w:r>
      <w:bookmarkEnd w:id="151"/>
      <w:bookmarkEnd w:id="152"/>
      <w:r w:rsidR="00093024" w:rsidRPr="00C27992">
        <w:rPr>
          <w:rFonts w:ascii="Palatino Linotype" w:hAnsi="Palatino Linotype"/>
          <w:b/>
          <w:color w:val="auto"/>
          <w:sz w:val="24"/>
        </w:rPr>
        <w:t>versión pública</w:t>
      </w:r>
      <w:bookmarkEnd w:id="153"/>
      <w:bookmarkEnd w:id="154"/>
      <w:bookmarkEnd w:id="155"/>
      <w:bookmarkEnd w:id="156"/>
      <w:bookmarkEnd w:id="157"/>
      <w:bookmarkEnd w:id="158"/>
      <w:bookmarkEnd w:id="159"/>
      <w:bookmarkEnd w:id="160"/>
    </w:p>
    <w:p w:rsidR="00093024" w:rsidRPr="00C27992" w:rsidRDefault="00093024" w:rsidP="00093024">
      <w:pPr>
        <w:spacing w:line="360" w:lineRule="auto"/>
        <w:rPr>
          <w:lang w:val="es-MX" w:eastAsia="en-US"/>
        </w:rPr>
      </w:pPr>
    </w:p>
    <w:bookmarkEnd w:id="161"/>
    <w:bookmarkEnd w:id="162"/>
    <w:bookmarkEnd w:id="163"/>
    <w:bookmarkEnd w:id="164"/>
    <w:bookmarkEnd w:id="165"/>
    <w:bookmarkEnd w:id="166"/>
    <w:bookmarkEnd w:id="167"/>
    <w:bookmarkEnd w:id="168"/>
    <w:p w:rsidR="00093024" w:rsidRPr="00C27992" w:rsidRDefault="00093024" w:rsidP="00093024">
      <w:pPr>
        <w:pStyle w:val="Prrafodelista"/>
        <w:numPr>
          <w:ilvl w:val="0"/>
          <w:numId w:val="1"/>
        </w:numPr>
        <w:spacing w:line="360" w:lineRule="auto"/>
        <w:ind w:left="0" w:firstLine="0"/>
        <w:jc w:val="both"/>
        <w:rPr>
          <w:rFonts w:ascii="Palatino Linotype" w:hAnsi="Palatino Linotype"/>
        </w:rPr>
      </w:pPr>
      <w:r w:rsidRPr="00C27992">
        <w:rPr>
          <w:rFonts w:ascii="Palatino Linotype" w:hAnsi="Palatino Linotype"/>
        </w:rPr>
        <w:t xml:space="preserve">Debe </w:t>
      </w:r>
      <w:r w:rsidRPr="00C27992">
        <w:rPr>
          <w:rFonts w:ascii="Palatino Linotype" w:hAnsi="Palatino Linotype" w:cs="Arial"/>
        </w:rPr>
        <w:t>destacarse</w:t>
      </w:r>
      <w:r w:rsidRPr="00C27992">
        <w:rPr>
          <w:rFonts w:ascii="Palatino Linotype" w:hAnsi="Palatino Linotype"/>
        </w:rPr>
        <w:t xml:space="preserve"> que la información que se ha tenido a bien ordenar, dada su propia y especial </w:t>
      </w:r>
      <w:r w:rsidRPr="00C27992">
        <w:rPr>
          <w:rFonts w:ascii="Palatino Linotype" w:eastAsia="MS Mincho" w:hAnsi="Palatino Linotype" w:cs="Arial"/>
        </w:rPr>
        <w:t>naturaleza</w:t>
      </w:r>
      <w:r w:rsidRPr="00C27992">
        <w:rPr>
          <w:rFonts w:ascii="Palatino Linotype" w:hAnsi="Palatino Linotype"/>
        </w:rPr>
        <w:t xml:space="preserve">, </w:t>
      </w:r>
      <w:r w:rsidRPr="00C27992">
        <w:rPr>
          <w:rFonts w:ascii="Palatino Linotype" w:hAnsi="Palatino Linotype"/>
          <w:b/>
        </w:rPr>
        <w:t xml:space="preserve">contiene datos personales susceptibles de ser </w:t>
      </w:r>
      <w:r w:rsidRPr="00C27992">
        <w:rPr>
          <w:rFonts w:ascii="Palatino Linotype" w:hAnsi="Palatino Linotype" w:cs="Arial"/>
          <w:lang w:val="es-ES"/>
        </w:rPr>
        <w:t>protegidos</w:t>
      </w:r>
      <w:r w:rsidRPr="00C27992">
        <w:rPr>
          <w:rFonts w:ascii="Palatino Linotype" w:hAnsi="Palatino Linotype"/>
          <w:b/>
        </w:rPr>
        <w:t xml:space="preserve"> mediante una versión pública</w:t>
      </w:r>
      <w:r w:rsidRPr="00C27992">
        <w:rPr>
          <w:rFonts w:ascii="Palatino Linotype" w:hAnsi="Palatino Linotype"/>
        </w:rPr>
        <w:t xml:space="preserve">, la cual deberá estar soportada por el Acta </w:t>
      </w:r>
      <w:r w:rsidRPr="00C27992">
        <w:rPr>
          <w:rFonts w:ascii="Palatino Linotype" w:hAnsi="Palatino Linotype"/>
        </w:rPr>
        <w:lastRenderedPageBreak/>
        <w:t xml:space="preserve">del Comité de Transparencia que se emita para tal efecto, debiéndola poner a disposición del hoy </w:t>
      </w:r>
      <w:r w:rsidRPr="00C27992">
        <w:rPr>
          <w:rFonts w:ascii="Palatino Linotype" w:hAnsi="Palatino Linotype"/>
          <w:b/>
        </w:rPr>
        <w:t>RECURRENTE</w:t>
      </w:r>
      <w:r w:rsidRPr="00C27992">
        <w:rPr>
          <w:rFonts w:ascii="Palatino Linotype" w:hAnsi="Palatino Linotype"/>
        </w:rPr>
        <w:t>.</w:t>
      </w:r>
    </w:p>
    <w:p w:rsidR="00093024" w:rsidRPr="00C27992" w:rsidRDefault="00093024" w:rsidP="00093024">
      <w:pPr>
        <w:spacing w:line="360" w:lineRule="auto"/>
        <w:contextualSpacing/>
        <w:jc w:val="both"/>
        <w:rPr>
          <w:rFonts w:ascii="Palatino Linotype" w:hAnsi="Palatino Linotype"/>
        </w:rPr>
      </w:pPr>
    </w:p>
    <w:p w:rsidR="00093024" w:rsidRPr="00C27992" w:rsidRDefault="00093024" w:rsidP="00093024">
      <w:pPr>
        <w:pStyle w:val="Prrafodelista"/>
        <w:numPr>
          <w:ilvl w:val="0"/>
          <w:numId w:val="1"/>
        </w:numPr>
        <w:spacing w:line="360" w:lineRule="auto"/>
        <w:ind w:left="0" w:firstLine="0"/>
        <w:jc w:val="both"/>
        <w:rPr>
          <w:rFonts w:ascii="Palatino Linotype" w:hAnsi="Palatino Linotype" w:cs="Arial"/>
        </w:rPr>
      </w:pPr>
      <w:r w:rsidRPr="00C27992">
        <w:rPr>
          <w:rFonts w:ascii="Palatino Linotype" w:eastAsia="MS Gothic" w:hAnsi="Palatino Linotype" w:cs="Times New Roman"/>
          <w:szCs w:val="26"/>
        </w:rPr>
        <w:t xml:space="preserve">La clasificación total o parcial de la información requerida, mediante solicitud de acceso a la </w:t>
      </w:r>
      <w:r w:rsidRPr="00C27992">
        <w:rPr>
          <w:rFonts w:ascii="Palatino Linotype" w:hAnsi="Palatino Linotype"/>
        </w:rPr>
        <w:t>información</w:t>
      </w:r>
      <w:r w:rsidRPr="00C27992">
        <w:rPr>
          <w:rFonts w:ascii="Palatino Linotype" w:eastAsia="MS Gothic" w:hAnsi="Palatino Linotype" w:cs="Times New Roman"/>
          <w:szCs w:val="26"/>
        </w:rPr>
        <w:t xml:space="preserve"> pública, constituye una restricción al derecho humano de acceso a la información. Como reiteradamente han dicho, diversos órganos </w:t>
      </w:r>
      <w:r w:rsidRPr="00C27992">
        <w:rPr>
          <w:rFonts w:ascii="Palatino Linotype" w:hAnsi="Palatino Linotype"/>
        </w:rPr>
        <w:t>jurisdiccionales</w:t>
      </w:r>
      <w:r w:rsidRPr="00C27992">
        <w:rPr>
          <w:rFonts w:ascii="Palatino Linotype" w:eastAsia="MS Gothic" w:hAnsi="Palatino Linotype" w:cs="Times New Roman"/>
          <w:szCs w:val="26"/>
        </w:rPr>
        <w:t>, ningún derecho es absoluto</w:t>
      </w:r>
      <w:r w:rsidRPr="00C27992">
        <w:rPr>
          <w:rFonts w:ascii="Palatino Linotype" w:eastAsia="MS Gothic" w:hAnsi="Palatino Linotype" w:cs="Times New Roman"/>
          <w:szCs w:val="26"/>
          <w:vertAlign w:val="superscript"/>
        </w:rPr>
        <w:footnoteReference w:id="10"/>
      </w:r>
      <w:r w:rsidRPr="00C27992">
        <w:rPr>
          <w:rFonts w:ascii="Palatino Linotype" w:eastAsia="MS Gothic" w:hAnsi="Palatino Linotype" w:cs="Times New Roman"/>
          <w:szCs w:val="26"/>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C27992">
        <w:rPr>
          <w:rFonts w:ascii="Palatino Linotype" w:eastAsia="MS Gothic" w:hAnsi="Palatino Linotype" w:cs="Times New Roman"/>
          <w:szCs w:val="26"/>
          <w:vertAlign w:val="superscript"/>
        </w:rPr>
        <w:footnoteReference w:id="11"/>
      </w:r>
      <w:r w:rsidRPr="00C27992">
        <w:rPr>
          <w:rFonts w:ascii="Palatino Linotype" w:eastAsia="MS Gothic" w:hAnsi="Palatino Linotype" w:cs="Times New Roman"/>
          <w:szCs w:val="26"/>
        </w:rPr>
        <w:t xml:space="preserve"> En este caso, la clasificación total o parcial de la información es un supuesto que tanto la Ley General de Transparencia y Acceso a la Información Pública, en adelante, la Ley General, como la Ley de Transparencia y Acceso a la </w:t>
      </w:r>
      <w:r w:rsidRPr="00C27992">
        <w:rPr>
          <w:rFonts w:ascii="Palatino Linotype" w:eastAsia="MS Gothic" w:hAnsi="Palatino Linotype" w:cs="Times New Roman"/>
          <w:szCs w:val="26"/>
        </w:rPr>
        <w:lastRenderedPageBreak/>
        <w:t>Información Pública del Estado de México y Municipios, en adelante, la Ley Estatal, establecen, y agotar el procedimiento legalmente establecido, es precisamente lo que permite acreditar el cumplimiento de los otros dos requisitos.</w:t>
      </w:r>
    </w:p>
    <w:p w:rsidR="00093024" w:rsidRPr="00C27992" w:rsidRDefault="00093024" w:rsidP="00093024">
      <w:pPr>
        <w:pStyle w:val="Prrafodelista"/>
        <w:rPr>
          <w:rFonts w:ascii="Palatino Linotype" w:hAnsi="Palatino Linotype" w:cs="Arial"/>
        </w:rPr>
      </w:pPr>
    </w:p>
    <w:p w:rsidR="00093024" w:rsidRPr="00C27992" w:rsidRDefault="00093024" w:rsidP="00093024">
      <w:pPr>
        <w:pStyle w:val="Prrafodelista"/>
        <w:numPr>
          <w:ilvl w:val="0"/>
          <w:numId w:val="1"/>
        </w:numPr>
        <w:spacing w:line="360" w:lineRule="auto"/>
        <w:ind w:left="0" w:firstLine="0"/>
        <w:jc w:val="both"/>
        <w:rPr>
          <w:rFonts w:ascii="Palatino Linotype" w:hAnsi="Palatino Linotype" w:cs="Arial"/>
        </w:rPr>
      </w:pPr>
      <w:r w:rsidRPr="00C27992">
        <w:rPr>
          <w:rFonts w:ascii="Palatino Linotype" w:eastAsia="MS Gothic" w:hAnsi="Palatino Linotype" w:cs="Times New Roman"/>
          <w:szCs w:val="26"/>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093024" w:rsidRPr="00C27992" w:rsidRDefault="00093024" w:rsidP="00093024">
      <w:pPr>
        <w:pStyle w:val="Prrafodelista"/>
        <w:tabs>
          <w:tab w:val="left" w:pos="142"/>
          <w:tab w:val="left" w:pos="284"/>
          <w:tab w:val="left" w:pos="426"/>
        </w:tabs>
        <w:spacing w:line="360" w:lineRule="auto"/>
        <w:ind w:left="0"/>
        <w:jc w:val="both"/>
        <w:rPr>
          <w:rFonts w:ascii="Palatino Linotype" w:hAnsi="Palatino Linotype" w:cs="Arial"/>
        </w:rPr>
      </w:pPr>
    </w:p>
    <w:p w:rsidR="00093024" w:rsidRPr="00C27992" w:rsidRDefault="00093024" w:rsidP="00093024">
      <w:pPr>
        <w:pStyle w:val="Prrafodelista"/>
        <w:numPr>
          <w:ilvl w:val="0"/>
          <w:numId w:val="15"/>
        </w:numPr>
        <w:tabs>
          <w:tab w:val="left" w:pos="142"/>
          <w:tab w:val="left" w:pos="284"/>
          <w:tab w:val="left" w:pos="426"/>
        </w:tabs>
        <w:spacing w:line="360" w:lineRule="auto"/>
        <w:jc w:val="both"/>
        <w:outlineLvl w:val="2"/>
        <w:rPr>
          <w:rFonts w:ascii="Palatino Linotype" w:hAnsi="Palatino Linotype" w:cs="Arial"/>
          <w:b/>
        </w:rPr>
      </w:pPr>
      <w:bookmarkStart w:id="169" w:name="_Toc51863315"/>
      <w:bookmarkStart w:id="170" w:name="_Toc52444649"/>
      <w:bookmarkStart w:id="171" w:name="_Toc57154368"/>
      <w:bookmarkStart w:id="172" w:name="_Toc65170174"/>
      <w:bookmarkStart w:id="173" w:name="_Toc66371800"/>
      <w:bookmarkStart w:id="174" w:name="_Toc67584835"/>
      <w:bookmarkStart w:id="175" w:name="_Toc70070911"/>
      <w:bookmarkStart w:id="176" w:name="_Toc70593358"/>
      <w:bookmarkStart w:id="177" w:name="_Toc71290717"/>
      <w:bookmarkStart w:id="178" w:name="_Toc71291223"/>
      <w:bookmarkStart w:id="179" w:name="_Toc71674122"/>
      <w:bookmarkStart w:id="180" w:name="_Toc83128591"/>
      <w:r w:rsidRPr="00C27992">
        <w:rPr>
          <w:rFonts w:ascii="Palatino Linotype" w:hAnsi="Palatino Linotype" w:cs="Arial"/>
          <w:b/>
        </w:rPr>
        <w:t>Requisitos previos.</w:t>
      </w:r>
      <w:bookmarkEnd w:id="169"/>
      <w:bookmarkEnd w:id="170"/>
      <w:bookmarkEnd w:id="171"/>
      <w:bookmarkEnd w:id="172"/>
      <w:bookmarkEnd w:id="173"/>
      <w:bookmarkEnd w:id="174"/>
      <w:bookmarkEnd w:id="175"/>
      <w:bookmarkEnd w:id="176"/>
      <w:bookmarkEnd w:id="177"/>
      <w:bookmarkEnd w:id="178"/>
      <w:bookmarkEnd w:id="179"/>
      <w:bookmarkEnd w:id="180"/>
    </w:p>
    <w:p w:rsidR="00093024" w:rsidRPr="00C27992" w:rsidRDefault="00093024" w:rsidP="00093024">
      <w:pPr>
        <w:pStyle w:val="Prrafodelista"/>
        <w:tabs>
          <w:tab w:val="left" w:pos="142"/>
          <w:tab w:val="left" w:pos="284"/>
          <w:tab w:val="left" w:pos="426"/>
        </w:tabs>
        <w:spacing w:line="360" w:lineRule="auto"/>
        <w:ind w:left="1080"/>
        <w:jc w:val="both"/>
        <w:outlineLvl w:val="2"/>
        <w:rPr>
          <w:rFonts w:ascii="Palatino Linotype" w:hAnsi="Palatino Linotype" w:cs="Arial"/>
          <w:b/>
        </w:rPr>
      </w:pPr>
    </w:p>
    <w:p w:rsidR="00093024" w:rsidRPr="00C27992" w:rsidRDefault="00093024" w:rsidP="00093024">
      <w:pPr>
        <w:pStyle w:val="Prrafodelista"/>
        <w:numPr>
          <w:ilvl w:val="0"/>
          <w:numId w:val="1"/>
        </w:numPr>
        <w:spacing w:line="360" w:lineRule="auto"/>
        <w:ind w:left="0" w:firstLine="0"/>
        <w:jc w:val="both"/>
        <w:rPr>
          <w:rFonts w:ascii="Palatino Linotype" w:hAnsi="Palatino Linotype" w:cs="Arial"/>
        </w:rPr>
      </w:pPr>
      <w:r w:rsidRPr="00C27992">
        <w:rPr>
          <w:rFonts w:ascii="Palatino Linotype" w:eastAsia="MS Gothic" w:hAnsi="Palatino Linotype" w:cs="Times New Roman"/>
          <w:szCs w:val="26"/>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093024" w:rsidRPr="00C27992" w:rsidRDefault="00093024" w:rsidP="00093024">
      <w:pPr>
        <w:pStyle w:val="Prrafodelista"/>
        <w:tabs>
          <w:tab w:val="left" w:pos="142"/>
          <w:tab w:val="left" w:pos="284"/>
          <w:tab w:val="left" w:pos="426"/>
        </w:tabs>
        <w:spacing w:line="360" w:lineRule="auto"/>
        <w:ind w:left="0"/>
        <w:jc w:val="both"/>
        <w:rPr>
          <w:rFonts w:ascii="Palatino Linotype" w:hAnsi="Palatino Linotype" w:cs="Arial"/>
        </w:rPr>
      </w:pPr>
    </w:p>
    <w:p w:rsidR="00093024" w:rsidRPr="00C27992" w:rsidRDefault="00093024" w:rsidP="00093024">
      <w:pPr>
        <w:pStyle w:val="Prrafodelista"/>
        <w:numPr>
          <w:ilvl w:val="0"/>
          <w:numId w:val="1"/>
        </w:numPr>
        <w:spacing w:line="360" w:lineRule="auto"/>
        <w:ind w:left="0" w:firstLine="0"/>
        <w:jc w:val="both"/>
        <w:rPr>
          <w:rFonts w:ascii="Palatino Linotype" w:hAnsi="Palatino Linotype" w:cs="Arial"/>
        </w:rPr>
      </w:pPr>
      <w:r w:rsidRPr="00C27992">
        <w:rPr>
          <w:rFonts w:ascii="Palatino Linotype" w:eastAsia="MS Gothic" w:hAnsi="Palatino Linotype" w:cs="Times New Roman"/>
          <w:szCs w:val="26"/>
        </w:rPr>
        <w:t xml:space="preserve">Además, se debe señalar el procedimiento, de los tres que establecen los artículos 132 y 106 de la Ley Estatal y General, respectivamente, por el que se realiza </w:t>
      </w:r>
      <w:r w:rsidRPr="00C27992">
        <w:rPr>
          <w:rFonts w:ascii="Palatino Linotype" w:eastAsia="MS Gothic" w:hAnsi="Palatino Linotype" w:cs="Times New Roman"/>
          <w:szCs w:val="26"/>
        </w:rPr>
        <w:lastRenderedPageBreak/>
        <w:t>dicha clasificación, a saber, cuando se atiende una solicitud de acceso a la información, porque lo determina una autoridad competente o porque se va a generar una versión pública para cumplir con sus obligaciones.</w:t>
      </w:r>
    </w:p>
    <w:p w:rsidR="00093024" w:rsidRPr="00C27992" w:rsidRDefault="00093024" w:rsidP="00093024">
      <w:pPr>
        <w:pStyle w:val="Prrafodelista"/>
        <w:rPr>
          <w:rFonts w:ascii="Palatino Linotype" w:hAnsi="Palatino Linotype" w:cs="Arial"/>
        </w:rPr>
      </w:pPr>
    </w:p>
    <w:p w:rsidR="00093024" w:rsidRPr="00C27992" w:rsidRDefault="00093024" w:rsidP="00093024">
      <w:pPr>
        <w:pStyle w:val="Prrafodelista"/>
        <w:numPr>
          <w:ilvl w:val="0"/>
          <w:numId w:val="1"/>
        </w:numPr>
        <w:spacing w:line="360" w:lineRule="auto"/>
        <w:ind w:left="0" w:firstLine="0"/>
        <w:jc w:val="both"/>
        <w:rPr>
          <w:rFonts w:ascii="Palatino Linotype" w:hAnsi="Palatino Linotype" w:cs="Arial"/>
        </w:rPr>
      </w:pPr>
      <w:r w:rsidRPr="00C27992">
        <w:rPr>
          <w:rFonts w:ascii="Palatino Linotype" w:eastAsia="MS Gothic" w:hAnsi="Palatino Linotype" w:cs="Times New Roman"/>
          <w:szCs w:val="26"/>
        </w:rPr>
        <w:t xml:space="preserve">El último de estos requisitos previos consiste en que no se pueden emitir acuerdos de carácter general ni particular, según lo disponen los artículos 134 y 108 de la Ley Estatal y de la Ley General, respectivamente, esto es, </w:t>
      </w:r>
      <w:r w:rsidRPr="00C27992">
        <w:rPr>
          <w:rFonts w:ascii="Palatino Linotype" w:eastAsia="MS Gothic" w:hAnsi="Palatino Linotype" w:cs="Times New Roman"/>
          <w:b/>
          <w:szCs w:val="26"/>
          <w:u w:val="single"/>
        </w:rPr>
        <w:t>no se puede hacer un acuerdo para clasificar de manera general todos los documentos de un expediente o área</w:t>
      </w:r>
      <w:r w:rsidRPr="00C27992">
        <w:rPr>
          <w:rFonts w:ascii="Palatino Linotype" w:eastAsia="MS Gothic" w:hAnsi="Palatino Linotype" w:cs="Times New Roman"/>
          <w:b/>
          <w:szCs w:val="26"/>
        </w:rPr>
        <w:t xml:space="preserve">,  </w:t>
      </w:r>
      <w:r w:rsidRPr="00C27992">
        <w:rPr>
          <w:rFonts w:ascii="Palatino Linotype" w:eastAsia="MS Gothic" w:hAnsi="Palatino Linotype" w:cs="Times New Roman"/>
          <w:szCs w:val="26"/>
        </w:rPr>
        <w:t>sin individualizar su análisis y tampoco se puede hacer un acuerdo por cada dato que se vaya a clasificar dentro de un documento con diez datos, por ejemplo, susceptibles de ser clasificados.</w:t>
      </w:r>
    </w:p>
    <w:p w:rsidR="00093024" w:rsidRPr="00C27992" w:rsidRDefault="00093024" w:rsidP="00093024">
      <w:pPr>
        <w:pStyle w:val="Prrafodelista"/>
        <w:tabs>
          <w:tab w:val="left" w:pos="142"/>
          <w:tab w:val="left" w:pos="284"/>
          <w:tab w:val="left" w:pos="426"/>
        </w:tabs>
        <w:spacing w:line="360" w:lineRule="auto"/>
        <w:ind w:left="0"/>
        <w:jc w:val="both"/>
        <w:rPr>
          <w:rFonts w:ascii="Palatino Linotype" w:hAnsi="Palatino Linotype" w:cs="Arial"/>
        </w:rPr>
      </w:pPr>
    </w:p>
    <w:p w:rsidR="00093024" w:rsidRPr="00C27992" w:rsidRDefault="00093024" w:rsidP="00093024">
      <w:pPr>
        <w:pStyle w:val="Prrafodelista"/>
        <w:numPr>
          <w:ilvl w:val="0"/>
          <w:numId w:val="15"/>
        </w:numPr>
        <w:tabs>
          <w:tab w:val="left" w:pos="142"/>
          <w:tab w:val="left" w:pos="284"/>
          <w:tab w:val="left" w:pos="426"/>
        </w:tabs>
        <w:spacing w:line="360" w:lineRule="auto"/>
        <w:jc w:val="both"/>
        <w:outlineLvl w:val="2"/>
        <w:rPr>
          <w:rFonts w:ascii="Palatino Linotype" w:hAnsi="Palatino Linotype" w:cs="Arial"/>
          <w:b/>
        </w:rPr>
      </w:pPr>
      <w:bookmarkStart w:id="181" w:name="_Toc51863316"/>
      <w:bookmarkStart w:id="182" w:name="_Toc52444650"/>
      <w:bookmarkStart w:id="183" w:name="_Toc57154369"/>
      <w:bookmarkStart w:id="184" w:name="_Toc65170175"/>
      <w:bookmarkStart w:id="185" w:name="_Toc66371801"/>
      <w:bookmarkStart w:id="186" w:name="_Toc67584836"/>
      <w:bookmarkStart w:id="187" w:name="_Toc70070912"/>
      <w:bookmarkStart w:id="188" w:name="_Toc70593359"/>
      <w:bookmarkStart w:id="189" w:name="_Toc71290718"/>
      <w:bookmarkStart w:id="190" w:name="_Toc71291224"/>
      <w:bookmarkStart w:id="191" w:name="_Toc71674123"/>
      <w:bookmarkStart w:id="192" w:name="_Toc83128592"/>
      <w:r w:rsidRPr="00C27992">
        <w:rPr>
          <w:rFonts w:ascii="Palatino Linotype" w:hAnsi="Palatino Linotype" w:cs="Arial"/>
          <w:b/>
        </w:rPr>
        <w:t>Supuestos de clasificación.</w:t>
      </w:r>
      <w:bookmarkEnd w:id="181"/>
      <w:bookmarkEnd w:id="182"/>
      <w:bookmarkEnd w:id="183"/>
      <w:bookmarkEnd w:id="184"/>
      <w:bookmarkEnd w:id="185"/>
      <w:bookmarkEnd w:id="186"/>
      <w:bookmarkEnd w:id="187"/>
      <w:bookmarkEnd w:id="188"/>
      <w:bookmarkEnd w:id="189"/>
      <w:bookmarkEnd w:id="190"/>
      <w:bookmarkEnd w:id="191"/>
      <w:bookmarkEnd w:id="192"/>
    </w:p>
    <w:p w:rsidR="00093024" w:rsidRPr="00C27992" w:rsidRDefault="00093024" w:rsidP="00093024">
      <w:pPr>
        <w:pStyle w:val="Prrafodelista"/>
        <w:numPr>
          <w:ilvl w:val="0"/>
          <w:numId w:val="1"/>
        </w:numPr>
        <w:spacing w:line="360" w:lineRule="auto"/>
        <w:ind w:left="0" w:firstLine="0"/>
        <w:jc w:val="both"/>
        <w:rPr>
          <w:rFonts w:ascii="Palatino Linotype" w:hAnsi="Palatino Linotype" w:cs="Arial"/>
        </w:rPr>
      </w:pPr>
      <w:r w:rsidRPr="00C27992">
        <w:rPr>
          <w:rFonts w:ascii="Palatino Linotype" w:eastAsia="MS Gothic" w:hAnsi="Palatino Linotype" w:cs="Times New Roman"/>
          <w:szCs w:val="26"/>
        </w:rPr>
        <w:t>Las disposiciones constitucionales y legales en la materia establecen los dos supuestos generales para clasificar la información: por reserva y por confidencialidad.</w:t>
      </w:r>
    </w:p>
    <w:p w:rsidR="00093024" w:rsidRPr="00C27992" w:rsidRDefault="00093024" w:rsidP="00093024">
      <w:pPr>
        <w:pStyle w:val="Prrafodelista"/>
        <w:tabs>
          <w:tab w:val="left" w:pos="142"/>
          <w:tab w:val="left" w:pos="284"/>
          <w:tab w:val="left" w:pos="426"/>
        </w:tabs>
        <w:spacing w:line="360" w:lineRule="auto"/>
        <w:ind w:left="0"/>
        <w:jc w:val="both"/>
        <w:rPr>
          <w:rFonts w:ascii="Palatino Linotype" w:hAnsi="Palatino Linotype" w:cs="Arial"/>
        </w:rPr>
      </w:pPr>
    </w:p>
    <w:p w:rsidR="00093024" w:rsidRPr="00C27992" w:rsidRDefault="00093024" w:rsidP="00093024">
      <w:pPr>
        <w:pStyle w:val="Prrafodelista"/>
        <w:numPr>
          <w:ilvl w:val="0"/>
          <w:numId w:val="1"/>
        </w:numPr>
        <w:spacing w:line="360" w:lineRule="auto"/>
        <w:ind w:left="0" w:firstLine="0"/>
        <w:jc w:val="both"/>
        <w:rPr>
          <w:rFonts w:ascii="Palatino Linotype" w:hAnsi="Palatino Linotype" w:cs="Arial"/>
        </w:rPr>
      </w:pPr>
      <w:r w:rsidRPr="00C27992">
        <w:rPr>
          <w:rFonts w:ascii="Palatino Linotype" w:eastAsia="MS Gothic" w:hAnsi="Palatino Linotype" w:cs="Times New Roman"/>
          <w:szCs w:val="26"/>
        </w:rPr>
        <w:t>Los artículos 143 y 116 de la Ley Estatal y de la Ley General, respectivamente, señalan los supuestos para que la información pueda ser clasificada como confidencial:</w:t>
      </w:r>
    </w:p>
    <w:p w:rsidR="00093024" w:rsidRPr="00C27992" w:rsidRDefault="00093024" w:rsidP="00093024">
      <w:pPr>
        <w:pStyle w:val="Prrafodelista"/>
        <w:rPr>
          <w:rFonts w:ascii="Palatino Linotype" w:hAnsi="Palatino Linotype" w:cs="Arial"/>
        </w:rPr>
      </w:pPr>
    </w:p>
    <w:p w:rsidR="00093024" w:rsidRPr="00C27992" w:rsidRDefault="00093024" w:rsidP="00093024">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C27992">
        <w:rPr>
          <w:rFonts w:ascii="Palatino Linotype" w:hAnsi="Palatino Linotype" w:cs="Bookman Old Style"/>
          <w:bCs/>
          <w:i/>
          <w:color w:val="000000"/>
        </w:rPr>
        <w:t xml:space="preserve">“I. </w:t>
      </w:r>
      <w:r w:rsidRPr="00C27992">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093024" w:rsidRPr="00C27992" w:rsidRDefault="00093024" w:rsidP="00093024">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C27992">
        <w:rPr>
          <w:rFonts w:ascii="Palatino Linotype" w:hAnsi="Palatino Linotype" w:cs="Bookman Old Style"/>
          <w:bCs/>
          <w:i/>
          <w:color w:val="000000"/>
        </w:rPr>
        <w:t xml:space="preserve">II. </w:t>
      </w:r>
      <w:r w:rsidRPr="00C27992">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w:t>
      </w:r>
      <w:r w:rsidRPr="00C27992">
        <w:rPr>
          <w:rFonts w:ascii="Palatino Linotype" w:hAnsi="Palatino Linotype" w:cs="Bookman Old Style"/>
          <w:i/>
          <w:color w:val="000000"/>
        </w:rPr>
        <w:lastRenderedPageBreak/>
        <w:t xml:space="preserve">sujetos obligados cuando no involucren el ejercicio de recursos públicos; y </w:t>
      </w:r>
    </w:p>
    <w:p w:rsidR="00093024" w:rsidRPr="00C27992" w:rsidRDefault="00093024" w:rsidP="00093024">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C27992">
        <w:rPr>
          <w:rFonts w:ascii="Palatino Linotype" w:hAnsi="Palatino Linotype" w:cs="Bookman Old Style"/>
          <w:bCs/>
          <w:i/>
          <w:color w:val="000000"/>
        </w:rPr>
        <w:t xml:space="preserve">III. </w:t>
      </w:r>
      <w:r w:rsidRPr="00C27992">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093024" w:rsidRPr="00C27992" w:rsidRDefault="00093024" w:rsidP="00093024">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C27992">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093024" w:rsidRPr="00C27992" w:rsidRDefault="00093024" w:rsidP="00093024">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rPr>
      </w:pPr>
      <w:r w:rsidRPr="00C27992">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rsidR="00093024" w:rsidRPr="00C27992" w:rsidRDefault="00093024" w:rsidP="00093024">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rPr>
      </w:pPr>
    </w:p>
    <w:p w:rsidR="00093024" w:rsidRPr="00C27992" w:rsidRDefault="00093024" w:rsidP="00093024">
      <w:pPr>
        <w:pStyle w:val="Prrafodelista"/>
        <w:numPr>
          <w:ilvl w:val="0"/>
          <w:numId w:val="1"/>
        </w:numPr>
        <w:spacing w:line="360" w:lineRule="auto"/>
        <w:ind w:left="0" w:firstLine="0"/>
        <w:jc w:val="both"/>
        <w:rPr>
          <w:rFonts w:ascii="Palatino Linotype" w:hAnsi="Palatino Linotype" w:cs="Arial"/>
        </w:rPr>
      </w:pPr>
      <w:r w:rsidRPr="00C27992">
        <w:rPr>
          <w:rFonts w:ascii="Palatino Linotype" w:eastAsia="MS Gothic" w:hAnsi="Palatino Linotype" w:cs="Times New Roman"/>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093024" w:rsidRPr="00C27992" w:rsidRDefault="00093024" w:rsidP="00093024">
      <w:pPr>
        <w:pStyle w:val="Prrafodelista"/>
        <w:numPr>
          <w:ilvl w:val="0"/>
          <w:numId w:val="1"/>
        </w:numPr>
        <w:spacing w:line="360" w:lineRule="auto"/>
        <w:ind w:left="0" w:firstLine="0"/>
        <w:jc w:val="both"/>
        <w:rPr>
          <w:rFonts w:ascii="Palatino Linotype" w:hAnsi="Palatino Linotype" w:cs="Arial"/>
        </w:rPr>
      </w:pPr>
      <w:r w:rsidRPr="00C27992">
        <w:rPr>
          <w:rFonts w:ascii="Palatino Linotype" w:eastAsia="MS Gothic" w:hAnsi="Palatino Linotype" w:cs="Times New Roman"/>
          <w:szCs w:val="26"/>
        </w:rPr>
        <w:t xml:space="preserve">Como consecuencia de lo anterior, el </w:t>
      </w:r>
      <w:r w:rsidRPr="00C27992">
        <w:rPr>
          <w:rFonts w:ascii="Palatino Linotype" w:eastAsia="MS Gothic" w:hAnsi="Palatino Linotype" w:cs="Times New Roman"/>
          <w:b/>
          <w:szCs w:val="26"/>
        </w:rPr>
        <w:t>SUJETO OBLIGADO</w:t>
      </w:r>
      <w:r w:rsidRPr="00C27992">
        <w:rPr>
          <w:rFonts w:ascii="Palatino Linotype" w:eastAsia="MS Gothic" w:hAnsi="Palatino Linotype" w:cs="Times New Roman"/>
          <w:szCs w:val="26"/>
        </w:rPr>
        <w:t xml:space="preserve"> debe identificar claramente el tipo de información y hacer un juicio de subsunción o encaje</w:t>
      </w:r>
      <w:r w:rsidRPr="00C27992">
        <w:rPr>
          <w:rFonts w:ascii="Palatino Linotype" w:eastAsia="MS Gothic" w:hAnsi="Palatino Linotype" w:cs="Times New Roman"/>
          <w:szCs w:val="26"/>
          <w:vertAlign w:val="superscript"/>
        </w:rPr>
        <w:footnoteReference w:id="12"/>
      </w:r>
      <w:r w:rsidRPr="00C27992">
        <w:rPr>
          <w:rFonts w:ascii="Palatino Linotype" w:eastAsia="MS Gothic" w:hAnsi="Palatino Linotype" w:cs="Times New Roman"/>
          <w:szCs w:val="26"/>
        </w:rPr>
        <w:t xml:space="preserve"> para </w:t>
      </w:r>
      <w:r w:rsidRPr="00C27992">
        <w:rPr>
          <w:rFonts w:ascii="Palatino Linotype" w:eastAsia="MS Gothic" w:hAnsi="Palatino Linotype" w:cs="Times New Roman"/>
          <w:szCs w:val="26"/>
        </w:rPr>
        <w:lastRenderedPageBreak/>
        <w:t>acreditar que el supuesto de hecho corresponde estrictamente con la hipótesis jurídica. Esto también lo debe de realizar el servidor público habilitado y el titular del área que administra la información.</w:t>
      </w:r>
    </w:p>
    <w:p w:rsidR="00093024" w:rsidRPr="00C27992" w:rsidRDefault="00093024" w:rsidP="00093024">
      <w:pPr>
        <w:pStyle w:val="Prrafodelista"/>
        <w:rPr>
          <w:rFonts w:ascii="Palatino Linotype" w:hAnsi="Palatino Linotype" w:cs="Arial"/>
        </w:rPr>
      </w:pPr>
    </w:p>
    <w:p w:rsidR="00093024" w:rsidRPr="00C27992" w:rsidRDefault="00093024" w:rsidP="00093024">
      <w:pPr>
        <w:pStyle w:val="Prrafodelista"/>
        <w:numPr>
          <w:ilvl w:val="0"/>
          <w:numId w:val="1"/>
        </w:numPr>
        <w:spacing w:line="360" w:lineRule="auto"/>
        <w:ind w:left="0" w:firstLine="0"/>
        <w:jc w:val="both"/>
        <w:rPr>
          <w:rFonts w:ascii="Palatino Linotype" w:hAnsi="Palatino Linotype" w:cs="Arial"/>
        </w:rPr>
      </w:pPr>
      <w:r w:rsidRPr="00C27992">
        <w:rPr>
          <w:rFonts w:ascii="Palatino Linotype" w:eastAsia="MS Gothic" w:hAnsi="Palatino Linotype" w:cs="Times New Roman"/>
          <w:szCs w:val="26"/>
        </w:rPr>
        <w:t xml:space="preserve"> Al respecto, los Lineamientos Generales en Materia de Clasificación y Desclasificación de la Información, así Como para la Elaboración de Versiones Públicas, por cuanto hace a la clasificación de la información, señalan lo siguiente:</w:t>
      </w:r>
    </w:p>
    <w:p w:rsidR="00093024" w:rsidRPr="00C27992" w:rsidRDefault="00093024" w:rsidP="00093024">
      <w:pPr>
        <w:pStyle w:val="Prrafodelista"/>
        <w:rPr>
          <w:rFonts w:ascii="Palatino Linotype" w:hAnsi="Palatino Linotype" w:cs="Arial"/>
        </w:rPr>
      </w:pPr>
    </w:p>
    <w:p w:rsidR="00093024" w:rsidRPr="00C27992" w:rsidRDefault="00093024" w:rsidP="00093024">
      <w:pPr>
        <w:pStyle w:val="Prrafodelista"/>
        <w:tabs>
          <w:tab w:val="left" w:pos="142"/>
          <w:tab w:val="left" w:pos="284"/>
          <w:tab w:val="left" w:pos="426"/>
        </w:tabs>
        <w:spacing w:line="276" w:lineRule="auto"/>
        <w:ind w:left="567" w:right="567"/>
        <w:jc w:val="both"/>
        <w:rPr>
          <w:rFonts w:ascii="Palatino Linotype" w:hAnsi="Palatino Linotype" w:cs="Arial"/>
          <w:i/>
        </w:rPr>
      </w:pPr>
      <w:r w:rsidRPr="00C27992">
        <w:rPr>
          <w:rFonts w:ascii="Palatino Linotype" w:hAnsi="Palatino Linotype" w:cs="Arial"/>
          <w:i/>
        </w:rPr>
        <w:t>“</w:t>
      </w:r>
      <w:r w:rsidRPr="00C27992">
        <w:rPr>
          <w:rFonts w:ascii="Palatino Linotype" w:hAnsi="Palatino Linotype" w:cs="Arial"/>
          <w:b/>
          <w:i/>
        </w:rPr>
        <w:t>Quincuagésimo.</w:t>
      </w:r>
      <w:r w:rsidRPr="00C27992">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093024" w:rsidRPr="00C27992" w:rsidRDefault="00093024" w:rsidP="00093024">
      <w:pPr>
        <w:pStyle w:val="Prrafodelista"/>
        <w:tabs>
          <w:tab w:val="left" w:pos="142"/>
          <w:tab w:val="left" w:pos="284"/>
          <w:tab w:val="left" w:pos="426"/>
        </w:tabs>
        <w:spacing w:line="276" w:lineRule="auto"/>
        <w:ind w:left="567" w:right="567"/>
        <w:jc w:val="both"/>
        <w:rPr>
          <w:rFonts w:ascii="Palatino Linotype" w:hAnsi="Palatino Linotype" w:cs="Arial"/>
          <w:i/>
        </w:rPr>
      </w:pPr>
    </w:p>
    <w:p w:rsidR="00093024" w:rsidRPr="00C27992" w:rsidRDefault="00093024" w:rsidP="00093024">
      <w:pPr>
        <w:pStyle w:val="Prrafodelista"/>
        <w:tabs>
          <w:tab w:val="left" w:pos="142"/>
          <w:tab w:val="left" w:pos="284"/>
          <w:tab w:val="left" w:pos="426"/>
        </w:tabs>
        <w:spacing w:line="276" w:lineRule="auto"/>
        <w:ind w:left="567" w:right="567"/>
        <w:jc w:val="both"/>
        <w:rPr>
          <w:rFonts w:ascii="Palatino Linotype" w:hAnsi="Palatino Linotype" w:cs="Arial"/>
          <w:i/>
        </w:rPr>
      </w:pPr>
      <w:r w:rsidRPr="00C27992">
        <w:rPr>
          <w:rFonts w:ascii="Palatino Linotype" w:hAnsi="Palatino Linotype" w:cs="Arial"/>
          <w:b/>
          <w:i/>
        </w:rPr>
        <w:t>Quincuagésimo primero.</w:t>
      </w:r>
      <w:r w:rsidRPr="00C27992">
        <w:rPr>
          <w:rFonts w:ascii="Palatino Linotype" w:hAnsi="Palatino Linotype" w:cs="Arial"/>
          <w:i/>
        </w:rPr>
        <w:t xml:space="preserve"> La leyenda en los documentos clasificados indicará:</w:t>
      </w:r>
    </w:p>
    <w:p w:rsidR="00093024" w:rsidRPr="00C27992" w:rsidRDefault="00093024" w:rsidP="00093024">
      <w:pPr>
        <w:pStyle w:val="Prrafodelista"/>
        <w:tabs>
          <w:tab w:val="left" w:pos="142"/>
          <w:tab w:val="left" w:pos="284"/>
          <w:tab w:val="left" w:pos="426"/>
        </w:tabs>
        <w:spacing w:line="276" w:lineRule="auto"/>
        <w:ind w:left="567" w:right="567"/>
        <w:jc w:val="both"/>
        <w:rPr>
          <w:rFonts w:ascii="Palatino Linotype" w:hAnsi="Palatino Linotype" w:cs="Arial"/>
          <w:i/>
        </w:rPr>
      </w:pPr>
      <w:r w:rsidRPr="00C27992">
        <w:rPr>
          <w:rFonts w:ascii="Palatino Linotype" w:hAnsi="Palatino Linotype" w:cs="Arial"/>
          <w:i/>
        </w:rPr>
        <w:t>I. La fecha de sesión del Comité de Transparencia en donde se confirmó la clasificación, en su caso;</w:t>
      </w:r>
    </w:p>
    <w:p w:rsidR="00093024" w:rsidRPr="00C27992" w:rsidRDefault="00093024" w:rsidP="00093024">
      <w:pPr>
        <w:pStyle w:val="Prrafodelista"/>
        <w:tabs>
          <w:tab w:val="left" w:pos="142"/>
          <w:tab w:val="left" w:pos="284"/>
          <w:tab w:val="left" w:pos="426"/>
        </w:tabs>
        <w:spacing w:line="276" w:lineRule="auto"/>
        <w:ind w:left="567" w:right="567"/>
        <w:jc w:val="both"/>
        <w:rPr>
          <w:rFonts w:ascii="Palatino Linotype" w:hAnsi="Palatino Linotype" w:cs="Arial"/>
          <w:i/>
        </w:rPr>
      </w:pPr>
      <w:r w:rsidRPr="00C27992">
        <w:rPr>
          <w:rFonts w:ascii="Palatino Linotype" w:hAnsi="Palatino Linotype" w:cs="Arial"/>
          <w:i/>
        </w:rPr>
        <w:t>II. El nombre del área;</w:t>
      </w:r>
    </w:p>
    <w:p w:rsidR="00093024" w:rsidRPr="00C27992" w:rsidRDefault="00093024" w:rsidP="00093024">
      <w:pPr>
        <w:pStyle w:val="Prrafodelista"/>
        <w:tabs>
          <w:tab w:val="left" w:pos="142"/>
          <w:tab w:val="left" w:pos="284"/>
          <w:tab w:val="left" w:pos="426"/>
        </w:tabs>
        <w:spacing w:line="276" w:lineRule="auto"/>
        <w:ind w:left="567" w:right="567"/>
        <w:jc w:val="both"/>
        <w:rPr>
          <w:rFonts w:ascii="Palatino Linotype" w:hAnsi="Palatino Linotype" w:cs="Arial"/>
          <w:i/>
        </w:rPr>
      </w:pPr>
      <w:r w:rsidRPr="00C27992">
        <w:rPr>
          <w:rFonts w:ascii="Palatino Linotype" w:hAnsi="Palatino Linotype" w:cs="Arial"/>
          <w:i/>
        </w:rPr>
        <w:t>III. La palabra reservado o confidencial;</w:t>
      </w:r>
    </w:p>
    <w:p w:rsidR="00093024" w:rsidRPr="00C27992" w:rsidRDefault="00093024" w:rsidP="00093024">
      <w:pPr>
        <w:pStyle w:val="Prrafodelista"/>
        <w:tabs>
          <w:tab w:val="left" w:pos="142"/>
          <w:tab w:val="left" w:pos="284"/>
          <w:tab w:val="left" w:pos="426"/>
        </w:tabs>
        <w:spacing w:line="276" w:lineRule="auto"/>
        <w:ind w:left="567" w:right="567"/>
        <w:jc w:val="both"/>
        <w:rPr>
          <w:rFonts w:ascii="Palatino Linotype" w:hAnsi="Palatino Linotype" w:cs="Arial"/>
          <w:i/>
        </w:rPr>
      </w:pPr>
      <w:r w:rsidRPr="00C27992">
        <w:rPr>
          <w:rFonts w:ascii="Palatino Linotype" w:hAnsi="Palatino Linotype" w:cs="Arial"/>
          <w:i/>
        </w:rPr>
        <w:t>IV. Las partes o secciones reservadas o confidenciales, en su caso;</w:t>
      </w:r>
    </w:p>
    <w:p w:rsidR="00093024" w:rsidRPr="00C27992" w:rsidRDefault="00093024" w:rsidP="00093024">
      <w:pPr>
        <w:pStyle w:val="Prrafodelista"/>
        <w:tabs>
          <w:tab w:val="left" w:pos="142"/>
          <w:tab w:val="left" w:pos="284"/>
          <w:tab w:val="left" w:pos="426"/>
        </w:tabs>
        <w:spacing w:line="276" w:lineRule="auto"/>
        <w:ind w:left="567" w:right="567"/>
        <w:jc w:val="both"/>
        <w:rPr>
          <w:rFonts w:ascii="Palatino Linotype" w:hAnsi="Palatino Linotype" w:cs="Arial"/>
          <w:i/>
        </w:rPr>
      </w:pPr>
      <w:r w:rsidRPr="00C27992">
        <w:rPr>
          <w:rFonts w:ascii="Palatino Linotype" w:hAnsi="Palatino Linotype" w:cs="Arial"/>
          <w:i/>
        </w:rPr>
        <w:t>V. El fundamento legal;</w:t>
      </w:r>
    </w:p>
    <w:p w:rsidR="00093024" w:rsidRPr="00C27992" w:rsidRDefault="00093024" w:rsidP="00093024">
      <w:pPr>
        <w:pStyle w:val="Prrafodelista"/>
        <w:tabs>
          <w:tab w:val="left" w:pos="142"/>
          <w:tab w:val="left" w:pos="284"/>
          <w:tab w:val="left" w:pos="426"/>
        </w:tabs>
        <w:spacing w:line="276" w:lineRule="auto"/>
        <w:ind w:left="567" w:right="567"/>
        <w:jc w:val="both"/>
        <w:rPr>
          <w:rFonts w:ascii="Palatino Linotype" w:hAnsi="Palatino Linotype" w:cs="Arial"/>
          <w:i/>
        </w:rPr>
      </w:pPr>
      <w:r w:rsidRPr="00C27992">
        <w:rPr>
          <w:rFonts w:ascii="Palatino Linotype" w:hAnsi="Palatino Linotype" w:cs="Arial"/>
          <w:i/>
        </w:rPr>
        <w:t>VI. El periodo de reserva, y</w:t>
      </w:r>
    </w:p>
    <w:p w:rsidR="00093024" w:rsidRPr="00C27992" w:rsidRDefault="00093024" w:rsidP="00093024">
      <w:pPr>
        <w:pStyle w:val="Prrafodelista"/>
        <w:tabs>
          <w:tab w:val="left" w:pos="142"/>
          <w:tab w:val="left" w:pos="284"/>
          <w:tab w:val="left" w:pos="426"/>
        </w:tabs>
        <w:spacing w:line="276" w:lineRule="auto"/>
        <w:ind w:left="567" w:right="567"/>
        <w:jc w:val="both"/>
        <w:rPr>
          <w:rFonts w:ascii="Palatino Linotype" w:hAnsi="Palatino Linotype" w:cs="Arial"/>
          <w:i/>
        </w:rPr>
      </w:pPr>
      <w:r w:rsidRPr="00C27992">
        <w:rPr>
          <w:rFonts w:ascii="Palatino Linotype" w:hAnsi="Palatino Linotype" w:cs="Arial"/>
          <w:i/>
        </w:rPr>
        <w:t>VII. La rúbrica del titular del área.</w:t>
      </w:r>
    </w:p>
    <w:p w:rsidR="00093024" w:rsidRPr="00C27992" w:rsidRDefault="00093024" w:rsidP="00093024">
      <w:pPr>
        <w:pStyle w:val="Prrafodelista"/>
        <w:tabs>
          <w:tab w:val="left" w:pos="142"/>
          <w:tab w:val="left" w:pos="284"/>
          <w:tab w:val="left" w:pos="426"/>
        </w:tabs>
        <w:spacing w:line="276" w:lineRule="auto"/>
        <w:ind w:left="567" w:right="567"/>
        <w:jc w:val="both"/>
        <w:rPr>
          <w:rFonts w:ascii="Palatino Linotype" w:hAnsi="Palatino Linotype" w:cs="Arial"/>
          <w:i/>
        </w:rPr>
      </w:pPr>
    </w:p>
    <w:p w:rsidR="00093024" w:rsidRPr="00C27992" w:rsidRDefault="00093024" w:rsidP="00093024">
      <w:pPr>
        <w:pStyle w:val="Prrafodelista"/>
        <w:tabs>
          <w:tab w:val="left" w:pos="142"/>
          <w:tab w:val="left" w:pos="284"/>
          <w:tab w:val="left" w:pos="426"/>
        </w:tabs>
        <w:spacing w:line="276" w:lineRule="auto"/>
        <w:ind w:left="567" w:right="567"/>
        <w:jc w:val="both"/>
        <w:rPr>
          <w:rFonts w:ascii="Palatino Linotype" w:hAnsi="Palatino Linotype" w:cs="Arial"/>
          <w:i/>
        </w:rPr>
      </w:pPr>
      <w:r w:rsidRPr="00C27992">
        <w:rPr>
          <w:rFonts w:ascii="Palatino Linotype" w:hAnsi="Palatino Linotype" w:cs="Arial"/>
          <w:b/>
          <w:i/>
        </w:rPr>
        <w:t>Quincuagésimo segundo.</w:t>
      </w:r>
      <w:r w:rsidRPr="00C27992">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093024" w:rsidRPr="00C27992" w:rsidRDefault="00093024" w:rsidP="00093024">
      <w:pPr>
        <w:pStyle w:val="Prrafodelista"/>
        <w:tabs>
          <w:tab w:val="left" w:pos="142"/>
          <w:tab w:val="left" w:pos="284"/>
          <w:tab w:val="left" w:pos="426"/>
        </w:tabs>
        <w:spacing w:line="276" w:lineRule="auto"/>
        <w:ind w:left="567" w:right="567"/>
        <w:jc w:val="both"/>
        <w:rPr>
          <w:rFonts w:ascii="Palatino Linotype" w:hAnsi="Palatino Linotype" w:cs="Arial"/>
          <w:i/>
        </w:rPr>
      </w:pPr>
      <w:r w:rsidRPr="00C27992">
        <w:rPr>
          <w:rFonts w:ascii="Palatino Linotype" w:hAnsi="Palatino Linotype" w:cs="Arial"/>
          <w:i/>
        </w:rPr>
        <w:t xml:space="preserve">En caso de que las condiciones del documento no permitan la inserción completa de la leyenda de clasificación, los sujetos obligados deberán señalar con números </w:t>
      </w:r>
      <w:r w:rsidRPr="00C27992">
        <w:rPr>
          <w:rFonts w:ascii="Palatino Linotype" w:hAnsi="Palatino Linotype" w:cs="Arial"/>
          <w:i/>
        </w:rPr>
        <w:lastRenderedPageBreak/>
        <w:t>o letras las partes testadas para que, en una hoja anexa, se desglose la referida leyenda con las acotaciones realizadas.</w:t>
      </w:r>
    </w:p>
    <w:p w:rsidR="00093024" w:rsidRPr="00C27992" w:rsidRDefault="00093024" w:rsidP="00093024">
      <w:pPr>
        <w:pStyle w:val="Prrafodelista"/>
        <w:tabs>
          <w:tab w:val="left" w:pos="142"/>
          <w:tab w:val="left" w:pos="284"/>
          <w:tab w:val="left" w:pos="426"/>
        </w:tabs>
        <w:spacing w:line="276" w:lineRule="auto"/>
        <w:ind w:left="567" w:right="567"/>
        <w:jc w:val="both"/>
        <w:rPr>
          <w:rFonts w:ascii="Palatino Linotype" w:hAnsi="Palatino Linotype" w:cs="Arial"/>
          <w:i/>
        </w:rPr>
      </w:pPr>
      <w:r w:rsidRPr="00C27992">
        <w:rPr>
          <w:rFonts w:ascii="Palatino Linotype" w:hAnsi="Palatino Linotype" w:cs="Arial"/>
          <w:b/>
          <w:i/>
        </w:rPr>
        <w:t>Quincuagésimo tercero.</w:t>
      </w:r>
      <w:r w:rsidRPr="00C27992">
        <w:rPr>
          <w:rFonts w:ascii="Palatino Linotype" w:hAnsi="Palatino Linotype" w:cs="Arial"/>
          <w:i/>
        </w:rPr>
        <w:t xml:space="preserve"> El formato para señalar la clasificación parcial de un documento, es el siguiente:</w:t>
      </w:r>
    </w:p>
    <w:p w:rsidR="00093024" w:rsidRPr="00C27992" w:rsidRDefault="00093024" w:rsidP="00093024">
      <w:pPr>
        <w:pStyle w:val="Prrafodelista"/>
        <w:tabs>
          <w:tab w:val="left" w:pos="142"/>
          <w:tab w:val="left" w:pos="284"/>
          <w:tab w:val="left" w:pos="426"/>
        </w:tabs>
        <w:spacing w:line="360" w:lineRule="auto"/>
        <w:ind w:left="0"/>
        <w:jc w:val="center"/>
        <w:rPr>
          <w:rFonts w:ascii="Palatino Linotype" w:hAnsi="Palatino Linotype" w:cs="Arial"/>
        </w:rPr>
      </w:pPr>
      <w:r w:rsidRPr="00C27992">
        <w:rPr>
          <w:rFonts w:ascii="Palatino Linotype" w:hAnsi="Palatino Linotype" w:cs="Arial"/>
          <w:i/>
          <w:noProof/>
          <w:lang w:val="es-MX" w:eastAsia="es-MX"/>
        </w:rPr>
        <w:drawing>
          <wp:inline distT="0" distB="0" distL="0" distR="0" wp14:anchorId="3D4EDD98" wp14:editId="1597DADA">
            <wp:extent cx="4264925" cy="3302758"/>
            <wp:effectExtent l="57150" t="57150" r="116840" b="10731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88172" cy="324332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093024" w:rsidRPr="00C27992" w:rsidRDefault="00093024" w:rsidP="00093024">
      <w:pPr>
        <w:pStyle w:val="Prrafodelista"/>
        <w:tabs>
          <w:tab w:val="left" w:pos="142"/>
          <w:tab w:val="left" w:pos="284"/>
          <w:tab w:val="left" w:pos="426"/>
        </w:tabs>
        <w:spacing w:line="360" w:lineRule="auto"/>
        <w:ind w:left="0"/>
        <w:jc w:val="both"/>
        <w:rPr>
          <w:rFonts w:ascii="Palatino Linotype" w:hAnsi="Palatino Linotype" w:cs="Arial"/>
        </w:rPr>
      </w:pPr>
    </w:p>
    <w:p w:rsidR="00093024" w:rsidRPr="00C27992" w:rsidRDefault="00093024" w:rsidP="00093024">
      <w:pPr>
        <w:pStyle w:val="Prrafodelista"/>
        <w:numPr>
          <w:ilvl w:val="0"/>
          <w:numId w:val="1"/>
        </w:numPr>
        <w:spacing w:line="360" w:lineRule="auto"/>
        <w:ind w:left="0" w:firstLine="0"/>
        <w:jc w:val="both"/>
        <w:rPr>
          <w:rFonts w:ascii="Palatino Linotype" w:hAnsi="Palatino Linotype" w:cs="Arial"/>
        </w:rPr>
      </w:pPr>
      <w:r w:rsidRPr="00C27992">
        <w:rPr>
          <w:rFonts w:ascii="Palatino Linotype" w:eastAsia="MS Gothic" w:hAnsi="Palatino Linotype" w:cs="Times New Roman"/>
          <w:szCs w:val="26"/>
        </w:rPr>
        <w:t>Una vez hecho lo anterior, se remite la información al Titular de la Unidad de Transparencia, con el acuerdo de clasificación correspondiente, para que sea sometido al conocimiento del Comité de Transparencia.</w:t>
      </w:r>
    </w:p>
    <w:p w:rsidR="00093024" w:rsidRPr="00C27992" w:rsidRDefault="00093024" w:rsidP="00093024">
      <w:pPr>
        <w:pStyle w:val="Prrafodelista"/>
        <w:tabs>
          <w:tab w:val="left" w:pos="142"/>
          <w:tab w:val="left" w:pos="284"/>
          <w:tab w:val="left" w:pos="426"/>
        </w:tabs>
        <w:spacing w:after="160" w:line="360" w:lineRule="auto"/>
        <w:ind w:left="0"/>
        <w:jc w:val="both"/>
        <w:rPr>
          <w:rFonts w:ascii="Palatino Linotype" w:hAnsi="Palatino Linotype" w:cs="Arial"/>
        </w:rPr>
      </w:pPr>
    </w:p>
    <w:p w:rsidR="00093024" w:rsidRPr="00C27992" w:rsidRDefault="00093024" w:rsidP="00093024">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193" w:name="_Toc51863317"/>
      <w:bookmarkStart w:id="194" w:name="_Toc52444651"/>
      <w:bookmarkStart w:id="195" w:name="_Toc57154370"/>
      <w:bookmarkStart w:id="196" w:name="_Toc65170176"/>
      <w:bookmarkStart w:id="197" w:name="_Toc66371802"/>
      <w:bookmarkStart w:id="198" w:name="_Toc67584837"/>
      <w:bookmarkStart w:id="199" w:name="_Toc70070913"/>
      <w:bookmarkStart w:id="200" w:name="_Toc70593360"/>
      <w:bookmarkStart w:id="201" w:name="_Toc71290719"/>
      <w:bookmarkStart w:id="202" w:name="_Toc71291225"/>
      <w:bookmarkStart w:id="203" w:name="_Toc71674124"/>
      <w:bookmarkStart w:id="204" w:name="_Toc83128593"/>
      <w:r w:rsidRPr="00C27992">
        <w:rPr>
          <w:rFonts w:ascii="Palatino Linotype" w:hAnsi="Palatino Linotype" w:cs="Arial"/>
          <w:b/>
        </w:rPr>
        <w:t>III. La intervención del Comité de Transparencia.</w:t>
      </w:r>
      <w:bookmarkEnd w:id="193"/>
      <w:bookmarkEnd w:id="194"/>
      <w:bookmarkEnd w:id="195"/>
      <w:bookmarkEnd w:id="196"/>
      <w:bookmarkEnd w:id="197"/>
      <w:bookmarkEnd w:id="198"/>
      <w:bookmarkEnd w:id="199"/>
      <w:bookmarkEnd w:id="200"/>
      <w:bookmarkEnd w:id="201"/>
      <w:bookmarkEnd w:id="202"/>
      <w:bookmarkEnd w:id="203"/>
      <w:bookmarkEnd w:id="204"/>
    </w:p>
    <w:p w:rsidR="00093024" w:rsidRPr="00C27992" w:rsidRDefault="00093024" w:rsidP="00093024">
      <w:pPr>
        <w:pStyle w:val="Prrafodelista"/>
        <w:tabs>
          <w:tab w:val="left" w:pos="142"/>
          <w:tab w:val="left" w:pos="284"/>
          <w:tab w:val="left" w:pos="426"/>
        </w:tabs>
        <w:spacing w:line="360" w:lineRule="auto"/>
        <w:ind w:left="0"/>
        <w:jc w:val="both"/>
        <w:rPr>
          <w:rFonts w:ascii="Palatino Linotype" w:hAnsi="Palatino Linotype" w:cs="Arial"/>
          <w:b/>
        </w:rPr>
      </w:pPr>
      <w:r w:rsidRPr="00C27992">
        <w:rPr>
          <w:rFonts w:ascii="Palatino Linotype" w:hAnsi="Palatino Linotype" w:cs="Arial"/>
          <w:b/>
        </w:rPr>
        <w:t>a) Formalidades para emitir el Acuerdo de Clasificación.</w:t>
      </w:r>
    </w:p>
    <w:p w:rsidR="00093024" w:rsidRPr="00C27992" w:rsidRDefault="00093024" w:rsidP="00093024">
      <w:pPr>
        <w:pStyle w:val="Prrafodelista"/>
        <w:numPr>
          <w:ilvl w:val="0"/>
          <w:numId w:val="1"/>
        </w:numPr>
        <w:spacing w:line="360" w:lineRule="auto"/>
        <w:ind w:left="0" w:firstLine="0"/>
        <w:jc w:val="both"/>
        <w:rPr>
          <w:rFonts w:ascii="Palatino Linotype" w:hAnsi="Palatino Linotype" w:cs="Arial"/>
        </w:rPr>
      </w:pPr>
      <w:r w:rsidRPr="00C27992">
        <w:rPr>
          <w:rFonts w:ascii="Palatino Linotype" w:eastAsia="MS Gothic" w:hAnsi="Palatino Linotype" w:cs="Times New Roman"/>
          <w:szCs w:val="26"/>
        </w:rPr>
        <w:t xml:space="preserve">El Comité de Transparencia, según lo dispuesto en los artículos 128 y 103 de la Ley Estatal y de la Ley General, respectivamente, y la fracción III del numeral </w:t>
      </w:r>
      <w:r w:rsidRPr="00C27992">
        <w:rPr>
          <w:rFonts w:ascii="Palatino Linotype" w:eastAsia="MS Gothic" w:hAnsi="Palatino Linotype" w:cs="Times New Roman"/>
          <w:szCs w:val="26"/>
        </w:rPr>
        <w:lastRenderedPageBreak/>
        <w:t xml:space="preserve">Segundo de los Lineamientos generales en materia de clasificación y desclasificación de la información, así como para la elaboración de versiones públicas, en adelante los Lineamientos Generales, cuenta con las facultades para </w:t>
      </w:r>
      <w:r w:rsidRPr="00C27992">
        <w:rPr>
          <w:rFonts w:ascii="Palatino Linotype" w:eastAsia="MS Gothic" w:hAnsi="Palatino Linotype" w:cs="Times New Roman"/>
          <w:b/>
          <w:szCs w:val="26"/>
          <w:u w:val="single"/>
        </w:rPr>
        <w:t>confirmar, modificar o revocar</w:t>
      </w:r>
      <w:r w:rsidRPr="00C27992">
        <w:rPr>
          <w:rFonts w:ascii="Palatino Linotype" w:eastAsia="MS Gothic" w:hAnsi="Palatino Linotype" w:cs="Times New Roman"/>
          <w:szCs w:val="26"/>
        </w:rPr>
        <w:t xml:space="preserve"> la clasificación de la información que ha hecho el titular del área que administra la información. Por lo tanto, el Comité </w:t>
      </w:r>
      <w:r w:rsidRPr="00C27992">
        <w:rPr>
          <w:rFonts w:ascii="Palatino Linotype" w:eastAsia="MS Gothic" w:hAnsi="Palatino Linotype" w:cs="Times New Roman"/>
          <w:b/>
          <w:szCs w:val="26"/>
          <w:u w:val="single"/>
        </w:rPr>
        <w:t>no aprueba</w:t>
      </w:r>
      <w:r w:rsidRPr="00C27992">
        <w:rPr>
          <w:rFonts w:ascii="Palatino Linotype" w:eastAsia="MS Gothic" w:hAnsi="Palatino Linotype" w:cs="Times New Roman"/>
          <w:szCs w:val="26"/>
        </w:rPr>
        <w:t xml:space="preserve"> la clasificación, sino que revisa lo que ha hecho el titular del área y confirma, modifica o revoca la decisión a través de un acuerdo.</w:t>
      </w:r>
    </w:p>
    <w:p w:rsidR="00093024" w:rsidRPr="00C27992" w:rsidRDefault="00093024" w:rsidP="00093024">
      <w:pPr>
        <w:pStyle w:val="Prrafodelista"/>
        <w:tabs>
          <w:tab w:val="left" w:pos="142"/>
          <w:tab w:val="left" w:pos="284"/>
          <w:tab w:val="left" w:pos="426"/>
        </w:tabs>
        <w:spacing w:line="360" w:lineRule="auto"/>
        <w:ind w:left="0"/>
        <w:jc w:val="both"/>
        <w:rPr>
          <w:rFonts w:ascii="Palatino Linotype" w:hAnsi="Palatino Linotype" w:cs="Arial"/>
        </w:rPr>
      </w:pPr>
    </w:p>
    <w:p w:rsidR="00093024" w:rsidRPr="00C27992" w:rsidRDefault="00093024" w:rsidP="00093024">
      <w:pPr>
        <w:pStyle w:val="Prrafodelista"/>
        <w:numPr>
          <w:ilvl w:val="0"/>
          <w:numId w:val="1"/>
        </w:numPr>
        <w:spacing w:line="360" w:lineRule="auto"/>
        <w:ind w:left="0" w:firstLine="0"/>
        <w:jc w:val="both"/>
        <w:rPr>
          <w:rFonts w:ascii="Palatino Linotype" w:hAnsi="Palatino Linotype" w:cs="Arial"/>
        </w:rPr>
      </w:pPr>
      <w:r w:rsidRPr="00C27992">
        <w:rPr>
          <w:rFonts w:ascii="Palatino Linotype" w:eastAsia="MS Gothic" w:hAnsi="Palatino Linotype" w:cs="Times New Roman"/>
          <w:szCs w:val="26"/>
        </w:rPr>
        <w:t xml:space="preserve">Evidentemente, esta decisión implica una restricción a un derecho humano, por lo tanto, puede generar un agravio al particular y, en consecuencia, es necesario que </w:t>
      </w:r>
      <w:r w:rsidRPr="00C27992">
        <w:rPr>
          <w:rFonts w:ascii="Palatino Linotype" w:eastAsia="MS Gothic" w:hAnsi="Palatino Linotype" w:cs="Times New Roman"/>
          <w:b/>
          <w:szCs w:val="26"/>
          <w:u w:val="single"/>
        </w:rPr>
        <w:t>el acto reúna con los requisitos elementales</w:t>
      </w:r>
      <w:r w:rsidRPr="00C27992">
        <w:rPr>
          <w:rFonts w:ascii="Palatino Linotype" w:eastAsia="MS Gothic" w:hAnsi="Palatino Linotype" w:cs="Times New Roman"/>
          <w:szCs w:val="26"/>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093024" w:rsidRPr="00C27992" w:rsidRDefault="00093024" w:rsidP="00093024">
      <w:pPr>
        <w:pStyle w:val="Prrafodelista"/>
        <w:rPr>
          <w:rFonts w:ascii="Palatino Linotype" w:hAnsi="Palatino Linotype" w:cs="Arial"/>
        </w:rPr>
      </w:pPr>
    </w:p>
    <w:p w:rsidR="00093024" w:rsidRPr="00C27992" w:rsidRDefault="00093024" w:rsidP="00093024">
      <w:pPr>
        <w:pStyle w:val="Prrafodelista"/>
        <w:numPr>
          <w:ilvl w:val="0"/>
          <w:numId w:val="1"/>
        </w:numPr>
        <w:spacing w:line="360" w:lineRule="auto"/>
        <w:ind w:left="0" w:firstLine="0"/>
        <w:jc w:val="both"/>
        <w:rPr>
          <w:rFonts w:ascii="Palatino Linotype" w:hAnsi="Palatino Linotype" w:cs="Arial"/>
        </w:rPr>
      </w:pPr>
      <w:r w:rsidRPr="00C27992">
        <w:rPr>
          <w:rFonts w:ascii="Palatino Linotype" w:eastAsia="MS Gothic" w:hAnsi="Palatino Linotype" w:cs="Times New Roman"/>
          <w:szCs w:val="26"/>
        </w:rPr>
        <w:t xml:space="preserve">La decisión de confirmar, modificar o revocar la clasificación deberá de asentarse en un documento que registre la determinación a la que se llegue después de un análisis minucioso a partir de lo aprobado por el Titular del área que </w:t>
      </w:r>
      <w:r w:rsidRPr="00C27992">
        <w:rPr>
          <w:rFonts w:ascii="Palatino Linotype" w:eastAsia="MS Gothic" w:hAnsi="Palatino Linotype" w:cs="Times New Roman"/>
          <w:szCs w:val="26"/>
        </w:rPr>
        <w:lastRenderedPageBreak/>
        <w:t>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093024" w:rsidRPr="00C27992" w:rsidRDefault="00093024" w:rsidP="00093024">
      <w:pPr>
        <w:pStyle w:val="Prrafodelista"/>
        <w:tabs>
          <w:tab w:val="left" w:pos="142"/>
          <w:tab w:val="left" w:pos="284"/>
          <w:tab w:val="left" w:pos="426"/>
        </w:tabs>
        <w:spacing w:line="360" w:lineRule="auto"/>
        <w:ind w:left="0"/>
        <w:jc w:val="both"/>
        <w:rPr>
          <w:rFonts w:ascii="Palatino Linotype" w:hAnsi="Palatino Linotype" w:cs="Arial"/>
        </w:rPr>
      </w:pPr>
    </w:p>
    <w:p w:rsidR="00093024" w:rsidRPr="00C27992" w:rsidRDefault="00093024" w:rsidP="00093024">
      <w:pPr>
        <w:pStyle w:val="Prrafodelista"/>
        <w:numPr>
          <w:ilvl w:val="0"/>
          <w:numId w:val="14"/>
        </w:numPr>
        <w:tabs>
          <w:tab w:val="left" w:pos="142"/>
          <w:tab w:val="left" w:pos="284"/>
          <w:tab w:val="left" w:pos="426"/>
        </w:tabs>
        <w:spacing w:line="360" w:lineRule="auto"/>
        <w:jc w:val="both"/>
        <w:rPr>
          <w:rFonts w:ascii="Palatino Linotype" w:hAnsi="Palatino Linotype" w:cs="Arial"/>
          <w:b/>
        </w:rPr>
      </w:pPr>
      <w:r w:rsidRPr="00C27992">
        <w:rPr>
          <w:rFonts w:ascii="Palatino Linotype" w:hAnsi="Palatino Linotype" w:cs="Arial"/>
          <w:b/>
        </w:rPr>
        <w:t>Requisitos de fondo del Acuerdo de Clasificación.</w:t>
      </w:r>
    </w:p>
    <w:p w:rsidR="00093024" w:rsidRPr="00C27992" w:rsidRDefault="00093024" w:rsidP="00093024">
      <w:pPr>
        <w:pStyle w:val="Prrafodelista"/>
        <w:numPr>
          <w:ilvl w:val="0"/>
          <w:numId w:val="1"/>
        </w:numPr>
        <w:spacing w:line="360" w:lineRule="auto"/>
        <w:ind w:left="0" w:firstLine="0"/>
        <w:jc w:val="both"/>
        <w:rPr>
          <w:rFonts w:ascii="Palatino Linotype" w:hAnsi="Palatino Linotype" w:cs="Arial"/>
        </w:rPr>
      </w:pPr>
      <w:r w:rsidRPr="00C27992">
        <w:rPr>
          <w:rFonts w:ascii="Palatino Linotype" w:eastAsia="MS Gothic" w:hAnsi="Palatino Linotype" w:cs="Times New Roman"/>
          <w:szCs w:val="26"/>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093024" w:rsidRPr="00C27992" w:rsidRDefault="00093024" w:rsidP="00093024">
      <w:pPr>
        <w:pStyle w:val="Prrafodelista"/>
        <w:tabs>
          <w:tab w:val="left" w:pos="142"/>
          <w:tab w:val="left" w:pos="284"/>
          <w:tab w:val="left" w:pos="426"/>
        </w:tabs>
        <w:spacing w:after="160" w:line="360" w:lineRule="auto"/>
        <w:ind w:left="0"/>
        <w:jc w:val="both"/>
        <w:rPr>
          <w:rFonts w:ascii="Palatino Linotype" w:hAnsi="Palatino Linotype" w:cs="Arial"/>
        </w:rPr>
      </w:pPr>
    </w:p>
    <w:p w:rsidR="00093024" w:rsidRPr="00C27992" w:rsidRDefault="00093024" w:rsidP="00093024">
      <w:pPr>
        <w:pStyle w:val="Prrafodelista"/>
        <w:numPr>
          <w:ilvl w:val="0"/>
          <w:numId w:val="1"/>
        </w:numPr>
        <w:spacing w:line="360" w:lineRule="auto"/>
        <w:ind w:left="0" w:firstLine="0"/>
        <w:jc w:val="both"/>
        <w:rPr>
          <w:rFonts w:ascii="Palatino Linotype" w:hAnsi="Palatino Linotype" w:cs="Arial"/>
        </w:rPr>
      </w:pPr>
      <w:r w:rsidRPr="00C27992">
        <w:rPr>
          <w:rFonts w:ascii="Palatino Linotype" w:eastAsia="MS Gothic" w:hAnsi="Palatino Linotype" w:cs="Times New Roman"/>
          <w:szCs w:val="26"/>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093024" w:rsidRPr="00C27992" w:rsidRDefault="00093024" w:rsidP="00093024">
      <w:pPr>
        <w:pStyle w:val="Prrafodelista"/>
        <w:rPr>
          <w:rFonts w:ascii="Palatino Linotype" w:hAnsi="Palatino Linotype" w:cs="Arial"/>
        </w:rPr>
      </w:pPr>
    </w:p>
    <w:p w:rsidR="00093024" w:rsidRPr="00C27992" w:rsidRDefault="00093024" w:rsidP="00093024">
      <w:pPr>
        <w:pStyle w:val="Prrafodelista"/>
        <w:numPr>
          <w:ilvl w:val="0"/>
          <w:numId w:val="1"/>
        </w:numPr>
        <w:spacing w:line="360" w:lineRule="auto"/>
        <w:ind w:left="0" w:firstLine="0"/>
        <w:jc w:val="both"/>
        <w:rPr>
          <w:rFonts w:ascii="Palatino Linotype" w:hAnsi="Palatino Linotype" w:cs="Arial"/>
        </w:rPr>
      </w:pPr>
      <w:r w:rsidRPr="00C27992">
        <w:rPr>
          <w:rFonts w:ascii="Palatino Linotype" w:eastAsia="MS Gothic" w:hAnsi="Palatino Linotype" w:cs="Times New Roman"/>
          <w:szCs w:val="26"/>
        </w:rPr>
        <w:lastRenderedPageBreak/>
        <w:t>Han sido vastos los estudios doctrinarios relativos a estos derechos fundamentales y al principio de legalidad en ellos contenidos; como ejemplo, el procesalista José Ovalle Fabela, en su obra “Garantías Constitucionales del Proceso”, refiere que “...</w:t>
      </w:r>
      <w:r w:rsidRPr="00C27992">
        <w:rPr>
          <w:rFonts w:ascii="Palatino Linotype" w:eastAsia="MS Gothic" w:hAnsi="Palatino Linotype" w:cs="Times New Roman"/>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C27992">
        <w:rPr>
          <w:rFonts w:ascii="Palatino Linotype" w:eastAsia="MS Gothic" w:hAnsi="Palatino Linotype" w:cs="Times New Roman"/>
          <w:szCs w:val="26"/>
        </w:rPr>
        <w:t>....”</w:t>
      </w:r>
      <w:r w:rsidRPr="00C27992">
        <w:rPr>
          <w:rFonts w:ascii="Palatino Linotype" w:eastAsia="MS Gothic" w:hAnsi="Palatino Linotype" w:cs="Times New Roman"/>
          <w:szCs w:val="26"/>
          <w:vertAlign w:val="superscript"/>
        </w:rPr>
        <w:footnoteReference w:id="13"/>
      </w:r>
    </w:p>
    <w:p w:rsidR="00093024" w:rsidRPr="00C27992" w:rsidRDefault="00093024" w:rsidP="00093024">
      <w:pPr>
        <w:pStyle w:val="Prrafodelista"/>
        <w:rPr>
          <w:rFonts w:ascii="Palatino Linotype" w:hAnsi="Palatino Linotype" w:cs="Arial"/>
        </w:rPr>
      </w:pPr>
    </w:p>
    <w:p w:rsidR="00093024" w:rsidRPr="00C27992" w:rsidRDefault="00093024" w:rsidP="00093024">
      <w:pPr>
        <w:pStyle w:val="Prrafodelista"/>
        <w:numPr>
          <w:ilvl w:val="0"/>
          <w:numId w:val="1"/>
        </w:numPr>
        <w:spacing w:line="360" w:lineRule="auto"/>
        <w:ind w:left="0" w:firstLine="0"/>
        <w:jc w:val="both"/>
        <w:rPr>
          <w:rFonts w:ascii="Palatino Linotype" w:hAnsi="Palatino Linotype" w:cs="Arial"/>
        </w:rPr>
      </w:pPr>
      <w:r w:rsidRPr="00C27992">
        <w:rPr>
          <w:rFonts w:ascii="Palatino Linotype" w:hAnsi="Palatino Linotype" w:cs="Arial"/>
        </w:rPr>
        <w:t xml:space="preserve"> Por su parte, el intérprete judicial del país ha establecido una jurisprudencia respecto a qué debe entenderse por fundamentación y motivación, en los siguientes </w:t>
      </w:r>
      <w:r w:rsidRPr="00C27992">
        <w:rPr>
          <w:rFonts w:ascii="Palatino Linotype" w:eastAsia="MS Gothic" w:hAnsi="Palatino Linotype" w:cs="Times New Roman"/>
          <w:szCs w:val="26"/>
        </w:rPr>
        <w:t>términos</w:t>
      </w:r>
      <w:r w:rsidRPr="00C27992">
        <w:rPr>
          <w:rFonts w:ascii="Palatino Linotype" w:hAnsi="Palatino Linotype" w:cs="Arial"/>
        </w:rPr>
        <w:t>:</w:t>
      </w:r>
    </w:p>
    <w:p w:rsidR="00093024" w:rsidRPr="00C27992" w:rsidRDefault="00093024" w:rsidP="00093024">
      <w:pPr>
        <w:pStyle w:val="Prrafodelista"/>
        <w:tabs>
          <w:tab w:val="left" w:pos="142"/>
          <w:tab w:val="left" w:pos="284"/>
          <w:tab w:val="left" w:pos="426"/>
        </w:tabs>
        <w:spacing w:line="360" w:lineRule="auto"/>
        <w:ind w:left="0"/>
        <w:jc w:val="both"/>
        <w:rPr>
          <w:rFonts w:ascii="Palatino Linotype" w:hAnsi="Palatino Linotype" w:cs="Arial"/>
        </w:rPr>
      </w:pPr>
    </w:p>
    <w:p w:rsidR="00093024" w:rsidRPr="00C27992" w:rsidRDefault="00093024" w:rsidP="00093024">
      <w:pPr>
        <w:spacing w:line="276" w:lineRule="auto"/>
        <w:ind w:left="567" w:right="618"/>
        <w:contextualSpacing/>
        <w:jc w:val="both"/>
        <w:rPr>
          <w:rFonts w:ascii="Palatino Linotype" w:hAnsi="Palatino Linotype" w:cs="Arial"/>
          <w:i/>
          <w:color w:val="000000"/>
        </w:rPr>
      </w:pPr>
      <w:r w:rsidRPr="00C27992">
        <w:rPr>
          <w:rFonts w:ascii="Palatino Linotype" w:hAnsi="Palatino Linotype" w:cs="Arial"/>
          <w:b/>
          <w:i/>
          <w:color w:val="000000"/>
        </w:rPr>
        <w:t>“FUNDAMENTACIÓN Y MOTIVACIÓN.</w:t>
      </w:r>
      <w:r w:rsidRPr="00C27992">
        <w:rPr>
          <w:rFonts w:ascii="Palatino Linotype" w:hAnsi="Palatino Linotype" w:cs="Arial"/>
          <w:i/>
          <w:color w:val="000000"/>
        </w:rPr>
        <w:t xml:space="preserve"> “La </w:t>
      </w:r>
      <w:r w:rsidRPr="00C27992">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C27992">
        <w:rPr>
          <w:rFonts w:ascii="Palatino Linotype" w:hAnsi="Palatino Linotype" w:cs="Arial"/>
          <w:i/>
          <w:color w:val="000000"/>
        </w:rPr>
        <w:t>.”</w:t>
      </w:r>
    </w:p>
    <w:p w:rsidR="00093024" w:rsidRPr="00C27992" w:rsidRDefault="00093024" w:rsidP="00093024">
      <w:pPr>
        <w:spacing w:line="276" w:lineRule="auto"/>
        <w:ind w:left="567" w:right="618"/>
        <w:contextualSpacing/>
        <w:jc w:val="both"/>
        <w:rPr>
          <w:rFonts w:ascii="Palatino Linotype" w:hAnsi="Palatino Linotype" w:cs="Arial"/>
          <w:i/>
          <w:color w:val="000000"/>
        </w:rPr>
      </w:pPr>
    </w:p>
    <w:p w:rsidR="00093024" w:rsidRPr="00C27992" w:rsidRDefault="00093024" w:rsidP="00093024">
      <w:pPr>
        <w:ind w:left="567" w:right="618"/>
        <w:contextualSpacing/>
        <w:jc w:val="both"/>
        <w:rPr>
          <w:rFonts w:ascii="Palatino Linotype" w:hAnsi="Palatino Linotype" w:cs="Arial"/>
          <w:i/>
          <w:color w:val="000000"/>
        </w:rPr>
      </w:pPr>
      <w:r w:rsidRPr="00C27992">
        <w:rPr>
          <w:rFonts w:ascii="Palatino Linotype" w:hAnsi="Palatino Linotype" w:cs="Arial"/>
          <w:i/>
          <w:color w:val="000000"/>
        </w:rPr>
        <w:t>SEGUNDO TRIBUNAL COLEGIADO DEL SEXTO CIRCUITO.</w:t>
      </w:r>
    </w:p>
    <w:p w:rsidR="00093024" w:rsidRPr="00C27992" w:rsidRDefault="00093024" w:rsidP="00093024">
      <w:pPr>
        <w:ind w:left="567" w:right="618"/>
        <w:contextualSpacing/>
        <w:jc w:val="both"/>
        <w:rPr>
          <w:rFonts w:ascii="Palatino Linotype" w:hAnsi="Palatino Linotype" w:cs="Arial"/>
          <w:i/>
          <w:color w:val="000000"/>
        </w:rPr>
      </w:pPr>
      <w:r w:rsidRPr="00C27992">
        <w:rPr>
          <w:rFonts w:ascii="Palatino Linotype" w:hAnsi="Palatino Linotype" w:cs="Arial"/>
          <w:i/>
          <w:color w:val="000000"/>
        </w:rPr>
        <w:lastRenderedPageBreak/>
        <w:t>Amparo directo 194/88. Bufete Industrial Construcciones, S.A. de C.V. 28 de junio de 1988. Unanimidad de votos. Ponente: Gustavo Calvillo Rangel. Secretario: Jorge Alberto González Álvarez.</w:t>
      </w:r>
    </w:p>
    <w:p w:rsidR="00093024" w:rsidRPr="00C27992" w:rsidRDefault="00093024" w:rsidP="00093024">
      <w:pPr>
        <w:ind w:left="567" w:right="618"/>
        <w:contextualSpacing/>
        <w:jc w:val="both"/>
        <w:rPr>
          <w:rFonts w:ascii="Palatino Linotype" w:hAnsi="Palatino Linotype" w:cs="Arial"/>
          <w:i/>
          <w:color w:val="000000"/>
        </w:rPr>
      </w:pPr>
      <w:r w:rsidRPr="00C27992">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rsidR="00093024" w:rsidRPr="00C27992" w:rsidRDefault="00093024" w:rsidP="00093024">
      <w:pPr>
        <w:ind w:left="567" w:right="618"/>
        <w:contextualSpacing/>
        <w:jc w:val="both"/>
        <w:rPr>
          <w:rFonts w:ascii="Palatino Linotype" w:hAnsi="Palatino Linotype" w:cs="Arial"/>
          <w:i/>
          <w:color w:val="000000"/>
        </w:rPr>
      </w:pPr>
      <w:r w:rsidRPr="00C27992">
        <w:rPr>
          <w:rFonts w:ascii="Palatino Linotype" w:hAnsi="Palatino Linotype" w:cs="Arial"/>
          <w:i/>
          <w:color w:val="000000"/>
        </w:rPr>
        <w:t>Amparo en revisión 333/88. Adilia Romero. 26 de octubre de 1988. Unanimidad de votos. Ponente: Arnoldo Nájera Virgen. Secretario: Enrique Crispín Campos Ramírez.</w:t>
      </w:r>
    </w:p>
    <w:p w:rsidR="00093024" w:rsidRPr="00C27992" w:rsidRDefault="00093024" w:rsidP="00093024">
      <w:pPr>
        <w:ind w:left="567" w:right="618"/>
        <w:contextualSpacing/>
        <w:jc w:val="both"/>
        <w:rPr>
          <w:rFonts w:ascii="Palatino Linotype" w:hAnsi="Palatino Linotype" w:cs="Arial"/>
          <w:i/>
          <w:color w:val="000000"/>
        </w:rPr>
      </w:pPr>
      <w:r w:rsidRPr="00C27992">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rsidR="00093024" w:rsidRPr="00C27992" w:rsidRDefault="00093024" w:rsidP="00093024">
      <w:pPr>
        <w:ind w:left="567" w:right="618"/>
        <w:contextualSpacing/>
        <w:jc w:val="both"/>
        <w:rPr>
          <w:rFonts w:ascii="Palatino Linotype" w:hAnsi="Palatino Linotype" w:cs="Arial"/>
          <w:i/>
          <w:color w:val="000000"/>
        </w:rPr>
      </w:pPr>
      <w:r w:rsidRPr="00C27992">
        <w:rPr>
          <w:rFonts w:ascii="Palatino Linotype" w:hAnsi="Palatino Linotype" w:cs="Arial"/>
          <w:i/>
          <w:color w:val="000000"/>
        </w:rPr>
        <w:t>Amparo directo 7/96. Pedro Vicente López Miro. 21 de febrero de 1996. Unanimidad de votos. Ponente: María Eugenia Estela Martínez Cardiel. Secretario: Enrique Baigts Muñoz.”</w:t>
      </w:r>
    </w:p>
    <w:p w:rsidR="00093024" w:rsidRPr="00C27992" w:rsidRDefault="00093024" w:rsidP="00093024">
      <w:pPr>
        <w:spacing w:line="360" w:lineRule="auto"/>
        <w:ind w:left="851" w:right="618"/>
        <w:contextualSpacing/>
        <w:jc w:val="both"/>
        <w:rPr>
          <w:rFonts w:ascii="Palatino Linotype" w:hAnsi="Palatino Linotype" w:cs="Arial"/>
          <w:i/>
          <w:color w:val="000000"/>
        </w:rPr>
      </w:pPr>
    </w:p>
    <w:p w:rsidR="00093024" w:rsidRPr="00C27992" w:rsidRDefault="00093024" w:rsidP="00093024">
      <w:pPr>
        <w:pStyle w:val="Prrafodelista"/>
        <w:numPr>
          <w:ilvl w:val="0"/>
          <w:numId w:val="1"/>
        </w:numPr>
        <w:spacing w:line="360" w:lineRule="auto"/>
        <w:ind w:left="0" w:firstLine="0"/>
        <w:jc w:val="both"/>
        <w:rPr>
          <w:rFonts w:ascii="Palatino Linotype" w:hAnsi="Palatino Linotype" w:cs="Arial"/>
        </w:rPr>
      </w:pPr>
      <w:r w:rsidRPr="00C27992">
        <w:rPr>
          <w:rFonts w:ascii="Palatino Linotype" w:eastAsia="MS Gothic" w:hAnsi="Palatino Linotype" w:cs="Times New Roman"/>
        </w:rPr>
        <w:t xml:space="preserve"> </w:t>
      </w:r>
      <w:r w:rsidRPr="00C27992">
        <w:rPr>
          <w:rFonts w:ascii="Palatino Linotype" w:hAnsi="Palatino Linotype" w:cs="Arial"/>
        </w:rPr>
        <w:t>Así</w:t>
      </w:r>
      <w:r w:rsidRPr="00C27992">
        <w:rPr>
          <w:rFonts w:ascii="Palatino Linotype" w:eastAsia="MS Gothic" w:hAnsi="Palatino Linotype" w:cs="Times New Roman"/>
        </w:rPr>
        <w:t>,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093024" w:rsidRPr="00C27992" w:rsidRDefault="00093024" w:rsidP="00093024">
      <w:pPr>
        <w:pStyle w:val="Prrafodelista"/>
        <w:tabs>
          <w:tab w:val="left" w:pos="142"/>
          <w:tab w:val="left" w:pos="284"/>
          <w:tab w:val="left" w:pos="426"/>
        </w:tabs>
        <w:spacing w:line="360" w:lineRule="auto"/>
        <w:ind w:left="0"/>
        <w:jc w:val="both"/>
        <w:rPr>
          <w:rFonts w:ascii="Palatino Linotype" w:hAnsi="Palatino Linotype" w:cs="Arial"/>
        </w:rPr>
      </w:pPr>
    </w:p>
    <w:p w:rsidR="00093024" w:rsidRPr="00C27992" w:rsidRDefault="00093024" w:rsidP="00093024">
      <w:pPr>
        <w:pStyle w:val="Prrafodelista"/>
        <w:numPr>
          <w:ilvl w:val="0"/>
          <w:numId w:val="1"/>
        </w:numPr>
        <w:spacing w:line="360" w:lineRule="auto"/>
        <w:ind w:left="0" w:firstLine="0"/>
        <w:jc w:val="both"/>
        <w:rPr>
          <w:rFonts w:ascii="Palatino Linotype" w:hAnsi="Palatino Linotype" w:cs="Arial"/>
        </w:rPr>
      </w:pPr>
      <w:r w:rsidRPr="00C27992">
        <w:rPr>
          <w:rFonts w:ascii="Palatino Linotype" w:eastAsia="MS Gothic" w:hAnsi="Palatino Linotype" w:cs="Times New Roman"/>
        </w:rPr>
        <w:t xml:space="preserve"> En consecuencia, la fundamentación y motivación implica que, en el acto de autoridad, además de contenerse los supuestos jurídicos aplicables se expliquen </w:t>
      </w:r>
      <w:r w:rsidRPr="00C27992">
        <w:rPr>
          <w:rFonts w:ascii="Palatino Linotype" w:hAnsi="Palatino Linotype" w:cs="Arial"/>
        </w:rPr>
        <w:t>claramente</w:t>
      </w:r>
      <w:r w:rsidRPr="00C27992">
        <w:rPr>
          <w:rFonts w:ascii="Palatino Linotype" w:eastAsia="MS Gothic" w:hAnsi="Palatino Linotype" w:cs="Times New Roman"/>
        </w:rPr>
        <w:t xml:space="preserve"> por qué a través de la utilización de la norma se emitió el acto. De este modo, la persona que se sienta afectada pueda impugnar la decisión, permitiéndole una real y auténtica defensa.</w:t>
      </w:r>
    </w:p>
    <w:p w:rsidR="00093024" w:rsidRPr="00C27992" w:rsidRDefault="00093024" w:rsidP="00093024">
      <w:pPr>
        <w:pStyle w:val="Prrafodelista"/>
        <w:tabs>
          <w:tab w:val="left" w:pos="142"/>
          <w:tab w:val="left" w:pos="284"/>
          <w:tab w:val="left" w:pos="426"/>
        </w:tabs>
        <w:spacing w:line="360" w:lineRule="auto"/>
        <w:ind w:left="0"/>
        <w:jc w:val="both"/>
        <w:rPr>
          <w:rFonts w:ascii="Palatino Linotype" w:hAnsi="Palatino Linotype" w:cs="Arial"/>
        </w:rPr>
      </w:pPr>
    </w:p>
    <w:p w:rsidR="00093024" w:rsidRPr="00C27992" w:rsidRDefault="00093024" w:rsidP="00093024">
      <w:pPr>
        <w:pStyle w:val="Prrafodelista"/>
        <w:numPr>
          <w:ilvl w:val="0"/>
          <w:numId w:val="1"/>
        </w:numPr>
        <w:spacing w:line="360" w:lineRule="auto"/>
        <w:ind w:left="0" w:firstLine="0"/>
        <w:jc w:val="both"/>
        <w:rPr>
          <w:rFonts w:ascii="Palatino Linotype" w:hAnsi="Palatino Linotype" w:cs="Arial"/>
        </w:rPr>
      </w:pPr>
      <w:r w:rsidRPr="00C27992">
        <w:rPr>
          <w:rFonts w:ascii="Palatino Linotype" w:eastAsia="MS Gothic" w:hAnsi="Palatino Linotype" w:cs="Times New Roman"/>
        </w:rPr>
        <w:lastRenderedPageBreak/>
        <w:t xml:space="preserve"> En ese mismo sentido, el numeral trigésimo tercero fracción V de los Lineamientos Generales, precisa que para motivar la clasificación se deben acreditar las circunstancias de tiempo, modo y lugar.</w:t>
      </w:r>
    </w:p>
    <w:p w:rsidR="00093024" w:rsidRPr="00C27992" w:rsidRDefault="00093024" w:rsidP="00093024">
      <w:pPr>
        <w:pStyle w:val="Prrafodelista"/>
        <w:rPr>
          <w:rFonts w:ascii="Palatino Linotype" w:hAnsi="Palatino Linotype" w:cs="Arial"/>
        </w:rPr>
      </w:pPr>
    </w:p>
    <w:p w:rsidR="00093024" w:rsidRPr="00C27992" w:rsidRDefault="00093024" w:rsidP="00093024">
      <w:pPr>
        <w:pStyle w:val="Prrafodelista"/>
        <w:numPr>
          <w:ilvl w:val="0"/>
          <w:numId w:val="1"/>
        </w:numPr>
        <w:spacing w:line="360" w:lineRule="auto"/>
        <w:ind w:left="0" w:firstLine="0"/>
        <w:jc w:val="both"/>
        <w:rPr>
          <w:rFonts w:ascii="Palatino Linotype" w:hAnsi="Palatino Linotype" w:cs="Arial"/>
        </w:rPr>
      </w:pPr>
      <w:r w:rsidRPr="00C27992">
        <w:rPr>
          <w:rFonts w:ascii="Palatino Linotype" w:eastAsia="MS Gothic" w:hAnsi="Palatino Linotype" w:cs="Times New Roman"/>
        </w:rPr>
        <w:t xml:space="preserve">Ahora bien, </w:t>
      </w:r>
      <w:r w:rsidRPr="00C27992">
        <w:rPr>
          <w:rFonts w:ascii="Palatino Linotype" w:eastAsia="MS Gothic" w:hAnsi="Palatino Linotype" w:cs="Times New Roman"/>
          <w:b/>
          <w:u w:val="single"/>
        </w:rPr>
        <w:t>para cada caso además de fundar y motivar</w:t>
      </w:r>
      <w:r w:rsidRPr="00C27992">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C27992">
        <w:rPr>
          <w:rFonts w:ascii="Palatino Linotype" w:eastAsia="MS Gothic" w:hAnsi="Palatino Linotype" w:cs="Times New Roman"/>
          <w:vertAlign w:val="superscript"/>
        </w:rPr>
        <w:footnoteReference w:id="14"/>
      </w:r>
      <w:r w:rsidRPr="00C27992">
        <w:rPr>
          <w:rFonts w:ascii="Palatino Linotype" w:eastAsia="MS Gothic" w:hAnsi="Palatino Linotype" w:cs="Times New Roman"/>
        </w:rPr>
        <w:t xml:space="preserve"> del servidor público que no tienen ninguna injerencia en el tema de la transparencia y la rendición de cuentas, por ejemplo, </w:t>
      </w:r>
      <w:r w:rsidRPr="00C27992">
        <w:rPr>
          <w:rFonts w:ascii="Palatino Linotype" w:eastAsia="MS Gothic" w:hAnsi="Palatino Linotype" w:cs="Times New Roman"/>
          <w:lang w:val="es-ES"/>
        </w:rPr>
        <w:t>Clave Única de Registro de Población (CURP), Registro Federal de Contribuyentes (R.F.C.), son datos  susceptibles de clasificarse como confidenciales mediante una versión pública que deje a la vista los datos que ofrezcan la información requerida.</w:t>
      </w:r>
    </w:p>
    <w:p w:rsidR="00093024" w:rsidRPr="00C27992" w:rsidRDefault="00093024" w:rsidP="00093024">
      <w:pPr>
        <w:pStyle w:val="Prrafodelista"/>
        <w:tabs>
          <w:tab w:val="left" w:pos="142"/>
          <w:tab w:val="left" w:pos="284"/>
          <w:tab w:val="left" w:pos="426"/>
        </w:tabs>
        <w:spacing w:line="360" w:lineRule="auto"/>
        <w:ind w:left="0"/>
        <w:jc w:val="both"/>
        <w:rPr>
          <w:rFonts w:ascii="Palatino Linotype" w:hAnsi="Palatino Linotype" w:cs="Arial"/>
        </w:rPr>
      </w:pPr>
    </w:p>
    <w:p w:rsidR="009F09BC" w:rsidRPr="00C27992" w:rsidRDefault="009F09BC" w:rsidP="00D66E65">
      <w:pPr>
        <w:pStyle w:val="Ttulo2"/>
        <w:numPr>
          <w:ilvl w:val="0"/>
          <w:numId w:val="4"/>
        </w:numPr>
        <w:spacing w:line="259" w:lineRule="auto"/>
        <w:rPr>
          <w:rFonts w:ascii="Palatino Linotype" w:hAnsi="Palatino Linotype"/>
          <w:b/>
          <w:color w:val="000000" w:themeColor="text1"/>
          <w:sz w:val="24"/>
        </w:rPr>
      </w:pPr>
      <w:bookmarkStart w:id="205" w:name="_Toc70082953"/>
      <w:bookmarkStart w:id="206" w:name="_Toc70593361"/>
      <w:bookmarkStart w:id="207" w:name="_Toc71674125"/>
      <w:bookmarkStart w:id="208" w:name="_Toc83128594"/>
      <w:r w:rsidRPr="00C27992">
        <w:rPr>
          <w:rFonts w:ascii="Palatino Linotype" w:hAnsi="Palatino Linotype"/>
          <w:b/>
          <w:color w:val="000000" w:themeColor="text1"/>
          <w:sz w:val="24"/>
        </w:rPr>
        <w:t>Determinación</w:t>
      </w:r>
      <w:bookmarkEnd w:id="205"/>
      <w:bookmarkEnd w:id="206"/>
      <w:bookmarkEnd w:id="207"/>
      <w:bookmarkEnd w:id="208"/>
    </w:p>
    <w:p w:rsidR="009F09BC" w:rsidRPr="00C27992" w:rsidRDefault="009F09BC" w:rsidP="009F09BC">
      <w:pPr>
        <w:rPr>
          <w:lang w:val="es-MX" w:eastAsia="en-US"/>
        </w:rPr>
      </w:pPr>
    </w:p>
    <w:p w:rsidR="009F09BC" w:rsidRPr="00C27992" w:rsidRDefault="009F09BC" w:rsidP="00D66E65">
      <w:pPr>
        <w:pStyle w:val="Prrafodelista"/>
        <w:numPr>
          <w:ilvl w:val="0"/>
          <w:numId w:val="1"/>
        </w:numPr>
        <w:spacing w:line="360" w:lineRule="auto"/>
        <w:ind w:left="0" w:firstLine="0"/>
        <w:jc w:val="both"/>
        <w:rPr>
          <w:rFonts w:ascii="Palatino Linotype" w:hAnsi="Palatino Linotype"/>
          <w:color w:val="000000" w:themeColor="text1"/>
        </w:rPr>
      </w:pPr>
      <w:r w:rsidRPr="00C27992">
        <w:rPr>
          <w:rFonts w:ascii="Palatino Linotype" w:hAnsi="Palatino Linotype"/>
        </w:rPr>
        <w:t xml:space="preserve">Por lo anteriormente expuesto, este Órgano Garante considera fundadas </w:t>
      </w:r>
      <w:r w:rsidRPr="00C27992">
        <w:rPr>
          <w:rFonts w:ascii="Palatino Linotype" w:eastAsia="MS Gothic" w:hAnsi="Palatino Linotype" w:cs="Times New Roman"/>
        </w:rPr>
        <w:t>las</w:t>
      </w:r>
      <w:r w:rsidRPr="00C27992">
        <w:rPr>
          <w:rFonts w:ascii="Palatino Linotype" w:hAnsi="Palatino Linotype"/>
        </w:rPr>
        <w:t xml:space="preserve"> razones o </w:t>
      </w:r>
      <w:r w:rsidRPr="00C27992">
        <w:rPr>
          <w:rFonts w:ascii="Palatino Linotype" w:eastAsia="MS Gothic" w:hAnsi="Palatino Linotype" w:cs="Times New Roman"/>
        </w:rPr>
        <w:t>motivos</w:t>
      </w:r>
      <w:r w:rsidRPr="00C27992">
        <w:rPr>
          <w:rFonts w:ascii="Palatino Linotype" w:hAnsi="Palatino Linotype"/>
        </w:rPr>
        <w:t xml:space="preserve"> de inconformidad que plantea </w:t>
      </w:r>
      <w:r w:rsidR="009A2251" w:rsidRPr="00C27992">
        <w:rPr>
          <w:rFonts w:ascii="Palatino Linotype" w:hAnsi="Palatino Linotype"/>
        </w:rPr>
        <w:t>e</w:t>
      </w:r>
      <w:r w:rsidRPr="00C27992">
        <w:rPr>
          <w:rFonts w:ascii="Palatino Linotype" w:hAnsi="Palatino Linotype"/>
        </w:rPr>
        <w:t>l</w:t>
      </w:r>
      <w:r w:rsidRPr="00C27992">
        <w:rPr>
          <w:rFonts w:ascii="Palatino Linotype" w:hAnsi="Palatino Linotype"/>
          <w:b/>
        </w:rPr>
        <w:t xml:space="preserve"> RECURRENTE</w:t>
      </w:r>
      <w:r w:rsidRPr="00C27992">
        <w:rPr>
          <w:rFonts w:ascii="Palatino Linotype" w:hAnsi="Palatino Linotype"/>
        </w:rPr>
        <w:t xml:space="preserve">, determinando </w:t>
      </w:r>
      <w:r w:rsidR="00F749D8" w:rsidRPr="00C27992">
        <w:rPr>
          <w:rFonts w:ascii="Palatino Linotype" w:hAnsi="Palatino Linotype"/>
          <w:b/>
        </w:rPr>
        <w:t>MODIFICAR</w:t>
      </w:r>
      <w:r w:rsidRPr="00C27992">
        <w:rPr>
          <w:rFonts w:ascii="Palatino Linotype" w:hAnsi="Palatino Linotype"/>
        </w:rPr>
        <w:t xml:space="preserve"> la respuesta del </w:t>
      </w:r>
      <w:r w:rsidRPr="00C27992">
        <w:rPr>
          <w:rFonts w:ascii="Palatino Linotype" w:hAnsi="Palatino Linotype"/>
          <w:b/>
        </w:rPr>
        <w:t>SUJETO OBLIGADO</w:t>
      </w:r>
      <w:r w:rsidRPr="00C27992">
        <w:rPr>
          <w:rFonts w:ascii="Palatino Linotype" w:hAnsi="Palatino Linotype"/>
        </w:rPr>
        <w:t xml:space="preserve">, por lo que con fundamento en lo prescrito en los artículos 5 párrafos vigésimo noveno, trigésimo y trigésimo primero fracciones IV y V de la Constitución Política del Estado Libre y Soberano de </w:t>
      </w:r>
      <w:r w:rsidRPr="00C27992">
        <w:rPr>
          <w:rFonts w:ascii="Palatino Linotype" w:hAnsi="Palatino Linotype"/>
        </w:rPr>
        <w:lastRenderedPageBreak/>
        <w:t xml:space="preserve">México; 2, fracción II; 29, 36 fracciones I y II; 176, 178, 181, 185 de la Ley de Transparencia y Acceso a la Información Pública del Estado de México y Municipios, </w:t>
      </w:r>
      <w:r w:rsidRPr="00C27992">
        <w:rPr>
          <w:rFonts w:ascii="Palatino Linotype" w:hAnsi="Palatino Linotype"/>
          <w:color w:val="000000" w:themeColor="text1"/>
          <w:lang w:val="es-ES" w:eastAsia="es-MX"/>
        </w:rPr>
        <w:t xml:space="preserve">este </w:t>
      </w:r>
      <w:r w:rsidRPr="00C27992">
        <w:rPr>
          <w:rFonts w:ascii="Palatino Linotype" w:hAnsi="Palatino Linotype"/>
          <w:b/>
          <w:bCs/>
          <w:color w:val="000000" w:themeColor="text1"/>
          <w:lang w:val="es-ES" w:eastAsia="es-MX"/>
        </w:rPr>
        <w:t>ÓRGANO GARANTE</w:t>
      </w:r>
      <w:r w:rsidRPr="00C27992">
        <w:rPr>
          <w:rFonts w:ascii="Palatino Linotype" w:hAnsi="Palatino Linotype"/>
          <w:color w:val="000000" w:themeColor="text1"/>
          <w:lang w:val="es-ES" w:eastAsia="es-MX"/>
        </w:rPr>
        <w:t xml:space="preserve"> emite los siguientes</w:t>
      </w:r>
      <w:r w:rsidRPr="00C27992">
        <w:rPr>
          <w:rFonts w:ascii="Palatino Linotype" w:hAnsi="Palatino Linotype"/>
          <w:color w:val="000000" w:themeColor="text1"/>
        </w:rPr>
        <w:t>.</w:t>
      </w:r>
    </w:p>
    <w:p w:rsidR="0038112D" w:rsidRPr="00C27992" w:rsidRDefault="0038112D" w:rsidP="00CE7B83">
      <w:pPr>
        <w:pStyle w:val="Ttulo1"/>
        <w:spacing w:before="0" w:line="360" w:lineRule="auto"/>
        <w:jc w:val="center"/>
        <w:rPr>
          <w:rFonts w:ascii="Palatino Linotype" w:eastAsia="Calibri" w:hAnsi="Palatino Linotype"/>
          <w:b/>
          <w:color w:val="000000" w:themeColor="text1"/>
          <w:sz w:val="24"/>
          <w:szCs w:val="24"/>
          <w:lang w:val="es-ES"/>
        </w:rPr>
      </w:pPr>
      <w:bookmarkStart w:id="209" w:name="_Toc504500693"/>
      <w:bookmarkStart w:id="210" w:name="_Toc534742545"/>
      <w:bookmarkStart w:id="211" w:name="_Toc2248738"/>
      <w:bookmarkStart w:id="212" w:name="_Toc34819440"/>
      <w:bookmarkStart w:id="213" w:name="_Toc51259595"/>
      <w:bookmarkStart w:id="214" w:name="_Toc83128595"/>
    </w:p>
    <w:p w:rsidR="009F09BC" w:rsidRPr="00C27992" w:rsidRDefault="009F09BC" w:rsidP="00CE7B83">
      <w:pPr>
        <w:pStyle w:val="Ttulo1"/>
        <w:spacing w:before="0" w:line="360" w:lineRule="auto"/>
        <w:jc w:val="center"/>
        <w:rPr>
          <w:rFonts w:ascii="Palatino Linotype" w:eastAsia="Calibri" w:hAnsi="Palatino Linotype"/>
          <w:b/>
          <w:color w:val="000000" w:themeColor="text1"/>
          <w:sz w:val="24"/>
          <w:szCs w:val="24"/>
          <w:lang w:val="es-ES"/>
        </w:rPr>
      </w:pPr>
      <w:r w:rsidRPr="00C27992">
        <w:rPr>
          <w:rFonts w:ascii="Palatino Linotype" w:eastAsia="Calibri" w:hAnsi="Palatino Linotype"/>
          <w:b/>
          <w:color w:val="000000" w:themeColor="text1"/>
          <w:sz w:val="24"/>
          <w:szCs w:val="24"/>
          <w:lang w:val="es-ES"/>
        </w:rPr>
        <w:t>R E S O L U T I V O S</w:t>
      </w:r>
      <w:bookmarkEnd w:id="209"/>
      <w:bookmarkEnd w:id="210"/>
      <w:bookmarkEnd w:id="211"/>
      <w:bookmarkEnd w:id="212"/>
      <w:bookmarkEnd w:id="213"/>
      <w:bookmarkEnd w:id="214"/>
    </w:p>
    <w:p w:rsidR="00CE7B83" w:rsidRPr="00C27992" w:rsidRDefault="00CE7B83" w:rsidP="00CE7B83">
      <w:pPr>
        <w:rPr>
          <w:lang w:val="es-ES"/>
        </w:rPr>
      </w:pPr>
    </w:p>
    <w:p w:rsidR="009F09BC" w:rsidRPr="00C27992" w:rsidRDefault="009F09BC" w:rsidP="00CE7B83">
      <w:pPr>
        <w:spacing w:line="360" w:lineRule="auto"/>
        <w:jc w:val="both"/>
        <w:rPr>
          <w:rFonts w:ascii="Palatino Linotype" w:eastAsia="Times New Roman" w:hAnsi="Palatino Linotype" w:cs="Arial"/>
          <w:lang w:val="es-ES"/>
        </w:rPr>
      </w:pPr>
      <w:r w:rsidRPr="00C27992">
        <w:rPr>
          <w:rFonts w:ascii="Palatino Linotype" w:eastAsia="Times New Roman" w:hAnsi="Palatino Linotype" w:cs="Arial"/>
          <w:b/>
        </w:rPr>
        <w:t>PRIMERO</w:t>
      </w:r>
      <w:r w:rsidRPr="00C27992">
        <w:rPr>
          <w:rFonts w:ascii="Palatino Linotype" w:eastAsia="Times New Roman" w:hAnsi="Palatino Linotype" w:cs="Arial"/>
          <w:lang w:val="es-ES"/>
        </w:rPr>
        <w:t>. Resultan</w:t>
      </w:r>
      <w:r w:rsidR="00EC5F2D" w:rsidRPr="00C27992">
        <w:rPr>
          <w:rFonts w:ascii="Palatino Linotype" w:eastAsia="Times New Roman" w:hAnsi="Palatino Linotype" w:cs="Arial"/>
          <w:lang w:val="es-ES"/>
        </w:rPr>
        <w:t xml:space="preserve"> parcialmente</w:t>
      </w:r>
      <w:r w:rsidRPr="00C27992">
        <w:rPr>
          <w:rFonts w:ascii="Palatino Linotype" w:eastAsia="Times New Roman" w:hAnsi="Palatino Linotype" w:cs="Arial"/>
          <w:lang w:val="es-ES"/>
        </w:rPr>
        <w:t xml:space="preserve"> fundadas las razones o motivos de inconformidad hechos valer en</w:t>
      </w:r>
      <w:r w:rsidR="009A2251" w:rsidRPr="00C27992">
        <w:rPr>
          <w:rFonts w:ascii="Palatino Linotype" w:eastAsia="Times New Roman" w:hAnsi="Palatino Linotype" w:cs="Arial"/>
          <w:lang w:val="es-ES"/>
        </w:rPr>
        <w:t xml:space="preserve"> el</w:t>
      </w:r>
      <w:r w:rsidRPr="00C27992">
        <w:rPr>
          <w:rFonts w:ascii="Palatino Linotype" w:eastAsia="Times New Roman" w:hAnsi="Palatino Linotype" w:cs="Arial"/>
          <w:lang w:val="es-ES"/>
        </w:rPr>
        <w:t xml:space="preserve"> Recurso de Revisión </w:t>
      </w:r>
      <w:r w:rsidR="004856B7" w:rsidRPr="00C27992">
        <w:rPr>
          <w:rFonts w:ascii="Palatino Linotype" w:hAnsi="Palatino Linotype"/>
          <w:b/>
        </w:rPr>
        <w:t>13148/INFOEM/IP/RR/2022</w:t>
      </w:r>
      <w:r w:rsidRPr="00C27992">
        <w:rPr>
          <w:rFonts w:ascii="Palatino Linotype" w:hAnsi="Palatino Linotype"/>
        </w:rPr>
        <w:t>,</w:t>
      </w:r>
      <w:r w:rsidRPr="00C27992">
        <w:rPr>
          <w:rFonts w:ascii="Palatino Linotype" w:eastAsia="Times New Roman" w:hAnsi="Palatino Linotype" w:cs="Arial"/>
          <w:b/>
          <w:lang w:val="es-ES"/>
        </w:rPr>
        <w:t xml:space="preserve"> </w:t>
      </w:r>
      <w:r w:rsidRPr="00C27992">
        <w:rPr>
          <w:rFonts w:ascii="Palatino Linotype" w:eastAsia="Times New Roman" w:hAnsi="Palatino Linotype" w:cs="Arial"/>
          <w:lang w:val="es-ES"/>
        </w:rPr>
        <w:t>en términos de</w:t>
      </w:r>
      <w:r w:rsidR="00EC5F2D" w:rsidRPr="00C27992">
        <w:rPr>
          <w:rFonts w:ascii="Palatino Linotype" w:eastAsia="Times New Roman" w:hAnsi="Palatino Linotype" w:cs="Arial"/>
          <w:lang w:val="es-ES"/>
        </w:rPr>
        <w:t xml:space="preserve"> </w:t>
      </w:r>
      <w:r w:rsidRPr="00C27992">
        <w:rPr>
          <w:rFonts w:ascii="Palatino Linotype" w:eastAsia="Times New Roman" w:hAnsi="Palatino Linotype" w:cs="Arial"/>
          <w:lang w:val="es-ES"/>
        </w:rPr>
        <w:t>l</w:t>
      </w:r>
      <w:r w:rsidR="00EC5F2D" w:rsidRPr="00C27992">
        <w:rPr>
          <w:rFonts w:ascii="Palatino Linotype" w:eastAsia="Times New Roman" w:hAnsi="Palatino Linotype" w:cs="Arial"/>
          <w:lang w:val="es-ES"/>
        </w:rPr>
        <w:t>os</w:t>
      </w:r>
      <w:r w:rsidRPr="00C27992">
        <w:rPr>
          <w:rFonts w:ascii="Palatino Linotype" w:eastAsia="Times New Roman" w:hAnsi="Palatino Linotype" w:cs="Arial"/>
          <w:lang w:val="es-ES"/>
        </w:rPr>
        <w:t xml:space="preserve"> Considerando</w:t>
      </w:r>
      <w:r w:rsidR="00EC5F2D" w:rsidRPr="00C27992">
        <w:rPr>
          <w:rFonts w:ascii="Palatino Linotype" w:eastAsia="Times New Roman" w:hAnsi="Palatino Linotype" w:cs="Arial"/>
          <w:lang w:val="es-ES"/>
        </w:rPr>
        <w:t>s</w:t>
      </w:r>
      <w:r w:rsidRPr="00C27992">
        <w:rPr>
          <w:rFonts w:ascii="Palatino Linotype" w:eastAsia="Times New Roman" w:hAnsi="Palatino Linotype" w:cs="Arial"/>
          <w:lang w:val="es-ES"/>
        </w:rPr>
        <w:t xml:space="preserve"> </w:t>
      </w:r>
      <w:r w:rsidR="000A7BB4" w:rsidRPr="00C27992">
        <w:rPr>
          <w:rFonts w:ascii="Palatino Linotype" w:eastAsia="Times New Roman" w:hAnsi="Palatino Linotype" w:cs="Arial"/>
          <w:b/>
          <w:lang w:val="es-ES"/>
        </w:rPr>
        <w:t xml:space="preserve">TERCERO </w:t>
      </w:r>
      <w:r w:rsidR="00EC5F2D" w:rsidRPr="00C27992">
        <w:rPr>
          <w:rFonts w:ascii="Palatino Linotype" w:eastAsia="Times New Roman" w:hAnsi="Palatino Linotype" w:cs="Arial"/>
          <w:lang w:val="es-ES"/>
        </w:rPr>
        <w:t>y</w:t>
      </w:r>
      <w:r w:rsidR="00EC5F2D" w:rsidRPr="00C27992">
        <w:rPr>
          <w:rFonts w:ascii="Palatino Linotype" w:eastAsia="Times New Roman" w:hAnsi="Palatino Linotype" w:cs="Arial"/>
          <w:b/>
          <w:lang w:val="es-ES"/>
        </w:rPr>
        <w:t xml:space="preserve"> </w:t>
      </w:r>
      <w:r w:rsidR="000A7BB4" w:rsidRPr="00C27992">
        <w:rPr>
          <w:rFonts w:ascii="Palatino Linotype" w:eastAsia="Times New Roman" w:hAnsi="Palatino Linotype" w:cs="Arial"/>
          <w:b/>
          <w:lang w:val="es-ES"/>
        </w:rPr>
        <w:t>CUARTO</w:t>
      </w:r>
      <w:r w:rsidR="00EC5F2D" w:rsidRPr="00C27992">
        <w:rPr>
          <w:rFonts w:ascii="Palatino Linotype" w:eastAsia="Times New Roman" w:hAnsi="Palatino Linotype" w:cs="Arial"/>
          <w:b/>
          <w:lang w:val="es-ES"/>
        </w:rPr>
        <w:t xml:space="preserve"> </w:t>
      </w:r>
      <w:r w:rsidRPr="00C27992">
        <w:rPr>
          <w:rFonts w:ascii="Palatino Linotype" w:eastAsia="Times New Roman" w:hAnsi="Palatino Linotype" w:cs="Arial"/>
          <w:lang w:val="es-ES"/>
        </w:rPr>
        <w:t xml:space="preserve">de la presente resolución. </w:t>
      </w:r>
    </w:p>
    <w:p w:rsidR="00CE7B83" w:rsidRPr="00C27992" w:rsidRDefault="00CE7B83" w:rsidP="00CE7B83">
      <w:pPr>
        <w:spacing w:line="360" w:lineRule="auto"/>
        <w:jc w:val="both"/>
        <w:rPr>
          <w:rFonts w:ascii="Palatino Linotype" w:eastAsia="Times New Roman" w:hAnsi="Palatino Linotype" w:cs="Arial"/>
          <w:lang w:val="es-ES"/>
        </w:rPr>
      </w:pPr>
    </w:p>
    <w:p w:rsidR="009F09BC" w:rsidRPr="00C27992" w:rsidRDefault="009F09BC" w:rsidP="00CE7B83">
      <w:pPr>
        <w:spacing w:line="360" w:lineRule="auto"/>
        <w:jc w:val="both"/>
        <w:rPr>
          <w:rFonts w:ascii="Palatino Linotype" w:eastAsia="MS Mincho" w:hAnsi="Palatino Linotype" w:cs="Times New Roman"/>
          <w:color w:val="000000" w:themeColor="text1"/>
        </w:rPr>
      </w:pPr>
      <w:bookmarkStart w:id="215" w:name="_Toc503891607"/>
      <w:bookmarkStart w:id="216" w:name="_Toc511647757"/>
      <w:bookmarkStart w:id="217" w:name="_Toc511647818"/>
      <w:bookmarkStart w:id="218" w:name="_Toc477891768"/>
      <w:bookmarkStart w:id="219" w:name="_Toc477891858"/>
      <w:bookmarkStart w:id="220" w:name="_Toc481576259"/>
      <w:bookmarkStart w:id="221" w:name="_Toc492590391"/>
      <w:bookmarkStart w:id="222" w:name="_Toc462653937"/>
      <w:bookmarkStart w:id="223" w:name="_Toc453696502"/>
      <w:bookmarkStart w:id="224" w:name="_Toc454301155"/>
      <w:r w:rsidRPr="00C27992">
        <w:rPr>
          <w:rFonts w:ascii="Palatino Linotype" w:eastAsia="Times New Roman" w:hAnsi="Palatino Linotype" w:cs="Times New Roman"/>
          <w:b/>
        </w:rPr>
        <w:t>SEGUNDO.</w:t>
      </w:r>
      <w:bookmarkEnd w:id="215"/>
      <w:bookmarkEnd w:id="216"/>
      <w:bookmarkEnd w:id="217"/>
      <w:r w:rsidRPr="00C27992">
        <w:rPr>
          <w:rFonts w:ascii="Palatino Linotype" w:eastAsia="Times New Roman" w:hAnsi="Palatino Linotype" w:cs="Times New Roman"/>
          <w:b/>
        </w:rPr>
        <w:t xml:space="preserve"> </w:t>
      </w:r>
      <w:bookmarkEnd w:id="218"/>
      <w:bookmarkEnd w:id="219"/>
      <w:bookmarkEnd w:id="220"/>
      <w:bookmarkEnd w:id="221"/>
      <w:bookmarkEnd w:id="222"/>
      <w:bookmarkEnd w:id="223"/>
      <w:bookmarkEnd w:id="224"/>
      <w:r w:rsidRPr="00C27992">
        <w:rPr>
          <w:rFonts w:ascii="Palatino Linotype" w:eastAsia="MS Mincho" w:hAnsi="Palatino Linotype" w:cs="Times New Roman"/>
          <w:color w:val="000000" w:themeColor="text1"/>
        </w:rPr>
        <w:t xml:space="preserve">Se </w:t>
      </w:r>
      <w:r w:rsidR="00F749D8" w:rsidRPr="00C27992">
        <w:rPr>
          <w:rFonts w:ascii="Palatino Linotype" w:eastAsia="MS Mincho" w:hAnsi="Palatino Linotype" w:cs="Times New Roman"/>
          <w:b/>
          <w:color w:val="000000" w:themeColor="text1"/>
        </w:rPr>
        <w:t>MODIFI</w:t>
      </w:r>
      <w:r w:rsidRPr="00C27992">
        <w:rPr>
          <w:rFonts w:ascii="Palatino Linotype" w:eastAsia="MS Mincho" w:hAnsi="Palatino Linotype" w:cs="Times New Roman"/>
          <w:b/>
          <w:color w:val="000000" w:themeColor="text1"/>
        </w:rPr>
        <w:t xml:space="preserve">CA </w:t>
      </w:r>
      <w:r w:rsidRPr="00C27992">
        <w:rPr>
          <w:rFonts w:ascii="Palatino Linotype" w:eastAsia="MS Mincho" w:hAnsi="Palatino Linotype" w:cs="Times New Roman"/>
          <w:color w:val="000000" w:themeColor="text1"/>
        </w:rPr>
        <w:t xml:space="preserve">la respuesta emitida por </w:t>
      </w:r>
      <w:r w:rsidR="002453DA" w:rsidRPr="00C27992">
        <w:rPr>
          <w:rFonts w:ascii="Palatino Linotype" w:eastAsia="MS Mincho" w:hAnsi="Palatino Linotype" w:cs="Times New Roman"/>
          <w:color w:val="000000" w:themeColor="text1"/>
        </w:rPr>
        <w:t xml:space="preserve">el </w:t>
      </w:r>
      <w:r w:rsidR="004856B7" w:rsidRPr="00C27992">
        <w:rPr>
          <w:rFonts w:ascii="Palatino Linotype" w:eastAsia="MS Mincho" w:hAnsi="Palatino Linotype" w:cs="Times New Roman"/>
          <w:b/>
          <w:color w:val="000000" w:themeColor="text1"/>
        </w:rPr>
        <w:t>Tribunal Estatal de Conciliación y Arbitraje</w:t>
      </w:r>
      <w:r w:rsidRPr="00C27992">
        <w:rPr>
          <w:rFonts w:ascii="Palatino Linotype" w:eastAsia="MS Mincho" w:hAnsi="Palatino Linotype" w:cs="Times New Roman"/>
          <w:b/>
          <w:color w:val="000000" w:themeColor="text1"/>
        </w:rPr>
        <w:t xml:space="preserve"> </w:t>
      </w:r>
      <w:r w:rsidRPr="00C27992">
        <w:rPr>
          <w:rFonts w:ascii="Palatino Linotype" w:eastAsia="MS Mincho" w:hAnsi="Palatino Linotype" w:cs="Times New Roman"/>
          <w:color w:val="000000" w:themeColor="text1"/>
        </w:rPr>
        <w:t xml:space="preserve">y se </w:t>
      </w:r>
      <w:r w:rsidRPr="00C27992">
        <w:rPr>
          <w:rFonts w:ascii="Palatino Linotype" w:eastAsia="MS Mincho" w:hAnsi="Palatino Linotype" w:cs="Times New Roman"/>
          <w:b/>
          <w:color w:val="000000" w:themeColor="text1"/>
        </w:rPr>
        <w:t>ORDENA</w:t>
      </w:r>
      <w:r w:rsidR="00445963" w:rsidRPr="00C27992">
        <w:rPr>
          <w:rFonts w:ascii="Palatino Linotype" w:eastAsia="MS Mincho" w:hAnsi="Palatino Linotype" w:cs="Times New Roman"/>
          <w:b/>
          <w:color w:val="000000" w:themeColor="text1"/>
        </w:rPr>
        <w:t>,</w:t>
      </w:r>
      <w:r w:rsidR="00445963" w:rsidRPr="00C27992">
        <w:rPr>
          <w:rFonts w:ascii="Palatino Linotype" w:eastAsia="MS Mincho" w:hAnsi="Palatino Linotype" w:cs="Times New Roman"/>
          <w:color w:val="000000" w:themeColor="text1"/>
        </w:rPr>
        <w:t xml:space="preserve"> </w:t>
      </w:r>
      <w:r w:rsidRPr="00C27992">
        <w:rPr>
          <w:rFonts w:ascii="Palatino Linotype" w:eastAsia="MS Mincho" w:hAnsi="Palatino Linotype" w:cs="Times New Roman"/>
          <w:color w:val="000000" w:themeColor="text1"/>
        </w:rPr>
        <w:t xml:space="preserve">entregar vía Sistema de Acceso a la Información Mexiquense </w:t>
      </w:r>
      <w:r w:rsidRPr="00C27992">
        <w:rPr>
          <w:rFonts w:ascii="Palatino Linotype" w:eastAsia="MS Mincho" w:hAnsi="Palatino Linotype" w:cs="Times New Roman"/>
          <w:b/>
          <w:color w:val="000000" w:themeColor="text1"/>
        </w:rPr>
        <w:t>(SAIMEX)</w:t>
      </w:r>
      <w:r w:rsidRPr="00C27992">
        <w:rPr>
          <w:rFonts w:ascii="Palatino Linotype" w:eastAsia="MS Mincho" w:hAnsi="Palatino Linotype" w:cs="Times New Roman"/>
          <w:color w:val="000000" w:themeColor="text1"/>
        </w:rPr>
        <w:t xml:space="preserve">, </w:t>
      </w:r>
      <w:r w:rsidR="00EC5F2D" w:rsidRPr="00C27992">
        <w:rPr>
          <w:rFonts w:ascii="Palatino Linotype" w:eastAsia="MS Mincho" w:hAnsi="Palatino Linotype" w:cs="Times New Roman"/>
          <w:color w:val="000000" w:themeColor="text1"/>
        </w:rPr>
        <w:t>en versión pública</w:t>
      </w:r>
      <w:r w:rsidR="00093024" w:rsidRPr="00C27992">
        <w:rPr>
          <w:rFonts w:ascii="Palatino Linotype" w:eastAsia="MS Mincho" w:hAnsi="Palatino Linotype" w:cs="Times New Roman"/>
          <w:color w:val="000000" w:themeColor="text1"/>
        </w:rPr>
        <w:t>,</w:t>
      </w:r>
      <w:r w:rsidR="00F749D8" w:rsidRPr="00C27992">
        <w:rPr>
          <w:rFonts w:ascii="Palatino Linotype" w:eastAsia="MS Mincho" w:hAnsi="Palatino Linotype" w:cs="Times New Roman"/>
          <w:color w:val="000000" w:themeColor="text1"/>
        </w:rPr>
        <w:t xml:space="preserve"> </w:t>
      </w:r>
      <w:r w:rsidR="0074110E" w:rsidRPr="00C27992">
        <w:rPr>
          <w:rFonts w:ascii="Palatino Linotype" w:eastAsia="MS Mincho" w:hAnsi="Palatino Linotype" w:cs="Times New Roman"/>
          <w:color w:val="000000" w:themeColor="text1"/>
        </w:rPr>
        <w:t>la siguiente información</w:t>
      </w:r>
      <w:r w:rsidR="00CE7B83" w:rsidRPr="00C27992">
        <w:rPr>
          <w:rFonts w:ascii="Palatino Linotype" w:eastAsia="MS Mincho" w:hAnsi="Palatino Linotype" w:cs="Times New Roman"/>
          <w:color w:val="000000" w:themeColor="text1"/>
        </w:rPr>
        <w:t>:</w:t>
      </w:r>
    </w:p>
    <w:p w:rsidR="00CE7B83" w:rsidRPr="00C27992" w:rsidRDefault="00CE7B83" w:rsidP="00CE7B83">
      <w:pPr>
        <w:spacing w:line="360" w:lineRule="auto"/>
        <w:jc w:val="both"/>
        <w:rPr>
          <w:rFonts w:ascii="Palatino Linotype" w:eastAsia="MS Mincho" w:hAnsi="Palatino Linotype" w:cs="Times New Roman"/>
          <w:color w:val="000000" w:themeColor="text1"/>
        </w:rPr>
      </w:pPr>
    </w:p>
    <w:p w:rsidR="00093024" w:rsidRPr="00C27992" w:rsidRDefault="00093024" w:rsidP="00093024">
      <w:pPr>
        <w:pStyle w:val="Prrafodelista"/>
        <w:numPr>
          <w:ilvl w:val="0"/>
          <w:numId w:val="13"/>
        </w:numPr>
        <w:spacing w:line="360" w:lineRule="auto"/>
        <w:ind w:left="993"/>
        <w:jc w:val="both"/>
        <w:rPr>
          <w:rFonts w:ascii="Palatino Linotype" w:hAnsi="Palatino Linotype" w:cs="Arial"/>
          <w:b/>
        </w:rPr>
      </w:pPr>
      <w:bookmarkStart w:id="225" w:name="_Toc503891610"/>
      <w:bookmarkStart w:id="226" w:name="_Toc453696503"/>
      <w:bookmarkStart w:id="227" w:name="_Toc454301156"/>
      <w:bookmarkStart w:id="228" w:name="_Toc462653938"/>
      <w:bookmarkStart w:id="229" w:name="_Toc477891769"/>
      <w:bookmarkStart w:id="230" w:name="_Toc477891859"/>
      <w:bookmarkStart w:id="231" w:name="_Toc481576260"/>
      <w:bookmarkStart w:id="232" w:name="_Toc492590392"/>
      <w:r w:rsidRPr="00C27992">
        <w:rPr>
          <w:rFonts w:ascii="Palatino Linotype" w:hAnsi="Palatino Linotype" w:cs="Arial"/>
          <w:b/>
        </w:rPr>
        <w:t>La documental con la que se notificó a las partes el Laudo del expediente SAE725/2013; y</w:t>
      </w:r>
    </w:p>
    <w:p w:rsidR="00093024" w:rsidRPr="00C27992" w:rsidRDefault="00093024" w:rsidP="00093024">
      <w:pPr>
        <w:spacing w:line="360" w:lineRule="auto"/>
        <w:ind w:left="993"/>
        <w:jc w:val="both"/>
        <w:rPr>
          <w:rFonts w:ascii="Palatino Linotype" w:hAnsi="Palatino Linotype" w:cs="Arial"/>
          <w:b/>
        </w:rPr>
      </w:pPr>
    </w:p>
    <w:p w:rsidR="00AB6F28" w:rsidRPr="00C27992" w:rsidRDefault="00093024" w:rsidP="00093024">
      <w:pPr>
        <w:pStyle w:val="Prrafodelista"/>
        <w:numPr>
          <w:ilvl w:val="0"/>
          <w:numId w:val="13"/>
        </w:numPr>
        <w:spacing w:line="360" w:lineRule="auto"/>
        <w:ind w:left="993"/>
        <w:jc w:val="both"/>
        <w:rPr>
          <w:rFonts w:ascii="Palatino Linotype" w:hAnsi="Palatino Linotype" w:cs="Arial"/>
          <w:b/>
        </w:rPr>
      </w:pPr>
      <w:r w:rsidRPr="00C27992">
        <w:rPr>
          <w:rFonts w:ascii="Palatino Linotype" w:hAnsi="Palatino Linotype" w:cs="Arial"/>
          <w:b/>
        </w:rPr>
        <w:t>El Convenio celebrado en modalidad de pago del Laudo del expediente SAE725/2013.</w:t>
      </w:r>
    </w:p>
    <w:p w:rsidR="00093024" w:rsidRPr="00C27992" w:rsidRDefault="00093024" w:rsidP="00093024">
      <w:pPr>
        <w:spacing w:line="360" w:lineRule="auto"/>
        <w:jc w:val="both"/>
        <w:rPr>
          <w:rFonts w:ascii="Palatino Linotype" w:eastAsia="Calibri" w:hAnsi="Palatino Linotype" w:cs="Arial"/>
        </w:rPr>
      </w:pPr>
    </w:p>
    <w:p w:rsidR="00093024" w:rsidRPr="00C27992" w:rsidRDefault="00093024" w:rsidP="00093024">
      <w:pPr>
        <w:spacing w:line="360" w:lineRule="auto"/>
        <w:jc w:val="both"/>
        <w:rPr>
          <w:rFonts w:ascii="Palatino Linotype" w:eastAsia="Calibri" w:hAnsi="Palatino Linotype" w:cs="Arial"/>
        </w:rPr>
      </w:pPr>
      <w:r w:rsidRPr="00C27992">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w:t>
      </w:r>
      <w:r w:rsidRPr="00C27992">
        <w:rPr>
          <w:rFonts w:ascii="Palatino Linotype" w:eastAsia="Calibri" w:hAnsi="Palatino Linotype" w:cs="Arial"/>
        </w:rPr>
        <w:lastRenderedPageBreak/>
        <w:t xml:space="preserve">dentro del soporte documental respectivo objeto de las versiones públicas que se formulen y se pongan a disposición de </w:t>
      </w:r>
      <w:r w:rsidRPr="00C27992">
        <w:rPr>
          <w:rFonts w:ascii="Palatino Linotype" w:eastAsia="Calibri" w:hAnsi="Palatino Linotype" w:cs="Arial"/>
          <w:b/>
        </w:rPr>
        <w:t>EL RECURRENTE</w:t>
      </w:r>
      <w:r w:rsidRPr="00C27992">
        <w:rPr>
          <w:rFonts w:ascii="Palatino Linotype" w:eastAsia="Calibri" w:hAnsi="Palatino Linotype" w:cs="Arial"/>
        </w:rPr>
        <w:t>.</w:t>
      </w:r>
    </w:p>
    <w:p w:rsidR="00093024" w:rsidRPr="00C27992" w:rsidRDefault="00093024" w:rsidP="00093024">
      <w:pPr>
        <w:spacing w:line="360" w:lineRule="auto"/>
        <w:jc w:val="both"/>
        <w:rPr>
          <w:rFonts w:ascii="Palatino Linotype" w:hAnsi="Palatino Linotype" w:cs="Arial"/>
          <w:b/>
        </w:rPr>
      </w:pPr>
    </w:p>
    <w:p w:rsidR="009F09BC" w:rsidRPr="00C27992" w:rsidRDefault="009F09BC" w:rsidP="00CE7B83">
      <w:pPr>
        <w:tabs>
          <w:tab w:val="left" w:pos="8080"/>
        </w:tabs>
        <w:spacing w:line="360" w:lineRule="auto"/>
        <w:ind w:right="49"/>
        <w:jc w:val="both"/>
        <w:rPr>
          <w:rFonts w:ascii="Palatino Linotype" w:eastAsia="Times New Roman" w:hAnsi="Palatino Linotype" w:cs="Times New Roman"/>
          <w:shd w:val="clear" w:color="auto" w:fill="FFFFFF"/>
        </w:rPr>
      </w:pPr>
      <w:bookmarkStart w:id="233" w:name="_Toc511647758"/>
      <w:bookmarkStart w:id="234" w:name="_Toc511647819"/>
      <w:r w:rsidRPr="00C27992">
        <w:rPr>
          <w:rFonts w:ascii="Palatino Linotype" w:eastAsia="Times New Roman" w:hAnsi="Palatino Linotype" w:cs="Times New Roman"/>
          <w:b/>
        </w:rPr>
        <w:t>TERCERO.</w:t>
      </w:r>
      <w:bookmarkEnd w:id="225"/>
      <w:bookmarkEnd w:id="233"/>
      <w:bookmarkEnd w:id="234"/>
      <w:r w:rsidRPr="00C27992">
        <w:rPr>
          <w:rFonts w:ascii="Palatino Linotype" w:eastAsia="Times New Roman" w:hAnsi="Palatino Linotype" w:cs="Times New Roman"/>
          <w:b/>
        </w:rPr>
        <w:t xml:space="preserve"> </w:t>
      </w:r>
      <w:bookmarkEnd w:id="226"/>
      <w:bookmarkEnd w:id="227"/>
      <w:bookmarkEnd w:id="228"/>
      <w:bookmarkEnd w:id="229"/>
      <w:bookmarkEnd w:id="230"/>
      <w:bookmarkEnd w:id="231"/>
      <w:bookmarkEnd w:id="232"/>
      <w:r w:rsidRPr="00C27992">
        <w:rPr>
          <w:rFonts w:ascii="Palatino Linotype" w:eastAsia="Palatino Linotype" w:hAnsi="Palatino Linotype" w:cs="Palatino Linotype"/>
          <w:b/>
        </w:rPr>
        <w:t xml:space="preserve">Notifíquese </w:t>
      </w:r>
      <w:r w:rsidRPr="00C27992">
        <w:rPr>
          <w:rFonts w:ascii="Palatino Linotype" w:eastAsia="Palatino Linotype" w:hAnsi="Palatino Linotype" w:cs="Palatino Linotype"/>
        </w:rPr>
        <w:t xml:space="preserve">al Titular de la Unidad de Transparencia del </w:t>
      </w:r>
      <w:r w:rsidRPr="00C27992">
        <w:rPr>
          <w:rFonts w:ascii="Palatino Linotype" w:eastAsia="Palatino Linotype" w:hAnsi="Palatino Linotype" w:cs="Palatino Linotype"/>
          <w:b/>
        </w:rPr>
        <w:t>SUJETO OBLIGADO</w:t>
      </w:r>
      <w:r w:rsidR="00CE7B83" w:rsidRPr="00C27992">
        <w:rPr>
          <w:rFonts w:ascii="Palatino Linotype" w:eastAsia="Palatino Linotype" w:hAnsi="Palatino Linotype" w:cs="Palatino Linotype"/>
          <w:b/>
        </w:rPr>
        <w:t xml:space="preserve"> </w:t>
      </w:r>
      <w:r w:rsidR="00CE7B83" w:rsidRPr="00C27992">
        <w:rPr>
          <w:rFonts w:ascii="Palatino Linotype" w:eastAsia="Palatino Linotype" w:hAnsi="Palatino Linotype" w:cs="Palatino Linotype"/>
        </w:rPr>
        <w:t>vía SAIMEX</w:t>
      </w:r>
      <w:r w:rsidRPr="00C27992">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C27992">
        <w:rPr>
          <w:rFonts w:ascii="Palatino Linotype" w:eastAsia="Times New Roman" w:hAnsi="Palatino Linotype" w:cs="Times New Roman"/>
          <w:shd w:val="clear" w:color="auto" w:fill="FFFFFF"/>
        </w:rPr>
        <w:t xml:space="preserve">vigente, dé cumplimiento a lo ordenado dentro del plazo de </w:t>
      </w:r>
      <w:r w:rsidR="00782A12" w:rsidRPr="00C27992">
        <w:rPr>
          <w:rFonts w:ascii="Palatino Linotype" w:eastAsia="Times New Roman" w:hAnsi="Palatino Linotype" w:cs="Times New Roman"/>
          <w:b/>
          <w:shd w:val="clear" w:color="auto" w:fill="FFFFFF"/>
        </w:rPr>
        <w:t>diez</w:t>
      </w:r>
      <w:r w:rsidRPr="00C27992">
        <w:rPr>
          <w:rFonts w:ascii="Palatino Linotype" w:eastAsia="Times New Roman" w:hAnsi="Palatino Linotype" w:cs="Times New Roman"/>
          <w:b/>
          <w:shd w:val="clear" w:color="auto" w:fill="FFFFFF"/>
        </w:rPr>
        <w:t xml:space="preserve"> días hábiles</w:t>
      </w:r>
      <w:r w:rsidRPr="00C27992">
        <w:rPr>
          <w:rFonts w:ascii="Palatino Linotype" w:eastAsia="Times New Roman" w:hAnsi="Palatino Linotype" w:cs="Times New Roman"/>
          <w:shd w:val="clear" w:color="auto" w:fill="FFFFFF"/>
        </w:rPr>
        <w:t>, debiendo rendir a este Instituto el informe de cumplimiento de la resolución en un plazo de tres días hábiles posteriores.</w:t>
      </w:r>
    </w:p>
    <w:p w:rsidR="0057514F" w:rsidRPr="00C27992" w:rsidRDefault="0057514F" w:rsidP="00CE7B83">
      <w:pPr>
        <w:spacing w:line="360" w:lineRule="auto"/>
        <w:jc w:val="both"/>
        <w:rPr>
          <w:rFonts w:ascii="Palatino Linotype" w:hAnsi="Palatino Linotype" w:cs="Arial"/>
          <w:b/>
          <w:sz w:val="20"/>
        </w:rPr>
      </w:pPr>
    </w:p>
    <w:p w:rsidR="0057514F" w:rsidRPr="00C27992" w:rsidRDefault="0057514F" w:rsidP="00CE7B83">
      <w:pPr>
        <w:spacing w:line="360" w:lineRule="auto"/>
        <w:jc w:val="both"/>
        <w:rPr>
          <w:rFonts w:ascii="Palatino Linotype" w:eastAsia="Calibri" w:hAnsi="Palatino Linotype" w:cs="Arial"/>
          <w:bCs/>
        </w:rPr>
      </w:pPr>
      <w:r w:rsidRPr="00C27992">
        <w:rPr>
          <w:rFonts w:ascii="Palatino Linotype" w:hAnsi="Palatino Linotype" w:cs="Arial"/>
          <w:b/>
        </w:rPr>
        <w:t xml:space="preserve">CUARTO. </w:t>
      </w:r>
      <w:r w:rsidRPr="00C27992">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Pr="00C27992">
        <w:rPr>
          <w:rFonts w:ascii="Palatino Linotype" w:eastAsia="Calibri" w:hAnsi="Palatino Linotype" w:cs="Arial"/>
          <w:b/>
          <w:bCs/>
        </w:rPr>
        <w:t>SUJETO OBLIGADO</w:t>
      </w:r>
      <w:r w:rsidRPr="00C27992">
        <w:rPr>
          <w:rFonts w:ascii="Palatino Linotype" w:eastAsia="Calibri" w:hAnsi="Palatino Linotype" w:cs="Arial"/>
          <w:bCs/>
        </w:rPr>
        <w:t xml:space="preserve"> de manera fundada y motivada, podrá solicitar una ampliación de plazo para el cumplimiento de la presente resolución.</w:t>
      </w:r>
    </w:p>
    <w:p w:rsidR="000A7BB4" w:rsidRPr="00C27992" w:rsidRDefault="000A7BB4" w:rsidP="00CE7B83">
      <w:pPr>
        <w:spacing w:line="360" w:lineRule="auto"/>
        <w:jc w:val="both"/>
        <w:rPr>
          <w:rFonts w:ascii="Palatino Linotype" w:eastAsia="Calibri" w:hAnsi="Palatino Linotype" w:cs="Arial"/>
          <w:bCs/>
        </w:rPr>
      </w:pPr>
    </w:p>
    <w:p w:rsidR="009F09BC" w:rsidRPr="00C27992" w:rsidRDefault="0057514F" w:rsidP="00CE7B83">
      <w:pPr>
        <w:tabs>
          <w:tab w:val="left" w:pos="8080"/>
        </w:tabs>
        <w:spacing w:line="360" w:lineRule="auto"/>
        <w:ind w:right="49"/>
        <w:jc w:val="both"/>
        <w:rPr>
          <w:rFonts w:ascii="Palatino Linotype" w:eastAsia="Times New Roman" w:hAnsi="Palatino Linotype" w:cs="Times New Roman"/>
          <w:lang w:val="es-ES" w:eastAsia="es-MX"/>
        </w:rPr>
      </w:pPr>
      <w:bookmarkStart w:id="235" w:name="_Toc492590393"/>
      <w:bookmarkStart w:id="236" w:name="_Toc503891611"/>
      <w:bookmarkStart w:id="237" w:name="_Toc511647759"/>
      <w:bookmarkStart w:id="238" w:name="_Toc511647820"/>
      <w:r w:rsidRPr="00C27992">
        <w:rPr>
          <w:rFonts w:ascii="Palatino Linotype" w:eastAsia="Times New Roman" w:hAnsi="Palatino Linotype" w:cs="Times New Roman"/>
          <w:b/>
        </w:rPr>
        <w:t>QUIN</w:t>
      </w:r>
      <w:r w:rsidR="009F09BC" w:rsidRPr="00C27992">
        <w:rPr>
          <w:rFonts w:ascii="Palatino Linotype" w:eastAsia="Times New Roman" w:hAnsi="Palatino Linotype" w:cs="Times New Roman"/>
          <w:b/>
        </w:rPr>
        <w:t xml:space="preserve">TO. </w:t>
      </w:r>
      <w:r w:rsidR="009F09BC" w:rsidRPr="00C27992">
        <w:rPr>
          <w:rFonts w:ascii="Palatino Linotype" w:eastAsia="Times New Roman" w:hAnsi="Palatino Linotype" w:cs="Times New Roman"/>
        </w:rPr>
        <w:t>Notifíquese</w:t>
      </w:r>
      <w:bookmarkEnd w:id="235"/>
      <w:bookmarkEnd w:id="236"/>
      <w:bookmarkEnd w:id="237"/>
      <w:bookmarkEnd w:id="238"/>
      <w:r w:rsidR="009F09BC" w:rsidRPr="00C27992">
        <w:rPr>
          <w:rFonts w:ascii="Palatino Linotype" w:eastAsia="Times New Roman" w:hAnsi="Palatino Linotype" w:cs="Times New Roman"/>
        </w:rPr>
        <w:t xml:space="preserve"> a </w:t>
      </w:r>
      <w:r w:rsidR="009F09BC" w:rsidRPr="00C27992">
        <w:rPr>
          <w:rFonts w:ascii="Palatino Linotype" w:eastAsia="Times New Roman" w:hAnsi="Palatino Linotype" w:cs="Times New Roman"/>
          <w:b/>
        </w:rPr>
        <w:t>EL RECURRENTE</w:t>
      </w:r>
      <w:r w:rsidR="009F09BC" w:rsidRPr="00C27992">
        <w:rPr>
          <w:rFonts w:ascii="Palatino Linotype" w:eastAsia="Times New Roman" w:hAnsi="Palatino Linotype" w:cs="Times New Roman"/>
        </w:rPr>
        <w:t xml:space="preserve"> la presente</w:t>
      </w:r>
      <w:r w:rsidR="009F09BC" w:rsidRPr="00C27992">
        <w:rPr>
          <w:rFonts w:ascii="Palatino Linotype" w:eastAsia="Times New Roman" w:hAnsi="Palatino Linotype" w:cs="Times New Roman"/>
          <w:lang w:val="es-ES" w:eastAsia="es-MX"/>
        </w:rPr>
        <w:t xml:space="preserve"> resolución</w:t>
      </w:r>
      <w:r w:rsidR="00CE7B83" w:rsidRPr="00C27992">
        <w:rPr>
          <w:rFonts w:ascii="Palatino Linotype" w:eastAsia="Times New Roman" w:hAnsi="Palatino Linotype" w:cs="Times New Roman"/>
          <w:lang w:val="es-ES" w:eastAsia="es-MX"/>
        </w:rPr>
        <w:t>, vía SAIMEX</w:t>
      </w:r>
      <w:r w:rsidR="006D15D0" w:rsidRPr="00C27992">
        <w:rPr>
          <w:rFonts w:ascii="Palatino Linotype" w:eastAsia="Times New Roman" w:hAnsi="Palatino Linotype" w:cs="Times New Roman"/>
          <w:lang w:val="es-ES" w:eastAsia="es-MX"/>
        </w:rPr>
        <w:t>.</w:t>
      </w:r>
    </w:p>
    <w:p w:rsidR="00CE7B83" w:rsidRPr="00C27992" w:rsidRDefault="00CE7B83" w:rsidP="00CE7B83">
      <w:pPr>
        <w:tabs>
          <w:tab w:val="left" w:pos="8080"/>
        </w:tabs>
        <w:spacing w:line="360" w:lineRule="auto"/>
        <w:ind w:right="49"/>
        <w:jc w:val="both"/>
        <w:rPr>
          <w:rFonts w:ascii="Palatino Linotype" w:eastAsia="Times New Roman" w:hAnsi="Palatino Linotype" w:cs="Arial"/>
          <w:b/>
          <w:lang w:val="es-ES"/>
        </w:rPr>
      </w:pPr>
    </w:p>
    <w:p w:rsidR="009F09BC" w:rsidRPr="00C27992" w:rsidRDefault="0057514F" w:rsidP="00CE7B83">
      <w:pPr>
        <w:shd w:val="clear" w:color="auto" w:fill="FFFFFF"/>
        <w:spacing w:line="360" w:lineRule="auto"/>
        <w:jc w:val="both"/>
        <w:rPr>
          <w:rFonts w:ascii="Palatino Linotype" w:eastAsia="Times New Roman" w:hAnsi="Palatino Linotype" w:cs="Times New Roman"/>
          <w:lang w:val="es-ES" w:eastAsia="es-MX"/>
        </w:rPr>
      </w:pPr>
      <w:r w:rsidRPr="00C27992">
        <w:rPr>
          <w:rFonts w:ascii="Palatino Linotype" w:eastAsia="Calibri" w:hAnsi="Palatino Linotype" w:cs="Times New Roman"/>
          <w:b/>
          <w:lang w:val="es-MX" w:eastAsia="en-US"/>
        </w:rPr>
        <w:t>SEX</w:t>
      </w:r>
      <w:r w:rsidR="009F09BC" w:rsidRPr="00C27992">
        <w:rPr>
          <w:rFonts w:ascii="Palatino Linotype" w:eastAsia="Calibri" w:hAnsi="Palatino Linotype" w:cs="Times New Roman"/>
          <w:b/>
          <w:lang w:val="es-MX" w:eastAsia="en-US"/>
        </w:rPr>
        <w:t>TO.</w:t>
      </w:r>
      <w:r w:rsidR="009F09BC" w:rsidRPr="00C27992">
        <w:rPr>
          <w:rFonts w:ascii="Palatino Linotype" w:eastAsia="Calibri" w:hAnsi="Palatino Linotype" w:cs="Times New Roman"/>
          <w:lang w:val="es-MX" w:eastAsia="en-US"/>
        </w:rPr>
        <w:t xml:space="preserve"> </w:t>
      </w:r>
      <w:r w:rsidR="009F09BC" w:rsidRPr="00C27992">
        <w:rPr>
          <w:rFonts w:ascii="Palatino Linotype" w:eastAsia="Times New Roman" w:hAnsi="Palatino Linotype" w:cs="Times New Roman"/>
          <w:lang w:val="es-ES" w:eastAsia="es-MX"/>
        </w:rPr>
        <w:t xml:space="preserve">Se hace del conocimiento de </w:t>
      </w:r>
      <w:r w:rsidR="009F09BC" w:rsidRPr="00C27992">
        <w:rPr>
          <w:rFonts w:ascii="Palatino Linotype" w:eastAsia="Times New Roman" w:hAnsi="Palatino Linotype" w:cs="Times New Roman"/>
          <w:b/>
          <w:lang w:val="es-ES" w:eastAsia="es-MX"/>
        </w:rPr>
        <w:t>EL RECURRENTE</w:t>
      </w:r>
      <w:r w:rsidR="009F09BC" w:rsidRPr="00C27992">
        <w:rPr>
          <w:rFonts w:ascii="Palatino Linotype" w:eastAsia="Times New Roman" w:hAnsi="Palatino Linotype" w:cs="Times New Roman"/>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009F09BC" w:rsidRPr="00C27992">
        <w:rPr>
          <w:rFonts w:ascii="Palatino Linotype" w:eastAsia="Times New Roman" w:hAnsi="Palatino Linotype" w:cs="Times New Roman"/>
          <w:bCs/>
          <w:lang w:val="es-ES" w:eastAsia="es-MX"/>
        </w:rPr>
        <w:t>vía juicio de amparo</w:t>
      </w:r>
      <w:r w:rsidR="009F09BC" w:rsidRPr="00C27992">
        <w:rPr>
          <w:rFonts w:ascii="Palatino Linotype" w:eastAsia="Times New Roman" w:hAnsi="Palatino Linotype" w:cs="Times New Roman"/>
          <w:lang w:val="es-ES" w:eastAsia="es-MX"/>
        </w:rPr>
        <w:t> en los términos de las leyes aplicables.</w:t>
      </w:r>
    </w:p>
    <w:p w:rsidR="00445963" w:rsidRPr="00C27992" w:rsidRDefault="00445963" w:rsidP="00CE7B83">
      <w:pPr>
        <w:shd w:val="clear" w:color="auto" w:fill="FFFFFF"/>
        <w:spacing w:line="360" w:lineRule="auto"/>
        <w:jc w:val="both"/>
        <w:rPr>
          <w:rFonts w:ascii="Palatino Linotype" w:eastAsia="Times New Roman" w:hAnsi="Palatino Linotype" w:cs="Times New Roman"/>
          <w:lang w:val="es-ES" w:eastAsia="es-MX"/>
        </w:rPr>
      </w:pPr>
    </w:p>
    <w:p w:rsidR="00340181" w:rsidRDefault="00340181" w:rsidP="00340181">
      <w:pPr>
        <w:spacing w:before="240" w:after="240" w:line="360" w:lineRule="auto"/>
        <w:jc w:val="both"/>
        <w:rPr>
          <w:rFonts w:ascii="Palatino Linotype" w:hAnsi="Palatino Linotype"/>
        </w:rPr>
      </w:pPr>
      <w:r w:rsidRPr="00C27992">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DIECINUEVE (19) DE OCTUBRE DE DOS MIL VEINTIDÓS, ANTE EL SECRETARIO TÉCNICO DEL PLENO ALEXIS TAPIA RAMÍREZ.</w:t>
      </w:r>
      <w:bookmarkStart w:id="239" w:name="_GoBack"/>
      <w:bookmarkEnd w:id="239"/>
      <w:r w:rsidRPr="00624AAD">
        <w:rPr>
          <w:rFonts w:ascii="Palatino Linotype" w:hAnsi="Palatino Linotype"/>
        </w:rPr>
        <w:t xml:space="preserve"> </w:t>
      </w: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 w:rsidR="009F09BC" w:rsidRPr="009F09BC" w:rsidRDefault="009F09BC" w:rsidP="009F09BC"/>
    <w:p w:rsidR="009F09BC" w:rsidRPr="009F09BC" w:rsidRDefault="009F09BC" w:rsidP="009F09BC"/>
    <w:p w:rsidR="009F09BC" w:rsidRPr="009F09BC" w:rsidRDefault="009F09BC" w:rsidP="009F09BC"/>
    <w:p w:rsidR="009F09BC" w:rsidRPr="009F09BC" w:rsidRDefault="009F09BC" w:rsidP="009F09BC"/>
    <w:p w:rsidR="009F09BC" w:rsidRPr="009F09BC" w:rsidRDefault="009F09BC" w:rsidP="009F09BC"/>
    <w:p w:rsidR="009F09BC" w:rsidRDefault="009F09BC" w:rsidP="009F09BC"/>
    <w:p w:rsidR="009F09BC" w:rsidRDefault="009F09BC" w:rsidP="009F09BC">
      <w:pPr>
        <w:tabs>
          <w:tab w:val="left" w:pos="3374"/>
        </w:tabs>
      </w:pPr>
      <w:r>
        <w:tab/>
      </w: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Pr="009F09BC" w:rsidRDefault="00053FB7" w:rsidP="009F09BC">
      <w:pPr>
        <w:tabs>
          <w:tab w:val="left" w:pos="3374"/>
        </w:tabs>
      </w:pPr>
    </w:p>
    <w:sectPr w:rsidR="00053FB7" w:rsidRPr="009F09BC" w:rsidSect="004B39AF">
      <w:headerReference w:type="even" r:id="rId12"/>
      <w:headerReference w:type="default" r:id="rId13"/>
      <w:footerReference w:type="default" r:id="rId14"/>
      <w:headerReference w:type="first" r:id="rId15"/>
      <w:footerReference w:type="first" r:id="rId16"/>
      <w:pgSz w:w="12240" w:h="15840"/>
      <w:pgMar w:top="2268" w:right="1701"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579" w:rsidRDefault="001D3579" w:rsidP="003B7751">
      <w:r>
        <w:separator/>
      </w:r>
    </w:p>
  </w:endnote>
  <w:endnote w:type="continuationSeparator" w:id="0">
    <w:p w:rsidR="001D3579" w:rsidRDefault="001D3579"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007B29" w:rsidRPr="002D6DD8" w:rsidRDefault="00007B29"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27992">
              <w:rPr>
                <w:rFonts w:ascii="Palatino Linotype" w:hAnsi="Palatino Linotype"/>
                <w:bCs/>
                <w:noProof/>
                <w:sz w:val="20"/>
              </w:rPr>
              <w:t>54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27992">
              <w:rPr>
                <w:rFonts w:ascii="Palatino Linotype" w:hAnsi="Palatino Linotype"/>
                <w:bCs/>
                <w:noProof/>
                <w:sz w:val="20"/>
              </w:rPr>
              <w:t>56</w:t>
            </w:r>
            <w:r>
              <w:rPr>
                <w:rFonts w:ascii="Palatino Linotype" w:hAnsi="Palatino Linotype"/>
                <w:bCs/>
                <w:noProof/>
                <w:sz w:val="20"/>
              </w:rPr>
              <w:fldChar w:fldCharType="end"/>
            </w:r>
          </w:p>
        </w:sdtContent>
      </w:sdt>
    </w:sdtContent>
  </w:sdt>
  <w:p w:rsidR="00007B29" w:rsidRDefault="00007B2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B29" w:rsidRPr="000B69FA" w:rsidRDefault="00007B29"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2799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27992">
      <w:rPr>
        <w:rFonts w:ascii="Palatino Linotype" w:hAnsi="Palatino Linotype"/>
        <w:bCs/>
        <w:noProof/>
        <w:sz w:val="20"/>
      </w:rPr>
      <w:t>56</w:t>
    </w:r>
    <w:r>
      <w:rPr>
        <w:rFonts w:ascii="Palatino Linotype" w:hAnsi="Palatino Linotype"/>
        <w:bCs/>
        <w:noProof/>
        <w:sz w:val="20"/>
      </w:rPr>
      <w:fldChar w:fldCharType="end"/>
    </w:r>
  </w:p>
  <w:p w:rsidR="00007B29" w:rsidRDefault="00007B2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579" w:rsidRDefault="001D3579" w:rsidP="003B7751">
      <w:r>
        <w:separator/>
      </w:r>
    </w:p>
  </w:footnote>
  <w:footnote w:type="continuationSeparator" w:id="0">
    <w:p w:rsidR="001D3579" w:rsidRDefault="001D3579" w:rsidP="003B7751">
      <w:r>
        <w:continuationSeparator/>
      </w:r>
    </w:p>
  </w:footnote>
  <w:footnote w:id="1">
    <w:p w:rsidR="00007B29" w:rsidRPr="009C43C2" w:rsidRDefault="00007B29" w:rsidP="005B6702">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rsidR="00007B29" w:rsidRPr="009C43C2" w:rsidRDefault="00007B29" w:rsidP="005B6702">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rsidR="00007B29" w:rsidRPr="009C43C2" w:rsidRDefault="00007B29" w:rsidP="005B6702">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rsidR="00007B29" w:rsidRDefault="00007B29" w:rsidP="005B6702">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5">
    <w:p w:rsidR="00007B29" w:rsidRDefault="00007B29" w:rsidP="00F83AC3">
      <w:pPr>
        <w:pStyle w:val="Textonotapie"/>
      </w:pPr>
      <w:r>
        <w:rPr>
          <w:rStyle w:val="Refdenotaalpie"/>
        </w:rPr>
        <w:footnoteRef/>
      </w:r>
      <w:r>
        <w:t xml:space="preserve"> Ley de Transparencia y Acceso a la Información Pública del Estado de México y Municipios. Artículo 9. …</w:t>
      </w:r>
    </w:p>
    <w:p w:rsidR="00007B29" w:rsidRDefault="00007B29" w:rsidP="00F83AC3">
      <w:pPr>
        <w:pStyle w:val="Textonotapie"/>
      </w:pPr>
      <w:r>
        <w:t>II. Eficacia: Obligación del Instituto para tutelar, de manera efectiva, el derecho de acceso a la información;</w:t>
      </w:r>
    </w:p>
    <w:p w:rsidR="00007B29" w:rsidRDefault="00007B29" w:rsidP="00F83AC3">
      <w:pPr>
        <w:pStyle w:val="Textonotapie"/>
      </w:pPr>
      <w:r>
        <w:t xml:space="preserve">… </w:t>
      </w:r>
    </w:p>
  </w:footnote>
  <w:footnote w:id="6">
    <w:p w:rsidR="00EC5F2D" w:rsidRPr="00E70844" w:rsidRDefault="00EC5F2D" w:rsidP="00EC5F2D">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BURGOA ORIHUELA Ignacio. </w:t>
      </w:r>
      <w:r w:rsidRPr="00E70844">
        <w:rPr>
          <w:rFonts w:ascii="Palatino Linotype" w:hAnsi="Palatino Linotype" w:cs="Arial"/>
          <w:i/>
          <w:sz w:val="16"/>
          <w:szCs w:val="16"/>
        </w:rPr>
        <w:t>Diccionario De Derecho Constitucional, Garantías y Amparo</w:t>
      </w:r>
      <w:r w:rsidRPr="00E70844">
        <w:rPr>
          <w:rFonts w:ascii="Palatino Linotype" w:hAnsi="Palatino Linotype" w:cs="Arial"/>
          <w:sz w:val="16"/>
          <w:szCs w:val="16"/>
        </w:rPr>
        <w:t>. Ed. Porr</w:t>
      </w:r>
      <w:r>
        <w:rPr>
          <w:rFonts w:ascii="Palatino Linotype" w:hAnsi="Palatino Linotype" w:cs="Arial"/>
          <w:sz w:val="16"/>
          <w:szCs w:val="16"/>
        </w:rPr>
        <w:t>úa, S.A., México. 1992. p. 115.</w:t>
      </w:r>
    </w:p>
  </w:footnote>
  <w:footnote w:id="7">
    <w:p w:rsidR="00EC5F2D" w:rsidRPr="009064F6" w:rsidRDefault="00EC5F2D" w:rsidP="00EC5F2D">
      <w:pPr>
        <w:pStyle w:val="Textonotapie"/>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8">
    <w:p w:rsidR="00EC5F2D" w:rsidRPr="00E70844" w:rsidRDefault="00EC5F2D" w:rsidP="00EC5F2D">
      <w:pPr>
        <w:pStyle w:val="Textonotapie"/>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9">
    <w:p w:rsidR="00EC5F2D" w:rsidRPr="00E70844" w:rsidRDefault="00EC5F2D" w:rsidP="00EC5F2D">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VILLANUEVA VILLANUEVA Ernesto. Derecho de la Información, Ed. Porrúa. </w:t>
      </w:r>
      <w:r>
        <w:rPr>
          <w:rFonts w:ascii="Palatino Linotype" w:hAnsi="Palatino Linotype" w:cs="Arial"/>
          <w:sz w:val="16"/>
          <w:szCs w:val="16"/>
        </w:rPr>
        <w:t>S.A., México. 2006. p. 270.</w:t>
      </w:r>
    </w:p>
    <w:p w:rsidR="00EC5F2D" w:rsidRPr="00CE236E" w:rsidRDefault="00EC5F2D" w:rsidP="00EC5F2D">
      <w:pPr>
        <w:pStyle w:val="Textonotapie"/>
        <w:jc w:val="both"/>
        <w:rPr>
          <w:rFonts w:ascii="Arial" w:hAnsi="Arial" w:cs="Arial"/>
          <w:sz w:val="16"/>
          <w:szCs w:val="16"/>
        </w:rPr>
      </w:pPr>
    </w:p>
  </w:footnote>
  <w:footnote w:id="10">
    <w:p w:rsidR="00093024" w:rsidRDefault="00093024" w:rsidP="00093024">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093024" w:rsidRDefault="00093024" w:rsidP="00093024">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11">
    <w:p w:rsidR="00093024" w:rsidRDefault="00093024" w:rsidP="00093024">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12">
    <w:p w:rsidR="00093024" w:rsidRDefault="00093024" w:rsidP="00093024">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093024" w:rsidRDefault="00093024" w:rsidP="00093024">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093024" w:rsidRDefault="00093024" w:rsidP="00093024">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3">
    <w:p w:rsidR="00093024" w:rsidRDefault="00093024" w:rsidP="00093024">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Época. Semanario Judicial de la Federación y su Gaceta. Tomo III, marzo de 1996. Pág 769. Consultado en http://sjf.scjn.gob.mx/sjfsist/Documentos/Tesis/203/203143.pdf  el viernes 16 de junio de 2017.</w:t>
      </w:r>
    </w:p>
  </w:footnote>
  <w:footnote w:id="14">
    <w:p w:rsidR="00093024" w:rsidRDefault="00093024" w:rsidP="00093024">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093024" w:rsidRDefault="00093024" w:rsidP="00093024">
      <w:pPr>
        <w:pStyle w:val="Textonotapie"/>
        <w:jc w:val="both"/>
        <w:rPr>
          <w:rFonts w:ascii="Palatino Linotype" w:hAnsi="Palatino Linotype"/>
          <w:sz w:val="18"/>
        </w:rPr>
      </w:pPr>
      <w:r>
        <w:rPr>
          <w:rFonts w:ascii="Palatino Linotype" w:hAnsi="Palatino Linotype"/>
          <w:sz w:val="18"/>
        </w:rPr>
        <w:t xml:space="preserve"> (…)</w:t>
      </w:r>
    </w:p>
    <w:p w:rsidR="00093024" w:rsidRDefault="00093024" w:rsidP="00093024">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B29" w:rsidRDefault="001D3579">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007B29" w:rsidTr="006A04B6">
      <w:trPr>
        <w:trHeight w:val="227"/>
      </w:trPr>
      <w:tc>
        <w:tcPr>
          <w:tcW w:w="2976" w:type="dxa"/>
          <w:vAlign w:val="center"/>
          <w:hideMark/>
        </w:tcPr>
        <w:p w:rsidR="00007B29" w:rsidRPr="00674A46" w:rsidRDefault="00007B29"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007B29" w:rsidRPr="00485ED8" w:rsidRDefault="00007B29" w:rsidP="0038112D">
          <w:pPr>
            <w:pStyle w:val="Encabezado"/>
            <w:rPr>
              <w:rFonts w:ascii="Palatino Linotype" w:hAnsi="Palatino Linotype"/>
              <w:b/>
              <w:sz w:val="22"/>
              <w:szCs w:val="22"/>
            </w:rPr>
          </w:pPr>
          <w:r>
            <w:rPr>
              <w:rFonts w:ascii="Palatino Linotype" w:hAnsi="Palatino Linotype" w:cs="Arial"/>
              <w:b/>
              <w:bCs/>
              <w:sz w:val="22"/>
              <w:szCs w:val="22"/>
              <w:lang w:eastAsia="es-MX"/>
            </w:rPr>
            <w:t>13148</w:t>
          </w:r>
          <w:r w:rsidRPr="00485ED8">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2</w:t>
          </w:r>
        </w:p>
      </w:tc>
    </w:tr>
    <w:tr w:rsidR="00007B29" w:rsidTr="006A04B6">
      <w:trPr>
        <w:trHeight w:val="242"/>
      </w:trPr>
      <w:tc>
        <w:tcPr>
          <w:tcW w:w="2976" w:type="dxa"/>
          <w:vAlign w:val="center"/>
          <w:hideMark/>
        </w:tcPr>
        <w:p w:rsidR="00007B29" w:rsidRPr="00674A46" w:rsidRDefault="00007B29"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007B29" w:rsidRPr="00485ED8" w:rsidRDefault="00007B29" w:rsidP="009861EE">
          <w:pPr>
            <w:pStyle w:val="Encabezado"/>
            <w:jc w:val="both"/>
            <w:rPr>
              <w:rFonts w:ascii="Palatino Linotype" w:hAnsi="Palatino Linotype"/>
              <w:b/>
              <w:sz w:val="22"/>
              <w:szCs w:val="22"/>
            </w:rPr>
          </w:pPr>
          <w:r w:rsidRPr="004856B7">
            <w:rPr>
              <w:rFonts w:ascii="Palatino Linotype" w:hAnsi="Palatino Linotype"/>
              <w:b/>
              <w:bCs/>
              <w:color w:val="000000"/>
              <w:sz w:val="22"/>
              <w:szCs w:val="22"/>
            </w:rPr>
            <w:t>Tribunal Estatal de Conciliación y Arbitraje</w:t>
          </w:r>
        </w:p>
      </w:tc>
    </w:tr>
    <w:tr w:rsidR="00007B29" w:rsidTr="006A04B6">
      <w:trPr>
        <w:trHeight w:val="342"/>
      </w:trPr>
      <w:tc>
        <w:tcPr>
          <w:tcW w:w="2976" w:type="dxa"/>
          <w:vAlign w:val="center"/>
          <w:hideMark/>
        </w:tcPr>
        <w:p w:rsidR="00007B29" w:rsidRPr="00674A46" w:rsidRDefault="00007B29"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543" w:type="dxa"/>
          <w:vAlign w:val="center"/>
          <w:hideMark/>
        </w:tcPr>
        <w:p w:rsidR="00007B29" w:rsidRPr="00485ED8" w:rsidRDefault="00007B29"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rsidR="00007B29" w:rsidRPr="00AE046A" w:rsidRDefault="001D3579"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007B29" w:rsidTr="006A04B6">
      <w:trPr>
        <w:trHeight w:val="227"/>
      </w:trPr>
      <w:tc>
        <w:tcPr>
          <w:tcW w:w="2977" w:type="dxa"/>
          <w:vAlign w:val="center"/>
          <w:hideMark/>
        </w:tcPr>
        <w:p w:rsidR="00007B29" w:rsidRPr="00674A46" w:rsidRDefault="00007B29"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rsidR="00007B29" w:rsidRPr="00485ED8" w:rsidRDefault="00007B29" w:rsidP="008A699B">
          <w:pPr>
            <w:pStyle w:val="Encabezado"/>
            <w:rPr>
              <w:rFonts w:ascii="Palatino Linotype" w:hAnsi="Palatino Linotype"/>
              <w:b/>
              <w:sz w:val="22"/>
              <w:szCs w:val="22"/>
            </w:rPr>
          </w:pPr>
          <w:r>
            <w:rPr>
              <w:rFonts w:ascii="Palatino Linotype" w:hAnsi="Palatino Linotype" w:cs="Arial"/>
              <w:b/>
              <w:bCs/>
              <w:sz w:val="22"/>
              <w:szCs w:val="22"/>
              <w:lang w:eastAsia="es-MX"/>
            </w:rPr>
            <w:t>13148</w:t>
          </w:r>
          <w:r w:rsidRPr="00DE2F5A">
            <w:rPr>
              <w:rFonts w:ascii="Palatino Linotype" w:hAnsi="Palatino Linotype" w:cs="Arial"/>
              <w:b/>
              <w:bCs/>
              <w:sz w:val="22"/>
              <w:szCs w:val="22"/>
              <w:lang w:eastAsia="es-MX"/>
            </w:rPr>
            <w:t>/INFOEM/IP/RR/2022</w:t>
          </w:r>
        </w:p>
      </w:tc>
    </w:tr>
    <w:tr w:rsidR="00007B29" w:rsidTr="00652937">
      <w:trPr>
        <w:trHeight w:val="242"/>
      </w:trPr>
      <w:tc>
        <w:tcPr>
          <w:tcW w:w="2977" w:type="dxa"/>
          <w:vAlign w:val="center"/>
          <w:hideMark/>
        </w:tcPr>
        <w:p w:rsidR="00007B29" w:rsidRPr="00674A46" w:rsidRDefault="00007B29"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tcPr>
        <w:p w:rsidR="00007B29" w:rsidRPr="00B75F20" w:rsidRDefault="00C27992" w:rsidP="009F09BC">
          <w:pPr>
            <w:pStyle w:val="Encabezado"/>
            <w:tabs>
              <w:tab w:val="left" w:pos="521"/>
            </w:tabs>
            <w:rPr>
              <w:rFonts w:ascii="Palatino Linotype" w:hAnsi="Palatino Linotype"/>
              <w:b/>
              <w:sz w:val="22"/>
              <w:szCs w:val="22"/>
            </w:rPr>
          </w:pPr>
          <w:r>
            <w:rPr>
              <w:rFonts w:ascii="Palatino Linotype" w:hAnsi="Palatino Linotype"/>
              <w:b/>
              <w:sz w:val="22"/>
              <w:szCs w:val="22"/>
            </w:rPr>
            <w:t xml:space="preserve">XXX XXXX </w:t>
          </w:r>
          <w:proofErr w:type="spellStart"/>
          <w:r>
            <w:rPr>
              <w:rFonts w:ascii="Palatino Linotype" w:hAnsi="Palatino Linotype"/>
              <w:b/>
              <w:sz w:val="22"/>
              <w:szCs w:val="22"/>
            </w:rPr>
            <w:t>XXXX</w:t>
          </w:r>
          <w:proofErr w:type="spellEnd"/>
        </w:p>
      </w:tc>
    </w:tr>
    <w:tr w:rsidR="00007B29" w:rsidTr="006A04B6">
      <w:trPr>
        <w:trHeight w:val="342"/>
      </w:trPr>
      <w:tc>
        <w:tcPr>
          <w:tcW w:w="2977" w:type="dxa"/>
          <w:vAlign w:val="center"/>
        </w:tcPr>
        <w:p w:rsidR="00007B29" w:rsidRPr="00674A46" w:rsidRDefault="00007B29"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rsidR="00007B29" w:rsidRPr="00674A46" w:rsidRDefault="00007B29" w:rsidP="009861EE">
          <w:pPr>
            <w:pStyle w:val="Encabezado"/>
            <w:jc w:val="both"/>
            <w:rPr>
              <w:rFonts w:ascii="Palatino Linotype" w:hAnsi="Palatino Linotype"/>
              <w:b/>
              <w:sz w:val="22"/>
              <w:szCs w:val="22"/>
            </w:rPr>
          </w:pPr>
          <w:r w:rsidRPr="004856B7">
            <w:rPr>
              <w:rFonts w:ascii="Palatino Linotype" w:hAnsi="Palatino Linotype"/>
              <w:b/>
              <w:bCs/>
              <w:color w:val="000000"/>
              <w:sz w:val="22"/>
              <w:szCs w:val="22"/>
            </w:rPr>
            <w:t>Tribunal Estatal de Conciliación y Arbitraje</w:t>
          </w:r>
        </w:p>
      </w:tc>
    </w:tr>
    <w:tr w:rsidR="00007B29" w:rsidTr="006A04B6">
      <w:trPr>
        <w:trHeight w:val="342"/>
      </w:trPr>
      <w:tc>
        <w:tcPr>
          <w:tcW w:w="2977" w:type="dxa"/>
          <w:vAlign w:val="center"/>
        </w:tcPr>
        <w:p w:rsidR="00007B29" w:rsidRPr="00674A46" w:rsidRDefault="00007B29"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rsidR="00007B29" w:rsidRPr="00674A46" w:rsidRDefault="00007B29"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rsidR="00007B29" w:rsidRPr="00C222C0" w:rsidRDefault="001D3579">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542A1"/>
    <w:multiLevelType w:val="hybridMultilevel"/>
    <w:tmpl w:val="C56C7656"/>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 w15:restartNumberingAfterBreak="0">
    <w:nsid w:val="0C2C27A5"/>
    <w:multiLevelType w:val="hybridMultilevel"/>
    <w:tmpl w:val="23F82CE4"/>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2" w15:restartNumberingAfterBreak="0">
    <w:nsid w:val="101A5DEB"/>
    <w:multiLevelType w:val="hybridMultilevel"/>
    <w:tmpl w:val="7B76C8E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15:restartNumberingAfterBreak="0">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4317490"/>
    <w:multiLevelType w:val="hybridMultilevel"/>
    <w:tmpl w:val="66DA59C0"/>
    <w:lvl w:ilvl="0" w:tplc="F5C4018E">
      <w:start w:val="1"/>
      <w:numFmt w:val="decimal"/>
      <w:lvlText w:val="%1."/>
      <w:lvlJc w:val="left"/>
      <w:pPr>
        <w:ind w:left="502"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45168FE"/>
    <w:multiLevelType w:val="hybridMultilevel"/>
    <w:tmpl w:val="2A5C56AE"/>
    <w:lvl w:ilvl="0" w:tplc="0C0A0017">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8"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B612FC2"/>
    <w:multiLevelType w:val="hybridMultilevel"/>
    <w:tmpl w:val="D92631F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E616099"/>
    <w:multiLevelType w:val="hybridMultilevel"/>
    <w:tmpl w:val="C1C6450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2" w15:restartNumberingAfterBreak="0">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5"/>
  </w:num>
  <w:num w:numId="2">
    <w:abstractNumId w:val="13"/>
  </w:num>
  <w:num w:numId="3">
    <w:abstractNumId w:val="4"/>
  </w:num>
  <w:num w:numId="4">
    <w:abstractNumId w:val="9"/>
  </w:num>
  <w:num w:numId="5">
    <w:abstractNumId w:val="3"/>
  </w:num>
  <w:num w:numId="6">
    <w:abstractNumId w:val="10"/>
  </w:num>
  <w:num w:numId="7">
    <w:abstractNumId w:val="0"/>
  </w:num>
  <w:num w:numId="8">
    <w:abstractNumId w:val="2"/>
  </w:num>
  <w:num w:numId="9">
    <w:abstractNumId w:val="1"/>
  </w:num>
  <w:num w:numId="10">
    <w:abstractNumId w:val="11"/>
  </w:num>
  <w:num w:numId="11">
    <w:abstractNumId w:val="14"/>
  </w:num>
  <w:num w:numId="12">
    <w:abstractNumId w:val="8"/>
  </w:num>
  <w:num w:numId="13">
    <w:abstractNumId w:val="7"/>
  </w:num>
  <w:num w:numId="14">
    <w:abstractNumId w:val="6"/>
  </w:num>
  <w:num w:numId="1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2446"/>
    <w:rsid w:val="000067B3"/>
    <w:rsid w:val="00007B29"/>
    <w:rsid w:val="00010C43"/>
    <w:rsid w:val="0001674C"/>
    <w:rsid w:val="00020780"/>
    <w:rsid w:val="00025C53"/>
    <w:rsid w:val="00030FBC"/>
    <w:rsid w:val="000358BF"/>
    <w:rsid w:val="00036137"/>
    <w:rsid w:val="000373F6"/>
    <w:rsid w:val="00051287"/>
    <w:rsid w:val="00053FB7"/>
    <w:rsid w:val="0007639B"/>
    <w:rsid w:val="000803F7"/>
    <w:rsid w:val="0008243D"/>
    <w:rsid w:val="00093024"/>
    <w:rsid w:val="000A7BB4"/>
    <w:rsid w:val="000E1A02"/>
    <w:rsid w:val="000E4891"/>
    <w:rsid w:val="000F1081"/>
    <w:rsid w:val="00114502"/>
    <w:rsid w:val="00124FD1"/>
    <w:rsid w:val="00125822"/>
    <w:rsid w:val="001352F5"/>
    <w:rsid w:val="001632E6"/>
    <w:rsid w:val="00170D82"/>
    <w:rsid w:val="00173F2B"/>
    <w:rsid w:val="00187C95"/>
    <w:rsid w:val="001921D1"/>
    <w:rsid w:val="001A18E7"/>
    <w:rsid w:val="001C4290"/>
    <w:rsid w:val="001D23C1"/>
    <w:rsid w:val="001D3579"/>
    <w:rsid w:val="001D373F"/>
    <w:rsid w:val="001D5404"/>
    <w:rsid w:val="001D630C"/>
    <w:rsid w:val="001E2092"/>
    <w:rsid w:val="001E755B"/>
    <w:rsid w:val="00216E80"/>
    <w:rsid w:val="00220982"/>
    <w:rsid w:val="00223C06"/>
    <w:rsid w:val="00237FA4"/>
    <w:rsid w:val="002453DA"/>
    <w:rsid w:val="002544F9"/>
    <w:rsid w:val="00264C9A"/>
    <w:rsid w:val="002650A0"/>
    <w:rsid w:val="00272CA2"/>
    <w:rsid w:val="00277FAC"/>
    <w:rsid w:val="002901F4"/>
    <w:rsid w:val="00291500"/>
    <w:rsid w:val="002A3B71"/>
    <w:rsid w:val="002C0D3C"/>
    <w:rsid w:val="002C1123"/>
    <w:rsid w:val="002C3821"/>
    <w:rsid w:val="002C4997"/>
    <w:rsid w:val="002D294C"/>
    <w:rsid w:val="0030094A"/>
    <w:rsid w:val="00311E1A"/>
    <w:rsid w:val="00312281"/>
    <w:rsid w:val="00323FFD"/>
    <w:rsid w:val="00340181"/>
    <w:rsid w:val="003437D9"/>
    <w:rsid w:val="00353F1D"/>
    <w:rsid w:val="0037157C"/>
    <w:rsid w:val="0038112D"/>
    <w:rsid w:val="003833B3"/>
    <w:rsid w:val="003933C4"/>
    <w:rsid w:val="003A15C8"/>
    <w:rsid w:val="003B7751"/>
    <w:rsid w:val="003C13F1"/>
    <w:rsid w:val="003D4C4B"/>
    <w:rsid w:val="003E66D2"/>
    <w:rsid w:val="00403D64"/>
    <w:rsid w:val="00407FDA"/>
    <w:rsid w:val="004118FA"/>
    <w:rsid w:val="00423A1D"/>
    <w:rsid w:val="00425842"/>
    <w:rsid w:val="00437672"/>
    <w:rsid w:val="00445963"/>
    <w:rsid w:val="00453A1F"/>
    <w:rsid w:val="00456CFF"/>
    <w:rsid w:val="004856B7"/>
    <w:rsid w:val="004A264F"/>
    <w:rsid w:val="004B39AF"/>
    <w:rsid w:val="004B637E"/>
    <w:rsid w:val="004E4EE6"/>
    <w:rsid w:val="004E6CE4"/>
    <w:rsid w:val="004F34D1"/>
    <w:rsid w:val="0050702D"/>
    <w:rsid w:val="00516F16"/>
    <w:rsid w:val="0051715A"/>
    <w:rsid w:val="00521DE8"/>
    <w:rsid w:val="00525DE0"/>
    <w:rsid w:val="005331D8"/>
    <w:rsid w:val="00541549"/>
    <w:rsid w:val="005432D0"/>
    <w:rsid w:val="00546076"/>
    <w:rsid w:val="00547ACE"/>
    <w:rsid w:val="005507B0"/>
    <w:rsid w:val="00552C42"/>
    <w:rsid w:val="00554A21"/>
    <w:rsid w:val="00556E0A"/>
    <w:rsid w:val="0055724F"/>
    <w:rsid w:val="00563F2E"/>
    <w:rsid w:val="0057514F"/>
    <w:rsid w:val="00575E75"/>
    <w:rsid w:val="00583A39"/>
    <w:rsid w:val="005B076D"/>
    <w:rsid w:val="005B6702"/>
    <w:rsid w:val="005C5021"/>
    <w:rsid w:val="005D2F1C"/>
    <w:rsid w:val="005D4C57"/>
    <w:rsid w:val="0062406B"/>
    <w:rsid w:val="00647F7C"/>
    <w:rsid w:val="00652937"/>
    <w:rsid w:val="00657639"/>
    <w:rsid w:val="00661E30"/>
    <w:rsid w:val="006672E1"/>
    <w:rsid w:val="00680C93"/>
    <w:rsid w:val="006923F0"/>
    <w:rsid w:val="006A04B6"/>
    <w:rsid w:val="006A6390"/>
    <w:rsid w:val="006B4778"/>
    <w:rsid w:val="006D15D0"/>
    <w:rsid w:val="006D6CC1"/>
    <w:rsid w:val="006E7397"/>
    <w:rsid w:val="006E7C94"/>
    <w:rsid w:val="00711062"/>
    <w:rsid w:val="007142AB"/>
    <w:rsid w:val="007142D6"/>
    <w:rsid w:val="00716BCA"/>
    <w:rsid w:val="00720371"/>
    <w:rsid w:val="00723A87"/>
    <w:rsid w:val="0074110E"/>
    <w:rsid w:val="00742823"/>
    <w:rsid w:val="0076007B"/>
    <w:rsid w:val="00775EB2"/>
    <w:rsid w:val="00782A12"/>
    <w:rsid w:val="007851DB"/>
    <w:rsid w:val="007A33A8"/>
    <w:rsid w:val="007A460E"/>
    <w:rsid w:val="007A6A1A"/>
    <w:rsid w:val="007F0225"/>
    <w:rsid w:val="00804DAA"/>
    <w:rsid w:val="00806160"/>
    <w:rsid w:val="0082142B"/>
    <w:rsid w:val="008227A9"/>
    <w:rsid w:val="008468BF"/>
    <w:rsid w:val="008526F4"/>
    <w:rsid w:val="008563C8"/>
    <w:rsid w:val="008573BF"/>
    <w:rsid w:val="0086792A"/>
    <w:rsid w:val="0087160F"/>
    <w:rsid w:val="00873EB6"/>
    <w:rsid w:val="0088356A"/>
    <w:rsid w:val="008941CE"/>
    <w:rsid w:val="008A699B"/>
    <w:rsid w:val="008B0637"/>
    <w:rsid w:val="008C1ED7"/>
    <w:rsid w:val="008E02A1"/>
    <w:rsid w:val="008E0884"/>
    <w:rsid w:val="008E330F"/>
    <w:rsid w:val="008E6574"/>
    <w:rsid w:val="008F3A83"/>
    <w:rsid w:val="008F5B26"/>
    <w:rsid w:val="008F6998"/>
    <w:rsid w:val="008F6D18"/>
    <w:rsid w:val="009031B3"/>
    <w:rsid w:val="00911A75"/>
    <w:rsid w:val="009126F1"/>
    <w:rsid w:val="00914FFF"/>
    <w:rsid w:val="009335F9"/>
    <w:rsid w:val="00945135"/>
    <w:rsid w:val="00945290"/>
    <w:rsid w:val="009548C4"/>
    <w:rsid w:val="00955B91"/>
    <w:rsid w:val="00984DE7"/>
    <w:rsid w:val="00985A1A"/>
    <w:rsid w:val="009861EE"/>
    <w:rsid w:val="009972BB"/>
    <w:rsid w:val="009A2251"/>
    <w:rsid w:val="009A458E"/>
    <w:rsid w:val="009D5A32"/>
    <w:rsid w:val="009E68D3"/>
    <w:rsid w:val="009F09BC"/>
    <w:rsid w:val="00A03CA9"/>
    <w:rsid w:val="00A23E82"/>
    <w:rsid w:val="00A305ED"/>
    <w:rsid w:val="00A323DA"/>
    <w:rsid w:val="00A626EB"/>
    <w:rsid w:val="00AB0484"/>
    <w:rsid w:val="00AB6F28"/>
    <w:rsid w:val="00AD316E"/>
    <w:rsid w:val="00AD42E6"/>
    <w:rsid w:val="00AD63B4"/>
    <w:rsid w:val="00AF4BBC"/>
    <w:rsid w:val="00B07BF8"/>
    <w:rsid w:val="00B11CDD"/>
    <w:rsid w:val="00B37783"/>
    <w:rsid w:val="00B530E8"/>
    <w:rsid w:val="00B54FA6"/>
    <w:rsid w:val="00B86242"/>
    <w:rsid w:val="00BA2EA8"/>
    <w:rsid w:val="00BA4537"/>
    <w:rsid w:val="00BB350C"/>
    <w:rsid w:val="00BB7E5D"/>
    <w:rsid w:val="00BE0A62"/>
    <w:rsid w:val="00BE2A9D"/>
    <w:rsid w:val="00BF3FB5"/>
    <w:rsid w:val="00C00610"/>
    <w:rsid w:val="00C03BA3"/>
    <w:rsid w:val="00C06D9D"/>
    <w:rsid w:val="00C0715F"/>
    <w:rsid w:val="00C105CC"/>
    <w:rsid w:val="00C14F2A"/>
    <w:rsid w:val="00C1527C"/>
    <w:rsid w:val="00C21FAE"/>
    <w:rsid w:val="00C22A47"/>
    <w:rsid w:val="00C242A7"/>
    <w:rsid w:val="00C27992"/>
    <w:rsid w:val="00C41B2B"/>
    <w:rsid w:val="00C41E57"/>
    <w:rsid w:val="00C43D45"/>
    <w:rsid w:val="00C47C3D"/>
    <w:rsid w:val="00C47D9C"/>
    <w:rsid w:val="00C54D99"/>
    <w:rsid w:val="00C83CF9"/>
    <w:rsid w:val="00C85E64"/>
    <w:rsid w:val="00C87396"/>
    <w:rsid w:val="00C90814"/>
    <w:rsid w:val="00C91F0F"/>
    <w:rsid w:val="00CA1063"/>
    <w:rsid w:val="00CB757D"/>
    <w:rsid w:val="00CC5B2F"/>
    <w:rsid w:val="00CE7B83"/>
    <w:rsid w:val="00CF0D2B"/>
    <w:rsid w:val="00CF7362"/>
    <w:rsid w:val="00D021A5"/>
    <w:rsid w:val="00D16FC7"/>
    <w:rsid w:val="00D30C5D"/>
    <w:rsid w:val="00D31FC8"/>
    <w:rsid w:val="00D41237"/>
    <w:rsid w:val="00D47231"/>
    <w:rsid w:val="00D6224B"/>
    <w:rsid w:val="00D6651B"/>
    <w:rsid w:val="00D66E65"/>
    <w:rsid w:val="00D81329"/>
    <w:rsid w:val="00D84DEA"/>
    <w:rsid w:val="00D96104"/>
    <w:rsid w:val="00DA6D37"/>
    <w:rsid w:val="00DB753F"/>
    <w:rsid w:val="00DE2F5A"/>
    <w:rsid w:val="00DE5BF3"/>
    <w:rsid w:val="00DF03A5"/>
    <w:rsid w:val="00DF089A"/>
    <w:rsid w:val="00E118BA"/>
    <w:rsid w:val="00E17429"/>
    <w:rsid w:val="00E2049F"/>
    <w:rsid w:val="00E4402C"/>
    <w:rsid w:val="00E54330"/>
    <w:rsid w:val="00E56172"/>
    <w:rsid w:val="00E5636B"/>
    <w:rsid w:val="00E566C9"/>
    <w:rsid w:val="00E61C13"/>
    <w:rsid w:val="00E61DA9"/>
    <w:rsid w:val="00E7004C"/>
    <w:rsid w:val="00E92E04"/>
    <w:rsid w:val="00EA49A6"/>
    <w:rsid w:val="00EA5A0F"/>
    <w:rsid w:val="00EC5121"/>
    <w:rsid w:val="00EC5F2D"/>
    <w:rsid w:val="00ED1D6B"/>
    <w:rsid w:val="00ED3A35"/>
    <w:rsid w:val="00ED6E75"/>
    <w:rsid w:val="00F24A04"/>
    <w:rsid w:val="00F24B40"/>
    <w:rsid w:val="00F31B5E"/>
    <w:rsid w:val="00F35B0C"/>
    <w:rsid w:val="00F42ADB"/>
    <w:rsid w:val="00F474CE"/>
    <w:rsid w:val="00F52E40"/>
    <w:rsid w:val="00F55C6C"/>
    <w:rsid w:val="00F72588"/>
    <w:rsid w:val="00F7371C"/>
    <w:rsid w:val="00F749D8"/>
    <w:rsid w:val="00F83AC3"/>
    <w:rsid w:val="00F946B5"/>
    <w:rsid w:val="00FA0EA9"/>
    <w:rsid w:val="00FA32CE"/>
    <w:rsid w:val="00FB4F97"/>
    <w:rsid w:val="00FB6D42"/>
    <w:rsid w:val="00FD2FA4"/>
    <w:rsid w:val="00FD7DDD"/>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3"/>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BA99A-6360-4123-BBFB-5A06DFD02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1093</TotalTime>
  <Pages>56</Pages>
  <Words>12160</Words>
  <Characters>66882</Characters>
  <Application>Microsoft Office Word</Application>
  <DocSecurity>0</DocSecurity>
  <Lines>557</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DELL</cp:lastModifiedBy>
  <cp:revision>13</cp:revision>
  <dcterms:created xsi:type="dcterms:W3CDTF">2022-10-06T15:40:00Z</dcterms:created>
  <dcterms:modified xsi:type="dcterms:W3CDTF">2022-11-13T04:42:00Z</dcterms:modified>
</cp:coreProperties>
</file>