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5D0" w:rsidRDefault="007355D0">
      <w:pPr>
        <w:widowControl w:val="0"/>
        <w:pBdr>
          <w:top w:val="nil"/>
          <w:left w:val="nil"/>
          <w:bottom w:val="nil"/>
          <w:right w:val="nil"/>
          <w:between w:val="nil"/>
        </w:pBdr>
        <w:spacing w:after="0" w:line="276" w:lineRule="auto"/>
      </w:pPr>
    </w:p>
    <w:p w:rsidR="007355D0" w:rsidRDefault="00CF6A5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primero de junio de dos mil veintidós.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02384/INFOEM/IP/RR/2022</w:t>
      </w:r>
      <w:r>
        <w:rPr>
          <w:rFonts w:ascii="Palatino Linotype" w:eastAsia="Palatino Linotype" w:hAnsi="Palatino Linotype" w:cs="Palatino Linotype"/>
          <w:sz w:val="24"/>
          <w:szCs w:val="24"/>
        </w:rPr>
        <w:t xml:space="preserve">, interpuesto por una persona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00675/M</w:t>
      </w:r>
      <w:r>
        <w:rPr>
          <w:rFonts w:ascii="Palatino Linotype" w:eastAsia="Palatino Linotype" w:hAnsi="Palatino Linotype" w:cs="Palatino Linotype"/>
          <w:b/>
          <w:sz w:val="24"/>
          <w:szCs w:val="24"/>
        </w:rPr>
        <w:t>ETEPEC/IP/2022,</w:t>
      </w:r>
      <w:r>
        <w:rPr>
          <w:rFonts w:ascii="Palatino Linotype" w:eastAsia="Palatino Linotype" w:hAnsi="Palatino Linotype" w:cs="Palatino Linotype"/>
          <w:sz w:val="24"/>
          <w:szCs w:val="24"/>
        </w:rPr>
        <w:t xml:space="preserve"> por parte del </w:t>
      </w:r>
      <w:r>
        <w:rPr>
          <w:rFonts w:ascii="Palatino Linotype" w:eastAsia="Palatino Linotype" w:hAnsi="Palatino Linotype" w:cs="Palatino Linotype"/>
          <w:b/>
          <w:sz w:val="24"/>
          <w:szCs w:val="24"/>
        </w:rPr>
        <w:t>Ayuntamiento de Metepec</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7355D0" w:rsidRDefault="00CF6A53">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rsidR="007355D0" w:rsidRDefault="00CF6A5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diez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color w:val="FF0000"/>
        </w:rPr>
        <w:t> </w:t>
      </w:r>
      <w:r>
        <w:rPr>
          <w:rFonts w:ascii="Palatino Linotype" w:eastAsia="Palatino Linotype" w:hAnsi="Palatino Linotype" w:cs="Palatino Linotype"/>
          <w:b/>
          <w:sz w:val="24"/>
          <w:szCs w:val="24"/>
        </w:rPr>
        <w:t xml:space="preserve">00675/METEPEC/IP/2022, </w:t>
      </w:r>
      <w:r>
        <w:rPr>
          <w:rFonts w:ascii="Palatino Linotype" w:eastAsia="Palatino Linotype" w:hAnsi="Palatino Linotype" w:cs="Palatino Linotype"/>
          <w:sz w:val="24"/>
          <w:szCs w:val="24"/>
        </w:rPr>
        <w:t>mediante la cual solicitó información en el</w:t>
      </w:r>
      <w:r>
        <w:rPr>
          <w:rFonts w:ascii="Palatino Linotype" w:eastAsia="Palatino Linotype" w:hAnsi="Palatino Linotype" w:cs="Palatino Linotype"/>
          <w:sz w:val="24"/>
          <w:szCs w:val="24"/>
        </w:rPr>
        <w:t xml:space="preserve"> tenor siguiente:</w:t>
      </w:r>
    </w:p>
    <w:p w:rsidR="007355D0" w:rsidRDefault="00CF6A53">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“Del siguiente video, se solicita copia de los clips de video utilizados, así como el audio. https://www.facebook.com/FernandoFloresMetepec/posts/659470552160364. “(Sic)</w:t>
      </w:r>
    </w:p>
    <w:p w:rsidR="007355D0" w:rsidRDefault="00CF6A53">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rsidR="007355D0" w:rsidRDefault="00CF6A5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2. </w:t>
      </w:r>
      <w:r>
        <w:rPr>
          <w:rFonts w:ascii="Palatino Linotype" w:eastAsia="Palatino Linotype" w:hAnsi="Palatino Linotype" w:cs="Palatino Linotype"/>
          <w:b/>
        </w:rPr>
        <w:t xml:space="preserve">PRÓRROGA.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ve</w:t>
      </w:r>
      <w:r>
        <w:rPr>
          <w:rFonts w:ascii="Palatino Linotype" w:eastAsia="Palatino Linotype" w:hAnsi="Palatino Linotype" w:cs="Palatino Linotype"/>
          <w:b/>
          <w:sz w:val="24"/>
          <w:szCs w:val="24"/>
        </w:rPr>
        <w:t>intinueve de enero de dos mil veintidós</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notificó al particular la prórroga para atender su solicitud de información, medularmente en los siguientes términos: </w:t>
      </w:r>
    </w:p>
    <w:p w:rsidR="007355D0" w:rsidRDefault="00CF6A53">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artículo 163 de la Ley de Transparencia y Acceso a la I</w:t>
      </w:r>
      <w:r>
        <w:rPr>
          <w:rFonts w:ascii="Palatino Linotype" w:eastAsia="Palatino Linotype" w:hAnsi="Palatino Linotype" w:cs="Palatino Linotype"/>
          <w:i/>
        </w:rPr>
        <w:t>nformación Pública del Estado de México y Municipios, se le hace de su conocimiento que el plazo de 15 días hábiles para atender su solicitud de información ha sido prorrogado por 7 días en virtud de las siguientes razones:</w:t>
      </w:r>
    </w:p>
    <w:p w:rsidR="007355D0" w:rsidRDefault="00CF6A53">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METEPEC, ESTADO DE MEXICO, ENERO DEL AÑO 2022. ASUNTO: EL QUE SE INDICA A QUIEN CORRESPONDA P R E S E N T E. Por medio de este conducto y con fundamento en lo dispuesto por los artículos 53, fracción VI y 163 de la Ley de Transparencia y Acceso a la Inform</w:t>
      </w:r>
      <w:r>
        <w:rPr>
          <w:rFonts w:ascii="Palatino Linotype" w:eastAsia="Palatino Linotype" w:hAnsi="Palatino Linotype" w:cs="Palatino Linotype"/>
          <w:i/>
        </w:rPr>
        <w:t>ación Pública del Estado de México y Municipios, me permito notificarle la ampliación del plazo por siete días más, aprobado por el comité de transparencia del Ayuntamiento de Metepec, Estado de México, mediante la primera sesión extraordinaria de fecha 21</w:t>
      </w:r>
      <w:r>
        <w:rPr>
          <w:rFonts w:ascii="Palatino Linotype" w:eastAsia="Palatino Linotype" w:hAnsi="Palatino Linotype" w:cs="Palatino Linotype"/>
          <w:i/>
        </w:rPr>
        <w:t xml:space="preserve"> de enero de 2022 Por lo anterior, se adjunta el acta del comité No CT/MET/1RASE/2022. Sin más por el momento quedo a sus órdenes. ATENTAMENTE GERARDO ARTURO OZUNA MARTÍNEZ JEFE DE LA UNIDAD DE TRANSPARENCIA</w:t>
      </w:r>
    </w:p>
    <w:p w:rsidR="007355D0" w:rsidRDefault="00CF6A53">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Lic. Gerardo Arturo Ozuna Martínez</w:t>
      </w:r>
    </w:p>
    <w:p w:rsidR="007355D0" w:rsidRDefault="00CF6A53">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Responsable d</w:t>
      </w:r>
      <w:r>
        <w:rPr>
          <w:rFonts w:ascii="Palatino Linotype" w:eastAsia="Palatino Linotype" w:hAnsi="Palatino Linotype" w:cs="Palatino Linotype"/>
          <w:i/>
        </w:rPr>
        <w:t>e la Unidad de Transparencia”</w:t>
      </w:r>
    </w:p>
    <w:p w:rsidR="007355D0" w:rsidRDefault="00CF6A53">
      <w:pPr>
        <w:spacing w:before="240" w:after="240" w:line="276" w:lineRule="auto"/>
        <w:ind w:left="567" w:right="851"/>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7355D0" w:rsidRDefault="00CF6A53">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“acta primera sesion extraordinaria.pdf”: </w:t>
      </w:r>
      <w:r>
        <w:rPr>
          <w:rFonts w:ascii="Palatino Linotype" w:eastAsia="Palatino Linotype" w:hAnsi="Palatino Linotype" w:cs="Palatino Linotype"/>
        </w:rPr>
        <w:t xml:space="preserve">Consistente en el acta de la Primera Sesión Extraordinaria del Comité de Transparencia del Ayuntamiento de Metepec, Estado de México, celebrada el 21 de enero de 2022, mediante la cual se aprobó la ampliación de un plazo de 7 días para la </w:t>
      </w:r>
      <w:r>
        <w:rPr>
          <w:rFonts w:ascii="Palatino Linotype" w:eastAsia="Palatino Linotype" w:hAnsi="Palatino Linotype" w:cs="Palatino Linotype"/>
        </w:rPr>
        <w:lastRenderedPageBreak/>
        <w:t>atención de la so</w:t>
      </w:r>
      <w:r>
        <w:rPr>
          <w:rFonts w:ascii="Palatino Linotype" w:eastAsia="Palatino Linotype" w:hAnsi="Palatino Linotype" w:cs="Palatino Linotype"/>
        </w:rPr>
        <w:t xml:space="preserve">licitud de información a la que recayó el presente recurso de revisión: </w:t>
      </w:r>
    </w:p>
    <w:p w:rsidR="007355D0" w:rsidRDefault="00CF6A53">
      <w:pPr>
        <w:spacing w:before="240" w:after="240" w:line="360" w:lineRule="auto"/>
        <w:ind w:right="49"/>
        <w:jc w:val="both"/>
        <w:rPr>
          <w:rFonts w:ascii="Palatino Linotype" w:eastAsia="Palatino Linotype" w:hAnsi="Palatino Linotype" w:cs="Palatino Linotype"/>
          <w:b/>
        </w:rPr>
      </w:pPr>
      <w:r>
        <w:object w:dxaOrig="8400" w:dyaOrig="9615" w14:anchorId="715B8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480.75pt" o:ole="">
            <v:imagedata r:id="rId8" o:title=""/>
          </v:shape>
          <o:OLEObject Type="Embed" ProgID="PBrush" ShapeID="_x0000_i1025" DrawAspect="Content" ObjectID="_1715615798" r:id="rId9"/>
        </w:object>
      </w:r>
    </w:p>
    <w:p w:rsidR="007355D0" w:rsidRDefault="00CF6A53">
      <w:pPr>
        <w:spacing w:before="240" w:after="240" w:line="360" w:lineRule="auto"/>
        <w:ind w:right="49"/>
        <w:jc w:val="both"/>
      </w:pPr>
      <w:r>
        <w:object w:dxaOrig="8280" w:dyaOrig="11220" w14:anchorId="5B4F9F0B">
          <v:shape id="_x0000_i1026" type="#_x0000_t75" style="width:414pt;height:561pt" o:ole="">
            <v:imagedata r:id="rId10" o:title=""/>
          </v:shape>
          <o:OLEObject Type="Embed" ProgID="PBrush" ShapeID="_x0000_i1026" DrawAspect="Content" ObjectID="_1715615799" r:id="rId11"/>
        </w:object>
      </w:r>
    </w:p>
    <w:p w:rsidR="007355D0" w:rsidRDefault="00CF6A53">
      <w:pPr>
        <w:spacing w:before="240" w:after="240" w:line="360" w:lineRule="auto"/>
        <w:ind w:right="49"/>
        <w:jc w:val="both"/>
        <w:rPr>
          <w:rFonts w:ascii="Palatino Linotype" w:eastAsia="Palatino Linotype" w:hAnsi="Palatino Linotype" w:cs="Palatino Linotype"/>
          <w:b/>
        </w:rPr>
      </w:pPr>
      <w:r>
        <w:object w:dxaOrig="8340" w:dyaOrig="10275" w14:anchorId="0A64E513">
          <v:shape id="_x0000_i1027" type="#_x0000_t75" style="width:417pt;height:513.75pt" o:ole="">
            <v:imagedata r:id="rId12" o:title=""/>
          </v:shape>
          <o:OLEObject Type="Embed" ProgID="PBrush" ShapeID="_x0000_i1027" DrawAspect="Content" ObjectID="_1715615800" r:id="rId13"/>
        </w:object>
      </w:r>
    </w:p>
    <w:p w:rsidR="007355D0" w:rsidRDefault="007355D0">
      <w:pPr>
        <w:spacing w:before="240" w:after="240" w:line="360" w:lineRule="auto"/>
        <w:ind w:right="49"/>
        <w:jc w:val="both"/>
      </w:pPr>
    </w:p>
    <w:p w:rsidR="007355D0" w:rsidRDefault="00CF6A53">
      <w:pPr>
        <w:spacing w:before="240" w:after="240" w:line="360" w:lineRule="auto"/>
        <w:ind w:right="49"/>
        <w:jc w:val="both"/>
        <w:rPr>
          <w:rFonts w:ascii="Palatino Linotype" w:eastAsia="Palatino Linotype" w:hAnsi="Palatino Linotype" w:cs="Palatino Linotype"/>
          <w:b/>
        </w:rPr>
      </w:pPr>
      <w:r>
        <w:rPr>
          <w:noProof/>
          <w:lang w:val="en-US"/>
        </w:rPr>
        <w:lastRenderedPageBreak/>
        <w:drawing>
          <wp:inline distT="0" distB="0" distL="0" distR="0">
            <wp:extent cx="5454376" cy="4398301"/>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34872" t="18186" r="20692"/>
                    <a:stretch>
                      <a:fillRect/>
                    </a:stretch>
                  </pic:blipFill>
                  <pic:spPr>
                    <a:xfrm>
                      <a:off x="0" y="0"/>
                      <a:ext cx="5454376" cy="4398301"/>
                    </a:xfrm>
                    <a:prstGeom prst="rect">
                      <a:avLst/>
                    </a:prstGeom>
                    <a:ln/>
                  </pic:spPr>
                </pic:pic>
              </a:graphicData>
            </a:graphic>
          </wp:inline>
        </w:drawing>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2832100</wp:posOffset>
                </wp:positionH>
                <wp:positionV relativeFrom="paragraph">
                  <wp:posOffset>1765300</wp:posOffset>
                </wp:positionV>
                <wp:extent cx="1351940" cy="159563"/>
                <wp:effectExtent l="0" t="0" r="0" b="0"/>
                <wp:wrapNone/>
                <wp:docPr id="56" name=""/>
                <wp:cNvGraphicFramePr/>
                <a:graphic xmlns:a="http://schemas.openxmlformats.org/drawingml/2006/main">
                  <a:graphicData uri="http://schemas.microsoft.com/office/word/2010/wordprocessingShape">
                    <wps:wsp>
                      <wps:cNvSpPr/>
                      <wps:spPr>
                        <a:xfrm>
                          <a:off x="4698605" y="3728794"/>
                          <a:ext cx="1294790" cy="102413"/>
                        </a:xfrm>
                        <a:prstGeom prst="rect">
                          <a:avLst/>
                        </a:prstGeom>
                        <a:noFill/>
                        <a:ln w="28575" cap="flat" cmpd="sng">
                          <a:solidFill>
                            <a:srgbClr val="002060"/>
                          </a:solidFill>
                          <a:prstDash val="solid"/>
                          <a:round/>
                          <a:headEnd type="none" w="sm" len="sm"/>
                          <a:tailEnd type="none" w="sm" len="sm"/>
                        </a:ln>
                      </wps:spPr>
                      <wps:txbx>
                        <w:txbxContent>
                          <w:p w:rsidR="007355D0" w:rsidRDefault="007355D0">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1765300</wp:posOffset>
                </wp:positionV>
                <wp:extent cx="1351940" cy="159563"/>
                <wp:effectExtent b="0" l="0" r="0" t="0"/>
                <wp:wrapNone/>
                <wp:docPr id="5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351940" cy="159563"/>
                        </a:xfrm>
                        <a:prstGeom prst="rect"/>
                        <a:ln/>
                      </pic:spPr>
                    </pic:pic>
                  </a:graphicData>
                </a:graphic>
              </wp:anchor>
            </w:drawing>
          </mc:Fallback>
        </mc:AlternateContent>
      </w:r>
    </w:p>
    <w:p w:rsidR="007355D0" w:rsidRDefault="00CF6A5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3. </w:t>
      </w:r>
      <w:r>
        <w:rPr>
          <w:rFonts w:ascii="Palatino Linotype" w:eastAsia="Palatino Linotype" w:hAnsi="Palatino Linotype" w:cs="Palatino Linotype"/>
          <w:b/>
          <w:sz w:val="24"/>
          <w:szCs w:val="24"/>
        </w:rPr>
        <w:t xml:space="preserve">DE LA RESPUESTA DEL SUJETO OBLIGADO. </w:t>
      </w:r>
      <w:r>
        <w:rPr>
          <w:rFonts w:ascii="Palatino Linotype" w:eastAsia="Palatino Linotype" w:hAnsi="Palatino Linotype" w:cs="Palatino Linotype"/>
          <w:sz w:val="24"/>
          <w:szCs w:val="24"/>
        </w:rPr>
        <w:t xml:space="preserve">Con fecha doce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7355D0" w:rsidRDefault="00CF6A5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w:t>
      </w:r>
      <w:r>
        <w:rPr>
          <w:rFonts w:ascii="Palatino Linotype" w:eastAsia="Palatino Linotype" w:hAnsi="Palatino Linotype" w:cs="Palatino Linotype"/>
          <w:i/>
        </w:rPr>
        <w:t xml:space="preserve"> de Transparencia y Acceso a la Información Pública del Estado de México y Municipios, le contestamos que:</w:t>
      </w:r>
    </w:p>
    <w:p w:rsidR="007355D0" w:rsidRDefault="00CF6A5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C. SOLICITANTE P R E S E N T E. En respuesta a la solicitud número 00675/METEPEC/IP/2022, recibida por medio del Sistema de Acceso a la </w:t>
      </w:r>
      <w:r>
        <w:rPr>
          <w:rFonts w:ascii="Palatino Linotype" w:eastAsia="Palatino Linotype" w:hAnsi="Palatino Linotype" w:cs="Palatino Linotype"/>
          <w:i/>
        </w:rPr>
        <w:lastRenderedPageBreak/>
        <w:t>Información M</w:t>
      </w:r>
      <w:r>
        <w:rPr>
          <w:rFonts w:ascii="Palatino Linotype" w:eastAsia="Palatino Linotype" w:hAnsi="Palatino Linotype" w:cs="Palatino Linotype"/>
          <w:i/>
        </w:rPr>
        <w:t>exiquense (SAIMEX). Al respecto, le informo que esta Unidad de Transparencia turnó la solicitud antes mencionada a los Servidores Públicos Habilitados que de conformidad con las funciones y atribuciones conferidas en términos de la Ley Orgánica Municipal d</w:t>
      </w:r>
      <w:r>
        <w:rPr>
          <w:rFonts w:ascii="Palatino Linotype" w:eastAsia="Palatino Linotype" w:hAnsi="Palatino Linotype" w:cs="Palatino Linotype"/>
          <w:i/>
        </w:rPr>
        <w:t>el Estado de México y demás disposiciones legales aplicables les corresponde la generación, recopilación, administración, manejo, procesamiento, archivo y conservación de la información, y habiendo realizado una búsqueda exhaustiva de ésta, se anexa la res</w:t>
      </w:r>
      <w:r>
        <w:rPr>
          <w:rFonts w:ascii="Palatino Linotype" w:eastAsia="Palatino Linotype" w:hAnsi="Palatino Linotype" w:cs="Palatino Linotype"/>
          <w:i/>
        </w:rPr>
        <w:t>puesta del Servidor Público habilitado. Lo anterior con fundamento en lo establecido por los artículos 12, 18, 19, 53 fracción VI, 160 y 162 de la Ley de Transparencia y Acceso a la Información Pública del Estado de México. Sin más por el momento, me despi</w:t>
      </w:r>
      <w:r>
        <w:rPr>
          <w:rFonts w:ascii="Palatino Linotype" w:eastAsia="Palatino Linotype" w:hAnsi="Palatino Linotype" w:cs="Palatino Linotype"/>
          <w:i/>
        </w:rPr>
        <w:t>do de usted, reiterando estar a sus órdenes. ATENTAMENTE Lic. Gerardo Arturo Ozuna Martínez Titular de la Unidad de Transparencia</w:t>
      </w:r>
    </w:p>
    <w:p w:rsidR="007355D0" w:rsidRDefault="00CF6A5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7355D0" w:rsidRDefault="00CF6A5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Gerardo Arturo Ozuna Martínez.</w:t>
      </w:r>
    </w:p>
    <w:p w:rsidR="007355D0" w:rsidRDefault="007355D0">
      <w:pPr>
        <w:spacing w:before="160" w:after="0" w:line="360" w:lineRule="auto"/>
        <w:jc w:val="both"/>
        <w:rPr>
          <w:rFonts w:ascii="Palatino Linotype" w:eastAsia="Palatino Linotype" w:hAnsi="Palatino Linotype" w:cs="Palatino Linotype"/>
          <w:color w:val="000000"/>
          <w:sz w:val="24"/>
          <w:szCs w:val="24"/>
        </w:rPr>
      </w:pPr>
    </w:p>
    <w:p w:rsidR="007355D0" w:rsidRDefault="00CF6A5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los archivos electrónicos denomina</w:t>
      </w:r>
      <w:r>
        <w:rPr>
          <w:rFonts w:ascii="Palatino Linotype" w:eastAsia="Palatino Linotype" w:hAnsi="Palatino Linotype" w:cs="Palatino Linotype"/>
          <w:color w:val="000000"/>
          <w:sz w:val="24"/>
          <w:szCs w:val="24"/>
        </w:rPr>
        <w:t>dos:</w:t>
      </w:r>
    </w:p>
    <w:p w:rsidR="007355D0" w:rsidRDefault="007355D0">
      <w:pPr>
        <w:spacing w:after="0" w:line="360" w:lineRule="auto"/>
        <w:jc w:val="both"/>
        <w:rPr>
          <w:rFonts w:ascii="Palatino Linotype" w:eastAsia="Palatino Linotype" w:hAnsi="Palatino Linotype" w:cs="Palatino Linotype"/>
          <w:color w:val="000000"/>
          <w:sz w:val="24"/>
          <w:szCs w:val="24"/>
        </w:rPr>
      </w:pPr>
    </w:p>
    <w:p w:rsidR="007355D0" w:rsidRDefault="00CF6A5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w:t>
      </w:r>
      <w:hyperlink r:id="rId16">
        <w:r>
          <w:rPr>
            <w:rFonts w:ascii="Palatino Linotype" w:eastAsia="Palatino Linotype" w:hAnsi="Palatino Linotype" w:cs="Palatino Linotype"/>
            <w:color w:val="000000"/>
            <w:sz w:val="24"/>
            <w:szCs w:val="24"/>
          </w:rPr>
          <w:t>00675METEPECIP2022.pdf</w:t>
        </w:r>
      </w:hyperlink>
      <w:r>
        <w:rPr>
          <w:rFonts w:ascii="Palatino Linotype" w:eastAsia="Palatino Linotype" w:hAnsi="Palatino Linotype" w:cs="Palatino Linotype"/>
          <w:color w:val="000000"/>
          <w:sz w:val="24"/>
          <w:szCs w:val="24"/>
        </w:rPr>
        <w:t>”, el cual contiene el Oficio CCS/059/2022, signado por la Coordinadora de Comunicación Social, mediante el cual señaló que no tiene competencia para brindar la información requerida, como se observa a continuación:</w:t>
      </w:r>
    </w:p>
    <w:p w:rsidR="007355D0" w:rsidRDefault="00CF6A53">
      <w:pPr>
        <w:spacing w:after="0" w:line="360" w:lineRule="auto"/>
        <w:jc w:val="both"/>
      </w:pP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50801</wp:posOffset>
                </wp:positionH>
                <wp:positionV relativeFrom="paragraph">
                  <wp:posOffset>0</wp:posOffset>
                </wp:positionV>
                <wp:extent cx="5387899" cy="1423010"/>
                <wp:effectExtent l="0" t="0" r="0" b="0"/>
                <wp:wrapNone/>
                <wp:docPr id="55" name=""/>
                <wp:cNvGraphicFramePr/>
                <a:graphic xmlns:a="http://schemas.openxmlformats.org/drawingml/2006/main">
                  <a:graphicData uri="http://schemas.microsoft.com/office/word/2010/wordprocessingShape">
                    <wps:wsp>
                      <wps:cNvCnPr/>
                      <wps:spPr>
                        <a:xfrm>
                          <a:off x="2661576" y="3078020"/>
                          <a:ext cx="5368849" cy="140396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5387899" cy="1423010"/>
                <wp:effectExtent b="0" l="0" r="0" t="0"/>
                <wp:wrapNone/>
                <wp:docPr id="55"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387899" cy="1423010"/>
                        </a:xfrm>
                        <a:prstGeom prst="rect"/>
                        <a:ln/>
                      </pic:spPr>
                    </pic:pic>
                  </a:graphicData>
                </a:graphic>
              </wp:anchor>
            </w:drawing>
          </mc:Fallback>
        </mc:AlternateContent>
      </w:r>
    </w:p>
    <w:p w:rsidR="007355D0" w:rsidRDefault="007355D0">
      <w:pPr>
        <w:spacing w:after="0" w:line="360" w:lineRule="auto"/>
        <w:jc w:val="both"/>
      </w:pPr>
    </w:p>
    <w:p w:rsidR="007355D0" w:rsidRDefault="00CF6A5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p>
    <w:p w:rsidR="007355D0" w:rsidRDefault="007355D0">
      <w:pPr>
        <w:spacing w:after="0" w:line="360" w:lineRule="auto"/>
        <w:jc w:val="both"/>
        <w:rPr>
          <w:rFonts w:ascii="Palatino Linotype" w:eastAsia="Palatino Linotype" w:hAnsi="Palatino Linotype" w:cs="Palatino Linotype"/>
          <w:color w:val="000000"/>
          <w:sz w:val="24"/>
          <w:szCs w:val="24"/>
        </w:rPr>
      </w:pPr>
    </w:p>
    <w:p w:rsidR="007355D0" w:rsidRDefault="00CF6A53">
      <w:pPr>
        <w:tabs>
          <w:tab w:val="left" w:pos="6946"/>
        </w:tabs>
        <w:spacing w:after="240" w:line="360" w:lineRule="auto"/>
        <w:jc w:val="both"/>
        <w:rPr>
          <w:rFonts w:ascii="Palatino Linotype" w:eastAsia="Palatino Linotype" w:hAnsi="Palatino Linotype" w:cs="Palatino Linotype"/>
          <w:b/>
          <w:sz w:val="24"/>
          <w:szCs w:val="24"/>
        </w:rPr>
      </w:pPr>
      <w:r>
        <w:rPr>
          <w:noProof/>
          <w:lang w:val="en-US"/>
        </w:rPr>
        <w:lastRenderedPageBreak/>
        <w:drawing>
          <wp:inline distT="0" distB="0" distL="0" distR="0">
            <wp:extent cx="5450853" cy="6363891"/>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41156" t="23313" r="24370" b="8587"/>
                    <a:stretch>
                      <a:fillRect/>
                    </a:stretch>
                  </pic:blipFill>
                  <pic:spPr>
                    <a:xfrm>
                      <a:off x="0" y="0"/>
                      <a:ext cx="5450853" cy="6363891"/>
                    </a:xfrm>
                    <a:prstGeom prst="rect">
                      <a:avLst/>
                    </a:prstGeom>
                    <a:ln/>
                  </pic:spPr>
                </pic:pic>
              </a:graphicData>
            </a:graphic>
          </wp:inline>
        </w:drawing>
      </w:r>
    </w:p>
    <w:p w:rsidR="007355D0" w:rsidRDefault="007355D0">
      <w:pPr>
        <w:tabs>
          <w:tab w:val="left" w:pos="6946"/>
        </w:tabs>
        <w:spacing w:before="240" w:after="240" w:line="360" w:lineRule="auto"/>
        <w:jc w:val="both"/>
        <w:rPr>
          <w:rFonts w:ascii="Palatino Linotype" w:eastAsia="Palatino Linotype" w:hAnsi="Palatino Linotype" w:cs="Palatino Linotype"/>
          <w:b/>
          <w:sz w:val="24"/>
          <w:szCs w:val="24"/>
        </w:rPr>
      </w:pPr>
    </w:p>
    <w:p w:rsidR="007355D0" w:rsidRDefault="00CF6A53">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w:t>
      </w:r>
      <w:hyperlink r:id="rId19">
        <w:r>
          <w:rPr>
            <w:rFonts w:ascii="Palatino Linotype" w:eastAsia="Palatino Linotype" w:hAnsi="Palatino Linotype" w:cs="Palatino Linotype"/>
            <w:color w:val="000000"/>
            <w:sz w:val="24"/>
            <w:szCs w:val="24"/>
          </w:rPr>
          <w:t>675.pdf</w:t>
        </w:r>
      </w:hyperlink>
      <w:r>
        <w:rPr>
          <w:rFonts w:ascii="Palatino Linotype" w:eastAsia="Palatino Linotype" w:hAnsi="Palatino Linotype" w:cs="Palatino Linotype"/>
          <w:color w:val="000000"/>
          <w:sz w:val="24"/>
          <w:szCs w:val="24"/>
        </w:rPr>
        <w:t>”, el cual contiene el oficio número MET/PM/OP/101/2022, por medio del cual el Jefe de la Oficina de Presidencia señaló que no cuenta con la información solicitada, como se observa a contin</w:t>
      </w:r>
      <w:r>
        <w:rPr>
          <w:rFonts w:ascii="Palatino Linotype" w:eastAsia="Palatino Linotype" w:hAnsi="Palatino Linotype" w:cs="Palatino Linotype"/>
          <w:color w:val="000000"/>
          <w:sz w:val="24"/>
          <w:szCs w:val="24"/>
        </w:rPr>
        <w:t>uación:</w:t>
      </w:r>
    </w:p>
    <w:p w:rsidR="007355D0" w:rsidRDefault="007355D0">
      <w:pPr>
        <w:spacing w:after="0" w:line="360" w:lineRule="auto"/>
        <w:jc w:val="both"/>
        <w:rPr>
          <w:rFonts w:ascii="Palatino Linotype" w:eastAsia="Palatino Linotype" w:hAnsi="Palatino Linotype" w:cs="Palatino Linotype"/>
          <w:color w:val="000000"/>
          <w:sz w:val="24"/>
          <w:szCs w:val="24"/>
        </w:rPr>
      </w:pPr>
    </w:p>
    <w:p w:rsidR="007355D0" w:rsidRDefault="00CF6A53">
      <w:pPr>
        <w:spacing w:after="0" w:line="360" w:lineRule="auto"/>
        <w:jc w:val="both"/>
        <w:rPr>
          <w:rFonts w:ascii="Palatino Linotype" w:eastAsia="Palatino Linotype" w:hAnsi="Palatino Linotype" w:cs="Palatino Linotype"/>
          <w:color w:val="000000"/>
          <w:sz w:val="24"/>
          <w:szCs w:val="24"/>
        </w:rPr>
      </w:pPr>
      <w:r>
        <w:rPr>
          <w:noProof/>
          <w:lang w:val="en-US"/>
        </w:rPr>
        <w:drawing>
          <wp:inline distT="0" distB="0" distL="0" distR="0">
            <wp:extent cx="5401575" cy="5468736"/>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l="43402" t="23782" r="25663" b="8790"/>
                    <a:stretch>
                      <a:fillRect/>
                    </a:stretch>
                  </pic:blipFill>
                  <pic:spPr>
                    <a:xfrm>
                      <a:off x="0" y="0"/>
                      <a:ext cx="5401575" cy="5468736"/>
                    </a:xfrm>
                    <a:prstGeom prst="rect">
                      <a:avLst/>
                    </a:prstGeom>
                    <a:ln/>
                  </pic:spPr>
                </pic:pic>
              </a:graphicData>
            </a:graphic>
          </wp:inline>
        </w:drawing>
      </w:r>
    </w:p>
    <w:p w:rsidR="007355D0" w:rsidRDefault="00CF6A53">
      <w:pPr>
        <w:tabs>
          <w:tab w:val="left" w:pos="694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lastRenderedPageBreak/>
        <w:t xml:space="preserve">4. RECURSO DE REVISIÓN. </w:t>
      </w:r>
      <w:r>
        <w:rPr>
          <w:rFonts w:ascii="Palatino Linotype" w:eastAsia="Palatino Linotype" w:hAnsi="Palatino Linotype" w:cs="Palatino Linotype"/>
          <w:sz w:val="24"/>
          <w:szCs w:val="24"/>
        </w:rPr>
        <w:t xml:space="preserve">Inconforme con la respuesta,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interpuso el recurso de revisión materia del presente estudio el día </w:t>
      </w:r>
      <w:r>
        <w:rPr>
          <w:rFonts w:ascii="Palatino Linotype" w:eastAsia="Palatino Linotype" w:hAnsi="Palatino Linotype" w:cs="Palatino Linotype"/>
          <w:b/>
          <w:sz w:val="24"/>
          <w:szCs w:val="24"/>
        </w:rPr>
        <w:t>veintiocho de febrero de dos mil veintidós</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el que expresó lo siguiente:</w:t>
      </w:r>
      <w:r>
        <w:rPr>
          <w:rFonts w:ascii="Palatino Linotype" w:eastAsia="Palatino Linotype" w:hAnsi="Palatino Linotype" w:cs="Palatino Linotype"/>
        </w:rPr>
        <w:t xml:space="preserve"> </w:t>
      </w:r>
    </w:p>
    <w:p w:rsidR="007355D0" w:rsidRDefault="00CF6A53">
      <w:pPr>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7355D0" w:rsidRDefault="007355D0">
      <w:pPr>
        <w:ind w:right="567"/>
        <w:jc w:val="both"/>
        <w:rPr>
          <w:rFonts w:ascii="Palatino Linotype" w:eastAsia="Palatino Linotype" w:hAnsi="Palatino Linotype" w:cs="Palatino Linotype"/>
          <w:i/>
        </w:rPr>
      </w:pPr>
    </w:p>
    <w:p w:rsidR="007355D0" w:rsidRDefault="00CF6A53">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respuesta proporcionada por el Sujeto Obligado.” (Sic)</w:t>
      </w:r>
    </w:p>
    <w:p w:rsidR="007355D0" w:rsidRDefault="00CF6A53">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7355D0" w:rsidRDefault="00CF6A53">
      <w:pPr>
        <w:spacing w:before="240" w:after="240"/>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u w:val="single"/>
        </w:rPr>
        <w:t>La respuesta proporcionada por el sujeto obligado está repleta de deficiencias al incumplir con diversas disposiciones explícitamente señaladas por la Ley d</w:t>
      </w:r>
      <w:r>
        <w:rPr>
          <w:rFonts w:ascii="Palatino Linotype" w:eastAsia="Palatino Linotype" w:hAnsi="Palatino Linotype" w:cs="Palatino Linotype"/>
          <w:b/>
          <w:i/>
          <w:u w:val="single"/>
        </w:rPr>
        <w:t>e Transparencia y Acceso a la Información Pública</w:t>
      </w:r>
      <w:r>
        <w:rPr>
          <w:rFonts w:ascii="Palatino Linotype" w:eastAsia="Palatino Linotype" w:hAnsi="Palatino Linotype" w:cs="Palatino Linotype"/>
          <w:i/>
        </w:rPr>
        <w:t>. De conformidad con el artículo 6º, Apartado A, fracción I, en la interpretación del derecho de acceso a la información pública deberá prevalecer el principio de máxima publicidad, es decir, que toda la inf</w:t>
      </w:r>
      <w:r>
        <w:rPr>
          <w:rFonts w:ascii="Palatino Linotype" w:eastAsia="Palatino Linotype" w:hAnsi="Palatino Linotype" w:cs="Palatino Linotype"/>
          <w:i/>
        </w:rPr>
        <w:t>ormación en posesión de los sujetos obligados será pública, completa, oportuna y accesible, sujeta a un claro régimen de excepciones que deberán estar definidas y ser además legítimas y estrictamente necesarias en una sociedad democrática. Por lo tanto, se</w:t>
      </w:r>
      <w:r>
        <w:rPr>
          <w:rFonts w:ascii="Palatino Linotype" w:eastAsia="Palatino Linotype" w:hAnsi="Palatino Linotype" w:cs="Palatino Linotype"/>
          <w:i/>
        </w:rPr>
        <w:t xml:space="preserve"> arriba que el derecho de acceso a la información se garantiza mediante el manejo y la conservación del patrimonio documental para posteriormente facilitar el acceso a la información en posesión de sujetos obligados. En relación directa con ello, resultan </w:t>
      </w:r>
      <w:r>
        <w:rPr>
          <w:rFonts w:ascii="Palatino Linotype" w:eastAsia="Palatino Linotype" w:hAnsi="Palatino Linotype" w:cs="Palatino Linotype"/>
          <w:i/>
        </w:rPr>
        <w:t xml:space="preserve">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u w:val="single"/>
        </w:rPr>
        <w:t>Por otra parte, se estima que el Sujeto Obligado no dio cabal cumplimiento al procedimiento para la at</w:t>
      </w:r>
      <w:r>
        <w:rPr>
          <w:rFonts w:ascii="Palatino Linotype" w:eastAsia="Palatino Linotype" w:hAnsi="Palatino Linotype" w:cs="Palatino Linotype"/>
          <w:b/>
          <w:i/>
          <w:u w:val="single"/>
        </w:rPr>
        <w:t xml:space="preserve">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rPr>
        <w:t xml:space="preserve">Siendo a su vez, el sujeto obligado omiso </w:t>
      </w:r>
      <w:r>
        <w:rPr>
          <w:rFonts w:ascii="Palatino Linotype" w:eastAsia="Palatino Linotype" w:hAnsi="Palatino Linotype" w:cs="Palatino Linotype"/>
          <w:i/>
        </w:rPr>
        <w:t>en las formalidades de clasificación de información en los casos procedentes, en términos de los artículos 47, 48, 49, fracciones II, VIII, IX, XII, XVI, 50, fracción X, 58, fracción V, 122, 130, 131, 133, 134, 135, 137, 140, 143 y 149 de la Ley referida c</w:t>
      </w:r>
      <w:r>
        <w:rPr>
          <w:rFonts w:ascii="Palatino Linotype" w:eastAsia="Palatino Linotype" w:hAnsi="Palatino Linotype" w:cs="Palatino Linotype"/>
          <w:i/>
        </w:rPr>
        <w:t xml:space="preserve">on antelación. En este sentido, el sujeto obligado se encuentra constreñido a entregar la información solicitada, en los formatos que obren en sus archivos y por el medio de notificación </w:t>
      </w:r>
      <w:r>
        <w:rPr>
          <w:rFonts w:ascii="Palatino Linotype" w:eastAsia="Palatino Linotype" w:hAnsi="Palatino Linotype" w:cs="Palatino Linotype"/>
          <w:i/>
        </w:rPr>
        <w:lastRenderedPageBreak/>
        <w:t>seleccionado, siguiendo el procedimiento señalado en la propia Ley de</w:t>
      </w:r>
      <w:r>
        <w:rPr>
          <w:rFonts w:ascii="Palatino Linotype" w:eastAsia="Palatino Linotype" w:hAnsi="Palatino Linotype" w:cs="Palatino Linotype"/>
          <w:i/>
        </w:rPr>
        <w:t xml:space="preserve"> Transparencia y Acceso a la Información Pública del Estado de México y Municipios. Por lo anteriormente expuesto se solicita al Pleno del Instituto de Transparencia, Acceso a la Información Pública y Protección de Datos Personales del Estado de México y M</w:t>
      </w:r>
      <w:r>
        <w:rPr>
          <w:rFonts w:ascii="Palatino Linotype" w:eastAsia="Palatino Linotype" w:hAnsi="Palatino Linotype" w:cs="Palatino Linotype"/>
          <w:i/>
        </w:rPr>
        <w:t xml:space="preserve">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b/>
          <w:i/>
        </w:rPr>
        <w:t>Asimismo, de conformidad con el artículo 223 de la multicitada Ley de tran</w:t>
      </w:r>
      <w:r>
        <w:rPr>
          <w:rFonts w:ascii="Palatino Linotype" w:eastAsia="Palatino Linotype" w:hAnsi="Palatino Linotype" w:cs="Palatino Linotype"/>
          <w:b/>
          <w:i/>
        </w:rPr>
        <w:t>sparencia local, se solicita al Instituto dar vista a la Contraloría Interna y Órgano de Control y Vigilancia en términos de la Ley de Responsabilidades de los Servidores Públicos del Estado y Municipios</w:t>
      </w:r>
      <w:r>
        <w:rPr>
          <w:rFonts w:ascii="Palatino Linotype" w:eastAsia="Palatino Linotype" w:hAnsi="Palatino Linotype" w:cs="Palatino Linotype"/>
          <w:i/>
        </w:rPr>
        <w:t>, para que determine el grado de responsabilidad de q</w:t>
      </w:r>
      <w:r>
        <w:rPr>
          <w:rFonts w:ascii="Palatino Linotype" w:eastAsia="Palatino Linotype" w:hAnsi="Palatino Linotype" w:cs="Palatino Linotype"/>
          <w:i/>
        </w:rPr>
        <w:t>uienes incumplan con las obligaciones de la Ley, al considerar posibles causas de responsabilidad administrativa por el incumplimiento a lo anteriormente expuesto, aunado a los supuestos normativos aplicables, previstos por el artículo 222 del mismo ordena</w:t>
      </w:r>
      <w:r>
        <w:rPr>
          <w:rFonts w:ascii="Palatino Linotype" w:eastAsia="Palatino Linotype" w:hAnsi="Palatino Linotype" w:cs="Palatino Linotype"/>
          <w:i/>
        </w:rPr>
        <w:t>miento jurídico. No omito mencionar que el sujeto obligado omitió en su respuesta informar a los interesados el derecho y plazo que tienen para promover recurso de revisión, de acuerdo a lo señalado por el artículo 177 de la ley en mención.” (Sic)</w:t>
      </w:r>
    </w:p>
    <w:p w:rsidR="007355D0" w:rsidRDefault="00CF6A53">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De conformidad con el artículo 185 fracción I de la Ley de Transparencia y Acceso a la Información Pública del Estado de México y Municipios vigente, el presente recurso de revisión se turnó por el sistema electrónico del Instituto de Transparenc</w:t>
      </w:r>
      <w:r>
        <w:rPr>
          <w:rFonts w:ascii="Palatino Linotype" w:eastAsia="Palatino Linotype" w:hAnsi="Palatino Linotype" w:cs="Palatino Linotype"/>
          <w:sz w:val="24"/>
          <w:szCs w:val="24"/>
        </w:rPr>
        <w:t xml:space="preserve">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cuatro de marzo de dos mil veintidós,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admitió a trámite el recurso de revisión que ahora se resuelve, dando un plazo máxim</w:t>
      </w:r>
      <w:r>
        <w:rPr>
          <w:rFonts w:ascii="Palatino Linotype" w:eastAsia="Palatino Linotype" w:hAnsi="Palatino Linotype" w:cs="Palatino Linotype"/>
          <w:sz w:val="24"/>
          <w:szCs w:val="24"/>
        </w:rPr>
        <w:t xml:space="preserve">o de </w:t>
      </w:r>
      <w:r>
        <w:rPr>
          <w:rFonts w:ascii="Palatino Linotype" w:eastAsia="Palatino Linotype" w:hAnsi="Palatino Linotype" w:cs="Palatino Linotype"/>
          <w:sz w:val="24"/>
          <w:szCs w:val="24"/>
        </w:rPr>
        <w:lastRenderedPageBreak/>
        <w:t xml:space="preserve">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7355D0" w:rsidRDefault="00CF6A53">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7.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El dieciséis de ab</w:t>
      </w:r>
      <w:r>
        <w:rPr>
          <w:rFonts w:ascii="Palatino Linotype" w:eastAsia="Palatino Linotype" w:hAnsi="Palatino Linotype" w:cs="Palatino Linotype"/>
          <w:sz w:val="24"/>
          <w:szCs w:val="24"/>
        </w:rPr>
        <w:t xml:space="preserve">ril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7355D0" w:rsidRDefault="00CF6A53">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w:t>
      </w:r>
      <w:hyperlink r:id="rId21">
        <w:r>
          <w:rPr>
            <w:rFonts w:ascii="Palatino Linotype" w:eastAsia="Palatino Linotype" w:hAnsi="Palatino Linotype" w:cs="Palatino Linotype"/>
            <w:sz w:val="24"/>
            <w:szCs w:val="24"/>
          </w:rPr>
          <w:t>INF JUS 675.pdf</w:t>
        </w:r>
      </w:hyperlink>
      <w:r>
        <w:rPr>
          <w:rFonts w:ascii="Palatino Linotype" w:eastAsia="Palatino Linotype" w:hAnsi="Palatino Linotype" w:cs="Palatino Linotype"/>
          <w:sz w:val="24"/>
          <w:szCs w:val="24"/>
        </w:rPr>
        <w:t>”:</w:t>
      </w:r>
      <w:r>
        <w:rPr>
          <w:rFonts w:ascii="Palatino Linotype" w:eastAsia="Palatino Linotype" w:hAnsi="Palatino Linotype" w:cs="Palatino Linotype"/>
          <w:color w:val="000000"/>
          <w:sz w:val="24"/>
          <w:szCs w:val="24"/>
        </w:rPr>
        <w:t xml:space="preserve"> por duplicado, por medio del cual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confirmó su respuesta inicial, archivo electrónico que se puso a la vista de la RECURRENTE, en términos de la fracción III del artículo 185 de la Ley de </w:t>
      </w:r>
      <w:r>
        <w:rPr>
          <w:rFonts w:ascii="Palatino Linotype" w:eastAsia="Palatino Linotype" w:hAnsi="Palatino Linotype" w:cs="Palatino Linotype"/>
          <w:color w:val="000000"/>
          <w:sz w:val="24"/>
          <w:szCs w:val="24"/>
        </w:rPr>
        <w:t xml:space="preserve">Transparencia y Acceso a la Información Pública del Estado de México y Municipios; para que en el término de tres días manifestara lo que a su derecho convenga; sin que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hiciera manifestación alguna.</w:t>
      </w:r>
    </w:p>
    <w:p w:rsidR="007355D0" w:rsidRDefault="00CF6A53">
      <w:pPr>
        <w:widowControl w:val="0"/>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PLAZO PARA EMITIR RESOLU</w:t>
      </w:r>
      <w:r>
        <w:rPr>
          <w:rFonts w:ascii="Palatino Linotype" w:eastAsia="Palatino Linotype" w:hAnsi="Palatino Linotype" w:cs="Palatino Linotype"/>
          <w:b/>
          <w:sz w:val="24"/>
          <w:szCs w:val="24"/>
        </w:rPr>
        <w:t>CIÓN.</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dieciséis de mayo de dos mil veintidós</w:t>
      </w:r>
      <w:r>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w:t>
      </w:r>
      <w:r>
        <w:rPr>
          <w:rFonts w:ascii="Palatino Linotype" w:eastAsia="Palatino Linotype" w:hAnsi="Palatino Linotype" w:cs="Palatino Linotype"/>
          <w:sz w:val="24"/>
          <w:szCs w:val="24"/>
        </w:rPr>
        <w:t>cceso a la Información Pública del Estado de México y Municipios; lo anterior a fin de aminorar los efectos que conlleva.</w:t>
      </w:r>
    </w:p>
    <w:p w:rsidR="007355D0" w:rsidRDefault="00CF6A53">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El ve</w:t>
      </w:r>
      <w:r>
        <w:rPr>
          <w:rFonts w:ascii="Palatino Linotype" w:eastAsia="Palatino Linotype" w:hAnsi="Palatino Linotype" w:cs="Palatino Linotype"/>
          <w:sz w:val="24"/>
          <w:szCs w:val="24"/>
        </w:rPr>
        <w:t>inte</w:t>
      </w:r>
      <w:r>
        <w:rPr>
          <w:rFonts w:ascii="Palatino Linotype" w:eastAsia="Palatino Linotype" w:hAnsi="Palatino Linotype" w:cs="Palatino Linotype"/>
          <w:color w:val="000000"/>
          <w:sz w:val="24"/>
          <w:szCs w:val="24"/>
        </w:rPr>
        <w:t xml:space="preserve"> de mayo de dos mil veintidós, al no existir diligencias pendientes por desahogar, se emitió el acu</w:t>
      </w:r>
      <w:r>
        <w:rPr>
          <w:rFonts w:ascii="Palatino Linotype" w:eastAsia="Palatino Linotype" w:hAnsi="Palatino Linotype" w:cs="Palatino Linotype"/>
          <w:color w:val="000000"/>
          <w:sz w:val="24"/>
          <w:szCs w:val="24"/>
        </w:rPr>
        <w:t xml:space="preserve">erdo por medio del cual se </w:t>
      </w:r>
      <w:r>
        <w:rPr>
          <w:rFonts w:ascii="Palatino Linotype" w:eastAsia="Palatino Linotype" w:hAnsi="Palatino Linotype" w:cs="Palatino Linotype"/>
          <w:color w:val="000000"/>
          <w:sz w:val="24"/>
          <w:szCs w:val="24"/>
        </w:rPr>
        <w:lastRenderedPageBreak/>
        <w:t>declaró cerrada la instrucción y se determinó pasar el expediente a resolución, en términos del artículo 185 fracción VI y VIII de la Ley de Transparencia y Acceso a la Información Pública del Estado de México y Municipios, inici</w:t>
      </w:r>
      <w:r>
        <w:rPr>
          <w:rFonts w:ascii="Palatino Linotype" w:eastAsia="Palatino Linotype" w:hAnsi="Palatino Linotype" w:cs="Palatino Linotype"/>
          <w:color w:val="000000"/>
          <w:sz w:val="24"/>
          <w:szCs w:val="24"/>
        </w:rPr>
        <w:t xml:space="preserve">ando el término legal para dictar resolución definitiva del asunto. </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w:t>
      </w:r>
      <w:r>
        <w:rPr>
          <w:rFonts w:ascii="Palatino Linotype" w:eastAsia="Palatino Linotype" w:hAnsi="Palatino Linotype" w:cs="Palatino Linotype"/>
          <w:sz w:val="24"/>
          <w:szCs w:val="24"/>
        </w:rPr>
        <w:t xml:space="preserve">os siguientes: </w:t>
      </w:r>
    </w:p>
    <w:p w:rsidR="007355D0" w:rsidRDefault="00CF6A53">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7355D0" w:rsidRDefault="00CF6A5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w:t>
      </w:r>
      <w:r>
        <w:rPr>
          <w:rFonts w:ascii="Palatino Linotype" w:eastAsia="Palatino Linotype" w:hAnsi="Palatino Linotype" w:cs="Palatino Linotype"/>
          <w:sz w:val="24"/>
          <w:szCs w:val="24"/>
        </w:rPr>
        <w:t xml:space="preserve">puesto en los artículos 6, apartado A de la Constitución Política de los Estados Unidos Mexicanos; 5 párrafos trigésimo, trigésimo primero y trigésimo segundo fracciones IV y V de la Constitución Política del Estado Libre y Soberano de México; 2, fracción </w:t>
      </w:r>
      <w:r>
        <w:rPr>
          <w:rFonts w:ascii="Palatino Linotype" w:eastAsia="Palatino Linotype" w:hAnsi="Palatino Linotype" w:cs="Palatino Linotype"/>
          <w:sz w:val="24"/>
          <w:szCs w:val="24"/>
        </w:rPr>
        <w:t xml:space="preserve">II; 29, 36 fracciones I y II; 176, 178, 181, 185, fracción I, 186 y 188 de la Ley Transparencia y Acceso a la Información Pública del Estado de México y Municipios; 9, fracciones I y XXIV y 11 del Reglamento Interior del Instituto de Transparencia, Acceso </w:t>
      </w:r>
      <w:r>
        <w:rPr>
          <w:rFonts w:ascii="Palatino Linotype" w:eastAsia="Palatino Linotype" w:hAnsi="Palatino Linotype" w:cs="Palatino Linotype"/>
          <w:sz w:val="24"/>
          <w:szCs w:val="24"/>
        </w:rPr>
        <w:t>a la Información Pública y Protección de Datos Personales del Estado de México y Municipios.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Previo al estudio del fondo del asunto, se procede a analizar los requisitos de oportunidad y proced</w:t>
      </w:r>
      <w:r>
        <w:rPr>
          <w:rFonts w:ascii="Palatino Linotype" w:eastAsia="Palatino Linotype" w:hAnsi="Palatino Linotype" w:cs="Palatino Linotype"/>
          <w:sz w:val="24"/>
          <w:szCs w:val="24"/>
        </w:rPr>
        <w:t>ibilidad que debe reunir el recurso de revisión interpuesto, previstos en los artículos 178 y 180 de la Ley de Transparencia y Acceso a la Información Pública del Estado de México y Municipios.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w:t>
      </w:r>
      <w:r>
        <w:rPr>
          <w:rFonts w:ascii="Palatino Linotype" w:eastAsia="Palatino Linotype" w:hAnsi="Palatino Linotype" w:cs="Palatino Linotype"/>
          <w:sz w:val="24"/>
          <w:szCs w:val="24"/>
        </w:rPr>
        <w:t xml:space="preserve">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doce de febrero de dos m</w:t>
      </w:r>
      <w:r>
        <w:rPr>
          <w:rFonts w:ascii="Palatino Linotype" w:eastAsia="Palatino Linotype" w:hAnsi="Palatino Linotype" w:cs="Palatino Linotype"/>
          <w:b/>
          <w:sz w:val="24"/>
          <w:szCs w:val="24"/>
        </w:rPr>
        <w:t xml:space="preserve">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veintiocho de febrero de dos mil veintidós</w:t>
      </w:r>
      <w:r>
        <w:rPr>
          <w:rFonts w:ascii="Palatino Linotype" w:eastAsia="Palatino Linotype" w:hAnsi="Palatino Linotype" w:cs="Palatino Linotype"/>
          <w:sz w:val="24"/>
          <w:szCs w:val="24"/>
        </w:rPr>
        <w:t>; esto es, al décimo segundo día hábil en que tuvo conocimiento de la respuesta impugnada.</w:t>
      </w:r>
    </w:p>
    <w:p w:rsidR="007355D0" w:rsidRDefault="00CF6A53">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Pr>
          <w:rFonts w:ascii="Palatino Linotype" w:eastAsia="Palatino Linotype" w:hAnsi="Palatino Linotype" w:cs="Palatino Linotype"/>
          <w:sz w:val="24"/>
          <w:szCs w:val="24"/>
        </w:rPr>
        <w:t xml:space="preserve">Luego </w:t>
      </w:r>
      <w:r>
        <w:rPr>
          <w:rFonts w:ascii="Palatino Linotype" w:eastAsia="Palatino Linotype" w:hAnsi="Palatino Linotype" w:cs="Palatino Linotype"/>
          <w:sz w:val="24"/>
          <w:szCs w:val="24"/>
        </w:rPr>
        <w:t xml:space="preserve">entonces, al considerar la fecha en que se formuló la solicitud y la fecha en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así como la fecha en que se interpuso el recurso de revisión, se concluye que el presente recurso de revisión se encuentra dentro de los </w:t>
      </w:r>
      <w:r>
        <w:rPr>
          <w:rFonts w:ascii="Palatino Linotype" w:eastAsia="Palatino Linotype" w:hAnsi="Palatino Linotype" w:cs="Palatino Linotype"/>
          <w:sz w:val="24"/>
          <w:szCs w:val="24"/>
        </w:rPr>
        <w:t>márgenes temporales previstos las disposiciones legales referidas.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w:t>
      </w:r>
      <w:r>
        <w:rPr>
          <w:rFonts w:ascii="Palatino Linotype" w:eastAsia="Palatino Linotype" w:hAnsi="Palatino Linotype" w:cs="Palatino Linotype"/>
          <w:sz w:val="24"/>
          <w:szCs w:val="24"/>
        </w:rPr>
        <w:t xml:space="preserve"> advierte en el detalle de seguimiento del SAIMEX, no obstante lo anterior, no proporcionar el nombre no es motivo para archivar la </w:t>
      </w:r>
      <w:r>
        <w:rPr>
          <w:rFonts w:ascii="Palatino Linotype" w:eastAsia="Palatino Linotype" w:hAnsi="Palatino Linotype" w:cs="Palatino Linotype"/>
          <w:sz w:val="24"/>
          <w:szCs w:val="24"/>
        </w:rPr>
        <w:lastRenderedPageBreak/>
        <w:t>solicitud de acceso a la información pública como concluida, conforme a lo previsto en el artículo 155, penúltimo párrafo de</w:t>
      </w:r>
      <w:r>
        <w:rPr>
          <w:rFonts w:ascii="Palatino Linotype" w:eastAsia="Palatino Linotype" w:hAnsi="Palatino Linotype" w:cs="Palatino Linotype"/>
          <w:sz w:val="24"/>
          <w:szCs w:val="24"/>
        </w:rPr>
        <w:t xml:space="preserve"> la Ley de Transparencia y Acceso a la Información Pública del Estado de México y Municipios que establece lo siguiente:</w:t>
      </w:r>
    </w:p>
    <w:p w:rsidR="007355D0" w:rsidRDefault="00CF6A53">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w:t>
      </w:r>
      <w:r>
        <w:rPr>
          <w:rFonts w:ascii="Palatino Linotype" w:eastAsia="Palatino Linotype" w:hAnsi="Palatino Linotype" w:cs="Palatino Linotype"/>
          <w:b/>
          <w:i/>
        </w:rPr>
        <w:t xml:space="preserve"> se presente</w:t>
      </w:r>
      <w:r>
        <w:rPr>
          <w:rFonts w:ascii="Palatino Linotype" w:eastAsia="Palatino Linotype" w:hAnsi="Palatino Linotype" w:cs="Palatino Linotype"/>
          <w:i/>
        </w:rPr>
        <w:t>. No podrá requerirse información adicional con motivo del nombre proporcionado por el solicitante."</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del análisis efectuado se advierte que resulta procedente la interposición del recurso y se concluye la acreditación plena de todos</w:t>
      </w:r>
      <w:r>
        <w:rPr>
          <w:rFonts w:ascii="Palatino Linotype" w:eastAsia="Palatino Linotype" w:hAnsi="Palatino Linotype" w:cs="Palatino Linotype"/>
          <w:sz w:val="24"/>
          <w:szCs w:val="24"/>
        </w:rPr>
        <w:t xml:space="preserve">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7355D0" w:rsidRDefault="00CF6A5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w:t>
      </w:r>
      <w:r>
        <w:rPr>
          <w:rFonts w:ascii="Palatino Linotype" w:eastAsia="Palatino Linotype" w:hAnsi="Palatino Linotype" w:cs="Palatino Linotype"/>
          <w:sz w:val="24"/>
          <w:szCs w:val="24"/>
        </w:rPr>
        <w:t>ico y Municipios; que a la letra dice:</w:t>
      </w:r>
    </w:p>
    <w:p w:rsidR="007355D0" w:rsidRDefault="00CF6A5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7355D0" w:rsidRDefault="00CF6A5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I. </w:t>
      </w:r>
      <w:r>
        <w:rPr>
          <w:rFonts w:ascii="Palatino Linotype" w:eastAsia="Palatino Linotype" w:hAnsi="Palatino Linotype" w:cs="Palatino Linotype"/>
          <w:i/>
        </w:rPr>
        <w:t>La negativa de la información solicitada;” (Sic)</w:t>
      </w:r>
    </w:p>
    <w:p w:rsidR="007355D0" w:rsidRDefault="00CF6A5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Pr>
          <w:rFonts w:ascii="Palatino Linotype" w:eastAsia="Palatino Linotype" w:hAnsi="Palatino Linotype" w:cs="Palatino Linotype"/>
          <w:sz w:val="24"/>
          <w:szCs w:val="24"/>
        </w:rPr>
        <w:lastRenderedPageBreak/>
        <w:t xml:space="preserve">que este Organismo Garante de Transparencia y Acceso a </w:t>
      </w:r>
      <w:r>
        <w:rPr>
          <w:rFonts w:ascii="Palatino Linotype" w:eastAsia="Palatino Linotype" w:hAnsi="Palatino Linotype" w:cs="Palatino Linotype"/>
          <w:sz w:val="24"/>
          <w:szCs w:val="24"/>
        </w:rPr>
        <w:t xml:space="preserve">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w:t>
      </w:r>
      <w:r>
        <w:rPr>
          <w:rFonts w:ascii="Palatino Linotype" w:eastAsia="Palatino Linotype" w:hAnsi="Palatino Linotype" w:cs="Palatino Linotype"/>
          <w:sz w:val="24"/>
          <w:szCs w:val="24"/>
        </w:rPr>
        <w:t xml:space="preserve"> la entrega de información oportuna.</w:t>
      </w:r>
    </w:p>
    <w:p w:rsidR="007355D0" w:rsidRDefault="00CF6A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color w:val="000000"/>
          <w:sz w:val="24"/>
          <w:szCs w:val="24"/>
        </w:rPr>
        <w:t xml:space="preserve">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de la siguiente liga de la red social denominada FACEBOOK:</w:t>
      </w:r>
    </w:p>
    <w:p w:rsidR="007355D0" w:rsidRDefault="00CF6A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hyperlink r:id="rId22">
        <w:r>
          <w:rPr>
            <w:rFonts w:ascii="Palatino Linotype" w:eastAsia="Palatino Linotype" w:hAnsi="Palatino Linotype" w:cs="Palatino Linotype"/>
            <w:color w:val="0563C1"/>
            <w:sz w:val="24"/>
            <w:szCs w:val="24"/>
            <w:u w:val="single"/>
          </w:rPr>
          <w:t>https://www.facebook.com/FernandoFloresMetepec/posts/659470552160364</w:t>
        </w:r>
      </w:hyperlink>
    </w:p>
    <w:p w:rsidR="007355D0" w:rsidRDefault="00CF6A53">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Copia de los clips de video utilizados, así como el audio.</w:t>
      </w:r>
    </w:p>
    <w:p w:rsidR="007355D0" w:rsidRDefault="00CF6A53">
      <w:pPr>
        <w:spacing w:before="240" w:after="24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 xml:space="preserve">a través de su Coordinación </w:t>
      </w:r>
      <w:r>
        <w:rPr>
          <w:rFonts w:ascii="Palatino Linotype" w:eastAsia="Palatino Linotype" w:hAnsi="Palatino Linotype" w:cs="Palatino Linotype"/>
          <w:color w:val="000000"/>
          <w:sz w:val="24"/>
          <w:szCs w:val="24"/>
        </w:rPr>
        <w:t xml:space="preserve">de Comunicación Social y Jefe de la Oficina de Presidencia, indicaron que </w:t>
      </w:r>
      <w:r>
        <w:rPr>
          <w:rFonts w:ascii="Palatino Linotype" w:eastAsia="Palatino Linotype" w:hAnsi="Palatino Linotype" w:cs="Palatino Linotype"/>
          <w:b/>
          <w:color w:val="000000"/>
          <w:sz w:val="24"/>
          <w:szCs w:val="24"/>
          <w:u w:val="single"/>
        </w:rPr>
        <w:t>no tiene competencia para brindar la información requerida.</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An</w:t>
      </w:r>
      <w:r>
        <w:rPr>
          <w:rFonts w:ascii="Palatino Linotype" w:eastAsia="Palatino Linotype" w:hAnsi="Palatino Linotype" w:cs="Palatino Linotype"/>
          <w:sz w:val="24"/>
          <w:szCs w:val="24"/>
        </w:rPr>
        <w:t xml:space="preserve">te la respuesta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inconformó en lo medular porque la respuesta está llena de deficiencias. </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Una vez notificado el Recurso de Revisión,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rindió su informe justificado en donde señaló en lo medular que confirma la respuesta </w:t>
      </w:r>
      <w:r>
        <w:rPr>
          <w:rFonts w:ascii="Palatino Linotype" w:eastAsia="Palatino Linotype" w:hAnsi="Palatino Linotype" w:cs="Palatino Linotype"/>
          <w:sz w:val="24"/>
          <w:szCs w:val="24"/>
        </w:rPr>
        <w:t xml:space="preserve">proporcionada, solicitando que se sobresea el recurso de revisión. </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tal contexto, del análisis de las constancias que integran el  expediente en que se actúa, así como de la materia sobre la que versa la solicitud de acceso a la información pública, se </w:t>
      </w:r>
      <w:r>
        <w:rPr>
          <w:rFonts w:ascii="Palatino Linotype" w:eastAsia="Palatino Linotype" w:hAnsi="Palatino Linotype" w:cs="Palatino Linotype"/>
          <w:sz w:val="24"/>
          <w:szCs w:val="24"/>
        </w:rPr>
        <w:t xml:space="preserve">advierten que los motivos de inconformidad acontecen parcialmente fundados para revocar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razón de las consideraciones de derecho que a continuación se exponen:</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w:t>
      </w:r>
      <w:r>
        <w:rPr>
          <w:rFonts w:ascii="Palatino Linotype" w:eastAsia="Palatino Linotype" w:hAnsi="Palatino Linotype" w:cs="Palatino Linotype"/>
          <w:sz w:val="24"/>
          <w:szCs w:val="24"/>
        </w:rPr>
        <w:t>generada, obtenida, adquirida, transformada, administrada o en posesión de los sujetos obligados es pública y accesible de manera permanente a cualquier persona, privilegiando el principio de máxima publicidad, como así lo establece dicha determinación, qu</w:t>
      </w:r>
      <w:r>
        <w:rPr>
          <w:rFonts w:ascii="Palatino Linotype" w:eastAsia="Palatino Linotype" w:hAnsi="Palatino Linotype" w:cs="Palatino Linotype"/>
          <w:sz w:val="24"/>
          <w:szCs w:val="24"/>
        </w:rPr>
        <w:t>e a continuación se transcribe para un mejor entendimiento:</w:t>
      </w:r>
    </w:p>
    <w:p w:rsidR="007355D0" w:rsidRDefault="00CF6A5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w:t>
      </w:r>
      <w:r>
        <w:rPr>
          <w:rFonts w:ascii="Palatino Linotype" w:eastAsia="Palatino Linotype" w:hAnsi="Palatino Linotype" w:cs="Palatino Linotype"/>
          <w:i/>
        </w:rPr>
        <w:t xml:space="preserve">dad de acreditar personalidad ni interés jurídico. </w:t>
      </w:r>
    </w:p>
    <w:p w:rsidR="007355D0" w:rsidRDefault="00CF6A53">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w:t>
      </w:r>
      <w:r>
        <w:rPr>
          <w:rFonts w:ascii="Palatino Linotype" w:eastAsia="Palatino Linotype" w:hAnsi="Palatino Linotype" w:cs="Palatino Linotype"/>
          <w:i/>
        </w:rPr>
        <w:t>iciones que se establezcan en los tratados internacionales de los que el Estado mexicano sea parte, en la Ley General, la presente Ley y demás disposiciones de la materia, privilegiando el principio de máxima publicidad de la información. Solo podrá ser cl</w:t>
      </w:r>
      <w:r>
        <w:rPr>
          <w:rFonts w:ascii="Palatino Linotype" w:eastAsia="Palatino Linotype" w:hAnsi="Palatino Linotype" w:cs="Palatino Linotype"/>
          <w:i/>
        </w:rPr>
        <w:t>asificada excepcionalmente como reservada temporalmente por razones de interés público, en los términos de las causas legítimas y estrictamente necesarias previstas por esta Ley.”</w:t>
      </w:r>
    </w:p>
    <w:p w:rsidR="007355D0" w:rsidRDefault="00CF6A53">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lo anterior, se desprende que los Sujetos Obligados tienen la obligación </w:t>
      </w:r>
      <w:r>
        <w:rPr>
          <w:rFonts w:ascii="Palatino Linotype" w:eastAsia="Palatino Linotype" w:hAnsi="Palatino Linotype" w:cs="Palatino Linotype"/>
          <w:sz w:val="24"/>
          <w:szCs w:val="24"/>
        </w:rPr>
        <w:t xml:space="preserve">o deber de atender las solicitudes de acceso a la información pública que se les hagan de su conocimiento y proporcionar la información pública que obren en su poder como así lo establece el artículo 12 de la Ley de Transparencia y Acceso a la Información </w:t>
      </w:r>
      <w:r>
        <w:rPr>
          <w:rFonts w:ascii="Palatino Linotype" w:eastAsia="Palatino Linotype" w:hAnsi="Palatino Linotype" w:cs="Palatino Linotype"/>
          <w:sz w:val="24"/>
          <w:szCs w:val="24"/>
        </w:rPr>
        <w:t>Pública del Estado de México y Municipios, el cual a la letra dice:</w:t>
      </w:r>
    </w:p>
    <w:p w:rsidR="007355D0" w:rsidRDefault="00CF6A53">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Quienes generen, recopilen, administren, manejen, procesen, archiven o conserven información pública serán responsables de la misma en los términos de las disposiciones juríd</w:t>
      </w:r>
      <w:r>
        <w:rPr>
          <w:rFonts w:ascii="Palatino Linotype" w:eastAsia="Palatino Linotype" w:hAnsi="Palatino Linotype" w:cs="Palatino Linotype"/>
          <w:i/>
        </w:rPr>
        <w:t xml:space="preserve">icas aplicables. </w:t>
      </w:r>
    </w:p>
    <w:p w:rsidR="007355D0" w:rsidRDefault="00CF6A53">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w:t>
      </w:r>
      <w:r>
        <w:rPr>
          <w:rFonts w:ascii="Palatino Linotype" w:eastAsia="Palatino Linotype" w:hAnsi="Palatino Linotype" w:cs="Palatino Linotype"/>
          <w:i/>
        </w:rPr>
        <w:t>ni el presentarla conforme al interés del solicitante; no estarán obligados a generarla, resumirla, efectuar cálculos o practicar investigaciones.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w:t>
      </w:r>
      <w:r>
        <w:rPr>
          <w:rFonts w:ascii="Palatino Linotype" w:eastAsia="Palatino Linotype" w:hAnsi="Palatino Linotype" w:cs="Palatino Linotype"/>
          <w:sz w:val="24"/>
          <w:szCs w:val="24"/>
        </w:rPr>
        <w:t>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no tienen el deber de generar, poseer o administrar la información pública a un grado de detalle; esto es, que no tienen la obligación de generar un docume</w:t>
      </w:r>
      <w:r>
        <w:rPr>
          <w:rFonts w:ascii="Palatino Linotype" w:eastAsia="Palatino Linotype" w:hAnsi="Palatino Linotype" w:cs="Palatino Linotype"/>
          <w:sz w:val="24"/>
          <w:szCs w:val="24"/>
        </w:rPr>
        <w:t xml:space="preserv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dispone que los Sujetos Obligados sólo proporcionarán la información pública que generen, administren o </w:t>
      </w:r>
      <w:r>
        <w:rPr>
          <w:rFonts w:ascii="Palatino Linotype" w:eastAsia="Palatino Linotype" w:hAnsi="Palatino Linotype" w:cs="Palatino Linotype"/>
          <w:sz w:val="24"/>
          <w:szCs w:val="24"/>
        </w:rPr>
        <w:lastRenderedPageBreak/>
        <w:t>posean en el ejercicio</w:t>
      </w:r>
      <w:r>
        <w:rPr>
          <w:rFonts w:ascii="Palatino Linotype" w:eastAsia="Palatino Linotype" w:hAnsi="Palatino Linotype" w:cs="Palatino Linotype"/>
          <w:sz w:val="24"/>
          <w:szCs w:val="24"/>
        </w:rPr>
        <w:t xml:space="preserve"> de sus atribuciones; por consiguiente, la información pública se encuentra a disposición de cualquier persona, lo que implica que es deber de los Sujetos Obligados, garantizar el derecho de acceso a la información pública.</w:t>
      </w:r>
    </w:p>
    <w:p w:rsidR="007355D0" w:rsidRDefault="00CF6A5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En conclusión, el derecho de acc</w:t>
      </w:r>
      <w:r>
        <w:rPr>
          <w:rFonts w:ascii="Palatino Linotype" w:eastAsia="Palatino Linotype" w:hAnsi="Palatino Linotype" w:cs="Palatino Linotype"/>
          <w:sz w:val="24"/>
          <w:szCs w:val="24"/>
        </w:rPr>
        <w:t>eso a la información pública, consiste en que la información solicitada conste en un documento en cualquiera de sus formas, a saber: expedientes, reportes, estudios, actas, resoluciones, oficios, correspondencia, acuerdos, directivas, directrices, circular</w:t>
      </w:r>
      <w:r>
        <w:rPr>
          <w:rFonts w:ascii="Palatino Linotype" w:eastAsia="Palatino Linotype" w:hAnsi="Palatino Linotype" w:cs="Palatino Linotype"/>
          <w:sz w:val="24"/>
          <w:szCs w:val="24"/>
        </w:rPr>
        <w:t xml:space="preserve">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xml:space="preserve">; los que, podrán estar en cualquier medio, sea escrito, </w:t>
      </w:r>
      <w:r>
        <w:rPr>
          <w:rFonts w:ascii="Palatino Linotype" w:eastAsia="Palatino Linotype" w:hAnsi="Palatino Linotype" w:cs="Palatino Linotype"/>
          <w:sz w:val="24"/>
          <w:szCs w:val="24"/>
        </w:rPr>
        <w:t>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7355D0" w:rsidRDefault="00CF6A53">
      <w:pPr>
        <w:ind w:left="1276"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7355D0" w:rsidRDefault="00CF6A53">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55D0" w:rsidRDefault="00CF6A53">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w:t>
      </w:r>
      <w:r>
        <w:rPr>
          <w:rFonts w:ascii="Palatino Linotype" w:eastAsia="Palatino Linotype" w:hAnsi="Palatino Linotype" w:cs="Palatino Linotype"/>
          <w:i/>
        </w:rPr>
        <w:t>io de las facultades, funciones y competencias de los sujetos obligados, sus servidores públicos e integrantes, sin importar su fuente o fecha de elaboración. Los documentos podrán estar en cualquier medio, sea escrito, impreso, sonoro, visual, electrónico</w:t>
      </w:r>
      <w:r>
        <w:rPr>
          <w:rFonts w:ascii="Palatino Linotype" w:eastAsia="Palatino Linotype" w:hAnsi="Palatino Linotype" w:cs="Palatino Linotype"/>
          <w:i/>
        </w:rPr>
        <w:t>,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rsidR="007355D0" w:rsidRDefault="00CF6A5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w:t>
      </w:r>
      <w:r>
        <w:rPr>
          <w:rFonts w:ascii="Palatino Linotype" w:eastAsia="Palatino Linotype" w:hAnsi="Palatino Linotype" w:cs="Palatino Linotype"/>
          <w:sz w:val="24"/>
          <w:szCs w:val="24"/>
        </w:rPr>
        <w:t>cado en el Periódico Oficial del Gobierno del Estado Libre y Soberano de México “Gaceta del Gobierno”, el diecinueve de octubre de dos mil once, cuyo rubro y texto refieren lo siguiente:</w:t>
      </w:r>
    </w:p>
    <w:p w:rsidR="007355D0" w:rsidRDefault="00CF6A53">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7355D0" w:rsidRDefault="00CF6A53">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w:t>
      </w:r>
      <w:r>
        <w:rPr>
          <w:rFonts w:ascii="Palatino Linotype" w:eastAsia="Palatino Linotype" w:hAnsi="Palatino Linotype" w:cs="Palatino Linotype"/>
          <w:i/>
        </w:rPr>
        <w:t>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rPr>
        <w:t xml:space="preserve"> su fuente, soporte o fecha de elaboración.</w:t>
      </w:r>
    </w:p>
    <w:p w:rsidR="007355D0" w:rsidRDefault="00CF6A53">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7355D0" w:rsidRDefault="00CF6A53">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w:t>
      </w:r>
      <w:r>
        <w:rPr>
          <w:rFonts w:ascii="Palatino Linotype" w:eastAsia="Palatino Linotype" w:hAnsi="Palatino Linotype" w:cs="Palatino Linotype"/>
          <w:b/>
          <w:i/>
        </w:rPr>
        <w:t>as atribuciones conferidas, sea generada por los Sujetos Obligados;</w:t>
      </w:r>
    </w:p>
    <w:p w:rsidR="007355D0" w:rsidRDefault="00CF6A53">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7355D0" w:rsidRDefault="00CF6A53">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w:t>
      </w:r>
      <w:r>
        <w:rPr>
          <w:rFonts w:ascii="Palatino Linotype" w:eastAsia="Palatino Linotype" w:hAnsi="Palatino Linotype" w:cs="Palatino Linotype"/>
          <w:i/>
        </w:rPr>
        <w:t xml:space="preserve"> información registrada en cualquier soporte documental, que en ejercicio de las atribuciones conferidas, se encuentre en posesión de los Sujetos Obligados.”(Sic)</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ese sentido, al ingresar a la liga proporcionada por el particular se visualiza un video d</w:t>
      </w:r>
      <w:r>
        <w:rPr>
          <w:rFonts w:ascii="Palatino Linotype" w:eastAsia="Palatino Linotype" w:hAnsi="Palatino Linotype" w:cs="Palatino Linotype"/>
          <w:sz w:val="24"/>
          <w:szCs w:val="24"/>
        </w:rPr>
        <w:t xml:space="preserve">e un minuto con cincuenta y seis segundos de la primera semana 2022 que realizó el Presidente Municipal de Metepec </w:t>
      </w:r>
      <w:hyperlink r:id="rId23">
        <w:r>
          <w:rPr>
            <w:rFonts w:ascii="Palatino Linotype" w:eastAsia="Palatino Linotype" w:hAnsi="Palatino Linotype" w:cs="Palatino Linotype"/>
            <w:sz w:val="24"/>
            <w:szCs w:val="24"/>
          </w:rPr>
          <w:t>Fernando Flores Fernández</w:t>
        </w:r>
      </w:hyperlink>
      <w:r>
        <w:rPr>
          <w:rFonts w:ascii="Palatino Linotype" w:eastAsia="Palatino Linotype" w:hAnsi="Palatino Linotype" w:cs="Palatino Linotype"/>
          <w:sz w:val="24"/>
          <w:szCs w:val="24"/>
        </w:rPr>
        <w:t xml:space="preserve">; mismo que se encuentra publicado el </w:t>
      </w:r>
      <w:r>
        <w:rPr>
          <w:rFonts w:ascii="Palatino Linotype" w:eastAsia="Palatino Linotype" w:hAnsi="Palatino Linotype" w:cs="Palatino Linotype"/>
          <w:sz w:val="24"/>
          <w:szCs w:val="24"/>
        </w:rPr>
        <w:t>pasado nueve de enero del año dos mil veintidós en la red social denominada Facebook.</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Sobre la red social denominada “Facebook, manera ilustrativa debe decirse, es considerada como una compañía que ofrece servicios de redes sociales y medios sociales en la</w:t>
      </w:r>
      <w:r>
        <w:rPr>
          <w:rFonts w:ascii="Palatino Linotype" w:eastAsia="Palatino Linotype" w:hAnsi="Palatino Linotype" w:cs="Palatino Linotype"/>
          <w:sz w:val="24"/>
          <w:szCs w:val="24"/>
        </w:rPr>
        <w:t xml:space="preserve"> cual se pueden compartir diversos contenidos de tipo escrito, fotográfico y de vídeo, para acceder a ella es necesario registrarse de manera personal y crear una cuenta; en ese sentido, dicha plataforma digital es considera por muchos como un medio de con</w:t>
      </w:r>
      <w:r>
        <w:rPr>
          <w:rFonts w:ascii="Palatino Linotype" w:eastAsia="Palatino Linotype" w:hAnsi="Palatino Linotype" w:cs="Palatino Linotype"/>
          <w:sz w:val="24"/>
          <w:szCs w:val="24"/>
        </w:rPr>
        <w:t xml:space="preserve">tacto o medio de comunicación social, ya que la flexibilidad de la misma, aparte de mantener el contacto entre personas, se ha ido modificando para actividades de uso comercial o de difusión; como en el caso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consecuencia, al ser la </w:t>
      </w:r>
      <w:r>
        <w:rPr>
          <w:rFonts w:ascii="Palatino Linotype" w:eastAsia="Palatino Linotype" w:hAnsi="Palatino Linotype" w:cs="Palatino Linotype"/>
          <w:sz w:val="24"/>
          <w:szCs w:val="24"/>
        </w:rPr>
        <w:t xml:space="preserve">red social un medio por el cual las personas, empresas e incluso el ámbito gubernamental han utilizado para efectos de la comunicación social, se estima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utilizó una plataforma digital en el ejercicio de sus funciones de difusión soci</w:t>
      </w:r>
      <w:r>
        <w:rPr>
          <w:rFonts w:ascii="Palatino Linotype" w:eastAsia="Palatino Linotype" w:hAnsi="Palatino Linotype" w:cs="Palatino Linotype"/>
          <w:sz w:val="24"/>
          <w:szCs w:val="24"/>
        </w:rPr>
        <w:t>al, sin que ello propiamente lo obligue a celebrar un contrato o convenio con dicha empresa, pues se trata de una plataforma que ofrece sus servicios de manera gratuita y en la cual las personas, como ser individual, se afilian para gozar de sus servicios;</w:t>
      </w:r>
      <w:r>
        <w:rPr>
          <w:rFonts w:ascii="Palatino Linotype" w:eastAsia="Palatino Linotype" w:hAnsi="Palatino Linotype" w:cs="Palatino Linotype"/>
          <w:sz w:val="24"/>
          <w:szCs w:val="24"/>
        </w:rPr>
        <w:t xml:space="preserve"> que si bien en el ámbito de la administración pública, específicamente en cuanto a estrategias de comunicación </w:t>
      </w:r>
      <w:r>
        <w:rPr>
          <w:rFonts w:ascii="Palatino Linotype" w:eastAsia="Palatino Linotype" w:hAnsi="Palatino Linotype" w:cs="Palatino Linotype"/>
          <w:sz w:val="24"/>
          <w:szCs w:val="24"/>
        </w:rPr>
        <w:lastRenderedPageBreak/>
        <w:t>social, es una práctica común el allegarse de diversos medios electrónicos de comunicación, esto no implica que dichas actividades sean regulada</w:t>
      </w:r>
      <w:r>
        <w:rPr>
          <w:rFonts w:ascii="Palatino Linotype" w:eastAsia="Palatino Linotype" w:hAnsi="Palatino Linotype" w:cs="Palatino Linotype"/>
          <w:sz w:val="24"/>
          <w:szCs w:val="24"/>
        </w:rPr>
        <w:t>s por alguna Ley o norma tanto para su uso gubernamental como en materia de transparencia y acceso a la información pública.</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es así ya que las plataformas digitales en las que se ofertan las redes sociales, son de reciente creación y han ido ev</w:t>
      </w:r>
      <w:r>
        <w:rPr>
          <w:rFonts w:ascii="Palatino Linotype" w:eastAsia="Palatino Linotype" w:hAnsi="Palatino Linotype" w:cs="Palatino Linotype"/>
          <w:sz w:val="24"/>
          <w:szCs w:val="24"/>
        </w:rPr>
        <w:t>olucionando con el paso del tiempo, pero sobre todo porque se han originado en un ámbito privado, con el objetivo de prestar servicios de comunicación entre particulares, sin que ello implique una transgresión por parte del Estado o que exista una regulaci</w:t>
      </w:r>
      <w:r>
        <w:rPr>
          <w:rFonts w:ascii="Palatino Linotype" w:eastAsia="Palatino Linotype" w:hAnsi="Palatino Linotype" w:cs="Palatino Linotype"/>
          <w:sz w:val="24"/>
          <w:szCs w:val="24"/>
        </w:rPr>
        <w:t>ón en cuanto al uso que le han dado las instituciones públicas en esta nueva dinámica social digital en la que por necesidad se han tenido que adherir los entes públicos al uso de herramientas tecnológicas que faciliten su labor de la difusión.</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Precisado l</w:t>
      </w:r>
      <w:r>
        <w:rPr>
          <w:rFonts w:ascii="Palatino Linotype" w:eastAsia="Palatino Linotype" w:hAnsi="Palatino Linotype" w:cs="Palatino Linotype"/>
          <w:sz w:val="24"/>
          <w:szCs w:val="24"/>
        </w:rPr>
        <w:t>o anterior, y en razón de que el video que hace referencia en particular se trata del actual Presidente Municipal de Metepec, se procedió a la búsqueda de videos que coincidan con el proporcionado por el particular y que haya sido publicado por al Ayuntami</w:t>
      </w:r>
      <w:r>
        <w:rPr>
          <w:rFonts w:ascii="Palatino Linotype" w:eastAsia="Palatino Linotype" w:hAnsi="Palatino Linotype" w:cs="Palatino Linotype"/>
          <w:sz w:val="24"/>
          <w:szCs w:val="24"/>
        </w:rPr>
        <w:t xml:space="preserve">ento de Metepec, localizándose de manera de ejemplo en la misma red social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un video publicado por el Ayuntamiento de Metepec de fecha cuatro de enero del año en curso realizado en la estación de bomberos del Metepec, el cual coincide c</w:t>
      </w:r>
      <w:r>
        <w:rPr>
          <w:rFonts w:ascii="Palatino Linotype" w:eastAsia="Palatino Linotype" w:hAnsi="Palatino Linotype" w:cs="Palatino Linotype"/>
          <w:sz w:val="24"/>
          <w:szCs w:val="24"/>
        </w:rPr>
        <w:t xml:space="preserve">on un extracto del video que se aprecia en el proporcionado por el particular, de acuerdo a la siguiente imagen: </w:t>
      </w:r>
    </w:p>
    <w:p w:rsidR="007355D0" w:rsidRDefault="007355D0">
      <w:pPr>
        <w:spacing w:before="240" w:after="240" w:line="360" w:lineRule="auto"/>
        <w:jc w:val="both"/>
        <w:rPr>
          <w:rFonts w:ascii="Palatino Linotype" w:eastAsia="Palatino Linotype" w:hAnsi="Palatino Linotype" w:cs="Palatino Linotype"/>
          <w:sz w:val="24"/>
          <w:szCs w:val="24"/>
        </w:rPr>
      </w:pPr>
    </w:p>
    <w:p w:rsidR="007355D0" w:rsidRDefault="00CF6A53">
      <w:pPr>
        <w:spacing w:before="240" w:after="240" w:line="360" w:lineRule="auto"/>
        <w:jc w:val="both"/>
        <w:rPr>
          <w:rFonts w:ascii="Palatino Linotype" w:eastAsia="Palatino Linotype" w:hAnsi="Palatino Linotype" w:cs="Palatino Linotype"/>
          <w:sz w:val="24"/>
          <w:szCs w:val="24"/>
        </w:rPr>
      </w:pPr>
      <w:r>
        <w:rPr>
          <w:noProof/>
          <w:lang w:val="en-US"/>
        </w:rPr>
        <w:lastRenderedPageBreak/>
        <w:drawing>
          <wp:inline distT="0" distB="0" distL="0" distR="0">
            <wp:extent cx="5471580" cy="3212621"/>
            <wp:effectExtent l="0" t="0" r="0" b="0"/>
            <wp:docPr id="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t="18587" r="57292" b="32295"/>
                    <a:stretch>
                      <a:fillRect/>
                    </a:stretch>
                  </pic:blipFill>
                  <pic:spPr>
                    <a:xfrm>
                      <a:off x="0" y="0"/>
                      <a:ext cx="5471580" cy="3212621"/>
                    </a:xfrm>
                    <a:prstGeom prst="rect">
                      <a:avLst/>
                    </a:prstGeom>
                    <a:ln/>
                  </pic:spPr>
                </pic:pic>
              </a:graphicData>
            </a:graphic>
          </wp:inline>
        </w:drawing>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4660900</wp:posOffset>
                </wp:positionH>
                <wp:positionV relativeFrom="paragraph">
                  <wp:posOffset>469900</wp:posOffset>
                </wp:positionV>
                <wp:extent cx="473500" cy="624700"/>
                <wp:effectExtent l="0" t="0" r="0" b="0"/>
                <wp:wrapNone/>
                <wp:docPr id="57" name=""/>
                <wp:cNvGraphicFramePr/>
                <a:graphic xmlns:a="http://schemas.openxmlformats.org/drawingml/2006/main">
                  <a:graphicData uri="http://schemas.microsoft.com/office/word/2010/wordprocessingShape">
                    <wps:wsp>
                      <wps:cNvSpPr/>
                      <wps:spPr>
                        <a:xfrm>
                          <a:off x="5115600" y="3474000"/>
                          <a:ext cx="460800" cy="612000"/>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7355D0" w:rsidRDefault="007355D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4660900</wp:posOffset>
                </wp:positionH>
                <wp:positionV relativeFrom="paragraph">
                  <wp:posOffset>469900</wp:posOffset>
                </wp:positionV>
                <wp:extent cx="473500" cy="624700"/>
                <wp:effectExtent b="0" l="0" r="0" t="0"/>
                <wp:wrapNone/>
                <wp:docPr id="57"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473500" cy="624700"/>
                        </a:xfrm>
                        <a:prstGeom prst="rect"/>
                        <a:ln/>
                      </pic:spPr>
                    </pic:pic>
                  </a:graphicData>
                </a:graphic>
              </wp:anchor>
            </w:drawing>
          </mc:Fallback>
        </mc:AlternateContent>
      </w:r>
    </w:p>
    <w:p w:rsidR="007355D0" w:rsidRDefault="00CF6A5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base a lo anterior, podemos concluir que hay un indicio de la existencia de dichos videos, sirve de sustento a lo anterior </w:t>
      </w:r>
      <w:r>
        <w:rPr>
          <w:rFonts w:ascii="Palatino Linotype" w:eastAsia="Palatino Linotype" w:hAnsi="Palatino Linotype" w:cs="Palatino Linotype"/>
          <w:color w:val="000000"/>
          <w:sz w:val="24"/>
          <w:szCs w:val="24"/>
        </w:rPr>
        <w:t>las sigu</w:t>
      </w:r>
      <w:r>
        <w:rPr>
          <w:rFonts w:ascii="Palatino Linotype" w:eastAsia="Palatino Linotype" w:hAnsi="Palatino Linotype" w:cs="Palatino Linotype"/>
          <w:color w:val="000000"/>
          <w:sz w:val="24"/>
          <w:szCs w:val="24"/>
        </w:rPr>
        <w:t>ientes tesis jurisprudenciales</w:t>
      </w:r>
      <w:r>
        <w:rPr>
          <w:rFonts w:ascii="Palatino Linotype" w:eastAsia="Palatino Linotype" w:hAnsi="Palatino Linotype" w:cs="Palatino Linotype"/>
          <w:sz w:val="24"/>
          <w:szCs w:val="24"/>
        </w:rPr>
        <w:t>:</w:t>
      </w:r>
    </w:p>
    <w:p w:rsidR="007355D0" w:rsidRDefault="007355D0">
      <w:pPr>
        <w:spacing w:after="0" w:line="360" w:lineRule="auto"/>
        <w:ind w:left="567" w:right="618"/>
        <w:jc w:val="center"/>
        <w:rPr>
          <w:rFonts w:ascii="Palatino Linotype" w:eastAsia="Palatino Linotype" w:hAnsi="Palatino Linotype" w:cs="Palatino Linotype"/>
          <w:b/>
          <w:i/>
          <w:sz w:val="24"/>
          <w:szCs w:val="24"/>
        </w:rPr>
      </w:pPr>
    </w:p>
    <w:p w:rsidR="007355D0" w:rsidRDefault="00CF6A53">
      <w:pPr>
        <w:spacing w:after="0" w:line="240" w:lineRule="auto"/>
        <w:ind w:left="567" w:right="618"/>
        <w:jc w:val="center"/>
        <w:rPr>
          <w:rFonts w:ascii="Palatino Linotype" w:eastAsia="Palatino Linotype" w:hAnsi="Palatino Linotype" w:cs="Palatino Linotype"/>
          <w:b/>
          <w:i/>
        </w:rPr>
      </w:pPr>
      <w:r>
        <w:rPr>
          <w:rFonts w:ascii="Palatino Linotype" w:eastAsia="Palatino Linotype" w:hAnsi="Palatino Linotype" w:cs="Palatino Linotype"/>
          <w:b/>
          <w:i/>
        </w:rPr>
        <w:t>HECHOS NOTORIOS. CONCEPTOS GENERAL Y JURÍDICO</w:t>
      </w:r>
    </w:p>
    <w:p w:rsidR="007355D0" w:rsidRDefault="00CF6A53">
      <w:pPr>
        <w:spacing w:after="0" w:line="240"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b/>
          <w:i/>
        </w:rPr>
        <w:t xml:space="preserve">Conforme al artículo </w:t>
      </w:r>
      <w:hyperlink r:id="rId26">
        <w:r>
          <w:rPr>
            <w:rFonts w:ascii="Palatino Linotype" w:eastAsia="Palatino Linotype" w:hAnsi="Palatino Linotype" w:cs="Palatino Linotype"/>
            <w:b/>
            <w:i/>
          </w:rPr>
          <w:t>88 del Código Federal de Procedimientos Civiles</w:t>
        </w:r>
      </w:hyperlink>
      <w:r>
        <w:rPr>
          <w:rFonts w:ascii="Palatino Linotype" w:eastAsia="Palatino Linotype" w:hAnsi="Palatino Linotype" w:cs="Palatino Linotype"/>
          <w:b/>
          <w:i/>
        </w:rPr>
        <w:t xml:space="preserve"> los tribunales pueden invocar hechos notorios aunque no hayan sido alegados ni probados por las partes.</w:t>
      </w:r>
      <w:r>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w:t>
      </w:r>
      <w:r>
        <w:rPr>
          <w:rFonts w:ascii="Palatino Linotype" w:eastAsia="Palatino Linotype" w:hAnsi="Palatino Linotype" w:cs="Palatino Linotype"/>
          <w:i/>
        </w:rPr>
        <w:t xml:space="preserve"> a la historia, a la ciencia, a la naturaleza</w:t>
      </w:r>
      <w:r>
        <w:rPr>
          <w:rFonts w:ascii="Palatino Linotype" w:eastAsia="Palatino Linotype" w:hAnsi="Palatino Linotype" w:cs="Palatino Linotype"/>
          <w:b/>
          <w:i/>
        </w:rPr>
        <w:t>, a las vicisitudes de la vida pública actual o a circunstancias comúnmente conocidas en un determinado lugar</w:t>
      </w:r>
      <w:r>
        <w:rPr>
          <w:rFonts w:ascii="Palatino Linotype" w:eastAsia="Palatino Linotype" w:hAnsi="Palatino Linotype" w:cs="Palatino Linotype"/>
          <w:i/>
        </w:rPr>
        <w:t xml:space="preserve">, </w:t>
      </w:r>
      <w:r>
        <w:rPr>
          <w:rFonts w:ascii="Palatino Linotype" w:eastAsia="Palatino Linotype" w:hAnsi="Palatino Linotype" w:cs="Palatino Linotype"/>
          <w:b/>
          <w:i/>
        </w:rPr>
        <w:t>de modo que toda persona de ese medio esté en condiciones de saberlo</w:t>
      </w:r>
      <w:r>
        <w:rPr>
          <w:rFonts w:ascii="Palatino Linotype" w:eastAsia="Palatino Linotype" w:hAnsi="Palatino Linotype" w:cs="Palatino Linotype"/>
          <w:i/>
        </w:rPr>
        <w:t>; y desde el punto de vista jurí</w:t>
      </w:r>
      <w:r>
        <w:rPr>
          <w:rFonts w:ascii="Palatino Linotype" w:eastAsia="Palatino Linotype" w:hAnsi="Palatino Linotype" w:cs="Palatino Linotype"/>
          <w:i/>
        </w:rPr>
        <w:t>dico, hecho notorio es cualquier acontecimiento de dominio público conocido por todos o casi todos los miembros de un círculo social en el momento en que va a pronunciarse la decisión judicial, respecto del cual no hay duda ni discusión; de manera que al s</w:t>
      </w:r>
      <w:r>
        <w:rPr>
          <w:rFonts w:ascii="Palatino Linotype" w:eastAsia="Palatino Linotype" w:hAnsi="Palatino Linotype" w:cs="Palatino Linotype"/>
          <w:i/>
        </w:rPr>
        <w:t>er notorio la ley exime de su prueba, por ser del conocimiento público en el medio social donde ocurrió o donde se tramita el procedimiento.</w:t>
      </w:r>
    </w:p>
    <w:p w:rsidR="007355D0" w:rsidRDefault="007355D0">
      <w:pPr>
        <w:spacing w:after="0" w:line="240" w:lineRule="auto"/>
        <w:ind w:left="567" w:right="616"/>
        <w:rPr>
          <w:rFonts w:ascii="Palatino Linotype" w:eastAsia="Palatino Linotype" w:hAnsi="Palatino Linotype" w:cs="Palatino Linotype"/>
          <w:i/>
        </w:rPr>
      </w:pPr>
    </w:p>
    <w:p w:rsidR="007355D0" w:rsidRDefault="00CF6A53">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Controversia constitucional 24/2005. Cámara de Diputados del Congreso de la Unión. 9 de marzo de 2006. Once votos.</w:t>
      </w:r>
      <w:r>
        <w:rPr>
          <w:rFonts w:ascii="Palatino Linotype" w:eastAsia="Palatino Linotype" w:hAnsi="Palatino Linotype" w:cs="Palatino Linotype"/>
          <w:i/>
        </w:rPr>
        <w:t xml:space="preserve"> Ponente: José Ramón Cossío Díaz. Secretarios: Raúl Manuel Mejía Garza y Laura Patricia Rojas Zamudio.</w:t>
      </w:r>
    </w:p>
    <w:p w:rsidR="007355D0" w:rsidRDefault="00CF6A53">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El Tribunal Pleno, el dieciséis de mayo en curso, aprobó, con el número 74/2006, la tesis jurisprudencial que antecede. México, Distrito Federal, a dieci</w:t>
      </w:r>
      <w:r>
        <w:rPr>
          <w:rFonts w:ascii="Palatino Linotype" w:eastAsia="Palatino Linotype" w:hAnsi="Palatino Linotype" w:cs="Palatino Linotype"/>
          <w:i/>
        </w:rPr>
        <w:t>séis de mayo de dos mil seis.</w:t>
      </w:r>
    </w:p>
    <w:p w:rsidR="007355D0" w:rsidRDefault="00CF6A53">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rsidR="007355D0" w:rsidRDefault="007355D0">
      <w:pPr>
        <w:spacing w:line="240" w:lineRule="auto"/>
        <w:ind w:left="567" w:right="616"/>
        <w:jc w:val="both"/>
        <w:rPr>
          <w:rFonts w:ascii="Palatino Linotype" w:eastAsia="Palatino Linotype" w:hAnsi="Palatino Linotype" w:cs="Palatino Linotype"/>
          <w:i/>
        </w:rPr>
      </w:pPr>
    </w:p>
    <w:p w:rsidR="007355D0" w:rsidRDefault="00CF6A53">
      <w:pPr>
        <w:widowControl w:val="0"/>
        <w:pBdr>
          <w:top w:val="nil"/>
          <w:left w:val="nil"/>
          <w:bottom w:val="nil"/>
          <w:right w:val="nil"/>
          <w:between w:val="nil"/>
        </w:pBdr>
        <w:shd w:val="clear" w:color="auto" w:fill="FFFFFF"/>
        <w:spacing w:after="12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PÁGINAS WEB O ELECTRÓNICAS. SU CONTENIDO ES UN HECHO </w:t>
      </w:r>
      <w:r>
        <w:rPr>
          <w:rFonts w:ascii="Palatino Linotype" w:eastAsia="Palatino Linotype" w:hAnsi="Palatino Linotype" w:cs="Palatino Linotype"/>
          <w:b/>
          <w:i/>
          <w:color w:val="000000"/>
        </w:rPr>
        <w:t>NOTORIO Y SUSCEPTIBLE DE SER VALORADO EN UNA DECISIÓN JUDICIAL.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Los datos publicados en documentos o páginas situados en redes informáticas constituyen un hecho notorio por formar parte del conocimiento público a través de tales medios al momento en que se</w:t>
      </w:r>
      <w:r>
        <w:rPr>
          <w:rFonts w:ascii="Palatino Linotype" w:eastAsia="Palatino Linotype" w:hAnsi="Palatino Linotype" w:cs="Palatino Linotype"/>
          <w:i/>
          <w:color w:val="000000"/>
        </w:rPr>
        <w:t xml:space="preserve"> dicta una resolución judicial, de conformidad con el artículo 88 del Código Federal de Procedimientos Civiles. El acceso al uso de Internet para buscar información sobre la existencia de personas morales, establecimientos mercantiles, domicilios y en gene</w:t>
      </w:r>
      <w:r>
        <w:rPr>
          <w:rFonts w:ascii="Palatino Linotype" w:eastAsia="Palatino Linotype" w:hAnsi="Palatino Linotype" w:cs="Palatino Linotype"/>
          <w:i/>
          <w:color w:val="000000"/>
        </w:rPr>
        <w:t>ral cualquier dato publicado en redes informáticas, forma parte de la cultura normal de sectores específicos de la sociedad dependiendo del tipo de información de que se trate. De ahí que, si bien no es posible afirmar que esa información se encuentra al a</w:t>
      </w:r>
      <w:r>
        <w:rPr>
          <w:rFonts w:ascii="Palatino Linotype" w:eastAsia="Palatino Linotype" w:hAnsi="Palatino Linotype" w:cs="Palatino Linotype"/>
          <w:i/>
          <w:color w:val="000000"/>
        </w:rPr>
        <w:t>lcance de todos los sectores de la sociedad, lo cierto es que sí es posible determinar si por el tipo de datos un hecho forma parte de la cultura normal de un sector de la sociedad y pueda ser considerado como notorio por el juzgador y, consecuentemente, v</w:t>
      </w:r>
      <w:r>
        <w:rPr>
          <w:rFonts w:ascii="Palatino Linotype" w:eastAsia="Palatino Linotype" w:hAnsi="Palatino Linotype" w:cs="Palatino Linotype"/>
          <w:i/>
          <w:color w:val="000000"/>
        </w:rPr>
        <w:t>alorado en una decisión judicial, por tratarse de un dato u opinión común indiscutible, no por el número de personas que conocen ese hecho, sino por la notoriedad, accesibilidad, aceptación e imparcialidad de este conocimiento. Por tanto, el contenido de u</w:t>
      </w:r>
      <w:r>
        <w:rPr>
          <w:rFonts w:ascii="Palatino Linotype" w:eastAsia="Palatino Linotype" w:hAnsi="Palatino Linotype" w:cs="Palatino Linotype"/>
          <w:i/>
          <w:color w:val="000000"/>
        </w:rPr>
        <w:t>na página de Internet que refleja hechos propios de una de las partes en cualquier juicio, puede ser tomado como prueba plena, a menos que haya una en contrario que no fue creada por orden del interesado, ya que se le reputará autor y podrá perjudicarle lo</w:t>
      </w:r>
      <w:r>
        <w:rPr>
          <w:rFonts w:ascii="Palatino Linotype" w:eastAsia="Palatino Linotype" w:hAnsi="Palatino Linotype" w:cs="Palatino Linotype"/>
          <w:i/>
          <w:color w:val="000000"/>
        </w:rPr>
        <w:t xml:space="preserve"> que ofrezca en sus términos. TERCER TRIBUNAL COLEGIADO EN MATERIA CIVIL DEL PRIMER CIRCUITO. Amparo en revisión 365/2012. Mardygras, S.A. de C.V. 7 de diciembre de 2012. Unanimidad de votos. Ponente: Neófito López Ramos. Secretaria: Ana Lilia Osorno Arroy</w:t>
      </w:r>
      <w:r>
        <w:rPr>
          <w:rFonts w:ascii="Palatino Linotype" w:eastAsia="Palatino Linotype" w:hAnsi="Palatino Linotype" w:cs="Palatino Linotype"/>
          <w:i/>
          <w:color w:val="000000"/>
        </w:rPr>
        <w:t>o. HECHO NOTORIO. LO CONSTITUYEN LOS DATOS QUE APARECEN EN LAS PÁGINAS ELECTRÓNICAS OFICIALES QUE LOS ÓRGANOS DE GOBIERNO UTILIZAN PARA PONER A DISPOSICIÓN DEL PÚBLICO, ENTRE OTROS SERVICIOS, LA DESCRIPCIÓN DE SUS PLAZAS, EL DIRECTORIO DE SUS EMPLEADOS O E</w:t>
      </w:r>
      <w:r>
        <w:rPr>
          <w:rFonts w:ascii="Palatino Linotype" w:eastAsia="Palatino Linotype" w:hAnsi="Palatino Linotype" w:cs="Palatino Linotype"/>
          <w:i/>
          <w:color w:val="000000"/>
        </w:rPr>
        <w:t xml:space="preserve">L ESTADO QUE GUARDAN SUS EXPEDIENTES Y, POR ELLO, ES </w:t>
      </w:r>
      <w:r>
        <w:rPr>
          <w:rFonts w:ascii="Palatino Linotype" w:eastAsia="Palatino Linotype" w:hAnsi="Palatino Linotype" w:cs="Palatino Linotype"/>
          <w:i/>
          <w:color w:val="000000"/>
        </w:rPr>
        <w:lastRenderedPageBreak/>
        <w:t>VÁLIDO QUE SE INVOQUEN DE OFICIO PARA RESOLVER UN ASUNTO EN PARTICULAR. Los datos que aparecen en las páginas electrónicas oficiales que los órganos de gobierno utilizan para poner a disposición del públ</w:t>
      </w:r>
      <w:r>
        <w:rPr>
          <w:rFonts w:ascii="Palatino Linotype" w:eastAsia="Palatino Linotype" w:hAnsi="Palatino Linotype" w:cs="Palatino Linotype"/>
          <w:i/>
          <w:color w:val="000000"/>
        </w:rPr>
        <w:t>ico, entre otros servicios, la descripción de sus plazas, el directorio de sus empleados o el estado que guardan sus expedientes, constituyen Tesis: XX.2o. J/24 Semanario Judicial de la Federación y su Gaceta Novena Época 168124 75 de 163 Tribunales Colegi</w:t>
      </w:r>
      <w:r>
        <w:rPr>
          <w:rFonts w:ascii="Palatino Linotype" w:eastAsia="Palatino Linotype" w:hAnsi="Palatino Linotype" w:cs="Palatino Linotype"/>
          <w:i/>
          <w:color w:val="000000"/>
        </w:rPr>
        <w:t>ados de Circuito Tomo XXIX, Enero de 2009 Pag. 2470 Jurisprudencia(Común) un hecho notorio que puede invocarse por los tribunales, en términos del artículo 88 del Código Federal de Procedimientos Civiles, de aplicación supletoria a la Ley de Amparo; porque</w:t>
      </w:r>
      <w:r>
        <w:rPr>
          <w:rFonts w:ascii="Palatino Linotype" w:eastAsia="Palatino Linotype" w:hAnsi="Palatino Linotype" w:cs="Palatino Linotype"/>
          <w:i/>
          <w:color w:val="000000"/>
        </w:rPr>
        <w:t xml:space="preserve"> la información generada o comunicada por esa vía forma parte del sistema mundial de diseminación y obtención de datos denominada "internet", del cual puede obtenerse, por ejemplo, el nombre de un servidor público, el organigrama de una institución, así co</w:t>
      </w:r>
      <w:r>
        <w:rPr>
          <w:rFonts w:ascii="Palatino Linotype" w:eastAsia="Palatino Linotype" w:hAnsi="Palatino Linotype" w:cs="Palatino Linotype"/>
          <w:i/>
          <w:color w:val="000000"/>
        </w:rPr>
        <w:t>mo el sentido de sus resoluciones; de ahí que sea válido que los órganos jurisdiccionales invoquen de oficio lo publicado en ese medio para resolver un asunto en particular. SEGUNDO TRIBUNAL COLEGIADO DEL VIGÉSIMO CIRCUITO. Amparo directo 816/2006. 13 de j</w:t>
      </w:r>
      <w:r>
        <w:rPr>
          <w:rFonts w:ascii="Palatino Linotype" w:eastAsia="Palatino Linotype" w:hAnsi="Palatino Linotype" w:cs="Palatino Linotype"/>
          <w:i/>
          <w:color w:val="000000"/>
        </w:rPr>
        <w:t>unio de 2007. Unanimidad de votos. Ponente: Carlos Arteaga Álvarez. Secretario: Jorge Alberto Camacho Pérez. Amparo directo 77/2008. 10 de octubre de 2008. Unanimidad de votos. Ponente: Carlos Arteaga Álvarez. Secretario: José Martín Lázaro Vázquez. Amparo</w:t>
      </w:r>
      <w:r>
        <w:rPr>
          <w:rFonts w:ascii="Palatino Linotype" w:eastAsia="Palatino Linotype" w:hAnsi="Palatino Linotype" w:cs="Palatino Linotype"/>
          <w:i/>
          <w:color w:val="000000"/>
        </w:rPr>
        <w:t xml:space="preserve"> directo 74/2008. 10 de octubre de 2008. Unanimidad de votos. Ponente: Carlos Arteaga Álvarez. Secretario: Jorge Alberto Camacho Pérez. Amparo directo 355/2008. 16 de octubre de 2008. Unanimidad de votos. Ponente: Antonio Artemio Maldonado Cruz, secretario</w:t>
      </w:r>
      <w:r>
        <w:rPr>
          <w:rFonts w:ascii="Palatino Linotype" w:eastAsia="Palatino Linotype" w:hAnsi="Palatino Linotype" w:cs="Palatino Linotype"/>
          <w:i/>
          <w:color w:val="000000"/>
        </w:rPr>
        <w:t xml:space="preserve"> de tribunal autorizado por la Comisión de Carrera Judicial del Consejo de la Judicatura Federal para desempeñar las funciones de Magistrado. Secretario: Rolando Meza Camacho. Amparo directo 968/2007. 23 de octubre de 2008. Unanimidad de votos. Ponente: Ma</w:t>
      </w:r>
      <w:r>
        <w:rPr>
          <w:rFonts w:ascii="Palatino Linotype" w:eastAsia="Palatino Linotype" w:hAnsi="Palatino Linotype" w:cs="Palatino Linotype"/>
          <w:i/>
          <w:color w:val="000000"/>
        </w:rPr>
        <w:t>rta Olivia Tello Acuña. Secretaria: Elvia Aguilar Moreno. Nota: Esta tesis fue objeto de la denuncia relativa a la contradicción de tesis 91/2014, desechada por notoriamente improcedente, mediante acuerdo de 23 de marzo de 2014. Por ejecutoria del 19 de ju</w:t>
      </w:r>
      <w:r>
        <w:rPr>
          <w:rFonts w:ascii="Palatino Linotype" w:eastAsia="Palatino Linotype" w:hAnsi="Palatino Linotype" w:cs="Palatino Linotype"/>
          <w:i/>
          <w:color w:val="000000"/>
        </w:rPr>
        <w:t>nio de 2013, la Segunda Sala declaró inexistente la contradicción de tesis 132/2013 derivada de la denuncia de la que fue objeto el criterio contenido en esta tesis, al estimarse que no son discrepantes los criterios materia de la denuncia respectiva.” (Si</w:t>
      </w:r>
      <w:r>
        <w:rPr>
          <w:rFonts w:ascii="Palatino Linotype" w:eastAsia="Palatino Linotype" w:hAnsi="Palatino Linotype" w:cs="Palatino Linotype"/>
          <w:i/>
          <w:color w:val="000000"/>
        </w:rPr>
        <w:t>c)</w:t>
      </w:r>
    </w:p>
    <w:p w:rsidR="007355D0" w:rsidRDefault="00CF6A53">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sz w:val="24"/>
          <w:szCs w:val="24"/>
        </w:rPr>
        <w:t xml:space="preserve">Ahora bien, cabe mencionar que la dirección electrónica proporcionada por la parte Solicitante dirige a la </w:t>
      </w:r>
      <w:r>
        <w:rPr>
          <w:rFonts w:ascii="Palatino Linotype" w:eastAsia="Palatino Linotype" w:hAnsi="Palatino Linotype" w:cs="Palatino Linotype"/>
          <w:sz w:val="24"/>
          <w:szCs w:val="24"/>
          <w:u w:val="single"/>
        </w:rPr>
        <w:t>cuenta personal</w:t>
      </w:r>
      <w:r>
        <w:rPr>
          <w:rFonts w:ascii="Palatino Linotype" w:eastAsia="Palatino Linotype" w:hAnsi="Palatino Linotype" w:cs="Palatino Linotype"/>
          <w:sz w:val="24"/>
          <w:szCs w:val="24"/>
        </w:rPr>
        <w:t xml:space="preserve"> del Presidente Municipal de Metepec, en la red social Facebook.</w:t>
      </w:r>
    </w:p>
    <w:p w:rsidR="007355D0" w:rsidRDefault="00CF6A53">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Precisando lo anterior, regresando a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través de la Unidad de Transparencia, hizo del conocimiento de la persona solicitante el pronunciamiento vertido por el Titular de la Coordinación de Comunicación Social, quien manifestó que el área a su cargo no tiene competencia para b</w:t>
      </w:r>
      <w:r>
        <w:rPr>
          <w:rFonts w:ascii="Palatino Linotype" w:eastAsia="Palatino Linotype" w:hAnsi="Palatino Linotype" w:cs="Palatino Linotype"/>
          <w:sz w:val="24"/>
          <w:szCs w:val="24"/>
        </w:rPr>
        <w:t>rindar la información requerida; sin embargo la Coordinación de Comunicación Social, área que de conformidad con el Código de Reglamentación Municipal de Metepec, tiene conferidas las siguientes atribuciones:</w:t>
      </w:r>
    </w:p>
    <w:p w:rsidR="007355D0" w:rsidRDefault="007355D0">
      <w:pPr>
        <w:spacing w:after="0" w:line="360" w:lineRule="auto"/>
        <w:jc w:val="both"/>
        <w:rPr>
          <w:rFonts w:ascii="Palatino Linotype" w:eastAsia="Palatino Linotype" w:hAnsi="Palatino Linotype" w:cs="Palatino Linotype"/>
          <w:sz w:val="24"/>
          <w:szCs w:val="24"/>
          <w:highlight w:val="green"/>
        </w:rPr>
      </w:pPr>
    </w:p>
    <w:p w:rsidR="007355D0" w:rsidRDefault="00CF6A53">
      <w:pPr>
        <w:spacing w:after="0" w:line="240" w:lineRule="auto"/>
        <w:ind w:left="860"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3.15</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Coordinación de Comunicaci</w:t>
      </w:r>
      <w:r>
        <w:rPr>
          <w:rFonts w:ascii="Palatino Linotype" w:eastAsia="Palatino Linotype" w:hAnsi="Palatino Linotype" w:cs="Palatino Linotype"/>
          <w:b/>
          <w:i/>
        </w:rPr>
        <w:t>ón Social</w:t>
      </w:r>
      <w:r>
        <w:rPr>
          <w:rFonts w:ascii="Palatino Linotype" w:eastAsia="Palatino Linotype" w:hAnsi="Palatino Linotype" w:cs="Palatino Linotype"/>
          <w:i/>
        </w:rPr>
        <w:t xml:space="preserve"> tendrá las atribuciones las siguientes:</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Coordinar la cobertura informativa de giras y eventos del Ayuntamiento, de las dependencias y organismos descentralizados y autónomos, que se lleven a cabo dentro y fuera del Municipio;</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Elaborar bol</w:t>
      </w:r>
      <w:r>
        <w:rPr>
          <w:rFonts w:ascii="Palatino Linotype" w:eastAsia="Palatino Linotype" w:hAnsi="Palatino Linotype" w:cs="Palatino Linotype"/>
          <w:i/>
        </w:rPr>
        <w:t>etines informativos;</w:t>
      </w:r>
    </w:p>
    <w:p w:rsidR="007355D0" w:rsidRDefault="00CF6A53">
      <w:pPr>
        <w:spacing w:after="0" w:line="240" w:lineRule="auto"/>
        <w:ind w:left="1140" w:right="902"/>
        <w:jc w:val="both"/>
        <w:rPr>
          <w:rFonts w:ascii="Palatino Linotype" w:eastAsia="Palatino Linotype" w:hAnsi="Palatino Linotype" w:cs="Palatino Linotype"/>
          <w:b/>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Difundir las acciones y actos de gobierno;</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Elaborar mapas de la influencia de los medios de comunicación por regiones o sectores de la población, para determinar una adecuada estrategia de difusión y jerarquizar su empleo;</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Instrumentar una política de relaciones públicas entre la administración municipal y los medios de comunicación;</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Priorizar la </w:t>
      </w:r>
      <w:r>
        <w:rPr>
          <w:rFonts w:ascii="Palatino Linotype" w:eastAsia="Palatino Linotype" w:hAnsi="Palatino Linotype" w:cs="Palatino Linotype"/>
          <w:b/>
          <w:i/>
        </w:rPr>
        <w:t>difusión de aquellos actos y gestiones de gobierno que tengan mayor trascendencia para la vida social y política de Metepe</w:t>
      </w:r>
      <w:r>
        <w:rPr>
          <w:rFonts w:ascii="Palatino Linotype" w:eastAsia="Palatino Linotype" w:hAnsi="Palatino Linotype" w:cs="Palatino Linotype"/>
          <w:b/>
          <w:i/>
        </w:rPr>
        <w:t>c</w:t>
      </w:r>
      <w:r>
        <w:rPr>
          <w:rFonts w:ascii="Palatino Linotype" w:eastAsia="Palatino Linotype" w:hAnsi="Palatino Linotype" w:cs="Palatino Linotype"/>
          <w:i/>
        </w:rPr>
        <w:t>;</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Organizar y sistematizar la información relativa a los actos, ceremonias y conferencias en las que participen las autoridades municipales;</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Definir que los recursos de comunicación social coadyuven en la opinión pública;</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Proporcionar a </w:t>
      </w:r>
      <w:r>
        <w:rPr>
          <w:rFonts w:ascii="Palatino Linotype" w:eastAsia="Palatino Linotype" w:hAnsi="Palatino Linotype" w:cs="Palatino Linotype"/>
          <w:i/>
        </w:rPr>
        <w:t>los medios de comunicación información de las actividades realizadas por las áreas, organismos y entidades de la Administración Pública Municipal;</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X</w:t>
      </w:r>
      <w:r>
        <w:rPr>
          <w:rFonts w:ascii="Palatino Linotype" w:eastAsia="Palatino Linotype" w:hAnsi="Palatino Linotype" w:cs="Palatino Linotype"/>
          <w:i/>
        </w:rPr>
        <w:t xml:space="preserve">.  </w:t>
      </w:r>
      <w:r>
        <w:rPr>
          <w:rFonts w:ascii="Palatino Linotype" w:eastAsia="Palatino Linotype" w:hAnsi="Palatino Linotype" w:cs="Palatino Linotype"/>
          <w:b/>
          <w:i/>
        </w:rPr>
        <w:t>Difundir los proyectos, programas y actividades de la o el Presidenta</w:t>
      </w:r>
      <w:r>
        <w:rPr>
          <w:rFonts w:ascii="Palatino Linotype" w:eastAsia="Palatino Linotype" w:hAnsi="Palatino Linotype" w:cs="Palatino Linotype"/>
          <w:i/>
        </w:rPr>
        <w:t xml:space="preserve"> (e);</w:t>
      </w:r>
    </w:p>
    <w:p w:rsidR="007355D0" w:rsidRDefault="00CF6A53">
      <w:pPr>
        <w:spacing w:after="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XI</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Diseñar y producir campañas de difusión de las acciones del Gobierno Municipal</w:t>
      </w:r>
      <w:r>
        <w:rPr>
          <w:rFonts w:ascii="Palatino Linotype" w:eastAsia="Palatino Linotype" w:hAnsi="Palatino Linotype" w:cs="Palatino Linotype"/>
          <w:i/>
          <w:u w:val="single"/>
        </w:rPr>
        <w:t>;</w:t>
      </w:r>
      <w:r>
        <w:rPr>
          <w:rFonts w:ascii="Palatino Linotype" w:eastAsia="Palatino Linotype" w:hAnsi="Palatino Linotype" w:cs="Palatino Linotype"/>
          <w:i/>
        </w:rPr>
        <w:t xml:space="preserve"> y</w:t>
      </w:r>
    </w:p>
    <w:p w:rsidR="007355D0" w:rsidRDefault="00CF6A53">
      <w:pPr>
        <w:spacing w:after="120" w:line="240" w:lineRule="auto"/>
        <w:ind w:left="1140" w:right="902"/>
        <w:jc w:val="both"/>
        <w:rPr>
          <w:rFonts w:ascii="Palatino Linotype" w:eastAsia="Palatino Linotype" w:hAnsi="Palatino Linotype" w:cs="Palatino Linotype"/>
          <w:i/>
        </w:rPr>
      </w:pPr>
      <w:r>
        <w:rPr>
          <w:rFonts w:ascii="Palatino Linotype" w:eastAsia="Palatino Linotype" w:hAnsi="Palatino Linotype" w:cs="Palatino Linotype"/>
          <w:b/>
          <w:i/>
        </w:rPr>
        <w:t>XII.</w:t>
      </w:r>
      <w:r>
        <w:rPr>
          <w:rFonts w:ascii="Palatino Linotype" w:eastAsia="Palatino Linotype" w:hAnsi="Palatino Linotype" w:cs="Palatino Linotype"/>
          <w:i/>
        </w:rPr>
        <w:t xml:space="preserve">  Las demás que le señalen otros ordenamientos jurídicos aplicables, o aquellas que la o el Presidenta (e) le confiera.”</w:t>
      </w:r>
    </w:p>
    <w:p w:rsidR="007355D0" w:rsidRDefault="007355D0">
      <w:pPr>
        <w:spacing w:before="120" w:after="240" w:line="360" w:lineRule="auto"/>
        <w:jc w:val="both"/>
        <w:rPr>
          <w:rFonts w:ascii="Palatino Linotype" w:eastAsia="Palatino Linotype" w:hAnsi="Palatino Linotype" w:cs="Palatino Linotype"/>
          <w:sz w:val="24"/>
          <w:szCs w:val="24"/>
        </w:rPr>
      </w:pP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se advierte, la Coordinación de Comunicació</w:t>
      </w:r>
      <w:r>
        <w:rPr>
          <w:rFonts w:ascii="Palatino Linotype" w:eastAsia="Palatino Linotype" w:hAnsi="Palatino Linotype" w:cs="Palatino Linotype"/>
          <w:sz w:val="24"/>
          <w:szCs w:val="24"/>
        </w:rPr>
        <w:t xml:space="preserve">n Social, es responsable de difundir las acciones y actos de gobierno, los proyectos, programas y actividades del o la presidente municipal, así como </w:t>
      </w:r>
      <w:r>
        <w:rPr>
          <w:rFonts w:ascii="Palatino Linotype" w:eastAsia="Palatino Linotype" w:hAnsi="Palatino Linotype" w:cs="Palatino Linotype"/>
          <w:b/>
          <w:sz w:val="24"/>
          <w:szCs w:val="24"/>
          <w:u w:val="single"/>
        </w:rPr>
        <w:t>de diseñar y producir campañas de difusión,</w:t>
      </w:r>
      <w:r>
        <w:rPr>
          <w:rFonts w:ascii="Palatino Linotype" w:eastAsia="Palatino Linotype" w:hAnsi="Palatino Linotype" w:cs="Palatino Linotype"/>
          <w:sz w:val="24"/>
          <w:szCs w:val="24"/>
        </w:rPr>
        <w:t xml:space="preserve"> entre otras funciones.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orden de ideas, contrario a lo manifestado por el Servidor público Habilitado de dicha área, si tiene competencia para que generar, administrar o poseer la información solicitada, en consecuencia, toda vez que no se tiene certeza de que se hubiera </w:t>
      </w:r>
      <w:r>
        <w:rPr>
          <w:rFonts w:ascii="Palatino Linotype" w:eastAsia="Palatino Linotype" w:hAnsi="Palatino Linotype" w:cs="Palatino Linotype"/>
          <w:sz w:val="24"/>
          <w:szCs w:val="24"/>
        </w:rPr>
        <w:t>realizado la búsqueda exhaustiva y razonable en los documentos que obran en la Coordinación de Comunicación Social, es dable ordenar la entrega del soporte documental que dé cuenta.</w:t>
      </w:r>
    </w:p>
    <w:p w:rsidR="007355D0" w:rsidRDefault="00CF6A53">
      <w:pPr>
        <w:spacing w:before="240" w:after="240" w:line="360" w:lineRule="auto"/>
        <w:ind w:right="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ahí que se estime que su respuesta careció de los principios de congrue</w:t>
      </w:r>
      <w:r>
        <w:rPr>
          <w:rFonts w:ascii="Palatino Linotype" w:eastAsia="Palatino Linotype" w:hAnsi="Palatino Linotype" w:cs="Palatino Linotype"/>
          <w:color w:val="000000"/>
          <w:sz w:val="24"/>
          <w:szCs w:val="24"/>
        </w:rPr>
        <w:t>ncia y exhaustividad, como refuerzo de lo anterior</w:t>
      </w:r>
      <w:r>
        <w:rPr>
          <w:rFonts w:ascii="Palatino Linotype" w:eastAsia="Palatino Linotype" w:hAnsi="Palatino Linotype" w:cs="Palatino Linotype"/>
          <w:color w:val="000000"/>
          <w:sz w:val="24"/>
          <w:szCs w:val="24"/>
          <w:u w:val="single"/>
        </w:rPr>
        <w:t xml:space="preserve">, resulta crucial el Criterio 02/17, emitido por el Pleno del </w:t>
      </w:r>
      <w:r>
        <w:rPr>
          <w:rFonts w:ascii="Palatino Linotype" w:eastAsia="Palatino Linotype" w:hAnsi="Palatino Linotype" w:cs="Palatino Linotype"/>
          <w:color w:val="000000"/>
          <w:sz w:val="24"/>
          <w:szCs w:val="24"/>
        </w:rPr>
        <w:t>Instituto Nacional de Transparencia y Acceso a la Información y Protección de Datos Personales, de título y texto siguientes:</w:t>
      </w:r>
    </w:p>
    <w:p w:rsidR="007355D0" w:rsidRDefault="00CF6A53">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“Congruencia y exh</w:t>
      </w:r>
      <w:r>
        <w:rPr>
          <w:rFonts w:ascii="Palatino Linotype" w:eastAsia="Palatino Linotype" w:hAnsi="Palatino Linotype" w:cs="Palatino Linotype"/>
          <w:b/>
          <w:i/>
          <w:color w:val="000000"/>
        </w:rPr>
        <w:t xml:space="preserve">austividad. Sus alcances para garantizar el derecho de acceso a la información. </w:t>
      </w:r>
      <w:r>
        <w:rPr>
          <w:rFonts w:ascii="Palatino Linotype" w:eastAsia="Palatino Linotype" w:hAnsi="Palatino Linotype" w:cs="Palatino Linotype"/>
          <w:i/>
          <w:color w:val="000000"/>
        </w:rPr>
        <w:t>De conformidad con el artículo 3 de la Ley Federal de Procedimiento Administrativo, de aplicación supletoria a la Ley Federal de Transparencia y Acceso a la Información Pública, en términos de su artículo 7; todo acto administrativo debe cumplir con los pr</w:t>
      </w:r>
      <w:r>
        <w:rPr>
          <w:rFonts w:ascii="Palatino Linotype" w:eastAsia="Palatino Linotype" w:hAnsi="Palatino Linotype" w:cs="Palatino Linotype"/>
          <w:i/>
          <w:color w:val="000000"/>
        </w:rPr>
        <w:t xml:space="preserve">incipios de congruencia y exhaustividad. </w:t>
      </w:r>
      <w:r>
        <w:rPr>
          <w:rFonts w:ascii="Palatino Linotype" w:eastAsia="Palatino Linotype" w:hAnsi="Palatino Linotype" w:cs="Palatino Linotype"/>
          <w:i/>
          <w:color w:val="000000"/>
        </w:rPr>
        <w:lastRenderedPageBreak/>
        <w:t xml:space="preserve">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w:t>
      </w:r>
      <w:r>
        <w:rPr>
          <w:rFonts w:ascii="Palatino Linotype" w:eastAsia="Palatino Linotype" w:hAnsi="Palatino Linotype" w:cs="Palatino Linotype"/>
          <w:b/>
          <w:i/>
          <w:color w:val="000000"/>
        </w:rPr>
        <w:t>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Por lo anterior, los sujetos obligados cumplirán con los principios de congruencia y exhaustividad, cuando las respuestas que emita</w:t>
      </w:r>
      <w:r>
        <w:rPr>
          <w:rFonts w:ascii="Palatino Linotype" w:eastAsia="Palatino Linotype" w:hAnsi="Palatino Linotype" w:cs="Palatino Linotype"/>
          <w:i/>
          <w:color w:val="000000"/>
        </w:rPr>
        <w:t>n guarden una relación lógica con lo solicitado y atiendan de manera puntual y expresa, cada uno de los contenidos de información.”(Sic)</w:t>
      </w:r>
    </w:p>
    <w:p w:rsidR="007355D0" w:rsidRDefault="007355D0">
      <w:pPr>
        <w:spacing w:before="240" w:after="0" w:line="360" w:lineRule="auto"/>
        <w:jc w:val="both"/>
        <w:rPr>
          <w:rFonts w:ascii="Palatino Linotype" w:eastAsia="Palatino Linotype" w:hAnsi="Palatino Linotype" w:cs="Palatino Linotype"/>
          <w:sz w:val="24"/>
          <w:szCs w:val="24"/>
        </w:rPr>
      </w:pPr>
    </w:p>
    <w:p w:rsidR="007355D0" w:rsidRDefault="00CF6A5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tiene la obligación de documentar todo lo relacionado con sus atribuciones, en cualquier </w:t>
      </w:r>
      <w:r>
        <w:rPr>
          <w:rFonts w:ascii="Palatino Linotype" w:eastAsia="Palatino Linotype" w:hAnsi="Palatino Linotype" w:cs="Palatino Linotype"/>
          <w:sz w:val="24"/>
          <w:szCs w:val="24"/>
        </w:rPr>
        <w:t>soporte documental, siendo aplicable, el Criterio de interpretación en el orden administrativo número 0002-11, emitido por Acuerdo del Pleno del Instituto de Transparencia y Acceso a la Información Pública del Estado de México y Municipios; publicado en el</w:t>
      </w:r>
      <w:r>
        <w:rPr>
          <w:rFonts w:ascii="Palatino Linotype" w:eastAsia="Palatino Linotype" w:hAnsi="Palatino Linotype" w:cs="Palatino Linotype"/>
          <w:sz w:val="24"/>
          <w:szCs w:val="24"/>
        </w:rPr>
        <w:t xml:space="preserve"> Periódico Oficial del Gobierno del Estado Libre y Soberano de México “Gaceta del Gobierno”, el diecinueve de octubre de dos mil once, cuyo rubro y texto refieren lo siguiente:</w:t>
      </w:r>
    </w:p>
    <w:p w:rsidR="007355D0" w:rsidRDefault="007355D0">
      <w:pPr>
        <w:spacing w:after="0" w:line="360" w:lineRule="auto"/>
        <w:jc w:val="both"/>
        <w:rPr>
          <w:rFonts w:ascii="Palatino Linotype" w:eastAsia="Palatino Linotype" w:hAnsi="Palatino Linotype" w:cs="Palatino Linotype"/>
          <w:sz w:val="24"/>
          <w:szCs w:val="24"/>
        </w:rPr>
      </w:pPr>
      <w:bookmarkStart w:id="1" w:name="_heading=h.30j0zll" w:colFirst="0" w:colLast="0"/>
      <w:bookmarkEnd w:id="1"/>
    </w:p>
    <w:p w:rsidR="007355D0" w:rsidRDefault="00CF6A53">
      <w:pPr>
        <w:ind w:left="851"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7355D0" w:rsidRDefault="00CF6A53">
      <w:pPr>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w:t>
      </w:r>
      <w:r>
        <w:rPr>
          <w:rFonts w:ascii="Palatino Linotype" w:eastAsia="Palatino Linotype" w:hAnsi="Palatino Linotype" w:cs="Palatino Linotype"/>
          <w:b/>
          <w:i/>
        </w:rPr>
        <w:t>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w:t>
      </w:r>
      <w:r>
        <w:rPr>
          <w:rFonts w:ascii="Palatino Linotype" w:eastAsia="Palatino Linotype" w:hAnsi="Palatino Linotype" w:cs="Palatino Linotype"/>
          <w:i/>
        </w:rPr>
        <w:t>os archivos, registros y documentos públicos, administrados, generados o en posesión de los órganos u organismos públicos, en virtud del ejercicio de sus funciones de derecho público, sin importar su fuente, soporte o fecha de elaboración.</w:t>
      </w:r>
    </w:p>
    <w:p w:rsidR="007355D0" w:rsidRDefault="00CF6A5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En consecuencia </w:t>
      </w:r>
      <w:r>
        <w:rPr>
          <w:rFonts w:ascii="Palatino Linotype" w:eastAsia="Palatino Linotype" w:hAnsi="Palatino Linotype" w:cs="Palatino Linotype"/>
          <w:i/>
        </w:rPr>
        <w:t>el acceso a la información se refiere a que se cumplan cualquiera de los siguientes tres supuestos:</w:t>
      </w:r>
    </w:p>
    <w:p w:rsidR="007355D0" w:rsidRDefault="00CF6A5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1) Que se trate de información registrada en cualquier soporte documental, que en ejercicio de las atribuciones conferidas, sea generada por los Sujetos Obl</w:t>
      </w:r>
      <w:r>
        <w:rPr>
          <w:rFonts w:ascii="Palatino Linotype" w:eastAsia="Palatino Linotype" w:hAnsi="Palatino Linotype" w:cs="Palatino Linotype"/>
          <w:i/>
        </w:rPr>
        <w:t>igados;</w:t>
      </w:r>
    </w:p>
    <w:p w:rsidR="007355D0" w:rsidRDefault="00CF6A53">
      <w:pPr>
        <w:ind w:left="851" w:right="899"/>
        <w:jc w:val="both"/>
        <w:rPr>
          <w:rFonts w:ascii="Palatino Linotype" w:eastAsia="Palatino Linotype" w:hAnsi="Palatino Linotype" w:cs="Palatino Linotype"/>
          <w:b/>
          <w:i/>
        </w:rPr>
      </w:pPr>
      <w:r>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rsidR="007355D0" w:rsidRDefault="00CF6A53">
      <w:pPr>
        <w:ind w:left="851" w:right="899"/>
        <w:jc w:val="both"/>
        <w:rPr>
          <w:rFonts w:ascii="Palatino Linotype" w:eastAsia="Palatino Linotype" w:hAnsi="Palatino Linotype" w:cs="Palatino Linotype"/>
          <w:b/>
          <w:i/>
        </w:rPr>
      </w:pPr>
      <w:r>
        <w:rPr>
          <w:rFonts w:ascii="Palatino Linotype" w:eastAsia="Palatino Linotype" w:hAnsi="Palatino Linotype" w:cs="Palatino Linotype"/>
          <w:b/>
          <w:i/>
        </w:rPr>
        <w:t>3) Que se trate de información registrada en cualquier soporte documental, que</w:t>
      </w:r>
      <w:r>
        <w:rPr>
          <w:rFonts w:ascii="Palatino Linotype" w:eastAsia="Palatino Linotype" w:hAnsi="Palatino Linotype" w:cs="Palatino Linotype"/>
          <w:b/>
          <w:i/>
        </w:rPr>
        <w:t xml:space="preserve"> en ejercicio de las atribuciones conferidas, se encuentre en posesión de los Sujetos Obligados.” (Sic)</w:t>
      </w:r>
    </w:p>
    <w:p w:rsidR="007355D0" w:rsidRDefault="00CF6A53">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consiguiente, es responsabilidad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conservar todos los soportes documentales en el ejercicio de sus atribuciones y de lo que se</w:t>
      </w:r>
      <w:r>
        <w:rPr>
          <w:rFonts w:ascii="Palatino Linotype" w:eastAsia="Palatino Linotype" w:hAnsi="Palatino Linotype" w:cs="Palatino Linotype"/>
          <w:sz w:val="24"/>
          <w:szCs w:val="24"/>
        </w:rPr>
        <w:t xml:space="preserve"> haya publicado en la red social de referencia, así como en cualquier otra que se administró, ello derivado de que si bien, las redes sociales digitales no se encuentran reguladas por ninguna norma para su procedimiento de creación y eliminación; el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sz w:val="24"/>
          <w:szCs w:val="24"/>
        </w:rPr>
        <w:t xml:space="preserve"> OBLIGADO</w:t>
      </w:r>
      <w:r>
        <w:rPr>
          <w:rFonts w:ascii="Palatino Linotype" w:eastAsia="Palatino Linotype" w:hAnsi="Palatino Linotype" w:cs="Palatino Linotype"/>
          <w:sz w:val="24"/>
          <w:szCs w:val="24"/>
        </w:rPr>
        <w:t xml:space="preserve"> en el ejercicio de sus funciones de comunicación social la utiliza como un medio a través del cual comparte contenido de tipo fotográfico, escrito o de vídeo, que se tuvo que haber respaldado, por el simple hecho de generarlo derivado de su funci</w:t>
      </w:r>
      <w:r>
        <w:rPr>
          <w:rFonts w:ascii="Palatino Linotype" w:eastAsia="Palatino Linotype" w:hAnsi="Palatino Linotype" w:cs="Palatino Linotype"/>
          <w:sz w:val="24"/>
          <w:szCs w:val="24"/>
        </w:rPr>
        <w:t>ón como autoridad y por el fin que se persiguió con la difusión en dicha plataforma.</w:t>
      </w:r>
    </w:p>
    <w:p w:rsidR="007355D0" w:rsidRDefault="00CF6A5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Ello es así, ya que la conservación de los archivos, ya sea físicos o digitales, es una responsabilidad encomendada para cualquier autoridad, entidad, órgano y organismo d</w:t>
      </w:r>
      <w:r>
        <w:rPr>
          <w:rFonts w:ascii="Palatino Linotype" w:eastAsia="Palatino Linotype" w:hAnsi="Palatino Linotype" w:cs="Palatino Linotype"/>
          <w:sz w:val="24"/>
          <w:szCs w:val="24"/>
        </w:rPr>
        <w:t xml:space="preserve">e los poderes Legislativo, Ejecutivo y Judicial, Ayuntamientos, órganos autónomos, partidos políticos, fideicomisos y fondos públicos, así como de cualquier persona física, moral o sindicato que reciba y ejerza recursos públicos o </w:t>
      </w:r>
      <w:r>
        <w:rPr>
          <w:rFonts w:ascii="Palatino Linotype" w:eastAsia="Palatino Linotype" w:hAnsi="Palatino Linotype" w:cs="Palatino Linotype"/>
          <w:sz w:val="24"/>
          <w:szCs w:val="24"/>
        </w:rPr>
        <w:lastRenderedPageBreak/>
        <w:t>realice actos de autorida</w:t>
      </w:r>
      <w:r>
        <w:rPr>
          <w:rFonts w:ascii="Palatino Linotype" w:eastAsia="Palatino Linotype" w:hAnsi="Palatino Linotype" w:cs="Palatino Linotype"/>
          <w:sz w:val="24"/>
          <w:szCs w:val="24"/>
        </w:rPr>
        <w:t>d de la federación, las entidades federativas y los municipios, según lo dispuesto en la Ley General de Archivos.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dicha norma, se define al archivo como el conjunto organizado de documentos producidos o recibidos por los sujetos obligados en el ejercici</w:t>
      </w:r>
      <w:r>
        <w:rPr>
          <w:rFonts w:ascii="Palatino Linotype" w:eastAsia="Palatino Linotype" w:hAnsi="Palatino Linotype" w:cs="Palatino Linotype"/>
          <w:sz w:val="24"/>
          <w:szCs w:val="24"/>
        </w:rPr>
        <w:t>o de sus atribuciones y funciones, con independencia del soporte, espacio o lugar que se resguarden; de igual forma, señala que la conservación es el conjunto de procedimientos y medidas destinados a asegurar la prevención de aliteraciones físicas de los d</w:t>
      </w:r>
      <w:r>
        <w:rPr>
          <w:rFonts w:ascii="Palatino Linotype" w:eastAsia="Palatino Linotype" w:hAnsi="Palatino Linotype" w:cs="Palatino Linotype"/>
          <w:sz w:val="24"/>
          <w:szCs w:val="24"/>
        </w:rPr>
        <w:t>ocumentos en papel y la preservación de documentos digitales a largo plazo.</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 manera, que la Ley fija que al igual que en materia de transparencia y acceso a la información pública, toda la información contenida en documentos de archivo producidos, ob</w:t>
      </w:r>
      <w:r>
        <w:rPr>
          <w:rFonts w:ascii="Palatino Linotype" w:eastAsia="Palatino Linotype" w:hAnsi="Palatino Linotype" w:cs="Palatino Linotype"/>
          <w:sz w:val="24"/>
          <w:szCs w:val="24"/>
        </w:rPr>
        <w:t xml:space="preserve">tenidos, adquiridos, transformados o en posesión de los Sujetos Obligados es pública; por lo que destaca que el Estado mexicano deberá garantizar la organización, conservación y preservación de los archivos con el objeto de respetar el derecho a la verdad </w:t>
      </w:r>
      <w:r>
        <w:rPr>
          <w:rFonts w:ascii="Palatino Linotype" w:eastAsia="Palatino Linotype" w:hAnsi="Palatino Linotype" w:cs="Palatino Linotype"/>
          <w:sz w:val="24"/>
          <w:szCs w:val="24"/>
        </w:rPr>
        <w:t>y el acceso a la información contenida en los archivos, por lo cual indica en su artículo 7 que los sujetos obligados deberán producir, registrar, organizar y conservar los documentos de archivo sobre todo acto que derive del ejercicio de sus facultades, c</w:t>
      </w:r>
      <w:r>
        <w:rPr>
          <w:rFonts w:ascii="Palatino Linotype" w:eastAsia="Palatino Linotype" w:hAnsi="Palatino Linotype" w:cs="Palatino Linotype"/>
          <w:sz w:val="24"/>
          <w:szCs w:val="24"/>
        </w:rPr>
        <w:t>ompetencias o funciones de acuerdo con lo establecido en las disposiciones jurídicas correspondientes.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lo procedente es ordenar los Videos originales o fuente y audios, utilizados para la edición del </w:t>
      </w:r>
      <w:r>
        <w:rPr>
          <w:rFonts w:ascii="Palatino Linotype" w:eastAsia="Palatino Linotype" w:hAnsi="Palatino Linotype" w:cs="Palatino Linotype"/>
          <w:color w:val="000000"/>
          <w:sz w:val="24"/>
          <w:szCs w:val="24"/>
        </w:rPr>
        <w:t>video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que da cuenta de las actividades realizadas  por Presidente Municipal de Metepec </w:t>
      </w:r>
      <w:hyperlink r:id="rId27">
        <w:r>
          <w:rPr>
            <w:rFonts w:ascii="Palatino Linotype" w:eastAsia="Palatino Linotype" w:hAnsi="Palatino Linotype" w:cs="Palatino Linotype"/>
            <w:sz w:val="24"/>
            <w:szCs w:val="24"/>
          </w:rPr>
          <w:t>Fernando Flores Fernández</w:t>
        </w:r>
      </w:hyperlink>
      <w:r>
        <w:rPr>
          <w:rFonts w:ascii="Palatino Linotype" w:eastAsia="Palatino Linotype" w:hAnsi="Palatino Linotype" w:cs="Palatino Linotype"/>
          <w:sz w:val="24"/>
          <w:szCs w:val="24"/>
        </w:rPr>
        <w:t xml:space="preserve"> en</w:t>
      </w:r>
      <w:r>
        <w:rPr>
          <w:rFonts w:ascii="Palatino Linotype" w:eastAsia="Palatino Linotype" w:hAnsi="Palatino Linotype" w:cs="Palatino Linotype"/>
          <w:color w:val="000000"/>
          <w:sz w:val="24"/>
          <w:szCs w:val="24"/>
        </w:rPr>
        <w:t xml:space="preserve"> la </w:t>
      </w:r>
      <w:r>
        <w:rPr>
          <w:rFonts w:ascii="Palatino Linotype" w:eastAsia="Palatino Linotype" w:hAnsi="Palatino Linotype" w:cs="Palatino Linotype"/>
          <w:color w:val="000000"/>
          <w:sz w:val="24"/>
          <w:szCs w:val="24"/>
        </w:rPr>
        <w:lastRenderedPageBreak/>
        <w:t xml:space="preserve">primera </w:t>
      </w:r>
      <w:r>
        <w:rPr>
          <w:rFonts w:ascii="Palatino Linotype" w:eastAsia="Palatino Linotype" w:hAnsi="Palatino Linotype" w:cs="Palatino Linotype"/>
          <w:sz w:val="24"/>
          <w:szCs w:val="24"/>
        </w:rPr>
        <w:t xml:space="preserve">semana de 2022 y de ser procedente en versión pública de </w:t>
      </w:r>
      <w:r>
        <w:rPr>
          <w:rFonts w:ascii="Palatino Linotype" w:eastAsia="Palatino Linotype" w:hAnsi="Palatino Linotype" w:cs="Palatino Linotype"/>
          <w:sz w:val="24"/>
          <w:szCs w:val="24"/>
        </w:rPr>
        <w:t xml:space="preserve">acuerdo a lo señalado por el considerando quinto del presente fallo. </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otro lado, no escapa de la óptica de este Organismo Garante que el particular, a través de su recurso de revisión, solicitó a este Instituto, se le diera vista a la Contraloría Inter</w:t>
      </w:r>
      <w:r>
        <w:rPr>
          <w:rFonts w:ascii="Palatino Linotype" w:eastAsia="Palatino Linotype" w:hAnsi="Palatino Linotype" w:cs="Palatino Linotype"/>
          <w:sz w:val="24"/>
          <w:szCs w:val="24"/>
        </w:rPr>
        <w:t>na y Órgano de Control y Vigilancia en términos de la Ley de Responsabilidades de los Servidores Públicos del Estado y Municipios, a efectos de que dicho Órgano determinara el grado de responsabilidad, al considerar posibles causas de responsabilidad admin</w:t>
      </w:r>
      <w:r>
        <w:rPr>
          <w:rFonts w:ascii="Palatino Linotype" w:eastAsia="Palatino Linotype" w:hAnsi="Palatino Linotype" w:cs="Palatino Linotype"/>
          <w:sz w:val="24"/>
          <w:szCs w:val="24"/>
        </w:rPr>
        <w:t>istrativa por el incumplimiento a las disposiciones previstas en los artículos 161, 163 segundo párrafo y 177 de la Ley de Transparencia y Acceso a la Información Pública del Estado de México y Municipios, sin embargo, es preciso hacer de su conocimiento q</w:t>
      </w:r>
      <w:r>
        <w:rPr>
          <w:rFonts w:ascii="Palatino Linotype" w:eastAsia="Palatino Linotype" w:hAnsi="Palatino Linotype" w:cs="Palatino Linotype"/>
          <w:sz w:val="24"/>
          <w:szCs w:val="24"/>
        </w:rPr>
        <w:t>ue el recurso de revisión no es la vía para instaurar procedimientos de responsabilidad administrativa, no obstante, se dejan a salvo sus derechos para que en caso de considerarlo oportuno a sus intereses, ejerza dicha acción ante las instancias correspond</w:t>
      </w:r>
      <w:r>
        <w:rPr>
          <w:rFonts w:ascii="Palatino Linotype" w:eastAsia="Palatino Linotype" w:hAnsi="Palatino Linotype" w:cs="Palatino Linotype"/>
          <w:sz w:val="24"/>
          <w:szCs w:val="24"/>
        </w:rPr>
        <w:t>ientes.</w:t>
      </w:r>
    </w:p>
    <w:p w:rsidR="007355D0" w:rsidRDefault="00CF6A53">
      <w:pPr>
        <w:pBdr>
          <w:top w:val="nil"/>
          <w:left w:val="nil"/>
          <w:bottom w:val="nil"/>
          <w:right w:val="nil"/>
          <w:between w:val="nil"/>
        </w:pBdr>
        <w:spacing w:before="240" w:after="240" w:line="360" w:lineRule="auto"/>
        <w:ind w:right="139"/>
        <w:jc w:val="both"/>
        <w:rPr>
          <w:rFonts w:ascii="Palatino Linotype" w:eastAsia="Palatino Linotype" w:hAnsi="Palatino Linotype" w:cs="Palatino Linotype"/>
          <w:b/>
          <w:color w:val="000000"/>
          <w:sz w:val="24"/>
          <w:szCs w:val="24"/>
        </w:rPr>
      </w:pPr>
      <w:bookmarkStart w:id="2" w:name="_heading=h.gjdgxs" w:colFirst="0" w:colLast="0"/>
      <w:bookmarkEnd w:id="2"/>
      <w:r>
        <w:rPr>
          <w:rFonts w:ascii="Palatino Linotype" w:eastAsia="Palatino Linotype" w:hAnsi="Palatino Linotype" w:cs="Palatino Linotype"/>
          <w:b/>
          <w:color w:val="000000"/>
          <w:sz w:val="24"/>
          <w:szCs w:val="24"/>
        </w:rPr>
        <w:t xml:space="preserve">QUINTO. VERSIÓN PÚBLICA. </w:t>
      </w:r>
      <w:r>
        <w:rPr>
          <w:rFonts w:ascii="Palatino Linotype" w:eastAsia="Palatino Linotype" w:hAnsi="Palatino Linotype" w:cs="Palatino Linotype"/>
          <w:color w:val="000000"/>
          <w:sz w:val="24"/>
          <w:szCs w:val="24"/>
        </w:rPr>
        <w:t>Como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fue debidamente apuntado, el</w:t>
      </w:r>
      <w:r>
        <w:rPr>
          <w:rFonts w:ascii="Palatino Linotype" w:eastAsia="Palatino Linotype" w:hAnsi="Palatino Linotype" w:cs="Palatino Linotype"/>
          <w:b/>
          <w:color w:val="000000"/>
          <w:sz w:val="24"/>
          <w:szCs w:val="24"/>
        </w:rPr>
        <w:t> SUJETO OBLIGADO</w:t>
      </w:r>
      <w:r>
        <w:rPr>
          <w:rFonts w:ascii="Palatino Linotype" w:eastAsia="Palatino Linotype" w:hAnsi="Palatino Linotype" w:cs="Palatino Linotype"/>
          <w:color w:val="000000"/>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w:t>
      </w:r>
      <w:r>
        <w:rPr>
          <w:rFonts w:ascii="Palatino Linotype" w:eastAsia="Palatino Linotype" w:hAnsi="Palatino Linotype" w:cs="Palatino Linotype"/>
          <w:color w:val="000000"/>
          <w:sz w:val="24"/>
          <w:szCs w:val="24"/>
        </w:rPr>
        <w:t>ga de la información deberá ser en versión pública atento a lo siguiente:</w:t>
      </w:r>
    </w:p>
    <w:p w:rsidR="007355D0" w:rsidRDefault="00CF6A53">
      <w:pPr>
        <w:shd w:val="clear" w:color="auto" w:fill="FFFFFF"/>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El derecho de acceso a la información pública tiene como limitante el respeto a la intimidad y a la vida privada de las personas, es por ello que este Instituto debe cuidar que los d</w:t>
      </w:r>
      <w:r>
        <w:rPr>
          <w:rFonts w:ascii="Palatino Linotype" w:eastAsia="Palatino Linotype" w:hAnsi="Palatino Linotype" w:cs="Palatino Linotype"/>
          <w:sz w:val="24"/>
          <w:szCs w:val="24"/>
        </w:rPr>
        <w:t xml:space="preserve">atos personales que obren en poder de los Sujetos Obligados sean protegidos y únicamente se den a conocer aquéllos que garanticen la rendición de cuentas y la transparencia en el ejercicio de las atribuciones que tienen conferidas. </w:t>
      </w:r>
    </w:p>
    <w:p w:rsidR="007355D0" w:rsidRDefault="00CF6A53">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en armoní</w:t>
      </w:r>
      <w:r>
        <w:rPr>
          <w:rFonts w:ascii="Palatino Linotype" w:eastAsia="Palatino Linotype" w:hAnsi="Palatino Linotype" w:cs="Palatino Linotype"/>
          <w:sz w:val="24"/>
          <w:szCs w:val="24"/>
        </w:rPr>
        <w:t>a entre los principios constitucionales de máxima publicidad y de protección de datos personales, la ley permite la elaboración de versiones públicas en las que se suprima aquella información relacionada con la vida privada de los particulares y de los ser</w:t>
      </w:r>
      <w:r>
        <w:rPr>
          <w:rFonts w:ascii="Palatino Linotype" w:eastAsia="Palatino Linotype" w:hAnsi="Palatino Linotype" w:cs="Palatino Linotype"/>
          <w:sz w:val="24"/>
          <w:szCs w:val="24"/>
        </w:rPr>
        <w:t>vidores públicos.</w:t>
      </w:r>
    </w:p>
    <w:p w:rsidR="007355D0" w:rsidRDefault="00CF6A53">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para efectos de la elaboración de la versión pública se deberá observar lo dispuesto por los artículos 3 fracciones IX, XX, XXI, XXXII y XLV; 6, 49 fracción VIII, 91, 137, 143 Fracción I, de la Ley de Transparencia y Acceso a </w:t>
      </w:r>
      <w:r>
        <w:rPr>
          <w:rFonts w:ascii="Palatino Linotype" w:eastAsia="Palatino Linotype" w:hAnsi="Palatino Linotype" w:cs="Palatino Linotype"/>
          <w:sz w:val="24"/>
          <w:szCs w:val="24"/>
        </w:rPr>
        <w:t>la Información Pública del Estado de México y Municipios vigente, que establecen:</w:t>
      </w:r>
    </w:p>
    <w:p w:rsidR="007355D0" w:rsidRDefault="00CF6A53">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3. Para los efectos de la presente Ley se entenderá por:</w:t>
      </w:r>
    </w:p>
    <w:p w:rsidR="007355D0" w:rsidRDefault="00CF6A53">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p>
    <w:p w:rsidR="007355D0" w:rsidRDefault="00CF6A53">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información concerniente a una persona, identificada o identificable según lo</w:t>
      </w:r>
      <w:r>
        <w:rPr>
          <w:rFonts w:ascii="Palatino Linotype" w:eastAsia="Palatino Linotype" w:hAnsi="Palatino Linotype" w:cs="Palatino Linotype"/>
          <w:i/>
        </w:rPr>
        <w:t xml:space="preserve"> dispuesto por la Ley de Protección de Datos Personales del Estado de México;</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xml:space="preserve"> Se considera como información confidencial </w:t>
      </w:r>
      <w:r>
        <w:rPr>
          <w:rFonts w:ascii="Palatino Linotype" w:eastAsia="Palatino Linotype" w:hAnsi="Palatino Linotype" w:cs="Palatino Linotype"/>
          <w:i/>
        </w:rPr>
        <w:t xml:space="preserve">los secretos bancario, fiduciario, industrial, comercial, fiscal, bursátil y postal, </w:t>
      </w:r>
      <w:r>
        <w:rPr>
          <w:rFonts w:ascii="Palatino Linotype" w:eastAsia="Palatino Linotype" w:hAnsi="Palatino Linotype" w:cs="Palatino Linotype"/>
          <w:i/>
        </w:rPr>
        <w:lastRenderedPageBreak/>
        <w:t>cuya titularidad corresponda a particulares, sujetos de derecho internacional o a sujetos obligados cuando no involucren el ejercicio de recursos públicos;</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XXXII. Prot</w:t>
      </w:r>
      <w:r>
        <w:rPr>
          <w:rFonts w:ascii="Palatino Linotype" w:eastAsia="Palatino Linotype" w:hAnsi="Palatino Linotype" w:cs="Palatino Linotype"/>
          <w:b/>
          <w:i/>
        </w:rPr>
        <w: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55D0" w:rsidRDefault="00CF6A53">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7355D0" w:rsidRDefault="00CF6A53">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w:t>
      </w:r>
      <w:r>
        <w:rPr>
          <w:rFonts w:ascii="Palatino Linotype" w:eastAsia="Palatino Linotype" w:hAnsi="Palatino Linotype" w:cs="Palatino Linotype"/>
          <w:i/>
        </w:rPr>
        <w:t>siciones aplicables. En el caso de los derechos de acceso, rectificación, cancelación u oposición; los principios, procedimientos, medidas de seguridad en el tratamiento y demás disposiciones en materia de datos personales, se deberá estar a lo dispuesto e</w:t>
      </w:r>
      <w:r>
        <w:rPr>
          <w:rFonts w:ascii="Palatino Linotype" w:eastAsia="Palatino Linotype" w:hAnsi="Palatino Linotype" w:cs="Palatino Linotype"/>
          <w:i/>
        </w:rPr>
        <w:t>n las leyes de la materia.</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w:t>
      </w:r>
      <w:r>
        <w:rPr>
          <w:rFonts w:ascii="Palatino Linotype" w:eastAsia="Palatino Linotype" w:hAnsi="Palatino Linotype" w:cs="Palatino Linotype"/>
          <w:i/>
        </w:rPr>
        <w:t>cionalmente, cuando ésta sea clasificada como reservada o confidencial.</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355D0" w:rsidRDefault="00CF6A53">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137</w:t>
      </w:r>
      <w:r>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w:t>
      </w:r>
      <w:r>
        <w:rPr>
          <w:rFonts w:ascii="Palatino Linotype" w:eastAsia="Palatino Linotype" w:hAnsi="Palatino Linotype" w:cs="Palatino Linotype"/>
          <w:i/>
        </w:rPr>
        <w:t>d de información, deberán elaborar una versión pública en la que se testen las partes o secciones clasificadas, indicando su contenido de manera genérica y fundando y motivando su clasificación.</w:t>
      </w:r>
    </w:p>
    <w:p w:rsidR="007355D0" w:rsidRDefault="007355D0">
      <w:pPr>
        <w:shd w:val="clear" w:color="auto" w:fill="FFFFFF"/>
        <w:ind w:left="851" w:right="851"/>
        <w:jc w:val="both"/>
        <w:rPr>
          <w:rFonts w:ascii="Palatino Linotype" w:eastAsia="Palatino Linotype" w:hAnsi="Palatino Linotype" w:cs="Palatino Linotype"/>
          <w:b/>
          <w:i/>
        </w:rPr>
      </w:pPr>
    </w:p>
    <w:p w:rsidR="007355D0" w:rsidRDefault="00CF6A53">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w:t>
      </w:r>
      <w:r>
        <w:rPr>
          <w:rFonts w:ascii="Palatino Linotype" w:eastAsia="Palatino Linotype" w:hAnsi="Palatino Linotype" w:cs="Palatino Linotype"/>
          <w:i/>
        </w:rPr>
        <w:t>rmación confidencial, la clasificada como tal, de manera permanente, por su naturaleza, cuando:</w:t>
      </w:r>
    </w:p>
    <w:p w:rsidR="007355D0" w:rsidRDefault="00CF6A53">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rsidR="007355D0" w:rsidRDefault="00CF6A53">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pr</w:t>
      </w:r>
      <w:r>
        <w:rPr>
          <w:rFonts w:ascii="Palatino Linotype" w:eastAsia="Palatino Linotype" w:hAnsi="Palatino Linotype" w:cs="Palatino Linotype"/>
          <w:sz w:val="24"/>
          <w:szCs w:val="24"/>
        </w:rPr>
        <w:t>eceptos anteriores se desprende que cuando un documento que vaya a ser entregado vía acceso a la información pública, contenga tanto información de interés público como información que debe ser clasificada, se hará la entrega del mismo, testando las seccio</w:t>
      </w:r>
      <w:r>
        <w:rPr>
          <w:rFonts w:ascii="Palatino Linotype" w:eastAsia="Palatino Linotype" w:hAnsi="Palatino Linotype" w:cs="Palatino Linotype"/>
          <w:sz w:val="24"/>
          <w:szCs w:val="24"/>
        </w:rPr>
        <w:t xml:space="preserve">nes o datos que deban ser clasificados; por ende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deberá proceder a testar los datos personales que se encuentre contenidos en los documentos a entregar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satisfacer el derecho de acceso a la información p</w:t>
      </w:r>
      <w:r>
        <w:rPr>
          <w:rFonts w:ascii="Palatino Linotype" w:eastAsia="Palatino Linotype" w:hAnsi="Palatino Linotype" w:cs="Palatino Linotype"/>
          <w:sz w:val="24"/>
          <w:szCs w:val="24"/>
        </w:rPr>
        <w:t xml:space="preserve">ública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w:t>
      </w:r>
      <w:r>
        <w:rPr>
          <w:rFonts w:ascii="Palatino Linotype" w:eastAsia="Palatino Linotype" w:hAnsi="Palatino Linotype" w:cs="Palatino Linotype"/>
          <w:sz w:val="24"/>
          <w:szCs w:val="24"/>
        </w:rPr>
        <w:t>gen a discriminación o conlleven un riesgo grave para aquel de acuerdo a los que señala la fracción XII del artículo 4 de la Ley de Protección de Datos Personales en Posesión de Sujetos Obligados del Estado de México.</w:t>
      </w:r>
    </w:p>
    <w:p w:rsidR="007355D0" w:rsidRDefault="00CF6A53">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de señalar que la clas</w:t>
      </w:r>
      <w:r>
        <w:rPr>
          <w:rFonts w:ascii="Palatino Linotype" w:eastAsia="Palatino Linotype" w:hAnsi="Palatino Linotype" w:cs="Palatino Linotype"/>
          <w:sz w:val="24"/>
          <w:szCs w:val="24"/>
        </w:rPr>
        <w:t>ificación de la información no opera con la simple supresión de datos que se haga en los documentos de que se trate o con la simple decisión que tome el Servidor Público Habilitado o el Responsable de la Unidad de Transparencia del Sujeto Obligado, sino qu</w:t>
      </w:r>
      <w:r>
        <w:rPr>
          <w:rFonts w:ascii="Palatino Linotype" w:eastAsia="Palatino Linotype" w:hAnsi="Palatino Linotype" w:cs="Palatino Linotype"/>
          <w:sz w:val="24"/>
          <w:szCs w:val="24"/>
        </w:rPr>
        <w:t xml:space="preserve">e ello deberá realizarse en </w:t>
      </w:r>
      <w:r>
        <w:rPr>
          <w:rFonts w:ascii="Palatino Linotype" w:eastAsia="Palatino Linotype" w:hAnsi="Palatino Linotype" w:cs="Palatino Linotype"/>
          <w:sz w:val="24"/>
          <w:szCs w:val="24"/>
        </w:rPr>
        <w:lastRenderedPageBreak/>
        <w:t>términos de lo que disponen los artículos 49 fracción VIII, 53, fracción X y 59, fracción V, de la Ley en consulta, cuyo sentido literal es el siguiente:</w:t>
      </w:r>
    </w:p>
    <w:p w:rsidR="007355D0" w:rsidRDefault="00CF6A53">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w:t>
      </w:r>
      <w:r>
        <w:rPr>
          <w:rFonts w:ascii="Palatino Linotype" w:eastAsia="Palatino Linotype" w:hAnsi="Palatino Linotype" w:cs="Palatino Linotype"/>
          <w:i/>
        </w:rPr>
        <w:t>ones:</w:t>
      </w:r>
    </w:p>
    <w:p w:rsidR="007355D0" w:rsidRDefault="007355D0">
      <w:pPr>
        <w:spacing w:after="0"/>
        <w:ind w:left="851" w:right="851"/>
        <w:jc w:val="both"/>
        <w:rPr>
          <w:rFonts w:ascii="Palatino Linotype" w:eastAsia="Palatino Linotype" w:hAnsi="Palatino Linotype" w:cs="Palatino Linotype"/>
          <w:i/>
        </w:rPr>
      </w:pPr>
    </w:p>
    <w:p w:rsidR="007355D0" w:rsidRDefault="00CF6A53">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7355D0" w:rsidRDefault="007355D0">
      <w:pPr>
        <w:spacing w:after="0"/>
        <w:ind w:left="851" w:right="851"/>
        <w:jc w:val="both"/>
        <w:rPr>
          <w:rFonts w:ascii="Palatino Linotype" w:eastAsia="Palatino Linotype" w:hAnsi="Palatino Linotype" w:cs="Palatino Linotype"/>
          <w:b/>
          <w:i/>
        </w:rPr>
      </w:pPr>
    </w:p>
    <w:p w:rsidR="007355D0" w:rsidRDefault="00CF6A53">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7355D0" w:rsidRDefault="007355D0">
      <w:pPr>
        <w:spacing w:after="0"/>
        <w:ind w:left="851" w:right="851"/>
        <w:jc w:val="both"/>
        <w:rPr>
          <w:rFonts w:ascii="Palatino Linotype" w:eastAsia="Palatino Linotype" w:hAnsi="Palatino Linotype" w:cs="Palatino Linotype"/>
          <w:i/>
        </w:rPr>
      </w:pPr>
    </w:p>
    <w:p w:rsidR="007355D0" w:rsidRDefault="00CF6A53">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7355D0" w:rsidRDefault="007355D0">
      <w:pPr>
        <w:spacing w:after="0"/>
        <w:ind w:left="851" w:right="851"/>
        <w:jc w:val="both"/>
        <w:rPr>
          <w:rFonts w:ascii="Palatino Linotype" w:eastAsia="Palatino Linotype" w:hAnsi="Palatino Linotype" w:cs="Palatino Linotype"/>
          <w:i/>
        </w:rPr>
      </w:pPr>
    </w:p>
    <w:p w:rsidR="007355D0" w:rsidRDefault="00CF6A53">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7355D0" w:rsidRDefault="007355D0">
      <w:pPr>
        <w:spacing w:after="0"/>
        <w:ind w:left="851" w:right="851"/>
        <w:jc w:val="both"/>
        <w:rPr>
          <w:rFonts w:ascii="Palatino Linotype" w:eastAsia="Palatino Linotype" w:hAnsi="Palatino Linotype" w:cs="Palatino Linotype"/>
          <w:b/>
          <w:i/>
        </w:rPr>
      </w:pPr>
    </w:p>
    <w:p w:rsidR="007355D0" w:rsidRDefault="00CF6A53">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rsidR="007355D0" w:rsidRDefault="007355D0">
      <w:pPr>
        <w:spacing w:after="80"/>
        <w:ind w:left="851" w:right="851"/>
        <w:jc w:val="both"/>
        <w:rPr>
          <w:rFonts w:ascii="Palatino Linotype" w:eastAsia="Palatino Linotype" w:hAnsi="Palatino Linotype" w:cs="Palatino Linotype"/>
          <w:i/>
        </w:rPr>
      </w:pPr>
    </w:p>
    <w:p w:rsidR="007355D0" w:rsidRDefault="00CF6A53">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w:t>
      </w:r>
      <w:r>
        <w:rPr>
          <w:rFonts w:ascii="Palatino Linotype" w:eastAsia="Palatino Linotype" w:hAnsi="Palatino Linotype" w:cs="Palatino Linotype"/>
          <w:sz w:val="24"/>
          <w:szCs w:val="24"/>
        </w:rPr>
        <w:t xml:space="preserve">nidades de Transparencia y del Comité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teniendo el deber los primeros de ellos de presentar ante la Unidad de Transparencia la propuesta de la clasificación de la información, para que luego ésta presente ante al Comité</w:t>
      </w:r>
      <w:r>
        <w:rPr>
          <w:rFonts w:ascii="Palatino Linotype" w:eastAsia="Palatino Linotype" w:hAnsi="Palatino Linotype" w:cs="Palatino Linotype"/>
          <w:sz w:val="24"/>
          <w:szCs w:val="24"/>
        </w:rPr>
        <w:t xml:space="preserve"> de Transparencia de así resultar procedente el proyecto de clasificación de la información y finalmente sea éste último quien apruebe, modifique o revoque la clasificación de la información solicitada.</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Para lo cual a su vez en el caso de información de ca</w:t>
      </w:r>
      <w:r>
        <w:rPr>
          <w:rFonts w:ascii="Palatino Linotype" w:eastAsia="Palatino Linotype" w:hAnsi="Palatino Linotype" w:cs="Palatino Linotype"/>
          <w:sz w:val="24"/>
          <w:szCs w:val="24"/>
        </w:rPr>
        <w:t>rácter confidencial se debe atender a lo que señala el artículo 149 de la Ley de Transparencia Local vigente, cuyo contenido es de la literalidad siguiente:</w:t>
      </w:r>
    </w:p>
    <w:p w:rsidR="007355D0" w:rsidRDefault="00CF6A53">
      <w:pPr>
        <w:spacing w:before="240"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w:t>
      </w:r>
      <w:r>
        <w:rPr>
          <w:rFonts w:ascii="Palatino Linotype" w:eastAsia="Palatino Linotype" w:hAnsi="Palatino Linotype" w:cs="Palatino Linotype"/>
          <w:i/>
        </w:rPr>
        <w:t>miento lógico en el que demuestre que la información se encuentra en alguna o algunas de las hipótesis previstas en la presente Ley.”</w:t>
      </w:r>
    </w:p>
    <w:p w:rsidR="007355D0" w:rsidRDefault="00CF6A5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decir,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través de su Comité de Transparencia, deberá elaborar acuerdo que contenga un razonamiento </w:t>
      </w:r>
      <w:r>
        <w:rPr>
          <w:rFonts w:ascii="Palatino Linotype" w:eastAsia="Palatino Linotype" w:hAnsi="Palatino Linotype" w:cs="Palatino Linotype"/>
          <w:sz w:val="24"/>
          <w:szCs w:val="24"/>
        </w:rPr>
        <w:t>lógico con el que se demuestre que la información que se testa de las versiones públicas que se sirva elaborar, encuadra en alguna de las hipótesis que contempla la Ley de la Materia en su artículo 143; ya que de lo contrario, se crearía la incertidumbre j</w:t>
      </w:r>
      <w:r>
        <w:rPr>
          <w:rFonts w:ascii="Palatino Linotype" w:eastAsia="Palatino Linotype" w:hAnsi="Palatino Linotype" w:cs="Palatino Linotype"/>
          <w:sz w:val="24"/>
          <w:szCs w:val="24"/>
        </w:rPr>
        <w:t>urídica en relación a si lo entregado es formalmente una versión pública, o un documento ilegible, incompleto o tachado; en otras palabras si no se exponen de manera puntual las razones de la versión pública de la documentación entregada se estaría violent</w:t>
      </w:r>
      <w:r>
        <w:rPr>
          <w:rFonts w:ascii="Palatino Linotype" w:eastAsia="Palatino Linotype" w:hAnsi="Palatino Linotype" w:cs="Palatino Linotype"/>
          <w:sz w:val="24"/>
          <w:szCs w:val="24"/>
        </w:rPr>
        <w:t>ando el derecho de acceso a la información de la solicitante.</w:t>
      </w:r>
    </w:p>
    <w:p w:rsidR="007355D0" w:rsidRDefault="00CF6A5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Acuerdo de Clasificación de Información, se emitirá en términos de lo dispuesto tanto como en los en los artículos 128 y 129 de la Ley de Transparencia y Acceso a la Información Pública del E</w:t>
      </w:r>
      <w:r>
        <w:rPr>
          <w:rFonts w:ascii="Palatino Linotype" w:eastAsia="Palatino Linotype" w:hAnsi="Palatino Linotype" w:cs="Palatino Linotype"/>
          <w:color w:val="000000"/>
          <w:sz w:val="24"/>
          <w:szCs w:val="24"/>
        </w:rPr>
        <w:t>stado de México y Municipios, como en los Lineamientos Generales en Materia de Clasificación y Desclasificación de la Información, así como para la elaboración de Versiones Públicas, publicados en el Diario Oficial de la Federación en fecha quince de abril</w:t>
      </w:r>
      <w:r>
        <w:rPr>
          <w:rFonts w:ascii="Palatino Linotype" w:eastAsia="Palatino Linotype" w:hAnsi="Palatino Linotype" w:cs="Palatino Linotype"/>
          <w:color w:val="000000"/>
          <w:sz w:val="24"/>
          <w:szCs w:val="24"/>
        </w:rPr>
        <w:t xml:space="preserve"> de la presente anualidad, mediante ACUERDO del Consejo Nacional del Sistema Nacional de Transparencia, </w:t>
      </w:r>
      <w:r>
        <w:rPr>
          <w:rFonts w:ascii="Palatino Linotype" w:eastAsia="Palatino Linotype" w:hAnsi="Palatino Linotype" w:cs="Palatino Linotype"/>
          <w:color w:val="000000"/>
          <w:sz w:val="24"/>
          <w:szCs w:val="24"/>
        </w:rPr>
        <w:lastRenderedPageBreak/>
        <w:t xml:space="preserve">Acceso a la Información Pública y Protección de Datos Personales, motivando la referida clasificación al señalar las </w:t>
      </w:r>
      <w:r>
        <w:rPr>
          <w:rFonts w:ascii="Palatino Linotype" w:eastAsia="Palatino Linotype" w:hAnsi="Palatino Linotype" w:cs="Palatino Linotype"/>
          <w:b/>
          <w:color w:val="000000"/>
          <w:sz w:val="24"/>
          <w:szCs w:val="24"/>
          <w:u w:val="single"/>
        </w:rPr>
        <w:t>razones, motivos o circunstancias e</w:t>
      </w:r>
      <w:r>
        <w:rPr>
          <w:rFonts w:ascii="Palatino Linotype" w:eastAsia="Palatino Linotype" w:hAnsi="Palatino Linotype" w:cs="Palatino Linotype"/>
          <w:b/>
          <w:color w:val="000000"/>
          <w:sz w:val="24"/>
          <w:szCs w:val="24"/>
          <w:u w:val="single"/>
        </w:rPr>
        <w:t>speciales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u w:val="single"/>
        </w:rPr>
        <w:t>que lo llevaron a concluir que el caso concreto, se ajustó a los supuestos previstos en la normatividad legal invocada como fundamento, para dichos efectos, debe proceder a su vez a realizar una prueba de daño</w:t>
      </w:r>
      <w:r>
        <w:rPr>
          <w:rFonts w:ascii="Palatino Linotype" w:eastAsia="Palatino Linotype" w:hAnsi="Palatino Linotype" w:cs="Palatino Linotype"/>
          <w:color w:val="000000"/>
          <w:sz w:val="24"/>
          <w:szCs w:val="24"/>
        </w:rPr>
        <w:t xml:space="preserve">, en la que se justificaran las razones, motivos y circunstancias que avalen que la divulgación de la información representa un riesgo real, demostrable e identificable de perjuicio significativo al interés público o a la seguridad nacional; que el riesgo </w:t>
      </w:r>
      <w:r>
        <w:rPr>
          <w:rFonts w:ascii="Palatino Linotype" w:eastAsia="Palatino Linotype" w:hAnsi="Palatino Linotype" w:cs="Palatino Linotype"/>
          <w:color w:val="000000"/>
          <w:sz w:val="24"/>
          <w:szCs w:val="24"/>
        </w:rPr>
        <w:t>de perjuicio que supondría la divulgación supera el interés público general de que se difunda, y que la limitación sea adecuada al principio de proporcionalidad y representa el medio menos restrictivo disponible para evitar el perjuicio.</w:t>
      </w:r>
    </w:p>
    <w:p w:rsidR="007355D0" w:rsidRDefault="00CF6A53">
      <w:pPr>
        <w:spacing w:before="240" w:after="240" w:line="360" w:lineRule="auto"/>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rPr>
        <w:t>Al respecto, se de</w:t>
      </w:r>
      <w:r>
        <w:rPr>
          <w:rFonts w:ascii="Palatino Linotype" w:eastAsia="Palatino Linotype" w:hAnsi="Palatino Linotype" w:cs="Palatino Linotype"/>
          <w:sz w:val="24"/>
          <w:szCs w:val="24"/>
        </w:rPr>
        <w:t xml:space="preserv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w:t>
      </w:r>
      <w:r>
        <w:rPr>
          <w:rFonts w:ascii="Palatino Linotype" w:eastAsia="Palatino Linotype" w:hAnsi="Palatino Linotype" w:cs="Palatino Linotype"/>
          <w:sz w:val="24"/>
          <w:szCs w:val="24"/>
        </w:rPr>
        <w:t>lica del Estado de México y Municipios, y los Lineamientos Generales en Materia de Clasificación y Desclasificación de la Información, Así como para la elaboración de versiones públicas emitidos por el Consejo Nacional de Transparencia, con el cual sustent</w:t>
      </w:r>
      <w:r>
        <w:rPr>
          <w:rFonts w:ascii="Palatino Linotype" w:eastAsia="Palatino Linotype" w:hAnsi="Palatino Linotype" w:cs="Palatino Linotype"/>
          <w:sz w:val="24"/>
          <w:szCs w:val="24"/>
        </w:rPr>
        <w:t>ara la clasificación de datos y con ello la "versión pública" de los documentos materia de las solicitudes</w:t>
      </w:r>
      <w:r>
        <w:rPr>
          <w:rFonts w:ascii="Palatino Linotype" w:eastAsia="Palatino Linotype" w:hAnsi="Palatino Linotype" w:cs="Palatino Linotype"/>
          <w:sz w:val="24"/>
          <w:szCs w:val="24"/>
          <w:highlight w:val="white"/>
        </w:rPr>
        <w:t>.</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Efectivamente, cuando se clasifica información como confidencial o reservada es importante someterlo al Comité de Transparencia, quien debe confirma</w:t>
      </w:r>
      <w:r>
        <w:rPr>
          <w:rFonts w:ascii="Palatino Linotype" w:eastAsia="Palatino Linotype" w:hAnsi="Palatino Linotype" w:cs="Palatino Linotype"/>
          <w:sz w:val="24"/>
          <w:szCs w:val="24"/>
        </w:rPr>
        <w:t>r, modificar o revocar la clasificación.</w:t>
      </w:r>
    </w:p>
    <w:p w:rsidR="007355D0" w:rsidRDefault="00CF6A53">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w:t>
      </w:r>
      <w:r>
        <w:rPr>
          <w:rFonts w:ascii="Palatino Linotype" w:eastAsia="Palatino Linotype" w:hAnsi="Palatino Linotype" w:cs="Palatino Linotype"/>
          <w:sz w:val="24"/>
          <w:szCs w:val="24"/>
        </w:rPr>
        <w:t>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w:t>
      </w:r>
      <w:r>
        <w:rPr>
          <w:rFonts w:ascii="Palatino Linotype" w:eastAsia="Palatino Linotype" w:hAnsi="Palatino Linotype" w:cs="Palatino Linotype"/>
          <w:sz w:val="24"/>
          <w:szCs w:val="24"/>
        </w:rPr>
        <w:t xml:space="preserve"> las razones por las que no se aprecian determinados datos ya sea porque se testan o suprimen deja al solicitante en estado de incertidumbre, al no conocer o comprender porque no aparecen en la documentación respectiva, es decir, si no se exponen de manera</w:t>
      </w:r>
      <w:r>
        <w:rPr>
          <w:rFonts w:ascii="Palatino Linotype" w:eastAsia="Palatino Linotype" w:hAnsi="Palatino Linotype" w:cs="Palatino Linotype"/>
          <w:sz w:val="24"/>
          <w:szCs w:val="24"/>
        </w:rPr>
        <w:t xml:space="preserve">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sz w:val="24"/>
          <w:szCs w:val="24"/>
        </w:rPr>
        <w:t>RECURRENTE.</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w:t>
      </w:r>
      <w:r>
        <w:rPr>
          <w:rFonts w:ascii="Palatino Linotype" w:eastAsia="Palatino Linotype" w:hAnsi="Palatino Linotype" w:cs="Palatino Linotype"/>
          <w:sz w:val="24"/>
          <w:szCs w:val="24"/>
        </w:rPr>
        <w:t xml:space="preserve">ipios permite la elaboración de versiones públicas en las que se suprima aquella información relacionada con la vida privada de los servidores públicos. </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Igualmente, los Lineamientos Generales en Materia de Clasificación y Desclasificación de la Informació</w:t>
      </w:r>
      <w:r>
        <w:rPr>
          <w:rFonts w:ascii="Palatino Linotype" w:eastAsia="Palatino Linotype" w:hAnsi="Palatino Linotype" w:cs="Palatino Linotype"/>
          <w:sz w:val="24"/>
          <w:szCs w:val="24"/>
        </w:rPr>
        <w:t xml:space="preserve">n, así como para la elaboración de Versiones Públicas, emitidos por el Consejo Nacional del Sistema Nacional de Transparencia, Acceso a la Información Pública y Protección de Datos Personales, publicados en el Diario Oficial de la Federación el día quince </w:t>
      </w:r>
      <w:r>
        <w:rPr>
          <w:rFonts w:ascii="Palatino Linotype" w:eastAsia="Palatino Linotype" w:hAnsi="Palatino Linotype" w:cs="Palatino Linotype"/>
          <w:sz w:val="24"/>
          <w:szCs w:val="24"/>
        </w:rPr>
        <w:t>de abril de dos mil dieciséis, tienen por objeto establecer los criterios con base en los cuales los sujetos obligados clasificarán como reservada o confidencial la información que posean, desclasificarán y generarán, en su caso, versiones públicas de expe</w:t>
      </w:r>
      <w:r>
        <w:rPr>
          <w:rFonts w:ascii="Palatino Linotype" w:eastAsia="Palatino Linotype" w:hAnsi="Palatino Linotype" w:cs="Palatino Linotype"/>
          <w:sz w:val="24"/>
          <w:szCs w:val="24"/>
        </w:rPr>
        <w:t>dientes o documentos que contengan partes o secciones clasificadas.</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7355D0" w:rsidRDefault="00CF6A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sexto</w:t>
      </w:r>
      <w:r>
        <w:rPr>
          <w:rFonts w:ascii="Palatino Linotype" w:eastAsia="Palatino Linotype" w:hAnsi="Palatino Linotype" w:cs="Palatino Linotype"/>
          <w:b/>
          <w:i/>
        </w:rPr>
        <w:t>. La versión pública de</w:t>
      </w:r>
      <w:r>
        <w:rPr>
          <w:rFonts w:ascii="Palatino Linotype" w:eastAsia="Palatino Linotype" w:hAnsi="Palatino Linotype" w:cs="Palatino Linotype"/>
          <w:b/>
          <w:i/>
        </w:rPr>
        <w:t>l documento o expediente que contenga partes o secciones reservadas o confidenciales, será elaborada por los sujetos obligados, previo pago de los costos de reproducción, a través de sus áreas y deberá ser aprobada por su Comité de Transparencia</w:t>
      </w:r>
    </w:p>
    <w:p w:rsidR="007355D0" w:rsidRDefault="00CF6A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w:t>
      </w:r>
      <w:r>
        <w:rPr>
          <w:rFonts w:ascii="Palatino Linotype" w:eastAsia="Palatino Linotype" w:hAnsi="Palatino Linotype" w:cs="Palatino Linotype"/>
          <w:i/>
        </w:rPr>
        <w:t xml:space="preserve">imo séptimo. Se considera, en principio, como información pública y no podrá omitirse de las versiones públicas la siguiente: </w:t>
      </w:r>
    </w:p>
    <w:p w:rsidR="007355D0" w:rsidRDefault="00CF6A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w:t>
      </w:r>
      <w:r>
        <w:rPr>
          <w:rFonts w:ascii="Palatino Linotype" w:eastAsia="Palatino Linotype" w:hAnsi="Palatino Linotype" w:cs="Palatino Linotype"/>
          <w:i/>
        </w:rPr>
        <w:t xml:space="preserve">aplicables; </w:t>
      </w:r>
    </w:p>
    <w:p w:rsidR="007355D0" w:rsidRDefault="00CF6A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7355D0" w:rsidRDefault="00CF6A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III. La información que documente decisiones y </w:t>
      </w:r>
      <w:r>
        <w:rPr>
          <w:rFonts w:ascii="Palatino Linotype" w:eastAsia="Palatino Linotype" w:hAnsi="Palatino Linotype" w:cs="Palatino Linotype"/>
          <w:i/>
        </w:rPr>
        <w:t>los actos de autoridad concluidos de los sujetos obligados, así como el ejercicio de las facultades o actividades de los servidores públicos, de manera que se pueda valorar el desempeño de los mismos.</w:t>
      </w:r>
    </w:p>
    <w:p w:rsidR="007355D0" w:rsidRDefault="00CF6A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 anterior, siempre y cuando no se acredite alguna cau</w:t>
      </w:r>
      <w:r>
        <w:rPr>
          <w:rFonts w:ascii="Palatino Linotype" w:eastAsia="Palatino Linotype" w:hAnsi="Palatino Linotype" w:cs="Palatino Linotype"/>
          <w:i/>
        </w:rPr>
        <w:t xml:space="preserve">sal de clasificación, prevista en las leyes o en los tratados internaciones suscritos por el Estado mexicano. </w:t>
      </w:r>
    </w:p>
    <w:p w:rsidR="007355D0" w:rsidRDefault="00CF6A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octavo. Los sujetos obligados garantizarán que los sistemas o medios empleados para eliminar la información en las versiones públic</w:t>
      </w:r>
      <w:r>
        <w:rPr>
          <w:rFonts w:ascii="Palatino Linotype" w:eastAsia="Palatino Linotype" w:hAnsi="Palatino Linotype" w:cs="Palatino Linotype"/>
          <w:i/>
        </w:rPr>
        <w:t>as no permitan la recuperación o visualización de la misma.”</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w:t>
      </w:r>
      <w:r>
        <w:rPr>
          <w:rFonts w:ascii="Palatino Linotype" w:eastAsia="Palatino Linotype" w:hAnsi="Palatino Linotype" w:cs="Palatino Linotype"/>
          <w:b/>
          <w:sz w:val="24"/>
          <w:szCs w:val="24"/>
        </w:rPr>
        <w:t xml:space="preserve">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 a testar, suprimir o eliminar datos de dicho soporte documental</w:t>
      </w:r>
      <w:r>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w:t>
      </w:r>
      <w:r>
        <w:rPr>
          <w:rFonts w:ascii="Palatino Linotype" w:eastAsia="Palatino Linotype" w:hAnsi="Palatino Linotype" w:cs="Palatino Linotype"/>
          <w:sz w:val="24"/>
          <w:szCs w:val="24"/>
        </w:rPr>
        <w:t>chada; ya que el no justificar las causas o motivos por las que no se aprecian determinados datos -ya sea porque se testan o suprimen- deja al solicitante en estado de incertidumbre, al no conocer o comprender porque no aparecen en la documentación respect</w:t>
      </w:r>
      <w:r>
        <w:rPr>
          <w:rFonts w:ascii="Palatino Linotype" w:eastAsia="Palatino Linotype" w:hAnsi="Palatino Linotype" w:cs="Palatino Linotype"/>
          <w:sz w:val="24"/>
          <w:szCs w:val="24"/>
        </w:rPr>
        <w:t>iva.</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7355D0" w:rsidTr="00735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7355D0" w:rsidRDefault="00CF6A53">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414" w:type="dxa"/>
            <w:gridSpan w:val="2"/>
          </w:tcPr>
          <w:p w:rsidR="007355D0" w:rsidRDefault="00CF6A53">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7355D0" w:rsidTr="00735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568" w:type="dxa"/>
          </w:tcPr>
          <w:p w:rsidR="007355D0" w:rsidRDefault="00CF6A53">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7355D0" w:rsidRDefault="00CF6A53">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7355D0" w:rsidRDefault="00CF6A53">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7355D0" w:rsidTr="007355D0">
        <w:tc>
          <w:tcPr>
            <w:cnfStyle w:val="001000000000" w:firstRow="0" w:lastRow="0" w:firstColumn="1" w:lastColumn="0" w:oddVBand="0" w:evenVBand="0" w:oddHBand="0" w:evenHBand="0" w:firstRowFirstColumn="0" w:firstRowLastColumn="0" w:lastRowFirstColumn="0" w:lastRowLastColumn="0"/>
            <w:tcW w:w="8828" w:type="dxa"/>
            <w:gridSpan w:val="4"/>
          </w:tcPr>
          <w:p w:rsidR="007355D0" w:rsidRDefault="00CF6A53">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7355D0" w:rsidTr="00735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5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w:t>
            </w:r>
            <w:r>
              <w:rPr>
                <w:rFonts w:ascii="Palatino Linotype" w:eastAsia="Palatino Linotype" w:hAnsi="Palatino Linotype" w:cs="Palatino Linotype"/>
                <w:sz w:val="12"/>
                <w:szCs w:val="12"/>
              </w:rPr>
              <w:t>ia confirmó la clasificación del documento, en su caso.</w:t>
            </w:r>
          </w:p>
        </w:tc>
      </w:tr>
      <w:tr w:rsidR="007355D0" w:rsidTr="007355D0">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5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7355D0" w:rsidTr="00735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5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w:t>
            </w:r>
            <w:r>
              <w:rPr>
                <w:rFonts w:ascii="Palatino Linotype" w:eastAsia="Palatino Linotype" w:hAnsi="Palatino Linotype" w:cs="Palatino Linotype"/>
                <w:sz w:val="12"/>
                <w:szCs w:val="12"/>
              </w:rPr>
              <w:t>ste apartado.</w:t>
            </w:r>
          </w:p>
        </w:tc>
        <w:tc>
          <w:tcPr>
            <w:tcW w:w="9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7355D0" w:rsidTr="007355D0">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anotará el número de años o meses por los que se mantendrá el documento o las partes del mismo como reservado. Si el </w:t>
            </w:r>
            <w:r>
              <w:rPr>
                <w:rFonts w:ascii="Palatino Linotype" w:eastAsia="Palatino Linotype" w:hAnsi="Palatino Linotype" w:cs="Palatino Linotype"/>
                <w:sz w:val="12"/>
                <w:szCs w:val="12"/>
              </w:rPr>
              <w:lastRenderedPageBreak/>
              <w:t>expediente no es reservado, sino confidencial, deberá tacharse este apartado.</w:t>
            </w:r>
          </w:p>
        </w:tc>
      </w:tr>
      <w:tr w:rsidR="007355D0" w:rsidTr="00735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lastRenderedPageBreak/>
              <w:t>Ampliación del periodo de reserva</w:t>
            </w:r>
          </w:p>
        </w:tc>
        <w:tc>
          <w:tcPr>
            <w:tcW w:w="35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w:t>
            </w:r>
            <w:r>
              <w:rPr>
                <w:rFonts w:ascii="Palatino Linotype" w:eastAsia="Palatino Linotype" w:hAnsi="Palatino Linotype" w:cs="Palatino Linotype"/>
                <w:sz w:val="12"/>
                <w:szCs w:val="12"/>
              </w:rPr>
              <w:t>tado la ampliación del periodo de reserva originalmente establecido, se deberá anotar el número de años o meses por los que se amplía la reserva.</w:t>
            </w:r>
          </w:p>
        </w:tc>
        <w:tc>
          <w:tcPr>
            <w:tcW w:w="9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w:t>
            </w:r>
            <w:r>
              <w:rPr>
                <w:rFonts w:ascii="Palatino Linotype" w:eastAsia="Palatino Linotype" w:hAnsi="Palatino Linotype" w:cs="Palatino Linotype"/>
                <w:sz w:val="12"/>
                <w:szCs w:val="12"/>
              </w:rPr>
              <w:t xml:space="preserve"> párrafo(s) con base en los cuales se sustenta la reserva.</w:t>
            </w:r>
          </w:p>
        </w:tc>
      </w:tr>
      <w:tr w:rsidR="007355D0" w:rsidTr="007355D0">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5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anotarán todas las páginas que </w:t>
            </w:r>
            <w:r>
              <w:rPr>
                <w:rFonts w:ascii="Palatino Linotype" w:eastAsia="Palatino Linotype" w:hAnsi="Palatino Linotype" w:cs="Palatino Linotype"/>
                <w:sz w:val="12"/>
                <w:szCs w:val="12"/>
              </w:rPr>
              <w:t>lo conforman. Si el documento no contiene información confidencial, se tachará este apartado.</w:t>
            </w:r>
          </w:p>
        </w:tc>
        <w:tc>
          <w:tcPr>
            <w:tcW w:w="9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355D0" w:rsidTr="00735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w:t>
            </w:r>
            <w:r>
              <w:rPr>
                <w:rFonts w:ascii="Palatino Linotype" w:eastAsia="Palatino Linotype" w:hAnsi="Palatino Linotype" w:cs="Palatino Linotype"/>
                <w:sz w:val="12"/>
                <w:szCs w:val="12"/>
              </w:rPr>
              <w:t>es), párrafo(s) con base en los cuales se sustente la confidencialidad.</w:t>
            </w:r>
          </w:p>
        </w:tc>
        <w:tc>
          <w:tcPr>
            <w:tcW w:w="9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7355D0" w:rsidTr="007355D0">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5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señalará el nombre del o de los ordenamientos </w:t>
            </w:r>
            <w:r>
              <w:rPr>
                <w:rFonts w:ascii="Palatino Linotype" w:eastAsia="Palatino Linotype" w:hAnsi="Palatino Linotype" w:cs="Palatino Linotype"/>
                <w:sz w:val="12"/>
                <w:szCs w:val="12"/>
              </w:rPr>
              <w:t>jurídicos, el o los artículos, fracción(es), párrafo(s) con base en los cuales se sustente la confidencialidad.</w:t>
            </w:r>
          </w:p>
        </w:tc>
      </w:tr>
      <w:tr w:rsidR="007355D0" w:rsidTr="00735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5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w:t>
            </w:r>
            <w:r>
              <w:rPr>
                <w:rFonts w:ascii="Palatino Linotype" w:eastAsia="Palatino Linotype" w:hAnsi="Palatino Linotype" w:cs="Palatino Linotype"/>
                <w:sz w:val="12"/>
                <w:szCs w:val="12"/>
              </w:rPr>
              <w:t>ifica.</w:t>
            </w:r>
          </w:p>
        </w:tc>
      </w:tr>
      <w:tr w:rsidR="007355D0" w:rsidTr="007355D0">
        <w:tc>
          <w:tcPr>
            <w:cnfStyle w:val="001000000000" w:firstRow="0" w:lastRow="0" w:firstColumn="1" w:lastColumn="0" w:oddVBand="0" w:evenVBand="0" w:oddHBand="0" w:evenHBand="0" w:firstRowFirstColumn="0" w:firstRowLastColumn="0" w:lastRowFirstColumn="0" w:lastRowLastColumn="0"/>
            <w:tcW w:w="846" w:type="dxa"/>
          </w:tcPr>
          <w:p w:rsidR="007355D0" w:rsidRDefault="00CF6A53">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5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7355D0" w:rsidTr="00735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355D0" w:rsidRDefault="007355D0">
            <w:pPr>
              <w:jc w:val="both"/>
              <w:rPr>
                <w:rFonts w:ascii="Palatino Linotype" w:eastAsia="Palatino Linotype" w:hAnsi="Palatino Linotype" w:cs="Palatino Linotype"/>
                <w:sz w:val="12"/>
                <w:szCs w:val="12"/>
              </w:rPr>
            </w:pPr>
          </w:p>
        </w:tc>
        <w:tc>
          <w:tcPr>
            <w:tcW w:w="3568" w:type="dxa"/>
          </w:tcPr>
          <w:p w:rsidR="007355D0" w:rsidRDefault="007355D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7355D0" w:rsidRDefault="00CF6A5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7355D0" w:rsidTr="007355D0">
        <w:tc>
          <w:tcPr>
            <w:cnfStyle w:val="001000000000" w:firstRow="0" w:lastRow="0" w:firstColumn="1" w:lastColumn="0" w:oddVBand="0" w:evenVBand="0" w:oddHBand="0" w:evenHBand="0" w:firstRowFirstColumn="0" w:firstRowLastColumn="0" w:lastRowFirstColumn="0" w:lastRowLastColumn="0"/>
            <w:tcW w:w="846" w:type="dxa"/>
          </w:tcPr>
          <w:p w:rsidR="007355D0" w:rsidRDefault="007355D0">
            <w:pPr>
              <w:jc w:val="both"/>
              <w:rPr>
                <w:rFonts w:ascii="Palatino Linotype" w:eastAsia="Palatino Linotype" w:hAnsi="Palatino Linotype" w:cs="Palatino Linotype"/>
                <w:sz w:val="12"/>
                <w:szCs w:val="12"/>
              </w:rPr>
            </w:pPr>
          </w:p>
        </w:tc>
        <w:tc>
          <w:tcPr>
            <w:tcW w:w="3568" w:type="dxa"/>
          </w:tcPr>
          <w:p w:rsidR="007355D0" w:rsidRDefault="007355D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7355D0" w:rsidRDefault="00CF6A5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7355D0" w:rsidRDefault="007355D0">
      <w:pPr>
        <w:spacing w:before="240" w:after="0" w:line="360" w:lineRule="auto"/>
        <w:jc w:val="both"/>
        <w:rPr>
          <w:rFonts w:ascii="Palatino Linotype" w:eastAsia="Palatino Linotype" w:hAnsi="Palatino Linotype" w:cs="Palatino Linotype"/>
          <w:sz w:val="24"/>
          <w:szCs w:val="24"/>
        </w:rPr>
      </w:pPr>
    </w:p>
    <w:p w:rsidR="007355D0" w:rsidRDefault="00CF6A5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w:t>
      </w:r>
      <w:r>
        <w:rPr>
          <w:rFonts w:ascii="Palatino Linotype" w:eastAsia="Palatino Linotype" w:hAnsi="Palatino Linotype" w:cs="Palatino Linotype"/>
          <w:sz w:val="24"/>
          <w:szCs w:val="24"/>
        </w:rPr>
        <w:t>II de la Ley de Transparencia y Acceso a la Información Pública del Estado de México y Municipios, este Pleno:</w:t>
      </w:r>
    </w:p>
    <w:p w:rsidR="007355D0" w:rsidRDefault="00CF6A53">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U E L V E:</w:t>
      </w:r>
    </w:p>
    <w:p w:rsidR="007355D0" w:rsidRDefault="00CF6A53">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parcialmente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02384/INFOEM/IP/RR/2022,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Quinto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 xml:space="preserve">REVOCA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7355D0" w:rsidRDefault="00CF6A53">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que,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términos de los Considerandos Cuarto y Quinto de la</w:t>
      </w:r>
      <w:r>
        <w:rPr>
          <w:rFonts w:ascii="Palatino Linotype" w:eastAsia="Palatino Linotype" w:hAnsi="Palatino Linotype" w:cs="Palatino Linotype"/>
          <w:sz w:val="24"/>
          <w:szCs w:val="24"/>
        </w:rPr>
        <w:t xml:space="preserve"> presente resolución, haga entrega vía SAIMEX, en versión pública de ser procedente, de lo siguiente:</w:t>
      </w:r>
    </w:p>
    <w:p w:rsidR="007355D0" w:rsidRDefault="00CF6A53">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bookmarkStart w:id="3" w:name="_heading=h.liyie1y6amqo" w:colFirst="0" w:colLast="0"/>
      <w:bookmarkEnd w:id="3"/>
      <w:r>
        <w:rPr>
          <w:rFonts w:ascii="Palatino Linotype" w:eastAsia="Palatino Linotype" w:hAnsi="Palatino Linotype" w:cs="Palatino Linotype"/>
          <w:sz w:val="24"/>
          <w:szCs w:val="24"/>
        </w:rPr>
        <w:t xml:space="preserve">Videos originales o fuente y audios, utilizados para la edición del </w:t>
      </w:r>
      <w:r>
        <w:rPr>
          <w:rFonts w:ascii="Palatino Linotype" w:eastAsia="Palatino Linotype" w:hAnsi="Palatino Linotype" w:cs="Palatino Linotype"/>
          <w:color w:val="000000"/>
          <w:sz w:val="24"/>
          <w:szCs w:val="24"/>
        </w:rPr>
        <w:t>video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que da cuenta de las actividades realizadas  por Presidente Municipal de Metepec </w:t>
      </w:r>
      <w:hyperlink r:id="rId28">
        <w:r>
          <w:rPr>
            <w:rFonts w:ascii="Palatino Linotype" w:eastAsia="Palatino Linotype" w:hAnsi="Palatino Linotype" w:cs="Palatino Linotype"/>
            <w:sz w:val="24"/>
            <w:szCs w:val="24"/>
          </w:rPr>
          <w:t>Fernando Flores Fernández</w:t>
        </w:r>
      </w:hyperlink>
      <w:r>
        <w:rPr>
          <w:rFonts w:ascii="Palatino Linotype" w:eastAsia="Palatino Linotype" w:hAnsi="Palatino Linotype" w:cs="Palatino Linotype"/>
          <w:sz w:val="24"/>
          <w:szCs w:val="24"/>
        </w:rPr>
        <w:t xml:space="preserve"> en </w:t>
      </w:r>
      <w:r>
        <w:rPr>
          <w:rFonts w:ascii="Palatino Linotype" w:eastAsia="Palatino Linotype" w:hAnsi="Palatino Linotype" w:cs="Palatino Linotype"/>
          <w:color w:val="000000"/>
          <w:sz w:val="24"/>
          <w:szCs w:val="24"/>
        </w:rPr>
        <w:t xml:space="preserve"> la primera </w:t>
      </w:r>
      <w:r>
        <w:rPr>
          <w:rFonts w:ascii="Palatino Linotype" w:eastAsia="Palatino Linotype" w:hAnsi="Palatino Linotype" w:cs="Palatino Linotype"/>
          <w:sz w:val="24"/>
          <w:szCs w:val="24"/>
        </w:rPr>
        <w:t xml:space="preserve">semana de 2022. </w:t>
      </w:r>
    </w:p>
    <w:p w:rsidR="007355D0" w:rsidRDefault="00CF6A53">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sz w:val="24"/>
          <w:szCs w:val="24"/>
        </w:rPr>
      </w:pPr>
      <w:bookmarkStart w:id="4" w:name="_heading=h.o40cu95j7prq" w:colFirst="0" w:colLast="0"/>
      <w:bookmarkEnd w:id="4"/>
      <w:r>
        <w:rPr>
          <w:rFonts w:ascii="Palatino Linotype" w:eastAsia="Palatino Linotype" w:hAnsi="Palatino Linotype" w:cs="Palatino Linotype"/>
          <w:sz w:val="24"/>
          <w:szCs w:val="24"/>
        </w:rPr>
        <w:t>De ser procedente, emitir el Acuerdo de</w:t>
      </w:r>
      <w:r>
        <w:rPr>
          <w:rFonts w:ascii="Palatino Linotype" w:eastAsia="Palatino Linotype" w:hAnsi="Palatino Linotype" w:cs="Palatino Linotype"/>
          <w:sz w:val="24"/>
          <w:szCs w:val="24"/>
        </w:rPr>
        <w:t>l Comité de Transparencia en términos de la Ley de Transparencia y Acceso a la Información Pública del Estado de México y Municipios, en el que funde y motive las razones sobre los datos que se supriman o eliminen, así como de los documentos remitidos en r</w:t>
      </w:r>
      <w:r>
        <w:rPr>
          <w:rFonts w:ascii="Palatino Linotype" w:eastAsia="Palatino Linotype" w:hAnsi="Palatino Linotype" w:cs="Palatino Linotype"/>
          <w:sz w:val="24"/>
          <w:szCs w:val="24"/>
        </w:rPr>
        <w:t>espuesta, y se ponga a disposición de la parte Recurrente.</w:t>
      </w:r>
    </w:p>
    <w:p w:rsidR="007355D0" w:rsidRDefault="00CF6A5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b/>
          <w:color w:val="000000"/>
          <w:sz w:val="24"/>
          <w:szCs w:val="24"/>
        </w:rPr>
        <w:t>Tercero.</w:t>
      </w:r>
      <w:r>
        <w:rPr>
          <w:rFonts w:ascii="Palatino Linotype" w:eastAsia="Palatino Linotype" w:hAnsi="Palatino Linotype" w:cs="Palatino Linotype"/>
          <w:b/>
          <w:color w:val="000000"/>
          <w:sz w:val="24"/>
          <w:szCs w:val="24"/>
          <w:highlight w:val="white"/>
        </w:rPr>
        <w:t xml:space="preserve"> Notifíquese vía SAIMEX, </w:t>
      </w:r>
      <w:r>
        <w:rPr>
          <w:rFonts w:ascii="Palatino Linotype" w:eastAsia="Palatino Linotype" w:hAnsi="Palatino Linotype" w:cs="Palatino Linotype"/>
          <w:color w:val="000000"/>
          <w:sz w:val="24"/>
          <w:szCs w:val="24"/>
          <w:highlight w:val="white"/>
        </w:rPr>
        <w:t xml:space="preserve">al Responsable de la Unidad de Transparencia del </w:t>
      </w:r>
      <w:r>
        <w:rPr>
          <w:rFonts w:ascii="Palatino Linotype" w:eastAsia="Palatino Linotype" w:hAnsi="Palatino Linotype" w:cs="Palatino Linotype"/>
          <w:b/>
          <w:color w:val="000000"/>
          <w:sz w:val="24"/>
          <w:szCs w:val="24"/>
          <w:highlight w:val="white"/>
        </w:rPr>
        <w:t>SUJETO OBLIGADO</w:t>
      </w:r>
      <w:r>
        <w:rPr>
          <w:rFonts w:ascii="Palatino Linotype" w:eastAsia="Palatino Linotype" w:hAnsi="Palatino Linotype" w:cs="Palatino Linotype"/>
          <w:color w:val="000000"/>
          <w:sz w:val="24"/>
          <w:szCs w:val="24"/>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w:t>
      </w:r>
      <w:r>
        <w:rPr>
          <w:rFonts w:ascii="Palatino Linotype" w:eastAsia="Palatino Linotype" w:hAnsi="Palatino Linotype" w:cs="Palatino Linotype"/>
          <w:color w:val="000000"/>
          <w:sz w:val="24"/>
          <w:szCs w:val="24"/>
          <w:highlight w:val="white"/>
        </w:rPr>
        <w:t>iles, debiendo informar a este Instituto en un plazo de tres días hábiles siguientes sobre el cumplimiento dado.</w:t>
      </w:r>
    </w:p>
    <w:p w:rsidR="007355D0" w:rsidRDefault="00CF6A5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 Notifíquese, 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w:t>
      </w:r>
      <w:r>
        <w:rPr>
          <w:rFonts w:ascii="Palatino Linotype" w:eastAsia="Palatino Linotype" w:hAnsi="Palatino Linotype" w:cs="Palatino Linotype"/>
          <w:sz w:val="24"/>
          <w:szCs w:val="24"/>
        </w:rPr>
        <w:t xml:space="preserve">196 de la Ley de Transparencia y Acceso a la Información Pública del Estado de México y </w:t>
      </w:r>
      <w:r>
        <w:rPr>
          <w:rFonts w:ascii="Palatino Linotype" w:eastAsia="Palatino Linotype" w:hAnsi="Palatino Linotype" w:cs="Palatino Linotype"/>
          <w:sz w:val="24"/>
          <w:szCs w:val="24"/>
        </w:rPr>
        <w:lastRenderedPageBreak/>
        <w:t>Municipios, en caso de que considere que le causa algún perjuicio podrá impugnarla vía Juicio de Amparo en los términos de las leyes aplicables.</w:t>
      </w:r>
    </w:p>
    <w:p w:rsidR="007355D0" w:rsidRDefault="00CF6A53">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xml:space="preserve"> De conformidad </w:t>
      </w:r>
      <w:r>
        <w:rPr>
          <w:rFonts w:ascii="Palatino Linotype" w:eastAsia="Palatino Linotype" w:hAnsi="Palatino Linotype" w:cs="Palatino Linotype"/>
          <w:sz w:val="24"/>
          <w:szCs w:val="24"/>
        </w:rPr>
        <w:t xml:space="preserve">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w:t>
      </w:r>
      <w:r>
        <w:rPr>
          <w:rFonts w:ascii="Palatino Linotype" w:eastAsia="Palatino Linotype" w:hAnsi="Palatino Linotype" w:cs="Palatino Linotype"/>
          <w:sz w:val="24"/>
          <w:szCs w:val="24"/>
        </w:rPr>
        <w:t xml:space="preserve"> la presente resolución.</w:t>
      </w:r>
    </w:p>
    <w:p w:rsidR="00CF6A53" w:rsidRDefault="00CF6A53">
      <w:pPr>
        <w:spacing w:before="240" w:after="240" w:line="360" w:lineRule="auto"/>
        <w:jc w:val="both"/>
        <w:rPr>
          <w:rFonts w:ascii="Palatino Linotype" w:eastAsia="Palatino Linotype" w:hAnsi="Palatino Linotype" w:cs="Palatino Linotype"/>
          <w:sz w:val="24"/>
          <w:szCs w:val="24"/>
        </w:rPr>
        <w:sectPr w:rsidR="00CF6A53">
          <w:headerReference w:type="default" r:id="rId29"/>
          <w:footerReference w:type="default" r:id="rId30"/>
          <w:headerReference w:type="first" r:id="rId31"/>
          <w:footerReference w:type="first" r:id="rId32"/>
          <w:pgSz w:w="12240" w:h="15840"/>
          <w:pgMar w:top="2041" w:right="1750" w:bottom="1701" w:left="1701" w:header="709" w:footer="709" w:gutter="0"/>
          <w:pgNumType w:start="1"/>
          <w:cols w:space="720"/>
          <w:titlePg/>
        </w:sectPr>
      </w:pPr>
      <w:r>
        <w:rPr>
          <w:rFonts w:ascii="Palatino Linotype" w:eastAsia="Palatino Linotype" w:hAnsi="Palatino Linotype" w:cs="Palatino Linotype"/>
          <w:color w:val="222222"/>
          <w:sz w:val="24"/>
          <w:szCs w:val="24"/>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color w:val="222222"/>
          <w:sz w:val="24"/>
          <w:szCs w:val="24"/>
          <w:highlight w:val="white"/>
        </w:rPr>
        <w:t xml:space="preserve">MEJÍA AYALA PARTICULAR, SHARON CRISTINA MORALES MARTÍNEZ, LUIS GUSTAVO PARRA NORIEGA Y GUADALUPE RAMÍREZ PEÑA; EN LA VIGÉSIMA SESIÓN ORDINARIA CELEBRADA EL </w:t>
      </w:r>
      <w:r>
        <w:rPr>
          <w:rFonts w:ascii="Palatino Linotype" w:eastAsia="Palatino Linotype" w:hAnsi="Palatino Linotype" w:cs="Palatino Linotype"/>
          <w:color w:val="222222"/>
          <w:sz w:val="24"/>
          <w:szCs w:val="24"/>
        </w:rPr>
        <w:t>PRIMERO</w:t>
      </w:r>
      <w:r>
        <w:rPr>
          <w:rFonts w:ascii="Palatino Linotype" w:eastAsia="Palatino Linotype" w:hAnsi="Palatino Linotype" w:cs="Palatino Linotype"/>
          <w:sz w:val="24"/>
          <w:szCs w:val="24"/>
        </w:rPr>
        <w:t xml:space="preserve"> DE JUNIO</w:t>
      </w:r>
      <w:r>
        <w:rPr>
          <w:rFonts w:ascii="Palatino Linotype" w:eastAsia="Palatino Linotype" w:hAnsi="Palatino Linotype" w:cs="Palatino Linotype"/>
          <w:sz w:val="24"/>
          <w:szCs w:val="24"/>
        </w:rPr>
        <w:t xml:space="preserve"> DEL DOS MIL VEINTIDÓS, ANTE EL SECRETARIO TÉCNICO DEL PLENO ALEXIS TAPIA RAMÍREZ. </w:t>
      </w:r>
    </w:p>
    <w:p w:rsidR="007355D0" w:rsidRDefault="007355D0">
      <w:pPr>
        <w:spacing w:before="240" w:after="240" w:line="360" w:lineRule="auto"/>
        <w:jc w:val="both"/>
        <w:rPr>
          <w:rFonts w:ascii="Palatino Linotype" w:eastAsia="Palatino Linotype" w:hAnsi="Palatino Linotype" w:cs="Palatino Linotype"/>
          <w:sz w:val="24"/>
          <w:szCs w:val="24"/>
        </w:rPr>
        <w:sectPr w:rsidR="007355D0">
          <w:headerReference w:type="first" r:id="rId33"/>
          <w:pgSz w:w="12240" w:h="15840"/>
          <w:pgMar w:top="2041" w:right="1750" w:bottom="1701" w:left="1701" w:header="709" w:footer="709" w:gutter="0"/>
          <w:pgNumType w:start="1"/>
          <w:cols w:space="720"/>
          <w:titlePg/>
        </w:sectPr>
      </w:pPr>
      <w:bookmarkStart w:id="5" w:name="_GoBack"/>
      <w:bookmarkEnd w:id="5"/>
    </w:p>
    <w:p w:rsidR="007355D0" w:rsidRDefault="007355D0"/>
    <w:sectPr w:rsidR="007355D0">
      <w:headerReference w:type="default" r:id="rId34"/>
      <w:footerReference w:type="default" r:id="rId35"/>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F6A53">
      <w:pPr>
        <w:spacing w:after="0" w:line="240" w:lineRule="auto"/>
      </w:pPr>
      <w:r>
        <w:separator/>
      </w:r>
    </w:p>
  </w:endnote>
  <w:endnote w:type="continuationSeparator" w:id="0">
    <w:p w:rsidR="00000000" w:rsidRDefault="00CF6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D0" w:rsidRDefault="00CF6A5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7355D0" w:rsidRDefault="007355D0">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rsidR="007355D0" w:rsidRDefault="007355D0">
    <w:pPr>
      <w:pBdr>
        <w:top w:val="nil"/>
        <w:left w:val="nil"/>
        <w:bottom w:val="nil"/>
        <w:right w:val="nil"/>
        <w:between w:val="nil"/>
      </w:pBdr>
      <w:tabs>
        <w:tab w:val="center" w:pos="4419"/>
        <w:tab w:val="right" w:pos="8838"/>
      </w:tabs>
      <w:spacing w:after="0" w:line="240" w:lineRule="auto"/>
      <w:ind w:firstLine="708"/>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D0" w:rsidRDefault="00CF6A5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Página 45</w:t>
    </w:r>
    <w:r>
      <w:rPr>
        <w:rFonts w:ascii="Arial" w:eastAsia="Arial" w:hAnsi="Arial" w:cs="Arial"/>
        <w:b/>
        <w:color w:val="000000"/>
        <w:sz w:val="20"/>
        <w:szCs w:val="20"/>
      </w:rPr>
      <w:t xml:space="preserve"> </w:t>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7355D0" w:rsidRDefault="007355D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D0" w:rsidRDefault="00CF6A5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7355D0" w:rsidRDefault="007355D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F6A53">
      <w:pPr>
        <w:spacing w:after="0" w:line="240" w:lineRule="auto"/>
      </w:pPr>
      <w:r>
        <w:separator/>
      </w:r>
    </w:p>
  </w:footnote>
  <w:footnote w:type="continuationSeparator" w:id="0">
    <w:p w:rsidR="00000000" w:rsidRDefault="00CF6A53">
      <w:pPr>
        <w:spacing w:after="0" w:line="240" w:lineRule="auto"/>
      </w:pPr>
      <w:r>
        <w:continuationSeparator/>
      </w:r>
    </w:p>
  </w:footnote>
  <w:footnote w:id="1">
    <w:p w:rsidR="007355D0" w:rsidRDefault="00CF6A5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7355D0" w:rsidRDefault="00CF6A5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7355D0" w:rsidRDefault="00CF6A5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Los sujetos obligados solo proporcionarán la información pública que </w:t>
      </w:r>
      <w:r>
        <w:rPr>
          <w:rFonts w:ascii="Palatino Linotype" w:eastAsia="Palatino Linotype" w:hAnsi="Palatino Linotype" w:cs="Palatino Linotype"/>
          <w:i/>
          <w:sz w:val="16"/>
          <w:szCs w:val="16"/>
        </w:rPr>
        <w:t>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D0" w:rsidRDefault="007355D0">
    <w:pPr>
      <w:widowControl w:val="0"/>
      <w:pBdr>
        <w:top w:val="nil"/>
        <w:left w:val="nil"/>
        <w:bottom w:val="nil"/>
        <w:right w:val="nil"/>
        <w:between w:val="nil"/>
      </w:pBdr>
      <w:spacing w:after="0" w:line="276" w:lineRule="auto"/>
      <w:rPr>
        <w:color w:val="000000"/>
      </w:rPr>
    </w:pPr>
  </w:p>
  <w:tbl>
    <w:tblPr>
      <w:tblStyle w:val="ad"/>
      <w:tblW w:w="10479" w:type="dxa"/>
      <w:tblInd w:w="-1281" w:type="dxa"/>
      <w:tblLayout w:type="fixed"/>
      <w:tblLook w:val="0400" w:firstRow="0" w:lastRow="0" w:firstColumn="0" w:lastColumn="0" w:noHBand="0" w:noVBand="1"/>
    </w:tblPr>
    <w:tblGrid>
      <w:gridCol w:w="5576"/>
      <w:gridCol w:w="4903"/>
    </w:tblGrid>
    <w:tr w:rsidR="007355D0">
      <w:trPr>
        <w:trHeight w:val="245"/>
      </w:trPr>
      <w:tc>
        <w:tcPr>
          <w:tcW w:w="5576" w:type="dxa"/>
          <w:tcBorders>
            <w:bottom w:val="nil"/>
          </w:tcBorders>
        </w:tcPr>
        <w:p w:rsidR="007355D0" w:rsidRDefault="00CF6A53">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7355D0" w:rsidRDefault="00CF6A53">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02384/INFOEM/IP/RR/2022</w:t>
          </w:r>
        </w:p>
      </w:tc>
    </w:tr>
    <w:tr w:rsidR="007355D0">
      <w:trPr>
        <w:trHeight w:val="211"/>
      </w:trPr>
      <w:tc>
        <w:tcPr>
          <w:tcW w:w="5576" w:type="dxa"/>
          <w:tcBorders>
            <w:top w:val="nil"/>
          </w:tcBorders>
        </w:tcPr>
        <w:p w:rsidR="007355D0" w:rsidRDefault="00CF6A53">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rsidR="007355D0" w:rsidRDefault="007355D0">
          <w:pPr>
            <w:spacing w:after="120"/>
            <w:ind w:left="-486" w:right="214" w:firstLine="567"/>
            <w:jc w:val="right"/>
            <w:rPr>
              <w:rFonts w:ascii="Palatino Linotype" w:eastAsia="Palatino Linotype" w:hAnsi="Palatino Linotype" w:cs="Palatino Linotype"/>
            </w:rPr>
          </w:pPr>
        </w:p>
      </w:tc>
    </w:tr>
    <w:tr w:rsidR="007355D0">
      <w:trPr>
        <w:trHeight w:val="262"/>
      </w:trPr>
      <w:tc>
        <w:tcPr>
          <w:tcW w:w="5576" w:type="dxa"/>
        </w:tcPr>
        <w:p w:rsidR="007355D0" w:rsidRDefault="00CF6A53">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7355D0" w:rsidRDefault="00CF6A53">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7355D0">
      <w:trPr>
        <w:trHeight w:val="371"/>
      </w:trPr>
      <w:tc>
        <w:tcPr>
          <w:tcW w:w="5576" w:type="dxa"/>
        </w:tcPr>
        <w:p w:rsidR="007355D0" w:rsidRDefault="00CF6A53">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7355D0" w:rsidRDefault="00CF6A53">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7355D0" w:rsidRDefault="00CF6A53">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r>
      <w:rPr>
        <w:noProof/>
        <w:lang w:val="en-US"/>
      </w:rPr>
      <w:drawing>
        <wp:anchor distT="0" distB="0" distL="0" distR="0" simplePos="0" relativeHeight="251658240" behindDoc="1" locked="0" layoutInCell="1" hidden="0" allowOverlap="1">
          <wp:simplePos x="0" y="0"/>
          <wp:positionH relativeFrom="column">
            <wp:posOffset>-1057906</wp:posOffset>
          </wp:positionH>
          <wp:positionV relativeFrom="paragraph">
            <wp:posOffset>-1544951</wp:posOffset>
          </wp:positionV>
          <wp:extent cx="7809865" cy="10165715"/>
          <wp:effectExtent l="0" t="0" r="0" b="0"/>
          <wp:wrapNone/>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D0" w:rsidRDefault="007355D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c"/>
      <w:tblW w:w="10479" w:type="dxa"/>
      <w:tblInd w:w="-1281" w:type="dxa"/>
      <w:tblLayout w:type="fixed"/>
      <w:tblLook w:val="0400" w:firstRow="0" w:lastRow="0" w:firstColumn="0" w:lastColumn="0" w:noHBand="0" w:noVBand="1"/>
    </w:tblPr>
    <w:tblGrid>
      <w:gridCol w:w="5576"/>
      <w:gridCol w:w="4903"/>
    </w:tblGrid>
    <w:tr w:rsidR="007355D0">
      <w:trPr>
        <w:trHeight w:val="245"/>
      </w:trPr>
      <w:tc>
        <w:tcPr>
          <w:tcW w:w="5576" w:type="dxa"/>
        </w:tcPr>
        <w:p w:rsidR="007355D0" w:rsidRDefault="00CF6A53">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7355D0" w:rsidRDefault="00CF6A53">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02384/INFOEM/IP/RR/2022</w:t>
          </w:r>
        </w:p>
      </w:tc>
    </w:tr>
    <w:tr w:rsidR="007355D0">
      <w:trPr>
        <w:trHeight w:val="211"/>
      </w:trPr>
      <w:tc>
        <w:tcPr>
          <w:tcW w:w="5576" w:type="dxa"/>
        </w:tcPr>
        <w:p w:rsidR="007355D0" w:rsidRDefault="00CF6A53">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rsidR="007355D0" w:rsidRDefault="007355D0">
          <w:pPr>
            <w:spacing w:after="120"/>
            <w:ind w:left="-486" w:right="214" w:firstLine="567"/>
            <w:jc w:val="right"/>
            <w:rPr>
              <w:rFonts w:ascii="Palatino Linotype" w:eastAsia="Palatino Linotype" w:hAnsi="Palatino Linotype" w:cs="Palatino Linotype"/>
            </w:rPr>
          </w:pPr>
        </w:p>
      </w:tc>
    </w:tr>
    <w:tr w:rsidR="007355D0">
      <w:trPr>
        <w:trHeight w:val="262"/>
      </w:trPr>
      <w:tc>
        <w:tcPr>
          <w:tcW w:w="5576" w:type="dxa"/>
        </w:tcPr>
        <w:p w:rsidR="007355D0" w:rsidRDefault="00CF6A53">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7355D0" w:rsidRDefault="00CF6A53">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7355D0">
      <w:trPr>
        <w:trHeight w:val="371"/>
      </w:trPr>
      <w:tc>
        <w:tcPr>
          <w:tcW w:w="5576" w:type="dxa"/>
        </w:tcPr>
        <w:p w:rsidR="007355D0" w:rsidRDefault="00CF6A53">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7355D0" w:rsidRDefault="00CF6A53">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7355D0" w:rsidRDefault="00CF6A53">
    <w:pPr>
      <w:pBdr>
        <w:top w:val="nil"/>
        <w:left w:val="nil"/>
        <w:bottom w:val="nil"/>
        <w:right w:val="nil"/>
        <w:between w:val="nil"/>
      </w:pBdr>
      <w:tabs>
        <w:tab w:val="center" w:pos="4419"/>
        <w:tab w:val="right" w:pos="8838"/>
      </w:tabs>
      <w:spacing w:after="0" w:line="240" w:lineRule="auto"/>
      <w:rPr>
        <w:color w:val="000000"/>
      </w:rPr>
    </w:pPr>
    <w:r>
      <w:rPr>
        <w:noProof/>
        <w:lang w:val="en-US"/>
      </w:rPr>
      <w:drawing>
        <wp:anchor distT="0" distB="0" distL="0" distR="0" simplePos="0" relativeHeight="251659264" behindDoc="1" locked="0" layoutInCell="1" hidden="0" allowOverlap="1">
          <wp:simplePos x="0" y="0"/>
          <wp:positionH relativeFrom="column">
            <wp:posOffset>-1108071</wp:posOffset>
          </wp:positionH>
          <wp:positionV relativeFrom="paragraph">
            <wp:posOffset>-1559556</wp:posOffset>
          </wp:positionV>
          <wp:extent cx="7809865" cy="10165715"/>
          <wp:effectExtent l="0" t="0" r="0" b="0"/>
          <wp:wrapNone/>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53" w:rsidRDefault="00CF6A5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p w:rsidR="00CF6A53" w:rsidRDefault="00CF6A53">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D0" w:rsidRDefault="007355D0">
    <w:pPr>
      <w:widowControl w:val="0"/>
      <w:pBdr>
        <w:top w:val="nil"/>
        <w:left w:val="nil"/>
        <w:bottom w:val="nil"/>
        <w:right w:val="nil"/>
        <w:between w:val="nil"/>
      </w:pBdr>
      <w:spacing w:after="0" w:line="276" w:lineRule="auto"/>
      <w:rPr>
        <w:color w:val="000000"/>
      </w:rPr>
    </w:pPr>
  </w:p>
  <w:tbl>
    <w:tblPr>
      <w:tblStyle w:val="ae"/>
      <w:tblW w:w="10637" w:type="dxa"/>
      <w:tblInd w:w="-1281" w:type="dxa"/>
      <w:tblLayout w:type="fixed"/>
      <w:tblLook w:val="0400" w:firstRow="0" w:lastRow="0" w:firstColumn="0" w:lastColumn="0" w:noHBand="0" w:noVBand="1"/>
    </w:tblPr>
    <w:tblGrid>
      <w:gridCol w:w="5660"/>
      <w:gridCol w:w="4977"/>
    </w:tblGrid>
    <w:tr w:rsidR="007355D0">
      <w:trPr>
        <w:trHeight w:val="260"/>
      </w:trPr>
      <w:tc>
        <w:tcPr>
          <w:tcW w:w="5660" w:type="dxa"/>
        </w:tcPr>
        <w:p w:rsidR="007355D0" w:rsidRDefault="00CF6A53">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77" w:type="dxa"/>
        </w:tcPr>
        <w:p w:rsidR="007355D0" w:rsidRDefault="00CF6A53">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01124/INFOEM/IP/RR/2022</w:t>
          </w:r>
        </w:p>
      </w:tc>
    </w:tr>
    <w:tr w:rsidR="007355D0">
      <w:trPr>
        <w:trHeight w:val="224"/>
      </w:trPr>
      <w:tc>
        <w:tcPr>
          <w:tcW w:w="5660" w:type="dxa"/>
        </w:tcPr>
        <w:p w:rsidR="007355D0" w:rsidRDefault="00CF6A53">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77" w:type="dxa"/>
        </w:tcPr>
        <w:p w:rsidR="007355D0" w:rsidRDefault="007355D0">
          <w:pPr>
            <w:spacing w:after="120"/>
            <w:ind w:left="-486" w:right="214" w:firstLine="567"/>
            <w:jc w:val="right"/>
            <w:rPr>
              <w:rFonts w:ascii="Palatino Linotype" w:eastAsia="Palatino Linotype" w:hAnsi="Palatino Linotype" w:cs="Palatino Linotype"/>
            </w:rPr>
          </w:pPr>
        </w:p>
      </w:tc>
    </w:tr>
    <w:tr w:rsidR="007355D0">
      <w:trPr>
        <w:trHeight w:val="278"/>
      </w:trPr>
      <w:tc>
        <w:tcPr>
          <w:tcW w:w="5660" w:type="dxa"/>
        </w:tcPr>
        <w:p w:rsidR="007355D0" w:rsidRDefault="00CF6A53">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77" w:type="dxa"/>
        </w:tcPr>
        <w:p w:rsidR="007355D0" w:rsidRDefault="00CF6A53">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Cuautitlán Izcalli.</w:t>
          </w:r>
        </w:p>
      </w:tc>
    </w:tr>
    <w:tr w:rsidR="007355D0">
      <w:trPr>
        <w:trHeight w:val="393"/>
      </w:trPr>
      <w:tc>
        <w:tcPr>
          <w:tcW w:w="5660" w:type="dxa"/>
        </w:tcPr>
        <w:p w:rsidR="007355D0" w:rsidRDefault="00CF6A53">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77" w:type="dxa"/>
        </w:tcPr>
        <w:p w:rsidR="007355D0" w:rsidRDefault="00CF6A53">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7355D0" w:rsidRDefault="00CF6A53">
    <w:pPr>
      <w:pBdr>
        <w:top w:val="nil"/>
        <w:left w:val="nil"/>
        <w:bottom w:val="nil"/>
        <w:right w:val="nil"/>
        <w:between w:val="nil"/>
      </w:pBdr>
      <w:tabs>
        <w:tab w:val="center" w:pos="4419"/>
        <w:tab w:val="right" w:pos="8838"/>
      </w:tabs>
      <w:spacing w:after="0" w:line="240" w:lineRule="auto"/>
      <w:rPr>
        <w:color w:val="000000"/>
      </w:rPr>
    </w:pPr>
    <w:r>
      <w:rPr>
        <w:noProof/>
        <w:lang w:val="en-US"/>
      </w:rPr>
      <w:drawing>
        <wp:anchor distT="0" distB="0" distL="0" distR="0" simplePos="0" relativeHeight="251660288" behindDoc="1" locked="0" layoutInCell="1" hidden="0" allowOverlap="1">
          <wp:simplePos x="0" y="0"/>
          <wp:positionH relativeFrom="column">
            <wp:posOffset>-1031870</wp:posOffset>
          </wp:positionH>
          <wp:positionV relativeFrom="paragraph">
            <wp:posOffset>-1550031</wp:posOffset>
          </wp:positionV>
          <wp:extent cx="7753350" cy="9942731"/>
          <wp:effectExtent l="0" t="0" r="0" b="0"/>
          <wp:wrapNone/>
          <wp:docPr id="6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184813"/>
    <w:multiLevelType w:val="multilevel"/>
    <w:tmpl w:val="AA24D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D0"/>
    <w:rsid w:val="007355D0"/>
    <w:rsid w:val="00CF6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D763D5E"/>
  <w15:docId w15:val="{3ECDDC74-DCA4-4DB1-BFBB-66B206414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0C3"/>
  </w:style>
  <w:style w:type="paragraph" w:styleId="Ttulo1">
    <w:name w:val="heading 1"/>
    <w:basedOn w:val="Normal"/>
    <w:next w:val="Normal"/>
    <w:link w:val="Ttulo1Car"/>
    <w:uiPriority w:val="9"/>
    <w:qFormat/>
    <w:rsid w:val="000528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528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D46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6B2"/>
  </w:style>
  <w:style w:type="paragraph" w:styleId="Piedepgina">
    <w:name w:val="footer"/>
    <w:basedOn w:val="Normal"/>
    <w:link w:val="PiedepginaCar"/>
    <w:uiPriority w:val="99"/>
    <w:unhideWhenUsed/>
    <w:rsid w:val="005D46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6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46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46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D46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D46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D46B2"/>
    <w:rPr>
      <w:vertAlign w:val="superscript"/>
    </w:rPr>
  </w:style>
  <w:style w:type="table" w:styleId="Tablaconcuadrcula">
    <w:name w:val="Table Grid"/>
    <w:basedOn w:val="Tablanormal"/>
    <w:uiPriority w:val="59"/>
    <w:rsid w:val="005D46B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D46B2"/>
  </w:style>
  <w:style w:type="character" w:styleId="nfasis">
    <w:name w:val="Emphasis"/>
    <w:basedOn w:val="Fuentedeprrafopredeter"/>
    <w:uiPriority w:val="20"/>
    <w:qFormat/>
    <w:rsid w:val="005D46B2"/>
    <w:rPr>
      <w:i/>
      <w:iCs/>
    </w:rPr>
  </w:style>
  <w:style w:type="paragraph" w:customStyle="1" w:styleId="j">
    <w:name w:val="j"/>
    <w:basedOn w:val="Normal"/>
    <w:rsid w:val="005D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528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52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84F"/>
    <w:rPr>
      <w:rFonts w:ascii="Times New Roman" w:eastAsia="Times New Roman" w:hAnsi="Times New Roman" w:cs="Times New Roman"/>
      <w:b/>
      <w:bCs/>
      <w:sz w:val="27"/>
      <w:szCs w:val="27"/>
      <w:lang w:eastAsia="es-MX"/>
    </w:rPr>
  </w:style>
  <w:style w:type="character" w:customStyle="1" w:styleId="normaltextrun">
    <w:name w:val="normaltextrun"/>
    <w:basedOn w:val="Fuentedeprrafopredeter"/>
    <w:rsid w:val="0005284F"/>
  </w:style>
  <w:style w:type="paragraph" w:customStyle="1" w:styleId="paragraph">
    <w:name w:val="paragraph"/>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05284F"/>
  </w:style>
  <w:style w:type="character" w:styleId="Hipervnculo">
    <w:name w:val="Hyperlink"/>
    <w:basedOn w:val="Fuentedeprrafopredeter"/>
    <w:uiPriority w:val="99"/>
    <w:unhideWhenUsed/>
    <w:rsid w:val="0005284F"/>
    <w:rPr>
      <w:color w:val="0563C1" w:themeColor="hyperlink"/>
      <w:u w:val="single"/>
    </w:rPr>
  </w:style>
  <w:style w:type="paragraph" w:styleId="NormalWeb">
    <w:name w:val="Normal (Web)"/>
    <w:basedOn w:val="Normal"/>
    <w:uiPriority w:val="99"/>
    <w:unhideWhenUsed/>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rubro">
    <w:name w:val="titulorubro"/>
    <w:basedOn w:val="Fuentedeprrafopredeter"/>
    <w:rsid w:val="0005284F"/>
  </w:style>
  <w:style w:type="paragraph" w:styleId="Textoindependiente">
    <w:name w:val="Body Text"/>
    <w:basedOn w:val="Normal"/>
    <w:link w:val="TextoindependienteCar"/>
    <w:uiPriority w:val="99"/>
    <w:qFormat/>
    <w:rsid w:val="0005284F"/>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99"/>
    <w:rsid w:val="0005284F"/>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05284F"/>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05284F"/>
    <w:rPr>
      <w:rFonts w:ascii="Segoe UI" w:eastAsia="Times New Roman" w:hAnsi="Segoe UI" w:cs="Segoe UI"/>
      <w:sz w:val="18"/>
      <w:szCs w:val="18"/>
      <w:lang w:val="es-ES" w:eastAsia="es-ES"/>
    </w:rPr>
  </w:style>
  <w:style w:type="paragraph" w:customStyle="1" w:styleId="Pa1">
    <w:name w:val="Pa1"/>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05284F"/>
    <w:pPr>
      <w:spacing w:after="0" w:line="240" w:lineRule="auto"/>
    </w:pPr>
  </w:style>
  <w:style w:type="character" w:customStyle="1" w:styleId="SinespaciadoCar">
    <w:name w:val="Sin espaciado Car"/>
    <w:aliases w:val="Francesa Car,INAI Car"/>
    <w:link w:val="Sinespaciado"/>
    <w:uiPriority w:val="1"/>
    <w:locked/>
    <w:rsid w:val="0005284F"/>
  </w:style>
  <w:style w:type="table" w:styleId="Tabladelista1clara-nfasis1">
    <w:name w:val="List Table 1 Light Accent 1"/>
    <w:basedOn w:val="Tablanormal"/>
    <w:uiPriority w:val="46"/>
    <w:rsid w:val="0005284F"/>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05284F"/>
  </w:style>
  <w:style w:type="character" w:styleId="Textoennegrita">
    <w:name w:val="Strong"/>
    <w:uiPriority w:val="22"/>
    <w:qFormat/>
    <w:rsid w:val="0005284F"/>
    <w:rPr>
      <w:b/>
      <w:bCs/>
    </w:rPr>
  </w:style>
  <w:style w:type="paragraph" w:customStyle="1" w:styleId="Texto">
    <w:name w:val="Texto"/>
    <w:basedOn w:val="Normal"/>
    <w:link w:val="TextoCar"/>
    <w:qFormat/>
    <w:rsid w:val="0005284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05284F"/>
    <w:rPr>
      <w:rFonts w:ascii="Arial" w:eastAsia="Times New Roman" w:hAnsi="Arial" w:cs="Arial"/>
      <w:sz w:val="18"/>
      <w:szCs w:val="18"/>
      <w:lang w:eastAsia="es-ES"/>
    </w:rPr>
  </w:style>
  <w:style w:type="paragraph" w:styleId="Textosinformato">
    <w:name w:val="Plain Text"/>
    <w:basedOn w:val="Normal"/>
    <w:link w:val="TextosinformatoCar"/>
    <w:rsid w:val="000528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84F"/>
    <w:rPr>
      <w:rFonts w:ascii="Courier New" w:eastAsia="Times New Roman" w:hAnsi="Courier New" w:cs="Times New Roman"/>
      <w:sz w:val="20"/>
      <w:szCs w:val="20"/>
      <w:lang w:val="es-ES" w:eastAsia="es-ES"/>
    </w:rPr>
  </w:style>
  <w:style w:type="paragraph" w:customStyle="1" w:styleId="Default">
    <w:name w:val="Default"/>
    <w:rsid w:val="0005284F"/>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05284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fa">
    <w:name w:val="Bibliography"/>
    <w:basedOn w:val="Normal"/>
    <w:next w:val="Normal"/>
    <w:uiPriority w:val="37"/>
    <w:semiHidden/>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nacep">
    <w:name w:val="n_acep"/>
    <w:basedOn w:val="Fuentedeprrafopredeter"/>
    <w:rsid w:val="0005284F"/>
  </w:style>
  <w:style w:type="character" w:customStyle="1" w:styleId="m2871584667633129156gmail-apple-converted-space">
    <w:name w:val="m_2871584667633129156gmail-apple-converted-space"/>
    <w:basedOn w:val="Fuentedeprrafopredeter"/>
    <w:rsid w:val="0005284F"/>
  </w:style>
  <w:style w:type="character" w:customStyle="1" w:styleId="m2871584667633129156gmail-msofootnotereference">
    <w:name w:val="m_2871584667633129156gmail-msofootnotereference"/>
    <w:basedOn w:val="Fuentedeprrafopredeter"/>
    <w:rsid w:val="0005284F"/>
  </w:style>
  <w:style w:type="paragraph" w:customStyle="1" w:styleId="m2871584667633129156gmail-msofootnotetext">
    <w:name w:val="m_287158466763312915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unhideWhenUsed/>
    <w:rsid w:val="0005284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5284F"/>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05284F"/>
    <w:rPr>
      <w:color w:val="954F72" w:themeColor="followedHyperlink"/>
      <w:u w:val="single"/>
    </w:rPr>
  </w:style>
  <w:style w:type="paragraph" w:styleId="Lista">
    <w:name w:val="List"/>
    <w:basedOn w:val="Normal"/>
    <w:uiPriority w:val="99"/>
    <w:unhideWhenUsed/>
    <w:rsid w:val="0005284F"/>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5284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05284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5284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5284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528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84F"/>
    <w:rPr>
      <w:rFonts w:ascii="Times New Roman" w:eastAsia="Times New Roman" w:hAnsi="Times New Roman" w:cs="Times New Roman"/>
      <w:sz w:val="24"/>
      <w:szCs w:val="24"/>
      <w:lang w:val="es-ES" w:eastAsia="es-ES"/>
    </w:rPr>
  </w:style>
  <w:style w:type="character" w:customStyle="1" w:styleId="u">
    <w:name w:val="u"/>
    <w:basedOn w:val="Fuentedeprrafopredeter"/>
    <w:rsid w:val="0005284F"/>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05284F"/>
    <w:rPr>
      <w:sz w:val="20"/>
      <w:szCs w:val="20"/>
    </w:rPr>
  </w:style>
  <w:style w:type="paragraph" w:customStyle="1" w:styleId="rtejustify">
    <w:name w:val="rtejustify"/>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
    <w:name w:val="j1"/>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05284F"/>
  </w:style>
  <w:style w:type="character" w:customStyle="1" w:styleId="m-7180717751901043621gmail-msofootnotereference">
    <w:name w:val="m_-7180717751901043621gmail-msofootnotereference"/>
    <w:basedOn w:val="Fuentedeprrafopredeter"/>
    <w:rsid w:val="0005284F"/>
  </w:style>
  <w:style w:type="character" w:customStyle="1" w:styleId="m-3579365149168697376gmail-msofootnotereference">
    <w:name w:val="m_-3579365149168697376gmail-msofootnotereference"/>
    <w:basedOn w:val="Fuentedeprrafopredeter"/>
    <w:rsid w:val="0005284F"/>
  </w:style>
  <w:style w:type="paragraph" w:customStyle="1" w:styleId="m-3579365149168697376gmail-msofootnotetext">
    <w:name w:val="m_-357936514916869737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Fuentedeprrafopredeter"/>
    <w:rsid w:val="0005284F"/>
  </w:style>
  <w:style w:type="character" w:customStyle="1" w:styleId="apple-style-span">
    <w:name w:val="apple-style-span"/>
    <w:rsid w:val="0005284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5">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6">
    <w:basedOn w:val="TableNormal2"/>
    <w:pPr>
      <w:spacing w:after="0" w:line="240" w:lineRule="auto"/>
    </w:pPr>
    <w:rPr>
      <w:sz w:val="24"/>
      <w:szCs w:val="24"/>
    </w:rPr>
    <w:tblPr>
      <w:tblStyleRowBandSize w:val="1"/>
      <w:tblStyleColBandSize w:val="1"/>
      <w:tblCellMar>
        <w:left w:w="70" w:type="dxa"/>
        <w:right w:w="70" w:type="dxa"/>
      </w:tblCellMar>
    </w:tblPr>
  </w:style>
  <w:style w:type="character" w:customStyle="1" w:styleId="nc684nl6">
    <w:name w:val="nc684nl6"/>
    <w:basedOn w:val="Fuentedeprrafopredeter"/>
    <w:rsid w:val="00832051"/>
  </w:style>
  <w:style w:type="table" w:customStyle="1" w:styleId="a7">
    <w:basedOn w:val="TableNormal1"/>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8">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9">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a">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b">
    <w:basedOn w:val="TableNormal0"/>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c">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d">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e">
    <w:basedOn w:val="TableNormal0"/>
    <w:pPr>
      <w:spacing w:after="0" w:line="240" w:lineRule="auto"/>
    </w:pPr>
    <w:rPr>
      <w:sz w:val="24"/>
      <w:szCs w:val="24"/>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hyperlink" Target="about:blank" TargetMode="External"/><Relationship Id="rId21" Type="http://schemas.openxmlformats.org/officeDocument/2006/relationships/hyperlink" Target="https://www.saimex.org.mx/saimex/solicitud/downloadAttach/1404878.page"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aimex.org.mx/saimex/solicitud/downloadAttach/1314442.page"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7.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facebook.com/FernandoFloresMetepec/?__tn__=-UC" TargetMode="External"/><Relationship Id="rId28" Type="http://schemas.openxmlformats.org/officeDocument/2006/relationships/hyperlink" Target="https://www.facebook.com/FernandoFloresMetepec/?__tn__=-U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saimex.org.mx/saimex/solicitud/downloadAttach/1331488.pag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www.facebook.com/FernandoFloresMetepec/posts/659470552160364" TargetMode="External"/><Relationship Id="rId27" Type="http://schemas.openxmlformats.org/officeDocument/2006/relationships/hyperlink" Target="https://www.facebook.com/FernandoFloresMetepec/?__tn__=-UC" TargetMode="External"/><Relationship Id="rId30" Type="http://schemas.openxmlformats.org/officeDocument/2006/relationships/footer" Target="foot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OMX3pmPkjlcFty0is9irGdL8ag==">AMUW2mVkKveLRlqlhUs+7plcQONZCYxKdc42GBuTMFVksbt53VDqZ1SkK0qkE2GWwWi4SkMzpmiR5fsOT7hslxLWfcM2VB9w/NR7Xu9S9YH+he3xIBvLoT6RIxbC6JFH+76GLvdTN9Li4F5srXHFenw7/ElY2lxfGE6HrcnLQSA6QT+MpsyzVF+lAuHPJWYu1ZfmjZtsHARV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9604</Words>
  <Characters>54743</Characters>
  <Application>Microsoft Office Word</Application>
  <DocSecurity>0</DocSecurity>
  <Lines>456</Lines>
  <Paragraphs>128</Paragraphs>
  <ScaleCrop>false</ScaleCrop>
  <Company/>
  <LinksUpToDate>false</LinksUpToDate>
  <CharactersWithSpaces>64219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NAJERA </cp:lastModifiedBy>
  <cp:revision>2</cp:revision>
  <dcterms:created xsi:type="dcterms:W3CDTF">2022-05-26T04:40:00Z</dcterms:created>
  <dcterms:modified xsi:type="dcterms:W3CDTF">2022-06-02T00:10:00Z</dcterms:modified>
</cp:coreProperties>
</file>