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D1A73" w14:textId="77777777" w:rsidR="00587B33" w:rsidRDefault="00587B33">
      <w:pPr>
        <w:widowControl w:val="0"/>
        <w:pBdr>
          <w:top w:val="nil"/>
          <w:left w:val="nil"/>
          <w:bottom w:val="nil"/>
          <w:right w:val="nil"/>
          <w:between w:val="nil"/>
        </w:pBdr>
        <w:spacing w:line="276" w:lineRule="auto"/>
      </w:pPr>
    </w:p>
    <w:p w14:paraId="1E6C6B25" w14:textId="77777777" w:rsidR="00587B33" w:rsidRDefault="00587B33">
      <w:pPr>
        <w:widowControl w:val="0"/>
        <w:pBdr>
          <w:top w:val="nil"/>
          <w:left w:val="nil"/>
          <w:bottom w:val="nil"/>
          <w:right w:val="nil"/>
          <w:between w:val="nil"/>
        </w:pBdr>
        <w:spacing w:line="276" w:lineRule="auto"/>
      </w:pPr>
    </w:p>
    <w:p w14:paraId="40573B37" w14:textId="77777777" w:rsidR="00587B33" w:rsidRDefault="00587B33">
      <w:pPr>
        <w:widowControl w:val="0"/>
        <w:pBdr>
          <w:top w:val="nil"/>
          <w:left w:val="nil"/>
          <w:bottom w:val="nil"/>
          <w:right w:val="nil"/>
          <w:between w:val="nil"/>
        </w:pBdr>
        <w:spacing w:line="276" w:lineRule="auto"/>
      </w:pPr>
    </w:p>
    <w:p w14:paraId="6D877F79" w14:textId="77777777" w:rsidR="00587B33" w:rsidRDefault="003C2B49">
      <w:pPr>
        <w:spacing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celebrada el treinta y uno de agosto de dos mil veintidós.</w:t>
      </w:r>
    </w:p>
    <w:p w14:paraId="023244A4"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VISTOS</w:t>
      </w:r>
      <w:r>
        <w:rPr>
          <w:rFonts w:ascii="Palatino Linotype" w:eastAsia="Palatino Linotype" w:hAnsi="Palatino Linotype" w:cs="Palatino Linotype"/>
        </w:rPr>
        <w:t xml:space="preserve"> los expedientes formados con motivo de los Recursos de Revisión número </w:t>
      </w:r>
      <w:r>
        <w:rPr>
          <w:rFonts w:ascii="Palatino Linotype" w:eastAsia="Palatino Linotype" w:hAnsi="Palatino Linotype" w:cs="Palatino Linotype"/>
          <w:b/>
        </w:rPr>
        <w:t xml:space="preserve">06327/INFOEM/IP/RR/2022, 06328/INFOEM/IP/RR/2022, 06329/INFOEM/IP/RR/2022 y 06330/INFOEM/IP/RR/2022 </w:t>
      </w:r>
      <w:r>
        <w:rPr>
          <w:rFonts w:ascii="Palatino Linotype" w:eastAsia="Palatino Linotype" w:hAnsi="Palatino Linotype" w:cs="Palatino Linotype"/>
        </w:rPr>
        <w:t>promovidos por un particular de forma anónima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 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las respuestas del </w:t>
      </w:r>
      <w:r>
        <w:rPr>
          <w:rFonts w:ascii="Palatino Linotype" w:eastAsia="Palatino Linotype" w:hAnsi="Palatino Linotype" w:cs="Palatino Linotype"/>
          <w:b/>
        </w:rPr>
        <w:t xml:space="preserve">Ayuntamiento de Texcoco, </w:t>
      </w:r>
      <w:r>
        <w:rPr>
          <w:rFonts w:ascii="Palatino Linotype" w:eastAsia="Palatino Linotype" w:hAnsi="Palatino Linotype" w:cs="Palatino Linotype"/>
        </w:rPr>
        <w:t xml:space="preserve">al cual 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5D7FE878" w14:textId="77777777" w:rsidR="00587B33" w:rsidRDefault="00587B33">
      <w:pPr>
        <w:spacing w:line="360" w:lineRule="auto"/>
        <w:jc w:val="both"/>
        <w:rPr>
          <w:rFonts w:ascii="Palatino Linotype" w:eastAsia="Palatino Linotype" w:hAnsi="Palatino Linotype" w:cs="Palatino Linotype"/>
        </w:rPr>
      </w:pPr>
    </w:p>
    <w:p w14:paraId="0F0639D6" w14:textId="77777777" w:rsidR="00587B33" w:rsidRDefault="003C2B49">
      <w:pP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sz w:val="28"/>
          <w:szCs w:val="28"/>
        </w:rPr>
        <w:t>A N T E C E D E N T E S</w:t>
      </w:r>
    </w:p>
    <w:p w14:paraId="7CE582FB" w14:textId="77777777" w:rsidR="00587B33" w:rsidRDefault="00587B33">
      <w:pPr>
        <w:rPr>
          <w:rFonts w:ascii="Palatino Linotype" w:eastAsia="Palatino Linotype" w:hAnsi="Palatino Linotype" w:cs="Palatino Linotype"/>
          <w:b/>
        </w:rPr>
      </w:pPr>
    </w:p>
    <w:p w14:paraId="0BDED8E3" w14:textId="77777777" w:rsidR="00587B33" w:rsidRDefault="003C2B49">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14:paraId="7F33401F" w14:textId="77777777" w:rsidR="00587B33" w:rsidRDefault="003C2B49">
      <w:pPr>
        <w:spacing w:line="360" w:lineRule="auto"/>
        <w:jc w:val="both"/>
        <w:rPr>
          <w:rFonts w:ascii="Palatino Linotype" w:eastAsia="Palatino Linotype" w:hAnsi="Palatino Linotype" w:cs="Palatino Linotype"/>
        </w:rPr>
      </w:pPr>
      <w:bookmarkStart w:id="1" w:name="_heading=h.eccwy3be8vjo" w:colFirst="0" w:colLast="0"/>
      <w:bookmarkEnd w:id="1"/>
      <w:r>
        <w:rPr>
          <w:rFonts w:ascii="Palatino Linotype" w:eastAsia="Palatino Linotype" w:hAnsi="Palatino Linotype" w:cs="Palatino Linotype"/>
        </w:rPr>
        <w:t xml:space="preserve">El </w:t>
      </w:r>
      <w:r>
        <w:rPr>
          <w:rFonts w:ascii="Palatino Linotype" w:eastAsia="Palatino Linotype" w:hAnsi="Palatino Linotype" w:cs="Palatino Linotype"/>
          <w:b/>
        </w:rPr>
        <w:t>veinticuatro de marzo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las solicitudes de Acceso a la Información Pública, a las cuales se le asignaron los números de expediente </w:t>
      </w:r>
      <w:r>
        <w:rPr>
          <w:rFonts w:ascii="Palatino Linotype" w:eastAsia="Palatino Linotype" w:hAnsi="Palatino Linotype" w:cs="Palatino Linotype"/>
          <w:b/>
        </w:rPr>
        <w:t xml:space="preserve">00165/TEXCOCO/IP/2022, </w:t>
      </w:r>
      <w:r>
        <w:rPr>
          <w:rFonts w:ascii="Palatino Linotype" w:eastAsia="Palatino Linotype" w:hAnsi="Palatino Linotype" w:cs="Palatino Linotype"/>
          <w:b/>
        </w:rPr>
        <w:lastRenderedPageBreak/>
        <w:t xml:space="preserve">00166/TEXCOCO/IP/2022, 00167/TEXCOCO/IP/2022 y 00168/TEXCOCO/IP/2022, </w:t>
      </w:r>
      <w:r>
        <w:rPr>
          <w:rFonts w:ascii="Palatino Linotype" w:eastAsia="Palatino Linotype" w:hAnsi="Palatino Linotype" w:cs="Palatino Linotype"/>
        </w:rPr>
        <w:t>mediante las cuales el particular requirió, lo siguiente:</w:t>
      </w:r>
    </w:p>
    <w:p w14:paraId="6C2FE649" w14:textId="77777777" w:rsidR="00587B33" w:rsidRDefault="00587B33">
      <w:pPr>
        <w:spacing w:line="360" w:lineRule="auto"/>
        <w:jc w:val="both"/>
        <w:rPr>
          <w:rFonts w:ascii="Palatino Linotype" w:eastAsia="Palatino Linotype" w:hAnsi="Palatino Linotype" w:cs="Palatino Linotype"/>
        </w:rPr>
      </w:pPr>
      <w:bookmarkStart w:id="2" w:name="_heading=h.ck4h1jecfd32" w:colFirst="0" w:colLast="0"/>
      <w:bookmarkEnd w:id="2"/>
    </w:p>
    <w:tbl>
      <w:tblPr>
        <w:tblStyle w:val="afffffff"/>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640"/>
      </w:tblGrid>
      <w:tr w:rsidR="00587B33" w14:paraId="144DD4CF" w14:textId="77777777">
        <w:tc>
          <w:tcPr>
            <w:tcW w:w="3465" w:type="dxa"/>
            <w:shd w:val="clear" w:color="auto" w:fill="auto"/>
            <w:tcMar>
              <w:top w:w="100" w:type="dxa"/>
              <w:left w:w="100" w:type="dxa"/>
              <w:bottom w:w="100" w:type="dxa"/>
              <w:right w:w="100" w:type="dxa"/>
            </w:tcMar>
          </w:tcPr>
          <w:p w14:paraId="04A276A2" w14:textId="77777777" w:rsidR="00587B33" w:rsidRDefault="003C2B49">
            <w:pPr>
              <w:widowControl w:val="0"/>
              <w:pBdr>
                <w:top w:val="nil"/>
                <w:left w:val="nil"/>
                <w:bottom w:val="nil"/>
                <w:right w:val="nil"/>
                <w:between w:val="nil"/>
              </w:pBdr>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Número de Folio de la Solicitud</w:t>
            </w:r>
          </w:p>
        </w:tc>
        <w:tc>
          <w:tcPr>
            <w:tcW w:w="5640" w:type="dxa"/>
            <w:shd w:val="clear" w:color="auto" w:fill="auto"/>
            <w:tcMar>
              <w:top w:w="100" w:type="dxa"/>
              <w:left w:w="100" w:type="dxa"/>
              <w:bottom w:w="100" w:type="dxa"/>
              <w:right w:w="100" w:type="dxa"/>
            </w:tcMar>
          </w:tcPr>
          <w:p w14:paraId="67ADDEEB" w14:textId="77777777" w:rsidR="00587B33" w:rsidRDefault="003C2B49">
            <w:pPr>
              <w:widowControl w:val="0"/>
              <w:pBdr>
                <w:top w:val="nil"/>
                <w:left w:val="nil"/>
                <w:bottom w:val="nil"/>
                <w:right w:val="nil"/>
                <w:between w:val="nil"/>
              </w:pBdr>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Solicitud </w:t>
            </w:r>
          </w:p>
        </w:tc>
      </w:tr>
      <w:tr w:rsidR="00587B33" w14:paraId="1315BFC0" w14:textId="77777777">
        <w:tc>
          <w:tcPr>
            <w:tcW w:w="3465" w:type="dxa"/>
            <w:shd w:val="clear" w:color="auto" w:fill="auto"/>
            <w:tcMar>
              <w:top w:w="100" w:type="dxa"/>
              <w:left w:w="100" w:type="dxa"/>
              <w:bottom w:w="100" w:type="dxa"/>
              <w:right w:w="100" w:type="dxa"/>
            </w:tcMar>
          </w:tcPr>
          <w:p w14:paraId="08E9D136" w14:textId="77777777" w:rsidR="00587B33" w:rsidRDefault="003C2B49">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sz w:val="24"/>
                <w:szCs w:val="24"/>
              </w:rPr>
              <w:t>00165/TEXCOCO/IP/2022</w:t>
            </w:r>
          </w:p>
        </w:tc>
        <w:tc>
          <w:tcPr>
            <w:tcW w:w="5640" w:type="dxa"/>
            <w:shd w:val="clear" w:color="auto" w:fill="auto"/>
            <w:tcMar>
              <w:top w:w="100" w:type="dxa"/>
              <w:left w:w="100" w:type="dxa"/>
              <w:bottom w:w="100" w:type="dxa"/>
              <w:right w:w="100" w:type="dxa"/>
            </w:tcMar>
          </w:tcPr>
          <w:p w14:paraId="0D0BA716" w14:textId="77777777" w:rsidR="00587B33" w:rsidRDefault="003C2B49">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“Requiero los recibos de nómina desde la presidenta, regidores, directores, titulares y de todo el personal a su cargo de cada área de enero 2019 hasta marzo 2019.” (Sic)</w:t>
            </w:r>
          </w:p>
        </w:tc>
      </w:tr>
      <w:tr w:rsidR="00587B33" w14:paraId="6C584987" w14:textId="77777777">
        <w:tc>
          <w:tcPr>
            <w:tcW w:w="3465" w:type="dxa"/>
            <w:shd w:val="clear" w:color="auto" w:fill="auto"/>
            <w:tcMar>
              <w:top w:w="100" w:type="dxa"/>
              <w:left w:w="100" w:type="dxa"/>
              <w:bottom w:w="100" w:type="dxa"/>
              <w:right w:w="100" w:type="dxa"/>
            </w:tcMar>
          </w:tcPr>
          <w:p w14:paraId="4469EA89" w14:textId="77777777" w:rsidR="00587B33" w:rsidRDefault="003C2B49">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00166/TEXCOCO/IP/2022</w:t>
            </w:r>
          </w:p>
        </w:tc>
        <w:tc>
          <w:tcPr>
            <w:tcW w:w="5640" w:type="dxa"/>
            <w:shd w:val="clear" w:color="auto" w:fill="auto"/>
            <w:tcMar>
              <w:top w:w="100" w:type="dxa"/>
              <w:left w:w="100" w:type="dxa"/>
              <w:bottom w:w="100" w:type="dxa"/>
              <w:right w:w="100" w:type="dxa"/>
            </w:tcMar>
          </w:tcPr>
          <w:p w14:paraId="2E57760B" w14:textId="77777777" w:rsidR="00587B33" w:rsidRDefault="003C2B49">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“Requiero los recibos de nómina desde la presidenta, regidores, directores, titulares y de todo el personal a su cargo de cada área de abril 2019 hasta junio 2019.” (Sic)</w:t>
            </w:r>
          </w:p>
        </w:tc>
      </w:tr>
      <w:tr w:rsidR="00587B33" w14:paraId="5ED239B3" w14:textId="77777777">
        <w:tc>
          <w:tcPr>
            <w:tcW w:w="3465" w:type="dxa"/>
            <w:shd w:val="clear" w:color="auto" w:fill="auto"/>
            <w:tcMar>
              <w:top w:w="100" w:type="dxa"/>
              <w:left w:w="100" w:type="dxa"/>
              <w:bottom w:w="100" w:type="dxa"/>
              <w:right w:w="100" w:type="dxa"/>
            </w:tcMar>
          </w:tcPr>
          <w:p w14:paraId="1209AF77" w14:textId="77777777" w:rsidR="00587B33" w:rsidRDefault="003C2B49">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00167/TEXCOCO/IP/2022</w:t>
            </w:r>
          </w:p>
        </w:tc>
        <w:tc>
          <w:tcPr>
            <w:tcW w:w="5640" w:type="dxa"/>
            <w:shd w:val="clear" w:color="auto" w:fill="auto"/>
            <w:tcMar>
              <w:top w:w="100" w:type="dxa"/>
              <w:left w:w="100" w:type="dxa"/>
              <w:bottom w:w="100" w:type="dxa"/>
              <w:right w:w="100" w:type="dxa"/>
            </w:tcMar>
          </w:tcPr>
          <w:p w14:paraId="189D1F9B" w14:textId="77777777" w:rsidR="00587B33" w:rsidRDefault="003C2B49">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“Requiero los recibos de nómina desde la presidenta, regidores, directores, titulares y de todo el personal a su cargo de cada área de julio 2019 hasta septiembre 2019.” (Sic)</w:t>
            </w:r>
          </w:p>
        </w:tc>
      </w:tr>
      <w:tr w:rsidR="00587B33" w14:paraId="10897FA9" w14:textId="77777777">
        <w:tc>
          <w:tcPr>
            <w:tcW w:w="3465" w:type="dxa"/>
            <w:shd w:val="clear" w:color="auto" w:fill="auto"/>
            <w:tcMar>
              <w:top w:w="100" w:type="dxa"/>
              <w:left w:w="100" w:type="dxa"/>
              <w:bottom w:w="100" w:type="dxa"/>
              <w:right w:w="100" w:type="dxa"/>
            </w:tcMar>
          </w:tcPr>
          <w:p w14:paraId="41FC714D" w14:textId="77777777" w:rsidR="00587B33" w:rsidRDefault="003C2B49">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00168/TEXCOCO/IP/2022</w:t>
            </w:r>
          </w:p>
        </w:tc>
        <w:tc>
          <w:tcPr>
            <w:tcW w:w="5640" w:type="dxa"/>
            <w:shd w:val="clear" w:color="auto" w:fill="auto"/>
            <w:tcMar>
              <w:top w:w="100" w:type="dxa"/>
              <w:left w:w="100" w:type="dxa"/>
              <w:bottom w:w="100" w:type="dxa"/>
              <w:right w:w="100" w:type="dxa"/>
            </w:tcMar>
          </w:tcPr>
          <w:p w14:paraId="0C9378AF" w14:textId="77777777" w:rsidR="00587B33" w:rsidRDefault="003C2B49">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“Requiero los recibos de nómina desde la presidenta, regidores, directores, titulares y de todo el personal a su cargo de cada área de octubre 2019 hasta diciembre </w:t>
            </w:r>
            <w:proofErr w:type="gramStart"/>
            <w:r>
              <w:rPr>
                <w:rFonts w:ascii="Palatino Linotype" w:eastAsia="Palatino Linotype" w:hAnsi="Palatino Linotype" w:cs="Palatino Linotype"/>
                <w:i/>
                <w:sz w:val="20"/>
                <w:szCs w:val="20"/>
              </w:rPr>
              <w:t>2019 .</w:t>
            </w:r>
            <w:proofErr w:type="gramEnd"/>
            <w:r>
              <w:rPr>
                <w:rFonts w:ascii="Palatino Linotype" w:eastAsia="Palatino Linotype" w:hAnsi="Palatino Linotype" w:cs="Palatino Linotype"/>
                <w:i/>
                <w:sz w:val="20"/>
                <w:szCs w:val="20"/>
              </w:rPr>
              <w:t>” (Sic)</w:t>
            </w:r>
          </w:p>
        </w:tc>
      </w:tr>
    </w:tbl>
    <w:p w14:paraId="05F31EB6" w14:textId="77777777" w:rsidR="00587B33" w:rsidRDefault="00587B33">
      <w:pPr>
        <w:ind w:right="899"/>
        <w:jc w:val="both"/>
        <w:rPr>
          <w:rFonts w:ascii="Palatino Linotype" w:eastAsia="Palatino Linotype" w:hAnsi="Palatino Linotype" w:cs="Palatino Linotype"/>
          <w:sz w:val="22"/>
          <w:szCs w:val="22"/>
        </w:rPr>
      </w:pPr>
    </w:p>
    <w:p w14:paraId="5AEDD4F4" w14:textId="77777777" w:rsidR="00587B33" w:rsidRDefault="003C2B49">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 xml:space="preserve">SAIMEX </w:t>
      </w:r>
    </w:p>
    <w:p w14:paraId="710F6E41" w14:textId="77777777" w:rsidR="00587B33" w:rsidRDefault="00587B33">
      <w:pPr>
        <w:widowControl w:val="0"/>
        <w:spacing w:line="360" w:lineRule="auto"/>
        <w:jc w:val="both"/>
        <w:rPr>
          <w:rFonts w:ascii="Palatino Linotype" w:eastAsia="Palatino Linotype" w:hAnsi="Palatino Linotype" w:cs="Palatino Linotype"/>
          <w:b/>
        </w:rPr>
      </w:pPr>
    </w:p>
    <w:p w14:paraId="780596BE" w14:textId="77777777" w:rsidR="00587B33" w:rsidRDefault="003C2B4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 Turno de requerimiento del Sujeto Obligado</w:t>
      </w:r>
    </w:p>
    <w:p w14:paraId="0974DCDB"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los expedientes electrónicos del SAIMEX se advierte en fecha veinticinco de marzo, la Titular de la Unidad de Transparencia turnó a los servidores públicos habilitados que estimó competentes, en términos de lo establecido por el artículo 162 de la Ley de Transparencia y Acceso a la Información Pública del Estado de México y Municipios. </w:t>
      </w:r>
    </w:p>
    <w:p w14:paraId="63496B57" w14:textId="77777777" w:rsidR="00587B33" w:rsidRDefault="00587B33">
      <w:pPr>
        <w:spacing w:line="360" w:lineRule="auto"/>
        <w:jc w:val="both"/>
        <w:rPr>
          <w:rFonts w:ascii="Palatino Linotype" w:eastAsia="Palatino Linotype" w:hAnsi="Palatino Linotype" w:cs="Palatino Linotype"/>
        </w:rPr>
      </w:pPr>
    </w:p>
    <w:p w14:paraId="12A7C1C6" w14:textId="77777777" w:rsidR="00587B33" w:rsidRDefault="003C2B49">
      <w:pPr>
        <w:widowControl w:val="0"/>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III. Respuesta del Sujeto Obligado</w:t>
      </w:r>
    </w:p>
    <w:p w14:paraId="48C18240" w14:textId="77777777" w:rsidR="00587B33" w:rsidRDefault="003C2B49">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Pr>
          <w:rFonts w:ascii="Palatino Linotype" w:eastAsia="Palatino Linotype" w:hAnsi="Palatino Linotype" w:cs="Palatino Linotype"/>
          <w:b/>
        </w:rPr>
        <w:t>dieciocho de abril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las solicitudes de información en el tenor siguiente: </w:t>
      </w:r>
    </w:p>
    <w:tbl>
      <w:tblPr>
        <w:tblStyle w:val="afffffff0"/>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5625"/>
      </w:tblGrid>
      <w:tr w:rsidR="00587B33" w14:paraId="561E5972" w14:textId="77777777">
        <w:tc>
          <w:tcPr>
            <w:tcW w:w="3480" w:type="dxa"/>
            <w:shd w:val="clear" w:color="auto" w:fill="auto"/>
            <w:tcMar>
              <w:top w:w="100" w:type="dxa"/>
              <w:left w:w="100" w:type="dxa"/>
              <w:bottom w:w="100" w:type="dxa"/>
              <w:right w:w="100" w:type="dxa"/>
            </w:tcMar>
          </w:tcPr>
          <w:p w14:paraId="42AEA95E" w14:textId="77777777" w:rsidR="00587B33" w:rsidRDefault="003C2B49">
            <w:pPr>
              <w:widowControl w:val="0"/>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Número de Folio de la Solicitud</w:t>
            </w:r>
          </w:p>
        </w:tc>
        <w:tc>
          <w:tcPr>
            <w:tcW w:w="5625" w:type="dxa"/>
            <w:shd w:val="clear" w:color="auto" w:fill="auto"/>
            <w:tcMar>
              <w:top w:w="100" w:type="dxa"/>
              <w:left w:w="100" w:type="dxa"/>
              <w:bottom w:w="100" w:type="dxa"/>
              <w:right w:w="100" w:type="dxa"/>
            </w:tcMar>
          </w:tcPr>
          <w:p w14:paraId="41A44601" w14:textId="77777777" w:rsidR="00587B33" w:rsidRDefault="003C2B49">
            <w:pPr>
              <w:widowControl w:val="0"/>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Respuesta </w:t>
            </w:r>
          </w:p>
        </w:tc>
      </w:tr>
      <w:tr w:rsidR="00587B33" w14:paraId="41FA29F0" w14:textId="77777777">
        <w:trPr>
          <w:trHeight w:val="825"/>
        </w:trPr>
        <w:tc>
          <w:tcPr>
            <w:tcW w:w="3480" w:type="dxa"/>
            <w:shd w:val="clear" w:color="auto" w:fill="auto"/>
            <w:tcMar>
              <w:top w:w="100" w:type="dxa"/>
              <w:left w:w="100" w:type="dxa"/>
              <w:bottom w:w="100" w:type="dxa"/>
              <w:right w:w="100" w:type="dxa"/>
            </w:tcMar>
          </w:tcPr>
          <w:p w14:paraId="655A5662" w14:textId="77777777" w:rsidR="00587B33" w:rsidRDefault="003C2B49">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sz w:val="24"/>
                <w:szCs w:val="24"/>
              </w:rPr>
              <w:t>00165/TEXCOCO/IP/2022</w:t>
            </w:r>
          </w:p>
        </w:tc>
        <w:tc>
          <w:tcPr>
            <w:tcW w:w="5625" w:type="dxa"/>
            <w:shd w:val="clear" w:color="auto" w:fill="auto"/>
            <w:tcMar>
              <w:top w:w="100" w:type="dxa"/>
              <w:left w:w="100" w:type="dxa"/>
              <w:bottom w:w="100" w:type="dxa"/>
              <w:right w:w="100" w:type="dxa"/>
            </w:tcMar>
          </w:tcPr>
          <w:p w14:paraId="55B0E3FD" w14:textId="77777777" w:rsidR="00587B33" w:rsidRDefault="003C2B49">
            <w:pPr>
              <w:widowControl w:val="0"/>
              <w:spacing w:line="276"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Documento denominado </w:t>
            </w:r>
            <w:r>
              <w:rPr>
                <w:rFonts w:ascii="Palatino Linotype" w:eastAsia="Palatino Linotype" w:hAnsi="Palatino Linotype" w:cs="Palatino Linotype"/>
                <w:i/>
              </w:rPr>
              <w:t>RESPUESTA SOLICITUD 165-2022.pdf</w:t>
            </w:r>
            <w:r>
              <w:rPr>
                <w:rFonts w:ascii="Palatino Linotype" w:eastAsia="Palatino Linotype" w:hAnsi="Palatino Linotype" w:cs="Palatino Linotype"/>
              </w:rPr>
              <w:t>: donde el Titular de la Unidad de Transparencia señala que “</w:t>
            </w:r>
            <w:r>
              <w:rPr>
                <w:rFonts w:ascii="Palatino Linotype" w:eastAsia="Palatino Linotype" w:hAnsi="Palatino Linotype" w:cs="Palatino Linotype"/>
                <w:i/>
              </w:rPr>
              <w:t>La información requerida sobre pasa las 6000 (seis mil) hojas. Por lo que no contamos con el equipo ni la capacidad humana para testar, escanear y cargar esa cantidad de información.</w:t>
            </w:r>
          </w:p>
          <w:p w14:paraId="7E273A72" w14:textId="77777777" w:rsidR="00587B33" w:rsidRDefault="003C2B49">
            <w:pPr>
              <w:widowControl w:val="0"/>
              <w:spacing w:line="276" w:lineRule="auto"/>
              <w:jc w:val="both"/>
              <w:rPr>
                <w:rFonts w:ascii="Palatino Linotype" w:eastAsia="Palatino Linotype" w:hAnsi="Palatino Linotype" w:cs="Palatino Linotype"/>
                <w:i/>
              </w:rPr>
            </w:pPr>
            <w:r>
              <w:rPr>
                <w:rFonts w:ascii="Palatino Linotype" w:eastAsia="Palatino Linotype" w:hAnsi="Palatino Linotype" w:cs="Palatino Linotype"/>
                <w:i/>
              </w:rPr>
              <w:t>Por tal motivo pedimos al Solicitante consultar la información de manera directa en el archivo que está en resguardo de esta subdirección”(Sic)</w:t>
            </w:r>
          </w:p>
        </w:tc>
      </w:tr>
      <w:tr w:rsidR="00587B33" w14:paraId="0A51ED8A" w14:textId="77777777">
        <w:tc>
          <w:tcPr>
            <w:tcW w:w="3480" w:type="dxa"/>
            <w:shd w:val="clear" w:color="auto" w:fill="auto"/>
            <w:tcMar>
              <w:top w:w="100" w:type="dxa"/>
              <w:left w:w="100" w:type="dxa"/>
              <w:bottom w:w="100" w:type="dxa"/>
              <w:right w:w="100" w:type="dxa"/>
            </w:tcMar>
          </w:tcPr>
          <w:p w14:paraId="3527C636" w14:textId="77777777" w:rsidR="00587B33" w:rsidRDefault="003C2B49">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00166/TEXCOCO/IP/2022</w:t>
            </w:r>
          </w:p>
        </w:tc>
        <w:tc>
          <w:tcPr>
            <w:tcW w:w="5625" w:type="dxa"/>
            <w:shd w:val="clear" w:color="auto" w:fill="auto"/>
            <w:tcMar>
              <w:top w:w="100" w:type="dxa"/>
              <w:left w:w="100" w:type="dxa"/>
              <w:bottom w:w="100" w:type="dxa"/>
              <w:right w:w="100" w:type="dxa"/>
            </w:tcMar>
          </w:tcPr>
          <w:p w14:paraId="51EBE048" w14:textId="77777777" w:rsidR="00587B33" w:rsidRDefault="003C2B49">
            <w:pPr>
              <w:widowControl w:val="0"/>
              <w:spacing w:line="276"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Documento denominado </w:t>
            </w:r>
            <w:r>
              <w:rPr>
                <w:rFonts w:ascii="Palatino Linotype" w:eastAsia="Palatino Linotype" w:hAnsi="Palatino Linotype" w:cs="Palatino Linotype"/>
                <w:i/>
              </w:rPr>
              <w:t>RESPUESTA SOLICITUD 166-2022.pdf</w:t>
            </w:r>
            <w:r>
              <w:rPr>
                <w:rFonts w:ascii="Palatino Linotype" w:eastAsia="Palatino Linotype" w:hAnsi="Palatino Linotype" w:cs="Palatino Linotype"/>
              </w:rPr>
              <w:t xml:space="preserve"> donde el Titular de la Unidad de Transparencia señala que “</w:t>
            </w:r>
            <w:r>
              <w:rPr>
                <w:rFonts w:ascii="Palatino Linotype" w:eastAsia="Palatino Linotype" w:hAnsi="Palatino Linotype" w:cs="Palatino Linotype"/>
                <w:i/>
              </w:rPr>
              <w:t>La información requerida sobre pasa las 6000 (seis mil) hojas. Por lo que no contamos con el equipo ni la capacidad humana para testar, escanear y cargar esa cantidad de información.</w:t>
            </w:r>
          </w:p>
          <w:p w14:paraId="6107FBC0" w14:textId="77777777" w:rsidR="00587B33" w:rsidRDefault="003C2B49">
            <w:pPr>
              <w:widowControl w:val="0"/>
              <w:spacing w:line="276" w:lineRule="auto"/>
              <w:jc w:val="both"/>
              <w:rPr>
                <w:rFonts w:ascii="Palatino Linotype" w:eastAsia="Palatino Linotype" w:hAnsi="Palatino Linotype" w:cs="Palatino Linotype"/>
                <w:i/>
              </w:rPr>
            </w:pPr>
            <w:r>
              <w:rPr>
                <w:rFonts w:ascii="Palatino Linotype" w:eastAsia="Palatino Linotype" w:hAnsi="Palatino Linotype" w:cs="Palatino Linotype"/>
                <w:i/>
              </w:rPr>
              <w:t>Por tal motivo pedimos al Solicitante consultar la información de manera directa en el archivo que está en resguardo de esta subdirección”(Sic)</w:t>
            </w:r>
          </w:p>
        </w:tc>
      </w:tr>
      <w:tr w:rsidR="00587B33" w14:paraId="6F182C5E" w14:textId="77777777">
        <w:tc>
          <w:tcPr>
            <w:tcW w:w="3480" w:type="dxa"/>
            <w:shd w:val="clear" w:color="auto" w:fill="auto"/>
            <w:tcMar>
              <w:top w:w="100" w:type="dxa"/>
              <w:left w:w="100" w:type="dxa"/>
              <w:bottom w:w="100" w:type="dxa"/>
              <w:right w:w="100" w:type="dxa"/>
            </w:tcMar>
          </w:tcPr>
          <w:p w14:paraId="0412731F" w14:textId="77777777" w:rsidR="00587B33" w:rsidRDefault="003C2B49">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00167/TEXCOCO/IP/2022</w:t>
            </w:r>
          </w:p>
        </w:tc>
        <w:tc>
          <w:tcPr>
            <w:tcW w:w="5625" w:type="dxa"/>
            <w:shd w:val="clear" w:color="auto" w:fill="auto"/>
            <w:tcMar>
              <w:top w:w="100" w:type="dxa"/>
              <w:left w:w="100" w:type="dxa"/>
              <w:bottom w:w="100" w:type="dxa"/>
              <w:right w:w="100" w:type="dxa"/>
            </w:tcMar>
          </w:tcPr>
          <w:p w14:paraId="52D71147" w14:textId="77777777" w:rsidR="00587B33" w:rsidRDefault="003C2B49">
            <w:pPr>
              <w:widowControl w:val="0"/>
              <w:spacing w:line="276"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Documento denominado </w:t>
            </w:r>
            <w:r>
              <w:rPr>
                <w:rFonts w:ascii="Palatino Linotype" w:eastAsia="Palatino Linotype" w:hAnsi="Palatino Linotype" w:cs="Palatino Linotype"/>
                <w:i/>
              </w:rPr>
              <w:t>RESPUESTA SOLICITUD 167-2022.pdf</w:t>
            </w:r>
            <w:r>
              <w:rPr>
                <w:rFonts w:ascii="Palatino Linotype" w:eastAsia="Palatino Linotype" w:hAnsi="Palatino Linotype" w:cs="Palatino Linotype"/>
              </w:rPr>
              <w:t>: donde el Titular de la Unidad de Transparencia señala que “</w:t>
            </w:r>
            <w:r>
              <w:rPr>
                <w:rFonts w:ascii="Palatino Linotype" w:eastAsia="Palatino Linotype" w:hAnsi="Palatino Linotype" w:cs="Palatino Linotype"/>
                <w:i/>
              </w:rPr>
              <w:t>La información requerida sobre pasa las 6000 (seis mil) hojas. Por lo que no contamos con el equipo ni la capacidad humana para testar, escanear y cargar esa cantidad de información.</w:t>
            </w:r>
          </w:p>
          <w:p w14:paraId="1FBEA04B" w14:textId="77777777" w:rsidR="00587B33" w:rsidRDefault="003C2B49">
            <w:pPr>
              <w:widowControl w:val="0"/>
              <w:spacing w:line="276" w:lineRule="auto"/>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Por tal motivo pedimos al Solicitante consultar la información de manera directa en el archivo que está en resguardo de esta subdirección”(Sic)</w:t>
            </w:r>
          </w:p>
        </w:tc>
      </w:tr>
      <w:tr w:rsidR="00587B33" w14:paraId="49713DC8" w14:textId="77777777">
        <w:tc>
          <w:tcPr>
            <w:tcW w:w="3480" w:type="dxa"/>
            <w:shd w:val="clear" w:color="auto" w:fill="auto"/>
            <w:tcMar>
              <w:top w:w="100" w:type="dxa"/>
              <w:left w:w="100" w:type="dxa"/>
              <w:bottom w:w="100" w:type="dxa"/>
              <w:right w:w="100" w:type="dxa"/>
            </w:tcMar>
          </w:tcPr>
          <w:p w14:paraId="0D6B0B29" w14:textId="77777777" w:rsidR="00587B33" w:rsidRDefault="003C2B49">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00168/TEXCOCO/IP/2022</w:t>
            </w:r>
          </w:p>
        </w:tc>
        <w:tc>
          <w:tcPr>
            <w:tcW w:w="5625" w:type="dxa"/>
            <w:shd w:val="clear" w:color="auto" w:fill="auto"/>
            <w:tcMar>
              <w:top w:w="100" w:type="dxa"/>
              <w:left w:w="100" w:type="dxa"/>
              <w:bottom w:w="100" w:type="dxa"/>
              <w:right w:w="100" w:type="dxa"/>
            </w:tcMar>
          </w:tcPr>
          <w:p w14:paraId="5E97E4DB" w14:textId="77777777" w:rsidR="00587B33" w:rsidRDefault="003C2B49">
            <w:pPr>
              <w:widowControl w:val="0"/>
              <w:spacing w:line="276"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Documento denominado </w:t>
            </w:r>
            <w:r>
              <w:rPr>
                <w:rFonts w:ascii="Palatino Linotype" w:eastAsia="Palatino Linotype" w:hAnsi="Palatino Linotype" w:cs="Palatino Linotype"/>
                <w:i/>
              </w:rPr>
              <w:t>RESPUESTA SOLICITUD 168-2022.pdf</w:t>
            </w:r>
            <w:r>
              <w:rPr>
                <w:rFonts w:ascii="Palatino Linotype" w:eastAsia="Palatino Linotype" w:hAnsi="Palatino Linotype" w:cs="Palatino Linotype"/>
              </w:rPr>
              <w:t>: donde el Titular de la Unidad de Transparencia señala que “</w:t>
            </w:r>
            <w:r>
              <w:rPr>
                <w:rFonts w:ascii="Palatino Linotype" w:eastAsia="Palatino Linotype" w:hAnsi="Palatino Linotype" w:cs="Palatino Linotype"/>
                <w:i/>
              </w:rPr>
              <w:t>La información requerida sobre pasa las 6000 (seis mil) hojas. Por lo que no contamos con el equipo ni la capacidad humana para testar, escanear y cargar esa cantidad de información.</w:t>
            </w:r>
          </w:p>
          <w:p w14:paraId="043391E9" w14:textId="77777777" w:rsidR="00587B33" w:rsidRDefault="003C2B49">
            <w:pPr>
              <w:widowControl w:val="0"/>
              <w:spacing w:line="276" w:lineRule="auto"/>
              <w:jc w:val="both"/>
              <w:rPr>
                <w:rFonts w:ascii="Palatino Linotype" w:eastAsia="Palatino Linotype" w:hAnsi="Palatino Linotype" w:cs="Palatino Linotype"/>
                <w:i/>
              </w:rPr>
            </w:pPr>
            <w:r>
              <w:rPr>
                <w:rFonts w:ascii="Palatino Linotype" w:eastAsia="Palatino Linotype" w:hAnsi="Palatino Linotype" w:cs="Palatino Linotype"/>
                <w:i/>
              </w:rPr>
              <w:t>Por tal motivo pedimos al Solicitante consultar la información de manera directa en el archivo que está en resguardo de esta subdirección”(Sic)</w:t>
            </w:r>
          </w:p>
        </w:tc>
      </w:tr>
    </w:tbl>
    <w:p w14:paraId="185C0CF5" w14:textId="77777777" w:rsidR="00587B33" w:rsidRDefault="00587B33">
      <w:pPr>
        <w:widowControl w:val="0"/>
        <w:spacing w:line="360" w:lineRule="auto"/>
        <w:jc w:val="both"/>
        <w:rPr>
          <w:rFonts w:ascii="Palatino Linotype" w:eastAsia="Palatino Linotype" w:hAnsi="Palatino Linotype" w:cs="Palatino Linotype"/>
        </w:rPr>
      </w:pPr>
    </w:p>
    <w:p w14:paraId="1E69CAAE" w14:textId="77777777" w:rsidR="00587B33" w:rsidRDefault="003C2B49">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IV. Del Recurso de Revisión</w:t>
      </w:r>
      <w:r>
        <w:rPr>
          <w:rFonts w:ascii="Palatino Linotype" w:eastAsia="Palatino Linotype" w:hAnsi="Palatino Linotype" w:cs="Palatino Linotype"/>
          <w:b/>
        </w:rPr>
        <w:t>.</w:t>
      </w:r>
    </w:p>
    <w:p w14:paraId="5B91271D" w14:textId="77777777" w:rsidR="00587B33" w:rsidRDefault="003C2B49">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por las respuestas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veintidós de abril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interpuso los Recursos de Revisión, los cuales fueron registrados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les asignaron los números de expediente </w:t>
      </w:r>
      <w:r>
        <w:rPr>
          <w:rFonts w:ascii="Palatino Linotype" w:eastAsia="Palatino Linotype" w:hAnsi="Palatino Linotype" w:cs="Palatino Linotype"/>
          <w:b/>
        </w:rPr>
        <w:t xml:space="preserve">06327/INFOEM/IP/RR/2022, 06328/INFOEM/IP/RR/2022, 06329/INFOEM/IP/RR/2022 y 06330/INFOEM/IP/RR/2022, </w:t>
      </w:r>
      <w:r>
        <w:rPr>
          <w:rFonts w:ascii="Palatino Linotype" w:eastAsia="Palatino Linotype" w:hAnsi="Palatino Linotype" w:cs="Palatino Linotype"/>
        </w:rPr>
        <w:t xml:space="preserve">donde los motivos de agravio fueron los siguientes: </w:t>
      </w:r>
    </w:p>
    <w:p w14:paraId="6A965C53" w14:textId="77777777" w:rsidR="00587B33" w:rsidRDefault="003C2B49">
      <w:pPr>
        <w:widowControl w:val="0"/>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Acto impugnado: </w:t>
      </w:r>
    </w:p>
    <w:p w14:paraId="2560BF5C" w14:textId="77777777" w:rsidR="00587B33" w:rsidRDefault="00587B33">
      <w:pPr>
        <w:widowControl w:val="0"/>
        <w:rPr>
          <w:rFonts w:ascii="Palatino Linotype" w:eastAsia="Palatino Linotype" w:hAnsi="Palatino Linotype" w:cs="Palatino Linotype"/>
          <w:b/>
          <w:u w:val="single"/>
        </w:rPr>
      </w:pPr>
    </w:p>
    <w:p w14:paraId="0B99F2C8" w14:textId="77777777" w:rsidR="00587B33" w:rsidRDefault="003C2B49">
      <w:pPr>
        <w:widowControl w:val="0"/>
        <w:ind w:left="850" w:right="899"/>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niega a entregar información” (Sic)</w:t>
      </w:r>
    </w:p>
    <w:p w14:paraId="2C03ABA3" w14:textId="77777777" w:rsidR="00587B33" w:rsidRDefault="00587B33">
      <w:pPr>
        <w:widowControl w:val="0"/>
        <w:ind w:left="850" w:right="899"/>
        <w:rPr>
          <w:rFonts w:ascii="Palatino Linotype" w:eastAsia="Palatino Linotype" w:hAnsi="Palatino Linotype" w:cs="Palatino Linotype"/>
          <w:i/>
          <w:sz w:val="22"/>
          <w:szCs w:val="22"/>
        </w:rPr>
      </w:pPr>
    </w:p>
    <w:p w14:paraId="23DC62E9" w14:textId="77777777" w:rsidR="00587B33" w:rsidRDefault="003C2B49">
      <w:pPr>
        <w:widowControl w:val="0"/>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Razones o motivos de Inconformidad: </w:t>
      </w:r>
    </w:p>
    <w:p w14:paraId="58CB3E30" w14:textId="77777777" w:rsidR="00587B33" w:rsidRDefault="003C2B49">
      <w:pPr>
        <w:widowControl w:val="0"/>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 </w:t>
      </w:r>
    </w:p>
    <w:p w14:paraId="081DA476" w14:textId="77777777" w:rsidR="00587B33" w:rsidRDefault="003C2B49">
      <w:pPr>
        <w:widowControl w:val="0"/>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“informa informática del Instituto que la capacidad máxima don 8 mil fojas y ustedes ponen que son 6 mil hojas, lo cual no veo cual es el problema a entregarme dicha información. </w:t>
      </w:r>
      <w:proofErr w:type="spellStart"/>
      <w:r>
        <w:rPr>
          <w:rFonts w:ascii="Palatino Linotype" w:eastAsia="Palatino Linotype" w:hAnsi="Palatino Linotype" w:cs="Palatino Linotype"/>
          <w:i/>
          <w:sz w:val="22"/>
          <w:szCs w:val="22"/>
        </w:rPr>
        <w:t>Texoco</w:t>
      </w:r>
      <w:proofErr w:type="spellEnd"/>
      <w:r>
        <w:rPr>
          <w:rFonts w:ascii="Palatino Linotype" w:eastAsia="Palatino Linotype" w:hAnsi="Palatino Linotype" w:cs="Palatino Linotype"/>
          <w:i/>
          <w:sz w:val="22"/>
          <w:szCs w:val="22"/>
        </w:rPr>
        <w:t xml:space="preserve"> tiene mucho personal por algo son 6 mil hojas no? Entonces porque pone </w:t>
      </w:r>
      <w:proofErr w:type="spellStart"/>
      <w:r>
        <w:rPr>
          <w:rFonts w:ascii="Palatino Linotype" w:eastAsia="Palatino Linotype" w:hAnsi="Palatino Linotype" w:cs="Palatino Linotype"/>
          <w:i/>
          <w:sz w:val="22"/>
          <w:szCs w:val="22"/>
        </w:rPr>
        <w:t>qur</w:t>
      </w:r>
      <w:proofErr w:type="spellEnd"/>
      <w:r>
        <w:rPr>
          <w:rFonts w:ascii="Palatino Linotype" w:eastAsia="Palatino Linotype" w:hAnsi="Palatino Linotype" w:cs="Palatino Linotype"/>
          <w:i/>
          <w:sz w:val="22"/>
          <w:szCs w:val="22"/>
        </w:rPr>
        <w:t xml:space="preserve"> no cuentan con la capacidad humana y técnica...” (Sic)</w:t>
      </w:r>
    </w:p>
    <w:p w14:paraId="743B015B" w14:textId="77777777" w:rsidR="00587B33" w:rsidRDefault="003C2B4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 xml:space="preserve">V. Del turno del Recurso de Revisión. </w:t>
      </w:r>
    </w:p>
    <w:p w14:paraId="16AFECA2"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proofErr w:type="spellStart"/>
      <w:r w:rsidR="0066058D">
        <w:rPr>
          <w:rFonts w:ascii="Palatino Linotype" w:eastAsia="Palatino Linotype" w:hAnsi="Palatino Linotype" w:cs="Palatino Linotype"/>
          <w:b/>
        </w:rPr>
        <w:t>veintidos</w:t>
      </w:r>
      <w:proofErr w:type="spellEnd"/>
      <w:r>
        <w:rPr>
          <w:rFonts w:ascii="Palatino Linotype" w:eastAsia="Palatino Linotype" w:hAnsi="Palatino Linotype" w:cs="Palatino Linotype"/>
          <w:b/>
        </w:rPr>
        <w:t xml:space="preserve"> de abril de dos mil veintidós</w:t>
      </w:r>
      <w:r>
        <w:rPr>
          <w:rFonts w:ascii="Palatino Linotype" w:eastAsia="Palatino Linotype" w:hAnsi="Palatino Linotype" w:cs="Palatino Linotype"/>
        </w:rPr>
        <w:t>, los recursos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Comisionados de este Instituto, a efecto de decretar su admisión o desechamiento.</w:t>
      </w:r>
    </w:p>
    <w:p w14:paraId="7615BDF8" w14:textId="77777777" w:rsidR="00587B33" w:rsidRDefault="00587B33">
      <w:pPr>
        <w:tabs>
          <w:tab w:val="center" w:pos="4252"/>
          <w:tab w:val="right" w:pos="8504"/>
        </w:tabs>
        <w:spacing w:line="360" w:lineRule="auto"/>
        <w:jc w:val="both"/>
        <w:rPr>
          <w:rFonts w:ascii="Palatino Linotype" w:eastAsia="Palatino Linotype" w:hAnsi="Palatino Linotype" w:cs="Palatino Linotype"/>
          <w:b/>
        </w:rPr>
      </w:pPr>
    </w:p>
    <w:p w14:paraId="3B25B8FF" w14:textId="77777777" w:rsidR="00587B33" w:rsidRDefault="003C2B49">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p>
    <w:p w14:paraId="3136E9AD" w14:textId="77777777" w:rsidR="00587B33" w:rsidRDefault="003C2B49">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fechas </w:t>
      </w:r>
      <w:r>
        <w:rPr>
          <w:rFonts w:ascii="Palatino Linotype" w:eastAsia="Palatino Linotype" w:hAnsi="Palatino Linotype" w:cs="Palatino Linotype"/>
          <w:b/>
        </w:rPr>
        <w:t>veinticinco, veintisiete, veintiocho y veintinueve de abril de dos mil veintidós</w:t>
      </w:r>
      <w:r>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22AF5FED" w14:textId="77777777" w:rsidR="00587B33" w:rsidRDefault="00587B33">
      <w:pPr>
        <w:tabs>
          <w:tab w:val="center" w:pos="4252"/>
          <w:tab w:val="right" w:pos="8504"/>
        </w:tabs>
        <w:spacing w:line="360" w:lineRule="auto"/>
        <w:jc w:val="both"/>
        <w:rPr>
          <w:rFonts w:ascii="Palatino Linotype" w:eastAsia="Palatino Linotype" w:hAnsi="Palatino Linotype" w:cs="Palatino Linotype"/>
        </w:rPr>
      </w:pPr>
    </w:p>
    <w:p w14:paraId="3CFFC4EA" w14:textId="77777777" w:rsidR="00587B33" w:rsidRDefault="003C2B4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14:paraId="3B32193A" w14:textId="77777777" w:rsidR="00587B33" w:rsidRDefault="003C2B49">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w:t>
      </w:r>
      <w:r>
        <w:rPr>
          <w:rFonts w:ascii="Palatino Linotype" w:eastAsia="Palatino Linotype" w:hAnsi="Palatino Linotype" w:cs="Palatino Linotype"/>
        </w:rPr>
        <w:lastRenderedPageBreak/>
        <w:t xml:space="preserve">Información Pública del Estado de México y Municipios, dentro del término legalmente concedido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realizó las manifestaciones que conforme a derecho le corresponden. </w:t>
      </w:r>
    </w:p>
    <w:p w14:paraId="0BFEA635" w14:textId="77777777" w:rsidR="00587B33" w:rsidRDefault="00587B33">
      <w:pPr>
        <w:widowControl w:val="0"/>
        <w:tabs>
          <w:tab w:val="left" w:pos="0"/>
        </w:tabs>
        <w:spacing w:line="360" w:lineRule="auto"/>
        <w:jc w:val="both"/>
        <w:rPr>
          <w:rFonts w:ascii="Palatino Linotype" w:eastAsia="Palatino Linotype" w:hAnsi="Palatino Linotype" w:cs="Palatino Linotype"/>
        </w:rPr>
      </w:pPr>
    </w:p>
    <w:p w14:paraId="433AF474" w14:textId="77777777" w:rsidR="00587B33" w:rsidRDefault="003C2B49">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rindió sus Informes Justificados, mediante los cuales de forma medular confirma el cambio de modalidad a consulta directa de la información solicitada. </w:t>
      </w:r>
    </w:p>
    <w:p w14:paraId="47C0DEA1" w14:textId="77777777" w:rsidR="00587B33" w:rsidRDefault="00587B33">
      <w:pPr>
        <w:spacing w:line="360" w:lineRule="auto"/>
        <w:jc w:val="both"/>
        <w:rPr>
          <w:rFonts w:ascii="Palatino Linotype" w:eastAsia="Palatino Linotype" w:hAnsi="Palatino Linotype" w:cs="Palatino Linotype"/>
          <w:b/>
          <w:sz w:val="28"/>
          <w:szCs w:val="28"/>
        </w:rPr>
      </w:pPr>
    </w:p>
    <w:p w14:paraId="4D29B42F" w14:textId="77777777" w:rsidR="00587B33" w:rsidRDefault="003C2B4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 xml:space="preserve">c) </w:t>
      </w:r>
      <w:r>
        <w:rPr>
          <w:rFonts w:ascii="Palatino Linotype" w:eastAsia="Palatino Linotype" w:hAnsi="Palatino Linotype" w:cs="Palatino Linotype"/>
          <w:b/>
        </w:rPr>
        <w:t xml:space="preserve">Acumulación </w:t>
      </w:r>
    </w:p>
    <w:p w14:paraId="53F245EA"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economía procesal y con la finalidad de evitar resoluciones contradictorias, en la </w:t>
      </w:r>
      <w:r>
        <w:rPr>
          <w:rFonts w:ascii="Palatino Linotype" w:eastAsia="Palatino Linotype" w:hAnsi="Palatino Linotype" w:cs="Palatino Linotype"/>
          <w:b/>
        </w:rPr>
        <w:t>Décima Sexta Sesión Ordinaria celebrada el cuatro de mayo de dos mil veintidós</w:t>
      </w:r>
      <w:r>
        <w:rPr>
          <w:rFonts w:ascii="Palatino Linotype" w:eastAsia="Palatino Linotype" w:hAnsi="Palatino Linotype" w:cs="Palatino Linotype"/>
        </w:rPr>
        <w:t>, el Pleno de este Instituto determinó acumular los Recursos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acordando la elaboración del proyecto de resolución por parte de la Comisionada Sharon Cristina Morales Martínez </w:t>
      </w:r>
    </w:p>
    <w:p w14:paraId="10710FDB" w14:textId="77777777" w:rsidR="00587B33" w:rsidRDefault="00587B33">
      <w:pPr>
        <w:spacing w:line="360" w:lineRule="auto"/>
        <w:jc w:val="both"/>
        <w:rPr>
          <w:rFonts w:ascii="Palatino Linotype" w:eastAsia="Palatino Linotype" w:hAnsi="Palatino Linotype" w:cs="Palatino Linotype"/>
        </w:rPr>
      </w:pPr>
    </w:p>
    <w:p w14:paraId="5C7A02F9" w14:textId="77777777" w:rsidR="00587B33" w:rsidRDefault="003C2B4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d) Ampliación del Recurso de Revisión </w:t>
      </w:r>
    </w:p>
    <w:p w14:paraId="4FD0F00F"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trece de junio de dos mil veintidós</w:t>
      </w:r>
      <w:r>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D9654FB" w14:textId="77777777" w:rsidR="00587B33" w:rsidRDefault="00587B33">
      <w:pPr>
        <w:spacing w:line="360" w:lineRule="auto"/>
        <w:jc w:val="both"/>
        <w:rPr>
          <w:rFonts w:ascii="Palatino Linotype" w:eastAsia="Palatino Linotype" w:hAnsi="Palatino Linotype" w:cs="Palatino Linotype"/>
        </w:rPr>
      </w:pPr>
    </w:p>
    <w:p w14:paraId="2B46D962"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80E40EB" w14:textId="77777777" w:rsidR="00587B33" w:rsidRDefault="00587B33">
      <w:pPr>
        <w:spacing w:line="360" w:lineRule="auto"/>
        <w:jc w:val="both"/>
        <w:rPr>
          <w:rFonts w:ascii="Palatino Linotype" w:eastAsia="Palatino Linotype" w:hAnsi="Palatino Linotype" w:cs="Palatino Linotype"/>
        </w:rPr>
      </w:pPr>
    </w:p>
    <w:p w14:paraId="35DD59AE"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7C627AE" w14:textId="77777777" w:rsidR="00587B33" w:rsidRDefault="00587B33">
      <w:pPr>
        <w:spacing w:line="360" w:lineRule="auto"/>
        <w:jc w:val="both"/>
        <w:rPr>
          <w:rFonts w:ascii="Palatino Linotype" w:eastAsia="Palatino Linotype" w:hAnsi="Palatino Linotype" w:cs="Palatino Linotype"/>
        </w:rPr>
      </w:pPr>
    </w:p>
    <w:p w14:paraId="57ECEBEB"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7236891" w14:textId="77777777" w:rsidR="00587B33" w:rsidRDefault="00587B33">
      <w:pPr>
        <w:spacing w:line="360" w:lineRule="auto"/>
        <w:jc w:val="both"/>
        <w:rPr>
          <w:rFonts w:ascii="Palatino Linotype" w:eastAsia="Palatino Linotype" w:hAnsi="Palatino Linotype" w:cs="Palatino Linotype"/>
        </w:rPr>
      </w:pPr>
    </w:p>
    <w:p w14:paraId="646F667A"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w:t>
      </w:r>
      <w:r>
        <w:rPr>
          <w:rFonts w:ascii="Palatino Linotype" w:eastAsia="Palatino Linotype" w:hAnsi="Palatino Linotype" w:cs="Palatino Linotype"/>
        </w:rPr>
        <w:lastRenderedPageBreak/>
        <w:t>jurisdiccionales o cuasi jurisdiccionales, tanto por la complejidad de los hechos, como por el número de casos que conocen.</w:t>
      </w:r>
    </w:p>
    <w:p w14:paraId="20BB546D" w14:textId="77777777" w:rsidR="00587B33" w:rsidRDefault="00587B33">
      <w:pPr>
        <w:spacing w:line="360" w:lineRule="auto"/>
        <w:jc w:val="both"/>
        <w:rPr>
          <w:rFonts w:ascii="Palatino Linotype" w:eastAsia="Palatino Linotype" w:hAnsi="Palatino Linotype" w:cs="Palatino Linotype"/>
        </w:rPr>
      </w:pPr>
    </w:p>
    <w:p w14:paraId="4DA2A7F9"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412D525" w14:textId="77777777" w:rsidR="00587B33" w:rsidRDefault="00587B33">
      <w:pPr>
        <w:spacing w:line="360" w:lineRule="auto"/>
        <w:jc w:val="both"/>
        <w:rPr>
          <w:rFonts w:ascii="Palatino Linotype" w:eastAsia="Palatino Linotype" w:hAnsi="Palatino Linotype" w:cs="Palatino Linotype"/>
        </w:rPr>
      </w:pPr>
    </w:p>
    <w:p w14:paraId="1187D68B"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a)</w:t>
      </w:r>
      <w:r>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233E4DC4"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b)</w:t>
      </w:r>
      <w:r>
        <w:rPr>
          <w:rFonts w:ascii="Palatino Linotype" w:eastAsia="Palatino Linotype" w:hAnsi="Palatino Linotype" w:cs="Palatino Linotype"/>
        </w:rPr>
        <w:t xml:space="preserve"> Actividad Procesal del interesado: Acciones u omisiones del interesado.</w:t>
      </w:r>
    </w:p>
    <w:p w14:paraId="283A25AE"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w:t>
      </w:r>
      <w:r>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59C45701"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d)</w:t>
      </w:r>
      <w:r>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5C4AB68D" w14:textId="77777777" w:rsidR="00587B33" w:rsidRDefault="00587B33">
      <w:pPr>
        <w:spacing w:line="360" w:lineRule="auto"/>
        <w:jc w:val="both"/>
        <w:rPr>
          <w:rFonts w:ascii="Palatino Linotype" w:eastAsia="Palatino Linotype" w:hAnsi="Palatino Linotype" w:cs="Palatino Linotype"/>
        </w:rPr>
      </w:pPr>
    </w:p>
    <w:p w14:paraId="394A1C5C"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2EC6CB"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“TÉRMINOS PROCESALES. PARA DETERMINAR SI UN FUNCIONARIO JUDICIAL ACTUÓ INDEBIDAMENTE </w:t>
      </w:r>
      <w:r>
        <w:rPr>
          <w:rFonts w:ascii="Palatino Linotype" w:eastAsia="Palatino Linotype" w:hAnsi="Palatino Linotype" w:cs="Palatino Linotype"/>
        </w:rPr>
        <w:lastRenderedPageBreak/>
        <w:t>POR NO RESPETARLOS SE DEBE ATENDER AL PRESUPUESTO QUE CONSIDERÓ EL LEGISLADOR AL FIJARLOS Y LAS CARACTERÍSTICAS DEL CASO.”, visible en la Gaceta del Seminario Judicial de la Federación con el registro digital 205635.</w:t>
      </w:r>
    </w:p>
    <w:p w14:paraId="7C8D3D9F"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8201E9" w14:textId="77777777" w:rsidR="00587B33" w:rsidRDefault="00587B33">
      <w:pPr>
        <w:spacing w:line="360" w:lineRule="auto"/>
        <w:jc w:val="both"/>
        <w:rPr>
          <w:rFonts w:ascii="Palatino Linotype" w:eastAsia="Palatino Linotype" w:hAnsi="Palatino Linotype" w:cs="Palatino Linotype"/>
        </w:rPr>
      </w:pPr>
    </w:p>
    <w:p w14:paraId="039018F2"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A19B276" w14:textId="77777777" w:rsidR="00587B33" w:rsidRDefault="00587B33">
      <w:pPr>
        <w:spacing w:line="360" w:lineRule="auto"/>
        <w:jc w:val="both"/>
        <w:rPr>
          <w:rFonts w:ascii="Palatino Linotype" w:eastAsia="Palatino Linotype" w:hAnsi="Palatino Linotype" w:cs="Palatino Linotype"/>
        </w:rPr>
      </w:pPr>
    </w:p>
    <w:p w14:paraId="56E03BB2"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735F0BE7"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“PLAZO RAZONABLE PARA RESOLVER. CONCEPTO Y ELEMENTOS QUE LO INTEGRAN A LA LUZ DEL DERECHO INTERNACIONAL DE LOS DERECHOS </w:t>
      </w:r>
      <w:r>
        <w:rPr>
          <w:rFonts w:ascii="Palatino Linotype" w:eastAsia="Palatino Linotype" w:hAnsi="Palatino Linotype" w:cs="Palatino Linotype"/>
        </w:rPr>
        <w:lastRenderedPageBreak/>
        <w:t>HUMANOS.”, visible en el Seminario Judicial de la Federación y su gaceta, con el registro digital 2002350.</w:t>
      </w:r>
    </w:p>
    <w:p w14:paraId="2058A0DE" w14:textId="77777777" w:rsidR="00587B33" w:rsidRDefault="00587B33">
      <w:pPr>
        <w:spacing w:line="360" w:lineRule="auto"/>
        <w:jc w:val="both"/>
        <w:rPr>
          <w:rFonts w:ascii="Palatino Linotype" w:eastAsia="Palatino Linotype" w:hAnsi="Palatino Linotype" w:cs="Palatino Linotype"/>
        </w:rPr>
      </w:pPr>
    </w:p>
    <w:p w14:paraId="0320398C"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64C5B9F" w14:textId="77777777" w:rsidR="00587B33" w:rsidRDefault="00587B33">
      <w:pPr>
        <w:spacing w:line="360" w:lineRule="auto"/>
        <w:jc w:val="both"/>
        <w:rPr>
          <w:rFonts w:ascii="Palatino Linotype" w:eastAsia="Palatino Linotype" w:hAnsi="Palatino Linotype" w:cs="Palatino Linotype"/>
        </w:rPr>
      </w:pPr>
    </w:p>
    <w:p w14:paraId="3A63993D" w14:textId="77777777" w:rsidR="00587B33" w:rsidRDefault="003C2B4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e) Requerimiento de información adicional </w:t>
      </w:r>
    </w:p>
    <w:p w14:paraId="19FA85A8"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Pr>
          <w:rFonts w:ascii="Palatino Linotype" w:eastAsia="Palatino Linotype" w:hAnsi="Palatino Linotype" w:cs="Palatino Linotype"/>
          <w:b/>
        </w:rPr>
        <w:t>quince de agosto de dos mil veintidós,</w:t>
      </w:r>
      <w:r>
        <w:rPr>
          <w:rFonts w:ascii="Palatino Linotype" w:eastAsia="Palatino Linotype" w:hAnsi="Palatino Linotype" w:cs="Palatino Linotype"/>
        </w:rPr>
        <w:t xml:space="preserve"> se realizó un requerimiento de información adicional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solicitando que aportara mayores elementos para fundar y motivar de forma adecuada el cambio de modalidad referido en respuesta. </w:t>
      </w:r>
    </w:p>
    <w:p w14:paraId="3AE633AE" w14:textId="77777777" w:rsidR="00587B33" w:rsidRDefault="00587B33">
      <w:pPr>
        <w:spacing w:line="360" w:lineRule="auto"/>
        <w:jc w:val="both"/>
        <w:rPr>
          <w:rFonts w:ascii="Palatino Linotype" w:eastAsia="Palatino Linotype" w:hAnsi="Palatino Linotype" w:cs="Palatino Linotype"/>
          <w:b/>
        </w:rPr>
      </w:pPr>
    </w:p>
    <w:p w14:paraId="2C597626" w14:textId="77777777" w:rsidR="00587B33" w:rsidRDefault="003C2B4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f) Cierre de Instrucción</w:t>
      </w:r>
    </w:p>
    <w:p w14:paraId="7F1664C5"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guardaba el expediente, el </w:t>
      </w:r>
      <w:r w:rsidR="0066058D">
        <w:rPr>
          <w:rFonts w:ascii="Palatino Linotype" w:eastAsia="Palatino Linotype" w:hAnsi="Palatino Linotype" w:cs="Palatino Linotype"/>
          <w:b/>
        </w:rPr>
        <w:t>treinta</w:t>
      </w:r>
      <w:r>
        <w:rPr>
          <w:rFonts w:ascii="Palatino Linotype" w:eastAsia="Palatino Linotype" w:hAnsi="Palatino Linotype" w:cs="Palatino Linotype"/>
          <w:b/>
        </w:rPr>
        <w:t xml:space="preserve"> de agosto de dos mil veintidós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 xml:space="preserve">Comisionada Sharon Christina Morales Martínez </w:t>
      </w:r>
      <w:r>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1924D906" w14:textId="77777777" w:rsidR="00587B33" w:rsidRDefault="00587B33">
      <w:pPr>
        <w:spacing w:line="360" w:lineRule="auto"/>
        <w:jc w:val="both"/>
        <w:rPr>
          <w:rFonts w:ascii="Palatino Linotype" w:eastAsia="Palatino Linotype" w:hAnsi="Palatino Linotype" w:cs="Palatino Linotype"/>
        </w:rPr>
      </w:pPr>
    </w:p>
    <w:p w14:paraId="35A66D9B" w14:textId="77777777" w:rsidR="00587B33" w:rsidRDefault="00587B33">
      <w:pPr>
        <w:spacing w:line="360" w:lineRule="auto"/>
        <w:jc w:val="both"/>
        <w:rPr>
          <w:rFonts w:ascii="Palatino Linotype" w:eastAsia="Palatino Linotype" w:hAnsi="Palatino Linotype" w:cs="Palatino Linotype"/>
        </w:rPr>
      </w:pPr>
    </w:p>
    <w:p w14:paraId="4CC7B683" w14:textId="77777777" w:rsidR="0066058D" w:rsidRDefault="0066058D">
      <w:pPr>
        <w:spacing w:line="360" w:lineRule="auto"/>
        <w:jc w:val="both"/>
        <w:rPr>
          <w:rFonts w:ascii="Palatino Linotype" w:eastAsia="Palatino Linotype" w:hAnsi="Palatino Linotype" w:cs="Palatino Linotype"/>
        </w:rPr>
      </w:pPr>
    </w:p>
    <w:p w14:paraId="24B1AC50" w14:textId="77777777" w:rsidR="00587B33" w:rsidRDefault="00587B33">
      <w:pPr>
        <w:spacing w:line="360" w:lineRule="auto"/>
        <w:jc w:val="both"/>
        <w:rPr>
          <w:rFonts w:ascii="Palatino Linotype" w:eastAsia="Palatino Linotype" w:hAnsi="Palatino Linotype" w:cs="Palatino Linotype"/>
        </w:rPr>
      </w:pPr>
    </w:p>
    <w:p w14:paraId="4F2C420B" w14:textId="77777777" w:rsidR="00587B33" w:rsidRDefault="003C2B49">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CONSIDERANDO</w:t>
      </w:r>
    </w:p>
    <w:p w14:paraId="6FEE76AF" w14:textId="77777777" w:rsidR="00587B33" w:rsidRDefault="00587B33">
      <w:pPr>
        <w:jc w:val="center"/>
        <w:rPr>
          <w:rFonts w:ascii="Palatino Linotype" w:eastAsia="Palatino Linotype" w:hAnsi="Palatino Linotype" w:cs="Palatino Linotype"/>
          <w:b/>
          <w:sz w:val="28"/>
          <w:szCs w:val="28"/>
        </w:rPr>
      </w:pPr>
    </w:p>
    <w:p w14:paraId="2A4C1DD9" w14:textId="77777777" w:rsidR="00587B33" w:rsidRDefault="003C2B49">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14:paraId="4521D47D" w14:textId="77777777" w:rsidR="00587B33" w:rsidRDefault="003C2B49">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DE1A444" w14:textId="77777777" w:rsidR="00587B33" w:rsidRDefault="00587B33">
      <w:pPr>
        <w:widowControl w:val="0"/>
        <w:tabs>
          <w:tab w:val="left" w:pos="1701"/>
          <w:tab w:val="left" w:pos="2977"/>
        </w:tabs>
        <w:spacing w:line="360" w:lineRule="auto"/>
        <w:jc w:val="both"/>
        <w:rPr>
          <w:rFonts w:ascii="Palatino Linotype" w:eastAsia="Palatino Linotype" w:hAnsi="Palatino Linotype" w:cs="Palatino Linotype"/>
        </w:rPr>
      </w:pPr>
    </w:p>
    <w:p w14:paraId="14678AEA" w14:textId="77777777" w:rsidR="00587B33" w:rsidRDefault="003C2B4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14:paraId="6348EE0D" w14:textId="77777777" w:rsidR="00587B33" w:rsidRDefault="003C2B49">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Los Recursos de Revisión materia del presente estudio fueron interpuestos por parte legítima, en atención a que se present</w:t>
      </w:r>
      <w:r>
        <w:rPr>
          <w:rFonts w:ascii="Palatino Linotype" w:eastAsia="Palatino Linotype" w:hAnsi="Palatino Linotype" w:cs="Palatino Linotype"/>
        </w:rPr>
        <w:t>aron</w:t>
      </w:r>
      <w:r>
        <w:rPr>
          <w:rFonts w:ascii="Palatino Linotype" w:eastAsia="Palatino Linotype" w:hAnsi="Palatino Linotype" w:cs="Palatino Linotype"/>
          <w:color w:val="000000"/>
        </w:rPr>
        <w:t xml:space="preserve">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14:paraId="7FE147A7" w14:textId="77777777" w:rsidR="00587B33" w:rsidRDefault="00587B33">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086D732" w14:textId="77777777" w:rsidR="00587B33" w:rsidRDefault="00587B33">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4FFA40A7" w14:textId="77777777" w:rsidR="00587B33" w:rsidRDefault="003C2B49">
      <w:pPr>
        <w:tabs>
          <w:tab w:val="center" w:pos="4252"/>
          <w:tab w:val="right" w:pos="8504"/>
        </w:tabs>
        <w:spacing w:line="360" w:lineRule="auto"/>
        <w:ind w:left="-57"/>
        <w:jc w:val="both"/>
        <w:rPr>
          <w:rFonts w:ascii="Palatino Linotype" w:eastAsia="Palatino Linotype" w:hAnsi="Palatino Linotype" w:cs="Palatino Linotype"/>
        </w:rPr>
      </w:pPr>
      <w:r>
        <w:rPr>
          <w:rFonts w:ascii="Palatino Linotype" w:eastAsia="Palatino Linotype" w:hAnsi="Palatino Linotype" w:cs="Palatino Linotype"/>
          <w:b/>
          <w:sz w:val="28"/>
          <w:szCs w:val="28"/>
        </w:rPr>
        <w:lastRenderedPageBreak/>
        <w:t>TERCERO.</w:t>
      </w:r>
      <w:r>
        <w:rPr>
          <w:rFonts w:ascii="Palatino Linotype" w:eastAsia="Palatino Linotype" w:hAnsi="Palatino Linotype" w:cs="Palatino Linotype"/>
        </w:rPr>
        <w:t xml:space="preserve"> </w:t>
      </w: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Justificación de la Acumulación de los Recursos.</w:t>
      </w:r>
      <w:r>
        <w:rPr>
          <w:rFonts w:ascii="Palatino Linotype" w:eastAsia="Palatino Linotype" w:hAnsi="Palatino Linotype" w:cs="Palatino Linotype"/>
        </w:rPr>
        <w:t xml:space="preserve"> </w:t>
      </w:r>
    </w:p>
    <w:p w14:paraId="4E8F15F1" w14:textId="77777777" w:rsidR="00587B33" w:rsidRDefault="003C2B49">
      <w:pPr>
        <w:tabs>
          <w:tab w:val="center" w:pos="4252"/>
          <w:tab w:val="right" w:pos="8504"/>
        </w:tabs>
        <w:spacing w:line="360" w:lineRule="auto"/>
        <w:ind w:left="-57"/>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los expedientes acumulados, se advierte que en los Recursos de Revisión número </w:t>
      </w:r>
      <w:r>
        <w:rPr>
          <w:rFonts w:ascii="Palatino Linotype" w:eastAsia="Palatino Linotype" w:hAnsi="Palatino Linotype" w:cs="Palatino Linotype"/>
          <w:b/>
        </w:rPr>
        <w:t>06327/INFOEM/IP/RR/2022, 06328/INFOEM/IP/RR/2022, 06329/INFOEM/IP/RR/2022 y 06330/INFOEM/IP/RR/2022</w:t>
      </w:r>
      <w:r>
        <w:rPr>
          <w:rFonts w:ascii="Palatino Linotype" w:eastAsia="Palatino Linotype" w:hAnsi="Palatino Linotype" w:cs="Palatino Linotype"/>
        </w:rPr>
        <w:t xml:space="preserve"> fueron presentados por el mismo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respecto de los actos u omisiones del mismo </w:t>
      </w:r>
      <w:r>
        <w:rPr>
          <w:rFonts w:ascii="Palatino Linotype" w:eastAsia="Palatino Linotype" w:hAnsi="Palatino Linotype" w:cs="Palatino Linotype"/>
          <w:b/>
        </w:rPr>
        <w:t>SUJETO OBLIGADO</w:t>
      </w:r>
      <w:r>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249AA98" w14:textId="77777777" w:rsidR="00587B33" w:rsidRDefault="00587B33">
      <w:pPr>
        <w:tabs>
          <w:tab w:val="left" w:pos="8222"/>
        </w:tabs>
        <w:ind w:left="851" w:right="1134"/>
        <w:jc w:val="center"/>
        <w:rPr>
          <w:rFonts w:ascii="Palatino Linotype" w:eastAsia="Palatino Linotype" w:hAnsi="Palatino Linotype" w:cs="Palatino Linotype"/>
          <w:b/>
          <w:i/>
          <w:sz w:val="22"/>
          <w:szCs w:val="22"/>
        </w:rPr>
      </w:pPr>
    </w:p>
    <w:p w14:paraId="3F228693" w14:textId="77777777" w:rsidR="00587B33" w:rsidRDefault="003C2B49">
      <w:pPr>
        <w:tabs>
          <w:tab w:val="left" w:pos="8222"/>
        </w:tabs>
        <w:ind w:left="851" w:right="1134"/>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“Código de Procedimientos Administrativos del Estado de México</w:t>
      </w:r>
    </w:p>
    <w:p w14:paraId="2A918AD2" w14:textId="77777777" w:rsidR="00587B33" w:rsidRDefault="003C2B49">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La autoridad administrativa o el Tribunal </w:t>
      </w:r>
      <w:r>
        <w:rPr>
          <w:rFonts w:ascii="Palatino Linotype" w:eastAsia="Palatino Linotype" w:hAnsi="Palatino Linotype" w:cs="Palatino Linotype"/>
          <w:b/>
          <w:i/>
          <w:sz w:val="22"/>
          <w:szCs w:val="22"/>
          <w:u w:val="single"/>
        </w:rPr>
        <w:t>acordarán la acumulación de los expedientes</w:t>
      </w:r>
      <w:r>
        <w:rPr>
          <w:rFonts w:ascii="Palatino Linotype" w:eastAsia="Palatino Linotype" w:hAnsi="Palatino Linotype" w:cs="Palatino Linotype"/>
          <w:b/>
          <w:i/>
          <w:sz w:val="22"/>
          <w:szCs w:val="22"/>
        </w:rPr>
        <w:t xml:space="preserve"> del procedimiento y proceso administrativo que ante ellos se sigan, de oficio</w:t>
      </w:r>
      <w:r>
        <w:rPr>
          <w:rFonts w:ascii="Palatino Linotype" w:eastAsia="Palatino Linotype" w:hAnsi="Palatino Linotype" w:cs="Palatino Linotype"/>
          <w:i/>
          <w:sz w:val="22"/>
          <w:szCs w:val="22"/>
        </w:rPr>
        <w:t xml:space="preserve"> o a petición de parte, </w:t>
      </w:r>
      <w:r>
        <w:rPr>
          <w:rFonts w:ascii="Palatino Linotype" w:eastAsia="Palatino Linotype" w:hAnsi="Palatino Linotype" w:cs="Palatino Linotype"/>
          <w:b/>
          <w:i/>
          <w:sz w:val="22"/>
          <w:szCs w:val="22"/>
          <w:u w:val="single"/>
        </w:rPr>
        <w:t>cuando las partes</w:t>
      </w:r>
      <w:r>
        <w:rPr>
          <w:rFonts w:ascii="Palatino Linotype" w:eastAsia="Palatino Linotype" w:hAnsi="Palatino Linotype" w:cs="Palatino Linotype"/>
          <w:i/>
          <w:sz w:val="22"/>
          <w:szCs w:val="22"/>
        </w:rPr>
        <w:t xml:space="preserve"> o los actos administrativos </w:t>
      </w:r>
      <w:r>
        <w:rPr>
          <w:rFonts w:ascii="Palatino Linotype" w:eastAsia="Palatino Linotype" w:hAnsi="Palatino Linotype" w:cs="Palatino Linotype"/>
          <w:b/>
          <w:i/>
          <w:sz w:val="22"/>
          <w:szCs w:val="22"/>
          <w:u w:val="single"/>
        </w:rPr>
        <w:t>sean iguales</w:t>
      </w:r>
      <w:r>
        <w:rPr>
          <w:rFonts w:ascii="Palatino Linotype" w:eastAsia="Palatino Linotype" w:hAnsi="Palatino Linotype" w:cs="Palatino Linotype"/>
          <w:i/>
          <w:sz w:val="22"/>
          <w:szCs w:val="22"/>
        </w:rPr>
        <w:t xml:space="preserve">, se trate de actos conexos o </w:t>
      </w:r>
      <w:r>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Pr>
          <w:rFonts w:ascii="Palatino Linotype" w:eastAsia="Palatino Linotype" w:hAnsi="Palatino Linotype" w:cs="Palatino Linotype"/>
          <w:i/>
          <w:sz w:val="22"/>
          <w:szCs w:val="22"/>
        </w:rPr>
        <w:t>. La misma regla se aplicará, en lo conducente, para la separación de los expedientes.”</w:t>
      </w:r>
    </w:p>
    <w:p w14:paraId="2C8776D4" w14:textId="77777777" w:rsidR="00587B33" w:rsidRDefault="003C2B49">
      <w:pPr>
        <w:tabs>
          <w:tab w:val="left" w:pos="8222"/>
        </w:tabs>
        <w:ind w:left="851" w:right="1134"/>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Ley de Transparencia y Acceso a la Información Pública del Estado de México y Municipios </w:t>
      </w:r>
    </w:p>
    <w:p w14:paraId="63E66301" w14:textId="77777777" w:rsidR="00587B33" w:rsidRDefault="003C2B49">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195. </w:t>
      </w:r>
      <w:r>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870FBDA" w14:textId="77777777" w:rsidR="00587B33" w:rsidRDefault="003C2B49">
      <w:pPr>
        <w:tabs>
          <w:tab w:val="left" w:pos="8222"/>
        </w:tabs>
        <w:ind w:left="851" w:right="113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417A8F8B" w14:textId="77777777" w:rsidR="00587B33" w:rsidRDefault="00587B33">
      <w:pPr>
        <w:jc w:val="both"/>
        <w:rPr>
          <w:rFonts w:ascii="Palatino Linotype" w:eastAsia="Palatino Linotype" w:hAnsi="Palatino Linotype" w:cs="Palatino Linotype"/>
          <w:b/>
        </w:rPr>
      </w:pPr>
    </w:p>
    <w:p w14:paraId="15E1ADED" w14:textId="77777777" w:rsidR="00587B33" w:rsidRDefault="003C2B49">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lo dispuesto en los numerales citados en el párrafo que antecede, dicha acumulación procede cuando:</w:t>
      </w:r>
    </w:p>
    <w:p w14:paraId="0DDA1C31" w14:textId="77777777" w:rsidR="00587B33" w:rsidRDefault="003C2B49">
      <w:pPr>
        <w:numPr>
          <w:ilvl w:val="0"/>
          <w:numId w:val="1"/>
        </w:numPr>
        <w:tabs>
          <w:tab w:val="center" w:pos="4252"/>
          <w:tab w:val="right" w:pos="8504"/>
        </w:tabs>
        <w:spacing w:line="360" w:lineRule="auto"/>
        <w:jc w:val="both"/>
      </w:pPr>
      <w:r>
        <w:rPr>
          <w:rFonts w:ascii="Palatino Linotype" w:eastAsia="Palatino Linotype" w:hAnsi="Palatino Linotype" w:cs="Palatino Linotype"/>
        </w:rPr>
        <w:t>El solicitante y la información referida sean las mismas;</w:t>
      </w:r>
    </w:p>
    <w:p w14:paraId="03783508" w14:textId="77777777" w:rsidR="00587B33" w:rsidRDefault="003C2B49">
      <w:pPr>
        <w:numPr>
          <w:ilvl w:val="0"/>
          <w:numId w:val="1"/>
        </w:numPr>
        <w:tabs>
          <w:tab w:val="center" w:pos="4252"/>
          <w:tab w:val="right" w:pos="8504"/>
        </w:tabs>
        <w:spacing w:line="360" w:lineRule="auto"/>
        <w:jc w:val="both"/>
      </w:pPr>
      <w:r>
        <w:rPr>
          <w:rFonts w:ascii="Palatino Linotype" w:eastAsia="Palatino Linotype" w:hAnsi="Palatino Linotype" w:cs="Palatino Linotype"/>
        </w:rPr>
        <w:t>Las partes o los actos impugnados sean iguales;</w:t>
      </w:r>
    </w:p>
    <w:p w14:paraId="35973458" w14:textId="77777777" w:rsidR="00587B33" w:rsidRDefault="003C2B49">
      <w:pPr>
        <w:numPr>
          <w:ilvl w:val="0"/>
          <w:numId w:val="1"/>
        </w:numPr>
        <w:tabs>
          <w:tab w:val="center" w:pos="4252"/>
          <w:tab w:val="right" w:pos="8504"/>
        </w:tabs>
        <w:spacing w:line="360" w:lineRule="auto"/>
        <w:jc w:val="both"/>
      </w:pPr>
      <w:r>
        <w:rPr>
          <w:rFonts w:ascii="Palatino Linotype" w:eastAsia="Palatino Linotype" w:hAnsi="Palatino Linotype" w:cs="Palatino Linotype"/>
        </w:rPr>
        <w:t>Cuando se trate del mismo solicitante, el mismo Sujeto Obligado, y</w:t>
      </w:r>
    </w:p>
    <w:p w14:paraId="04BFF5E7" w14:textId="77777777" w:rsidR="00587B33" w:rsidRDefault="003C2B49">
      <w:pPr>
        <w:numPr>
          <w:ilvl w:val="0"/>
          <w:numId w:val="1"/>
        </w:numPr>
        <w:tabs>
          <w:tab w:val="center" w:pos="4252"/>
          <w:tab w:val="right" w:pos="8504"/>
        </w:tabs>
        <w:spacing w:line="360" w:lineRule="auto"/>
        <w:ind w:left="357"/>
        <w:jc w:val="both"/>
      </w:pPr>
      <w:r>
        <w:rPr>
          <w:rFonts w:ascii="Palatino Linotype" w:eastAsia="Palatino Linotype" w:hAnsi="Palatino Linotype" w:cs="Palatino Linotype"/>
        </w:rPr>
        <w:t>Aun tratándose de solicitudes diversas, resulte conveniente la resolución unificada de los asuntos</w:t>
      </w:r>
      <w:r>
        <w:rPr>
          <w:rFonts w:ascii="Palatino Linotype" w:eastAsia="Palatino Linotype" w:hAnsi="Palatino Linotype" w:cs="Palatino Linotype"/>
          <w:i/>
        </w:rPr>
        <w:t>.</w:t>
      </w:r>
    </w:p>
    <w:p w14:paraId="534961E7" w14:textId="77777777" w:rsidR="00587B33" w:rsidRDefault="00587B33">
      <w:pPr>
        <w:widowControl w:val="0"/>
        <w:spacing w:line="360" w:lineRule="auto"/>
        <w:jc w:val="both"/>
        <w:rPr>
          <w:rFonts w:ascii="Palatino Linotype" w:eastAsia="Palatino Linotype" w:hAnsi="Palatino Linotype" w:cs="Palatino Linotype"/>
        </w:rPr>
      </w:pPr>
    </w:p>
    <w:p w14:paraId="413DC398" w14:textId="77777777" w:rsidR="00587B33" w:rsidRDefault="003C2B49">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suerte que, como se mencionó anteriormente, los Recursos de Revisión que nos ocupan fueron interpuestos por el mismo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ante el mismo </w:t>
      </w:r>
      <w:r>
        <w:rPr>
          <w:rFonts w:ascii="Palatino Linotype" w:eastAsia="Palatino Linotype" w:hAnsi="Palatino Linotype" w:cs="Palatino Linotype"/>
          <w:b/>
        </w:rPr>
        <w:t>SUJETO OBLIGADO</w:t>
      </w:r>
      <w:r>
        <w:rPr>
          <w:rFonts w:ascii="Palatino Linotype" w:eastAsia="Palatino Linotype" w:hAnsi="Palatino Linotype" w:cs="Palatino Linotype"/>
        </w:rPr>
        <w:t>, por lo que, resulta conveniente la resolución conjunta por economía procesal y con el fin de no emitir resoluciones contradictorias entre sí, en caso de resolverlos en forma separada por Ponentes diferentes.</w:t>
      </w:r>
    </w:p>
    <w:p w14:paraId="79856E8A" w14:textId="77777777" w:rsidR="00587B33" w:rsidRDefault="00587B33">
      <w:pPr>
        <w:tabs>
          <w:tab w:val="center" w:pos="4252"/>
          <w:tab w:val="right" w:pos="8504"/>
        </w:tabs>
        <w:spacing w:line="360" w:lineRule="auto"/>
        <w:ind w:left="-57"/>
        <w:jc w:val="both"/>
        <w:rPr>
          <w:rFonts w:ascii="Palatino Linotype" w:eastAsia="Palatino Linotype" w:hAnsi="Palatino Linotype" w:cs="Palatino Linotype"/>
          <w:b/>
        </w:rPr>
      </w:pPr>
    </w:p>
    <w:p w14:paraId="0EEE998C" w14:textId="77777777" w:rsidR="00587B33" w:rsidRDefault="003C2B49">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6"/>
          <w:szCs w:val="26"/>
        </w:rPr>
        <w:t>CUARTO.</w:t>
      </w:r>
      <w:r>
        <w:rPr>
          <w:rFonts w:ascii="Palatino Linotype" w:eastAsia="Palatino Linotype" w:hAnsi="Palatino Linotype" w:cs="Palatino Linotype"/>
          <w:b/>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14:paraId="72855B9C" w14:textId="77777777" w:rsidR="00587B33" w:rsidRDefault="003C2B49">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rPr>
        <w:t>Los</w:t>
      </w:r>
      <w:r>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01186204" w14:textId="77777777" w:rsidR="00587B33" w:rsidRDefault="00587B33">
      <w:pPr>
        <w:ind w:left="720" w:right="709"/>
        <w:jc w:val="both"/>
        <w:rPr>
          <w:rFonts w:ascii="Palatino Linotype" w:eastAsia="Palatino Linotype" w:hAnsi="Palatino Linotype" w:cs="Palatino Linotype"/>
          <w:i/>
          <w:sz w:val="22"/>
          <w:szCs w:val="22"/>
        </w:rPr>
      </w:pPr>
    </w:p>
    <w:p w14:paraId="1F74EE20" w14:textId="77777777" w:rsidR="00587B33" w:rsidRDefault="003C2B4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3DFFDB8" w14:textId="77777777" w:rsidR="00587B33" w:rsidRDefault="00587B33">
      <w:pPr>
        <w:ind w:left="851" w:right="899"/>
        <w:jc w:val="both"/>
        <w:rPr>
          <w:rFonts w:ascii="Palatino Linotype" w:eastAsia="Palatino Linotype" w:hAnsi="Palatino Linotype" w:cs="Palatino Linotype"/>
          <w:i/>
          <w:sz w:val="22"/>
          <w:szCs w:val="22"/>
        </w:rPr>
      </w:pPr>
    </w:p>
    <w:p w14:paraId="231554C0" w14:textId="77777777" w:rsidR="00587B33" w:rsidRDefault="003C2B4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460FDE7" w14:textId="77777777" w:rsidR="00587B33" w:rsidRDefault="00587B33">
      <w:pPr>
        <w:ind w:left="851" w:right="899"/>
        <w:jc w:val="both"/>
        <w:rPr>
          <w:rFonts w:ascii="Palatino Linotype" w:eastAsia="Palatino Linotype" w:hAnsi="Palatino Linotype" w:cs="Palatino Linotype"/>
          <w:i/>
          <w:sz w:val="22"/>
          <w:szCs w:val="22"/>
        </w:rPr>
      </w:pPr>
    </w:p>
    <w:p w14:paraId="17F94A95" w14:textId="77777777" w:rsidR="00587B33" w:rsidRDefault="003C2B4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51AEEA6E" w14:textId="77777777" w:rsidR="00587B33" w:rsidRDefault="00587B33">
      <w:pPr>
        <w:ind w:left="720" w:right="709"/>
        <w:jc w:val="both"/>
        <w:rPr>
          <w:rFonts w:ascii="Palatino Linotype" w:eastAsia="Palatino Linotype" w:hAnsi="Palatino Linotype" w:cs="Palatino Linotype"/>
          <w:i/>
          <w:sz w:val="22"/>
          <w:szCs w:val="22"/>
        </w:rPr>
      </w:pPr>
    </w:p>
    <w:p w14:paraId="3E644F8F" w14:textId="77777777" w:rsidR="00587B33" w:rsidRDefault="003C2B49">
      <w:pPr>
        <w:spacing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las respuestas a las solicitudes de Acceso a la Información Pública el día</w:t>
      </w:r>
      <w:r>
        <w:rPr>
          <w:rFonts w:ascii="Palatino Linotype" w:eastAsia="Palatino Linotype" w:hAnsi="Palatino Linotype" w:cs="Palatino Linotype"/>
          <w:b/>
        </w:rPr>
        <w:t xml:space="preserve"> dieciocho de abril de dos mil veintidós</w:t>
      </w:r>
      <w:r>
        <w:rPr>
          <w:rFonts w:ascii="Palatino Linotype" w:eastAsia="Palatino Linotype" w:hAnsi="Palatino Linotype" w:cs="Palatino Linotype"/>
        </w:rPr>
        <w:t xml:space="preserve">; así, el plazo de quince días hábiles que el artículo 178 de la Ley de la materia otorga a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para presentar el respectivo Recurso de Revisión, transcurrió del </w:t>
      </w:r>
      <w:r>
        <w:rPr>
          <w:rFonts w:ascii="Palatino Linotype" w:eastAsia="Palatino Linotype" w:hAnsi="Palatino Linotype" w:cs="Palatino Linotype"/>
          <w:b/>
        </w:rPr>
        <w:t>diecinueve de abril al diez de mayo de dos mil veintidós.</w:t>
      </w:r>
      <w:r>
        <w:rPr>
          <w:rFonts w:ascii="Palatino Linotype" w:eastAsia="Palatino Linotype" w:hAnsi="Palatino Linotype" w:cs="Palatino Linotype"/>
        </w:rPr>
        <w:t xml:space="preserve"> Sin contemplar en el cómputo los días veintitrés, veinticuatro y treinta de abril , así como uno, siete y ocho de mayo de dos mil veintidós por corresponder a sábados y domingos, considerados como días inhábiles, en términos del artículo 3, fracción X de la Ley de Transparencia y Acceso a la Información Pública del Estado de México y Municipios. Además del cinco de mayo de la anualidad,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w:t>
      </w:r>
    </w:p>
    <w:p w14:paraId="294CF35F" w14:textId="77777777" w:rsidR="00587B33" w:rsidRDefault="00587B33">
      <w:pPr>
        <w:spacing w:line="360" w:lineRule="auto"/>
        <w:jc w:val="both"/>
        <w:rPr>
          <w:rFonts w:ascii="Palatino Linotype" w:eastAsia="Palatino Linotype" w:hAnsi="Palatino Linotype" w:cs="Palatino Linotype"/>
        </w:rPr>
      </w:pPr>
      <w:bookmarkStart w:id="5" w:name="_heading=h.pams53xt1pwn" w:colFirst="0" w:colLast="0"/>
      <w:bookmarkEnd w:id="5"/>
    </w:p>
    <w:p w14:paraId="082155DD" w14:textId="77777777" w:rsidR="00587B33" w:rsidRDefault="003C2B49">
      <w:pPr>
        <w:spacing w:before="200" w:after="20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tenor se advierte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los medios de impugnación, día veintidós de abril y, en consecuencia, los Recursos de Revisión de mérito se encuentran dentro del plazo dispuesto en el artículo 178, de la Ley de Transparencia y Acceso a la Información Pública del Estado de México y Municipios. </w:t>
      </w:r>
    </w:p>
    <w:p w14:paraId="01E7A44E" w14:textId="77777777" w:rsidR="00587B33" w:rsidRDefault="00587B33">
      <w:pPr>
        <w:spacing w:before="200" w:after="200" w:line="360" w:lineRule="auto"/>
        <w:jc w:val="both"/>
        <w:rPr>
          <w:rFonts w:ascii="Palatino Linotype" w:eastAsia="Palatino Linotype" w:hAnsi="Palatino Linotype" w:cs="Palatino Linotype"/>
        </w:rPr>
      </w:pPr>
    </w:p>
    <w:p w14:paraId="2E96ED79" w14:textId="77777777" w:rsidR="00587B33" w:rsidRDefault="003C2B49">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Procedibilidad. </w:t>
      </w:r>
    </w:p>
    <w:p w14:paraId="6F210A15" w14:textId="77777777" w:rsidR="00587B33" w:rsidRDefault="003C2B4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18CB147" w14:textId="77777777" w:rsidR="00587B33" w:rsidRDefault="00587B33">
      <w:pPr>
        <w:spacing w:line="360" w:lineRule="auto"/>
        <w:ind w:right="49"/>
        <w:jc w:val="both"/>
        <w:rPr>
          <w:rFonts w:ascii="Palatino Linotype" w:eastAsia="Palatino Linotype" w:hAnsi="Palatino Linotype" w:cs="Palatino Linotype"/>
        </w:rPr>
      </w:pPr>
    </w:p>
    <w:p w14:paraId="6D79CF20" w14:textId="77777777" w:rsidR="00587B33" w:rsidRDefault="003C2B49">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El Recurso de Revisión contendrá:</w:t>
      </w:r>
      <w:r>
        <w:rPr>
          <w:rFonts w:ascii="Palatino Linotype" w:eastAsia="Palatino Linotype" w:hAnsi="Palatino Linotype" w:cs="Palatino Linotype"/>
          <w:b/>
          <w:i/>
          <w:sz w:val="22"/>
          <w:szCs w:val="22"/>
        </w:rPr>
        <w:t xml:space="preserve"> </w:t>
      </w:r>
    </w:p>
    <w:p w14:paraId="750BF2C3" w14:textId="77777777" w:rsidR="00587B33" w:rsidRDefault="003C2B49">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666D11A8" w14:textId="77777777" w:rsidR="00587B33" w:rsidRDefault="003C2B49">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El nombre del solicitante </w:t>
      </w:r>
      <w:r>
        <w:rPr>
          <w:rFonts w:ascii="Palatino Linotype" w:eastAsia="Palatino Linotype" w:hAnsi="Palatino Linotype" w:cs="Palatino Linotype"/>
          <w:b/>
          <w:i/>
          <w:color w:val="222222"/>
          <w:sz w:val="22"/>
          <w:szCs w:val="22"/>
        </w:rPr>
        <w:t>que</w:t>
      </w:r>
      <w:r>
        <w:rPr>
          <w:rFonts w:ascii="Palatino Linotype" w:eastAsia="Palatino Linotype" w:hAnsi="Palatino Linotype" w:cs="Palatino Linotype"/>
          <w:b/>
          <w:i/>
          <w:sz w:val="22"/>
          <w:szCs w:val="22"/>
        </w:rPr>
        <w:t xml:space="preserve"> recurre </w:t>
      </w:r>
      <w:r>
        <w:rPr>
          <w:rFonts w:ascii="Palatino Linotype" w:eastAsia="Palatino Linotype" w:hAnsi="Palatino Linotype" w:cs="Palatino Linotype"/>
          <w:i/>
          <w:sz w:val="22"/>
          <w:szCs w:val="22"/>
        </w:rPr>
        <w:t>o de su representante y, en su caso, …</w:t>
      </w:r>
    </w:p>
    <w:p w14:paraId="014B4CC0" w14:textId="77777777" w:rsidR="00587B33" w:rsidRDefault="003C2B49">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En caso de </w:t>
      </w:r>
      <w:r>
        <w:rPr>
          <w:rFonts w:ascii="Palatino Linotype" w:eastAsia="Palatino Linotype" w:hAnsi="Palatino Linotype" w:cs="Palatino Linotype"/>
          <w:b/>
          <w:i/>
          <w:color w:val="222222"/>
          <w:sz w:val="22"/>
          <w:szCs w:val="22"/>
        </w:rPr>
        <w:t>que</w:t>
      </w:r>
      <w:r>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Pr>
          <w:rFonts w:ascii="Palatino Linotype" w:eastAsia="Palatino Linotype" w:hAnsi="Palatino Linotype" w:cs="Palatino Linotype"/>
          <w:i/>
          <w:sz w:val="22"/>
          <w:szCs w:val="22"/>
        </w:rPr>
        <w:t>, IV, VII y VIII.</w:t>
      </w:r>
      <w:r>
        <w:rPr>
          <w:rFonts w:ascii="Palatino Linotype" w:eastAsia="Palatino Linotype" w:hAnsi="Palatino Linotype" w:cs="Palatino Linotype"/>
          <w:b/>
          <w:i/>
          <w:sz w:val="22"/>
          <w:szCs w:val="22"/>
        </w:rPr>
        <w:t>”</w:t>
      </w:r>
    </w:p>
    <w:p w14:paraId="40CC18BF" w14:textId="77777777" w:rsidR="00587B33" w:rsidRDefault="003C2B49">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70DE3DAA" w14:textId="77777777" w:rsidR="00587B33" w:rsidRDefault="00587B33">
      <w:pPr>
        <w:tabs>
          <w:tab w:val="left" w:pos="851"/>
        </w:tabs>
        <w:ind w:right="901"/>
        <w:jc w:val="both"/>
        <w:rPr>
          <w:rFonts w:ascii="Palatino Linotype" w:eastAsia="Palatino Linotype" w:hAnsi="Palatino Linotype" w:cs="Palatino Linotype"/>
          <w:i/>
          <w:sz w:val="22"/>
          <w:szCs w:val="22"/>
        </w:rPr>
      </w:pPr>
    </w:p>
    <w:p w14:paraId="18F085BE"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Pr>
          <w:rFonts w:ascii="Palatino Linotype" w:eastAsia="Palatino Linotype" w:hAnsi="Palatino Linotype" w:cs="Palatino Linotype"/>
          <w:b/>
        </w:rPr>
        <w:t>;</w:t>
      </w:r>
      <w:r>
        <w:rPr>
          <w:rFonts w:ascii="Palatino Linotype" w:eastAsia="Palatino Linotype" w:hAnsi="Palatino Linotype" w:cs="Palatino Linotype"/>
        </w:rPr>
        <w:t xml:space="preserve"> por lo que, en el presente caso, al haber sido presentado el Recurso de Revisión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14:paraId="5E477B8D" w14:textId="77777777" w:rsidR="00587B33" w:rsidRDefault="00587B33">
      <w:pPr>
        <w:spacing w:line="360" w:lineRule="auto"/>
        <w:jc w:val="both"/>
        <w:rPr>
          <w:rFonts w:ascii="Palatino Linotype" w:eastAsia="Palatino Linotype" w:hAnsi="Palatino Linotype" w:cs="Palatino Linotype"/>
          <w:b/>
        </w:rPr>
      </w:pPr>
    </w:p>
    <w:p w14:paraId="775BAC88"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Pr>
          <w:rFonts w:ascii="Palatino Linotype" w:eastAsia="Palatino Linotype" w:hAnsi="Palatino Linotype" w:cs="Palatino Linotype"/>
          <w:b/>
          <w:u w:val="single"/>
        </w:rPr>
        <w:t xml:space="preserve">el nombre no es un requisito </w:t>
      </w:r>
      <w:r>
        <w:rPr>
          <w:rFonts w:ascii="Palatino Linotype" w:eastAsia="Palatino Linotype" w:hAnsi="Palatino Linotype" w:cs="Palatino Linotype"/>
          <w:b/>
          <w:i/>
          <w:u w:val="single"/>
        </w:rPr>
        <w:t>sine qua non</w:t>
      </w:r>
      <w:r>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2F6D538" w14:textId="77777777" w:rsidR="00587B33" w:rsidRDefault="00587B33">
      <w:pPr>
        <w:spacing w:line="360" w:lineRule="auto"/>
        <w:jc w:val="both"/>
        <w:rPr>
          <w:rFonts w:ascii="Palatino Linotype" w:eastAsia="Palatino Linotype" w:hAnsi="Palatino Linotype" w:cs="Palatino Linotype"/>
        </w:rPr>
      </w:pPr>
    </w:p>
    <w:p w14:paraId="225E89E8" w14:textId="77777777" w:rsidR="00587B33" w:rsidRDefault="003C2B4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FDD447A" w14:textId="77777777" w:rsidR="00587B33" w:rsidRDefault="00587B33">
      <w:pPr>
        <w:tabs>
          <w:tab w:val="left" w:pos="851"/>
        </w:tabs>
        <w:ind w:left="851" w:right="901"/>
        <w:jc w:val="both"/>
        <w:rPr>
          <w:rFonts w:ascii="Palatino Linotype" w:eastAsia="Palatino Linotype" w:hAnsi="Palatino Linotype" w:cs="Palatino Linotype"/>
          <w:sz w:val="22"/>
          <w:szCs w:val="22"/>
        </w:rPr>
      </w:pPr>
    </w:p>
    <w:p w14:paraId="0698C2D5"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 estima que el requisito relativo al nombre de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Pr>
          <w:rFonts w:ascii="Palatino Linotype" w:eastAsia="Palatino Linotype" w:hAnsi="Palatino Linotype" w:cs="Palatino Linotype"/>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 es la misma persona que realizó la solicitud de Acceso a la Información Pública que ahora se impugna.</w:t>
      </w:r>
    </w:p>
    <w:p w14:paraId="2D7715EF" w14:textId="77777777" w:rsidR="00587B33" w:rsidRDefault="00587B33">
      <w:pPr>
        <w:tabs>
          <w:tab w:val="left" w:pos="851"/>
        </w:tabs>
        <w:ind w:left="851" w:right="901"/>
        <w:jc w:val="both"/>
        <w:rPr>
          <w:rFonts w:ascii="Palatino Linotype" w:eastAsia="Palatino Linotype" w:hAnsi="Palatino Linotype" w:cs="Palatino Linotype"/>
          <w:sz w:val="22"/>
          <w:szCs w:val="22"/>
        </w:rPr>
      </w:pPr>
    </w:p>
    <w:p w14:paraId="4C914046"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7B5B9E15" w14:textId="77777777" w:rsidR="00587B33" w:rsidRDefault="00587B33">
      <w:pPr>
        <w:spacing w:line="360" w:lineRule="auto"/>
        <w:jc w:val="both"/>
        <w:rPr>
          <w:rFonts w:ascii="Palatino Linotype" w:eastAsia="Palatino Linotype" w:hAnsi="Palatino Linotype" w:cs="Palatino Linotype"/>
          <w:b/>
          <w:sz w:val="28"/>
          <w:szCs w:val="28"/>
        </w:rPr>
      </w:pPr>
    </w:p>
    <w:p w14:paraId="04CC97F9" w14:textId="77777777" w:rsidR="00587B33" w:rsidRDefault="003C2B4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b/>
        </w:rPr>
        <w:t xml:space="preserve">. Estudio y resolución del asunto. </w:t>
      </w:r>
    </w:p>
    <w:p w14:paraId="37EEE72D" w14:textId="77777777" w:rsidR="00587B33" w:rsidRDefault="003C2B4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primer lugar, es conveniente recordar que, en su conjunto, el particular solicitó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los recibos de nómina de todo el personal del Ayuntamiento de enero a diciembre de dos mil diecinueve, como se puede apreciar a continuación:  </w:t>
      </w:r>
    </w:p>
    <w:tbl>
      <w:tblPr>
        <w:tblStyle w:val="afffffff1"/>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640"/>
      </w:tblGrid>
      <w:tr w:rsidR="00587B33" w14:paraId="69C9C492" w14:textId="77777777">
        <w:tc>
          <w:tcPr>
            <w:tcW w:w="3465" w:type="dxa"/>
            <w:shd w:val="clear" w:color="auto" w:fill="auto"/>
            <w:tcMar>
              <w:top w:w="100" w:type="dxa"/>
              <w:left w:w="100" w:type="dxa"/>
              <w:bottom w:w="100" w:type="dxa"/>
              <w:right w:w="100" w:type="dxa"/>
            </w:tcMar>
          </w:tcPr>
          <w:p w14:paraId="63277A45" w14:textId="77777777" w:rsidR="00587B33" w:rsidRDefault="003C2B49">
            <w:pPr>
              <w:widowControl w:val="0"/>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Número de Folio de la Solicitud</w:t>
            </w:r>
          </w:p>
        </w:tc>
        <w:tc>
          <w:tcPr>
            <w:tcW w:w="5640" w:type="dxa"/>
            <w:shd w:val="clear" w:color="auto" w:fill="auto"/>
            <w:tcMar>
              <w:top w:w="100" w:type="dxa"/>
              <w:left w:w="100" w:type="dxa"/>
              <w:bottom w:w="100" w:type="dxa"/>
              <w:right w:w="100" w:type="dxa"/>
            </w:tcMar>
          </w:tcPr>
          <w:p w14:paraId="7C8A897F" w14:textId="77777777" w:rsidR="00587B33" w:rsidRDefault="003C2B49">
            <w:pPr>
              <w:widowControl w:val="0"/>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Solicitud </w:t>
            </w:r>
          </w:p>
        </w:tc>
      </w:tr>
      <w:tr w:rsidR="00587B33" w14:paraId="3CEB6282" w14:textId="77777777">
        <w:tc>
          <w:tcPr>
            <w:tcW w:w="3465" w:type="dxa"/>
            <w:shd w:val="clear" w:color="auto" w:fill="auto"/>
            <w:tcMar>
              <w:top w:w="100" w:type="dxa"/>
              <w:left w:w="100" w:type="dxa"/>
              <w:bottom w:w="100" w:type="dxa"/>
              <w:right w:w="100" w:type="dxa"/>
            </w:tcMar>
          </w:tcPr>
          <w:p w14:paraId="7C87038E" w14:textId="77777777" w:rsidR="00587B33" w:rsidRDefault="003C2B49">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sz w:val="24"/>
                <w:szCs w:val="24"/>
              </w:rPr>
              <w:t>00165/TEXCOCO/IP/2022</w:t>
            </w:r>
          </w:p>
        </w:tc>
        <w:tc>
          <w:tcPr>
            <w:tcW w:w="5640" w:type="dxa"/>
            <w:shd w:val="clear" w:color="auto" w:fill="auto"/>
            <w:tcMar>
              <w:top w:w="100" w:type="dxa"/>
              <w:left w:w="100" w:type="dxa"/>
              <w:bottom w:w="100" w:type="dxa"/>
              <w:right w:w="100" w:type="dxa"/>
            </w:tcMar>
          </w:tcPr>
          <w:p w14:paraId="62A05BB7" w14:textId="77777777" w:rsidR="00587B33" w:rsidRDefault="003C2B49">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“Requiero los recibos de nómina desde la presidenta, regidores, directores, titulares y de todo el personal a su cargo de cada área de </w:t>
            </w:r>
            <w:r>
              <w:rPr>
                <w:rFonts w:ascii="Palatino Linotype" w:eastAsia="Palatino Linotype" w:hAnsi="Palatino Linotype" w:cs="Palatino Linotype"/>
                <w:i/>
                <w:sz w:val="20"/>
                <w:szCs w:val="20"/>
              </w:rPr>
              <w:lastRenderedPageBreak/>
              <w:t>enero 2019 hasta marzo 2019.” (Sic)</w:t>
            </w:r>
          </w:p>
        </w:tc>
      </w:tr>
      <w:tr w:rsidR="00587B33" w14:paraId="507B19E3" w14:textId="77777777">
        <w:tc>
          <w:tcPr>
            <w:tcW w:w="3465" w:type="dxa"/>
            <w:shd w:val="clear" w:color="auto" w:fill="auto"/>
            <w:tcMar>
              <w:top w:w="100" w:type="dxa"/>
              <w:left w:w="100" w:type="dxa"/>
              <w:bottom w:w="100" w:type="dxa"/>
              <w:right w:w="100" w:type="dxa"/>
            </w:tcMar>
          </w:tcPr>
          <w:p w14:paraId="2D2EE5B3" w14:textId="77777777" w:rsidR="00587B33" w:rsidRDefault="003C2B49">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00166/TEXCOCO/IP/2022</w:t>
            </w:r>
          </w:p>
        </w:tc>
        <w:tc>
          <w:tcPr>
            <w:tcW w:w="5640" w:type="dxa"/>
            <w:shd w:val="clear" w:color="auto" w:fill="auto"/>
            <w:tcMar>
              <w:top w:w="100" w:type="dxa"/>
              <w:left w:w="100" w:type="dxa"/>
              <w:bottom w:w="100" w:type="dxa"/>
              <w:right w:w="100" w:type="dxa"/>
            </w:tcMar>
          </w:tcPr>
          <w:p w14:paraId="7B2EE103" w14:textId="77777777" w:rsidR="00587B33" w:rsidRDefault="003C2B49">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“Requiero los recibos de nómina desde la presidenta, regidores, directores, titulares y de todo el personal a su cargo de cada área de abril 2019 hasta junio 2019.” (Sic)</w:t>
            </w:r>
          </w:p>
        </w:tc>
      </w:tr>
      <w:tr w:rsidR="00587B33" w14:paraId="1DFF1871" w14:textId="77777777">
        <w:tc>
          <w:tcPr>
            <w:tcW w:w="3465" w:type="dxa"/>
            <w:shd w:val="clear" w:color="auto" w:fill="auto"/>
            <w:tcMar>
              <w:top w:w="100" w:type="dxa"/>
              <w:left w:w="100" w:type="dxa"/>
              <w:bottom w:w="100" w:type="dxa"/>
              <w:right w:w="100" w:type="dxa"/>
            </w:tcMar>
          </w:tcPr>
          <w:p w14:paraId="1D9D0597" w14:textId="77777777" w:rsidR="00587B33" w:rsidRDefault="003C2B49">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00167/TEXCOCO/IP/2022</w:t>
            </w:r>
          </w:p>
        </w:tc>
        <w:tc>
          <w:tcPr>
            <w:tcW w:w="5640" w:type="dxa"/>
            <w:shd w:val="clear" w:color="auto" w:fill="auto"/>
            <w:tcMar>
              <w:top w:w="100" w:type="dxa"/>
              <w:left w:w="100" w:type="dxa"/>
              <w:bottom w:w="100" w:type="dxa"/>
              <w:right w:w="100" w:type="dxa"/>
            </w:tcMar>
          </w:tcPr>
          <w:p w14:paraId="2BEC2974" w14:textId="77777777" w:rsidR="00587B33" w:rsidRDefault="003C2B49">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“Requiero los recibos de nómina desde la presidenta, regidores, directores, titulares y de todo el personal a su cargo de cada área de julio 2019 hasta septiembre 2019.” (Sic)</w:t>
            </w:r>
          </w:p>
        </w:tc>
      </w:tr>
      <w:tr w:rsidR="00587B33" w14:paraId="38D24163" w14:textId="77777777">
        <w:tc>
          <w:tcPr>
            <w:tcW w:w="3465" w:type="dxa"/>
            <w:shd w:val="clear" w:color="auto" w:fill="auto"/>
            <w:tcMar>
              <w:top w:w="100" w:type="dxa"/>
              <w:left w:w="100" w:type="dxa"/>
              <w:bottom w:w="100" w:type="dxa"/>
              <w:right w:w="100" w:type="dxa"/>
            </w:tcMar>
          </w:tcPr>
          <w:p w14:paraId="5E595D99" w14:textId="77777777" w:rsidR="00587B33" w:rsidRDefault="003C2B49">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00168/TEXCOCO/IP/2022</w:t>
            </w:r>
          </w:p>
        </w:tc>
        <w:tc>
          <w:tcPr>
            <w:tcW w:w="5640" w:type="dxa"/>
            <w:shd w:val="clear" w:color="auto" w:fill="auto"/>
            <w:tcMar>
              <w:top w:w="100" w:type="dxa"/>
              <w:left w:w="100" w:type="dxa"/>
              <w:bottom w:w="100" w:type="dxa"/>
              <w:right w:w="100" w:type="dxa"/>
            </w:tcMar>
          </w:tcPr>
          <w:p w14:paraId="2568996A" w14:textId="77777777" w:rsidR="00587B33" w:rsidRDefault="003C2B49">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“Requiero los recibos de nómina desde la presidenta, regidores, directores, titulares y de todo el personal a su cargo de cada área de octubre 2019 hasta diciembre </w:t>
            </w:r>
            <w:proofErr w:type="gramStart"/>
            <w:r>
              <w:rPr>
                <w:rFonts w:ascii="Palatino Linotype" w:eastAsia="Palatino Linotype" w:hAnsi="Palatino Linotype" w:cs="Palatino Linotype"/>
                <w:i/>
                <w:sz w:val="20"/>
                <w:szCs w:val="20"/>
              </w:rPr>
              <w:t>2019 .</w:t>
            </w:r>
            <w:proofErr w:type="gramEnd"/>
            <w:r>
              <w:rPr>
                <w:rFonts w:ascii="Palatino Linotype" w:eastAsia="Palatino Linotype" w:hAnsi="Palatino Linotype" w:cs="Palatino Linotype"/>
                <w:i/>
                <w:sz w:val="20"/>
                <w:szCs w:val="20"/>
              </w:rPr>
              <w:t>” (Sic)</w:t>
            </w:r>
          </w:p>
        </w:tc>
      </w:tr>
    </w:tbl>
    <w:p w14:paraId="7523508C" w14:textId="77777777" w:rsidR="00587B33" w:rsidRDefault="003C2B4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66D6060A" w14:textId="77777777" w:rsidR="00587B33" w:rsidRDefault="003C2B49">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su respuesta el ente recurrido  señaló que la información solicitada supera las 6000 fojas, por lo que no cuenta con la capacidad para entregarlos por la vía solicitada por el particular.  </w:t>
      </w:r>
    </w:p>
    <w:p w14:paraId="3BB29F26" w14:textId="77777777" w:rsidR="00587B33" w:rsidRDefault="00587B33">
      <w:pPr>
        <w:tabs>
          <w:tab w:val="left" w:pos="709"/>
        </w:tabs>
        <w:spacing w:line="360" w:lineRule="auto"/>
        <w:jc w:val="both"/>
        <w:rPr>
          <w:rFonts w:ascii="Palatino Linotype" w:eastAsia="Palatino Linotype" w:hAnsi="Palatino Linotype" w:cs="Palatino Linotype"/>
        </w:rPr>
      </w:pPr>
    </w:p>
    <w:p w14:paraId="4E9055C3" w14:textId="77777777" w:rsidR="00587B33" w:rsidRDefault="003C2B49">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respuesta, el particular presentó el medio de impugnación en estudio, en el que se duele del cambio de modalidad realizado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indicando que no se justifica dicho cambio. </w:t>
      </w:r>
    </w:p>
    <w:p w14:paraId="1236F555" w14:textId="77777777" w:rsidR="00587B33" w:rsidRDefault="003C2B49">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bien es preciso señalar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acepta poseer la información solicitada pues incluso determinar ponerla a disposición del particular en sus instalaciones, motivo por el cual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se inconforma pues este solicitó le fuese entregada la información vía SAIMEX,  en consecuencia, actualiza las hipótesis de procedibilidad prevista en las fracción VIII, del artículo 179 de la Ley de la materia, que a la letra dice:</w:t>
      </w:r>
    </w:p>
    <w:p w14:paraId="616E6909" w14:textId="77777777" w:rsidR="00587B33" w:rsidRDefault="003C2B49">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3C07015" w14:textId="77777777" w:rsidR="00587B33" w:rsidRDefault="003C2B49">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6898D275" w14:textId="77777777" w:rsidR="00587B33" w:rsidRDefault="003C2B49">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VIII. La notificación, entrega o puesta a disposición de información en una modalidad o formato distinto al solicitado;</w:t>
      </w:r>
    </w:p>
    <w:p w14:paraId="49CEC3DF" w14:textId="77777777" w:rsidR="00587B33" w:rsidRDefault="003C2B49">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1C3D1509" w14:textId="77777777" w:rsidR="00587B33" w:rsidRDefault="003C2B49">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6E5CB7A2" w14:textId="77777777" w:rsidR="00587B33" w:rsidRDefault="00587B33">
      <w:pPr>
        <w:ind w:left="851" w:right="901"/>
        <w:jc w:val="both"/>
        <w:rPr>
          <w:rFonts w:ascii="Palatino Linotype" w:eastAsia="Palatino Linotype" w:hAnsi="Palatino Linotype" w:cs="Palatino Linotype"/>
          <w:i/>
          <w:sz w:val="22"/>
          <w:szCs w:val="22"/>
        </w:rPr>
      </w:pPr>
    </w:p>
    <w:p w14:paraId="75FDB8FC" w14:textId="77777777" w:rsidR="00587B33" w:rsidRDefault="003C2B49">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antes citado, establece como supuesto de procedencia del recurso de revisión, el cambio de modalidad a consulta directa,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situación que se actualiza en el caso en concreto.  </w:t>
      </w:r>
    </w:p>
    <w:p w14:paraId="21AE948F" w14:textId="77777777" w:rsidR="00587B33" w:rsidRDefault="00587B33">
      <w:pPr>
        <w:spacing w:line="360" w:lineRule="auto"/>
        <w:jc w:val="both"/>
        <w:rPr>
          <w:rFonts w:ascii="Palatino Linotype" w:eastAsia="Palatino Linotype" w:hAnsi="Palatino Linotype" w:cs="Palatino Linotype"/>
        </w:rPr>
      </w:pPr>
    </w:p>
    <w:p w14:paraId="4185F2EA"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es importante referir,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al momento de presentar la solicitud de información que dio origen al recurso de revisión que nos ocupa, eligió como modalidad de entrega </w:t>
      </w:r>
      <w:r>
        <w:rPr>
          <w:rFonts w:ascii="Palatino Linotype" w:eastAsia="Palatino Linotype" w:hAnsi="Palatino Linotype" w:cs="Palatino Linotype"/>
          <w:b/>
          <w:u w:val="single"/>
        </w:rPr>
        <w:t>Vía SAIMEX</w:t>
      </w:r>
      <w:r>
        <w:rPr>
          <w:rFonts w:ascii="Palatino Linotype" w:eastAsia="Palatino Linotype" w:hAnsi="Palatino Linotype" w:cs="Palatino Linotype"/>
        </w:rPr>
        <w:t xml:space="preserve">, 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señala tener la información a disposición del particular en sus oficina,  cambiando de forma unilateral la modalidad de entrega a consulta directa (in situ), </w:t>
      </w:r>
    </w:p>
    <w:p w14:paraId="4AC4C0FE" w14:textId="77777777" w:rsidR="00587B33" w:rsidRDefault="00587B33">
      <w:pPr>
        <w:spacing w:line="360" w:lineRule="auto"/>
        <w:jc w:val="both"/>
        <w:rPr>
          <w:rFonts w:ascii="Palatino Linotype" w:eastAsia="Palatino Linotype" w:hAnsi="Palatino Linotype" w:cs="Palatino Linotype"/>
        </w:rPr>
      </w:pPr>
    </w:p>
    <w:p w14:paraId="792C9CC6"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bien, es de señalar que los Sujetos Obligados deben respetar la forma seleccionada por los particulares para la entrega de la información; por lo que, si, en este caso en particular, el solicitante eligió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el responsable de la Unidad de Transparencia debió agregar los archivos electrónicos que contengan la información requerida en dicho sistema, en versión pública y si bien es cierto que  manifestó un caso de imposibilidad técnica y administrativa, para determinar cambiar la modalidad de entrega,  lo cierto es también que dicha imposibilidad no se acreditó de la información </w:t>
      </w:r>
      <w:r>
        <w:rPr>
          <w:rFonts w:ascii="Palatino Linotype" w:eastAsia="Palatino Linotype" w:hAnsi="Palatino Linotype" w:cs="Palatino Linotype"/>
        </w:rPr>
        <w:lastRenderedPageBreak/>
        <w:t xml:space="preserve">remitida en respuesta que la información solicitada excediera las capacidades tanto administrativas respecto de su unidad como técnicas, en lo relativo al sistema electrónico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cual se debe cargar dicha información para ser entregada, pues únicamente señala que la información consta de 6000 hojas pero no se advierte que dicha cantidad pueda por su tamaño sobrepasar las capacidades técnicas del sistema. </w:t>
      </w:r>
    </w:p>
    <w:p w14:paraId="3F87433A" w14:textId="77777777" w:rsidR="00587B33" w:rsidRDefault="00587B33">
      <w:pPr>
        <w:spacing w:line="360" w:lineRule="auto"/>
        <w:jc w:val="both"/>
        <w:rPr>
          <w:rFonts w:ascii="Palatino Linotype" w:eastAsia="Palatino Linotype" w:hAnsi="Palatino Linotype" w:cs="Palatino Linotype"/>
        </w:rPr>
      </w:pPr>
    </w:p>
    <w:p w14:paraId="432AE61B"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respuesta que proporcionó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refirió </w:t>
      </w:r>
      <w:r>
        <w:rPr>
          <w:rFonts w:ascii="Palatino Linotype" w:eastAsia="Palatino Linotype" w:hAnsi="Palatino Linotype" w:cs="Palatino Linotype"/>
          <w:b/>
        </w:rPr>
        <w:t>la hora, la fecha de entrega, nombre del servidor público responsable de poner a su disposición la información requerida,</w:t>
      </w:r>
      <w:r>
        <w:rPr>
          <w:rFonts w:ascii="Palatino Linotype" w:eastAsia="Palatino Linotype" w:hAnsi="Palatino Linotype" w:cs="Palatino Linotype"/>
        </w:rPr>
        <w:t xml:space="preserve"> ya que únicamente se limita a señalar que la información es superior a las 6000 fojas cómo se puede apreciar de la imagen que se inserta a continuación: </w:t>
      </w:r>
    </w:p>
    <w:p w14:paraId="5FCA7213"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114300" distB="114300" distL="114300" distR="114300" wp14:anchorId="65D4972B" wp14:editId="27B82EB4">
            <wp:extent cx="5791835" cy="5295900"/>
            <wp:effectExtent l="0" t="0" r="0" b="0"/>
            <wp:docPr id="15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791835" cy="5295900"/>
                    </a:xfrm>
                    <a:prstGeom prst="rect">
                      <a:avLst/>
                    </a:prstGeom>
                    <a:ln/>
                  </pic:spPr>
                </pic:pic>
              </a:graphicData>
            </a:graphic>
          </wp:inline>
        </w:drawing>
      </w:r>
    </w:p>
    <w:p w14:paraId="74871BB1" w14:textId="77777777" w:rsidR="00587B33" w:rsidRDefault="00587B33">
      <w:pPr>
        <w:spacing w:line="360" w:lineRule="auto"/>
        <w:jc w:val="both"/>
        <w:rPr>
          <w:rFonts w:ascii="Palatino Linotype" w:eastAsia="Palatino Linotype" w:hAnsi="Palatino Linotype" w:cs="Palatino Linotype"/>
        </w:rPr>
      </w:pPr>
    </w:p>
    <w:p w14:paraId="7E3E3881"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documento antes referido se puede observar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intenta fundamentar el cambio de modalidad en el artículo 158 de la Ley de Transparencia y Acceso a la Información Pública del Estado de México y Municipios sin que adecúe dichos preceptos al caso en concreto. </w:t>
      </w:r>
    </w:p>
    <w:p w14:paraId="340A9996"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consecuencia, dicho cambio de modalidad no se efectuó con la debida fundamentación y motivación que debe acompañar todo acto de autoridad, siendo esta una obligación que tiene todo ente público de expresar los preceptos jurídicos aplicables al asunto motivo del acto y las razones o argumentos de su actuar.</w:t>
      </w:r>
    </w:p>
    <w:p w14:paraId="15B2D88D" w14:textId="77777777" w:rsidR="00587B33" w:rsidRDefault="00587B33">
      <w:pPr>
        <w:spacing w:line="360" w:lineRule="auto"/>
        <w:ind w:right="51"/>
        <w:jc w:val="both"/>
        <w:rPr>
          <w:rFonts w:ascii="Palatino Linotype" w:eastAsia="Palatino Linotype" w:hAnsi="Palatino Linotype" w:cs="Palatino Linotype"/>
        </w:rPr>
      </w:pPr>
    </w:p>
    <w:p w14:paraId="092A5086" w14:textId="77777777" w:rsidR="00587B33" w:rsidRDefault="003C2B4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375FDA1B" w14:textId="77777777" w:rsidR="00587B33" w:rsidRDefault="00587B33">
      <w:pPr>
        <w:ind w:left="850" w:right="900"/>
        <w:jc w:val="both"/>
        <w:rPr>
          <w:rFonts w:ascii="Palatino Linotype" w:eastAsia="Palatino Linotype" w:hAnsi="Palatino Linotype" w:cs="Palatino Linotype"/>
          <w:i/>
          <w:sz w:val="22"/>
          <w:szCs w:val="22"/>
        </w:rPr>
      </w:pPr>
    </w:p>
    <w:p w14:paraId="733F04D6" w14:textId="77777777" w:rsidR="00587B33" w:rsidRDefault="003C2B49">
      <w:pPr>
        <w:ind w:left="85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FUNDAMENTACION Y MOTIVACION. </w:t>
      </w:r>
      <w:r>
        <w:rPr>
          <w:rFonts w:ascii="Palatino Linotype" w:eastAsia="Palatino Linotype" w:hAnsi="Palatino Linotype" w:cs="Palatino Linotype"/>
          <w:i/>
          <w:sz w:val="22"/>
          <w:szCs w:val="22"/>
        </w:rPr>
        <w:t xml:space="preserve">La </w:t>
      </w:r>
      <w:r>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(Sic)</w:t>
      </w:r>
    </w:p>
    <w:p w14:paraId="53A98D70" w14:textId="77777777" w:rsidR="00587B33" w:rsidRDefault="00587B33">
      <w:pPr>
        <w:ind w:left="850" w:right="900"/>
        <w:jc w:val="both"/>
        <w:rPr>
          <w:rFonts w:ascii="Palatino Linotype" w:eastAsia="Palatino Linotype" w:hAnsi="Palatino Linotype" w:cs="Palatino Linotype"/>
          <w:i/>
          <w:sz w:val="22"/>
          <w:szCs w:val="22"/>
        </w:rPr>
      </w:pPr>
    </w:p>
    <w:p w14:paraId="2AA3D9BB" w14:textId="77777777" w:rsidR="00587B33" w:rsidRDefault="003C2B49">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AE49ED1" w14:textId="77777777" w:rsidR="00587B33" w:rsidRDefault="00587B33">
      <w:pPr>
        <w:spacing w:line="360" w:lineRule="auto"/>
        <w:ind w:right="51"/>
        <w:jc w:val="both"/>
        <w:rPr>
          <w:rFonts w:ascii="Palatino Linotype" w:eastAsia="Palatino Linotype" w:hAnsi="Palatino Linotype" w:cs="Palatino Linotype"/>
        </w:rPr>
      </w:pPr>
    </w:p>
    <w:p w14:paraId="5FADA77E" w14:textId="77777777" w:rsidR="00587B33" w:rsidRDefault="003C2B49">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3FF7873" w14:textId="77777777" w:rsidR="00587B33" w:rsidRDefault="00587B33">
      <w:pPr>
        <w:ind w:left="850" w:right="900"/>
        <w:jc w:val="both"/>
        <w:rPr>
          <w:rFonts w:ascii="Palatino Linotype" w:eastAsia="Palatino Linotype" w:hAnsi="Palatino Linotype" w:cs="Palatino Linotype"/>
          <w:b/>
          <w:i/>
          <w:sz w:val="22"/>
          <w:szCs w:val="22"/>
        </w:rPr>
      </w:pPr>
    </w:p>
    <w:p w14:paraId="1ABC87EE" w14:textId="77777777" w:rsidR="00587B33" w:rsidRDefault="003C2B49">
      <w:pPr>
        <w:ind w:left="85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Pr>
          <w:rFonts w:ascii="Palatino Linotype" w:eastAsia="Palatino Linotype" w:hAnsi="Palatino Linotype" w:cs="Palatino Linotype"/>
          <w:i/>
          <w:sz w:val="22"/>
          <w:szCs w:val="22"/>
        </w:rPr>
        <w:t xml:space="preserve">. El contenido formal de la garantía de legalidad prevista en el artículo </w:t>
      </w:r>
      <w:r>
        <w:rPr>
          <w:rFonts w:ascii="Palatino Linotype" w:eastAsia="Palatino Linotype" w:hAnsi="Palatino Linotype" w:cs="Palatino Linotype"/>
          <w:i/>
          <w:sz w:val="22"/>
          <w:szCs w:val="22"/>
        </w:rPr>
        <w:lastRenderedPageBreak/>
        <w:t xml:space="preserve">16 constitucional relativa a la </w:t>
      </w:r>
      <w:r>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eastAsia="Palatino Linotype" w:hAnsi="Palatino Linotype" w:cs="Palatino Linotype"/>
          <w:i/>
          <w:sz w:val="22"/>
          <w:szCs w:val="22"/>
        </w:rPr>
        <w:t xml:space="preserve">. Por tanto, </w:t>
      </w:r>
      <w:r>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Pr>
          <w:rFonts w:ascii="Palatino Linotype" w:eastAsia="Palatino Linotype" w:hAnsi="Palatino Linotype" w:cs="Palatino Linotype"/>
          <w:i/>
          <w:sz w:val="22"/>
          <w:szCs w:val="22"/>
        </w:rPr>
        <w:t>, que impida la finalidad del conocimiento, comprobación y defensa pertinente</w:t>
      </w:r>
      <w:r>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eastAsia="Palatino Linotype" w:hAnsi="Palatino Linotype" w:cs="Palatino Linotype"/>
          <w:i/>
          <w:sz w:val="22"/>
          <w:szCs w:val="22"/>
        </w:rPr>
        <w:t>.”</w:t>
      </w:r>
      <w:r>
        <w:rPr>
          <w:rFonts w:ascii="Palatino Linotype" w:eastAsia="Palatino Linotype" w:hAnsi="Palatino Linotype" w:cs="Palatino Linotype"/>
        </w:rPr>
        <w:t xml:space="preserve"> </w:t>
      </w:r>
      <w:r>
        <w:rPr>
          <w:rFonts w:ascii="Palatino Linotype" w:eastAsia="Palatino Linotype" w:hAnsi="Palatino Linotype" w:cs="Palatino Linotype"/>
          <w:i/>
          <w:sz w:val="22"/>
          <w:szCs w:val="22"/>
        </w:rPr>
        <w:t>(Sic)</w:t>
      </w:r>
    </w:p>
    <w:p w14:paraId="4DB7791F" w14:textId="77777777" w:rsidR="00587B33" w:rsidRDefault="00587B33">
      <w:pPr>
        <w:ind w:left="850" w:right="900"/>
        <w:jc w:val="both"/>
        <w:rPr>
          <w:rFonts w:ascii="Palatino Linotype" w:eastAsia="Palatino Linotype" w:hAnsi="Palatino Linotype" w:cs="Palatino Linotype"/>
          <w:i/>
          <w:sz w:val="22"/>
          <w:szCs w:val="22"/>
        </w:rPr>
      </w:pPr>
    </w:p>
    <w:p w14:paraId="12AE74EE" w14:textId="77777777" w:rsidR="00587B33" w:rsidRDefault="00587B33">
      <w:pPr>
        <w:ind w:left="850" w:right="900"/>
        <w:jc w:val="both"/>
        <w:rPr>
          <w:rFonts w:ascii="Palatino Linotype" w:eastAsia="Palatino Linotype" w:hAnsi="Palatino Linotype" w:cs="Palatino Linotype"/>
          <w:i/>
          <w:sz w:val="22"/>
          <w:szCs w:val="22"/>
        </w:rPr>
      </w:pPr>
    </w:p>
    <w:p w14:paraId="49C879B2" w14:textId="77777777" w:rsidR="00587B33" w:rsidRDefault="003C2B4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AF17416" w14:textId="77777777" w:rsidR="00587B33" w:rsidRDefault="00587B33">
      <w:pPr>
        <w:spacing w:line="360" w:lineRule="auto"/>
        <w:ind w:right="49"/>
        <w:jc w:val="both"/>
        <w:rPr>
          <w:rFonts w:ascii="Palatino Linotype" w:eastAsia="Palatino Linotype" w:hAnsi="Palatino Linotype" w:cs="Palatino Linotype"/>
        </w:rPr>
      </w:pPr>
    </w:p>
    <w:p w14:paraId="0BFF4258" w14:textId="77777777" w:rsidR="00587B33" w:rsidRDefault="003C2B4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forma que, no basta con solamente referir el precepto legal aplicable, sino que debe de estar claramente relacionado con el caso en concreto; es decir, si se argumenta una imposibilidad técnica o humana debe estar debidamente soportada con el fundamento legal corresponde y la explicación de porqué dicha norma es procedente en el supuesto del que se trate. </w:t>
      </w:r>
    </w:p>
    <w:p w14:paraId="5AA0CEFB" w14:textId="77777777" w:rsidR="00587B33" w:rsidRDefault="00587B33">
      <w:pPr>
        <w:spacing w:line="360" w:lineRule="auto"/>
        <w:ind w:right="49"/>
        <w:jc w:val="both"/>
        <w:rPr>
          <w:rFonts w:ascii="Palatino Linotype" w:eastAsia="Palatino Linotype" w:hAnsi="Palatino Linotype" w:cs="Palatino Linotype"/>
        </w:rPr>
      </w:pPr>
    </w:p>
    <w:p w14:paraId="6631690B" w14:textId="77777777" w:rsidR="00587B33" w:rsidRDefault="003C2B4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tal sentido, es importante señalar lo que establece el artículo 158 de la Ley de Transparencia y Acceso a la Información pública del Estado de México y Municipios:</w:t>
      </w:r>
    </w:p>
    <w:p w14:paraId="1097C07D" w14:textId="77777777" w:rsidR="00587B33" w:rsidRDefault="003C2B49">
      <w:pPr>
        <w:widowControl w:val="0"/>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158. </w:t>
      </w:r>
      <w:r>
        <w:rPr>
          <w:rFonts w:ascii="Palatino Linotype" w:eastAsia="Palatino Linotype" w:hAnsi="Palatino Linotype" w:cs="Palatino Linotype"/>
          <w:i/>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28C027B2" w14:textId="77777777" w:rsidR="00587B33" w:rsidRDefault="003C2B49">
      <w:pPr>
        <w:widowControl w:val="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6EBF988D" w14:textId="77777777" w:rsidR="00587B33" w:rsidRDefault="003C2B49">
      <w:pPr>
        <w:widowControl w:val="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474C3E9A" w14:textId="77777777" w:rsidR="00587B33" w:rsidRDefault="00587B33">
      <w:pPr>
        <w:widowControl w:val="0"/>
        <w:spacing w:line="360" w:lineRule="auto"/>
        <w:jc w:val="both"/>
        <w:rPr>
          <w:rFonts w:ascii="Palatino Linotype" w:eastAsia="Palatino Linotype" w:hAnsi="Palatino Linotype" w:cs="Palatino Linotype"/>
        </w:rPr>
      </w:pPr>
    </w:p>
    <w:p w14:paraId="530A6AA4" w14:textId="77777777" w:rsidR="00587B33" w:rsidRDefault="003C2B49">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Pr>
          <w:rFonts w:ascii="Palatino Linotype" w:eastAsia="Palatino Linotype" w:hAnsi="Palatino Linotype" w:cs="Palatino Linotype"/>
          <w:b/>
        </w:rPr>
        <w:t>SUJETO OBLIGADO</w:t>
      </w:r>
      <w:r>
        <w:rPr>
          <w:rFonts w:ascii="Palatino Linotype" w:eastAsia="Palatino Linotype" w:hAnsi="Palatino Linotype" w:cs="Palatino Linotype"/>
        </w:rPr>
        <w:t>, en términos del ordinal 158 citado con anterioridad.</w:t>
      </w:r>
    </w:p>
    <w:p w14:paraId="51AA0778" w14:textId="77777777" w:rsidR="00587B33" w:rsidRDefault="00587B33">
      <w:pPr>
        <w:widowControl w:val="0"/>
        <w:spacing w:line="360" w:lineRule="auto"/>
        <w:jc w:val="both"/>
        <w:rPr>
          <w:rFonts w:ascii="Palatino Linotype" w:eastAsia="Palatino Linotype" w:hAnsi="Palatino Linotype" w:cs="Palatino Linotype"/>
        </w:rPr>
      </w:pPr>
    </w:p>
    <w:p w14:paraId="02ED6409"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Atento a lo anterior, se advierte que en respuesta el ente recurrido  señaló que la cantidad de hojas asciende a 6000 fojas, motivo por el cual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manifiesta su inconformidad señalando que en resoluciones anteriores, este Instituto </w:t>
      </w:r>
      <w:r>
        <w:rPr>
          <w:rFonts w:ascii="Palatino Linotype" w:eastAsia="Palatino Linotype" w:hAnsi="Palatino Linotype" w:cs="Palatino Linotype"/>
        </w:rPr>
        <w:lastRenderedPageBreak/>
        <w:t xml:space="preserve">ha señalado que la cantidad de hojas que el sistema SAIMEX puede soportar son 8 mil fojas, por lo cual no se acredita la imposibilidad técnica referida por el ente recurrido. </w:t>
      </w:r>
    </w:p>
    <w:p w14:paraId="68234DC9" w14:textId="77777777" w:rsidR="00587B33" w:rsidRDefault="00587B33">
      <w:pPr>
        <w:spacing w:line="360" w:lineRule="auto"/>
        <w:jc w:val="both"/>
        <w:rPr>
          <w:rFonts w:ascii="Palatino Linotype" w:eastAsia="Palatino Linotype" w:hAnsi="Palatino Linotype" w:cs="Palatino Linotype"/>
        </w:rPr>
      </w:pPr>
    </w:p>
    <w:p w14:paraId="2D6C11C8" w14:textId="77777777" w:rsidR="00587B33" w:rsidRDefault="003C2B49">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atención a lo anterior, la respuesta carece de elementos suficientes para determinar si la información solicitada excede la capacidad técnica del sistema SAIMEX, pues no refiere la cantidad de documentos que conforman la información solicitada, ni refiere cuánto pesa cada una de ellos, tampoco se refieren las circunstancias específicas de lo acontecido al momento de intentar subir alguna factura al SAIMEX y que técnicamente no se haya podido cargar, no, el sujeto habilitado se limita a referir que son 6000 fojas </w:t>
      </w:r>
    </w:p>
    <w:p w14:paraId="25F2F681" w14:textId="77777777" w:rsidR="00587B33" w:rsidRDefault="00587B33">
      <w:pPr>
        <w:tabs>
          <w:tab w:val="left" w:pos="7938"/>
        </w:tabs>
        <w:spacing w:line="360" w:lineRule="auto"/>
        <w:jc w:val="both"/>
        <w:rPr>
          <w:rFonts w:ascii="Palatino Linotype" w:eastAsia="Palatino Linotype" w:hAnsi="Palatino Linotype" w:cs="Palatino Linotype"/>
        </w:rPr>
      </w:pPr>
    </w:p>
    <w:p w14:paraId="74E78C53" w14:textId="77777777" w:rsidR="00587B33" w:rsidRDefault="003C2B49">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no hay incidencia emitida por la Dirección General de Informática de este Órgano Garante (a petición de ese sujeto obligado), no se corrobora por qué no se pudieron escanear los documentos, para cargar en el SAIMEX.</w:t>
      </w:r>
    </w:p>
    <w:p w14:paraId="71FF47B5" w14:textId="77777777" w:rsidR="00587B33" w:rsidRDefault="00587B33">
      <w:pPr>
        <w:tabs>
          <w:tab w:val="left" w:pos="7938"/>
        </w:tabs>
        <w:spacing w:line="360" w:lineRule="auto"/>
        <w:jc w:val="both"/>
        <w:rPr>
          <w:rFonts w:ascii="Palatino Linotype" w:eastAsia="Palatino Linotype" w:hAnsi="Palatino Linotype" w:cs="Palatino Linotype"/>
        </w:rPr>
      </w:pPr>
    </w:p>
    <w:p w14:paraId="696ED8D2" w14:textId="77777777" w:rsidR="00587B33" w:rsidRDefault="003C2B4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pues, ya que del contenido de la respuesta remitida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se advierten elementos suficientes para poder determinar la procedencia del cambio de modalidad sugerido por el ente recurrido. Esta Ponencia hizo un requerimiento de información adicional en fecha quince de agosto de dos mil veintidós en los términos siguientes: </w:t>
      </w:r>
    </w:p>
    <w:p w14:paraId="5C80EA0C" w14:textId="77777777" w:rsidR="00587B33" w:rsidRDefault="00587B33">
      <w:pPr>
        <w:spacing w:line="360" w:lineRule="auto"/>
        <w:ind w:right="49"/>
        <w:jc w:val="both"/>
        <w:rPr>
          <w:rFonts w:ascii="Palatino Linotype" w:eastAsia="Palatino Linotype" w:hAnsi="Palatino Linotype" w:cs="Palatino Linotype"/>
        </w:rPr>
      </w:pPr>
    </w:p>
    <w:p w14:paraId="589FAE91" w14:textId="77777777" w:rsidR="00587B33" w:rsidRDefault="003C2B49">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“RENÉ JONATHAN SANDOVAL TINOCO</w:t>
      </w:r>
    </w:p>
    <w:p w14:paraId="00F8D336" w14:textId="77777777" w:rsidR="00587B33" w:rsidRDefault="003C2B49">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TITULAR DE LA UNIDAD DE TRANSPARENCIA DEL AYUNTAMIENTO DE TEXCOCO </w:t>
      </w:r>
    </w:p>
    <w:p w14:paraId="64CB6C9F" w14:textId="77777777" w:rsidR="00587B33" w:rsidRDefault="003C2B49">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 R E S E N T E</w:t>
      </w:r>
    </w:p>
    <w:p w14:paraId="6B12FDD5" w14:textId="77777777" w:rsidR="00587B33" w:rsidRDefault="00587B33">
      <w:pPr>
        <w:ind w:right="899"/>
        <w:jc w:val="both"/>
        <w:rPr>
          <w:rFonts w:ascii="Palatino Linotype" w:eastAsia="Palatino Linotype" w:hAnsi="Palatino Linotype" w:cs="Palatino Linotype"/>
          <w:i/>
          <w:sz w:val="22"/>
          <w:szCs w:val="22"/>
        </w:rPr>
      </w:pPr>
    </w:p>
    <w:p w14:paraId="52A0B32A" w14:textId="77777777" w:rsidR="00587B33" w:rsidRDefault="003C2B49">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lo previsto por el artículos 195 de la Ley de Transparencia y Acceso a la Información Pública del Estado de México y Municipios; 124 del Código de Procedimientos Administrativos del Estado de México, de aplicación supletoria a la materia; me permito expresar lo siguiente:</w:t>
      </w:r>
    </w:p>
    <w:p w14:paraId="7A06238D" w14:textId="77777777" w:rsidR="00587B33" w:rsidRDefault="00587B33">
      <w:pPr>
        <w:ind w:left="850" w:right="899"/>
        <w:jc w:val="both"/>
        <w:rPr>
          <w:rFonts w:ascii="Palatino Linotype" w:eastAsia="Palatino Linotype" w:hAnsi="Palatino Linotype" w:cs="Palatino Linotype"/>
          <w:i/>
          <w:sz w:val="22"/>
          <w:szCs w:val="22"/>
        </w:rPr>
      </w:pPr>
    </w:p>
    <w:p w14:paraId="588EDB7F" w14:textId="77777777" w:rsidR="00587B33" w:rsidRDefault="003C2B49">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Recursos de Revisión 06327/INFOEM/IP/RR/2022, 06328/INFOEM/IP/RR/2022, 06329/INFOEM/IP/RR/2022 y 06330/INFOEM/IP/RR/2022, se advierte que, de las respuestas que se le otorgaron al ciudadano se observa que refieren el cambio de modalidad de entrega de la información  a consulta directa (in situ). </w:t>
      </w:r>
    </w:p>
    <w:p w14:paraId="7B8779F7" w14:textId="77777777" w:rsidR="00587B33" w:rsidRDefault="00587B33">
      <w:pPr>
        <w:ind w:left="850" w:right="899"/>
        <w:jc w:val="both"/>
        <w:rPr>
          <w:rFonts w:ascii="Palatino Linotype" w:eastAsia="Palatino Linotype" w:hAnsi="Palatino Linotype" w:cs="Palatino Linotype"/>
          <w:i/>
          <w:sz w:val="22"/>
          <w:szCs w:val="22"/>
        </w:rPr>
      </w:pPr>
    </w:p>
    <w:p w14:paraId="175EE8FA" w14:textId="77777777" w:rsidR="00587B33" w:rsidRDefault="003C2B49">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Sin embargo, en atención a lo previsto en el  artículo 158 de la Ley de Transparencia y Acceso a la Información Pública del Estado de México y Municipios, que dispone que se debe acreditar que la información solicitada sobrepase las capacidades técnicas, administrativas y humanas para cumplir con la solicitud de información del caso en concreto. </w:t>
      </w:r>
    </w:p>
    <w:p w14:paraId="2F1C7632" w14:textId="77777777" w:rsidR="00587B33" w:rsidRDefault="00587B33">
      <w:pPr>
        <w:ind w:left="850" w:right="899"/>
        <w:jc w:val="both"/>
        <w:rPr>
          <w:rFonts w:ascii="Palatino Linotype" w:eastAsia="Palatino Linotype" w:hAnsi="Palatino Linotype" w:cs="Palatino Linotype"/>
          <w:i/>
          <w:sz w:val="22"/>
          <w:szCs w:val="22"/>
        </w:rPr>
      </w:pPr>
    </w:p>
    <w:p w14:paraId="71EF188E" w14:textId="77777777" w:rsidR="00587B33" w:rsidRDefault="003C2B49">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atención a lo anterior, es necesario realizar alguna de estas dos opciones: </w:t>
      </w:r>
    </w:p>
    <w:p w14:paraId="7C8DE8DB" w14:textId="77777777" w:rsidR="00587B33" w:rsidRDefault="00587B33">
      <w:pPr>
        <w:ind w:left="850" w:right="899"/>
        <w:jc w:val="both"/>
        <w:rPr>
          <w:rFonts w:ascii="Palatino Linotype" w:eastAsia="Palatino Linotype" w:hAnsi="Palatino Linotype" w:cs="Palatino Linotype"/>
          <w:i/>
          <w:sz w:val="22"/>
          <w:szCs w:val="22"/>
        </w:rPr>
      </w:pPr>
    </w:p>
    <w:p w14:paraId="6B2B21B3" w14:textId="77777777" w:rsidR="00587B33" w:rsidRDefault="003C2B49">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Solicitar ante la Dirección General de Informática de este Instituto consulta de incidencia de la capacidad (MB) de la información que debe subirse al Sistema de Acceso a la Información Mexiquense (SAIMEX) o; </w:t>
      </w:r>
    </w:p>
    <w:p w14:paraId="70B8D1E0" w14:textId="77777777" w:rsidR="00587B33" w:rsidRDefault="00587B33">
      <w:pPr>
        <w:ind w:left="850" w:right="899"/>
        <w:jc w:val="both"/>
        <w:rPr>
          <w:rFonts w:ascii="Palatino Linotype" w:eastAsia="Palatino Linotype" w:hAnsi="Palatino Linotype" w:cs="Palatino Linotype"/>
          <w:i/>
          <w:sz w:val="22"/>
          <w:szCs w:val="22"/>
        </w:rPr>
      </w:pPr>
    </w:p>
    <w:p w14:paraId="7D587655" w14:textId="77777777" w:rsidR="00587B33" w:rsidRDefault="003C2B49">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Remitir el acuerdo emitido por el Comité de Transparencia en el cual se apruebe el cambio de modalidad atendiendo de manera particular las solicitudes materia del presente asunto. </w:t>
      </w:r>
    </w:p>
    <w:p w14:paraId="45C093BD" w14:textId="77777777" w:rsidR="00587B33" w:rsidRDefault="00587B33">
      <w:pPr>
        <w:ind w:left="850" w:right="899"/>
        <w:jc w:val="both"/>
        <w:rPr>
          <w:rFonts w:ascii="Palatino Linotype" w:eastAsia="Palatino Linotype" w:hAnsi="Palatino Linotype" w:cs="Palatino Linotype"/>
          <w:i/>
          <w:sz w:val="22"/>
          <w:szCs w:val="22"/>
        </w:rPr>
      </w:pPr>
    </w:p>
    <w:p w14:paraId="07F0930E" w14:textId="77777777" w:rsidR="00587B33" w:rsidRDefault="003C2B49">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Por lo antes mencionado, se le requiere para que en un plazo no mayor a tres días, informe a este Instituto, de ser el caso, la imposibilidad de poder cargar la información en el Sistema de Acceso a la Información Mexiquense (SAIMEX) con la debida motivación, referida en el párrafo que antecede; ello con la finalidad de que este Órgano Garante cuente con mayores elementos al momento de resolver los Recursos de Revisión citados.  </w:t>
      </w:r>
    </w:p>
    <w:p w14:paraId="334627F3" w14:textId="77777777" w:rsidR="00587B33" w:rsidRDefault="00587B33">
      <w:pPr>
        <w:ind w:left="850" w:right="899"/>
        <w:jc w:val="both"/>
        <w:rPr>
          <w:rFonts w:ascii="Palatino Linotype" w:eastAsia="Palatino Linotype" w:hAnsi="Palatino Linotype" w:cs="Palatino Linotype"/>
          <w:i/>
          <w:sz w:val="22"/>
          <w:szCs w:val="22"/>
        </w:rPr>
      </w:pPr>
    </w:p>
    <w:p w14:paraId="25776108" w14:textId="77777777" w:rsidR="00587B33" w:rsidRDefault="003C2B49">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Sin más por el momento, aprovecho la ocasión para enviarle un cordial saludo…”</w:t>
      </w:r>
    </w:p>
    <w:p w14:paraId="6FD23BE2" w14:textId="77777777" w:rsidR="00587B33" w:rsidRDefault="00587B33">
      <w:pPr>
        <w:spacing w:line="360" w:lineRule="auto"/>
        <w:ind w:right="49"/>
        <w:jc w:val="both"/>
        <w:rPr>
          <w:rFonts w:ascii="Palatino Linotype" w:eastAsia="Palatino Linotype" w:hAnsi="Palatino Linotype" w:cs="Palatino Linotype"/>
        </w:rPr>
      </w:pPr>
    </w:p>
    <w:p w14:paraId="6F502DFB" w14:textId="77777777" w:rsidR="00587B33" w:rsidRDefault="003C2B4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la transcripción anterior, se puede observar que le fue concedido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un plazo de tres días hábiles para dar atención al requerimiento realizado, sin que se haya recibido respuesta alguna.  </w:t>
      </w:r>
    </w:p>
    <w:p w14:paraId="7200F123" w14:textId="77777777" w:rsidR="00587B33" w:rsidRDefault="00587B33">
      <w:pPr>
        <w:spacing w:line="360" w:lineRule="auto"/>
        <w:ind w:right="49"/>
        <w:jc w:val="both"/>
        <w:rPr>
          <w:rFonts w:ascii="Palatino Linotype" w:eastAsia="Palatino Linotype" w:hAnsi="Palatino Linotype" w:cs="Palatino Linotype"/>
        </w:rPr>
      </w:pPr>
    </w:p>
    <w:p w14:paraId="292FCEC4" w14:textId="77777777" w:rsidR="00587B33" w:rsidRDefault="003C2B4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Aunado al hecho de que de las respuestas proporcionadas por el ente recurrido a las solicitudes de acceso a la información pública no se advierten elementos suficientes para fundar y motivar de forma adecuada el cambio de modalidad referido por </w:t>
      </w:r>
      <w:r>
        <w:rPr>
          <w:rFonts w:ascii="Palatino Linotype" w:eastAsia="Palatino Linotype" w:hAnsi="Palatino Linotype" w:cs="Palatino Linotype"/>
          <w:b/>
        </w:rPr>
        <w:t>EL SUJETO OBLIGADO.</w:t>
      </w:r>
    </w:p>
    <w:p w14:paraId="2A1C0335" w14:textId="77777777" w:rsidR="00587B33" w:rsidRDefault="00587B33">
      <w:pPr>
        <w:spacing w:line="360" w:lineRule="auto"/>
        <w:jc w:val="both"/>
        <w:rPr>
          <w:rFonts w:ascii="Palatino Linotype" w:eastAsia="Palatino Linotype" w:hAnsi="Palatino Linotype" w:cs="Palatino Linotype"/>
        </w:rPr>
      </w:pPr>
    </w:p>
    <w:p w14:paraId="0FB3BF1B"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Luego entonces, se puede señalar que la información solicitada no supera las capacidades técnicas del sistema, aunado al hecho de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refirió la hora, fecha, lugar ni los procedimientos para llevar a cabo la consulta de la información, como lo establecen los Lineamientos generales en materia de clasificación y desclasificación de la información, así como para la elaboración de versiones públicas, que señalan:</w:t>
      </w:r>
    </w:p>
    <w:p w14:paraId="7DB720C8" w14:textId="77777777" w:rsidR="00587B33" w:rsidRDefault="00587B33">
      <w:pPr>
        <w:spacing w:line="360" w:lineRule="auto"/>
        <w:jc w:val="both"/>
        <w:rPr>
          <w:rFonts w:ascii="Palatino Linotype" w:eastAsia="Palatino Linotype" w:hAnsi="Palatino Linotype" w:cs="Palatino Linotype"/>
        </w:rPr>
      </w:pPr>
    </w:p>
    <w:p w14:paraId="75719EC6" w14:textId="77777777" w:rsidR="00587B33" w:rsidRDefault="003C2B49">
      <w:pPr>
        <w:ind w:left="851" w:right="85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CAPÍTULO X </w:t>
      </w:r>
    </w:p>
    <w:p w14:paraId="22E51787" w14:textId="77777777" w:rsidR="00587B33" w:rsidRDefault="003C2B49">
      <w:pPr>
        <w:ind w:left="851" w:right="85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CONSULTA DIRECTA</w:t>
      </w:r>
    </w:p>
    <w:p w14:paraId="49C46AC9" w14:textId="77777777" w:rsidR="00587B33" w:rsidRDefault="00587B33">
      <w:pPr>
        <w:ind w:left="851" w:right="851"/>
        <w:jc w:val="center"/>
        <w:rPr>
          <w:rFonts w:ascii="Palatino Linotype" w:eastAsia="Palatino Linotype" w:hAnsi="Palatino Linotype" w:cs="Palatino Linotype"/>
          <w:b/>
          <w:i/>
          <w:sz w:val="22"/>
          <w:szCs w:val="22"/>
        </w:rPr>
      </w:pPr>
    </w:p>
    <w:p w14:paraId="0F418B92"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Sexagésimo séptimo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r>
        <w:rPr>
          <w:rFonts w:ascii="Palatino Linotype" w:eastAsia="Palatino Linotype" w:hAnsi="Palatino Linotype" w:cs="Palatino Linotype"/>
          <w:i/>
          <w:sz w:val="22"/>
          <w:szCs w:val="22"/>
        </w:rPr>
        <w:t xml:space="preserve">. </w:t>
      </w:r>
    </w:p>
    <w:p w14:paraId="60941EC1" w14:textId="77777777" w:rsidR="00587B33" w:rsidRDefault="00587B33">
      <w:pPr>
        <w:ind w:left="851" w:right="851"/>
        <w:jc w:val="both"/>
        <w:rPr>
          <w:rFonts w:ascii="Palatino Linotype" w:eastAsia="Palatino Linotype" w:hAnsi="Palatino Linotype" w:cs="Palatino Linotype"/>
          <w:i/>
          <w:sz w:val="22"/>
          <w:szCs w:val="22"/>
        </w:rPr>
      </w:pPr>
    </w:p>
    <w:p w14:paraId="2D6CAD3A"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Sexagésimo octavo</w:t>
      </w:r>
      <w:r>
        <w:rPr>
          <w:rFonts w:ascii="Palatino Linotype" w:eastAsia="Palatino Linotype" w:hAnsi="Palatino Linotype" w:cs="Palatino Linotype"/>
          <w:i/>
          <w:sz w:val="22"/>
          <w:szCs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3D3E5F1D" w14:textId="77777777" w:rsidR="00587B33" w:rsidRDefault="00587B33">
      <w:pPr>
        <w:ind w:left="851" w:right="851"/>
        <w:jc w:val="both"/>
        <w:rPr>
          <w:rFonts w:ascii="Palatino Linotype" w:eastAsia="Palatino Linotype" w:hAnsi="Palatino Linotype" w:cs="Palatino Linotype"/>
          <w:i/>
          <w:sz w:val="22"/>
          <w:szCs w:val="22"/>
        </w:rPr>
      </w:pPr>
    </w:p>
    <w:p w14:paraId="1CD3BB98"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Sexagésimo noveno</w:t>
      </w:r>
      <w:r>
        <w:rPr>
          <w:rFonts w:ascii="Palatino Linotype" w:eastAsia="Palatino Linotype" w:hAnsi="Palatino Linotype" w:cs="Palatino Linotype"/>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01D08AD1" w14:textId="77777777" w:rsidR="00587B33" w:rsidRDefault="00587B33">
      <w:pPr>
        <w:ind w:left="851" w:right="851"/>
        <w:jc w:val="both"/>
        <w:rPr>
          <w:rFonts w:ascii="Palatino Linotype" w:eastAsia="Palatino Linotype" w:hAnsi="Palatino Linotype" w:cs="Palatino Linotype"/>
          <w:i/>
          <w:sz w:val="22"/>
          <w:szCs w:val="22"/>
        </w:rPr>
      </w:pPr>
    </w:p>
    <w:p w14:paraId="386A2A2D"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Septuagésimo</w:t>
      </w:r>
      <w:r>
        <w:rPr>
          <w:rFonts w:ascii="Palatino Linotype" w:eastAsia="Palatino Linotype" w:hAnsi="Palatino Linotype" w:cs="Palatino Linotype"/>
          <w:i/>
          <w:sz w:val="22"/>
          <w:szCs w:val="22"/>
        </w:rPr>
        <w:t xml:space="preserve">. Para el desahogo de las actuaciones tendientes a permitir la consulta directa, en los casos en que ésta resulte procedente, los sujetos obligados deberán observar lo siguiente: </w:t>
      </w:r>
    </w:p>
    <w:p w14:paraId="5BE0C74E" w14:textId="77777777" w:rsidR="00587B33" w:rsidRDefault="00587B33">
      <w:pPr>
        <w:ind w:left="851" w:right="851"/>
        <w:jc w:val="both"/>
        <w:rPr>
          <w:rFonts w:ascii="Palatino Linotype" w:eastAsia="Palatino Linotype" w:hAnsi="Palatino Linotype" w:cs="Palatino Linotype"/>
          <w:i/>
          <w:sz w:val="22"/>
          <w:szCs w:val="22"/>
        </w:rPr>
      </w:pPr>
    </w:p>
    <w:p w14:paraId="594AECB4"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Señalar claramente al particular, en la respuesta a su solicitud, el lugar, día y hora en que se podrá llevar a cabo la consulta de la documentación solicitada</w:t>
      </w:r>
      <w:r>
        <w:rPr>
          <w:rFonts w:ascii="Palatino Linotype" w:eastAsia="Palatino Linotype" w:hAnsi="Palatino Linotype" w:cs="Palatino Linotype"/>
          <w:i/>
          <w:sz w:val="22"/>
          <w:szCs w:val="22"/>
        </w:rPr>
        <w:t xml:space="preserve">.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2A67886A" w14:textId="77777777" w:rsidR="00587B33" w:rsidRDefault="00587B33">
      <w:pPr>
        <w:ind w:left="851" w:right="851"/>
        <w:jc w:val="both"/>
        <w:rPr>
          <w:rFonts w:ascii="Palatino Linotype" w:eastAsia="Palatino Linotype" w:hAnsi="Palatino Linotype" w:cs="Palatino Linotype"/>
          <w:i/>
          <w:sz w:val="22"/>
          <w:szCs w:val="22"/>
        </w:rPr>
      </w:pPr>
    </w:p>
    <w:p w14:paraId="60E907DF"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En su caso, la procedencia de los ajustes razonables solicitados y/o la procedencia de acceso en la lengua indígena requerida; </w:t>
      </w:r>
    </w:p>
    <w:p w14:paraId="66DFED25" w14:textId="77777777" w:rsidR="00587B33" w:rsidRDefault="00587B33">
      <w:pPr>
        <w:ind w:left="851" w:right="851"/>
        <w:jc w:val="both"/>
        <w:rPr>
          <w:rFonts w:ascii="Palatino Linotype" w:eastAsia="Palatino Linotype" w:hAnsi="Palatino Linotype" w:cs="Palatino Linotype"/>
          <w:i/>
          <w:sz w:val="22"/>
          <w:szCs w:val="22"/>
        </w:rPr>
      </w:pPr>
    </w:p>
    <w:p w14:paraId="37999D4D"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 xml:space="preserve">Indicar claramente la ubicación del lugar en que el solicitante podrá llevar a cabo la consulta de la información debiendo ser éste, en la medida de lo posible, el domicilio de la Unidad de Transparencia, </w:t>
      </w:r>
      <w:r>
        <w:rPr>
          <w:rFonts w:ascii="Palatino Linotype" w:eastAsia="Palatino Linotype" w:hAnsi="Palatino Linotype" w:cs="Palatino Linotype"/>
          <w:b/>
          <w:i/>
          <w:sz w:val="22"/>
          <w:szCs w:val="22"/>
          <w:u w:val="single"/>
        </w:rPr>
        <w:t>así como el nombre, cargo y datos de contacto del personal que le permitirá el acceso</w:t>
      </w:r>
      <w:r>
        <w:rPr>
          <w:rFonts w:ascii="Palatino Linotype" w:eastAsia="Palatino Linotype" w:hAnsi="Palatino Linotype" w:cs="Palatino Linotype"/>
          <w:i/>
          <w:sz w:val="22"/>
          <w:szCs w:val="22"/>
        </w:rPr>
        <w:t xml:space="preserve">; </w:t>
      </w:r>
    </w:p>
    <w:p w14:paraId="1B346C4A" w14:textId="77777777" w:rsidR="00587B33" w:rsidRDefault="00587B33">
      <w:pPr>
        <w:ind w:left="851" w:right="851"/>
        <w:jc w:val="both"/>
        <w:rPr>
          <w:rFonts w:ascii="Palatino Linotype" w:eastAsia="Palatino Linotype" w:hAnsi="Palatino Linotype" w:cs="Palatino Linotype"/>
          <w:b/>
          <w:i/>
          <w:sz w:val="22"/>
          <w:szCs w:val="22"/>
        </w:rPr>
      </w:pPr>
    </w:p>
    <w:p w14:paraId="452B1A24"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Proporcionar al solicitante las facilidades y asistencia requerida para la consulta de los documentos;</w:t>
      </w:r>
    </w:p>
    <w:p w14:paraId="2196A6F4" w14:textId="77777777" w:rsidR="00587B33" w:rsidRDefault="00587B33">
      <w:pPr>
        <w:ind w:left="851" w:right="851"/>
        <w:jc w:val="both"/>
        <w:rPr>
          <w:rFonts w:ascii="Palatino Linotype" w:eastAsia="Palatino Linotype" w:hAnsi="Palatino Linotype" w:cs="Palatino Linotype"/>
          <w:b/>
          <w:i/>
          <w:sz w:val="22"/>
          <w:szCs w:val="22"/>
        </w:rPr>
      </w:pPr>
    </w:p>
    <w:p w14:paraId="2B8FAA3F"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Abstenerse de requerir al solicitante que acredite interés alguno; </w:t>
      </w:r>
    </w:p>
    <w:p w14:paraId="4182F0ED" w14:textId="77777777" w:rsidR="00587B33" w:rsidRDefault="00587B33">
      <w:pPr>
        <w:ind w:left="851" w:right="851"/>
        <w:jc w:val="both"/>
        <w:rPr>
          <w:rFonts w:ascii="Palatino Linotype" w:eastAsia="Palatino Linotype" w:hAnsi="Palatino Linotype" w:cs="Palatino Linotype"/>
          <w:i/>
          <w:sz w:val="22"/>
          <w:szCs w:val="22"/>
        </w:rPr>
      </w:pPr>
    </w:p>
    <w:p w14:paraId="57619D39"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VI.</w:t>
      </w:r>
      <w:r>
        <w:rPr>
          <w:rFonts w:ascii="Palatino Linotype" w:eastAsia="Palatino Linotype" w:hAnsi="Palatino Linotype" w:cs="Palatino Linotype"/>
          <w:i/>
          <w:sz w:val="22"/>
          <w:szCs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56D9677A"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Contar con instalaciones y mobiliario adecuado para asegurar tanto la integridad del documento consultado, como para proporcionar al solicitante las mejores condiciones para poder llevar a cabo la consulta directa; </w:t>
      </w:r>
    </w:p>
    <w:p w14:paraId="6D639001"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b)</w:t>
      </w:r>
      <w:r>
        <w:rPr>
          <w:rFonts w:ascii="Palatino Linotype" w:eastAsia="Palatino Linotype" w:hAnsi="Palatino Linotype" w:cs="Palatino Linotype"/>
          <w:i/>
          <w:sz w:val="22"/>
          <w:szCs w:val="22"/>
        </w:rPr>
        <w:t xml:space="preserve"> Equipo y personal de vigilancia; </w:t>
      </w:r>
    </w:p>
    <w:p w14:paraId="1F986AA7"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w:t>
      </w:r>
      <w:r>
        <w:rPr>
          <w:rFonts w:ascii="Palatino Linotype" w:eastAsia="Palatino Linotype" w:hAnsi="Palatino Linotype" w:cs="Palatino Linotype"/>
          <w:i/>
          <w:sz w:val="22"/>
          <w:szCs w:val="22"/>
        </w:rPr>
        <w:t xml:space="preserve"> Plan de acción contra robo o vandalismo; </w:t>
      </w:r>
    </w:p>
    <w:p w14:paraId="35405EE9"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w:t>
      </w:r>
      <w:r>
        <w:rPr>
          <w:rFonts w:ascii="Palatino Linotype" w:eastAsia="Palatino Linotype" w:hAnsi="Palatino Linotype" w:cs="Palatino Linotype"/>
          <w:i/>
          <w:sz w:val="22"/>
          <w:szCs w:val="22"/>
        </w:rPr>
        <w:t xml:space="preserve"> Extintores de fuego de gas inocuo; </w:t>
      </w:r>
    </w:p>
    <w:p w14:paraId="0185ED1C"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w:t>
      </w:r>
      <w:r>
        <w:rPr>
          <w:rFonts w:ascii="Palatino Linotype" w:eastAsia="Palatino Linotype" w:hAnsi="Palatino Linotype" w:cs="Palatino Linotype"/>
          <w:i/>
          <w:sz w:val="22"/>
          <w:szCs w:val="22"/>
        </w:rPr>
        <w:t xml:space="preserve"> Registro e identificación del personal autorizado para el tratamiento de los documentos o expedientes a revisar; </w:t>
      </w:r>
    </w:p>
    <w:p w14:paraId="09E60432"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w:t>
      </w:r>
      <w:r>
        <w:rPr>
          <w:rFonts w:ascii="Palatino Linotype" w:eastAsia="Palatino Linotype" w:hAnsi="Palatino Linotype" w:cs="Palatino Linotype"/>
          <w:i/>
          <w:sz w:val="22"/>
          <w:szCs w:val="22"/>
        </w:rPr>
        <w:t xml:space="preserve"> Registro e identificación de los particulares autorizados para llevar a cabo la consulta directa, y </w:t>
      </w:r>
    </w:p>
    <w:p w14:paraId="583BAE68"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g)</w:t>
      </w:r>
      <w:r>
        <w:rPr>
          <w:rFonts w:ascii="Palatino Linotype" w:eastAsia="Palatino Linotype" w:hAnsi="Palatino Linotype" w:cs="Palatino Linotype"/>
          <w:i/>
          <w:sz w:val="22"/>
          <w:szCs w:val="22"/>
        </w:rPr>
        <w:t xml:space="preserve"> Las demás que, a criterio de los sujetos obligados, resulten necesarias. </w:t>
      </w:r>
    </w:p>
    <w:p w14:paraId="049EB2A0" w14:textId="77777777" w:rsidR="00587B33" w:rsidRDefault="00587B33">
      <w:pPr>
        <w:ind w:left="851" w:right="851"/>
        <w:jc w:val="both"/>
        <w:rPr>
          <w:rFonts w:ascii="Palatino Linotype" w:eastAsia="Palatino Linotype" w:hAnsi="Palatino Linotype" w:cs="Palatino Linotype"/>
          <w:i/>
          <w:sz w:val="22"/>
          <w:szCs w:val="22"/>
        </w:rPr>
      </w:pPr>
    </w:p>
    <w:p w14:paraId="57375008"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Hacer del conocimiento del solicitante, previo al acceso a la información, las reglas a que se sujetará la consulta para garantizar la integridad de los documentos, y </w:t>
      </w:r>
    </w:p>
    <w:p w14:paraId="00062DAF" w14:textId="77777777" w:rsidR="00587B33" w:rsidRDefault="00587B33">
      <w:pPr>
        <w:ind w:left="851" w:right="851"/>
        <w:jc w:val="both"/>
        <w:rPr>
          <w:rFonts w:ascii="Palatino Linotype" w:eastAsia="Palatino Linotype" w:hAnsi="Palatino Linotype" w:cs="Palatino Linotype"/>
          <w:i/>
          <w:sz w:val="22"/>
          <w:szCs w:val="22"/>
        </w:rPr>
      </w:pPr>
    </w:p>
    <w:p w14:paraId="08133FD6"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r>
        <w:rPr>
          <w:rFonts w:ascii="Palatino Linotype" w:eastAsia="Palatino Linotype" w:hAnsi="Palatino Linotype" w:cs="Palatino Linotype"/>
          <w:i/>
          <w:sz w:val="22"/>
          <w:szCs w:val="22"/>
        </w:rPr>
        <w:t xml:space="preserve">. </w:t>
      </w:r>
    </w:p>
    <w:p w14:paraId="65849D21" w14:textId="77777777" w:rsidR="00587B33" w:rsidRDefault="00587B33">
      <w:pPr>
        <w:ind w:left="851" w:right="851"/>
        <w:jc w:val="both"/>
        <w:rPr>
          <w:rFonts w:ascii="Palatino Linotype" w:eastAsia="Palatino Linotype" w:hAnsi="Palatino Linotype" w:cs="Palatino Linotype"/>
          <w:i/>
          <w:sz w:val="22"/>
          <w:szCs w:val="22"/>
        </w:rPr>
      </w:pPr>
    </w:p>
    <w:p w14:paraId="2B8CDED0"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Septuagésimo primero</w:t>
      </w:r>
      <w:r>
        <w:rPr>
          <w:rFonts w:ascii="Palatino Linotype" w:eastAsia="Palatino Linotype" w:hAnsi="Palatino Linotype" w:cs="Palatino Linotype"/>
          <w:i/>
          <w:sz w:val="22"/>
          <w:szCs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564CA16F" w14:textId="77777777" w:rsidR="00587B33" w:rsidRDefault="00587B33">
      <w:pPr>
        <w:ind w:left="851" w:right="851"/>
        <w:jc w:val="both"/>
        <w:rPr>
          <w:rFonts w:ascii="Palatino Linotype" w:eastAsia="Palatino Linotype" w:hAnsi="Palatino Linotype" w:cs="Palatino Linotype"/>
          <w:i/>
          <w:sz w:val="22"/>
          <w:szCs w:val="22"/>
        </w:rPr>
      </w:pPr>
    </w:p>
    <w:p w14:paraId="54DA114A"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solicitante deberá observar en todo momento las reglas que el sujeto obligado haya hecho de su conocimiento para efectos de la conservación de los documentos. </w:t>
      </w:r>
    </w:p>
    <w:p w14:paraId="4CD62849" w14:textId="77777777" w:rsidR="00587B33" w:rsidRDefault="00587B33">
      <w:pPr>
        <w:ind w:left="851" w:right="851"/>
        <w:jc w:val="both"/>
        <w:rPr>
          <w:rFonts w:ascii="Palatino Linotype" w:eastAsia="Palatino Linotype" w:hAnsi="Palatino Linotype" w:cs="Palatino Linotype"/>
          <w:i/>
          <w:sz w:val="22"/>
          <w:szCs w:val="22"/>
        </w:rPr>
      </w:pPr>
    </w:p>
    <w:p w14:paraId="4ED461A5"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Septuagésimo segundo</w:t>
      </w:r>
      <w:r>
        <w:rPr>
          <w:rFonts w:ascii="Palatino Linotype" w:eastAsia="Palatino Linotype" w:hAnsi="Palatino Linotype" w:cs="Palatino Linotype"/>
          <w:i/>
          <w:sz w:val="22"/>
          <w:szCs w:val="22"/>
        </w:rPr>
        <w:t xml:space="preserve">. El solicitante deberá realizar la consulta de los documentos requeridos en el lugar, horarios y con la persona destinada para tal efecto. Si una vez realizada la diligencia, en el tiempo previsto para ello, no fuera posible consultar toda la documentación, el solicitante podrá requerir al sujeto obligado una nueva cita, </w:t>
      </w:r>
      <w:r>
        <w:rPr>
          <w:rFonts w:ascii="Palatino Linotype" w:eastAsia="Palatino Linotype" w:hAnsi="Palatino Linotype" w:cs="Palatino Linotype"/>
          <w:i/>
          <w:sz w:val="22"/>
          <w:szCs w:val="22"/>
        </w:rPr>
        <w:lastRenderedPageBreak/>
        <w:t xml:space="preserve">misma que deberá ser programada indicándole al particular los días y horarios en que podrá llevarse a cabo. </w:t>
      </w:r>
    </w:p>
    <w:p w14:paraId="44B2CAB6" w14:textId="77777777" w:rsidR="00587B33" w:rsidRDefault="00587B33">
      <w:pPr>
        <w:ind w:left="851" w:right="851"/>
        <w:jc w:val="both"/>
        <w:rPr>
          <w:rFonts w:ascii="Palatino Linotype" w:eastAsia="Palatino Linotype" w:hAnsi="Palatino Linotype" w:cs="Palatino Linotype"/>
          <w:i/>
          <w:sz w:val="22"/>
          <w:szCs w:val="22"/>
        </w:rPr>
      </w:pPr>
    </w:p>
    <w:p w14:paraId="1A1784CE" w14:textId="77777777" w:rsidR="00587B33" w:rsidRDefault="003C2B49">
      <w:pPr>
        <w:ind w:left="851" w:right="851"/>
        <w:jc w:val="both"/>
        <w:rPr>
          <w:rFonts w:ascii="Palatino Linotype" w:eastAsia="Palatino Linotype" w:hAnsi="Palatino Linotype" w:cs="Palatino Linotype"/>
          <w:i/>
          <w:sz w:val="22"/>
          <w:szCs w:val="22"/>
        </w:rPr>
      </w:pPr>
      <w:bookmarkStart w:id="6" w:name="_heading=h.35nkun2" w:colFirst="0" w:colLast="0"/>
      <w:bookmarkEnd w:id="6"/>
      <w:r>
        <w:rPr>
          <w:rFonts w:ascii="Palatino Linotype" w:eastAsia="Palatino Linotype" w:hAnsi="Palatino Linotype" w:cs="Palatino Linotype"/>
          <w:b/>
          <w:i/>
          <w:sz w:val="22"/>
          <w:szCs w:val="22"/>
        </w:rPr>
        <w:t>Septuagésimo tercero</w:t>
      </w:r>
      <w:r>
        <w:rPr>
          <w:rFonts w:ascii="Palatino Linotype" w:eastAsia="Palatino Linotype" w:hAnsi="Palatino Linotype" w:cs="Palatino Linotype"/>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134EA0C4" w14:textId="77777777" w:rsidR="00587B33" w:rsidRDefault="00587B33">
      <w:pPr>
        <w:ind w:left="851" w:right="851"/>
        <w:jc w:val="both"/>
        <w:rPr>
          <w:rFonts w:ascii="Palatino Linotype" w:eastAsia="Palatino Linotype" w:hAnsi="Palatino Linotype" w:cs="Palatino Linotype"/>
          <w:i/>
          <w:sz w:val="22"/>
          <w:szCs w:val="22"/>
        </w:rPr>
      </w:pPr>
    </w:p>
    <w:p w14:paraId="4A7A2F15"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deberá ser entregada sin costo, cuando implique la entrega de no más de veinte hojas simples.</w:t>
      </w:r>
    </w:p>
    <w:p w14:paraId="4C6D1517" w14:textId="77777777" w:rsidR="00587B33" w:rsidRDefault="00587B33">
      <w:pPr>
        <w:spacing w:line="360" w:lineRule="auto"/>
        <w:jc w:val="both"/>
        <w:rPr>
          <w:rFonts w:ascii="Palatino Linotype" w:eastAsia="Palatino Linotype" w:hAnsi="Palatino Linotype" w:cs="Palatino Linotype"/>
        </w:rPr>
      </w:pPr>
    </w:p>
    <w:p w14:paraId="0FCEF2BE"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cita anterior, se logra vislumbrar que existen lineamientos que rigen la forma en la que los Sujetos Obligados deberán llevar a cabo el cambio de modalidad en, situación que en el caso que nos ocupa no aconteció. En consecuencia dicho cambio de modalidad decidido unilateralmente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es improcedente por no haberse realizado en apego a lo establecido por la Ley de Transparencia y Acceso a la Información Pública del Estado de México y Municipios. </w:t>
      </w:r>
    </w:p>
    <w:p w14:paraId="11431F45" w14:textId="77777777" w:rsidR="00587B33" w:rsidRDefault="003C2B4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en cuanto a la naturaleza de la información, es de precisar que de conformidad con el artículo 116, fracción II, párrafo sexto de la Constitución Política de los Estados Unidos Mexicanos, las legislaturas de los Estados contarán con entidades estatales de fiscalización, con autonomía técnica y de gestión, en ese sentido, de acuerdo con el artículo 61, fracciones XXXII, XXXIII, XXXIV y XXXV de la Constitución Política del Estado Libre y Soberano de México, el Órgano Superior de Fiscalización del Estado de México, es un órgano dotado de autonomía técnica y de gestión, con atribuciones para recibir, revisar y fiscalizar las cuentas públicas del Estado y de los municipios. </w:t>
      </w:r>
    </w:p>
    <w:p w14:paraId="57134F0A"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sentido se tiene que los entes fiscalizables, tiene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 </w:t>
      </w:r>
    </w:p>
    <w:p w14:paraId="1ACC1C96" w14:textId="77777777" w:rsidR="00587B33" w:rsidRDefault="00587B33">
      <w:pPr>
        <w:spacing w:line="360" w:lineRule="auto"/>
        <w:jc w:val="both"/>
        <w:rPr>
          <w:rFonts w:ascii="Palatino Linotype" w:eastAsia="Palatino Linotype" w:hAnsi="Palatino Linotype" w:cs="Palatino Linotype"/>
        </w:rPr>
      </w:pPr>
    </w:p>
    <w:p w14:paraId="237153D3" w14:textId="77777777" w:rsidR="00587B33" w:rsidRDefault="003C2B49">
      <w:pPr>
        <w:tabs>
          <w:tab w:val="left" w:pos="85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generar, administrar y poseer la información detallada que se encuentra prevista en los </w:t>
      </w:r>
      <w:r>
        <w:rPr>
          <w:rFonts w:ascii="Palatino Linotype" w:eastAsia="Palatino Linotype" w:hAnsi="Palatino Linotype" w:cs="Palatino Linotype"/>
          <w:b/>
        </w:rPr>
        <w:t>Lineamientos para la Integración del Informe Trimestral</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de los Sujetos de Fiscalización Municipales </w:t>
      </w:r>
      <w:r>
        <w:rPr>
          <w:rFonts w:ascii="Palatino Linotype" w:eastAsia="Palatino Linotype" w:hAnsi="Palatino Linotype" w:cs="Palatino Linotype"/>
        </w:rPr>
        <w:t>para el Ejercicio 2019.</w:t>
      </w:r>
    </w:p>
    <w:p w14:paraId="4DA99B5F" w14:textId="77777777" w:rsidR="00587B33" w:rsidRDefault="003C2B49">
      <w:pPr>
        <w:tabs>
          <w:tab w:val="right" w:pos="8505"/>
        </w:tabs>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esta forma, se desagregará, en continuación con el estudio de la presente resolución, de los </w:t>
      </w:r>
      <w:r>
        <w:rPr>
          <w:rFonts w:ascii="Palatino Linotype" w:eastAsia="Palatino Linotype" w:hAnsi="Palatino Linotype" w:cs="Palatino Linotype"/>
          <w:b/>
        </w:rPr>
        <w:t xml:space="preserve">Lineamientos para la Integración del Informe Mensual, </w:t>
      </w:r>
      <w:r>
        <w:rPr>
          <w:rFonts w:ascii="Palatino Linotype" w:eastAsia="Palatino Linotype" w:hAnsi="Palatino Linotype" w:cs="Palatino Linotype"/>
        </w:rPr>
        <w:t>mismo que el OSFEM emitió anualmente para definir los criterios, formatos y documentación necesaria para presentar los informes mensuales, dentro de los cuales destacan –en relación con el análisis que nos ocupa-, el Disco 4, relativo a la información de nómina.</w:t>
      </w:r>
    </w:p>
    <w:p w14:paraId="7EBA5D8E" w14:textId="77777777" w:rsidR="00587B33" w:rsidRDefault="003C2B4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OSFEM dentro de los 20 días posteriores al término del mes correspondiente de acuerdo a lo establecido en el artículo 32 de la Ley de Fiscalización Superior del Estado de México, que a la letra dice:</w:t>
      </w:r>
    </w:p>
    <w:p w14:paraId="4EA40CD1" w14:textId="77777777" w:rsidR="00587B33" w:rsidRDefault="003C2B4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32.-</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Gobernador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conducto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titular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competente,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presentará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fiscal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inmediato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anterior,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más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tardar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quince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año.</w:t>
      </w:r>
    </w:p>
    <w:p w14:paraId="068C8E10" w14:textId="77777777" w:rsidR="00587B33" w:rsidRDefault="003C2B49">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Presidentes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presentarán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Legislatura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cuentas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anuales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respectivos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municipios,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fiscal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inmediato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anterior,</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dentro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quince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primeros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días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marzo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año;</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asimism</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mensuales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presentar</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dentro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veinte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días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posteriores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término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correspondiente.”</w:t>
      </w:r>
    </w:p>
    <w:p w14:paraId="5932B103" w14:textId="77777777" w:rsidR="00587B33" w:rsidRDefault="003C2B49">
      <w:pPr>
        <w:ind w:left="851" w:right="8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(Énfasis</w:t>
      </w:r>
      <w:r>
        <w:rPr>
          <w:rFonts w:ascii="Palatino Linotype" w:eastAsia="Palatino Linotype" w:hAnsi="Palatino Linotype" w:cs="Palatino Linotype"/>
          <w:b/>
        </w:rPr>
        <w:t xml:space="preserve"> </w:t>
      </w:r>
      <w:r>
        <w:rPr>
          <w:rFonts w:ascii="Palatino Linotype" w:eastAsia="Palatino Linotype" w:hAnsi="Palatino Linotype" w:cs="Palatino Linotype"/>
          <w:b/>
          <w:sz w:val="22"/>
          <w:szCs w:val="22"/>
        </w:rPr>
        <w:t>añadido)</w:t>
      </w:r>
    </w:p>
    <w:p w14:paraId="08BD9895" w14:textId="77777777" w:rsidR="00587B33" w:rsidRDefault="003C2B49">
      <w:pPr>
        <w:spacing w:before="280" w:after="28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 xml:space="preserve">Por ello, la información </w:t>
      </w:r>
      <w:r>
        <w:rPr>
          <w:rFonts w:ascii="Palatino Linotype" w:eastAsia="Palatino Linotype" w:hAnsi="Palatino Linotype" w:cs="Palatino Linotype"/>
          <w:b/>
        </w:rPr>
        <w:t>documental comprobatoria</w:t>
      </w:r>
      <w:r>
        <w:rPr>
          <w:rFonts w:ascii="Palatino Linotype" w:eastAsia="Palatino Linotype" w:hAnsi="Palatino Linotype" w:cs="Palatino Linotype"/>
        </w:rPr>
        <w:t xml:space="preserve">, </w:t>
      </w:r>
      <w:r>
        <w:rPr>
          <w:rFonts w:ascii="Palatino Linotype" w:eastAsia="Palatino Linotype" w:hAnsi="Palatino Linotype" w:cs="Palatino Linotype"/>
          <w:b/>
        </w:rPr>
        <w:t>deberá conservarse en los archivos de la entidad fiscalizada –Municipio</w:t>
      </w:r>
      <w:r>
        <w:rPr>
          <w:rFonts w:ascii="Palatino Linotype" w:eastAsia="Palatino Linotype" w:hAnsi="Palatino Linotype" w:cs="Palatino Linotype"/>
        </w:rPr>
        <w:t xml:space="preserve">-, en original y debidamente integrada en términos de los lineamientos de referencia, pues son susceptibles de revisión directa por el OSFEM; destacando que dentro de los informes mensuales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tiene la obligación de rendir, se contempla precisamente la presentación de la Información referente los comprobantes fiscales digitales por concepto de nómina ; tal y como, se muestra en las imágenes siguientes: </w:t>
      </w:r>
    </w:p>
    <w:p w14:paraId="6C935375" w14:textId="77777777" w:rsidR="00587B33" w:rsidRDefault="003C2B49">
      <w:pPr>
        <w:spacing w:before="280" w:after="280" w:line="360" w:lineRule="auto"/>
        <w:ind w:right="-91"/>
        <w:jc w:val="both"/>
        <w:rPr>
          <w:rFonts w:ascii="Palatino Linotype" w:eastAsia="Palatino Linotype" w:hAnsi="Palatino Linotype" w:cs="Palatino Linotype"/>
        </w:rPr>
      </w:pPr>
      <w:r>
        <w:rPr>
          <w:noProof/>
        </w:rPr>
        <w:drawing>
          <wp:inline distT="0" distB="0" distL="0" distR="0" wp14:anchorId="5FE48050" wp14:editId="5C1B5D7E">
            <wp:extent cx="5220653" cy="2547535"/>
            <wp:effectExtent l="0" t="0" r="0" b="0"/>
            <wp:docPr id="1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220653" cy="2547535"/>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20DEA236" wp14:editId="1801B9A0">
                <wp:simplePos x="0" y="0"/>
                <wp:positionH relativeFrom="column">
                  <wp:posOffset>533400</wp:posOffset>
                </wp:positionH>
                <wp:positionV relativeFrom="paragraph">
                  <wp:posOffset>1397000</wp:posOffset>
                </wp:positionV>
                <wp:extent cx="4238625" cy="583248"/>
                <wp:effectExtent l="0" t="0" r="0" b="0"/>
                <wp:wrapNone/>
                <wp:docPr id="153" name="Rectángulo 153"/>
                <wp:cNvGraphicFramePr/>
                <a:graphic xmlns:a="http://schemas.openxmlformats.org/drawingml/2006/main">
                  <a:graphicData uri="http://schemas.microsoft.com/office/word/2010/wordprocessingShape">
                    <wps:wsp>
                      <wps:cNvSpPr/>
                      <wps:spPr>
                        <a:xfrm>
                          <a:off x="3398138" y="3599025"/>
                          <a:ext cx="3895725" cy="361950"/>
                        </a:xfrm>
                        <a:prstGeom prst="rect">
                          <a:avLst/>
                        </a:prstGeom>
                        <a:noFill/>
                        <a:ln w="38100" cap="flat" cmpd="sng">
                          <a:solidFill>
                            <a:srgbClr val="FF0000"/>
                          </a:solidFill>
                          <a:prstDash val="solid"/>
                          <a:round/>
                          <a:headEnd type="none" w="sm" len="sm"/>
                          <a:tailEnd type="none" w="sm" len="sm"/>
                        </a:ln>
                      </wps:spPr>
                      <wps:txbx>
                        <w:txbxContent>
                          <w:p w14:paraId="3BCCEFA9" w14:textId="77777777" w:rsidR="00587B33" w:rsidRDefault="00587B33">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1397000</wp:posOffset>
                </wp:positionV>
                <wp:extent cx="4238625" cy="583248"/>
                <wp:effectExtent b="0" l="0" r="0" t="0"/>
                <wp:wrapNone/>
                <wp:docPr id="153"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4238625" cy="583248"/>
                        </a:xfrm>
                        <a:prstGeom prst="rect"/>
                        <a:ln/>
                      </pic:spPr>
                    </pic:pic>
                  </a:graphicData>
                </a:graphic>
              </wp:anchor>
            </w:drawing>
          </mc:Fallback>
        </mc:AlternateContent>
      </w:r>
    </w:p>
    <w:p w14:paraId="6AF5ACB5" w14:textId="77777777" w:rsidR="00587B33" w:rsidRDefault="003C2B49">
      <w:pPr>
        <w:spacing w:before="280" w:after="280" w:line="360" w:lineRule="auto"/>
        <w:ind w:right="-91"/>
        <w:jc w:val="both"/>
        <w:rPr>
          <w:rFonts w:ascii="Palatino Linotype" w:eastAsia="Palatino Linotype" w:hAnsi="Palatino Linotype" w:cs="Palatino Linotype"/>
          <w:sz w:val="28"/>
          <w:szCs w:val="28"/>
        </w:rPr>
      </w:pPr>
      <w:r>
        <w:rPr>
          <w:noProof/>
        </w:rPr>
        <w:lastRenderedPageBreak/>
        <w:drawing>
          <wp:inline distT="0" distB="0" distL="0" distR="0" wp14:anchorId="153AF7F5" wp14:editId="12473AC3">
            <wp:extent cx="5172075" cy="2931160"/>
            <wp:effectExtent l="0" t="0" r="0" b="0"/>
            <wp:docPr id="1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b="14516"/>
                    <a:stretch>
                      <a:fillRect/>
                    </a:stretch>
                  </pic:blipFill>
                  <pic:spPr>
                    <a:xfrm>
                      <a:off x="0" y="0"/>
                      <a:ext cx="5172075" cy="2931160"/>
                    </a:xfrm>
                    <a:prstGeom prst="rect">
                      <a:avLst/>
                    </a:prstGeom>
                    <a:ln/>
                  </pic:spPr>
                </pic:pic>
              </a:graphicData>
            </a:graphic>
          </wp:inline>
        </w:drawing>
      </w:r>
      <w:r>
        <w:rPr>
          <w:noProof/>
        </w:rPr>
        <mc:AlternateContent>
          <mc:Choice Requires="wpg">
            <w:drawing>
              <wp:anchor distT="0" distB="0" distL="114300" distR="114300" simplePos="0" relativeHeight="251659264" behindDoc="0" locked="0" layoutInCell="1" hidden="0" allowOverlap="1" wp14:anchorId="51A60CA0" wp14:editId="6A3F4265">
                <wp:simplePos x="0" y="0"/>
                <wp:positionH relativeFrom="column">
                  <wp:posOffset>127000</wp:posOffset>
                </wp:positionH>
                <wp:positionV relativeFrom="paragraph">
                  <wp:posOffset>1968500</wp:posOffset>
                </wp:positionV>
                <wp:extent cx="5324475" cy="631339"/>
                <wp:effectExtent l="0" t="0" r="0" b="0"/>
                <wp:wrapNone/>
                <wp:docPr id="152" name="Rectángulo 152"/>
                <wp:cNvGraphicFramePr/>
                <a:graphic xmlns:a="http://schemas.openxmlformats.org/drawingml/2006/main">
                  <a:graphicData uri="http://schemas.microsoft.com/office/word/2010/wordprocessingShape">
                    <wps:wsp>
                      <wps:cNvSpPr/>
                      <wps:spPr>
                        <a:xfrm>
                          <a:off x="2812350" y="3622838"/>
                          <a:ext cx="5067300" cy="314325"/>
                        </a:xfrm>
                        <a:prstGeom prst="rect">
                          <a:avLst/>
                        </a:prstGeom>
                        <a:noFill/>
                        <a:ln w="28575" cap="flat" cmpd="sng">
                          <a:solidFill>
                            <a:srgbClr val="FF0000"/>
                          </a:solidFill>
                          <a:prstDash val="solid"/>
                          <a:round/>
                          <a:headEnd type="none" w="sm" len="sm"/>
                          <a:tailEnd type="none" w="sm" len="sm"/>
                        </a:ln>
                      </wps:spPr>
                      <wps:txbx>
                        <w:txbxContent>
                          <w:p w14:paraId="312E2FCD" w14:textId="77777777" w:rsidR="00587B33" w:rsidRDefault="00587B33">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1968500</wp:posOffset>
                </wp:positionV>
                <wp:extent cx="5324475" cy="631339"/>
                <wp:effectExtent b="0" l="0" r="0" t="0"/>
                <wp:wrapNone/>
                <wp:docPr id="152"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5324475" cy="631339"/>
                        </a:xfrm>
                        <a:prstGeom prst="rect"/>
                        <a:ln/>
                      </pic:spPr>
                    </pic:pic>
                  </a:graphicData>
                </a:graphic>
              </wp:anchor>
            </w:drawing>
          </mc:Fallback>
        </mc:AlternateContent>
      </w:r>
    </w:p>
    <w:p w14:paraId="6DEF89AC" w14:textId="77777777" w:rsidR="00587B33" w:rsidRDefault="003C2B4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los </w:t>
      </w:r>
      <w:r>
        <w:rPr>
          <w:rFonts w:ascii="Palatino Linotype" w:eastAsia="Palatino Linotype" w:hAnsi="Palatino Linotype" w:cs="Palatino Linotype"/>
          <w:b/>
        </w:rPr>
        <w:t>Lineamientos para la Integración del Informe Trimestral de los Sujetos de Fiscalización MUNICIPALES para el Ejercicio 2019</w:t>
      </w:r>
      <w:r>
        <w:rPr>
          <w:rFonts w:ascii="Palatino Linotype" w:eastAsia="Palatino Linotype" w:hAnsi="Palatino Linotype" w:cs="Palatino Linotype"/>
        </w:rPr>
        <w:t xml:space="preserve">, emitidos por el Órgano Superior de Fiscalización del Estado de México, contienen los formatos e información que debe ser proporcionada para la integración de los informes trimestrales que se entregan a éste, siendo uno de ellos la relativa al documento donde consta el pago de la nómina de cada uno de los servidores públicos de la entidad fiscalizable de que se trate, correspondiente a un periodo determinado;  el cual debe ser generado en formato digital como lo establecen las tablas antes referidas. </w:t>
      </w:r>
    </w:p>
    <w:p w14:paraId="1981774F" w14:textId="77777777" w:rsidR="00587B33" w:rsidRDefault="003C2B4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lo cual se acredita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genera, posee y administra la información solicitada por el particular  en formato electrónico. </w:t>
      </w:r>
    </w:p>
    <w:p w14:paraId="16CAD3DD"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consecuencia con la finalidad de privilegiar el derecho de acceso a la información pública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el Pleno de este Instituto, estima que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resultan f</w:t>
      </w:r>
      <w:r>
        <w:rPr>
          <w:rFonts w:ascii="Palatino Linotype" w:eastAsia="Palatino Linotype" w:hAnsi="Palatino Linotype" w:cs="Palatino Linotype"/>
          <w:b/>
        </w:rPr>
        <w:t>undadas</w:t>
      </w:r>
      <w:r>
        <w:rPr>
          <w:rFonts w:ascii="Palatino Linotype" w:eastAsia="Palatino Linotype" w:hAnsi="Palatino Linotype" w:cs="Palatino Linotype"/>
        </w:rPr>
        <w:t xml:space="preserve"> y suficientes para </w:t>
      </w:r>
      <w:r>
        <w:rPr>
          <w:rFonts w:ascii="Palatino Linotype" w:eastAsia="Palatino Linotype" w:hAnsi="Palatino Linotype" w:cs="Palatino Linotype"/>
          <w:b/>
        </w:rPr>
        <w:t xml:space="preserve">REVOCAR </w:t>
      </w:r>
      <w:r>
        <w:rPr>
          <w:rFonts w:ascii="Palatino Linotype" w:eastAsia="Palatino Linotype" w:hAnsi="Palatino Linotype" w:cs="Palatino Linotype"/>
        </w:rPr>
        <w:t xml:space="preserve"> las respuestas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las solicitudes de información recaídas en los Recursos de Revisión número </w:t>
      </w:r>
      <w:r>
        <w:rPr>
          <w:rFonts w:ascii="Palatino Linotype" w:eastAsia="Palatino Linotype" w:hAnsi="Palatino Linotype" w:cs="Palatino Linotype"/>
          <w:b/>
        </w:rPr>
        <w:t>06327/INFOEM/IP/RR/2022, 06328/INFOEM/IP/RR/2022, 06329/INFOEM/IP/RR/2022 y 06330/INFOEM/IP/RR/2022</w:t>
      </w:r>
      <w:r>
        <w:rPr>
          <w:rFonts w:ascii="Palatino Linotype" w:eastAsia="Palatino Linotype" w:hAnsi="Palatino Linotype" w:cs="Palatino Linotype"/>
        </w:rPr>
        <w:t xml:space="preserve"> y ordenar al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haga entrega de los recibos de nómina del personal del Ayuntamiento del primero de enero al treinta y uno de diciembre de dos mil diecinueve en versión pública. </w:t>
      </w:r>
    </w:p>
    <w:p w14:paraId="7E2E87AB" w14:textId="77777777" w:rsidR="00587B33" w:rsidRDefault="00587B33">
      <w:pPr>
        <w:spacing w:line="360" w:lineRule="auto"/>
        <w:jc w:val="both"/>
        <w:rPr>
          <w:rFonts w:ascii="Palatino Linotype" w:eastAsia="Palatino Linotype" w:hAnsi="Palatino Linotype" w:cs="Palatino Linotype"/>
        </w:rPr>
      </w:pPr>
    </w:p>
    <w:p w14:paraId="5A17A8C6"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8B2A54C" w14:textId="77777777" w:rsidR="00587B33" w:rsidRDefault="00587B33">
      <w:pPr>
        <w:spacing w:line="360" w:lineRule="auto"/>
        <w:jc w:val="both"/>
        <w:rPr>
          <w:rFonts w:ascii="Palatino Linotype" w:eastAsia="Palatino Linotype" w:hAnsi="Palatino Linotype" w:cs="Palatino Linotype"/>
        </w:rPr>
      </w:pPr>
    </w:p>
    <w:p w14:paraId="587C27A1"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ende,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E092F38" w14:textId="77777777" w:rsidR="00587B33" w:rsidRDefault="003C2B49">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14:paraId="3165481E"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14:paraId="158C7966"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Aprobar</w:t>
      </w:r>
      <w:r>
        <w:rPr>
          <w:rFonts w:ascii="Palatino Linotype" w:eastAsia="Palatino Linotype" w:hAnsi="Palatino Linotype" w:cs="Palatino Linotype"/>
          <w:i/>
          <w:sz w:val="22"/>
          <w:szCs w:val="22"/>
        </w:rPr>
        <w:t>, modificar o revocar la clasificación de la información;</w:t>
      </w:r>
    </w:p>
    <w:p w14:paraId="4919F101" w14:textId="77777777" w:rsidR="00587B33" w:rsidRDefault="003C2B49">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14:paraId="033FA0FD"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B0FB36C"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646301D6"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14:paraId="454A6A26" w14:textId="77777777" w:rsidR="00587B33" w:rsidRDefault="003C2B49">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w:t>
      </w:r>
    </w:p>
    <w:p w14:paraId="52D713DD"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14:paraId="2021D9E2"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14:paraId="4DB06959"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xml:space="preserve">, en relación con las disposiciones contenidas en los presentes lineamientos, así como en aquellas </w:t>
      </w:r>
      <w:r>
        <w:rPr>
          <w:rFonts w:ascii="Palatino Linotype" w:eastAsia="Palatino Linotype" w:hAnsi="Palatino Linotype" w:cs="Palatino Linotype"/>
          <w:i/>
          <w:sz w:val="22"/>
          <w:szCs w:val="22"/>
        </w:rPr>
        <w:lastRenderedPageBreak/>
        <w:t>disposiciones legales aplicables a la materia en el ámbito de sus respectivas competencias, en tanto estas últimas no contravengan lo dispuesto en la Ley General.</w:t>
      </w:r>
    </w:p>
    <w:p w14:paraId="03C668A8"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DA9A907"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0C673FF"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85CBA40"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1862276F"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088F7C4F"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03A091E8"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420A3564"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CAF1B71"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4BC76ED"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D2B1067"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08212300"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7A4879D5"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4976E17B"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0B50452"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B73B96B"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19D32FC"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6B9C3CB" w14:textId="77777777" w:rsidR="00587B33" w:rsidRDefault="003C2B4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F98F8D7" w14:textId="77777777" w:rsidR="00587B33" w:rsidRDefault="00587B33">
      <w:pPr>
        <w:ind w:left="851" w:right="902"/>
        <w:jc w:val="both"/>
        <w:rPr>
          <w:rFonts w:ascii="Palatino Linotype" w:eastAsia="Palatino Linotype" w:hAnsi="Palatino Linotype" w:cs="Palatino Linotype"/>
          <w:i/>
          <w:sz w:val="22"/>
          <w:szCs w:val="22"/>
        </w:rPr>
      </w:pPr>
    </w:p>
    <w:p w14:paraId="5A8F55DA" w14:textId="77777777" w:rsidR="00587B33" w:rsidRDefault="003C2B49">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14:paraId="47DD6EE0" w14:textId="77777777" w:rsidR="00587B33" w:rsidRDefault="003C2B49">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14:paraId="14F369AF" w14:textId="77777777" w:rsidR="00587B33" w:rsidRDefault="003C2B49">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592A1E0A" w14:textId="77777777" w:rsidR="00587B33" w:rsidRDefault="003C2B49">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FCF39B4" w14:textId="77777777" w:rsidR="00587B33" w:rsidRDefault="003C2B49">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p w14:paraId="0BE58097" w14:textId="77777777" w:rsidR="00587B33" w:rsidRDefault="00587B33">
      <w:pPr>
        <w:ind w:left="850" w:right="901"/>
        <w:jc w:val="both"/>
        <w:rPr>
          <w:rFonts w:ascii="Palatino Linotype" w:eastAsia="Palatino Linotype" w:hAnsi="Palatino Linotype" w:cs="Palatino Linotype"/>
          <w:i/>
          <w:sz w:val="22"/>
          <w:szCs w:val="22"/>
        </w:rPr>
      </w:pPr>
    </w:p>
    <w:tbl>
      <w:tblPr>
        <w:tblStyle w:val="afffffff2"/>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587B33" w14:paraId="3955542D"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7E82DE4B" w14:textId="77777777" w:rsidR="00587B33" w:rsidRDefault="00587B33">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D96E159" w14:textId="77777777" w:rsidR="00587B33" w:rsidRDefault="003C2B49">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20500826" w14:textId="77777777" w:rsidR="00587B33" w:rsidRDefault="003C2B49">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587B33" w14:paraId="2FDDC46E"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198B08EF" w14:textId="77777777" w:rsidR="00587B33" w:rsidRDefault="003C2B49">
            <w:pPr>
              <w:jc w:val="center"/>
              <w:rPr>
                <w:rFonts w:ascii="Palatino Linotype" w:eastAsia="Palatino Linotype" w:hAnsi="Palatino Linotype" w:cs="Palatino Linotype"/>
                <w:b/>
                <w:i/>
              </w:rPr>
            </w:pPr>
            <w:r>
              <w:rPr>
                <w:rFonts w:ascii="Palatino Linotype" w:eastAsia="Palatino Linotype" w:hAnsi="Palatino Linotype" w:cs="Palatino Linotype"/>
                <w:b/>
                <w:i/>
              </w:rPr>
              <w:lastRenderedPageBreak/>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05E2705A" w14:textId="77777777" w:rsidR="00587B33" w:rsidRDefault="003C2B49">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5AFCD0A9" w14:textId="77777777" w:rsidR="00587B33" w:rsidRDefault="003C2B49">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587B33" w14:paraId="4D4FB41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9C56C0D" w14:textId="77777777" w:rsidR="00587B33" w:rsidRDefault="00587B3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5CF227C" w14:textId="77777777" w:rsidR="00587B33" w:rsidRDefault="003C2B49">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066AE13E" w14:textId="77777777" w:rsidR="00587B33" w:rsidRDefault="003C2B49">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587B33" w14:paraId="50DB93C0"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5BD4C93" w14:textId="77777777" w:rsidR="00587B33" w:rsidRDefault="00587B3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A2F51EF" w14:textId="77777777" w:rsidR="00587B33" w:rsidRDefault="003C2B49">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14670FF3" w14:textId="77777777" w:rsidR="00587B33" w:rsidRDefault="003C2B49">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clasifican como reservadas. Si el documento fuera reservado en su totalidad, se anotará todas las páginas que lo conforman. Si el documento no contiene información reservada, se tachará este apartado.</w:t>
            </w:r>
          </w:p>
        </w:tc>
      </w:tr>
      <w:tr w:rsidR="00587B33" w14:paraId="1494CA07"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2C0089D" w14:textId="77777777" w:rsidR="00587B33" w:rsidRDefault="00587B3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C173D08" w14:textId="77777777" w:rsidR="00587B33" w:rsidRDefault="003C2B49">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528D5F7B" w14:textId="77777777" w:rsidR="00587B33" w:rsidRDefault="003C2B49">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587B33" w14:paraId="0AE08DB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B1727F1" w14:textId="77777777" w:rsidR="00587B33" w:rsidRDefault="00587B3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2640146" w14:textId="77777777" w:rsidR="00587B33" w:rsidRDefault="003C2B49">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4191A12A" w14:textId="77777777" w:rsidR="00587B33" w:rsidRDefault="003C2B49">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587B33" w14:paraId="7FABDFB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3A98DEE" w14:textId="77777777" w:rsidR="00587B33" w:rsidRDefault="00587B3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AB6C53D" w14:textId="77777777" w:rsidR="00587B33" w:rsidRDefault="003C2B49">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50B9B6EF" w14:textId="77777777" w:rsidR="00587B33" w:rsidRDefault="003C2B49">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587B33" w14:paraId="29A258C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FB34B98" w14:textId="77777777" w:rsidR="00587B33" w:rsidRDefault="00587B3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C6802D4" w14:textId="77777777" w:rsidR="00587B33" w:rsidRDefault="003C2B49">
            <w:pPr>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5D413530" w14:textId="77777777" w:rsidR="00587B33" w:rsidRDefault="003C2B49">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indicarán, en su caso, </w:t>
            </w:r>
            <w:r>
              <w:rPr>
                <w:rFonts w:ascii="Palatino Linotype" w:eastAsia="Palatino Linotype" w:hAnsi="Palatino Linotype" w:cs="Palatino Linotype"/>
                <w:b/>
                <w:i/>
                <w:u w:val="single"/>
              </w:rPr>
              <w:t>las partes o páginas del documento que se clasifica como confidencial</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Si el documento fuera confidencial en su totalidad, se anotarán todas las páginas que lo conforman</w:t>
            </w:r>
            <w:r>
              <w:rPr>
                <w:rFonts w:ascii="Palatino Linotype" w:eastAsia="Palatino Linotype" w:hAnsi="Palatino Linotype" w:cs="Palatino Linotype"/>
                <w:i/>
              </w:rPr>
              <w:t>. Si el documento no contiene información confidencial, se tachará este apartado.</w:t>
            </w:r>
          </w:p>
        </w:tc>
      </w:tr>
      <w:tr w:rsidR="00587B33" w14:paraId="11D1A44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4351BDE" w14:textId="77777777" w:rsidR="00587B33" w:rsidRDefault="00587B3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47AEF5D" w14:textId="77777777" w:rsidR="00587B33" w:rsidRDefault="003C2B49">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4B3D82D9" w14:textId="77777777" w:rsidR="00587B33" w:rsidRDefault="003C2B49">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587B33" w14:paraId="0FC18D5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2985C1D" w14:textId="77777777" w:rsidR="00587B33" w:rsidRDefault="00587B3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A1284FA" w14:textId="77777777" w:rsidR="00587B33" w:rsidRDefault="003C2B49">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53842663" w14:textId="77777777" w:rsidR="00587B33" w:rsidRDefault="003C2B49">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587B33" w14:paraId="23B80B4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F571EBE" w14:textId="77777777" w:rsidR="00587B33" w:rsidRDefault="00587B3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C4308FC" w14:textId="77777777" w:rsidR="00587B33" w:rsidRDefault="003C2B49">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52BC7A98" w14:textId="77777777" w:rsidR="00587B33" w:rsidRDefault="003C2B49">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587B33" w14:paraId="7A9C8334"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694CE59" w14:textId="77777777" w:rsidR="00587B33" w:rsidRDefault="00587B3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5BD1155" w14:textId="77777777" w:rsidR="00587B33" w:rsidRDefault="003C2B49">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714EE462" w14:textId="77777777" w:rsidR="00587B33" w:rsidRDefault="003C2B49">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14:paraId="6162489E" w14:textId="77777777" w:rsidR="00587B33" w:rsidRDefault="003C2B49">
      <w:pPr>
        <w:ind w:left="709" w:right="70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1288B070" w14:textId="77777777" w:rsidR="00587B33" w:rsidRDefault="00587B33">
      <w:pPr>
        <w:spacing w:line="360" w:lineRule="auto"/>
        <w:jc w:val="both"/>
        <w:rPr>
          <w:rFonts w:ascii="Palatino Linotype" w:eastAsia="Palatino Linotype" w:hAnsi="Palatino Linotype" w:cs="Palatino Linotype"/>
        </w:rPr>
      </w:pPr>
    </w:p>
    <w:p w14:paraId="20E586C4"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06FCB05" w14:textId="77777777" w:rsidR="00587B33" w:rsidRDefault="00587B33">
      <w:pPr>
        <w:spacing w:line="360" w:lineRule="auto"/>
        <w:jc w:val="both"/>
        <w:rPr>
          <w:rFonts w:ascii="Palatino Linotype" w:eastAsia="Palatino Linotype" w:hAnsi="Palatino Linotype" w:cs="Palatino Linotype"/>
        </w:rPr>
      </w:pPr>
    </w:p>
    <w:p w14:paraId="7BCC5308"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escapa de la óptica de este Instituto que dentro de la información que se ordena se puede encontrar información relativa a los elementos operativos del cuerpo de seguridad pública del Ayuntamiento de Texcoco </w:t>
      </w:r>
    </w:p>
    <w:p w14:paraId="689A6066" w14:textId="77777777" w:rsidR="00587B33" w:rsidRDefault="00587B33">
      <w:pPr>
        <w:spacing w:line="360" w:lineRule="auto"/>
        <w:jc w:val="both"/>
        <w:rPr>
          <w:rFonts w:ascii="Palatino Linotype" w:eastAsia="Palatino Linotype" w:hAnsi="Palatino Linotype" w:cs="Palatino Linotype"/>
        </w:rPr>
      </w:pPr>
    </w:p>
    <w:p w14:paraId="05712B0F" w14:textId="77777777" w:rsidR="00587B33" w:rsidRDefault="003C2B49">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criterio mayoritario del pleno de este Organismo que el nombre de estos servidores públicos encuadra en una excepción y por tanto debe ser objeto de un proceso de </w:t>
      </w:r>
      <w:r>
        <w:rPr>
          <w:rFonts w:ascii="Palatino Linotype" w:eastAsia="Palatino Linotype" w:hAnsi="Palatino Linotype" w:cs="Palatino Linotype"/>
          <w:b/>
          <w:u w:val="single"/>
        </w:rPr>
        <w:t>reserva de la información</w:t>
      </w:r>
      <w:r>
        <w:rPr>
          <w:rFonts w:ascii="Palatino Linotype" w:eastAsia="Palatino Linotype" w:hAnsi="Palatino Linotype" w:cs="Palatino Linotype"/>
        </w:rPr>
        <w:t>, para no hacer identificable al titular de tal dato personal.</w:t>
      </w:r>
    </w:p>
    <w:p w14:paraId="618D978B" w14:textId="77777777" w:rsidR="00587B33" w:rsidRDefault="00587B33">
      <w:pPr>
        <w:spacing w:line="360" w:lineRule="auto"/>
        <w:jc w:val="both"/>
        <w:rPr>
          <w:rFonts w:ascii="Palatino Linotype" w:eastAsia="Palatino Linotype" w:hAnsi="Palatino Linotype" w:cs="Palatino Linotype"/>
        </w:rPr>
      </w:pPr>
    </w:p>
    <w:p w14:paraId="0FFB9913"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Ello, conforme al propio concepto de versión pública contenido en el artículo 3, fracción XXIV, de la multicitada Ley se define como:</w:t>
      </w:r>
    </w:p>
    <w:p w14:paraId="422C1EC1" w14:textId="77777777" w:rsidR="00587B33" w:rsidRDefault="003C2B49">
      <w:pPr>
        <w:spacing w:before="240" w:after="360"/>
        <w:ind w:left="851"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XXIV. </w:t>
      </w:r>
      <w:r>
        <w:rPr>
          <w:rFonts w:ascii="Palatino Linotype" w:eastAsia="Palatino Linotype" w:hAnsi="Palatino Linotype" w:cs="Palatino Linotype"/>
          <w:i/>
          <w:sz w:val="22"/>
          <w:szCs w:val="22"/>
        </w:rPr>
        <w:t>Información reservada: La clasificada con este carácter de manera temporal por las disposiciones de esta Ley, cuya divulgación puede causar daño en términos de lo establecido por esta Ley;”</w:t>
      </w:r>
    </w:p>
    <w:p w14:paraId="31A4BC70" w14:textId="77777777" w:rsidR="00587B33" w:rsidRDefault="003C2B49">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manera que, si bien, por regla general se consideran como datos personales no confidenciales, el nombre del servidor público, cargo y/o categoría, lo cierto es que, en lo que respecta a la </w:t>
      </w:r>
      <w:r>
        <w:rPr>
          <w:rFonts w:ascii="Palatino Linotype" w:eastAsia="Palatino Linotype" w:hAnsi="Palatino Linotype" w:cs="Palatino Linotype"/>
          <w:b/>
          <w:i/>
          <w:u w:val="single"/>
        </w:rPr>
        <w:t>los elementos de seguridad pública, la elaboración de versiones públicas pudiera variar, eliminando información adicional, siempre y cuando se demuestre que pueda poner en riesgo la vida e integridad física con motivo de las funciones de servidores públicos</w:t>
      </w:r>
      <w:r>
        <w:rPr>
          <w:rFonts w:ascii="Palatino Linotype" w:eastAsia="Palatino Linotype" w:hAnsi="Palatino Linotype" w:cs="Palatino Linotype"/>
          <w:b/>
          <w:i/>
        </w:rPr>
        <w:t>.</w:t>
      </w:r>
    </w:p>
    <w:p w14:paraId="17DDE4DD" w14:textId="77777777" w:rsidR="00587B33" w:rsidRDefault="003C2B49">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Esto es así, ya que el artículo 81, fracción III, de la Ley de Seguridad del Estado de México, establece lo siguiente: </w:t>
      </w:r>
    </w:p>
    <w:p w14:paraId="36A1B366" w14:textId="77777777" w:rsidR="00587B33" w:rsidRDefault="003C2B49">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81</w:t>
      </w:r>
      <w:r>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w:t>
      </w:r>
      <w:r>
        <w:rPr>
          <w:rFonts w:ascii="Palatino Linotype" w:eastAsia="Palatino Linotype" w:hAnsi="Palatino Linotype" w:cs="Palatino Linotype"/>
          <w:i/>
          <w:sz w:val="22"/>
          <w:szCs w:val="22"/>
        </w:rPr>
        <w:lastRenderedPageBreak/>
        <w:t xml:space="preserve">obstante lo anterior, </w:t>
      </w:r>
      <w:r>
        <w:rPr>
          <w:rFonts w:ascii="Palatino Linotype" w:eastAsia="Palatino Linotype" w:hAnsi="Palatino Linotype" w:cs="Palatino Linotype"/>
          <w:b/>
          <w:i/>
          <w:sz w:val="22"/>
          <w:szCs w:val="22"/>
          <w:u w:val="single"/>
        </w:rPr>
        <w:t>esta información se considerará reservada en los casos siguientes</w:t>
      </w:r>
      <w:r>
        <w:rPr>
          <w:rFonts w:ascii="Palatino Linotype" w:eastAsia="Palatino Linotype" w:hAnsi="Palatino Linotype" w:cs="Palatino Linotype"/>
          <w:i/>
          <w:sz w:val="22"/>
          <w:szCs w:val="22"/>
        </w:rPr>
        <w:t>:</w:t>
      </w:r>
    </w:p>
    <w:p w14:paraId="746C23F9" w14:textId="77777777" w:rsidR="00587B33" w:rsidRDefault="003C2B49">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3ACF214" w14:textId="77777777" w:rsidR="00587B33" w:rsidRDefault="003C2B49">
      <w:pPr>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III. </w:t>
      </w:r>
      <w:r>
        <w:rPr>
          <w:rFonts w:ascii="Palatino Linotype" w:eastAsia="Palatino Linotype" w:hAnsi="Palatino Linotype" w:cs="Palatino Linotype"/>
          <w:b/>
          <w:i/>
          <w:sz w:val="22"/>
          <w:szCs w:val="22"/>
          <w:u w:val="single"/>
        </w:rPr>
        <w:t>La relativa a servidores públicos miembros de las instituciones de seguridad pública, cuya revelación pueda poner en riesgo su vida e integridad física con motivo de sus funciones</w:t>
      </w:r>
      <w:r>
        <w:rPr>
          <w:rFonts w:ascii="Palatino Linotype" w:eastAsia="Palatino Linotype" w:hAnsi="Palatino Linotype" w:cs="Palatino Linotype"/>
          <w:i/>
          <w:sz w:val="22"/>
          <w:szCs w:val="22"/>
        </w:rPr>
        <w:t>;”</w:t>
      </w:r>
    </w:p>
    <w:p w14:paraId="4CCFD563" w14:textId="77777777" w:rsidR="00587B33" w:rsidRDefault="00587B33">
      <w:pPr>
        <w:spacing w:line="360" w:lineRule="auto"/>
        <w:jc w:val="both"/>
        <w:rPr>
          <w:rFonts w:ascii="Palatino Linotype" w:eastAsia="Palatino Linotype" w:hAnsi="Palatino Linotype" w:cs="Palatino Linotype"/>
        </w:rPr>
      </w:pPr>
    </w:p>
    <w:p w14:paraId="5C3A1500"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bien, en dichos casos en que se reserve el nombre de los servidores públicos adscritos al área de Seguridad Pública,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justificar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3B447944" w14:textId="77777777" w:rsidR="00587B33" w:rsidRDefault="00587B33">
      <w:pPr>
        <w:spacing w:line="360" w:lineRule="auto"/>
        <w:jc w:val="both"/>
        <w:rPr>
          <w:rFonts w:ascii="Palatino Linotype" w:eastAsia="Palatino Linotype" w:hAnsi="Palatino Linotype" w:cs="Palatino Linotype"/>
        </w:rPr>
      </w:pPr>
    </w:p>
    <w:p w14:paraId="4CECFE7E"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AEC0AFB" w14:textId="77777777" w:rsidR="00587B33" w:rsidRDefault="00587B33">
      <w:pPr>
        <w:spacing w:line="360" w:lineRule="auto"/>
        <w:jc w:val="both"/>
        <w:rPr>
          <w:rFonts w:ascii="Palatino Linotype" w:eastAsia="Palatino Linotype" w:hAnsi="Palatino Linotype" w:cs="Palatino Linotype"/>
        </w:rPr>
      </w:pPr>
    </w:p>
    <w:p w14:paraId="0C6E058B"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Resulta alusivo por analogía el criterio 06-09 emitido por el entonces IFAI, ahora INAI que a la letra dice:</w:t>
      </w:r>
    </w:p>
    <w:p w14:paraId="73D76E79" w14:textId="77777777" w:rsidR="00587B33" w:rsidRDefault="003C2B49">
      <w:pPr>
        <w:spacing w:before="240" w:after="24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u w:val="single"/>
        </w:rPr>
        <w:t>Nombres de servidores públicos dedicados a actividades en materia de seguridad, por excepción pueden considerarse información reservada.</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AB61504" w14:textId="77777777" w:rsidR="00587B33" w:rsidRDefault="00587B33">
      <w:pPr>
        <w:spacing w:before="240" w:after="240"/>
        <w:ind w:left="567" w:right="616"/>
        <w:jc w:val="both"/>
        <w:rPr>
          <w:rFonts w:ascii="Palatino Linotype" w:eastAsia="Palatino Linotype" w:hAnsi="Palatino Linotype" w:cs="Palatino Linotype"/>
          <w:i/>
          <w:sz w:val="22"/>
          <w:szCs w:val="22"/>
        </w:rPr>
      </w:pPr>
    </w:p>
    <w:p w14:paraId="2650F413" w14:textId="77777777" w:rsidR="00587B33" w:rsidRDefault="003C2B49">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no se omite comentar que en caso de que existiera impedimento justificado para la entrega de la información por la vía seleccionada por el particular, a efecto de privilegiar el derecho de acceso a la información, se considera procedente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efecto de que proporcione otras modalidades para de la entrega de la información, a través del Sistema de Acceso a la Información Mexiquense (SAIMEX); preferentemente electrónicas como Disco Compacto, o un dispositivo de almacenamiento o incluso copias simples o certificadas si se acredita la imposibilidad </w:t>
      </w:r>
      <w:r>
        <w:rPr>
          <w:rFonts w:ascii="Palatino Linotype" w:eastAsia="Palatino Linotype" w:hAnsi="Palatino Linotype" w:cs="Palatino Linotype"/>
        </w:rPr>
        <w:lastRenderedPageBreak/>
        <w:t>de entregarlas en medio electrónico, todo esto, previo pago de los derechos correspondientes según lo dispuesto por el artículo 148 del Código Financiero del Estado de México y Municipios, que a la letra señala lo siguiente:</w:t>
      </w:r>
    </w:p>
    <w:p w14:paraId="0AB04A88" w14:textId="77777777" w:rsidR="00587B33" w:rsidRDefault="00587B33">
      <w:pPr>
        <w:spacing w:line="360" w:lineRule="auto"/>
        <w:jc w:val="both"/>
        <w:rPr>
          <w:rFonts w:ascii="Palatino Linotype" w:eastAsia="Palatino Linotype" w:hAnsi="Palatino Linotype" w:cs="Palatino Linotype"/>
        </w:rPr>
      </w:pPr>
    </w:p>
    <w:p w14:paraId="2827FDC7"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148.- Por la expedición de documentos solicitados en el ejercicio del derecho a la información pública, se pagarán los derechos conforme a la siguiente:</w:t>
      </w:r>
    </w:p>
    <w:p w14:paraId="213F81E1" w14:textId="77777777" w:rsidR="00587B33" w:rsidRDefault="00587B33">
      <w:pPr>
        <w:ind w:left="851" w:right="851"/>
        <w:jc w:val="both"/>
        <w:rPr>
          <w:rFonts w:ascii="Palatino Linotype" w:eastAsia="Palatino Linotype" w:hAnsi="Palatino Linotype" w:cs="Palatino Linotype"/>
          <w:i/>
          <w:sz w:val="22"/>
          <w:szCs w:val="22"/>
        </w:rPr>
      </w:pPr>
    </w:p>
    <w:p w14:paraId="1C664C43" w14:textId="77777777" w:rsidR="00587B33" w:rsidRDefault="003C2B49">
      <w:pPr>
        <w:ind w:left="851" w:right="85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T A R I F A</w:t>
      </w:r>
    </w:p>
    <w:p w14:paraId="1B8870AC" w14:textId="77777777" w:rsidR="00587B33" w:rsidRDefault="00587B33">
      <w:pPr>
        <w:ind w:left="851" w:right="851"/>
        <w:rPr>
          <w:rFonts w:ascii="Palatino Linotype" w:eastAsia="Palatino Linotype" w:hAnsi="Palatino Linotype" w:cs="Palatino Linotype"/>
          <w:i/>
          <w:sz w:val="22"/>
          <w:szCs w:val="22"/>
        </w:rPr>
      </w:pPr>
    </w:p>
    <w:p w14:paraId="5C573127" w14:textId="77777777" w:rsidR="00587B33" w:rsidRDefault="003C2B49">
      <w:pPr>
        <w:ind w:left="851" w:right="851"/>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CONCEPTO  </w:t>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t>NÚMERO DE VECES EL VALOR</w:t>
      </w:r>
    </w:p>
    <w:p w14:paraId="180587A0" w14:textId="77777777" w:rsidR="00587B33" w:rsidRDefault="003C2B49">
      <w:pPr>
        <w:ind w:left="851" w:right="851"/>
        <w:jc w:val="right"/>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DIARIO DE LA UNIDAD DE</w:t>
      </w:r>
    </w:p>
    <w:p w14:paraId="2730D287" w14:textId="77777777" w:rsidR="00587B33" w:rsidRDefault="003C2B49">
      <w:pPr>
        <w:ind w:left="851" w:right="851"/>
        <w:jc w:val="right"/>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MEDIDA Y ACTUALIZACIÓN</w:t>
      </w:r>
    </w:p>
    <w:p w14:paraId="170950E0" w14:textId="77777777" w:rsidR="00587B33" w:rsidRDefault="003C2B49">
      <w:pPr>
        <w:ind w:left="851" w:right="851"/>
        <w:jc w:val="right"/>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VIGENTE</w:t>
      </w:r>
    </w:p>
    <w:p w14:paraId="5B704DF5"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Por la expedición de copias simples:</w:t>
      </w:r>
    </w:p>
    <w:p w14:paraId="7E6B8CC3"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Por la primera hoja. </w:t>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t>0.224</w:t>
      </w:r>
    </w:p>
    <w:p w14:paraId="7F041018"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Por cada hoja subsecuente. </w:t>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t>0.016</w:t>
      </w:r>
    </w:p>
    <w:p w14:paraId="59EA6147"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Por la expedición de copias certificadas:</w:t>
      </w:r>
    </w:p>
    <w:p w14:paraId="0FA2C4AD"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Por la primera hoja.</w:t>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t>0.850</w:t>
      </w:r>
    </w:p>
    <w:p w14:paraId="725FD931"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Por cada hoja subsecuente. </w:t>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t>0.417</w:t>
      </w:r>
    </w:p>
    <w:p w14:paraId="621C1D6B"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Por la expedición de información en medios magnéticos. </w:t>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t>0.224</w:t>
      </w:r>
    </w:p>
    <w:p w14:paraId="6BA16C02"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Para la expedición de información en disco compacto por</w:t>
      </w:r>
    </w:p>
    <w:p w14:paraId="2AB97646"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cada disco. 0.336</w:t>
      </w:r>
    </w:p>
    <w:p w14:paraId="27FB247D"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Por el escaneo y digitalización de documentos. </w:t>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r>
      <w:r>
        <w:rPr>
          <w:rFonts w:ascii="Palatino Linotype" w:eastAsia="Palatino Linotype" w:hAnsi="Palatino Linotype" w:cs="Palatino Linotype"/>
          <w:i/>
          <w:sz w:val="22"/>
          <w:szCs w:val="22"/>
        </w:rPr>
        <w:tab/>
        <w:t>0.008</w:t>
      </w:r>
    </w:p>
    <w:p w14:paraId="68B386B5" w14:textId="77777777" w:rsidR="00587B33" w:rsidRDefault="00587B33">
      <w:pPr>
        <w:ind w:left="851" w:right="851"/>
        <w:jc w:val="both"/>
        <w:rPr>
          <w:rFonts w:ascii="Palatino Linotype" w:eastAsia="Palatino Linotype" w:hAnsi="Palatino Linotype" w:cs="Palatino Linotype"/>
          <w:i/>
          <w:sz w:val="22"/>
          <w:szCs w:val="22"/>
        </w:rPr>
      </w:pPr>
    </w:p>
    <w:p w14:paraId="4A43A98A" w14:textId="77777777" w:rsidR="00587B33" w:rsidRDefault="003C2B4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los supuestos establecidos en las fracciones III y IV, el solicitante podrá proporcionar a la autoridad municipal, el medio en el que requiera le sea entregada la información pública, en cuyo caso no habrá costo que cubrir.</w:t>
      </w:r>
    </w:p>
    <w:p w14:paraId="20CC0088" w14:textId="77777777" w:rsidR="00587B33" w:rsidRDefault="00587B33">
      <w:pPr>
        <w:ind w:left="851" w:right="851"/>
        <w:jc w:val="both"/>
        <w:rPr>
          <w:rFonts w:ascii="Palatino Linotype" w:eastAsia="Palatino Linotype" w:hAnsi="Palatino Linotype" w:cs="Palatino Linotype"/>
          <w:i/>
          <w:sz w:val="22"/>
          <w:szCs w:val="22"/>
        </w:rPr>
      </w:pPr>
    </w:p>
    <w:p w14:paraId="4D3D1C60" w14:textId="77777777" w:rsidR="00587B33" w:rsidRDefault="00587B33">
      <w:pPr>
        <w:spacing w:line="360" w:lineRule="auto"/>
        <w:jc w:val="both"/>
        <w:rPr>
          <w:rFonts w:ascii="Palatino Linotype" w:eastAsia="Palatino Linotype" w:hAnsi="Palatino Linotype" w:cs="Palatino Linotype"/>
        </w:rPr>
      </w:pPr>
    </w:p>
    <w:p w14:paraId="3C7666D7"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a lo anterior, la información deberá ser entregada sin costo, cuando implique la entrega de no más de veinte hojas simples y para el caso de que el particular </w:t>
      </w:r>
      <w:r>
        <w:rPr>
          <w:rFonts w:ascii="Palatino Linotype" w:eastAsia="Palatino Linotype" w:hAnsi="Palatino Linotype" w:cs="Palatino Linotype"/>
        </w:rPr>
        <w:lastRenderedPageBreak/>
        <w:t>proporcione los medios en lo que requiere le sea entregada la información, no será procedente el cobro de la misma.</w:t>
      </w:r>
    </w:p>
    <w:p w14:paraId="25542963" w14:textId="77777777" w:rsidR="00587B33" w:rsidRDefault="00587B33">
      <w:pPr>
        <w:spacing w:line="360" w:lineRule="auto"/>
        <w:ind w:right="49"/>
        <w:jc w:val="both"/>
        <w:rPr>
          <w:rFonts w:ascii="Palatino Linotype" w:eastAsia="Palatino Linotype" w:hAnsi="Palatino Linotype" w:cs="Palatino Linotype"/>
        </w:rPr>
      </w:pPr>
    </w:p>
    <w:p w14:paraId="28C4884B" w14:textId="77777777" w:rsidR="00587B33" w:rsidRDefault="003C2B4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16AD6A1C" w14:textId="77777777" w:rsidR="00587B33" w:rsidRDefault="00587B33">
      <w:pPr>
        <w:spacing w:line="360" w:lineRule="auto"/>
        <w:jc w:val="both"/>
        <w:rPr>
          <w:rFonts w:ascii="Palatino Linotype" w:eastAsia="Palatino Linotype" w:hAnsi="Palatino Linotype" w:cs="Palatino Linotype"/>
        </w:rPr>
      </w:pPr>
    </w:p>
    <w:p w14:paraId="15CC64E1" w14:textId="77777777" w:rsidR="00587B33" w:rsidRDefault="003C2B49">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14:paraId="5D46C1C3" w14:textId="77777777" w:rsidR="00587B33" w:rsidRDefault="00587B33">
      <w:pPr>
        <w:spacing w:line="360" w:lineRule="auto"/>
        <w:jc w:val="center"/>
        <w:rPr>
          <w:rFonts w:ascii="Palatino Linotype" w:eastAsia="Palatino Linotype" w:hAnsi="Palatino Linotype" w:cs="Palatino Linotype"/>
          <w:b/>
          <w:sz w:val="26"/>
          <w:szCs w:val="26"/>
        </w:rPr>
      </w:pPr>
    </w:p>
    <w:p w14:paraId="7E842E40" w14:textId="77777777" w:rsidR="00587B33" w:rsidRDefault="003C2B4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los Recursos de Revisión  </w:t>
      </w:r>
      <w:r>
        <w:rPr>
          <w:rFonts w:ascii="Palatino Linotype" w:eastAsia="Palatino Linotype" w:hAnsi="Palatino Linotype" w:cs="Palatino Linotype"/>
          <w:b/>
        </w:rPr>
        <w:t>06327/INFOEM/IP/RR/2022, 06328/INFOEM/IP/RR/2022, 06329/INFOEM/IP/RR/2022 y 06330/INFOEM/IP/RR/2022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SEXTO</w:t>
      </w:r>
      <w:r>
        <w:rPr>
          <w:rFonts w:ascii="Palatino Linotype" w:eastAsia="Palatino Linotype" w:hAnsi="Palatino Linotype" w:cs="Palatino Linotype"/>
        </w:rPr>
        <w:t>.</w:t>
      </w:r>
    </w:p>
    <w:p w14:paraId="2FEF5A57" w14:textId="77777777" w:rsidR="00587B33" w:rsidRDefault="00587B33">
      <w:pPr>
        <w:widowControl w:val="0"/>
        <w:spacing w:line="360" w:lineRule="auto"/>
        <w:jc w:val="both"/>
        <w:rPr>
          <w:rFonts w:ascii="Palatino Linotype" w:eastAsia="Palatino Linotype" w:hAnsi="Palatino Linotype" w:cs="Palatino Linotype"/>
          <w:b/>
        </w:rPr>
      </w:pPr>
    </w:p>
    <w:p w14:paraId="0C6996A6" w14:textId="77777777" w:rsidR="00587B33" w:rsidRDefault="003C2B49">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 Se </w:t>
      </w:r>
      <w:r>
        <w:rPr>
          <w:rFonts w:ascii="Palatino Linotype" w:eastAsia="Palatino Linotype" w:hAnsi="Palatino Linotype" w:cs="Palatino Linotype"/>
          <w:b/>
        </w:rPr>
        <w:t xml:space="preserve">REVOCAN </w:t>
      </w:r>
      <w:r>
        <w:rPr>
          <w:rFonts w:ascii="Palatino Linotype" w:eastAsia="Palatino Linotype" w:hAnsi="Palatino Linotype" w:cs="Palatino Linotype"/>
        </w:rPr>
        <w:t xml:space="preserve">las respuestas emitidas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se ordena que en términos del Considerando </w:t>
      </w:r>
      <w:r>
        <w:rPr>
          <w:rFonts w:ascii="Palatino Linotype" w:eastAsia="Palatino Linotype" w:hAnsi="Palatino Linotype" w:cs="Palatino Linotype"/>
          <w:b/>
        </w:rPr>
        <w:t>SEXTO</w:t>
      </w:r>
      <w:r>
        <w:rPr>
          <w:rFonts w:ascii="Palatino Linotype" w:eastAsia="Palatino Linotype" w:hAnsi="Palatino Linotype" w:cs="Palatino Linotype"/>
        </w:rPr>
        <w:t xml:space="preserve"> haga entrega al</w:t>
      </w:r>
      <w:r>
        <w:rPr>
          <w:rFonts w:ascii="Palatino Linotype" w:eastAsia="Palatino Linotype" w:hAnsi="Palatino Linotype" w:cs="Palatino Linotype"/>
          <w:b/>
        </w:rPr>
        <w:t xml:space="preserve"> RECURRENTE </w:t>
      </w:r>
      <w:r>
        <w:rPr>
          <w:rFonts w:ascii="Palatino Linotype" w:eastAsia="Palatino Linotype" w:hAnsi="Palatino Linotype" w:cs="Palatino Linotype"/>
        </w:rPr>
        <w:t xml:space="preserve">mediante el Sistema de Acceso a la Información Mexiquense (SAIMEX), en versión pública de lo siguiente: </w:t>
      </w:r>
    </w:p>
    <w:p w14:paraId="49C50604" w14:textId="77777777" w:rsidR="00587B33" w:rsidRDefault="00587B33">
      <w:pPr>
        <w:tabs>
          <w:tab w:val="left" w:pos="709"/>
        </w:tabs>
        <w:ind w:left="1440" w:right="899"/>
        <w:jc w:val="both"/>
        <w:rPr>
          <w:rFonts w:ascii="Palatino Linotype" w:eastAsia="Palatino Linotype" w:hAnsi="Palatino Linotype" w:cs="Palatino Linotype"/>
          <w:i/>
          <w:sz w:val="22"/>
          <w:szCs w:val="22"/>
        </w:rPr>
      </w:pPr>
    </w:p>
    <w:p w14:paraId="2684ABA2" w14:textId="77777777" w:rsidR="00587B33" w:rsidRDefault="003C2B49">
      <w:pPr>
        <w:tabs>
          <w:tab w:val="left" w:pos="709"/>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recibos de nómina del personal del Ayuntamiento del primero de enero al treinta y uno de diciembre de dos mil diecinueve.</w:t>
      </w:r>
    </w:p>
    <w:p w14:paraId="4AB93A12" w14:textId="77777777" w:rsidR="00587B33" w:rsidRDefault="00587B33">
      <w:pPr>
        <w:tabs>
          <w:tab w:val="left" w:pos="709"/>
        </w:tabs>
        <w:ind w:left="850" w:right="899"/>
        <w:jc w:val="both"/>
        <w:rPr>
          <w:rFonts w:ascii="Palatino Linotype" w:eastAsia="Palatino Linotype" w:hAnsi="Palatino Linotype" w:cs="Palatino Linotype"/>
          <w:i/>
          <w:sz w:val="22"/>
          <w:szCs w:val="22"/>
        </w:rPr>
      </w:pPr>
    </w:p>
    <w:p w14:paraId="3EF5A4AC" w14:textId="77777777" w:rsidR="00587B33" w:rsidRDefault="003C2B49">
      <w:pPr>
        <w:tabs>
          <w:tab w:val="left" w:pos="709"/>
        </w:tabs>
        <w:ind w:left="850" w:right="899"/>
        <w:jc w:val="both"/>
        <w:rPr>
          <w:rFonts w:ascii="Palatino Linotype" w:eastAsia="Palatino Linotype" w:hAnsi="Palatino Linotype" w:cs="Palatino Linotype"/>
          <w:i/>
          <w:sz w:val="22"/>
          <w:szCs w:val="22"/>
        </w:rPr>
      </w:pPr>
      <w:bookmarkStart w:id="7" w:name="_heading=h.30j0zll" w:colFirst="0" w:colLast="0"/>
      <w:bookmarkEnd w:id="7"/>
      <w:r>
        <w:rPr>
          <w:rFonts w:ascii="Palatino Linotype" w:eastAsia="Palatino Linotype" w:hAnsi="Palatino Linotype" w:cs="Palatino Linotype"/>
          <w:i/>
          <w:sz w:val="22"/>
          <w:szCs w:val="22"/>
        </w:rPr>
        <w:lastRenderedPageBreak/>
        <w:t xml:space="preserve">Debiendo notificar al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70BB360B" w14:textId="77777777" w:rsidR="00587B33" w:rsidRDefault="00587B33">
      <w:pPr>
        <w:tabs>
          <w:tab w:val="left" w:pos="709"/>
        </w:tabs>
        <w:ind w:left="850" w:right="899"/>
        <w:jc w:val="both"/>
        <w:rPr>
          <w:rFonts w:ascii="Palatino Linotype" w:eastAsia="Palatino Linotype" w:hAnsi="Palatino Linotype" w:cs="Palatino Linotype"/>
          <w:i/>
          <w:sz w:val="22"/>
          <w:szCs w:val="22"/>
        </w:rPr>
      </w:pPr>
    </w:p>
    <w:p w14:paraId="591542D9" w14:textId="77777777" w:rsidR="00587B33" w:rsidRDefault="003C2B49">
      <w:pPr>
        <w:tabs>
          <w:tab w:val="left" w:pos="709"/>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de existir un impedimento justificado para la entrega vía SAIMEX, 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deberá privilegiar la modalidad electrónica, previo pago de los derechos correspondientes en medios como, correo electrónico (este se debe entregar sin costo), disco compacto, dispositivo de almacenamiento USB. En caso de que exista imposibilidad fundada podrá ofrecer otras modalidades como copias simples o certificadas, con posibilidad de entrega en la Unidad de Transparencia o a domicilio por correo certificado.</w:t>
      </w:r>
    </w:p>
    <w:p w14:paraId="1FB26C9B" w14:textId="77777777" w:rsidR="00587B33" w:rsidRDefault="00587B33">
      <w:pPr>
        <w:tabs>
          <w:tab w:val="left" w:pos="709"/>
        </w:tabs>
        <w:ind w:left="850" w:right="899"/>
        <w:jc w:val="both"/>
        <w:rPr>
          <w:rFonts w:ascii="Palatino Linotype" w:eastAsia="Palatino Linotype" w:hAnsi="Palatino Linotype" w:cs="Palatino Linotype"/>
          <w:i/>
          <w:sz w:val="22"/>
          <w:szCs w:val="22"/>
        </w:rPr>
      </w:pPr>
    </w:p>
    <w:p w14:paraId="1AFD2DC2" w14:textId="77777777" w:rsidR="00587B33" w:rsidRDefault="003C2B49">
      <w:pPr>
        <w:tabs>
          <w:tab w:val="left" w:pos="709"/>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que el Recurrente proporcione el dispositivo electrónico y acuda por la información a la Unidad de Transparencia, la entrega de la información, será sin costo.</w:t>
      </w:r>
    </w:p>
    <w:p w14:paraId="7DD12ED5" w14:textId="77777777" w:rsidR="00587B33" w:rsidRDefault="00587B33">
      <w:pPr>
        <w:tabs>
          <w:tab w:val="left" w:pos="709"/>
        </w:tabs>
        <w:ind w:left="850" w:right="899"/>
        <w:jc w:val="both"/>
        <w:rPr>
          <w:rFonts w:ascii="Palatino Linotype" w:eastAsia="Palatino Linotype" w:hAnsi="Palatino Linotype" w:cs="Palatino Linotype"/>
          <w:i/>
          <w:sz w:val="22"/>
          <w:szCs w:val="22"/>
        </w:rPr>
      </w:pPr>
    </w:p>
    <w:p w14:paraId="5CFEACE5" w14:textId="77777777" w:rsidR="00587B33" w:rsidRDefault="00587B33">
      <w:pPr>
        <w:tabs>
          <w:tab w:val="left" w:pos="709"/>
        </w:tabs>
        <w:ind w:right="899"/>
        <w:jc w:val="both"/>
        <w:rPr>
          <w:rFonts w:ascii="Palatino Linotype" w:eastAsia="Palatino Linotype" w:hAnsi="Palatino Linotype" w:cs="Palatino Linotype"/>
          <w:b/>
        </w:rPr>
      </w:pPr>
    </w:p>
    <w:p w14:paraId="313BAF6C"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 Notifíquese</w:t>
      </w:r>
      <w:r>
        <w:rPr>
          <w:rFonts w:ascii="Palatino Linotype" w:eastAsia="Palatino Linotype" w:hAnsi="Palatino Linotype" w:cs="Palatino Linotype"/>
          <w:b/>
          <w:i/>
        </w:rPr>
        <w:t xml:space="preserve"> </w:t>
      </w:r>
      <w:r>
        <w:rPr>
          <w:rFonts w:ascii="Palatino Linotype" w:eastAsia="Palatino Linotype" w:hAnsi="Palatino Linotype" w:cs="Palatino Linotype"/>
        </w:rPr>
        <w:t>al Titular de la Unidad de Transparencia del</w:t>
      </w:r>
      <w:r>
        <w:rPr>
          <w:rFonts w:ascii="Palatino Linotype" w:eastAsia="Palatino Linotype" w:hAnsi="Palatino Linotype" w:cs="Palatino Linotype"/>
          <w:b/>
        </w:rPr>
        <w:t xml:space="preserve"> </w:t>
      </w:r>
      <w:r>
        <w:rPr>
          <w:rFonts w:ascii="Palatino Linotype" w:eastAsia="Palatino Linotype" w:hAnsi="Palatino Linotype" w:cs="Palatino Linotype"/>
        </w:rPr>
        <w:t>Sujeto Obligado por medio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59C5A118" w14:textId="77777777" w:rsidR="00587B33" w:rsidRDefault="00587B33">
      <w:pPr>
        <w:spacing w:line="360" w:lineRule="auto"/>
        <w:jc w:val="both"/>
        <w:rPr>
          <w:rFonts w:ascii="Palatino Linotype" w:eastAsia="Palatino Linotype" w:hAnsi="Palatino Linotype" w:cs="Palatino Linotype"/>
          <w:b/>
        </w:rPr>
      </w:pPr>
    </w:p>
    <w:p w14:paraId="0DC1EDEA"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3D0D577" w14:textId="77777777" w:rsidR="00587B33" w:rsidRDefault="00587B33">
      <w:pPr>
        <w:spacing w:line="360" w:lineRule="auto"/>
        <w:jc w:val="both"/>
        <w:rPr>
          <w:rFonts w:ascii="Palatino Linotype" w:eastAsia="Palatino Linotype" w:hAnsi="Palatino Linotype" w:cs="Palatino Linotype"/>
          <w:b/>
        </w:rPr>
      </w:pPr>
    </w:p>
    <w:p w14:paraId="5D9A1D8E"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QUINTO. Notifíquese </w:t>
      </w:r>
      <w:r>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w:t>
      </w:r>
    </w:p>
    <w:p w14:paraId="7C6CBCEE" w14:textId="77777777" w:rsidR="00587B33" w:rsidRDefault="00587B33">
      <w:pPr>
        <w:widowControl w:val="0"/>
        <w:spacing w:line="360" w:lineRule="auto"/>
        <w:jc w:val="both"/>
        <w:rPr>
          <w:rFonts w:ascii="Palatino Linotype" w:eastAsia="Palatino Linotype" w:hAnsi="Palatino Linotype" w:cs="Palatino Linotype"/>
        </w:rPr>
      </w:pPr>
    </w:p>
    <w:p w14:paraId="7298E953" w14:textId="77777777" w:rsidR="00587B33" w:rsidRDefault="003C2B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w:t>
      </w:r>
      <w:r w:rsidR="0066058D">
        <w:rPr>
          <w:rFonts w:ascii="Palatino Linotype" w:eastAsia="Palatino Linotype" w:hAnsi="Palatino Linotype" w:cs="Palatino Linotype"/>
        </w:rPr>
        <w:t>MAYORIA</w:t>
      </w:r>
      <w:r>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w:t>
      </w:r>
      <w:r w:rsidR="0066058D">
        <w:rPr>
          <w:rFonts w:ascii="Palatino Linotype" w:eastAsia="Palatino Linotype" w:hAnsi="Palatino Linotype" w:cs="Palatino Linotype"/>
        </w:rPr>
        <w:t xml:space="preserve"> EMITIENDO VOTO PARTICULAR</w:t>
      </w:r>
      <w:r>
        <w:rPr>
          <w:rFonts w:ascii="Palatino Linotype" w:eastAsia="Palatino Linotype" w:hAnsi="Palatino Linotype" w:cs="Palatino Linotype"/>
        </w:rPr>
        <w:t>; MARÍA DEL ROSARIO MEJÍA AYALA; SHARON CRISTINA MORALES MARTÍNEZ</w:t>
      </w:r>
      <w:r w:rsidR="0066058D">
        <w:rPr>
          <w:rFonts w:ascii="Palatino Linotype" w:eastAsia="Palatino Linotype" w:hAnsi="Palatino Linotype" w:cs="Palatino Linotype"/>
        </w:rPr>
        <w:t xml:space="preserve"> EMITIENDO VOTO DISIDENTE</w:t>
      </w:r>
      <w:r>
        <w:rPr>
          <w:rFonts w:ascii="Palatino Linotype" w:eastAsia="Palatino Linotype" w:hAnsi="Palatino Linotype" w:cs="Palatino Linotype"/>
        </w:rPr>
        <w:t>; LUIS GUSTAVO PARRA NORIEGA</w:t>
      </w:r>
      <w:r w:rsidR="0066058D">
        <w:rPr>
          <w:rFonts w:ascii="Palatino Linotype" w:eastAsia="Palatino Linotype" w:hAnsi="Palatino Linotype" w:cs="Palatino Linotype"/>
        </w:rPr>
        <w:t xml:space="preserve"> EMITIENDO VOTO PARTICULAR</w:t>
      </w:r>
      <w:r>
        <w:rPr>
          <w:rFonts w:ascii="Palatino Linotype" w:eastAsia="Palatino Linotype" w:hAnsi="Palatino Linotype" w:cs="Palatino Linotype"/>
        </w:rPr>
        <w:t xml:space="preserve"> Y GUADALUPE RAMÍREZ PEÑA; EN LA TRIGÉSIMA PRIMERA SESIÓN ORDINARIA CELEBRADA EL TREINTA Y UNO DE AGOSTO DE DOS MIL VEINTIDÓS, ANTE EL SECRETARIO TÉCNICO DEL PLENO, ALEXIS TAPIA RAMÍREZ.</w:t>
      </w:r>
    </w:p>
    <w:p w14:paraId="6F3C0086" w14:textId="77777777" w:rsidR="00587B33" w:rsidRDefault="003C2B49">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14:paraId="6BECF9C1" w14:textId="77777777" w:rsidR="00587B33" w:rsidRDefault="003C2B49">
      <w:pPr>
        <w:rPr>
          <w:rFonts w:ascii="Palatino Linotype" w:eastAsia="Palatino Linotype" w:hAnsi="Palatino Linotype" w:cs="Palatino Linotype"/>
        </w:rPr>
      </w:pPr>
      <w:r>
        <w:br w:type="page"/>
      </w:r>
    </w:p>
    <w:p w14:paraId="7D3662A9" w14:textId="77777777" w:rsidR="00587B33" w:rsidRDefault="00587B33">
      <w:pPr>
        <w:spacing w:line="360" w:lineRule="auto"/>
        <w:jc w:val="both"/>
        <w:rPr>
          <w:rFonts w:ascii="Palatino Linotype" w:eastAsia="Palatino Linotype" w:hAnsi="Palatino Linotype" w:cs="Palatino Linotype"/>
        </w:rPr>
      </w:pPr>
    </w:p>
    <w:p w14:paraId="2A73EFD9" w14:textId="77777777" w:rsidR="00587B33" w:rsidRDefault="00587B33">
      <w:pPr>
        <w:spacing w:line="360" w:lineRule="auto"/>
        <w:jc w:val="both"/>
        <w:rPr>
          <w:rFonts w:ascii="Palatino Linotype" w:eastAsia="Palatino Linotype" w:hAnsi="Palatino Linotype" w:cs="Palatino Linotype"/>
        </w:rPr>
      </w:pPr>
    </w:p>
    <w:p w14:paraId="3CC51473" w14:textId="77777777" w:rsidR="00587B33" w:rsidRDefault="00587B33">
      <w:pPr>
        <w:spacing w:line="360" w:lineRule="auto"/>
        <w:jc w:val="both"/>
        <w:rPr>
          <w:rFonts w:ascii="Palatino Linotype" w:eastAsia="Palatino Linotype" w:hAnsi="Palatino Linotype" w:cs="Palatino Linotype"/>
        </w:rPr>
      </w:pPr>
    </w:p>
    <w:p w14:paraId="6FAE5797" w14:textId="77777777" w:rsidR="00587B33" w:rsidRDefault="00587B33">
      <w:pPr>
        <w:spacing w:line="360" w:lineRule="auto"/>
        <w:jc w:val="both"/>
        <w:rPr>
          <w:rFonts w:ascii="Palatino Linotype" w:eastAsia="Palatino Linotype" w:hAnsi="Palatino Linotype" w:cs="Palatino Linotype"/>
        </w:rPr>
      </w:pPr>
    </w:p>
    <w:p w14:paraId="0E633791" w14:textId="77777777" w:rsidR="00587B33" w:rsidRDefault="00587B33">
      <w:pPr>
        <w:spacing w:line="360" w:lineRule="auto"/>
        <w:jc w:val="both"/>
        <w:rPr>
          <w:rFonts w:ascii="Palatino Linotype" w:eastAsia="Palatino Linotype" w:hAnsi="Palatino Linotype" w:cs="Palatino Linotype"/>
        </w:rPr>
      </w:pPr>
    </w:p>
    <w:p w14:paraId="0F5764F5" w14:textId="77777777" w:rsidR="00587B33" w:rsidRDefault="00587B33">
      <w:pPr>
        <w:spacing w:line="360" w:lineRule="auto"/>
        <w:jc w:val="both"/>
        <w:rPr>
          <w:rFonts w:ascii="Palatino Linotype" w:eastAsia="Palatino Linotype" w:hAnsi="Palatino Linotype" w:cs="Palatino Linotype"/>
        </w:rPr>
      </w:pPr>
    </w:p>
    <w:p w14:paraId="26C8D615" w14:textId="77777777" w:rsidR="00587B33" w:rsidRDefault="00587B33">
      <w:pPr>
        <w:spacing w:line="360" w:lineRule="auto"/>
        <w:jc w:val="both"/>
        <w:rPr>
          <w:rFonts w:ascii="Palatino Linotype" w:eastAsia="Palatino Linotype" w:hAnsi="Palatino Linotype" w:cs="Palatino Linotype"/>
        </w:rPr>
      </w:pPr>
    </w:p>
    <w:p w14:paraId="01C9BD9F" w14:textId="77777777" w:rsidR="00587B33" w:rsidRDefault="00587B33">
      <w:pPr>
        <w:spacing w:line="360" w:lineRule="auto"/>
        <w:jc w:val="both"/>
        <w:rPr>
          <w:rFonts w:ascii="Palatino Linotype" w:eastAsia="Palatino Linotype" w:hAnsi="Palatino Linotype" w:cs="Palatino Linotype"/>
        </w:rPr>
      </w:pPr>
    </w:p>
    <w:p w14:paraId="337C3602" w14:textId="77777777" w:rsidR="00587B33" w:rsidRDefault="00587B33">
      <w:pPr>
        <w:spacing w:line="360" w:lineRule="auto"/>
        <w:jc w:val="both"/>
        <w:rPr>
          <w:rFonts w:ascii="Palatino Linotype" w:eastAsia="Palatino Linotype" w:hAnsi="Palatino Linotype" w:cs="Palatino Linotype"/>
        </w:rPr>
      </w:pPr>
    </w:p>
    <w:p w14:paraId="3F30BBE0" w14:textId="77777777" w:rsidR="00587B33" w:rsidRDefault="00587B33">
      <w:pPr>
        <w:spacing w:line="360" w:lineRule="auto"/>
        <w:jc w:val="both"/>
        <w:rPr>
          <w:rFonts w:ascii="Palatino Linotype" w:eastAsia="Palatino Linotype" w:hAnsi="Palatino Linotype" w:cs="Palatino Linotype"/>
        </w:rPr>
      </w:pPr>
    </w:p>
    <w:p w14:paraId="4BA4665A" w14:textId="77777777" w:rsidR="00587B33" w:rsidRDefault="00587B33">
      <w:pPr>
        <w:spacing w:line="360" w:lineRule="auto"/>
        <w:jc w:val="both"/>
        <w:rPr>
          <w:rFonts w:ascii="Palatino Linotype" w:eastAsia="Palatino Linotype" w:hAnsi="Palatino Linotype" w:cs="Palatino Linotype"/>
        </w:rPr>
      </w:pPr>
    </w:p>
    <w:p w14:paraId="7CF76CB3" w14:textId="77777777" w:rsidR="00587B33" w:rsidRDefault="00587B33">
      <w:pPr>
        <w:spacing w:line="360" w:lineRule="auto"/>
        <w:jc w:val="both"/>
        <w:rPr>
          <w:rFonts w:ascii="Palatino Linotype" w:eastAsia="Palatino Linotype" w:hAnsi="Palatino Linotype" w:cs="Palatino Linotype"/>
        </w:rPr>
      </w:pPr>
    </w:p>
    <w:p w14:paraId="3B11FF58" w14:textId="77777777" w:rsidR="00587B33" w:rsidRDefault="00587B33">
      <w:pPr>
        <w:spacing w:line="360" w:lineRule="auto"/>
        <w:jc w:val="both"/>
        <w:rPr>
          <w:rFonts w:ascii="Palatino Linotype" w:eastAsia="Palatino Linotype" w:hAnsi="Palatino Linotype" w:cs="Palatino Linotype"/>
        </w:rPr>
      </w:pPr>
    </w:p>
    <w:p w14:paraId="3C7DB799" w14:textId="77777777" w:rsidR="00587B33" w:rsidRDefault="00587B33">
      <w:pPr>
        <w:spacing w:line="360" w:lineRule="auto"/>
        <w:jc w:val="both"/>
        <w:rPr>
          <w:rFonts w:ascii="Palatino Linotype" w:eastAsia="Palatino Linotype" w:hAnsi="Palatino Linotype" w:cs="Palatino Linotype"/>
        </w:rPr>
      </w:pPr>
    </w:p>
    <w:p w14:paraId="3DF94040" w14:textId="77777777" w:rsidR="00587B33" w:rsidRDefault="00587B33">
      <w:pPr>
        <w:spacing w:line="360" w:lineRule="auto"/>
        <w:jc w:val="both"/>
        <w:rPr>
          <w:rFonts w:ascii="Palatino Linotype" w:eastAsia="Palatino Linotype" w:hAnsi="Palatino Linotype" w:cs="Palatino Linotype"/>
        </w:rPr>
      </w:pPr>
    </w:p>
    <w:p w14:paraId="1E229EA9" w14:textId="77777777" w:rsidR="00587B33" w:rsidRDefault="00587B33">
      <w:pPr>
        <w:spacing w:line="360" w:lineRule="auto"/>
        <w:jc w:val="both"/>
        <w:rPr>
          <w:rFonts w:ascii="Palatino Linotype" w:eastAsia="Palatino Linotype" w:hAnsi="Palatino Linotype" w:cs="Palatino Linotype"/>
        </w:rPr>
      </w:pPr>
    </w:p>
    <w:p w14:paraId="312D70D8" w14:textId="77777777" w:rsidR="00587B33" w:rsidRDefault="00587B33">
      <w:pPr>
        <w:spacing w:line="360" w:lineRule="auto"/>
        <w:jc w:val="both"/>
        <w:rPr>
          <w:rFonts w:ascii="Palatino Linotype" w:eastAsia="Palatino Linotype" w:hAnsi="Palatino Linotype" w:cs="Palatino Linotype"/>
        </w:rPr>
      </w:pPr>
    </w:p>
    <w:p w14:paraId="374ED1D5" w14:textId="77777777" w:rsidR="00587B33" w:rsidRDefault="00587B33">
      <w:pPr>
        <w:spacing w:line="360" w:lineRule="auto"/>
        <w:jc w:val="both"/>
        <w:rPr>
          <w:rFonts w:ascii="Palatino Linotype" w:eastAsia="Palatino Linotype" w:hAnsi="Palatino Linotype" w:cs="Palatino Linotype"/>
        </w:rPr>
      </w:pPr>
    </w:p>
    <w:sectPr w:rsidR="00587B33">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0CB67" w14:textId="77777777" w:rsidR="003C2B49" w:rsidRDefault="003C2B49">
      <w:r>
        <w:separator/>
      </w:r>
    </w:p>
  </w:endnote>
  <w:endnote w:type="continuationSeparator" w:id="0">
    <w:p w14:paraId="43152128" w14:textId="77777777" w:rsidR="003C2B49" w:rsidRDefault="003C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C37C" w14:textId="77777777" w:rsidR="00587B33" w:rsidRDefault="003C2B4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6058D">
      <w:rPr>
        <w:rFonts w:ascii="Palatino Linotype" w:eastAsia="Palatino Linotype" w:hAnsi="Palatino Linotype" w:cs="Palatino Linotype"/>
        <w:noProof/>
        <w:color w:val="000000"/>
        <w:sz w:val="22"/>
        <w:szCs w:val="22"/>
      </w:rPr>
      <w:t>47</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6058D">
      <w:rPr>
        <w:rFonts w:ascii="Palatino Linotype" w:eastAsia="Palatino Linotype" w:hAnsi="Palatino Linotype" w:cs="Palatino Linotype"/>
        <w:noProof/>
        <w:color w:val="000000"/>
        <w:sz w:val="22"/>
        <w:szCs w:val="22"/>
      </w:rPr>
      <w:t>47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6D13" w14:textId="77777777" w:rsidR="00587B33" w:rsidRDefault="003C2B49">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6058D">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6058D">
      <w:rPr>
        <w:rFonts w:ascii="Palatino Linotype" w:eastAsia="Palatino Linotype" w:hAnsi="Palatino Linotype" w:cs="Palatino Linotype"/>
        <w:noProof/>
        <w:color w:val="000000"/>
        <w:sz w:val="22"/>
        <w:szCs w:val="22"/>
      </w:rPr>
      <w:t>47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30897" w14:textId="77777777" w:rsidR="003C2B49" w:rsidRDefault="003C2B49">
      <w:r>
        <w:separator/>
      </w:r>
    </w:p>
  </w:footnote>
  <w:footnote w:type="continuationSeparator" w:id="0">
    <w:p w14:paraId="0ECC354F" w14:textId="77777777" w:rsidR="003C2B49" w:rsidRDefault="003C2B49">
      <w:r>
        <w:continuationSeparator/>
      </w:r>
    </w:p>
  </w:footnote>
  <w:footnote w:id="1">
    <w:p w14:paraId="67F07E20" w14:textId="77777777" w:rsidR="00587B33" w:rsidRDefault="003C2B49">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6B0C" w14:textId="77777777" w:rsidR="00587B33" w:rsidRDefault="006A244E">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77CEA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A4F2" w14:textId="77777777" w:rsidR="00587B33" w:rsidRDefault="006A244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4E992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138.05pt;margin-top:-111.95pt;width:540pt;height:10in;z-index:-251659776;mso-position-horizontal:absolute;mso-position-horizontal-relative:margin;mso-position-vertical:absolute;mso-position-vertical-relative:margin">
          <v:imagedata r:id="rId1" o:title="image1" croptop="-8531f" cropbottom="8531f" cropleft="19205f" cropright="-19205f"/>
          <w10:wrap anchorx="margin" anchory="margin"/>
        </v:shape>
      </w:pict>
    </w:r>
  </w:p>
  <w:tbl>
    <w:tblPr>
      <w:tblStyle w:val="afffffff3"/>
      <w:tblW w:w="9534" w:type="dxa"/>
      <w:tblInd w:w="-142" w:type="dxa"/>
      <w:tblLayout w:type="fixed"/>
      <w:tblLook w:val="0400" w:firstRow="0" w:lastRow="0" w:firstColumn="0" w:lastColumn="0" w:noHBand="0" w:noVBand="1"/>
    </w:tblPr>
    <w:tblGrid>
      <w:gridCol w:w="3261"/>
      <w:gridCol w:w="2551"/>
      <w:gridCol w:w="3722"/>
    </w:tblGrid>
    <w:tr w:rsidR="00587B33" w14:paraId="28D89CBD" w14:textId="77777777">
      <w:tc>
        <w:tcPr>
          <w:tcW w:w="3261" w:type="dxa"/>
          <w:vMerge w:val="restart"/>
        </w:tcPr>
        <w:p w14:paraId="540BA610" w14:textId="77777777" w:rsidR="00587B33" w:rsidRDefault="003C2B49">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4429BDD" wp14:editId="6A6260F9">
                <wp:extent cx="1692162" cy="852673"/>
                <wp:effectExtent l="0" t="0" r="0" b="0"/>
                <wp:docPr id="15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DEE9EF5" w14:textId="77777777" w:rsidR="00587B33" w:rsidRDefault="003C2B4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26551378" w14:textId="77777777" w:rsidR="00587B33" w:rsidRDefault="0066058D">
          <w:pPr>
            <w:jc w:val="both"/>
            <w:rPr>
              <w:rFonts w:ascii="Palatino Linotype" w:eastAsia="Palatino Linotype" w:hAnsi="Palatino Linotype" w:cs="Palatino Linotype"/>
              <w:b/>
            </w:rPr>
          </w:pPr>
          <w:r>
            <w:rPr>
              <w:rFonts w:ascii="Palatino Linotype" w:eastAsia="Palatino Linotype" w:hAnsi="Palatino Linotype" w:cs="Palatino Linotype"/>
              <w:b/>
            </w:rPr>
            <w:t>06327/INFOEM/IP/RR/2022 y A</w:t>
          </w:r>
          <w:r w:rsidR="003C2B49">
            <w:rPr>
              <w:rFonts w:ascii="Palatino Linotype" w:eastAsia="Palatino Linotype" w:hAnsi="Palatino Linotype" w:cs="Palatino Linotype"/>
              <w:b/>
            </w:rPr>
            <w:t>cumulados</w:t>
          </w:r>
        </w:p>
      </w:tc>
    </w:tr>
    <w:tr w:rsidR="00587B33" w14:paraId="66B2F14E" w14:textId="77777777">
      <w:tc>
        <w:tcPr>
          <w:tcW w:w="3261" w:type="dxa"/>
          <w:vMerge/>
        </w:tcPr>
        <w:p w14:paraId="1901D6B4" w14:textId="77777777" w:rsidR="00587B33" w:rsidRDefault="00587B3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6967B46" w14:textId="77777777" w:rsidR="00587B33" w:rsidRDefault="003C2B4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06041C00" w14:textId="77777777" w:rsidR="00587B33" w:rsidRDefault="003C2B49">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Texcoco </w:t>
          </w:r>
        </w:p>
      </w:tc>
    </w:tr>
    <w:tr w:rsidR="00587B33" w14:paraId="3611F0FE" w14:textId="77777777">
      <w:trPr>
        <w:trHeight w:val="228"/>
      </w:trPr>
      <w:tc>
        <w:tcPr>
          <w:tcW w:w="3261" w:type="dxa"/>
          <w:vMerge/>
        </w:tcPr>
        <w:p w14:paraId="79E03E36" w14:textId="77777777" w:rsidR="00587B33" w:rsidRDefault="00587B3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ABF87A4" w14:textId="77777777" w:rsidR="00587B33" w:rsidRDefault="003C2B49">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10C37952" w14:textId="77777777" w:rsidR="00587B33" w:rsidRDefault="003C2B49">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69570E92" w14:textId="77777777" w:rsidR="00587B33" w:rsidRDefault="00587B3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BC8D" w14:textId="77777777" w:rsidR="00587B33" w:rsidRDefault="006A244E">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5B2F1B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4"/>
      <w:tblW w:w="9900" w:type="dxa"/>
      <w:tblInd w:w="-833" w:type="dxa"/>
      <w:tblLayout w:type="fixed"/>
      <w:tblLook w:val="0400" w:firstRow="0" w:lastRow="0" w:firstColumn="0" w:lastColumn="0" w:noHBand="0" w:noVBand="1"/>
    </w:tblPr>
    <w:tblGrid>
      <w:gridCol w:w="3805"/>
      <w:gridCol w:w="3000"/>
      <w:gridCol w:w="3095"/>
    </w:tblGrid>
    <w:tr w:rsidR="00587B33" w14:paraId="1B0D6BCD" w14:textId="77777777">
      <w:tc>
        <w:tcPr>
          <w:tcW w:w="3805" w:type="dxa"/>
          <w:vMerge w:val="restart"/>
          <w:shd w:val="clear" w:color="auto" w:fill="auto"/>
        </w:tcPr>
        <w:p w14:paraId="695E2E42" w14:textId="77777777" w:rsidR="00587B33" w:rsidRDefault="003C2B49">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3945B947" wp14:editId="42E1B52E">
                <wp:extent cx="1692162" cy="852673"/>
                <wp:effectExtent l="0" t="0" r="0" b="0"/>
                <wp:docPr id="15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5D218D4A" w14:textId="77777777" w:rsidR="00587B33" w:rsidRDefault="003C2B4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6B363EA0" w14:textId="77777777" w:rsidR="00587B33" w:rsidRDefault="0066058D">
          <w:pPr>
            <w:jc w:val="both"/>
            <w:rPr>
              <w:rFonts w:ascii="Palatino Linotype" w:eastAsia="Palatino Linotype" w:hAnsi="Palatino Linotype" w:cs="Palatino Linotype"/>
              <w:b/>
            </w:rPr>
          </w:pPr>
          <w:r>
            <w:rPr>
              <w:rFonts w:ascii="Palatino Linotype" w:eastAsia="Palatino Linotype" w:hAnsi="Palatino Linotype" w:cs="Palatino Linotype"/>
              <w:b/>
            </w:rPr>
            <w:t>06327/INFOEM/IP/RR/2022 y A</w:t>
          </w:r>
          <w:r w:rsidR="003C2B49">
            <w:rPr>
              <w:rFonts w:ascii="Palatino Linotype" w:eastAsia="Palatino Linotype" w:hAnsi="Palatino Linotype" w:cs="Palatino Linotype"/>
              <w:b/>
            </w:rPr>
            <w:t>cumulados</w:t>
          </w:r>
        </w:p>
      </w:tc>
    </w:tr>
    <w:tr w:rsidR="00587B33" w14:paraId="24A1AC60" w14:textId="77777777">
      <w:tc>
        <w:tcPr>
          <w:tcW w:w="3805" w:type="dxa"/>
          <w:vMerge/>
          <w:shd w:val="clear" w:color="auto" w:fill="auto"/>
        </w:tcPr>
        <w:p w14:paraId="6CED4BB2" w14:textId="77777777" w:rsidR="00587B33" w:rsidRDefault="00587B3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67DDCA7" w14:textId="77777777" w:rsidR="00587B33" w:rsidRDefault="003C2B49">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0586EF94" w14:textId="77777777" w:rsidR="00587B33" w:rsidRDefault="00587B33">
          <w:pPr>
            <w:jc w:val="both"/>
            <w:rPr>
              <w:rFonts w:ascii="Palatino Linotype" w:eastAsia="Palatino Linotype" w:hAnsi="Palatino Linotype" w:cs="Palatino Linotype"/>
              <w:b/>
            </w:rPr>
          </w:pPr>
        </w:p>
      </w:tc>
    </w:tr>
    <w:tr w:rsidR="00587B33" w14:paraId="56A511A5" w14:textId="77777777">
      <w:trPr>
        <w:trHeight w:val="228"/>
      </w:trPr>
      <w:tc>
        <w:tcPr>
          <w:tcW w:w="3805" w:type="dxa"/>
          <w:vMerge/>
          <w:shd w:val="clear" w:color="auto" w:fill="auto"/>
        </w:tcPr>
        <w:p w14:paraId="695EADC6" w14:textId="77777777" w:rsidR="00587B33" w:rsidRDefault="00587B3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03D6908" w14:textId="77777777" w:rsidR="00587B33" w:rsidRDefault="003C2B4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EF34B84" w14:textId="77777777" w:rsidR="00587B33" w:rsidRDefault="003C2B49">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Texcoco</w:t>
          </w:r>
        </w:p>
      </w:tc>
    </w:tr>
    <w:tr w:rsidR="00587B33" w14:paraId="1F325638" w14:textId="77777777">
      <w:tc>
        <w:tcPr>
          <w:tcW w:w="3805" w:type="dxa"/>
          <w:vMerge/>
          <w:shd w:val="clear" w:color="auto" w:fill="auto"/>
        </w:tcPr>
        <w:p w14:paraId="15A2C92D" w14:textId="77777777" w:rsidR="00587B33" w:rsidRDefault="00587B3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10C7BD9" w14:textId="77777777" w:rsidR="00587B33" w:rsidRDefault="003C2B49">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76F7E5A8" w14:textId="77777777" w:rsidR="00587B33" w:rsidRDefault="003C2B49">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6922634E" w14:textId="77777777" w:rsidR="00587B33" w:rsidRDefault="00587B33">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C2674"/>
    <w:multiLevelType w:val="multilevel"/>
    <w:tmpl w:val="F21842A0"/>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16cid:durableId="160723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B33"/>
    <w:rsid w:val="003C2B49"/>
    <w:rsid w:val="00587B33"/>
    <w:rsid w:val="0066058D"/>
    <w:rsid w:val="006A244E"/>
    <w:rsid w:val="00946E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09E5F1"/>
  <w15:docId w15:val="{F2883D7E-A1BD-4966-9D58-2ECD396C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6"/>
    <w:tblPr>
      <w:tblStyleRowBandSize w:val="1"/>
      <w:tblStyleColBandSize w:val="1"/>
      <w:tblCellMar>
        <w:top w:w="100" w:type="dxa"/>
        <w:left w:w="100" w:type="dxa"/>
        <w:bottom w:w="100" w:type="dxa"/>
        <w:right w:w="100" w:type="dxa"/>
      </w:tblCellMar>
    </w:tblPr>
  </w:style>
  <w:style w:type="table" w:customStyle="1" w:styleId="a0">
    <w:basedOn w:val="TableNormalf6"/>
    <w:tblPr>
      <w:tblStyleRowBandSize w:val="1"/>
      <w:tblStyleColBandSize w:val="1"/>
      <w:tblCellMar>
        <w:left w:w="115" w:type="dxa"/>
        <w:right w:w="115" w:type="dxa"/>
      </w:tblCellMar>
    </w:tblPr>
  </w:style>
  <w:style w:type="table" w:customStyle="1" w:styleId="a1">
    <w:basedOn w:val="TableNormalf6"/>
    <w:tblPr>
      <w:tblStyleRowBandSize w:val="1"/>
      <w:tblStyleColBandSize w:val="1"/>
      <w:tblCellMar>
        <w:left w:w="115" w:type="dxa"/>
        <w:right w:w="115" w:type="dxa"/>
      </w:tblCellMar>
    </w:tblPr>
  </w:style>
  <w:style w:type="table" w:customStyle="1" w:styleId="a2">
    <w:basedOn w:val="TableNormalf6"/>
    <w:tblPr>
      <w:tblStyleRowBandSize w:val="1"/>
      <w:tblStyleColBandSize w:val="1"/>
      <w:tblCellMar>
        <w:left w:w="115" w:type="dxa"/>
        <w:right w:w="115" w:type="dxa"/>
      </w:tblCellMar>
    </w:tblPr>
  </w:style>
  <w:style w:type="table" w:customStyle="1" w:styleId="a3">
    <w:basedOn w:val="TableNormalf6"/>
    <w:tblPr>
      <w:tblStyleRowBandSize w:val="1"/>
      <w:tblStyleColBandSize w:val="1"/>
      <w:tblCellMar>
        <w:left w:w="115" w:type="dxa"/>
        <w:right w:w="115" w:type="dxa"/>
      </w:tblCellMar>
    </w:tblPr>
  </w:style>
  <w:style w:type="table" w:customStyle="1" w:styleId="a4">
    <w:basedOn w:val="TableNormalf6"/>
    <w:tblPr>
      <w:tblStyleRowBandSize w:val="1"/>
      <w:tblStyleColBandSize w:val="1"/>
      <w:tblCellMar>
        <w:left w:w="115" w:type="dxa"/>
        <w:right w:w="115" w:type="dxa"/>
      </w:tblCellMar>
    </w:tblPr>
  </w:style>
  <w:style w:type="table" w:customStyle="1" w:styleId="a5">
    <w:basedOn w:val="TableNormalf6"/>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6"/>
    <w:tblPr>
      <w:tblStyleRowBandSize w:val="1"/>
      <w:tblStyleColBandSize w:val="1"/>
      <w:tblCellMar>
        <w:left w:w="115" w:type="dxa"/>
        <w:right w:w="115" w:type="dxa"/>
      </w:tblCellMar>
    </w:tblPr>
  </w:style>
  <w:style w:type="table" w:customStyle="1" w:styleId="a7">
    <w:basedOn w:val="TableNormalf6"/>
    <w:tblPr>
      <w:tblStyleRowBandSize w:val="1"/>
      <w:tblStyleColBandSize w:val="1"/>
      <w:tblCellMar>
        <w:left w:w="115" w:type="dxa"/>
        <w:right w:w="115" w:type="dxa"/>
      </w:tblCellMar>
    </w:tblPr>
  </w:style>
  <w:style w:type="table" w:customStyle="1" w:styleId="a8">
    <w:basedOn w:val="TableNormalf6"/>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6"/>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3"/>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3"/>
    <w:tblPr>
      <w:tblStyleRowBandSize w:val="1"/>
      <w:tblStyleColBandSize w:val="1"/>
      <w:tblCellMar>
        <w:top w:w="100" w:type="dxa"/>
        <w:left w:w="100" w:type="dxa"/>
        <w:bottom w:w="100" w:type="dxa"/>
        <w:right w:w="100" w:type="dxa"/>
      </w:tblCellMar>
    </w:tblPr>
  </w:style>
  <w:style w:type="table" w:customStyle="1" w:styleId="af4">
    <w:basedOn w:val="TableNormalf3"/>
    <w:tblPr>
      <w:tblStyleRowBandSize w:val="1"/>
      <w:tblStyleColBandSize w:val="1"/>
      <w:tblCellMar>
        <w:top w:w="100" w:type="dxa"/>
        <w:left w:w="100" w:type="dxa"/>
        <w:bottom w:w="100" w:type="dxa"/>
        <w:right w:w="100" w:type="dxa"/>
      </w:tblCellMar>
    </w:tblPr>
  </w:style>
  <w:style w:type="table" w:customStyle="1" w:styleId="af5">
    <w:basedOn w:val="TableNormalf3"/>
    <w:tblPr>
      <w:tblStyleRowBandSize w:val="1"/>
      <w:tblStyleColBandSize w:val="1"/>
      <w:tblCellMar>
        <w:top w:w="100" w:type="dxa"/>
        <w:left w:w="100" w:type="dxa"/>
        <w:bottom w:w="100" w:type="dxa"/>
        <w:right w:w="100" w:type="dxa"/>
      </w:tblCellMar>
    </w:tblPr>
  </w:style>
  <w:style w:type="table" w:customStyle="1" w:styleId="af6">
    <w:basedOn w:val="TableNormalf3"/>
    <w:tblPr>
      <w:tblStyleRowBandSize w:val="1"/>
      <w:tblStyleColBandSize w:val="1"/>
      <w:tblCellMar>
        <w:top w:w="100" w:type="dxa"/>
        <w:left w:w="100" w:type="dxa"/>
        <w:bottom w:w="100" w:type="dxa"/>
        <w:right w:w="100" w:type="dxa"/>
      </w:tblCellMar>
    </w:tblPr>
  </w:style>
  <w:style w:type="table" w:customStyle="1" w:styleId="af7">
    <w:basedOn w:val="TableNormalf3"/>
    <w:tblPr>
      <w:tblStyleRowBandSize w:val="1"/>
      <w:tblStyleColBandSize w:val="1"/>
      <w:tblCellMar>
        <w:top w:w="100" w:type="dxa"/>
        <w:left w:w="100" w:type="dxa"/>
        <w:bottom w:w="100" w:type="dxa"/>
        <w:right w:w="100" w:type="dxa"/>
      </w:tblCellMar>
    </w:tblPr>
  </w:style>
  <w:style w:type="table" w:customStyle="1" w:styleId="af8">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e"/>
    <w:rPr>
      <w:rFonts w:ascii="Arial" w:eastAsia="Arial" w:hAnsi="Arial" w:cs="Arial"/>
      <w:sz w:val="22"/>
      <w:szCs w:val="22"/>
    </w:rPr>
    <w:tblPr>
      <w:tblStyleRowBandSize w:val="1"/>
      <w:tblStyleColBandSize w:val="1"/>
      <w:tblCellMar>
        <w:left w:w="115" w:type="dxa"/>
        <w:right w:w="115" w:type="dxa"/>
      </w:tblCellMar>
    </w:tblPr>
  </w:style>
  <w:style w:type="table" w:customStyle="1" w:styleId="affb">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c">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DyOfCga3vGGhYFOIXxxJf6NRTw==">AMUW2mU2sKGLfyBPdW9IOiIKJa3DlEwbkpwYTED42QR6RquOn5Rtp2OcudHcbyZ2a+e0iny1C5ZfsTtC9MpLjTLE5+Yv2T1kTRcRi2wOUB+gZY5jsvLtOpX+d406j9jshNuRX4FoCdaT0R/e8YOFr5juNc5eXVghJbVFinUM6SuSpTYWJ8MSkLMwT3fUv1CaVMhc/vA6CqgnlK33KluNNb1FEjJEI9Ho2zBDaHK1dQi3+PyL9YSgCV4C4zfjOODafrQnH87K+02x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10760</Words>
  <Characters>59186</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4</cp:revision>
  <cp:lastPrinted>2022-09-02T03:15:00Z</cp:lastPrinted>
  <dcterms:created xsi:type="dcterms:W3CDTF">2022-08-25T05:19:00Z</dcterms:created>
  <dcterms:modified xsi:type="dcterms:W3CDTF">2022-09-02T03:16:00Z</dcterms:modified>
</cp:coreProperties>
</file>