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BF2EF" w14:textId="77777777" w:rsidR="00227201" w:rsidRPr="00B3134F" w:rsidRDefault="00227201" w:rsidP="00227201">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val="es-ES" w:eastAsia="es-MX"/>
        </w:rPr>
        <w:t>diecinueve de enero de dos mil veintidós</w:t>
      </w:r>
      <w:r w:rsidRPr="00B3134F">
        <w:rPr>
          <w:rFonts w:ascii="Palatino Linotype" w:eastAsia="Times New Roman" w:hAnsi="Palatino Linotype" w:cs="Arial"/>
          <w:color w:val="000000"/>
          <w:sz w:val="24"/>
          <w:szCs w:val="24"/>
          <w:lang w:val="es-ES" w:eastAsia="es-MX"/>
        </w:rPr>
        <w:t>.</w:t>
      </w:r>
    </w:p>
    <w:p w14:paraId="5CC92DBC" w14:textId="77777777"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20F42BA5" w:rsidR="00E15E85" w:rsidRPr="00B3134F" w:rsidRDefault="00E15E85" w:rsidP="007444C8">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891C09">
        <w:rPr>
          <w:rFonts w:ascii="Palatino Linotype" w:hAnsi="Palatino Linotype" w:cs="Arial"/>
          <w:b/>
          <w:bCs/>
          <w:sz w:val="24"/>
          <w:lang w:val="es-ES" w:eastAsia="es-MX"/>
        </w:rPr>
        <w:t>5725</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441A50" w:rsidRPr="00B3134F">
        <w:rPr>
          <w:rFonts w:ascii="Palatino Linotype" w:hAnsi="Palatino Linotype" w:cs="Arial"/>
          <w:sz w:val="24"/>
          <w:lang w:val="es-ES"/>
        </w:rPr>
        <w:t xml:space="preserve">la parte solicitante </w:t>
      </w:r>
      <w:r w:rsidR="00441A50" w:rsidRPr="00B3134F">
        <w:rPr>
          <w:rFonts w:ascii="Palatino Linotype" w:hAnsi="Palatino Linotype" w:cs="Arial"/>
          <w:b/>
          <w:bCs/>
          <w:sz w:val="24"/>
          <w:lang w:val="es-ES"/>
        </w:rPr>
        <w:t xml:space="preserve">C. </w:t>
      </w:r>
      <w:proofErr w:type="spellStart"/>
      <w:r w:rsidR="00E323EE">
        <w:rPr>
          <w:rFonts w:ascii="Palatino Linotype" w:hAnsi="Palatino Linotype" w:cs="Arial"/>
          <w:b/>
          <w:bCs/>
          <w:sz w:val="24"/>
          <w:lang w:val="es-ES"/>
        </w:rPr>
        <w:t>xxxxxxxxxxxxxxx</w:t>
      </w:r>
      <w:proofErr w:type="spellEnd"/>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7444C8">
        <w:rPr>
          <w:rFonts w:ascii="Palatino Linotype" w:hAnsi="Palatino Linotype" w:cs="Arial"/>
          <w:sz w:val="24"/>
          <w:szCs w:val="24"/>
          <w:lang w:val="es-ES"/>
        </w:rPr>
        <w:t xml:space="preserve"> la</w:t>
      </w:r>
      <w:r w:rsidRPr="00B3134F">
        <w:rPr>
          <w:rFonts w:ascii="Palatino Linotype" w:hAnsi="Palatino Linotype" w:cs="Arial"/>
          <w:sz w:val="24"/>
          <w:szCs w:val="24"/>
          <w:lang w:val="es-ES"/>
        </w:rPr>
        <w:t xml:space="preserve"> </w:t>
      </w:r>
      <w:r w:rsidR="00891C09" w:rsidRPr="00891C09">
        <w:rPr>
          <w:rFonts w:ascii="Palatino Linotype" w:hAnsi="Palatino Linotype" w:cs="Arial"/>
          <w:b/>
          <w:sz w:val="24"/>
          <w:szCs w:val="24"/>
          <w:lang w:val="es-ES"/>
        </w:rPr>
        <w:t>Ayuntamiento de Nezahualcóyotl</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4BBE4BC8"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891C09">
        <w:rPr>
          <w:rFonts w:ascii="Palatino Linotype" w:hAnsi="Palatino Linotype" w:cs="Arial"/>
          <w:sz w:val="24"/>
          <w:szCs w:val="24"/>
          <w:lang w:val="es-ES"/>
        </w:rPr>
        <w:t>dieciocho de octubre</w:t>
      </w:r>
      <w:r w:rsidR="007444C8" w:rsidRPr="00D67113">
        <w:rPr>
          <w:rFonts w:ascii="Palatino Linotype" w:hAnsi="Palatino Linotype" w:cs="Arial"/>
          <w:sz w:val="24"/>
          <w:szCs w:val="24"/>
          <w:lang w:val="es-ES"/>
        </w:rPr>
        <w:t xml:space="preserve"> </w:t>
      </w:r>
      <w:r w:rsidR="002A7397" w:rsidRPr="00D67113">
        <w:rPr>
          <w:rFonts w:ascii="Palatino Linotype" w:hAnsi="Palatino Linotype" w:cs="Arial"/>
          <w:sz w:val="24"/>
          <w:szCs w:val="24"/>
          <w:lang w:val="es-ES"/>
        </w:rPr>
        <w:t>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w:t>
      </w:r>
      <w:r w:rsidR="00B62D69">
        <w:rPr>
          <w:rFonts w:ascii="Palatino Linotype" w:hAnsi="Palatino Linotype"/>
          <w:sz w:val="24"/>
          <w:szCs w:val="24"/>
        </w:rPr>
        <w:t>d</w:t>
      </w:r>
      <w:r w:rsidR="007444C8" w:rsidRPr="00D67113">
        <w:rPr>
          <w:rFonts w:ascii="Palatino Linotype" w:hAnsi="Palatino Linotype"/>
          <w:sz w:val="24"/>
          <w:szCs w:val="24"/>
        </w:rPr>
        <w:t xml:space="preserve">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891C09" w:rsidRPr="00891C09">
        <w:rPr>
          <w:rFonts w:ascii="Palatino Linotype" w:hAnsi="Palatino Linotype" w:cs="Arial"/>
          <w:b/>
          <w:sz w:val="24"/>
          <w:lang w:val="es-ES"/>
        </w:rPr>
        <w:t>00489/NEZA/IP/2021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mediante la cual solicitó información en el tenor siguiente:</w:t>
      </w:r>
    </w:p>
    <w:p w14:paraId="737C7645" w14:textId="29736668"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891C09" w:rsidRPr="00891C09">
        <w:rPr>
          <w:rFonts w:ascii="Palatino Linotype" w:hAnsi="Palatino Linotype"/>
          <w:i/>
          <w:color w:val="000000"/>
          <w:lang w:val="es-ES"/>
        </w:rPr>
        <w:t>SOLICITO UN LISTADO DE TODOS LOS SINDICALIZADOS ASTA EL 30 DE SEPTIEMBRE DEL 2021. SOLICITO LOS CFDI DE LA PRIMERA QUINCENA DE AGOSTO DE LOS SINDICALIZADOS CUANTOS SINDICALIZADOS TIENE EL AYUNTAMIENTO ASTA EL 30 DE SEPTIEBRE DEL 2021</w:t>
      </w:r>
      <w:r w:rsidR="00891C09">
        <w:rPr>
          <w:rFonts w:ascii="Palatino Linotype" w:hAnsi="Palatino Linotype"/>
          <w:i/>
          <w:color w:val="000000"/>
          <w:lang w:val="es-ES"/>
        </w:rPr>
        <w:t>.</w:t>
      </w:r>
      <w:r w:rsidRPr="00B3134F">
        <w:rPr>
          <w:rFonts w:ascii="Palatino Linotype" w:eastAsia="Times New Roman" w:hAnsi="Palatino Linotype" w:cs="Times New Roman"/>
          <w:i/>
          <w:lang w:val="es-ES" w:eastAsia="es-ES"/>
        </w:rPr>
        <w:t>” [Sic]</w:t>
      </w:r>
    </w:p>
    <w:p w14:paraId="2E9CB282" w14:textId="51502134" w:rsidR="00CB4F7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lastRenderedPageBreak/>
        <w:t>Modalidad de entrega: a través del SAIMEX.</w:t>
      </w:r>
    </w:p>
    <w:p w14:paraId="677D2E71" w14:textId="77777777" w:rsidR="00064CC1" w:rsidRPr="00B3134F" w:rsidRDefault="00064CC1" w:rsidP="00497466">
      <w:pPr>
        <w:spacing w:before="240" w:line="240" w:lineRule="auto"/>
        <w:ind w:right="850"/>
        <w:jc w:val="both"/>
        <w:rPr>
          <w:rFonts w:ascii="Palatino Linotype" w:eastAsia="Times New Roman" w:hAnsi="Palatino Linotype" w:cs="Times New Roman"/>
          <w:sz w:val="24"/>
          <w:szCs w:val="24"/>
          <w:lang w:val="es-ES" w:eastAsia="es-ES"/>
        </w:rPr>
      </w:pPr>
    </w:p>
    <w:p w14:paraId="4D651E59" w14:textId="77777777" w:rsidR="00891C09" w:rsidRPr="00225245" w:rsidRDefault="00891C09" w:rsidP="00891C09">
      <w:pPr>
        <w:spacing w:before="240" w:line="360" w:lineRule="auto"/>
        <w:jc w:val="both"/>
        <w:rPr>
          <w:rFonts w:ascii="Palatino Linotype" w:hAnsi="Palatino Linotype" w:cs="Arial"/>
          <w:b/>
          <w:sz w:val="28"/>
          <w:lang w:val="es-ES"/>
        </w:rPr>
      </w:pPr>
      <w:r w:rsidRPr="00225245">
        <w:rPr>
          <w:rFonts w:ascii="Palatino Linotype" w:hAnsi="Palatino Linotype" w:cs="Arial"/>
          <w:b/>
          <w:sz w:val="28"/>
          <w:lang w:val="es-ES"/>
        </w:rPr>
        <w:t xml:space="preserve">SEGUNDO. </w:t>
      </w:r>
      <w:r w:rsidRPr="00225245">
        <w:rPr>
          <w:rFonts w:ascii="Palatino Linotype" w:hAnsi="Palatino Linotype" w:cs="Arial"/>
          <w:b/>
          <w:sz w:val="28"/>
          <w:szCs w:val="20"/>
          <w:lang w:val="es-ES"/>
        </w:rPr>
        <w:t>De la respuesta del Sujeto Obligado.</w:t>
      </w:r>
    </w:p>
    <w:p w14:paraId="3B4A1473" w14:textId="02DE4A33" w:rsidR="00891C09" w:rsidRPr="00225245" w:rsidRDefault="00891C09" w:rsidP="00891C09">
      <w:pPr>
        <w:spacing w:before="240" w:line="360" w:lineRule="auto"/>
        <w:jc w:val="both"/>
        <w:rPr>
          <w:rFonts w:ascii="Palatino Linotype" w:hAnsi="Palatino Linotype" w:cs="Arial"/>
          <w:sz w:val="24"/>
          <w:lang w:val="es-ES"/>
        </w:rPr>
      </w:pPr>
      <w:r w:rsidRPr="00225245">
        <w:rPr>
          <w:rFonts w:ascii="Palatino Linotype" w:hAnsi="Palatino Linotype" w:cs="Arial"/>
          <w:sz w:val="24"/>
          <w:lang w:val="es-ES"/>
        </w:rPr>
        <w:t xml:space="preserve">En el expediente electrónico </w:t>
      </w:r>
      <w:r w:rsidRPr="00225245">
        <w:rPr>
          <w:rFonts w:ascii="Palatino Linotype" w:hAnsi="Palatino Linotype" w:cs="Arial"/>
          <w:b/>
          <w:sz w:val="24"/>
          <w:lang w:val="es-ES"/>
        </w:rPr>
        <w:t>SAIMEX</w:t>
      </w:r>
      <w:r w:rsidRPr="00225245">
        <w:rPr>
          <w:rFonts w:ascii="Palatino Linotype" w:hAnsi="Palatino Linotype" w:cs="Arial"/>
          <w:sz w:val="24"/>
          <w:lang w:val="es-ES"/>
        </w:rPr>
        <w:t xml:space="preserve">, se aprecia que </w:t>
      </w:r>
      <w:r w:rsidRPr="00225245">
        <w:rPr>
          <w:rFonts w:ascii="Palatino Linotype" w:hAnsi="Palatino Linotype" w:cs="Arial"/>
          <w:b/>
          <w:sz w:val="24"/>
          <w:lang w:val="es-ES"/>
        </w:rPr>
        <w:t>El Sujeto Obligado</w:t>
      </w:r>
      <w:r w:rsidRPr="00225245">
        <w:rPr>
          <w:rFonts w:ascii="Palatino Linotype" w:hAnsi="Palatino Linotype" w:cs="Arial"/>
          <w:sz w:val="24"/>
          <w:lang w:val="es-ES"/>
        </w:rPr>
        <w:t xml:space="preserve"> dio respuesta a la solicitud de información en fecha </w:t>
      </w:r>
      <w:r w:rsidR="00582599">
        <w:rPr>
          <w:rFonts w:ascii="Palatino Linotype" w:hAnsi="Palatino Linotype" w:cs="Arial"/>
          <w:sz w:val="24"/>
          <w:lang w:val="es-ES"/>
        </w:rPr>
        <w:t>nueve de noviembre</w:t>
      </w:r>
      <w:r w:rsidRPr="00225245">
        <w:rPr>
          <w:rFonts w:ascii="Palatino Linotype" w:hAnsi="Palatino Linotype" w:cs="Arial"/>
          <w:sz w:val="24"/>
          <w:lang w:val="es-ES"/>
        </w:rPr>
        <w:t xml:space="preserve"> de dos mil veintiuno, adjuntando para tales efectos </w:t>
      </w:r>
      <w:r w:rsidR="00582599">
        <w:rPr>
          <w:rFonts w:ascii="Palatino Linotype" w:hAnsi="Palatino Linotype" w:cs="Arial"/>
          <w:sz w:val="24"/>
          <w:lang w:val="es-ES"/>
        </w:rPr>
        <w:t xml:space="preserve">cuatro </w:t>
      </w:r>
      <w:r w:rsidRPr="00225245">
        <w:rPr>
          <w:rFonts w:ascii="Palatino Linotype" w:hAnsi="Palatino Linotype" w:cs="Arial"/>
          <w:sz w:val="24"/>
          <w:lang w:val="es-ES"/>
        </w:rPr>
        <w:t>archivo</w:t>
      </w:r>
      <w:r w:rsidR="00582599">
        <w:rPr>
          <w:rFonts w:ascii="Palatino Linotype" w:hAnsi="Palatino Linotype" w:cs="Arial"/>
          <w:sz w:val="24"/>
          <w:lang w:val="es-ES"/>
        </w:rPr>
        <w:t>s</w:t>
      </w:r>
      <w:r w:rsidRPr="00225245">
        <w:rPr>
          <w:rFonts w:ascii="Palatino Linotype" w:hAnsi="Palatino Linotype" w:cs="Arial"/>
          <w:sz w:val="24"/>
          <w:lang w:val="es-ES"/>
        </w:rPr>
        <w:t xml:space="preserve"> electrónico</w:t>
      </w:r>
      <w:r w:rsidR="00582599">
        <w:rPr>
          <w:rFonts w:ascii="Palatino Linotype" w:hAnsi="Palatino Linotype" w:cs="Arial"/>
          <w:sz w:val="24"/>
          <w:lang w:val="es-ES"/>
        </w:rPr>
        <w:t>s</w:t>
      </w:r>
      <w:r w:rsidRPr="00225245">
        <w:rPr>
          <w:rFonts w:ascii="Palatino Linotype" w:hAnsi="Palatino Linotype" w:cs="Arial"/>
          <w:sz w:val="24"/>
          <w:lang w:val="es-ES"/>
        </w:rPr>
        <w:t xml:space="preserve"> </w:t>
      </w:r>
      <w:r w:rsidR="00582599">
        <w:rPr>
          <w:rFonts w:ascii="Palatino Linotype" w:hAnsi="Palatino Linotype" w:cs="Arial"/>
          <w:sz w:val="24"/>
          <w:lang w:val="es-ES"/>
        </w:rPr>
        <w:t>los</w:t>
      </w:r>
      <w:r w:rsidRPr="00225245">
        <w:rPr>
          <w:rFonts w:ascii="Palatino Linotype" w:hAnsi="Palatino Linotype" w:cs="Arial"/>
          <w:sz w:val="24"/>
          <w:lang w:val="es-ES"/>
        </w:rPr>
        <w:t xml:space="preserve"> cual</w:t>
      </w:r>
      <w:r w:rsidR="00582599">
        <w:rPr>
          <w:rFonts w:ascii="Palatino Linotype" w:hAnsi="Palatino Linotype" w:cs="Arial"/>
          <w:sz w:val="24"/>
          <w:lang w:val="es-ES"/>
        </w:rPr>
        <w:t>es</w:t>
      </w:r>
      <w:r w:rsidRPr="00225245">
        <w:rPr>
          <w:rFonts w:ascii="Palatino Linotype" w:hAnsi="Palatino Linotype" w:cs="Arial"/>
          <w:sz w:val="24"/>
          <w:lang w:val="es-ES"/>
        </w:rPr>
        <w:t xml:space="preserve"> se tiene</w:t>
      </w:r>
      <w:r w:rsidR="00582599">
        <w:rPr>
          <w:rFonts w:ascii="Palatino Linotype" w:hAnsi="Palatino Linotype" w:cs="Arial"/>
          <w:sz w:val="24"/>
          <w:lang w:val="es-ES"/>
        </w:rPr>
        <w:t>n</w:t>
      </w:r>
      <w:r w:rsidRPr="00225245">
        <w:rPr>
          <w:rFonts w:ascii="Palatino Linotype" w:hAnsi="Palatino Linotype" w:cs="Arial"/>
          <w:sz w:val="24"/>
          <w:lang w:val="es-ES"/>
        </w:rPr>
        <w:t xml:space="preserve"> por reproducido</w:t>
      </w:r>
      <w:r w:rsidR="00582599">
        <w:rPr>
          <w:rFonts w:ascii="Palatino Linotype" w:hAnsi="Palatino Linotype" w:cs="Arial"/>
          <w:sz w:val="24"/>
          <w:lang w:val="es-ES"/>
        </w:rPr>
        <w:t>s</w:t>
      </w:r>
      <w:r w:rsidRPr="00225245">
        <w:rPr>
          <w:rFonts w:ascii="Palatino Linotype" w:hAnsi="Palatino Linotype" w:cs="Arial"/>
          <w:sz w:val="24"/>
          <w:lang w:val="es-ES"/>
        </w:rPr>
        <w:t xml:space="preserve"> al ser del conocimiento de las partes y en obvio de reproducciones ociosas. </w:t>
      </w:r>
    </w:p>
    <w:p w14:paraId="635CAB02" w14:textId="77777777" w:rsidR="00582599" w:rsidRPr="00582599" w:rsidRDefault="00582599" w:rsidP="00582599">
      <w:pPr>
        <w:spacing w:before="240" w:line="360" w:lineRule="auto"/>
        <w:ind w:left="708"/>
        <w:jc w:val="both"/>
        <w:rPr>
          <w:rFonts w:ascii="Palatino Linotype" w:hAnsi="Palatino Linotype" w:cs="Arial"/>
          <w:i/>
          <w:sz w:val="24"/>
          <w:lang w:val="es-ES"/>
        </w:rPr>
      </w:pPr>
      <w:r w:rsidRPr="00582599">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195AEB" w14:textId="77777777" w:rsidR="00582599" w:rsidRPr="00582599" w:rsidRDefault="00582599" w:rsidP="00582599">
      <w:pPr>
        <w:spacing w:before="240" w:line="360" w:lineRule="auto"/>
        <w:ind w:left="708"/>
        <w:jc w:val="both"/>
        <w:rPr>
          <w:rFonts w:ascii="Palatino Linotype" w:hAnsi="Palatino Linotype" w:cs="Arial"/>
          <w:i/>
          <w:sz w:val="24"/>
          <w:lang w:val="es-ES"/>
        </w:rPr>
      </w:pPr>
      <w:r w:rsidRPr="00582599">
        <w:rPr>
          <w:rFonts w:ascii="Palatino Linotype" w:hAnsi="Palatino Linotype" w:cs="Arial"/>
          <w:i/>
          <w:sz w:val="24"/>
          <w:lang w:val="es-ES"/>
        </w:rPr>
        <w:t xml:space="preserve">En atención a la solicitud de información identificada con el número de folio 00489/NEZA/IP/2021, me permito remitir a Usted la respuesta generada por el Servidor Público </w:t>
      </w:r>
      <w:proofErr w:type="gramStart"/>
      <w:r w:rsidRPr="00582599">
        <w:rPr>
          <w:rFonts w:ascii="Palatino Linotype" w:hAnsi="Palatino Linotype" w:cs="Arial"/>
          <w:i/>
          <w:sz w:val="24"/>
          <w:lang w:val="es-ES"/>
        </w:rPr>
        <w:t>Habilitado​ ,</w:t>
      </w:r>
      <w:proofErr w:type="gramEnd"/>
      <w:r w:rsidRPr="00582599">
        <w:rPr>
          <w:rFonts w:ascii="Palatino Linotype" w:hAnsi="Palatino Linotype" w:cs="Arial"/>
          <w:i/>
          <w:sz w:val="24"/>
          <w:lang w:val="es-ES"/>
        </w:rPr>
        <w:t xml:space="preserve"> bajo su más estricta responsabilidad​</w:t>
      </w:r>
    </w:p>
    <w:p w14:paraId="68C1EF7E" w14:textId="77777777" w:rsidR="00582599" w:rsidRPr="00582599" w:rsidRDefault="00582599" w:rsidP="00582599">
      <w:pPr>
        <w:spacing w:before="240" w:line="360" w:lineRule="auto"/>
        <w:ind w:left="708"/>
        <w:jc w:val="both"/>
        <w:rPr>
          <w:rFonts w:ascii="Palatino Linotype" w:hAnsi="Palatino Linotype" w:cs="Arial"/>
          <w:i/>
          <w:sz w:val="24"/>
          <w:lang w:val="es-ES"/>
        </w:rPr>
      </w:pPr>
      <w:r w:rsidRPr="00582599">
        <w:rPr>
          <w:rFonts w:ascii="Palatino Linotype" w:hAnsi="Palatino Linotype" w:cs="Arial"/>
          <w:i/>
          <w:sz w:val="24"/>
          <w:lang w:val="es-ES"/>
        </w:rPr>
        <w:t>ATENTAMENTE</w:t>
      </w:r>
    </w:p>
    <w:p w14:paraId="39C8C322" w14:textId="730D9401" w:rsidR="00891C09" w:rsidRPr="00225245" w:rsidRDefault="00582599" w:rsidP="00582599">
      <w:pPr>
        <w:spacing w:before="240" w:line="360" w:lineRule="auto"/>
        <w:ind w:left="708"/>
        <w:jc w:val="both"/>
        <w:rPr>
          <w:rFonts w:ascii="Palatino Linotype" w:hAnsi="Palatino Linotype" w:cs="Arial"/>
          <w:i/>
          <w:sz w:val="24"/>
          <w:lang w:val="es-ES"/>
        </w:rPr>
      </w:pPr>
      <w:r w:rsidRPr="00582599">
        <w:rPr>
          <w:rFonts w:ascii="Palatino Linotype" w:hAnsi="Palatino Linotype" w:cs="Arial"/>
          <w:i/>
          <w:sz w:val="24"/>
          <w:lang w:val="es-ES"/>
        </w:rPr>
        <w:t>LIC. JUANA NELLELY FLORES RAMIREZ</w:t>
      </w:r>
    </w:p>
    <w:p w14:paraId="65F2C8E4" w14:textId="77777777" w:rsidR="00891C09" w:rsidRPr="00225245" w:rsidRDefault="00891C09" w:rsidP="00891C09">
      <w:pPr>
        <w:spacing w:before="240" w:line="360" w:lineRule="auto"/>
        <w:jc w:val="both"/>
        <w:rPr>
          <w:rFonts w:ascii="Palatino Linotype" w:hAnsi="Palatino Linotype" w:cs="Arial"/>
          <w:b/>
          <w:sz w:val="28"/>
          <w:lang w:val="es-ES"/>
        </w:rPr>
      </w:pPr>
      <w:r w:rsidRPr="00225245">
        <w:rPr>
          <w:rFonts w:ascii="Palatino Linotype" w:hAnsi="Palatino Linotype" w:cs="Arial"/>
          <w:b/>
          <w:sz w:val="28"/>
          <w:lang w:val="es-ES"/>
        </w:rPr>
        <w:t xml:space="preserve">TERCERO. </w:t>
      </w:r>
      <w:r w:rsidRPr="00225245">
        <w:rPr>
          <w:rFonts w:ascii="Palatino Linotype" w:hAnsi="Palatino Linotype"/>
          <w:b/>
          <w:sz w:val="28"/>
          <w:lang w:val="es-ES"/>
        </w:rPr>
        <w:t>Del recurso de revisión.</w:t>
      </w:r>
    </w:p>
    <w:p w14:paraId="2E11AEFE" w14:textId="1BE90082" w:rsidR="00891C09" w:rsidRPr="00225245" w:rsidRDefault="00891C09" w:rsidP="00891C09">
      <w:pPr>
        <w:spacing w:before="240" w:line="360" w:lineRule="auto"/>
        <w:jc w:val="both"/>
        <w:rPr>
          <w:rFonts w:ascii="Palatino Linotype" w:hAnsi="Palatino Linotype" w:cs="Arial"/>
          <w:sz w:val="24"/>
          <w:lang w:val="es-ES"/>
        </w:rPr>
      </w:pPr>
      <w:r w:rsidRPr="00225245">
        <w:rPr>
          <w:rFonts w:ascii="Palatino Linotype" w:hAnsi="Palatino Linotype" w:cs="Arial"/>
          <w:sz w:val="24"/>
          <w:szCs w:val="24"/>
          <w:lang w:val="es-ES"/>
        </w:rPr>
        <w:t xml:space="preserve">Inconforme con la respuesta del sujeto obligado, la parte </w:t>
      </w:r>
      <w:r w:rsidRPr="00225245">
        <w:rPr>
          <w:rFonts w:ascii="Palatino Linotype" w:hAnsi="Palatino Linotype" w:cs="Arial"/>
          <w:b/>
          <w:sz w:val="24"/>
          <w:szCs w:val="24"/>
          <w:lang w:val="es-ES"/>
        </w:rPr>
        <w:t xml:space="preserve">recurrente </w:t>
      </w:r>
      <w:r w:rsidRPr="00225245">
        <w:rPr>
          <w:rFonts w:ascii="Palatino Linotype" w:hAnsi="Palatino Linotype" w:cs="Arial"/>
          <w:sz w:val="24"/>
          <w:szCs w:val="24"/>
          <w:lang w:val="es-ES"/>
        </w:rPr>
        <w:t xml:space="preserve">interpuso el recurso de revisión, en fecha </w:t>
      </w:r>
      <w:r w:rsidR="00582599">
        <w:rPr>
          <w:rFonts w:ascii="Palatino Linotype" w:hAnsi="Palatino Linotype" w:cs="Arial"/>
          <w:sz w:val="24"/>
          <w:szCs w:val="24"/>
          <w:lang w:val="es-ES"/>
        </w:rPr>
        <w:t>dieciocho de noviembre</w:t>
      </w:r>
      <w:r w:rsidRPr="00225245">
        <w:rPr>
          <w:rFonts w:ascii="Palatino Linotype" w:hAnsi="Palatino Linotype" w:cs="Arial"/>
          <w:sz w:val="24"/>
          <w:szCs w:val="24"/>
          <w:lang w:val="es-ES"/>
        </w:rPr>
        <w:t xml:space="preserve"> de dos mil veintiuno, el cual fue </w:t>
      </w:r>
      <w:r w:rsidRPr="00225245">
        <w:rPr>
          <w:rFonts w:ascii="Palatino Linotype" w:hAnsi="Palatino Linotype" w:cs="Arial"/>
          <w:sz w:val="24"/>
          <w:szCs w:val="24"/>
          <w:lang w:val="es-ES"/>
        </w:rPr>
        <w:lastRenderedPageBreak/>
        <w:t>registrado</w:t>
      </w:r>
      <w:r w:rsidRPr="00225245">
        <w:rPr>
          <w:rFonts w:ascii="Palatino Linotype" w:hAnsi="Palatino Linotype" w:cs="Arial"/>
          <w:b/>
          <w:sz w:val="24"/>
          <w:szCs w:val="24"/>
          <w:lang w:val="es-ES"/>
        </w:rPr>
        <w:t xml:space="preserve"> </w:t>
      </w:r>
      <w:r w:rsidRPr="00225245">
        <w:rPr>
          <w:rFonts w:ascii="Palatino Linotype" w:hAnsi="Palatino Linotype" w:cs="Arial"/>
          <w:sz w:val="24"/>
          <w:szCs w:val="24"/>
          <w:lang w:val="es-ES"/>
        </w:rPr>
        <w:t xml:space="preserve">en el sistema electrónico con el expediente número </w:t>
      </w:r>
      <w:r w:rsidRPr="00225245">
        <w:rPr>
          <w:rFonts w:ascii="Palatino Linotype" w:hAnsi="Palatino Linotype" w:cs="Arial"/>
          <w:b/>
          <w:bCs/>
          <w:sz w:val="24"/>
          <w:szCs w:val="24"/>
          <w:lang w:val="es-ES" w:eastAsia="es-MX"/>
        </w:rPr>
        <w:t>05</w:t>
      </w:r>
      <w:r>
        <w:rPr>
          <w:rFonts w:ascii="Palatino Linotype" w:hAnsi="Palatino Linotype" w:cs="Arial"/>
          <w:b/>
          <w:bCs/>
          <w:sz w:val="24"/>
          <w:szCs w:val="24"/>
          <w:lang w:val="es-ES" w:eastAsia="es-MX"/>
        </w:rPr>
        <w:t>72</w:t>
      </w:r>
      <w:r w:rsidRPr="00225245">
        <w:rPr>
          <w:rFonts w:ascii="Palatino Linotype" w:hAnsi="Palatino Linotype" w:cs="Arial"/>
          <w:b/>
          <w:bCs/>
          <w:sz w:val="24"/>
          <w:szCs w:val="24"/>
          <w:lang w:val="es-ES" w:eastAsia="es-MX"/>
        </w:rPr>
        <w:t>5/INFOEM/IP/RR/2021</w:t>
      </w:r>
      <w:r w:rsidRPr="00225245">
        <w:rPr>
          <w:rFonts w:ascii="Palatino Linotype" w:hAnsi="Palatino Linotype" w:cs="Arial"/>
          <w:sz w:val="24"/>
          <w:szCs w:val="24"/>
          <w:lang w:val="es-ES"/>
        </w:rPr>
        <w:t xml:space="preserve">, en el cual </w:t>
      </w:r>
      <w:r w:rsidRPr="00225245">
        <w:rPr>
          <w:rFonts w:ascii="Palatino Linotype" w:hAnsi="Palatino Linotype" w:cs="Arial"/>
          <w:sz w:val="24"/>
          <w:lang w:val="es-ES"/>
        </w:rPr>
        <w:t>arguye, las siguientes manifestaciones:</w:t>
      </w:r>
    </w:p>
    <w:p w14:paraId="777309C8" w14:textId="77777777" w:rsidR="00891C09" w:rsidRPr="00225245" w:rsidRDefault="00891C09" w:rsidP="00891C09">
      <w:pPr>
        <w:spacing w:before="240"/>
        <w:jc w:val="both"/>
        <w:rPr>
          <w:rFonts w:ascii="Palatino Linotype" w:hAnsi="Palatino Linotype" w:cs="Arial"/>
          <w:b/>
          <w:sz w:val="24"/>
          <w:lang w:val="es-ES"/>
        </w:rPr>
      </w:pPr>
      <w:r w:rsidRPr="00225245">
        <w:rPr>
          <w:rFonts w:ascii="Palatino Linotype" w:hAnsi="Palatino Linotype" w:cs="Arial"/>
          <w:b/>
          <w:sz w:val="24"/>
          <w:lang w:val="es-ES"/>
        </w:rPr>
        <w:t>Acto Impugnado:</w:t>
      </w:r>
    </w:p>
    <w:p w14:paraId="134B30C0" w14:textId="378964A2" w:rsidR="00891C09" w:rsidRPr="00225245" w:rsidRDefault="00891C09" w:rsidP="00891C09">
      <w:pPr>
        <w:ind w:left="851" w:right="850"/>
        <w:jc w:val="both"/>
        <w:rPr>
          <w:rFonts w:ascii="Palatino Linotype" w:hAnsi="Palatino Linotype"/>
          <w:i/>
          <w:color w:val="000000"/>
          <w:lang w:val="es-ES"/>
        </w:rPr>
      </w:pPr>
      <w:r w:rsidRPr="00225245">
        <w:rPr>
          <w:rFonts w:ascii="Palatino Linotype" w:hAnsi="Palatino Linotype"/>
          <w:i/>
          <w:color w:val="000000"/>
          <w:lang w:val="es-ES"/>
        </w:rPr>
        <w:t>“</w:t>
      </w:r>
      <w:r w:rsidR="00582599" w:rsidRPr="00582599">
        <w:rPr>
          <w:rFonts w:ascii="Palatino Linotype" w:hAnsi="Palatino Linotype"/>
          <w:i/>
          <w:color w:val="000000"/>
          <w:lang w:val="es-ES"/>
        </w:rPr>
        <w:t>LA RSPUESTA</w:t>
      </w:r>
      <w:r w:rsidRPr="00225245">
        <w:rPr>
          <w:rFonts w:ascii="Palatino Linotype" w:hAnsi="Palatino Linotype"/>
          <w:i/>
          <w:color w:val="000000"/>
          <w:lang w:val="es-ES"/>
        </w:rPr>
        <w:t>."[Sic]</w:t>
      </w:r>
    </w:p>
    <w:p w14:paraId="4699E93A" w14:textId="77777777" w:rsidR="00891C09" w:rsidRPr="00225245" w:rsidRDefault="00891C09" w:rsidP="00891C09">
      <w:pPr>
        <w:spacing w:before="240"/>
        <w:jc w:val="both"/>
        <w:rPr>
          <w:rFonts w:ascii="Palatino Linotype" w:hAnsi="Palatino Linotype" w:cs="Arial"/>
          <w:sz w:val="24"/>
          <w:lang w:val="es-ES"/>
        </w:rPr>
      </w:pPr>
      <w:r w:rsidRPr="00225245">
        <w:rPr>
          <w:rFonts w:ascii="Palatino Linotype" w:hAnsi="Palatino Linotype" w:cs="Arial"/>
          <w:b/>
          <w:sz w:val="24"/>
          <w:lang w:val="es-ES"/>
        </w:rPr>
        <w:t>Razones o Motivos de Inconformidad</w:t>
      </w:r>
      <w:r w:rsidRPr="00225245">
        <w:rPr>
          <w:rFonts w:ascii="Palatino Linotype" w:hAnsi="Palatino Linotype" w:cs="Arial"/>
          <w:sz w:val="24"/>
          <w:lang w:val="es-ES"/>
        </w:rPr>
        <w:t xml:space="preserve">: </w:t>
      </w:r>
    </w:p>
    <w:p w14:paraId="199527BF" w14:textId="4314A8AD" w:rsidR="00891C09" w:rsidRPr="00225245" w:rsidRDefault="00891C09" w:rsidP="00891C09">
      <w:pPr>
        <w:ind w:left="851" w:right="850"/>
        <w:jc w:val="both"/>
        <w:rPr>
          <w:rFonts w:ascii="Palatino Linotype" w:hAnsi="Palatino Linotype" w:cs="Arial"/>
          <w:i/>
          <w:lang w:val="es-ES"/>
        </w:rPr>
      </w:pPr>
      <w:r w:rsidRPr="00225245">
        <w:rPr>
          <w:rFonts w:ascii="Palatino Linotype" w:hAnsi="Palatino Linotype" w:cs="Arial"/>
          <w:i/>
          <w:lang w:val="es-ES"/>
        </w:rPr>
        <w:t>“</w:t>
      </w:r>
      <w:r w:rsidR="00582599" w:rsidRPr="00582599">
        <w:rPr>
          <w:rFonts w:ascii="Palatino Linotype" w:hAnsi="Palatino Linotype" w:cs="Arial"/>
          <w:i/>
          <w:lang w:val="es-ES"/>
        </w:rPr>
        <w:t xml:space="preserve">La verdad es lamentable que los directivos de ayuntamiento se nieguen a brindar una información clara y tal cual debe ser. La verdad es lamentable que tengamos que caer en recursos para que den la información cual debe ser, yo solo pido al órgano de control del </w:t>
      </w:r>
      <w:proofErr w:type="spellStart"/>
      <w:r w:rsidR="00582599" w:rsidRPr="00582599">
        <w:rPr>
          <w:rFonts w:ascii="Palatino Linotype" w:hAnsi="Palatino Linotype" w:cs="Arial"/>
          <w:i/>
          <w:lang w:val="es-ES"/>
        </w:rPr>
        <w:t>infoem</w:t>
      </w:r>
      <w:proofErr w:type="spellEnd"/>
      <w:r w:rsidR="00582599" w:rsidRPr="00582599">
        <w:rPr>
          <w:rFonts w:ascii="Palatino Linotype" w:hAnsi="Palatino Linotype" w:cs="Arial"/>
          <w:i/>
          <w:lang w:val="es-ES"/>
        </w:rPr>
        <w:t xml:space="preserve"> que se fije más en este tipoi de ayuntamiento y realmente como unidad de transparencia no es porque dan una información totalmente dolosa fuera de cómo lo marca la ley. Al final el órgano dictaminara si la información me la hacen llegar cual debe ser no hay más que poner las evidencias de una respuesta dolosa ahí esta buenas noches</w:t>
      </w:r>
      <w:r w:rsidRPr="00225245">
        <w:rPr>
          <w:rFonts w:ascii="Palatino Linotype" w:hAnsi="Palatino Linotype" w:cs="Arial"/>
          <w:i/>
          <w:lang w:val="es-ES"/>
        </w:rPr>
        <w:t>.” [Sic]</w:t>
      </w:r>
      <w:r w:rsidRPr="00225245">
        <w:rPr>
          <w:rFonts w:ascii="Palatino Linotype" w:hAnsi="Palatino Linotype" w:cs="Arial"/>
          <w:iCs/>
          <w:lang w:val="es-ES"/>
        </w:rPr>
        <w:t xml:space="preserve"> </w:t>
      </w:r>
    </w:p>
    <w:p w14:paraId="0A227D6B" w14:textId="77777777" w:rsidR="00891C09" w:rsidRPr="00225245" w:rsidRDefault="00891C09" w:rsidP="00891C09">
      <w:pPr>
        <w:spacing w:before="240" w:line="360" w:lineRule="auto"/>
        <w:jc w:val="both"/>
        <w:rPr>
          <w:rFonts w:ascii="Palatino Linotype" w:hAnsi="Palatino Linotype" w:cs="Arial"/>
          <w:b/>
          <w:sz w:val="28"/>
          <w:szCs w:val="28"/>
          <w:lang w:val="es-ES"/>
        </w:rPr>
      </w:pPr>
      <w:r w:rsidRPr="00225245">
        <w:rPr>
          <w:rFonts w:ascii="Palatino Linotype" w:hAnsi="Palatino Linotype" w:cs="Arial"/>
          <w:b/>
          <w:sz w:val="28"/>
          <w:lang w:val="es-ES"/>
        </w:rPr>
        <w:t>CUARTO</w:t>
      </w:r>
      <w:r w:rsidRPr="00225245">
        <w:rPr>
          <w:rFonts w:ascii="Palatino Linotype" w:hAnsi="Palatino Linotype" w:cs="Arial"/>
          <w:b/>
          <w:sz w:val="24"/>
          <w:szCs w:val="24"/>
          <w:lang w:val="es-ES"/>
        </w:rPr>
        <w:t xml:space="preserve">. </w:t>
      </w:r>
      <w:r w:rsidRPr="00225245">
        <w:rPr>
          <w:rFonts w:ascii="Palatino Linotype" w:hAnsi="Palatino Linotype" w:cs="Arial"/>
          <w:b/>
          <w:sz w:val="28"/>
          <w:szCs w:val="28"/>
          <w:lang w:val="es-ES"/>
        </w:rPr>
        <w:t>Del turno del recurso de revisión.</w:t>
      </w:r>
    </w:p>
    <w:p w14:paraId="683219BB" w14:textId="3C0BDFB0" w:rsidR="00891C09" w:rsidRPr="00225245" w:rsidRDefault="00891C09" w:rsidP="00891C09">
      <w:pPr>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 xml:space="preserve">Medio de impugnación que le fue turnado al Comisionado </w:t>
      </w:r>
      <w:r w:rsidRPr="00225245">
        <w:rPr>
          <w:rFonts w:ascii="Palatino Linotype" w:hAnsi="Palatino Linotype" w:cs="Arial"/>
          <w:b/>
          <w:sz w:val="24"/>
          <w:szCs w:val="24"/>
          <w:lang w:val="es-ES"/>
        </w:rPr>
        <w:t>José Martínez Vilchis</w:t>
      </w:r>
      <w:r w:rsidRPr="0022524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582599">
        <w:rPr>
          <w:rFonts w:ascii="Palatino Linotype" w:hAnsi="Palatino Linotype" w:cs="Arial"/>
          <w:sz w:val="24"/>
          <w:szCs w:val="24"/>
          <w:lang w:val="es-ES"/>
        </w:rPr>
        <w:t>veinticuatro</w:t>
      </w:r>
      <w:r w:rsidRPr="00225245">
        <w:rPr>
          <w:rFonts w:ascii="Palatino Linotype" w:hAnsi="Palatino Linotype" w:cs="Arial"/>
          <w:sz w:val="24"/>
          <w:szCs w:val="24"/>
          <w:lang w:val="es-ES"/>
        </w:rPr>
        <w:t xml:space="preserve"> de noviembre de dos mil veintiuno, determinándose en él, un plazo de siete días para que las partes manifestaran lo que a su derecho corresponda en términos del numeral ya citado.</w:t>
      </w:r>
    </w:p>
    <w:p w14:paraId="65120D0C" w14:textId="77777777" w:rsidR="00891C09" w:rsidRPr="00225245" w:rsidRDefault="00891C09" w:rsidP="00891C09">
      <w:pPr>
        <w:spacing w:before="240" w:line="360" w:lineRule="auto"/>
        <w:jc w:val="both"/>
        <w:rPr>
          <w:rFonts w:ascii="Palatino Linotype" w:hAnsi="Palatino Linotype" w:cs="Arial"/>
          <w:b/>
          <w:sz w:val="24"/>
          <w:szCs w:val="24"/>
          <w:lang w:val="es-ES"/>
        </w:rPr>
      </w:pPr>
      <w:r w:rsidRPr="00225245">
        <w:rPr>
          <w:rFonts w:ascii="Palatino Linotype" w:hAnsi="Palatino Linotype" w:cs="Arial"/>
          <w:b/>
          <w:sz w:val="28"/>
          <w:lang w:val="es-ES"/>
        </w:rPr>
        <w:t>QUINTO</w:t>
      </w:r>
      <w:r w:rsidRPr="00225245">
        <w:rPr>
          <w:rFonts w:ascii="Palatino Linotype" w:hAnsi="Palatino Linotype" w:cs="Arial"/>
          <w:b/>
          <w:sz w:val="24"/>
          <w:szCs w:val="24"/>
          <w:lang w:val="es-ES"/>
        </w:rPr>
        <w:t xml:space="preserve">. </w:t>
      </w:r>
      <w:r w:rsidRPr="00225245">
        <w:rPr>
          <w:rFonts w:ascii="Palatino Linotype" w:hAnsi="Palatino Linotype" w:cs="Arial"/>
          <w:b/>
          <w:sz w:val="28"/>
          <w:szCs w:val="28"/>
          <w:lang w:val="es-ES"/>
        </w:rPr>
        <w:t>De la etapa de instrucción.</w:t>
      </w:r>
    </w:p>
    <w:p w14:paraId="008B77B4" w14:textId="1725F726" w:rsidR="00891C09" w:rsidRDefault="00891C09" w:rsidP="00891C09">
      <w:pPr>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 xml:space="preserve">Así, una vez abierta la etapa de instrucción, en el sumario se observa que el Sujeto Obligado </w:t>
      </w:r>
      <w:r w:rsidR="00582599">
        <w:rPr>
          <w:rFonts w:ascii="Palatino Linotype" w:hAnsi="Palatino Linotype" w:cs="Arial"/>
          <w:sz w:val="24"/>
          <w:szCs w:val="24"/>
          <w:lang w:val="es-ES"/>
        </w:rPr>
        <w:t>en fecha veintiséis de noviembre de dos mil veintiuno presentó su</w:t>
      </w:r>
      <w:r w:rsidRPr="00225245">
        <w:rPr>
          <w:rFonts w:ascii="Palatino Linotype" w:hAnsi="Palatino Linotype" w:cs="Arial"/>
          <w:sz w:val="24"/>
          <w:szCs w:val="24"/>
          <w:lang w:val="es-ES"/>
        </w:rPr>
        <w:t xml:space="preserve"> informe justificado, asimismo, la parte recurrente por su parte</w:t>
      </w:r>
      <w:r w:rsidR="00582599">
        <w:rPr>
          <w:rFonts w:ascii="Palatino Linotype" w:hAnsi="Palatino Linotype" w:cs="Arial"/>
          <w:sz w:val="24"/>
          <w:szCs w:val="24"/>
          <w:lang w:val="es-ES"/>
        </w:rPr>
        <w:t xml:space="preserve"> no realizó manifestaciones</w:t>
      </w:r>
      <w:r w:rsidRPr="00225245">
        <w:rPr>
          <w:rFonts w:ascii="Palatino Linotype" w:hAnsi="Palatino Linotype" w:cs="Arial"/>
          <w:sz w:val="24"/>
          <w:szCs w:val="24"/>
          <w:lang w:val="es-ES"/>
        </w:rPr>
        <w:t xml:space="preserve">, por </w:t>
      </w:r>
      <w:r w:rsidRPr="00225245">
        <w:rPr>
          <w:rFonts w:ascii="Palatino Linotype" w:hAnsi="Palatino Linotype" w:cs="Arial"/>
          <w:sz w:val="24"/>
          <w:szCs w:val="24"/>
          <w:lang w:val="es-ES"/>
        </w:rPr>
        <w:lastRenderedPageBreak/>
        <w:t xml:space="preserve">lo que habiendo transcurrido el plazo establecido en fecha </w:t>
      </w:r>
      <w:r w:rsidR="00582599">
        <w:rPr>
          <w:rFonts w:ascii="Palatino Linotype" w:hAnsi="Palatino Linotype" w:cs="Arial"/>
          <w:sz w:val="24"/>
          <w:szCs w:val="24"/>
          <w:lang w:val="es-ES"/>
        </w:rPr>
        <w:t>seis de diciembre</w:t>
      </w:r>
      <w:r w:rsidRPr="00225245">
        <w:rPr>
          <w:rFonts w:ascii="Palatino Linotype" w:hAnsi="Palatino Linotype" w:cs="Arial"/>
          <w:sz w:val="24"/>
          <w:szCs w:val="24"/>
          <w:lang w:val="es-ES"/>
        </w:rPr>
        <w:t xml:space="preserv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565F3B6B" w14:textId="77777777" w:rsidR="00C8561B" w:rsidRPr="00C8561B" w:rsidRDefault="00C8561B" w:rsidP="00C8561B">
      <w:pPr>
        <w:spacing w:before="240" w:line="360" w:lineRule="auto"/>
        <w:jc w:val="both"/>
        <w:rPr>
          <w:rFonts w:ascii="Palatino Linotype" w:hAnsi="Palatino Linotype" w:cs="Arial"/>
          <w:b/>
          <w:sz w:val="28"/>
          <w:lang w:val="es-ES"/>
        </w:rPr>
      </w:pPr>
      <w:r w:rsidRPr="00C8561B">
        <w:rPr>
          <w:rFonts w:ascii="Palatino Linotype" w:hAnsi="Palatino Linotype" w:cs="Arial"/>
          <w:b/>
          <w:sz w:val="28"/>
          <w:lang w:val="es-ES"/>
        </w:rPr>
        <w:t>SEXTO. Del desistimiento del recurso de revisión.</w:t>
      </w:r>
    </w:p>
    <w:p w14:paraId="2687357D" w14:textId="08F61B7F" w:rsidR="00C8561B" w:rsidRDefault="00C8561B" w:rsidP="00C8561B">
      <w:pPr>
        <w:spacing w:before="240" w:line="360" w:lineRule="auto"/>
        <w:jc w:val="both"/>
        <w:rPr>
          <w:rFonts w:ascii="Palatino Linotype" w:hAnsi="Palatino Linotype" w:cs="Arial"/>
          <w:sz w:val="24"/>
          <w:szCs w:val="24"/>
          <w:lang w:val="es-ES"/>
        </w:rPr>
      </w:pPr>
      <w:r w:rsidRPr="00C8561B">
        <w:rPr>
          <w:rFonts w:ascii="Palatino Linotype" w:hAnsi="Palatino Linotype" w:cs="Arial"/>
          <w:sz w:val="24"/>
          <w:szCs w:val="24"/>
          <w:lang w:val="es-ES"/>
        </w:rPr>
        <w:t xml:space="preserve">El día </w:t>
      </w:r>
      <w:r>
        <w:rPr>
          <w:rFonts w:ascii="Palatino Linotype" w:hAnsi="Palatino Linotype" w:cs="Arial"/>
          <w:sz w:val="24"/>
          <w:szCs w:val="24"/>
          <w:lang w:val="es-ES"/>
        </w:rPr>
        <w:t>quince de diciembre</w:t>
      </w:r>
      <w:r w:rsidRPr="00C8561B">
        <w:rPr>
          <w:rFonts w:ascii="Palatino Linotype" w:hAnsi="Palatino Linotype" w:cs="Arial"/>
          <w:sz w:val="24"/>
          <w:szCs w:val="24"/>
          <w:lang w:val="es-ES"/>
        </w:rPr>
        <w:t xml:space="preserve"> del año en curso, en el detalle de seguimiento de solicitud, se</w:t>
      </w:r>
      <w:r>
        <w:rPr>
          <w:rFonts w:ascii="Palatino Linotype" w:hAnsi="Palatino Linotype" w:cs="Arial"/>
          <w:sz w:val="24"/>
          <w:szCs w:val="24"/>
          <w:lang w:val="es-ES"/>
        </w:rPr>
        <w:t xml:space="preserve"> </w:t>
      </w:r>
      <w:r w:rsidRPr="00C8561B">
        <w:rPr>
          <w:rFonts w:ascii="Palatino Linotype" w:hAnsi="Palatino Linotype" w:cs="Arial"/>
          <w:sz w:val="24"/>
          <w:szCs w:val="24"/>
          <w:lang w:val="es-ES"/>
        </w:rPr>
        <w:t>aprecia que el hoy Recurrente se desistió del recurso de revisión que nos ocupa,</w:t>
      </w:r>
      <w:r>
        <w:rPr>
          <w:rFonts w:ascii="Palatino Linotype" w:hAnsi="Palatino Linotype" w:cs="Arial"/>
          <w:sz w:val="24"/>
          <w:szCs w:val="24"/>
          <w:lang w:val="es-ES"/>
        </w:rPr>
        <w:t xml:space="preserve"> </w:t>
      </w:r>
      <w:r w:rsidRPr="00C8561B">
        <w:rPr>
          <w:rFonts w:ascii="Palatino Linotype" w:hAnsi="Palatino Linotype" w:cs="Arial"/>
          <w:sz w:val="24"/>
          <w:szCs w:val="24"/>
          <w:lang w:val="es-ES"/>
        </w:rPr>
        <w:t>expresando lo siguiente:</w:t>
      </w:r>
    </w:p>
    <w:p w14:paraId="75C9EA80" w14:textId="61DB20E0" w:rsidR="00C8561B" w:rsidRDefault="00C8561B" w:rsidP="00C8561B">
      <w:pPr>
        <w:spacing w:before="240" w:line="360" w:lineRule="auto"/>
        <w:ind w:left="708"/>
        <w:jc w:val="both"/>
        <w:rPr>
          <w:rFonts w:ascii="Palatino Linotype" w:hAnsi="Palatino Linotype" w:cs="Arial"/>
          <w:i/>
          <w:iCs/>
          <w:sz w:val="24"/>
          <w:szCs w:val="24"/>
          <w:lang w:val="es-ES"/>
        </w:rPr>
      </w:pPr>
      <w:r w:rsidRPr="00C8561B">
        <w:rPr>
          <w:rFonts w:ascii="Palatino Linotype" w:hAnsi="Palatino Linotype" w:cs="Arial"/>
          <w:i/>
          <w:iCs/>
          <w:sz w:val="24"/>
          <w:szCs w:val="24"/>
          <w:lang w:val="es-ES"/>
        </w:rPr>
        <w:t>EVITAR CARGA AL ORGANO GARANTE YA QUE LA INFORMACION SOLICITADA YA LA TENGO A PESAR DE QUE OCULTAN INFORMACION EL SUJETO OBLIGADO</w:t>
      </w:r>
      <w:r w:rsidR="00064CC1">
        <w:rPr>
          <w:rFonts w:ascii="Palatino Linotype" w:hAnsi="Palatino Linotype" w:cs="Arial"/>
          <w:i/>
          <w:iCs/>
          <w:sz w:val="24"/>
          <w:szCs w:val="24"/>
          <w:lang w:val="es-ES"/>
        </w:rPr>
        <w:t>.</w:t>
      </w:r>
    </w:p>
    <w:p w14:paraId="486B925F" w14:textId="77777777" w:rsidR="00064CC1" w:rsidRPr="00C8561B" w:rsidRDefault="00064CC1" w:rsidP="00C8561B">
      <w:pPr>
        <w:spacing w:before="240" w:line="360" w:lineRule="auto"/>
        <w:ind w:left="708"/>
        <w:jc w:val="both"/>
        <w:rPr>
          <w:rFonts w:ascii="Palatino Linotype" w:hAnsi="Palatino Linotype" w:cs="Arial"/>
          <w:i/>
          <w:iCs/>
          <w:sz w:val="24"/>
          <w:szCs w:val="24"/>
          <w:lang w:val="es-ES"/>
        </w:rPr>
      </w:pPr>
    </w:p>
    <w:p w14:paraId="6163D8B4" w14:textId="77777777"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AD7D07D" w14:textId="0E93CBD5" w:rsidR="00E02B4C"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 xml:space="preserve">y II, 176, </w:t>
      </w:r>
      <w:r w:rsidRPr="00E02B4C">
        <w:rPr>
          <w:rFonts w:ascii="Palatino Linotype" w:hAnsi="Palatino Linotype" w:cs="Arial"/>
          <w:sz w:val="24"/>
          <w:lang w:val="es-ES"/>
        </w:rPr>
        <w:lastRenderedPageBreak/>
        <w:t>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la Información 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ADDB78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4250E088" w:rsidR="00473BDE" w:rsidRPr="00B3134F" w:rsidRDefault="00473BDE" w:rsidP="00473BDE">
      <w:pPr>
        <w:pStyle w:val="Sinespaciado"/>
        <w:spacing w:line="360" w:lineRule="auto"/>
        <w:jc w:val="both"/>
        <w:rPr>
          <w:rFonts w:ascii="Palatino Linotype" w:hAnsi="Palatino Linotype"/>
          <w:b/>
          <w:sz w:val="28"/>
          <w:szCs w:val="28"/>
          <w:lang w:val="es-ES"/>
        </w:rPr>
      </w:pPr>
      <w:r w:rsidRPr="00B3134F">
        <w:rPr>
          <w:rFonts w:ascii="Palatino Linotype" w:hAnsi="Palatino Linotype"/>
          <w:b/>
          <w:sz w:val="28"/>
          <w:szCs w:val="28"/>
          <w:lang w:val="es-ES"/>
        </w:rPr>
        <w:t>TERCERO. De las causas de</w:t>
      </w:r>
      <w:r w:rsidR="00A34A45">
        <w:rPr>
          <w:rFonts w:ascii="Palatino Linotype" w:hAnsi="Palatino Linotype"/>
          <w:b/>
          <w:sz w:val="28"/>
          <w:szCs w:val="28"/>
          <w:lang w:val="es-ES"/>
        </w:rPr>
        <w:t xml:space="preserve">l sobreseimiento. </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03DC92" w14:textId="075B5C2C" w:rsidR="00582599" w:rsidRDefault="00C8561B" w:rsidP="00C8561B">
      <w:pPr>
        <w:autoSpaceDE w:val="0"/>
        <w:autoSpaceDN w:val="0"/>
        <w:adjustRightInd w:val="0"/>
        <w:spacing w:before="240" w:line="360" w:lineRule="auto"/>
        <w:jc w:val="both"/>
        <w:rPr>
          <w:rFonts w:ascii="Palatino Linotype" w:hAnsi="Palatino Linotype"/>
          <w:sz w:val="24"/>
          <w:szCs w:val="24"/>
          <w:lang w:val="es-ES"/>
        </w:rPr>
      </w:pPr>
      <w:r w:rsidRPr="00C8561B">
        <w:rPr>
          <w:rFonts w:ascii="Palatino Linotype" w:hAnsi="Palatino Linotype"/>
          <w:sz w:val="24"/>
          <w:szCs w:val="24"/>
          <w:lang w:val="es-ES"/>
        </w:rPr>
        <w:t>Luego entonces, es menester señalar que es una facultad legal entrar al estudio del</w:t>
      </w:r>
      <w:r>
        <w:rPr>
          <w:rFonts w:ascii="Palatino Linotype" w:hAnsi="Palatino Linotype"/>
          <w:sz w:val="24"/>
          <w:szCs w:val="24"/>
          <w:lang w:val="es-ES"/>
        </w:rPr>
        <w:t xml:space="preserve"> </w:t>
      </w:r>
      <w:r w:rsidRPr="00C8561B">
        <w:rPr>
          <w:rFonts w:ascii="Palatino Linotype" w:hAnsi="Palatino Linotype"/>
          <w:sz w:val="24"/>
          <w:szCs w:val="24"/>
          <w:lang w:val="es-ES"/>
        </w:rPr>
        <w:t>sobreseimiento que hagan valer las partes o que se adviertan de oficio por este</w:t>
      </w:r>
      <w:r>
        <w:rPr>
          <w:rFonts w:ascii="Palatino Linotype" w:hAnsi="Palatino Linotype"/>
          <w:sz w:val="24"/>
          <w:szCs w:val="24"/>
          <w:lang w:val="es-ES"/>
        </w:rPr>
        <w:t xml:space="preserve"> </w:t>
      </w:r>
      <w:r w:rsidRPr="00C8561B">
        <w:rPr>
          <w:rFonts w:ascii="Palatino Linotype" w:hAnsi="Palatino Linotype"/>
          <w:sz w:val="24"/>
          <w:szCs w:val="24"/>
          <w:lang w:val="es-ES"/>
        </w:rPr>
        <w:lastRenderedPageBreak/>
        <w:t>Resolutor; supuestos procesales que dotan de seguridad jurídica a las resoluciones</w:t>
      </w:r>
      <w:r>
        <w:rPr>
          <w:rFonts w:ascii="Palatino Linotype" w:hAnsi="Palatino Linotype"/>
          <w:sz w:val="24"/>
          <w:szCs w:val="24"/>
          <w:lang w:val="es-ES"/>
        </w:rPr>
        <w:t xml:space="preserve"> </w:t>
      </w:r>
      <w:r w:rsidRPr="00C8561B">
        <w:rPr>
          <w:rFonts w:ascii="Palatino Linotype" w:hAnsi="Palatino Linotype"/>
          <w:sz w:val="24"/>
          <w:szCs w:val="24"/>
          <w:lang w:val="es-ES"/>
        </w:rPr>
        <w:t>emitidas por este organismo colegiado, máxime que se trata de una figura</w:t>
      </w:r>
      <w:r>
        <w:rPr>
          <w:rFonts w:ascii="Palatino Linotype" w:hAnsi="Palatino Linotype"/>
          <w:sz w:val="24"/>
          <w:szCs w:val="24"/>
          <w:lang w:val="es-ES"/>
        </w:rPr>
        <w:t xml:space="preserve"> </w:t>
      </w:r>
      <w:r w:rsidRPr="00C8561B">
        <w:rPr>
          <w:rFonts w:ascii="Palatino Linotype" w:hAnsi="Palatino Linotype"/>
          <w:sz w:val="24"/>
          <w:szCs w:val="24"/>
          <w:lang w:val="es-ES"/>
        </w:rPr>
        <w:t>procedimental adoptada en la ley de la materia, la cual permite dilucidar alguna causal</w:t>
      </w:r>
      <w:r>
        <w:rPr>
          <w:rFonts w:ascii="Palatino Linotype" w:hAnsi="Palatino Linotype"/>
          <w:sz w:val="24"/>
          <w:szCs w:val="24"/>
          <w:lang w:val="es-ES"/>
        </w:rPr>
        <w:t xml:space="preserve"> </w:t>
      </w:r>
      <w:r w:rsidRPr="00C8561B">
        <w:rPr>
          <w:rFonts w:ascii="Palatino Linotype" w:hAnsi="Palatino Linotype"/>
          <w:sz w:val="24"/>
          <w:szCs w:val="24"/>
          <w:lang w:val="es-ES"/>
        </w:rPr>
        <w:t>que impida el estudio y resolución de un asunto en su fondo, cuando una vez admitido</w:t>
      </w:r>
      <w:r>
        <w:rPr>
          <w:rFonts w:ascii="Palatino Linotype" w:hAnsi="Palatino Linotype"/>
          <w:sz w:val="24"/>
          <w:szCs w:val="24"/>
          <w:lang w:val="es-ES"/>
        </w:rPr>
        <w:t xml:space="preserve"> </w:t>
      </w:r>
      <w:r w:rsidRPr="00C8561B">
        <w:rPr>
          <w:rFonts w:ascii="Palatino Linotype" w:hAnsi="Palatino Linotype"/>
          <w:sz w:val="24"/>
          <w:szCs w:val="24"/>
          <w:lang w:val="es-ES"/>
        </w:rPr>
        <w:t>el recurso de revisión se advierta algún supuesto marcado por la Ley que permita</w:t>
      </w:r>
      <w:r>
        <w:rPr>
          <w:rFonts w:ascii="Palatino Linotype" w:hAnsi="Palatino Linotype"/>
          <w:sz w:val="24"/>
          <w:szCs w:val="24"/>
          <w:lang w:val="es-ES"/>
        </w:rPr>
        <w:t xml:space="preserve"> </w:t>
      </w:r>
      <w:r w:rsidRPr="00C8561B">
        <w:rPr>
          <w:rFonts w:ascii="Palatino Linotype" w:hAnsi="Palatino Linotype"/>
          <w:sz w:val="24"/>
          <w:szCs w:val="24"/>
          <w:lang w:val="es-ES"/>
        </w:rPr>
        <w:t>sobreseerlo.</w:t>
      </w:r>
    </w:p>
    <w:p w14:paraId="4D7D8162" w14:textId="5DADBEEC" w:rsidR="0078381D" w:rsidRDefault="0078381D" w:rsidP="0078381D">
      <w:pPr>
        <w:autoSpaceDE w:val="0"/>
        <w:autoSpaceDN w:val="0"/>
        <w:adjustRightInd w:val="0"/>
        <w:spacing w:before="240" w:line="360" w:lineRule="auto"/>
        <w:jc w:val="both"/>
        <w:rPr>
          <w:rFonts w:ascii="Palatino Linotype" w:hAnsi="Palatino Linotype"/>
          <w:sz w:val="24"/>
          <w:szCs w:val="24"/>
          <w:lang w:val="es-ES"/>
        </w:rPr>
      </w:pPr>
      <w:r w:rsidRPr="0078381D">
        <w:rPr>
          <w:rFonts w:ascii="Palatino Linotype" w:hAnsi="Palatino Linotype"/>
          <w:sz w:val="24"/>
          <w:szCs w:val="24"/>
          <w:lang w:val="es-ES"/>
        </w:rPr>
        <w:t>Estudio de causales de sobreseimiento que no son incompatibles con el derecho de</w:t>
      </w:r>
      <w:r>
        <w:rPr>
          <w:rFonts w:ascii="Palatino Linotype" w:hAnsi="Palatino Linotype"/>
          <w:sz w:val="24"/>
          <w:szCs w:val="24"/>
          <w:lang w:val="es-ES"/>
        </w:rPr>
        <w:t xml:space="preserve"> </w:t>
      </w:r>
      <w:r w:rsidRPr="0078381D">
        <w:rPr>
          <w:rFonts w:ascii="Palatino Linotype" w:hAnsi="Palatino Linotype"/>
          <w:sz w:val="24"/>
          <w:szCs w:val="24"/>
          <w:lang w:val="es-ES"/>
        </w:rPr>
        <w:t>acceso a la información, ya que éste no se coarta por regular causas de improcedencia</w:t>
      </w:r>
      <w:r>
        <w:rPr>
          <w:rFonts w:ascii="Palatino Linotype" w:hAnsi="Palatino Linotype"/>
          <w:sz w:val="24"/>
          <w:szCs w:val="24"/>
          <w:lang w:val="es-ES"/>
        </w:rPr>
        <w:t xml:space="preserve"> </w:t>
      </w:r>
      <w:r w:rsidRPr="0078381D">
        <w:rPr>
          <w:rFonts w:ascii="Palatino Linotype" w:hAnsi="Palatino Linotype"/>
          <w:sz w:val="24"/>
          <w:szCs w:val="24"/>
          <w:lang w:val="es-ES"/>
        </w:rPr>
        <w:t>y sobreseimiento con tales fines</w:t>
      </w:r>
      <w:r w:rsidR="001D1180">
        <w:rPr>
          <w:rStyle w:val="Refdenotaalpie"/>
          <w:rFonts w:ascii="Palatino Linotype" w:hAnsi="Palatino Linotype"/>
          <w:sz w:val="24"/>
          <w:szCs w:val="24"/>
          <w:lang w:val="es-ES"/>
        </w:rPr>
        <w:footnoteReference w:id="1"/>
      </w:r>
      <w:r w:rsidRPr="0078381D">
        <w:rPr>
          <w:rFonts w:ascii="Palatino Linotype" w:hAnsi="Palatino Linotype"/>
          <w:sz w:val="24"/>
          <w:szCs w:val="24"/>
          <w:lang w:val="es-ES"/>
        </w:rPr>
        <w:t xml:space="preserve">, por lo </w:t>
      </w:r>
      <w:r w:rsidR="001D1180" w:rsidRPr="0078381D">
        <w:rPr>
          <w:rFonts w:ascii="Palatino Linotype" w:hAnsi="Palatino Linotype"/>
          <w:sz w:val="24"/>
          <w:szCs w:val="24"/>
          <w:lang w:val="es-ES"/>
        </w:rPr>
        <w:t>tanto,</w:t>
      </w:r>
      <w:r w:rsidRPr="0078381D">
        <w:rPr>
          <w:rFonts w:ascii="Palatino Linotype" w:hAnsi="Palatino Linotype"/>
          <w:sz w:val="24"/>
          <w:szCs w:val="24"/>
          <w:lang w:val="es-ES"/>
        </w:rPr>
        <w:t xml:space="preserve"> resulta importante referir que en la Ley</w:t>
      </w:r>
      <w:r>
        <w:rPr>
          <w:rFonts w:ascii="Palatino Linotype" w:hAnsi="Palatino Linotype"/>
          <w:sz w:val="24"/>
          <w:szCs w:val="24"/>
          <w:lang w:val="es-ES"/>
        </w:rPr>
        <w:t xml:space="preserve"> </w:t>
      </w:r>
      <w:r w:rsidRPr="0078381D">
        <w:rPr>
          <w:rFonts w:ascii="Palatino Linotype" w:hAnsi="Palatino Linotype"/>
          <w:sz w:val="24"/>
          <w:szCs w:val="24"/>
          <w:lang w:val="es-ES"/>
        </w:rPr>
        <w:t>de Transparencia Local vigente, en su artículo 192 contempla la figura jurídica del</w:t>
      </w:r>
      <w:r w:rsidRPr="0078381D">
        <w:t xml:space="preserve"> </w:t>
      </w:r>
      <w:r w:rsidRPr="0078381D">
        <w:rPr>
          <w:rFonts w:ascii="Palatino Linotype" w:hAnsi="Palatino Linotype"/>
          <w:sz w:val="24"/>
          <w:szCs w:val="24"/>
          <w:lang w:val="es-ES"/>
        </w:rPr>
        <w:t>sobreseimiento; en el cual, la hipótesis inmersa en la fracción I, refiere que el</w:t>
      </w:r>
      <w:r>
        <w:rPr>
          <w:rFonts w:ascii="Palatino Linotype" w:hAnsi="Palatino Linotype"/>
          <w:sz w:val="24"/>
          <w:szCs w:val="24"/>
          <w:lang w:val="es-ES"/>
        </w:rPr>
        <w:t xml:space="preserve"> </w:t>
      </w:r>
      <w:r w:rsidRPr="0078381D">
        <w:rPr>
          <w:rFonts w:ascii="Palatino Linotype" w:hAnsi="Palatino Linotype"/>
          <w:sz w:val="24"/>
          <w:szCs w:val="24"/>
          <w:lang w:val="es-ES"/>
        </w:rPr>
        <w:t>recurrente se desista expresamente del recurso.</w:t>
      </w:r>
    </w:p>
    <w:p w14:paraId="3855E404" w14:textId="77777777" w:rsidR="0081693B" w:rsidRPr="001708B9" w:rsidRDefault="0081693B" w:rsidP="0081693B">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 xml:space="preserve">“Artículo 192. </w:t>
      </w:r>
      <w:r w:rsidRPr="001708B9">
        <w:rPr>
          <w:rFonts w:ascii="Palatino Linotype" w:hAnsi="Palatino Linotype" w:cs="Arial"/>
          <w:i/>
          <w:sz w:val="22"/>
          <w:szCs w:val="22"/>
        </w:rPr>
        <w:t>El recurso será sobreseído, en todo o en parte, cuando una vez admitido, se actualicen alguno de los siguientes supuestos:</w:t>
      </w:r>
    </w:p>
    <w:p w14:paraId="52193802" w14:textId="77777777" w:rsidR="0081693B" w:rsidRPr="001708B9"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lastRenderedPageBreak/>
        <w:t xml:space="preserve">I. </w:t>
      </w:r>
      <w:r w:rsidRPr="001708B9">
        <w:rPr>
          <w:rFonts w:ascii="Palatino Linotype" w:hAnsi="Palatino Linotype" w:cs="Arial"/>
          <w:i/>
          <w:lang w:val="es-ES"/>
        </w:rPr>
        <w:t>El recurrente se desista expresamente del recurso;</w:t>
      </w:r>
    </w:p>
    <w:p w14:paraId="2C86744D" w14:textId="77777777" w:rsidR="0081693B" w:rsidRPr="001708B9"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 </w:t>
      </w:r>
      <w:r w:rsidRPr="001708B9">
        <w:rPr>
          <w:rFonts w:ascii="Palatino Linotype" w:hAnsi="Palatino Linotype" w:cs="Arial"/>
          <w:i/>
          <w:lang w:val="es-ES"/>
        </w:rPr>
        <w:t>El recurrente fallezca o, tratándose de personas jurídicas colectivas, se disuelva;</w:t>
      </w:r>
    </w:p>
    <w:p w14:paraId="3D288411" w14:textId="77777777" w:rsidR="0081693B" w:rsidRPr="0081693B"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III. </w:t>
      </w:r>
      <w:r w:rsidRPr="0081693B">
        <w:rPr>
          <w:rFonts w:ascii="Palatino Linotype" w:hAnsi="Palatino Linotype" w:cs="Arial"/>
          <w:i/>
          <w:lang w:val="es-ES"/>
        </w:rPr>
        <w:t xml:space="preserve">El sujeto obligado responsable del acto lo </w:t>
      </w:r>
      <w:r w:rsidRPr="0081693B">
        <w:rPr>
          <w:rFonts w:ascii="Palatino Linotype" w:hAnsi="Palatino Linotype" w:cs="Arial"/>
          <w:b/>
          <w:i/>
          <w:lang w:val="es-ES"/>
        </w:rPr>
        <w:t>modifique</w:t>
      </w:r>
      <w:r w:rsidRPr="0081693B">
        <w:rPr>
          <w:rFonts w:ascii="Palatino Linotype" w:hAnsi="Palatino Linotype" w:cs="Arial"/>
          <w:i/>
          <w:lang w:val="es-ES"/>
        </w:rPr>
        <w:t xml:space="preserve"> o revoque de tal manera que el recurso de revisión quede sin materia;</w:t>
      </w:r>
    </w:p>
    <w:p w14:paraId="565F4EB3" w14:textId="77777777" w:rsidR="0081693B" w:rsidRPr="001708B9"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IV. </w:t>
      </w:r>
      <w:r w:rsidRPr="001708B9">
        <w:rPr>
          <w:rFonts w:ascii="Palatino Linotype" w:hAnsi="Palatino Linotype" w:cs="Arial"/>
          <w:i/>
          <w:lang w:val="es-ES"/>
        </w:rPr>
        <w:t>Admitido el recurso de revisión, aparezca alguna causal de improcedencia en los términos de la presente Ley; y</w:t>
      </w:r>
    </w:p>
    <w:p w14:paraId="6D823C72" w14:textId="3D9AB886" w:rsidR="0081693B" w:rsidRPr="0081693B" w:rsidRDefault="0081693B" w:rsidP="0081693B">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V</w:t>
      </w:r>
      <w:r w:rsidRPr="001708B9">
        <w:rPr>
          <w:rFonts w:ascii="Palatino Linotype" w:hAnsi="Palatino Linotype" w:cs="Arial"/>
          <w:bCs/>
          <w:i/>
          <w:sz w:val="22"/>
          <w:szCs w:val="22"/>
        </w:rPr>
        <w:t xml:space="preserve">. </w:t>
      </w:r>
      <w:r w:rsidRPr="001708B9">
        <w:rPr>
          <w:rFonts w:ascii="Palatino Linotype" w:hAnsi="Palatino Linotype" w:cs="Arial"/>
          <w:i/>
          <w:sz w:val="22"/>
          <w:szCs w:val="22"/>
        </w:rPr>
        <w:t>Cuando por cualquier motivo quede sin materia el recurso.</w:t>
      </w:r>
    </w:p>
    <w:p w14:paraId="02AC9F8B" w14:textId="7D98A676" w:rsidR="0078381D" w:rsidRPr="0081693B" w:rsidRDefault="0078381D" w:rsidP="0081693B">
      <w:pPr>
        <w:autoSpaceDE w:val="0"/>
        <w:autoSpaceDN w:val="0"/>
        <w:adjustRightInd w:val="0"/>
        <w:spacing w:before="240" w:line="360" w:lineRule="auto"/>
        <w:jc w:val="both"/>
        <w:rPr>
          <w:rFonts w:ascii="Palatino Linotype" w:hAnsi="Palatino Linotype"/>
          <w:sz w:val="24"/>
          <w:szCs w:val="24"/>
          <w:lang w:val="es-ES"/>
        </w:rPr>
      </w:pPr>
      <w:r w:rsidRPr="0078381D">
        <w:rPr>
          <w:rFonts w:ascii="Palatino Linotype" w:hAnsi="Palatino Linotype"/>
          <w:sz w:val="24"/>
          <w:szCs w:val="24"/>
          <w:lang w:val="es-ES"/>
        </w:rPr>
        <w:t xml:space="preserve">Así, para que se tenga por desistido bastará con que </w:t>
      </w:r>
      <w:r w:rsidR="001D1180">
        <w:rPr>
          <w:rFonts w:ascii="Palatino Linotype" w:hAnsi="Palatino Linotype"/>
          <w:sz w:val="24"/>
          <w:szCs w:val="24"/>
          <w:lang w:val="es-ES"/>
        </w:rPr>
        <w:t>la parte</w:t>
      </w:r>
      <w:r w:rsidRPr="0078381D">
        <w:rPr>
          <w:rFonts w:ascii="Palatino Linotype" w:hAnsi="Palatino Linotype"/>
          <w:sz w:val="24"/>
          <w:szCs w:val="24"/>
          <w:lang w:val="es-ES"/>
        </w:rPr>
        <w:t xml:space="preserve"> Recurrente expresamente se</w:t>
      </w:r>
      <w:r w:rsidR="001D1180">
        <w:rPr>
          <w:rFonts w:ascii="Palatino Linotype" w:hAnsi="Palatino Linotype"/>
          <w:sz w:val="24"/>
          <w:szCs w:val="24"/>
          <w:lang w:val="es-ES"/>
        </w:rPr>
        <w:t xml:space="preserve"> </w:t>
      </w:r>
      <w:r w:rsidRPr="0078381D">
        <w:rPr>
          <w:rFonts w:ascii="Palatino Linotype" w:hAnsi="Palatino Linotype"/>
          <w:sz w:val="24"/>
          <w:szCs w:val="24"/>
          <w:lang w:val="es-ES"/>
        </w:rPr>
        <w:t>desista del recurso de revisión promovido, lo cual es a evidente que se actualiza en el</w:t>
      </w:r>
      <w:r w:rsidR="001D1180">
        <w:rPr>
          <w:rFonts w:ascii="Palatino Linotype" w:hAnsi="Palatino Linotype"/>
          <w:sz w:val="24"/>
          <w:szCs w:val="24"/>
          <w:lang w:val="es-ES"/>
        </w:rPr>
        <w:t xml:space="preserve"> </w:t>
      </w:r>
      <w:r w:rsidRPr="0078381D">
        <w:rPr>
          <w:rFonts w:ascii="Palatino Linotype" w:hAnsi="Palatino Linotype"/>
          <w:sz w:val="24"/>
          <w:szCs w:val="24"/>
          <w:lang w:val="es-ES"/>
        </w:rPr>
        <w:t>presente asunto, tal y como se muestra en la siguiente imagen ilustrativa:</w:t>
      </w:r>
    </w:p>
    <w:p w14:paraId="558AB0CE" w14:textId="22378A1F" w:rsidR="00822C7B" w:rsidRPr="00822C7B" w:rsidRDefault="0081693B" w:rsidP="00822C7B">
      <w:pPr>
        <w:autoSpaceDE w:val="0"/>
        <w:autoSpaceDN w:val="0"/>
        <w:adjustRightInd w:val="0"/>
        <w:spacing w:before="240" w:after="240" w:line="360" w:lineRule="auto"/>
        <w:ind w:right="567"/>
        <w:jc w:val="both"/>
        <w:rPr>
          <w:rFonts w:ascii="Palatino Linotype" w:hAnsi="Palatino Linotype" w:cs="Arial"/>
          <w:b/>
          <w:bCs/>
          <w:i/>
        </w:rPr>
      </w:pPr>
      <w:r>
        <w:rPr>
          <w:noProof/>
          <w:lang w:eastAsia="es-MX"/>
        </w:rPr>
        <mc:AlternateContent>
          <mc:Choice Requires="wps">
            <w:drawing>
              <wp:anchor distT="0" distB="0" distL="114300" distR="114300" simplePos="0" relativeHeight="251659264" behindDoc="0" locked="0" layoutInCell="1" allowOverlap="1" wp14:anchorId="3621FCD8" wp14:editId="18C169BA">
                <wp:simplePos x="0" y="0"/>
                <wp:positionH relativeFrom="column">
                  <wp:posOffset>57327</wp:posOffset>
                </wp:positionH>
                <wp:positionV relativeFrom="paragraph">
                  <wp:posOffset>2639060</wp:posOffset>
                </wp:positionV>
                <wp:extent cx="5707557" cy="202018"/>
                <wp:effectExtent l="12700" t="12700" r="7620" b="13970"/>
                <wp:wrapNone/>
                <wp:docPr id="5" name="Rectángulo 5"/>
                <wp:cNvGraphicFramePr/>
                <a:graphic xmlns:a="http://schemas.openxmlformats.org/drawingml/2006/main">
                  <a:graphicData uri="http://schemas.microsoft.com/office/word/2010/wordprocessingShape">
                    <wps:wsp>
                      <wps:cNvSpPr/>
                      <wps:spPr>
                        <a:xfrm>
                          <a:off x="0" y="0"/>
                          <a:ext cx="5707557" cy="20201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CF1C4A" id="Rectángulo 5" o:spid="_x0000_s1026" style="position:absolute;margin-left:4.5pt;margin-top:207.8pt;width:449.4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" filled="f" strokecolor="red" strokeweight="1.5pt"/>
            </w:pict>
          </mc:Fallback>
        </mc:AlternateContent>
      </w:r>
      <w:r w:rsidR="00A45B30">
        <w:rPr>
          <w:rFonts w:ascii="Palatino Linotype" w:hAnsi="Palatino Linotype" w:cs="Arial"/>
          <w:iCs/>
          <w:noProof/>
          <w:sz w:val="24"/>
          <w:szCs w:val="24"/>
          <w:lang w:eastAsia="es-MX"/>
        </w:rPr>
        <w:drawing>
          <wp:inline distT="0" distB="0" distL="0" distR="0" wp14:anchorId="5125F957" wp14:editId="5F5EC978">
            <wp:extent cx="5765132" cy="3070178"/>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4824" cy="3085990"/>
                    </a:xfrm>
                    <a:prstGeom prst="rect">
                      <a:avLst/>
                    </a:prstGeom>
                    <a:noFill/>
                    <a:ln>
                      <a:noFill/>
                    </a:ln>
                  </pic:spPr>
                </pic:pic>
              </a:graphicData>
            </a:graphic>
          </wp:inline>
        </w:drawing>
      </w:r>
      <w:r w:rsidR="00822C7B" w:rsidRPr="00822C7B">
        <w:rPr>
          <w:rFonts w:ascii="Palatino Linotype" w:hAnsi="Palatino Linotype" w:cs="Arial"/>
          <w:iCs/>
          <w:sz w:val="24"/>
          <w:szCs w:val="24"/>
        </w:rPr>
        <w:t>En ese orden de ideas, se entiende que El Recurrente, de propia voluntad, sin existir coacción o dolo, en ejercicio de sus derechos, s</w:t>
      </w:r>
      <w:bookmarkStart w:id="0" w:name="_GoBack"/>
      <w:bookmarkEnd w:id="0"/>
      <w:r w:rsidR="00822C7B" w:rsidRPr="00822C7B">
        <w:rPr>
          <w:rFonts w:ascii="Palatino Linotype" w:hAnsi="Palatino Linotype" w:cs="Arial"/>
          <w:iCs/>
          <w:sz w:val="24"/>
          <w:szCs w:val="24"/>
        </w:rPr>
        <w:t xml:space="preserve">e desiste del recurso en que </w:t>
      </w:r>
      <w:r w:rsidR="00822C7B" w:rsidRPr="00822C7B">
        <w:rPr>
          <w:rFonts w:ascii="Palatino Linotype" w:hAnsi="Palatino Linotype" w:cs="Arial"/>
          <w:iCs/>
          <w:sz w:val="24"/>
          <w:szCs w:val="24"/>
        </w:rPr>
        <w:lastRenderedPageBreak/>
        <w:t>se actúa, por lo que se procede a la valoración, respecto de si el desistimiento cumple con lo</w:t>
      </w:r>
      <w:r w:rsidR="00822C7B">
        <w:rPr>
          <w:rFonts w:ascii="Palatino Linotype" w:hAnsi="Palatino Linotype" w:cs="Arial"/>
          <w:iCs/>
          <w:sz w:val="24"/>
          <w:szCs w:val="24"/>
        </w:rPr>
        <w:t xml:space="preserve"> establecido </w:t>
      </w:r>
      <w:r w:rsidR="00822C7B" w:rsidRPr="00822C7B">
        <w:rPr>
          <w:rFonts w:ascii="Palatino Linotype" w:hAnsi="Palatino Linotype" w:cs="Arial"/>
          <w:iCs/>
          <w:sz w:val="24"/>
          <w:szCs w:val="24"/>
        </w:rPr>
        <w:t>en la fracción I del artículo 192 de la Ley de Transparencia y Acceso a la</w:t>
      </w:r>
      <w:r w:rsidR="00822C7B">
        <w:rPr>
          <w:rFonts w:ascii="Palatino Linotype" w:hAnsi="Palatino Linotype" w:cs="Arial"/>
          <w:iCs/>
          <w:sz w:val="24"/>
          <w:szCs w:val="24"/>
        </w:rPr>
        <w:t xml:space="preserve"> </w:t>
      </w:r>
      <w:r w:rsidR="00822C7B" w:rsidRPr="00822C7B">
        <w:rPr>
          <w:rFonts w:ascii="Palatino Linotype" w:hAnsi="Palatino Linotype" w:cs="Arial"/>
          <w:iCs/>
          <w:sz w:val="24"/>
          <w:szCs w:val="24"/>
        </w:rPr>
        <w:t>Información Pública del Estado de México y Municipios.</w:t>
      </w:r>
    </w:p>
    <w:p w14:paraId="01E4F0AC" w14:textId="4AE26768" w:rsidR="0078381D" w:rsidRPr="00822C7B" w:rsidRDefault="00822C7B" w:rsidP="00822C7B">
      <w:pPr>
        <w:autoSpaceDE w:val="0"/>
        <w:autoSpaceDN w:val="0"/>
        <w:adjustRightInd w:val="0"/>
        <w:spacing w:before="240" w:after="240" w:line="360" w:lineRule="auto"/>
        <w:ind w:right="567"/>
        <w:jc w:val="both"/>
        <w:rPr>
          <w:rFonts w:ascii="Palatino Linotype" w:hAnsi="Palatino Linotype" w:cs="Arial"/>
          <w:iCs/>
          <w:sz w:val="24"/>
          <w:szCs w:val="24"/>
        </w:rPr>
      </w:pPr>
      <w:r w:rsidRPr="00822C7B">
        <w:rPr>
          <w:rFonts w:ascii="Palatino Linotype" w:hAnsi="Palatino Linotype" w:cs="Arial"/>
          <w:iCs/>
          <w:sz w:val="24"/>
          <w:szCs w:val="24"/>
        </w:rPr>
        <w:t>En primer lugar, habrá que señalarse que el desistimiento, es la terminación anormal</w:t>
      </w:r>
      <w:r>
        <w:rPr>
          <w:rFonts w:ascii="Palatino Linotype" w:hAnsi="Palatino Linotype" w:cs="Arial"/>
          <w:iCs/>
          <w:sz w:val="24"/>
          <w:szCs w:val="24"/>
        </w:rPr>
        <w:t xml:space="preserve"> </w:t>
      </w:r>
      <w:r w:rsidRPr="00822C7B">
        <w:rPr>
          <w:rFonts w:ascii="Palatino Linotype" w:hAnsi="Palatino Linotype" w:cs="Arial"/>
          <w:iCs/>
          <w:sz w:val="24"/>
          <w:szCs w:val="24"/>
        </w:rPr>
        <w:t>de un proceso, por el que el actor manifiesta su voluntad de abandonar su pretensión;</w:t>
      </w:r>
      <w:r>
        <w:rPr>
          <w:rFonts w:ascii="Palatino Linotype" w:hAnsi="Palatino Linotype" w:cs="Arial"/>
          <w:iCs/>
          <w:sz w:val="24"/>
          <w:szCs w:val="24"/>
        </w:rPr>
        <w:t xml:space="preserve"> </w:t>
      </w:r>
      <w:r w:rsidRPr="00822C7B">
        <w:rPr>
          <w:rFonts w:ascii="Palatino Linotype" w:hAnsi="Palatino Linotype" w:cs="Arial"/>
          <w:iCs/>
          <w:sz w:val="24"/>
          <w:szCs w:val="24"/>
        </w:rPr>
        <w:t>lo que en el caso concreto, ha de entenderse como la renuncia que hace El Recurrente</w:t>
      </w:r>
      <w:r>
        <w:rPr>
          <w:rFonts w:ascii="Palatino Linotype" w:hAnsi="Palatino Linotype" w:cs="Arial"/>
          <w:iCs/>
          <w:sz w:val="24"/>
          <w:szCs w:val="24"/>
        </w:rPr>
        <w:t xml:space="preserve"> </w:t>
      </w:r>
      <w:r w:rsidRPr="00822C7B">
        <w:rPr>
          <w:rFonts w:ascii="Palatino Linotype" w:hAnsi="Palatino Linotype" w:cs="Arial"/>
          <w:iCs/>
          <w:sz w:val="24"/>
          <w:szCs w:val="24"/>
        </w:rPr>
        <w:t>a la pretensión procesal que dio origen al recurso, ocasionando la culminación del</w:t>
      </w:r>
      <w:r>
        <w:rPr>
          <w:rFonts w:ascii="Palatino Linotype" w:hAnsi="Palatino Linotype" w:cs="Arial"/>
          <w:iCs/>
          <w:sz w:val="24"/>
          <w:szCs w:val="24"/>
        </w:rPr>
        <w:t xml:space="preserve"> </w:t>
      </w:r>
      <w:r w:rsidRPr="00822C7B">
        <w:rPr>
          <w:rFonts w:ascii="Palatino Linotype" w:hAnsi="Palatino Linotype" w:cs="Arial"/>
          <w:iCs/>
          <w:sz w:val="24"/>
          <w:szCs w:val="24"/>
        </w:rPr>
        <w:t>mismo. Se precisa que no existe momento procesal alguno para realizarlo, por lo que</w:t>
      </w:r>
      <w:r>
        <w:rPr>
          <w:rFonts w:ascii="Palatino Linotype" w:hAnsi="Palatino Linotype" w:cs="Arial"/>
          <w:iCs/>
          <w:sz w:val="24"/>
          <w:szCs w:val="24"/>
        </w:rPr>
        <w:t xml:space="preserve"> </w:t>
      </w:r>
      <w:r w:rsidRPr="00822C7B">
        <w:rPr>
          <w:rFonts w:ascii="Palatino Linotype" w:hAnsi="Palatino Linotype" w:cs="Arial"/>
          <w:iCs/>
          <w:sz w:val="24"/>
          <w:szCs w:val="24"/>
        </w:rPr>
        <w:t>el mismo se podrá interponer en cualquier momento.</w:t>
      </w:r>
    </w:p>
    <w:p w14:paraId="47BEF30D" w14:textId="5285A8C5" w:rsidR="00822C7B" w:rsidRPr="00822C7B" w:rsidRDefault="00822C7B" w:rsidP="00822C7B">
      <w:pPr>
        <w:tabs>
          <w:tab w:val="left" w:pos="709"/>
        </w:tabs>
        <w:spacing w:before="240" w:line="360" w:lineRule="auto"/>
        <w:ind w:right="51"/>
        <w:jc w:val="both"/>
        <w:divId w:val="689375240"/>
        <w:rPr>
          <w:rFonts w:ascii="Palatino Linotype" w:hAnsi="Palatino Linotype"/>
          <w:sz w:val="24"/>
          <w:lang w:val="es-ES"/>
        </w:rPr>
      </w:pPr>
      <w:r w:rsidRPr="00822C7B">
        <w:rPr>
          <w:rFonts w:ascii="Palatino Linotype" w:hAnsi="Palatino Linotype"/>
          <w:sz w:val="24"/>
          <w:lang w:val="es-ES"/>
        </w:rPr>
        <w:t xml:space="preserve">En ese tenor de ideas, </w:t>
      </w:r>
      <w:r>
        <w:rPr>
          <w:rFonts w:ascii="Palatino Linotype" w:hAnsi="Palatino Linotype"/>
          <w:sz w:val="24"/>
          <w:lang w:val="es-ES"/>
        </w:rPr>
        <w:t>la parte</w:t>
      </w:r>
      <w:r w:rsidRPr="00822C7B">
        <w:rPr>
          <w:rFonts w:ascii="Palatino Linotype" w:hAnsi="Palatino Linotype"/>
          <w:sz w:val="24"/>
          <w:lang w:val="es-ES"/>
        </w:rPr>
        <w:t xml:space="preserve"> Recurrente con la legitimación activa</w:t>
      </w:r>
      <w:r>
        <w:rPr>
          <w:rStyle w:val="Refdenotaalpie"/>
          <w:rFonts w:ascii="Palatino Linotype" w:hAnsi="Palatino Linotype"/>
          <w:sz w:val="24"/>
          <w:lang w:val="es-ES"/>
        </w:rPr>
        <w:footnoteReference w:id="2"/>
      </w:r>
      <w:r w:rsidRPr="00822C7B">
        <w:rPr>
          <w:rFonts w:ascii="Palatino Linotype" w:hAnsi="Palatino Linotype"/>
          <w:sz w:val="24"/>
          <w:lang w:val="es-ES"/>
        </w:rPr>
        <w:t xml:space="preserve"> que debidamente se</w:t>
      </w:r>
      <w:r>
        <w:rPr>
          <w:rFonts w:ascii="Palatino Linotype" w:hAnsi="Palatino Linotype"/>
          <w:sz w:val="24"/>
          <w:lang w:val="es-ES"/>
        </w:rPr>
        <w:t xml:space="preserve"> </w:t>
      </w:r>
      <w:r w:rsidRPr="00822C7B">
        <w:rPr>
          <w:rFonts w:ascii="Palatino Linotype" w:hAnsi="Palatino Linotype"/>
          <w:sz w:val="24"/>
          <w:lang w:val="es-ES"/>
        </w:rPr>
        <w:t>tiene acreditada en autos, es la misma persona que realizó la solicitud de información</w:t>
      </w:r>
      <w:r>
        <w:rPr>
          <w:rFonts w:ascii="Palatino Linotype" w:hAnsi="Palatino Linotype"/>
          <w:sz w:val="24"/>
          <w:lang w:val="es-ES"/>
        </w:rPr>
        <w:t xml:space="preserve"> </w:t>
      </w:r>
      <w:r w:rsidRPr="00822C7B">
        <w:rPr>
          <w:rFonts w:ascii="Palatino Linotype" w:hAnsi="Palatino Linotype"/>
          <w:sz w:val="24"/>
          <w:lang w:val="es-ES"/>
        </w:rPr>
        <w:t xml:space="preserve">número </w:t>
      </w:r>
      <w:r w:rsidRPr="00822C7B">
        <w:rPr>
          <w:rFonts w:ascii="Palatino Linotype" w:hAnsi="Palatino Linotype"/>
          <w:b/>
          <w:bCs/>
          <w:sz w:val="24"/>
          <w:lang w:val="es-ES"/>
        </w:rPr>
        <w:t>00489/NEZA/IP/2021</w:t>
      </w:r>
      <w:r w:rsidRPr="00822C7B">
        <w:rPr>
          <w:rFonts w:ascii="Palatino Linotype" w:hAnsi="Palatino Linotype"/>
          <w:sz w:val="24"/>
          <w:lang w:val="es-ES"/>
        </w:rPr>
        <w:t>, y quien, posteriormente interpuso el presente</w:t>
      </w:r>
      <w:r>
        <w:rPr>
          <w:rFonts w:ascii="Palatino Linotype" w:hAnsi="Palatino Linotype"/>
          <w:sz w:val="24"/>
          <w:lang w:val="es-ES"/>
        </w:rPr>
        <w:t xml:space="preserve"> </w:t>
      </w:r>
      <w:r w:rsidRPr="00822C7B">
        <w:rPr>
          <w:rFonts w:ascii="Palatino Linotype" w:hAnsi="Palatino Linotype"/>
          <w:sz w:val="24"/>
          <w:lang w:val="es-ES"/>
        </w:rPr>
        <w:t xml:space="preserve">recurso de revisión número </w:t>
      </w:r>
      <w:r w:rsidRPr="00822C7B">
        <w:rPr>
          <w:rFonts w:ascii="Palatino Linotype" w:hAnsi="Palatino Linotype"/>
          <w:b/>
          <w:bCs/>
          <w:sz w:val="24"/>
          <w:lang w:val="es-ES"/>
        </w:rPr>
        <w:t>05</w:t>
      </w:r>
      <w:r>
        <w:rPr>
          <w:rFonts w:ascii="Palatino Linotype" w:hAnsi="Palatino Linotype"/>
          <w:b/>
          <w:bCs/>
          <w:sz w:val="24"/>
          <w:lang w:val="es-ES"/>
        </w:rPr>
        <w:t>725</w:t>
      </w:r>
      <w:r w:rsidRPr="00822C7B">
        <w:rPr>
          <w:rFonts w:ascii="Palatino Linotype" w:hAnsi="Palatino Linotype"/>
          <w:b/>
          <w:bCs/>
          <w:sz w:val="24"/>
          <w:lang w:val="es-ES"/>
        </w:rPr>
        <w:t>/INFOEM/IP/RR/2021</w:t>
      </w:r>
      <w:r w:rsidRPr="00822C7B">
        <w:rPr>
          <w:rFonts w:ascii="Palatino Linotype" w:hAnsi="Palatino Linotype"/>
          <w:sz w:val="24"/>
          <w:lang w:val="es-ES"/>
        </w:rPr>
        <w:t>, en contra de la respuesta</w:t>
      </w:r>
      <w:r>
        <w:rPr>
          <w:rFonts w:ascii="Palatino Linotype" w:hAnsi="Palatino Linotype"/>
          <w:sz w:val="24"/>
          <w:lang w:val="es-ES"/>
        </w:rPr>
        <w:t xml:space="preserve"> </w:t>
      </w:r>
      <w:r w:rsidRPr="00822C7B">
        <w:rPr>
          <w:rFonts w:ascii="Palatino Linotype" w:hAnsi="Palatino Linotype"/>
          <w:sz w:val="24"/>
          <w:lang w:val="es-ES"/>
        </w:rPr>
        <w:t>otorgada; todo esto, de conformidad con las actuaciones que obran en el expediente</w:t>
      </w:r>
      <w:r>
        <w:rPr>
          <w:rFonts w:ascii="Palatino Linotype" w:hAnsi="Palatino Linotype"/>
          <w:sz w:val="24"/>
          <w:lang w:val="es-ES"/>
        </w:rPr>
        <w:t xml:space="preserve"> </w:t>
      </w:r>
      <w:r w:rsidRPr="00822C7B">
        <w:rPr>
          <w:rFonts w:ascii="Palatino Linotype" w:hAnsi="Palatino Linotype"/>
          <w:sz w:val="24"/>
          <w:lang w:val="es-ES"/>
        </w:rPr>
        <w:t>electrónico del SAIMEX.</w:t>
      </w:r>
    </w:p>
    <w:p w14:paraId="6EC3E079" w14:textId="769B1E91" w:rsidR="00822C7B" w:rsidRDefault="00822C7B" w:rsidP="00E168CB">
      <w:pPr>
        <w:tabs>
          <w:tab w:val="left" w:pos="709"/>
        </w:tabs>
        <w:spacing w:before="240" w:line="360" w:lineRule="auto"/>
        <w:ind w:right="51"/>
        <w:jc w:val="both"/>
        <w:divId w:val="689375240"/>
        <w:rPr>
          <w:rFonts w:ascii="Palatino Linotype" w:hAnsi="Palatino Linotype"/>
          <w:sz w:val="24"/>
          <w:lang w:val="es-ES"/>
        </w:rPr>
      </w:pPr>
      <w:r w:rsidRPr="00822C7B">
        <w:rPr>
          <w:rFonts w:ascii="Palatino Linotype" w:hAnsi="Palatino Linotype"/>
          <w:sz w:val="24"/>
          <w:lang w:val="es-ES"/>
        </w:rPr>
        <w:t>Por lo anterior, es dable enfatizar que la figura del desistimiento tiene como finalidad</w:t>
      </w:r>
      <w:r>
        <w:rPr>
          <w:rFonts w:ascii="Palatino Linotype" w:hAnsi="Palatino Linotype"/>
          <w:sz w:val="24"/>
          <w:lang w:val="es-ES"/>
        </w:rPr>
        <w:t xml:space="preserve"> </w:t>
      </w:r>
      <w:r w:rsidRPr="00822C7B">
        <w:rPr>
          <w:rFonts w:ascii="Palatino Linotype" w:hAnsi="Palatino Linotype"/>
          <w:sz w:val="24"/>
          <w:lang w:val="es-ES"/>
        </w:rPr>
        <w:t>la interrupción y terminación del procedimiento sin entrar al estudio, derivado de la</w:t>
      </w:r>
      <w:r>
        <w:rPr>
          <w:rFonts w:ascii="Palatino Linotype" w:hAnsi="Palatino Linotype"/>
          <w:sz w:val="24"/>
          <w:lang w:val="es-ES"/>
        </w:rPr>
        <w:t xml:space="preserve"> </w:t>
      </w:r>
      <w:r w:rsidRPr="00822C7B">
        <w:rPr>
          <w:rFonts w:ascii="Palatino Linotype" w:hAnsi="Palatino Linotype"/>
          <w:sz w:val="24"/>
          <w:lang w:val="es-ES"/>
        </w:rPr>
        <w:t>existencia de la renuncia del Recurrente a la sustanciación y resolución del</w:t>
      </w:r>
      <w:r>
        <w:rPr>
          <w:rFonts w:ascii="Palatino Linotype" w:hAnsi="Palatino Linotype"/>
          <w:sz w:val="24"/>
          <w:lang w:val="es-ES"/>
        </w:rPr>
        <w:t xml:space="preserve"> </w:t>
      </w:r>
      <w:r w:rsidRPr="00822C7B">
        <w:rPr>
          <w:rFonts w:ascii="Palatino Linotype" w:hAnsi="Palatino Linotype"/>
          <w:sz w:val="24"/>
          <w:lang w:val="es-ES"/>
        </w:rPr>
        <w:lastRenderedPageBreak/>
        <w:t>procedimiento; por lo que, con efectos vinculantes a la presente Resolución, dicho</w:t>
      </w:r>
      <w:r>
        <w:rPr>
          <w:rFonts w:ascii="Palatino Linotype" w:hAnsi="Palatino Linotype"/>
          <w:sz w:val="24"/>
          <w:lang w:val="es-ES"/>
        </w:rPr>
        <w:t xml:space="preserve"> </w:t>
      </w:r>
      <w:r w:rsidRPr="00822C7B">
        <w:rPr>
          <w:rFonts w:ascii="Palatino Linotype" w:hAnsi="Palatino Linotype"/>
          <w:sz w:val="24"/>
          <w:lang w:val="es-ES"/>
        </w:rPr>
        <w:t>desistimiento debe quedar firme.</w:t>
      </w:r>
    </w:p>
    <w:p w14:paraId="5D8D0C28" w14:textId="45CF9A31" w:rsidR="00822C7B" w:rsidRDefault="00822C7B" w:rsidP="00822C7B">
      <w:pPr>
        <w:tabs>
          <w:tab w:val="left" w:pos="8931"/>
        </w:tabs>
        <w:spacing w:before="240" w:line="360" w:lineRule="auto"/>
        <w:ind w:right="51"/>
        <w:jc w:val="both"/>
        <w:divId w:val="689375240"/>
        <w:rPr>
          <w:rFonts w:ascii="Palatino Linotype" w:hAnsi="Palatino Linotype"/>
          <w:sz w:val="24"/>
          <w:szCs w:val="24"/>
          <w:lang w:val="es-ES"/>
        </w:rPr>
      </w:pPr>
      <w:r w:rsidRPr="00822C7B">
        <w:rPr>
          <w:rFonts w:ascii="Palatino Linotype" w:hAnsi="Palatino Linotype"/>
          <w:sz w:val="24"/>
          <w:szCs w:val="24"/>
          <w:lang w:val="es-ES"/>
        </w:rPr>
        <w:t>En consecuencia, al actualizarse lo estipulado en la fracción I del artículo 192 de la Ley</w:t>
      </w:r>
      <w:r>
        <w:rPr>
          <w:rFonts w:ascii="Palatino Linotype" w:hAnsi="Palatino Linotype"/>
          <w:sz w:val="24"/>
          <w:szCs w:val="24"/>
          <w:lang w:val="es-ES"/>
        </w:rPr>
        <w:t xml:space="preserve"> </w:t>
      </w:r>
      <w:r w:rsidRPr="00822C7B">
        <w:rPr>
          <w:rFonts w:ascii="Palatino Linotype" w:hAnsi="Palatino Linotype"/>
          <w:sz w:val="24"/>
          <w:szCs w:val="24"/>
          <w:lang w:val="es-ES"/>
        </w:rPr>
        <w:t>de Transparencia y Acceso a la Información Pública del Estado de México y</w:t>
      </w:r>
      <w:r>
        <w:rPr>
          <w:rFonts w:ascii="Palatino Linotype" w:hAnsi="Palatino Linotype"/>
          <w:sz w:val="24"/>
          <w:szCs w:val="24"/>
          <w:lang w:val="es-ES"/>
        </w:rPr>
        <w:t xml:space="preserve"> </w:t>
      </w:r>
      <w:r w:rsidRPr="00822C7B">
        <w:rPr>
          <w:rFonts w:ascii="Palatino Linotype" w:hAnsi="Palatino Linotype"/>
          <w:sz w:val="24"/>
          <w:szCs w:val="24"/>
          <w:lang w:val="es-ES"/>
        </w:rPr>
        <w:t xml:space="preserve">Municipios, lo procedente es </w:t>
      </w:r>
      <w:r>
        <w:rPr>
          <w:rFonts w:ascii="Palatino Linotype" w:hAnsi="Palatino Linotype"/>
          <w:b/>
          <w:bCs/>
          <w:sz w:val="24"/>
          <w:szCs w:val="24"/>
          <w:lang w:val="es-ES"/>
        </w:rPr>
        <w:t>Sobreseer</w:t>
      </w:r>
      <w:r w:rsidRPr="00822C7B">
        <w:rPr>
          <w:rFonts w:ascii="Palatino Linotype" w:hAnsi="Palatino Linotype"/>
          <w:sz w:val="24"/>
          <w:szCs w:val="24"/>
          <w:lang w:val="es-ES"/>
        </w:rPr>
        <w:t xml:space="preserve"> el recurso de revisión que atañe; dado que,</w:t>
      </w:r>
      <w:r>
        <w:rPr>
          <w:rFonts w:ascii="Palatino Linotype" w:hAnsi="Palatino Linotype"/>
          <w:sz w:val="24"/>
          <w:szCs w:val="24"/>
          <w:lang w:val="es-ES"/>
        </w:rPr>
        <w:t xml:space="preserve"> </w:t>
      </w:r>
      <w:r w:rsidRPr="00822C7B">
        <w:rPr>
          <w:rFonts w:ascii="Palatino Linotype" w:hAnsi="Palatino Linotype"/>
          <w:sz w:val="24"/>
          <w:szCs w:val="24"/>
          <w:lang w:val="es-ES"/>
        </w:rPr>
        <w:t>no es necesario estudiar si existió vulneración al derecho de acceso a la información</w:t>
      </w:r>
      <w:r>
        <w:rPr>
          <w:rFonts w:ascii="Palatino Linotype" w:hAnsi="Palatino Linotype"/>
          <w:sz w:val="24"/>
          <w:szCs w:val="24"/>
          <w:lang w:val="es-ES"/>
        </w:rPr>
        <w:t xml:space="preserve"> </w:t>
      </w:r>
      <w:r w:rsidRPr="00822C7B">
        <w:rPr>
          <w:rFonts w:ascii="Palatino Linotype" w:hAnsi="Palatino Linotype"/>
          <w:sz w:val="24"/>
          <w:szCs w:val="24"/>
          <w:lang w:val="es-ES"/>
        </w:rPr>
        <w:t>pública, en atención que El Recurrente que presentó el recurso de revisión manifiesta</w:t>
      </w:r>
      <w:r>
        <w:rPr>
          <w:rFonts w:ascii="Palatino Linotype" w:hAnsi="Palatino Linotype"/>
          <w:sz w:val="24"/>
          <w:szCs w:val="24"/>
          <w:lang w:val="es-ES"/>
        </w:rPr>
        <w:t xml:space="preserve"> </w:t>
      </w:r>
      <w:r w:rsidRPr="00822C7B">
        <w:rPr>
          <w:rFonts w:ascii="Palatino Linotype" w:hAnsi="Palatino Linotype"/>
          <w:sz w:val="24"/>
          <w:szCs w:val="24"/>
          <w:lang w:val="es-ES"/>
        </w:rPr>
        <w:t>la voluntad de desistirse, con las consecuencias que a ello conlleva.</w:t>
      </w:r>
    </w:p>
    <w:p w14:paraId="5B4B7963" w14:textId="425F5001" w:rsidR="002B66B2" w:rsidRDefault="00E168CB" w:rsidP="00822C7B">
      <w:pPr>
        <w:tabs>
          <w:tab w:val="left" w:pos="8931"/>
        </w:tabs>
        <w:spacing w:before="240" w:line="360" w:lineRule="auto"/>
        <w:ind w:right="51"/>
        <w:jc w:val="both"/>
        <w:divId w:val="689375240"/>
        <w:rPr>
          <w:rFonts w:ascii="Palatino Linotype" w:hAnsi="Palatino Linotype"/>
          <w:sz w:val="24"/>
          <w:szCs w:val="24"/>
          <w:lang w:val="es-ES"/>
        </w:rPr>
      </w:pPr>
      <w:r w:rsidRPr="001708B9">
        <w:rPr>
          <w:rFonts w:ascii="Palatino Linotype" w:hAnsi="Palatino Linotype"/>
          <w:sz w:val="24"/>
          <w:szCs w:val="24"/>
          <w:lang w:val="es-ES"/>
        </w:rPr>
        <w:t>Por lo antes expuesto y fundado es de resolverse y,</w:t>
      </w:r>
    </w:p>
    <w:p w14:paraId="4DE58E22" w14:textId="77777777" w:rsidR="00E168CB" w:rsidRPr="001708B9" w:rsidRDefault="00E168CB" w:rsidP="00E168CB">
      <w:pPr>
        <w:spacing w:before="240" w:line="360" w:lineRule="auto"/>
        <w:jc w:val="center"/>
        <w:divId w:val="689375240"/>
        <w:rPr>
          <w:rFonts w:ascii="Palatino Linotype" w:eastAsia="Times New Roman" w:hAnsi="Palatino Linotype"/>
          <w:b/>
          <w:bCs/>
          <w:spacing w:val="60"/>
          <w:sz w:val="28"/>
          <w:lang w:val="es-ES"/>
        </w:rPr>
      </w:pPr>
      <w:r w:rsidRPr="001708B9">
        <w:rPr>
          <w:rFonts w:ascii="Palatino Linotype" w:eastAsia="Times New Roman" w:hAnsi="Palatino Linotype"/>
          <w:b/>
          <w:bCs/>
          <w:spacing w:val="60"/>
          <w:sz w:val="28"/>
          <w:lang w:val="es-ES"/>
        </w:rPr>
        <w:t>SE    RESUELVE</w:t>
      </w:r>
    </w:p>
    <w:p w14:paraId="7A8AA02A" w14:textId="3731A18D" w:rsidR="00E168CB" w:rsidRPr="00822C7B" w:rsidRDefault="00E168CB" w:rsidP="00822C7B">
      <w:pPr>
        <w:spacing w:before="240" w:after="240" w:line="360" w:lineRule="auto"/>
        <w:jc w:val="both"/>
        <w:divId w:val="689375240"/>
        <w:rPr>
          <w:rFonts w:ascii="Palatino Linotype" w:hAnsi="Palatino Linotype" w:cs="Arial"/>
          <w:sz w:val="24"/>
          <w:szCs w:val="24"/>
          <w:lang w:val="es-ES"/>
        </w:rPr>
      </w:pPr>
      <w:r w:rsidRPr="001708B9">
        <w:rPr>
          <w:rFonts w:ascii="Palatino Linotype" w:hAnsi="Palatino Linotype" w:cs="Arial"/>
          <w:b/>
          <w:sz w:val="28"/>
          <w:szCs w:val="28"/>
          <w:lang w:val="es-ES"/>
        </w:rPr>
        <w:t>PRIMERO.</w:t>
      </w:r>
      <w:r w:rsidRPr="001708B9">
        <w:rPr>
          <w:rFonts w:ascii="Palatino Linotype" w:hAnsi="Palatino Linotype" w:cs="Arial"/>
          <w:lang w:val="es-ES"/>
        </w:rPr>
        <w:t xml:space="preserve"> </w:t>
      </w:r>
      <w:r w:rsidR="00822C7B" w:rsidRPr="00822C7B">
        <w:rPr>
          <w:rFonts w:ascii="Palatino Linotype" w:hAnsi="Palatino Linotype" w:cs="Arial"/>
          <w:sz w:val="24"/>
          <w:szCs w:val="24"/>
          <w:lang w:val="es-ES"/>
        </w:rPr>
        <w:t xml:space="preserve">Se </w:t>
      </w:r>
      <w:r w:rsidR="00064CC1">
        <w:rPr>
          <w:rFonts w:ascii="Palatino Linotype" w:hAnsi="Palatino Linotype" w:cs="Arial"/>
          <w:b/>
          <w:bCs/>
          <w:sz w:val="24"/>
          <w:szCs w:val="24"/>
          <w:lang w:val="es-ES"/>
        </w:rPr>
        <w:t>SOBRESEE</w:t>
      </w:r>
      <w:r w:rsidR="00822C7B" w:rsidRPr="00822C7B">
        <w:rPr>
          <w:rFonts w:ascii="Palatino Linotype" w:hAnsi="Palatino Linotype" w:cs="Arial"/>
          <w:sz w:val="24"/>
          <w:szCs w:val="24"/>
          <w:lang w:val="es-ES"/>
        </w:rPr>
        <w:t xml:space="preserve"> el recurso de revisión número</w:t>
      </w:r>
      <w:r w:rsidR="00822C7B">
        <w:rPr>
          <w:rFonts w:ascii="Palatino Linotype" w:hAnsi="Palatino Linotype" w:cs="Arial"/>
          <w:sz w:val="24"/>
          <w:szCs w:val="24"/>
          <w:lang w:val="es-ES"/>
        </w:rPr>
        <w:t xml:space="preserve"> </w:t>
      </w:r>
      <w:r w:rsidR="00822C7B" w:rsidRPr="00822C7B">
        <w:rPr>
          <w:rFonts w:ascii="Palatino Linotype" w:hAnsi="Palatino Linotype" w:cs="Arial"/>
          <w:b/>
          <w:bCs/>
          <w:sz w:val="24"/>
          <w:szCs w:val="24"/>
          <w:lang w:val="es-ES"/>
        </w:rPr>
        <w:t>05</w:t>
      </w:r>
      <w:r w:rsidR="002824AE">
        <w:rPr>
          <w:rFonts w:ascii="Palatino Linotype" w:hAnsi="Palatino Linotype" w:cs="Arial"/>
          <w:b/>
          <w:bCs/>
          <w:sz w:val="24"/>
          <w:szCs w:val="24"/>
          <w:lang w:val="es-ES"/>
        </w:rPr>
        <w:t>72</w:t>
      </w:r>
      <w:r w:rsidR="00822C7B" w:rsidRPr="00822C7B">
        <w:rPr>
          <w:rFonts w:ascii="Palatino Linotype" w:hAnsi="Palatino Linotype" w:cs="Arial"/>
          <w:b/>
          <w:bCs/>
          <w:sz w:val="24"/>
          <w:szCs w:val="24"/>
          <w:lang w:val="es-ES"/>
        </w:rPr>
        <w:t>5/INFOEM/IP/RR/2021</w:t>
      </w:r>
      <w:r w:rsidR="00822C7B" w:rsidRPr="00822C7B">
        <w:rPr>
          <w:rFonts w:ascii="Palatino Linotype" w:hAnsi="Palatino Linotype" w:cs="Arial"/>
          <w:sz w:val="24"/>
          <w:szCs w:val="24"/>
          <w:lang w:val="es-ES"/>
        </w:rPr>
        <w:t xml:space="preserve">, por haberse desistido expresamente </w:t>
      </w:r>
      <w:r w:rsidR="00822C7B">
        <w:rPr>
          <w:rFonts w:ascii="Palatino Linotype" w:hAnsi="Palatino Linotype" w:cs="Arial"/>
          <w:sz w:val="24"/>
          <w:szCs w:val="24"/>
          <w:lang w:val="es-ES"/>
        </w:rPr>
        <w:t>la parte</w:t>
      </w:r>
      <w:r w:rsidR="002824AE">
        <w:rPr>
          <w:rFonts w:ascii="Palatino Linotype" w:hAnsi="Palatino Linotype" w:cs="Arial"/>
          <w:sz w:val="24"/>
          <w:szCs w:val="24"/>
          <w:lang w:val="es-ES"/>
        </w:rPr>
        <w:t xml:space="preserve"> Recurrente</w:t>
      </w:r>
      <w:r w:rsidR="00822C7B" w:rsidRPr="00822C7B">
        <w:rPr>
          <w:rFonts w:ascii="Palatino Linotype" w:hAnsi="Palatino Linotype" w:cs="Arial"/>
          <w:sz w:val="24"/>
          <w:szCs w:val="24"/>
          <w:lang w:val="es-ES"/>
        </w:rPr>
        <w:t>,</w:t>
      </w:r>
      <w:r w:rsidR="00822C7B">
        <w:rPr>
          <w:rFonts w:ascii="Palatino Linotype" w:hAnsi="Palatino Linotype" w:cs="Arial"/>
          <w:sz w:val="24"/>
          <w:szCs w:val="24"/>
          <w:lang w:val="es-ES"/>
        </w:rPr>
        <w:t xml:space="preserve"> </w:t>
      </w:r>
      <w:r w:rsidR="00822C7B" w:rsidRPr="00822C7B">
        <w:rPr>
          <w:rFonts w:ascii="Palatino Linotype" w:hAnsi="Palatino Linotype" w:cs="Arial"/>
          <w:sz w:val="24"/>
          <w:szCs w:val="24"/>
          <w:lang w:val="es-ES"/>
        </w:rPr>
        <w:t xml:space="preserve">en términos del Considerando </w:t>
      </w:r>
      <w:r w:rsidR="00822C7B">
        <w:rPr>
          <w:rFonts w:ascii="Palatino Linotype" w:hAnsi="Palatino Linotype" w:cs="Arial"/>
          <w:sz w:val="24"/>
          <w:szCs w:val="24"/>
          <w:lang w:val="es-ES"/>
        </w:rPr>
        <w:t>Tercero</w:t>
      </w:r>
      <w:r w:rsidR="00822C7B" w:rsidRPr="00822C7B">
        <w:rPr>
          <w:rFonts w:ascii="Palatino Linotype" w:hAnsi="Palatino Linotype" w:cs="Arial"/>
          <w:sz w:val="24"/>
          <w:szCs w:val="24"/>
          <w:lang w:val="es-ES"/>
        </w:rPr>
        <w:t xml:space="preserve"> de la presente resolución.</w:t>
      </w:r>
    </w:p>
    <w:p w14:paraId="332F6817" w14:textId="77777777" w:rsidR="00E168CB" w:rsidRPr="001708B9" w:rsidRDefault="00E168CB" w:rsidP="00E168CB">
      <w:pPr>
        <w:spacing w:before="240" w:after="240" w:line="360" w:lineRule="auto"/>
        <w:ind w:right="333"/>
        <w:jc w:val="both"/>
        <w:divId w:val="689375240"/>
        <w:rPr>
          <w:rFonts w:ascii="Palatino Linotype" w:hAnsi="Palatino Linotype" w:cs="Arial"/>
          <w:b/>
          <w:sz w:val="24"/>
          <w:lang w:val="es-ES"/>
        </w:rPr>
      </w:pPr>
      <w:r w:rsidRPr="001708B9">
        <w:rPr>
          <w:rFonts w:ascii="Palatino Linotype" w:hAnsi="Palatino Linotype"/>
          <w:b/>
          <w:sz w:val="28"/>
          <w:lang w:val="es-ES"/>
        </w:rPr>
        <w:t>SEGUNDO.</w:t>
      </w:r>
      <w:r w:rsidRPr="001708B9">
        <w:rPr>
          <w:rFonts w:ascii="Palatino Linotype" w:hAnsi="Palatino Linotype" w:cs="Arial"/>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al </w:t>
      </w:r>
      <w:r w:rsidRPr="001708B9">
        <w:rPr>
          <w:rFonts w:ascii="Palatino Linotype" w:hAnsi="Palatino Linotype" w:cs="Arial"/>
          <w:b/>
          <w:sz w:val="24"/>
          <w:lang w:val="es-ES"/>
        </w:rPr>
        <w:t>Titular de la Unidad de Transparencia del Sujeto Obligado.</w:t>
      </w:r>
    </w:p>
    <w:p w14:paraId="3CB90582" w14:textId="5DBA4D30" w:rsidR="00E168CB" w:rsidRPr="002824AE" w:rsidRDefault="00E168CB" w:rsidP="002824AE">
      <w:pPr>
        <w:spacing w:before="240" w:after="240" w:line="360" w:lineRule="auto"/>
        <w:ind w:right="333"/>
        <w:jc w:val="both"/>
        <w:divId w:val="689375240"/>
        <w:rPr>
          <w:rFonts w:ascii="Palatino Linotype" w:hAnsi="Palatino Linotype" w:cs="Arial"/>
          <w:b/>
          <w:sz w:val="24"/>
          <w:lang w:val="es-ES"/>
        </w:rPr>
      </w:pPr>
      <w:r w:rsidRPr="001708B9">
        <w:rPr>
          <w:rFonts w:ascii="Palatino Linotype" w:hAnsi="Palatino Linotype" w:cs="Arial"/>
          <w:b/>
          <w:sz w:val="28"/>
          <w:szCs w:val="28"/>
          <w:lang w:val="es-ES"/>
        </w:rPr>
        <w:t>TERCERO.</w:t>
      </w:r>
      <w:r w:rsidRPr="001708B9">
        <w:rPr>
          <w:rFonts w:ascii="Palatino Linotype" w:hAnsi="Palatino Linotype" w:cs="Arial"/>
          <w:sz w:val="28"/>
          <w:szCs w:val="28"/>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 </w:t>
      </w:r>
      <w:r w:rsidR="002B66B2">
        <w:rPr>
          <w:rFonts w:ascii="Palatino Linotype" w:hAnsi="Palatino Linotype" w:cs="Arial"/>
          <w:b/>
          <w:sz w:val="24"/>
          <w:lang w:val="es-ES"/>
        </w:rPr>
        <w:t>la parte</w:t>
      </w:r>
      <w:r w:rsidRPr="001708B9">
        <w:rPr>
          <w:rFonts w:ascii="Palatino Linotype" w:hAnsi="Palatino Linotype" w:cs="Arial"/>
          <w:b/>
          <w:sz w:val="24"/>
          <w:lang w:val="es-ES"/>
        </w:rPr>
        <w:t xml:space="preserve"> Recurrente</w:t>
      </w:r>
      <w:r w:rsidR="002824AE">
        <w:rPr>
          <w:rFonts w:ascii="Palatino Linotype" w:hAnsi="Palatino Linotype" w:cs="Arial"/>
          <w:b/>
          <w:sz w:val="24"/>
          <w:lang w:val="es-ES"/>
        </w:rPr>
        <w:t xml:space="preserve"> </w:t>
      </w:r>
      <w:r w:rsidR="002824AE" w:rsidRPr="002824AE">
        <w:rPr>
          <w:rFonts w:ascii="Palatino Linotype" w:hAnsi="Palatino Linotype" w:cs="Arial"/>
          <w:bCs/>
          <w:sz w:val="24"/>
          <w:lang w:val="es-ES"/>
        </w:rPr>
        <w:t>vía Sistema de Acceso a la Información Mexiquense (SAIMEX)</w:t>
      </w:r>
      <w:r w:rsidRPr="002824AE">
        <w:rPr>
          <w:rFonts w:ascii="Palatino Linotype" w:hAnsi="Palatino Linotype" w:cs="Arial"/>
          <w:bCs/>
          <w:sz w:val="24"/>
          <w:lang w:val="es-ES"/>
        </w:rPr>
        <w:t>;</w:t>
      </w:r>
      <w:r w:rsidRPr="001708B9">
        <w:rPr>
          <w:rFonts w:ascii="Palatino Linotype" w:hAnsi="Palatino Linotype" w:cs="Arial"/>
          <w:sz w:val="24"/>
          <w:lang w:val="es-ES"/>
        </w:rPr>
        <w:t xml:space="preserve"> así mismo, </w:t>
      </w:r>
      <w:r w:rsidRPr="001708B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1708B9">
        <w:rPr>
          <w:rStyle w:val="apple-converted-space"/>
          <w:rFonts w:ascii="Palatino Linotype" w:hAnsi="Palatino Linotype"/>
          <w:color w:val="222222"/>
          <w:sz w:val="24"/>
          <w:szCs w:val="24"/>
          <w:shd w:val="clear" w:color="auto" w:fill="FFFFFF"/>
          <w:lang w:val="es-ES"/>
        </w:rPr>
        <w:t xml:space="preserve"> </w:t>
      </w:r>
      <w:r w:rsidRPr="001708B9">
        <w:rPr>
          <w:rFonts w:ascii="Palatino Linotype" w:hAnsi="Palatino Linotype"/>
          <w:color w:val="222222"/>
          <w:sz w:val="24"/>
          <w:szCs w:val="24"/>
          <w:shd w:val="clear" w:color="auto" w:fill="FFFFFF"/>
          <w:lang w:val="es-ES"/>
        </w:rPr>
        <w:t>podrá promover el Juicio de Amparo en los términos de las leyes aplicables.</w:t>
      </w:r>
    </w:p>
    <w:p w14:paraId="213943F7" w14:textId="1BAA6ADA" w:rsidR="00227201" w:rsidRDefault="00227201" w:rsidP="00227201">
      <w:pPr>
        <w:spacing w:after="0" w:line="360" w:lineRule="auto"/>
        <w:jc w:val="both"/>
        <w:divId w:val="689375240"/>
        <w:rPr>
          <w:rFonts w:ascii="Palatino Linotype" w:hAnsi="Palatino Linotype" w:cs="Arial"/>
          <w:sz w:val="24"/>
          <w:szCs w:val="24"/>
          <w:lang w:val="es-ES_tradnl"/>
        </w:rPr>
      </w:pPr>
      <w:r w:rsidRPr="00FF058E">
        <w:rPr>
          <w:rFonts w:ascii="Palatino Linotype" w:hAnsi="Palatino Linotype" w:cs="Arial"/>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Arial"/>
          <w:sz w:val="24"/>
          <w:szCs w:val="24"/>
          <w:lang w:val="es-ES_tradnl"/>
        </w:rPr>
        <w:t xml:space="preserve"> CON AUSENCIA JUSTIFICADA</w:t>
      </w:r>
      <w:r w:rsidRPr="00FF058E">
        <w:rPr>
          <w:rFonts w:ascii="Palatino Linotype" w:hAnsi="Palatino Linotype" w:cs="Arial"/>
          <w:sz w:val="24"/>
          <w:szCs w:val="24"/>
          <w:lang w:val="es-ES_tradnl"/>
        </w:rPr>
        <w:t>, LUIS GUSTAVO PARRA NORIEGA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Y GUADALUPE RAMÍREZ PEÑA; EN LA </w:t>
      </w:r>
      <w:r>
        <w:rPr>
          <w:rFonts w:ascii="Palatino Linotype" w:hAnsi="Palatino Linotype" w:cs="Arial"/>
          <w:sz w:val="24"/>
          <w:szCs w:val="24"/>
          <w:lang w:val="es-ES_tradnl"/>
        </w:rPr>
        <w:t xml:space="preserve">SEGUNDA </w:t>
      </w:r>
      <w:r w:rsidRPr="00FF058E">
        <w:rPr>
          <w:rFonts w:ascii="Palatino Linotype" w:hAnsi="Palatino Linotype" w:cs="Arial"/>
          <w:sz w:val="24"/>
          <w:szCs w:val="24"/>
          <w:lang w:val="es-ES_tradnl"/>
        </w:rPr>
        <w:t xml:space="preserve">SESIÓN ORDINARIA CELEBRADA EL </w:t>
      </w:r>
      <w:r>
        <w:rPr>
          <w:rFonts w:ascii="Palatino Linotype" w:hAnsi="Palatino Linotype" w:cs="Arial"/>
          <w:sz w:val="24"/>
          <w:szCs w:val="24"/>
          <w:lang w:val="es-ES_tradnl"/>
        </w:rPr>
        <w:t>DIECINUEVE DE ENERO</w:t>
      </w:r>
      <w:r w:rsidRPr="00FF058E">
        <w:rPr>
          <w:rFonts w:ascii="Palatino Linotype" w:hAnsi="Palatino Linotype" w:cs="Arial"/>
          <w:sz w:val="24"/>
          <w:szCs w:val="24"/>
          <w:lang w:val="es-ES_tradnl"/>
        </w:rPr>
        <w:t xml:space="preserve"> DE DOS MIL VEINT</w:t>
      </w:r>
      <w:r>
        <w:rPr>
          <w:rFonts w:ascii="Palatino Linotype" w:hAnsi="Palatino Linotype" w:cs="Arial"/>
          <w:sz w:val="24"/>
          <w:szCs w:val="24"/>
          <w:lang w:val="es-ES_tradnl"/>
        </w:rPr>
        <w:t>IDÓS</w:t>
      </w:r>
      <w:r w:rsidRPr="00FF058E">
        <w:rPr>
          <w:rFonts w:ascii="Palatino Linotype" w:hAnsi="Palatino Linotype" w:cs="Arial"/>
          <w:sz w:val="24"/>
          <w:szCs w:val="24"/>
          <w:lang w:val="es-ES_tradnl"/>
        </w:rPr>
        <w:t>, ANTE EL SECRETARIO TÉCNICO DEL PLENO, ALEXIS TAPIA RAMÍREZ.------------------------------------------------------------------------------------------------------------------------------------------------------------------------------------------------------------------------------------------------------------------------------</w:t>
      </w:r>
      <w:r w:rsidR="008331F3" w:rsidRPr="008331F3">
        <w:rPr>
          <w:rFonts w:ascii="Palatino Linotype" w:hAnsi="Palatino Linotype" w:cs="Arial"/>
          <w:sz w:val="24"/>
          <w:szCs w:val="24"/>
          <w:lang w:val="es-ES_tradnl"/>
        </w:rPr>
        <w:t xml:space="preserve"> </w:t>
      </w:r>
      <w:r w:rsidR="008331F3" w:rsidRPr="00FF058E">
        <w:rPr>
          <w:rFonts w:ascii="Palatino Linotype" w:hAnsi="Palatino Linotype" w:cs="Arial"/>
          <w:sz w:val="24"/>
          <w:szCs w:val="24"/>
          <w:lang w:val="es-ES_tradnl"/>
        </w:rPr>
        <w:t>------------------------------------------------------------------------------------------------------------------------------------------------------------------------------------------------------------------------------------------------------------------------------------------------------------------------------------------------------------------------------------------------------------------------------------------------------------------------------------------------------------------------------------------------------------------------------------------------------------------------------------------------------------------------------------------------------------------------------------------------------------------------------------------------------------------------------------------------------------------------------------------------------------------------------------------------------------------------------------------------------------------------------------------------------------------------------------------------------------------------------------------------------------------------------------------------------------------------------------------------------------------------------------------------------------------------------------------------------------------------------------------------------------</w:t>
      </w:r>
    </w:p>
    <w:p w14:paraId="2CF124C3" w14:textId="060C20ED" w:rsidR="00227201" w:rsidRDefault="00227201" w:rsidP="00227201">
      <w:pPr>
        <w:spacing w:after="0" w:line="360" w:lineRule="auto"/>
        <w:jc w:val="both"/>
        <w:divId w:val="689375240"/>
        <w:rPr>
          <w:rFonts w:ascii="Palatino Linotype" w:hAnsi="Palatino Linotype" w:cs="Arial"/>
          <w:sz w:val="18"/>
          <w:szCs w:val="18"/>
          <w:lang w:val="es-ES_tradnl"/>
        </w:rPr>
      </w:pPr>
      <w:r w:rsidRPr="00154CC5">
        <w:rPr>
          <w:rFonts w:ascii="Palatino Linotype" w:hAnsi="Palatino Linotype" w:cs="Arial"/>
          <w:sz w:val="18"/>
          <w:szCs w:val="18"/>
          <w:lang w:val="es-ES_tradnl"/>
        </w:rPr>
        <w:t>JMV/CCR/MAEM</w:t>
      </w:r>
    </w:p>
    <w:p w14:paraId="1A57CF42" w14:textId="77777777" w:rsidR="008331F3" w:rsidRDefault="008331F3" w:rsidP="00227201">
      <w:pPr>
        <w:spacing w:after="0" w:line="360" w:lineRule="auto"/>
        <w:jc w:val="both"/>
        <w:divId w:val="689375240"/>
        <w:rPr>
          <w:rFonts w:ascii="Palatino Linotype" w:hAnsi="Palatino Linotype" w:cs="Arial"/>
          <w:sz w:val="18"/>
          <w:szCs w:val="18"/>
          <w:lang w:val="es-ES_tradnl"/>
        </w:rPr>
      </w:pPr>
    </w:p>
    <w:p w14:paraId="5A2C9589" w14:textId="57E95A29" w:rsidR="00DD13E2" w:rsidRPr="00B3134F" w:rsidRDefault="00DD13E2" w:rsidP="00227201">
      <w:pPr>
        <w:spacing w:after="0" w:line="360" w:lineRule="auto"/>
        <w:jc w:val="both"/>
        <w:divId w:val="689375240"/>
        <w:rPr>
          <w:lang w:val="es-ES"/>
        </w:rPr>
      </w:pPr>
    </w:p>
    <w:sectPr w:rsidR="00DD13E2" w:rsidRPr="00B3134F"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23FD8" w14:textId="77777777" w:rsidR="00F43298" w:rsidRDefault="00F43298" w:rsidP="00E15E85">
      <w:pPr>
        <w:spacing w:after="0" w:line="240" w:lineRule="auto"/>
      </w:pPr>
      <w:r>
        <w:separator/>
      </w:r>
    </w:p>
  </w:endnote>
  <w:endnote w:type="continuationSeparator" w:id="0">
    <w:p w14:paraId="29AD9FE4" w14:textId="77777777" w:rsidR="00F43298" w:rsidRDefault="00F43298"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5B30">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5B30">
      <w:rPr>
        <w:rFonts w:ascii="Palatino Linotype" w:hAnsi="Palatino Linotype"/>
        <w:bCs/>
        <w:noProof/>
        <w:sz w:val="20"/>
      </w:rPr>
      <w:t>11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5B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5B30">
      <w:rPr>
        <w:rFonts w:ascii="Palatino Linotype" w:hAnsi="Palatino Linotype"/>
        <w:bCs/>
        <w:noProof/>
        <w:sz w:val="20"/>
      </w:rPr>
      <w:t>11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2365D" w14:textId="77777777" w:rsidR="00F43298" w:rsidRDefault="00F43298" w:rsidP="00E15E85">
      <w:pPr>
        <w:spacing w:after="0" w:line="240" w:lineRule="auto"/>
      </w:pPr>
      <w:r>
        <w:separator/>
      </w:r>
    </w:p>
  </w:footnote>
  <w:footnote w:type="continuationSeparator" w:id="0">
    <w:p w14:paraId="55A0ECF2" w14:textId="77777777" w:rsidR="00F43298" w:rsidRDefault="00F43298" w:rsidP="00E15E85">
      <w:pPr>
        <w:spacing w:after="0" w:line="240" w:lineRule="auto"/>
      </w:pPr>
      <w:r>
        <w:continuationSeparator/>
      </w:r>
    </w:p>
  </w:footnote>
  <w:footnote w:id="1">
    <w:p w14:paraId="348390D2" w14:textId="77777777" w:rsidR="001D1180" w:rsidRPr="001D1180" w:rsidRDefault="001D1180" w:rsidP="001D1180">
      <w:pPr>
        <w:pStyle w:val="Textonotapie"/>
        <w:spacing w:line="276" w:lineRule="auto"/>
        <w:jc w:val="both"/>
        <w:rPr>
          <w:rFonts w:ascii="Palatino Linotype" w:hAnsi="Palatino Linotype"/>
          <w:b/>
          <w:bCs/>
          <w:i/>
          <w:iCs/>
          <w:sz w:val="16"/>
          <w:szCs w:val="16"/>
        </w:rPr>
      </w:pPr>
      <w:r w:rsidRPr="001D1180">
        <w:rPr>
          <w:rStyle w:val="Refdenotaalpie"/>
          <w:rFonts w:ascii="Palatino Linotype" w:hAnsi="Palatino Linotype"/>
          <w:b/>
          <w:bCs/>
        </w:rPr>
        <w:footnoteRef/>
      </w:r>
      <w:r w:rsidRPr="001D1180">
        <w:rPr>
          <w:rFonts w:ascii="Palatino Linotype" w:hAnsi="Palatino Linotype"/>
          <w:b/>
          <w:bCs/>
        </w:rPr>
        <w:t xml:space="preserve"> I</w:t>
      </w:r>
      <w:r w:rsidRPr="001D1180">
        <w:rPr>
          <w:rFonts w:ascii="Palatino Linotype" w:hAnsi="Palatino Linotype"/>
          <w:b/>
          <w:bCs/>
          <w:i/>
          <w:iCs/>
          <w:sz w:val="16"/>
          <w:szCs w:val="16"/>
        </w:rPr>
        <w:t>MPROCEDENCIA Y SOBRESEIMIENTO EN EL JUICIO DE AMPARO. LAS CAUSAS PREVISTAS EN LOS ARTÍCULOS 73</w:t>
      </w:r>
    </w:p>
    <w:p w14:paraId="36578954" w14:textId="77777777" w:rsidR="001D1180" w:rsidRPr="001D1180" w:rsidRDefault="001D1180" w:rsidP="001D1180">
      <w:pPr>
        <w:pStyle w:val="Textonotapie"/>
        <w:spacing w:line="276" w:lineRule="auto"/>
        <w:jc w:val="both"/>
        <w:rPr>
          <w:rFonts w:ascii="Palatino Linotype" w:hAnsi="Palatino Linotype"/>
          <w:b/>
          <w:bCs/>
          <w:i/>
          <w:iCs/>
          <w:sz w:val="16"/>
          <w:szCs w:val="16"/>
        </w:rPr>
      </w:pPr>
      <w:r w:rsidRPr="001D1180">
        <w:rPr>
          <w:rFonts w:ascii="Palatino Linotype" w:hAnsi="Palatino Linotype"/>
          <w:b/>
          <w:bCs/>
          <w:i/>
          <w:iCs/>
          <w:sz w:val="16"/>
          <w:szCs w:val="16"/>
        </w:rPr>
        <w:t>Y 74 DE LA LEY DE LA MATERIA, RESPECTIVAMENTE, NO SON INCOMPATIBLES CON EL ARTÍCULO 25.1 DE LA</w:t>
      </w:r>
    </w:p>
    <w:p w14:paraId="573C2877" w14:textId="77777777" w:rsidR="001D1180" w:rsidRPr="001D1180" w:rsidRDefault="001D1180" w:rsidP="001D1180">
      <w:pPr>
        <w:pStyle w:val="Textonotapie"/>
        <w:spacing w:line="276" w:lineRule="auto"/>
        <w:jc w:val="both"/>
        <w:rPr>
          <w:rFonts w:ascii="Palatino Linotype" w:hAnsi="Palatino Linotype"/>
          <w:b/>
          <w:bCs/>
          <w:i/>
          <w:iCs/>
          <w:sz w:val="16"/>
          <w:szCs w:val="16"/>
        </w:rPr>
      </w:pPr>
      <w:r w:rsidRPr="001D1180">
        <w:rPr>
          <w:rFonts w:ascii="Palatino Linotype" w:hAnsi="Palatino Linotype"/>
          <w:b/>
          <w:bCs/>
          <w:i/>
          <w:iCs/>
          <w:sz w:val="16"/>
          <w:szCs w:val="16"/>
        </w:rPr>
        <w:t>CONVENCIÓN AMERICANA SOBRE DERECHOS HUMANOS.</w:t>
      </w:r>
    </w:p>
    <w:p w14:paraId="4A613618" w14:textId="77777777" w:rsidR="001D1180" w:rsidRPr="001D1180" w:rsidRDefault="001D1180" w:rsidP="001D1180">
      <w:pPr>
        <w:pStyle w:val="Textonotapie"/>
        <w:spacing w:line="276" w:lineRule="auto"/>
        <w:jc w:val="both"/>
        <w:rPr>
          <w:rFonts w:ascii="Palatino Linotype" w:hAnsi="Palatino Linotype"/>
          <w:i/>
          <w:iCs/>
          <w:sz w:val="16"/>
          <w:szCs w:val="16"/>
        </w:rPr>
      </w:pPr>
    </w:p>
    <w:p w14:paraId="2F9A9A85" w14:textId="0966DE0C" w:rsidR="001D1180" w:rsidRPr="001D1180" w:rsidRDefault="001D1180" w:rsidP="001D1180">
      <w:pPr>
        <w:pStyle w:val="Textonotapie"/>
        <w:spacing w:line="276" w:lineRule="auto"/>
        <w:jc w:val="both"/>
      </w:pPr>
      <w:r w:rsidRPr="001D1180">
        <w:rPr>
          <w:rFonts w:ascii="Palatino Linotype" w:hAnsi="Palatino Linotype"/>
          <w:i/>
          <w:iCs/>
          <w:sz w:val="16"/>
          <w:szCs w:val="16"/>
        </w:rPr>
        <w:t>Del examen de compatibilidad de los artículos 73 y 74 de la Ley de Amparo con el artículo 25.1 de la Convención Americana sobre Derechos Humanos no se advierte que el derecho interno desatienda los estándares que pretenden proteger los derechos humanos en dicho tratado, por regular causas de improcedencia y sobreseimiento que impiden abordar el estudio de fondo del asunto en el juicio de amparo,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E07AC0E" w14:textId="15742A15" w:rsidR="00822C7B" w:rsidRPr="00822C7B" w:rsidRDefault="00822C7B" w:rsidP="00822C7B">
      <w:pPr>
        <w:pStyle w:val="Textonotapie"/>
        <w:spacing w:line="276" w:lineRule="auto"/>
        <w:jc w:val="both"/>
        <w:rPr>
          <w:rFonts w:ascii="Palatino Linotype" w:hAnsi="Palatino Linotype"/>
          <w:i/>
          <w:iCs/>
          <w:sz w:val="18"/>
          <w:szCs w:val="18"/>
        </w:rPr>
      </w:pPr>
      <w:r w:rsidRPr="00822C7B">
        <w:rPr>
          <w:rStyle w:val="Refdenotaalpie"/>
          <w:rFonts w:ascii="Palatino Linotype" w:hAnsi="Palatino Linotype"/>
          <w:i/>
          <w:iCs/>
          <w:sz w:val="18"/>
          <w:szCs w:val="18"/>
        </w:rPr>
        <w:footnoteRef/>
      </w:r>
      <w:r w:rsidRPr="00822C7B">
        <w:rPr>
          <w:rFonts w:ascii="Palatino Linotype" w:hAnsi="Palatino Linotype"/>
          <w:i/>
          <w:iCs/>
          <w:sz w:val="18"/>
          <w:szCs w:val="18"/>
        </w:rPr>
        <w:t xml:space="preserve"> La Legitimación procesal, es la facultad de poder actuar en el proceso [sea como actor (activa)</w:t>
      </w:r>
      <w:r>
        <w:rPr>
          <w:rFonts w:ascii="Palatino Linotype" w:hAnsi="Palatino Linotype"/>
          <w:i/>
          <w:iCs/>
          <w:sz w:val="18"/>
          <w:szCs w:val="18"/>
        </w:rPr>
        <w:t xml:space="preserve">, </w:t>
      </w:r>
      <w:r w:rsidRPr="00822C7B">
        <w:rPr>
          <w:rFonts w:ascii="Palatino Linotype" w:hAnsi="Palatino Linotype"/>
          <w:i/>
          <w:iCs/>
          <w:sz w:val="18"/>
          <w:szCs w:val="18"/>
        </w:rPr>
        <w:t>demandado o tercero (pasivas)]; es la idoneidad de la persona para actuar en juicio, inferida de</w:t>
      </w:r>
      <w:r>
        <w:rPr>
          <w:rFonts w:ascii="Palatino Linotype" w:hAnsi="Palatino Linotype"/>
          <w:i/>
          <w:iCs/>
          <w:sz w:val="18"/>
          <w:szCs w:val="18"/>
        </w:rPr>
        <w:t xml:space="preserve"> </w:t>
      </w:r>
      <w:r w:rsidRPr="00822C7B">
        <w:rPr>
          <w:rFonts w:ascii="Palatino Linotype" w:hAnsi="Palatino Linotype"/>
          <w:i/>
          <w:iCs/>
          <w:sz w:val="18"/>
          <w:szCs w:val="18"/>
        </w:rPr>
        <w:t>su posición en el procedimiento. “La Legitimación Procesal”, Biblioteca de Jurídica del</w:t>
      </w:r>
      <w:r>
        <w:rPr>
          <w:rFonts w:ascii="Palatino Linotype" w:hAnsi="Palatino Linotype"/>
          <w:i/>
          <w:iCs/>
          <w:sz w:val="18"/>
          <w:szCs w:val="18"/>
        </w:rPr>
        <w:t xml:space="preserve"> </w:t>
      </w:r>
      <w:r w:rsidRPr="00822C7B">
        <w:rPr>
          <w:rFonts w:ascii="Palatino Linotype" w:hAnsi="Palatino Linotype"/>
          <w:i/>
          <w:iCs/>
          <w:sz w:val="18"/>
          <w:szCs w:val="18"/>
        </w:rPr>
        <w:t>Instituto de Investigaciones Jurídicas de la UNAM, consultable el 29/08/2017, en el siguiente</w:t>
      </w:r>
      <w:r>
        <w:rPr>
          <w:rFonts w:ascii="Palatino Linotype" w:hAnsi="Palatino Linotype"/>
          <w:i/>
          <w:iCs/>
          <w:sz w:val="18"/>
          <w:szCs w:val="18"/>
        </w:rPr>
        <w:t xml:space="preserve"> </w:t>
      </w:r>
      <w:r w:rsidRPr="00822C7B">
        <w:rPr>
          <w:rFonts w:ascii="Palatino Linotype" w:hAnsi="Palatino Linotype"/>
          <w:i/>
          <w:iCs/>
          <w:sz w:val="18"/>
          <w:szCs w:val="18"/>
        </w:rPr>
        <w:t>enlace: https://archivos.juridicas.unam.mx/www/bjv/libros/7/3496/18.pdf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094ECA4A" w:rsidR="00E15E85" w:rsidRDefault="00227201">
    <w:pPr>
      <w:pStyle w:val="Encabezado"/>
    </w:pPr>
    <w:r>
      <w:rPr>
        <w:noProof/>
        <w:lang w:val="es-MX" w:eastAsia="es-MX"/>
      </w:rPr>
      <w:drawing>
        <wp:anchor distT="0" distB="0" distL="114300" distR="114300" simplePos="0" relativeHeight="251661312" behindDoc="1" locked="0" layoutInCell="0" allowOverlap="1" wp14:anchorId="58B0941A" wp14:editId="591F2C99">
          <wp:simplePos x="0" y="0"/>
          <wp:positionH relativeFrom="margin">
            <wp:posOffset>-1344207</wp:posOffset>
          </wp:positionH>
          <wp:positionV relativeFrom="margin">
            <wp:posOffset>-1586865</wp:posOffset>
          </wp:positionV>
          <wp:extent cx="7739380" cy="10080625"/>
          <wp:effectExtent l="0" t="0" r="0" b="3175"/>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tbl>
    <w:tblPr>
      <w:tblW w:w="10632" w:type="dxa"/>
      <w:tblInd w:w="-851" w:type="dxa"/>
      <w:tblCellMar>
        <w:left w:w="70" w:type="dxa"/>
        <w:right w:w="70" w:type="dxa"/>
      </w:tblCellMar>
      <w:tblLook w:val="04A0" w:firstRow="1" w:lastRow="0" w:firstColumn="1" w:lastColumn="0" w:noHBand="0" w:noVBand="1"/>
    </w:tblPr>
    <w:tblGrid>
      <w:gridCol w:w="5246"/>
      <w:gridCol w:w="5386"/>
    </w:tblGrid>
    <w:tr w:rsidR="00E15E85" w14:paraId="6CAB856C" w14:textId="77777777" w:rsidTr="00227201">
      <w:trPr>
        <w:trHeight w:val="227"/>
      </w:trPr>
      <w:tc>
        <w:tcPr>
          <w:tcW w:w="5246" w:type="dxa"/>
          <w:hideMark/>
        </w:tcPr>
        <w:p w14:paraId="623AEC53" w14:textId="7841A473"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345905B3"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891C09">
            <w:rPr>
              <w:rFonts w:ascii="Palatino Linotype" w:hAnsi="Palatino Linotype" w:cs="Arial"/>
              <w:bCs/>
              <w:sz w:val="24"/>
              <w:lang w:eastAsia="es-MX"/>
            </w:rPr>
            <w:t>5725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227201">
      <w:trPr>
        <w:trHeight w:val="242"/>
      </w:trPr>
      <w:tc>
        <w:tcPr>
          <w:tcW w:w="5246"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13B97ED3" w:rsidR="00E15E85" w:rsidRDefault="00891C09" w:rsidP="007444C8">
          <w:pPr>
            <w:spacing w:after="120" w:line="256" w:lineRule="auto"/>
            <w:ind w:left="-486" w:right="214" w:firstLine="284"/>
            <w:jc w:val="right"/>
            <w:rPr>
              <w:rFonts w:ascii="Palatino Linotype" w:hAnsi="Palatino Linotype" w:cs="Arial"/>
              <w:szCs w:val="20"/>
            </w:rPr>
          </w:pPr>
          <w:r w:rsidRPr="00891C09">
            <w:rPr>
              <w:rFonts w:ascii="Palatino Linotype" w:hAnsi="Palatino Linotype" w:cs="Arial"/>
              <w:szCs w:val="20"/>
            </w:rPr>
            <w:t>Ayuntamiento de Nezahualcóyotl</w:t>
          </w:r>
        </w:p>
      </w:tc>
    </w:tr>
    <w:tr w:rsidR="00E15E85" w14:paraId="5435A98B" w14:textId="77777777" w:rsidTr="00227201">
      <w:trPr>
        <w:trHeight w:val="342"/>
      </w:trPr>
      <w:tc>
        <w:tcPr>
          <w:tcW w:w="5246"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Layout w:type="fixed"/>
      <w:tblCellMar>
        <w:left w:w="70" w:type="dxa"/>
        <w:right w:w="70" w:type="dxa"/>
      </w:tblCellMar>
      <w:tblLook w:val="04A0" w:firstRow="1" w:lastRow="0" w:firstColumn="1" w:lastColumn="0" w:noHBand="0" w:noVBand="1"/>
    </w:tblPr>
    <w:tblGrid>
      <w:gridCol w:w="5246"/>
      <w:gridCol w:w="5386"/>
    </w:tblGrid>
    <w:tr w:rsidR="00E15E85" w14:paraId="5AB28EE3" w14:textId="77777777" w:rsidTr="00227201">
      <w:trPr>
        <w:trHeight w:val="227"/>
      </w:trPr>
      <w:tc>
        <w:tcPr>
          <w:tcW w:w="5246" w:type="dxa"/>
          <w:hideMark/>
        </w:tcPr>
        <w:p w14:paraId="20B35CA9" w14:textId="0E71119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480F66A4"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891C09">
            <w:rPr>
              <w:rFonts w:ascii="Palatino Linotype" w:hAnsi="Palatino Linotype" w:cs="Arial"/>
              <w:bCs/>
              <w:sz w:val="24"/>
              <w:lang w:eastAsia="es-MX"/>
            </w:rPr>
            <w:t>5725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227201">
      <w:trPr>
        <w:trHeight w:val="196"/>
      </w:trPr>
      <w:tc>
        <w:tcPr>
          <w:tcW w:w="5246"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217945F2" w:rsidR="00E15E85" w:rsidRPr="00F06FED" w:rsidRDefault="00E323EE"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w:t>
          </w:r>
          <w:proofErr w:type="spellEnd"/>
        </w:p>
      </w:tc>
    </w:tr>
    <w:tr w:rsidR="00E15E85" w14:paraId="3AA51E97" w14:textId="77777777" w:rsidTr="00227201">
      <w:trPr>
        <w:trHeight w:val="242"/>
      </w:trPr>
      <w:tc>
        <w:tcPr>
          <w:tcW w:w="5246"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4DFDD646" w:rsidR="00E15E85" w:rsidRDefault="00891C09" w:rsidP="007444C8">
          <w:pPr>
            <w:spacing w:after="120" w:line="256" w:lineRule="auto"/>
            <w:ind w:left="-495" w:right="214" w:firstLine="567"/>
            <w:jc w:val="right"/>
            <w:rPr>
              <w:rFonts w:ascii="Palatino Linotype" w:hAnsi="Palatino Linotype" w:cs="Arial"/>
              <w:szCs w:val="20"/>
            </w:rPr>
          </w:pPr>
          <w:r w:rsidRPr="00891C09">
            <w:rPr>
              <w:rFonts w:ascii="Palatino Linotype" w:hAnsi="Palatino Linotype" w:cs="Arial"/>
              <w:szCs w:val="20"/>
            </w:rPr>
            <w:t>Ayuntamiento de Nezahualcóyotl</w:t>
          </w:r>
        </w:p>
      </w:tc>
    </w:tr>
    <w:tr w:rsidR="00E15E85" w14:paraId="4B575BC9" w14:textId="77777777" w:rsidTr="00227201">
      <w:trPr>
        <w:trHeight w:val="342"/>
      </w:trPr>
      <w:tc>
        <w:tcPr>
          <w:tcW w:w="5246"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22BC5739" w:rsidR="00E15E85" w:rsidRDefault="00227201">
    <w:pPr>
      <w:pStyle w:val="Encabezado"/>
    </w:pPr>
    <w:r>
      <w:rPr>
        <w:noProof/>
        <w:lang w:val="es-MX" w:eastAsia="es-MX"/>
      </w:rPr>
      <w:drawing>
        <wp:anchor distT="0" distB="0" distL="114300" distR="114300" simplePos="0" relativeHeight="251659264" behindDoc="1" locked="0" layoutInCell="0" allowOverlap="1" wp14:anchorId="6371CF2C" wp14:editId="31AAF824">
          <wp:simplePos x="0" y="0"/>
          <wp:positionH relativeFrom="margin">
            <wp:posOffset>-1344697</wp:posOffset>
          </wp:positionH>
          <wp:positionV relativeFrom="margin">
            <wp:posOffset>-1678635</wp:posOffset>
          </wp:positionV>
          <wp:extent cx="7739380" cy="10080625"/>
          <wp:effectExtent l="0" t="0" r="0" b="3175"/>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4">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7">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9"/>
  </w:num>
  <w:num w:numId="2">
    <w:abstractNumId w:val="20"/>
  </w:num>
  <w:num w:numId="3">
    <w:abstractNumId w:val="4"/>
  </w:num>
  <w:num w:numId="4">
    <w:abstractNumId w:val="26"/>
  </w:num>
  <w:num w:numId="5">
    <w:abstractNumId w:val="21"/>
  </w:num>
  <w:num w:numId="6">
    <w:abstractNumId w:val="13"/>
  </w:num>
  <w:num w:numId="7">
    <w:abstractNumId w:val="15"/>
  </w:num>
  <w:num w:numId="8">
    <w:abstractNumId w:val="19"/>
  </w:num>
  <w:num w:numId="9">
    <w:abstractNumId w:val="27"/>
  </w:num>
  <w:num w:numId="10">
    <w:abstractNumId w:val="14"/>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25"/>
  </w:num>
  <w:num w:numId="14">
    <w:abstractNumId w:val="0"/>
  </w:num>
  <w:num w:numId="15">
    <w:abstractNumId w:val="10"/>
  </w:num>
  <w:num w:numId="16">
    <w:abstractNumId w:val="7"/>
  </w:num>
  <w:num w:numId="17">
    <w:abstractNumId w:val="24"/>
  </w:num>
  <w:num w:numId="18">
    <w:abstractNumId w:val="2"/>
  </w:num>
  <w:num w:numId="19">
    <w:abstractNumId w:val="22"/>
  </w:num>
  <w:num w:numId="20">
    <w:abstractNumId w:val="5"/>
  </w:num>
  <w:num w:numId="21">
    <w:abstractNumId w:val="12"/>
  </w:num>
  <w:num w:numId="22">
    <w:abstractNumId w:val="11"/>
  </w:num>
  <w:num w:numId="23">
    <w:abstractNumId w:val="17"/>
  </w:num>
  <w:num w:numId="24">
    <w:abstractNumId w:val="6"/>
  </w:num>
  <w:num w:numId="25">
    <w:abstractNumId w:val="1"/>
  </w:num>
  <w:num w:numId="26">
    <w:abstractNumId w:val="18"/>
  </w:num>
  <w:num w:numId="27">
    <w:abstractNumId w:val="3"/>
  </w:num>
  <w:num w:numId="28">
    <w:abstractNumId w:val="16"/>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64CC1"/>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690"/>
    <w:rsid w:val="001B3E5E"/>
    <w:rsid w:val="001C0F7D"/>
    <w:rsid w:val="001C28D0"/>
    <w:rsid w:val="001C3E01"/>
    <w:rsid w:val="001C3F41"/>
    <w:rsid w:val="001C576C"/>
    <w:rsid w:val="001C7069"/>
    <w:rsid w:val="001D1180"/>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27201"/>
    <w:rsid w:val="00233D51"/>
    <w:rsid w:val="0024055C"/>
    <w:rsid w:val="00240AD0"/>
    <w:rsid w:val="00241578"/>
    <w:rsid w:val="0025319F"/>
    <w:rsid w:val="00253A3D"/>
    <w:rsid w:val="00253C58"/>
    <w:rsid w:val="00257B00"/>
    <w:rsid w:val="00257D55"/>
    <w:rsid w:val="00260563"/>
    <w:rsid w:val="002606F0"/>
    <w:rsid w:val="0026534C"/>
    <w:rsid w:val="0026693E"/>
    <w:rsid w:val="002677ED"/>
    <w:rsid w:val="00271A1A"/>
    <w:rsid w:val="00272144"/>
    <w:rsid w:val="00272DDD"/>
    <w:rsid w:val="0027329E"/>
    <w:rsid w:val="00275963"/>
    <w:rsid w:val="002824AE"/>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6B2"/>
    <w:rsid w:val="002B6FB7"/>
    <w:rsid w:val="002B78A2"/>
    <w:rsid w:val="002C184F"/>
    <w:rsid w:val="002C42B8"/>
    <w:rsid w:val="002C5AC2"/>
    <w:rsid w:val="002C6BFF"/>
    <w:rsid w:val="002D3785"/>
    <w:rsid w:val="002D5ABE"/>
    <w:rsid w:val="002E2183"/>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2894"/>
    <w:rsid w:val="003E0B2F"/>
    <w:rsid w:val="003E2AE6"/>
    <w:rsid w:val="003E5264"/>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54C8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1468"/>
    <w:rsid w:val="004D2991"/>
    <w:rsid w:val="004D352A"/>
    <w:rsid w:val="004D6125"/>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126A"/>
    <w:rsid w:val="00522FA9"/>
    <w:rsid w:val="005254F9"/>
    <w:rsid w:val="00525513"/>
    <w:rsid w:val="00527856"/>
    <w:rsid w:val="00527C6A"/>
    <w:rsid w:val="00531D07"/>
    <w:rsid w:val="005329E8"/>
    <w:rsid w:val="005407FF"/>
    <w:rsid w:val="00541FE3"/>
    <w:rsid w:val="00546F0D"/>
    <w:rsid w:val="00555FF1"/>
    <w:rsid w:val="005733EB"/>
    <w:rsid w:val="00574CEC"/>
    <w:rsid w:val="0057576D"/>
    <w:rsid w:val="00582599"/>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60242F"/>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F87"/>
    <w:rsid w:val="006B2AF9"/>
    <w:rsid w:val="006B2E10"/>
    <w:rsid w:val="006B5155"/>
    <w:rsid w:val="006C1A4F"/>
    <w:rsid w:val="006C2260"/>
    <w:rsid w:val="006C4A13"/>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FAB"/>
    <w:rsid w:val="00762402"/>
    <w:rsid w:val="00763924"/>
    <w:rsid w:val="007660F9"/>
    <w:rsid w:val="007703CB"/>
    <w:rsid w:val="00772FE5"/>
    <w:rsid w:val="0077680C"/>
    <w:rsid w:val="00777AD7"/>
    <w:rsid w:val="00777EDB"/>
    <w:rsid w:val="0078381D"/>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297F"/>
    <w:rsid w:val="007D48FA"/>
    <w:rsid w:val="007E2959"/>
    <w:rsid w:val="007E7D01"/>
    <w:rsid w:val="007F5FC9"/>
    <w:rsid w:val="0080557E"/>
    <w:rsid w:val="0081693B"/>
    <w:rsid w:val="00822C7B"/>
    <w:rsid w:val="008265FF"/>
    <w:rsid w:val="008331F3"/>
    <w:rsid w:val="008338A8"/>
    <w:rsid w:val="00834F4B"/>
    <w:rsid w:val="0084425F"/>
    <w:rsid w:val="00845C1C"/>
    <w:rsid w:val="00851AC8"/>
    <w:rsid w:val="0085246F"/>
    <w:rsid w:val="00857F9A"/>
    <w:rsid w:val="00860F0A"/>
    <w:rsid w:val="008626ED"/>
    <w:rsid w:val="00871B5D"/>
    <w:rsid w:val="00872278"/>
    <w:rsid w:val="00873D78"/>
    <w:rsid w:val="00873EF8"/>
    <w:rsid w:val="00874446"/>
    <w:rsid w:val="00875499"/>
    <w:rsid w:val="00876A3F"/>
    <w:rsid w:val="00881D0D"/>
    <w:rsid w:val="008904FC"/>
    <w:rsid w:val="00891C09"/>
    <w:rsid w:val="00894CC1"/>
    <w:rsid w:val="00895A18"/>
    <w:rsid w:val="008A0C8F"/>
    <w:rsid w:val="008A12F6"/>
    <w:rsid w:val="008A1EB8"/>
    <w:rsid w:val="008A3EAB"/>
    <w:rsid w:val="008A4CC1"/>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3FD1"/>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0C8C"/>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817"/>
    <w:rsid w:val="00A34960"/>
    <w:rsid w:val="00A34A45"/>
    <w:rsid w:val="00A401A6"/>
    <w:rsid w:val="00A41693"/>
    <w:rsid w:val="00A432E8"/>
    <w:rsid w:val="00A447F3"/>
    <w:rsid w:val="00A459D0"/>
    <w:rsid w:val="00A45B30"/>
    <w:rsid w:val="00A46AA9"/>
    <w:rsid w:val="00A70873"/>
    <w:rsid w:val="00A70BE5"/>
    <w:rsid w:val="00A74AE1"/>
    <w:rsid w:val="00A75D74"/>
    <w:rsid w:val="00A77CBE"/>
    <w:rsid w:val="00A80892"/>
    <w:rsid w:val="00A863D6"/>
    <w:rsid w:val="00A92C85"/>
    <w:rsid w:val="00A948EF"/>
    <w:rsid w:val="00AA04B9"/>
    <w:rsid w:val="00AA2733"/>
    <w:rsid w:val="00AA2CB1"/>
    <w:rsid w:val="00AA4163"/>
    <w:rsid w:val="00AA4538"/>
    <w:rsid w:val="00AA5258"/>
    <w:rsid w:val="00AB30EB"/>
    <w:rsid w:val="00AC1215"/>
    <w:rsid w:val="00AC1D50"/>
    <w:rsid w:val="00AC4880"/>
    <w:rsid w:val="00AC5FA1"/>
    <w:rsid w:val="00AD2790"/>
    <w:rsid w:val="00AD52F3"/>
    <w:rsid w:val="00AE063D"/>
    <w:rsid w:val="00AE1180"/>
    <w:rsid w:val="00AE2701"/>
    <w:rsid w:val="00AE6C3B"/>
    <w:rsid w:val="00AE7232"/>
    <w:rsid w:val="00AF2CBB"/>
    <w:rsid w:val="00B020D7"/>
    <w:rsid w:val="00B040DA"/>
    <w:rsid w:val="00B052B4"/>
    <w:rsid w:val="00B10670"/>
    <w:rsid w:val="00B10B28"/>
    <w:rsid w:val="00B10BF8"/>
    <w:rsid w:val="00B11FA7"/>
    <w:rsid w:val="00B12DA8"/>
    <w:rsid w:val="00B13C8E"/>
    <w:rsid w:val="00B165EF"/>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D69"/>
    <w:rsid w:val="00B66DDA"/>
    <w:rsid w:val="00B67466"/>
    <w:rsid w:val="00B74369"/>
    <w:rsid w:val="00B75085"/>
    <w:rsid w:val="00B75682"/>
    <w:rsid w:val="00B81B30"/>
    <w:rsid w:val="00B828E9"/>
    <w:rsid w:val="00B8412B"/>
    <w:rsid w:val="00B86E3B"/>
    <w:rsid w:val="00B90BC9"/>
    <w:rsid w:val="00B964C6"/>
    <w:rsid w:val="00BA225C"/>
    <w:rsid w:val="00BA2458"/>
    <w:rsid w:val="00BA2908"/>
    <w:rsid w:val="00BA2DC5"/>
    <w:rsid w:val="00BA3098"/>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8561B"/>
    <w:rsid w:val="00C943CF"/>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7113"/>
    <w:rsid w:val="00D67629"/>
    <w:rsid w:val="00D70FE3"/>
    <w:rsid w:val="00D74619"/>
    <w:rsid w:val="00D75F50"/>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0D87"/>
    <w:rsid w:val="00DE34D6"/>
    <w:rsid w:val="00DE404C"/>
    <w:rsid w:val="00DE6EF1"/>
    <w:rsid w:val="00DF5AFA"/>
    <w:rsid w:val="00E001CC"/>
    <w:rsid w:val="00E00AE3"/>
    <w:rsid w:val="00E02B4C"/>
    <w:rsid w:val="00E039B7"/>
    <w:rsid w:val="00E10982"/>
    <w:rsid w:val="00E10DEE"/>
    <w:rsid w:val="00E158AD"/>
    <w:rsid w:val="00E15E85"/>
    <w:rsid w:val="00E168CB"/>
    <w:rsid w:val="00E20DFF"/>
    <w:rsid w:val="00E221C1"/>
    <w:rsid w:val="00E23C7A"/>
    <w:rsid w:val="00E30AF5"/>
    <w:rsid w:val="00E30B2C"/>
    <w:rsid w:val="00E323EE"/>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324A3"/>
    <w:rsid w:val="00F3348A"/>
    <w:rsid w:val="00F342A1"/>
    <w:rsid w:val="00F43298"/>
    <w:rsid w:val="00F433DC"/>
    <w:rsid w:val="00F46209"/>
    <w:rsid w:val="00F465DC"/>
    <w:rsid w:val="00F65165"/>
    <w:rsid w:val="00F66C2B"/>
    <w:rsid w:val="00F6761B"/>
    <w:rsid w:val="00F72E4A"/>
    <w:rsid w:val="00F73864"/>
    <w:rsid w:val="00F77632"/>
    <w:rsid w:val="00F812A0"/>
    <w:rsid w:val="00F84072"/>
    <w:rsid w:val="00F87F64"/>
    <w:rsid w:val="00F900DE"/>
    <w:rsid w:val="00F9478E"/>
    <w:rsid w:val="00F9756D"/>
    <w:rsid w:val="00FA03E9"/>
    <w:rsid w:val="00FA1E45"/>
    <w:rsid w:val="00FA2877"/>
    <w:rsid w:val="00FA4259"/>
    <w:rsid w:val="00FB12D0"/>
    <w:rsid w:val="00FB16F9"/>
    <w:rsid w:val="00FB42C9"/>
    <w:rsid w:val="00FC2F6B"/>
    <w:rsid w:val="00FD04A9"/>
    <w:rsid w:val="00FD2984"/>
    <w:rsid w:val="00FD2D80"/>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64">
      <w:bodyDiv w:val="1"/>
      <w:marLeft w:val="0"/>
      <w:marRight w:val="0"/>
      <w:marTop w:val="0"/>
      <w:marBottom w:val="0"/>
      <w:divBdr>
        <w:top w:val="none" w:sz="0" w:space="0" w:color="auto"/>
        <w:left w:val="none" w:sz="0" w:space="0" w:color="auto"/>
        <w:bottom w:val="none" w:sz="0" w:space="0" w:color="auto"/>
        <w:right w:val="none" w:sz="0" w:space="0" w:color="auto"/>
      </w:divBdr>
      <w:divsChild>
        <w:div w:id="1396010886">
          <w:marLeft w:val="0"/>
          <w:marRight w:val="0"/>
          <w:marTop w:val="0"/>
          <w:marBottom w:val="0"/>
          <w:divBdr>
            <w:top w:val="none" w:sz="0" w:space="0" w:color="auto"/>
            <w:left w:val="none" w:sz="0" w:space="0" w:color="auto"/>
            <w:bottom w:val="none" w:sz="0" w:space="0" w:color="auto"/>
            <w:right w:val="none" w:sz="0" w:space="0" w:color="auto"/>
          </w:divBdr>
          <w:divsChild>
            <w:div w:id="165630880">
              <w:marLeft w:val="0"/>
              <w:marRight w:val="0"/>
              <w:marTop w:val="0"/>
              <w:marBottom w:val="0"/>
              <w:divBdr>
                <w:top w:val="none" w:sz="0" w:space="0" w:color="auto"/>
                <w:left w:val="none" w:sz="0" w:space="0" w:color="auto"/>
                <w:bottom w:val="none" w:sz="0" w:space="0" w:color="auto"/>
                <w:right w:val="none" w:sz="0" w:space="0" w:color="auto"/>
              </w:divBdr>
              <w:divsChild>
                <w:div w:id="16712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665825">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42406811">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182271">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121493">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0927503">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7241056">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51405">
      <w:bodyDiv w:val="1"/>
      <w:marLeft w:val="0"/>
      <w:marRight w:val="0"/>
      <w:marTop w:val="0"/>
      <w:marBottom w:val="0"/>
      <w:divBdr>
        <w:top w:val="none" w:sz="0" w:space="0" w:color="auto"/>
        <w:left w:val="none" w:sz="0" w:space="0" w:color="auto"/>
        <w:bottom w:val="none" w:sz="0" w:space="0" w:color="auto"/>
        <w:right w:val="none" w:sz="0" w:space="0" w:color="auto"/>
      </w:divBdr>
    </w:div>
    <w:div w:id="533428325">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57926077">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 w:id="767238063">
          <w:marLeft w:val="0"/>
          <w:marRight w:val="0"/>
          <w:marTop w:val="0"/>
          <w:marBottom w:val="0"/>
          <w:divBdr>
            <w:top w:val="none" w:sz="0" w:space="0" w:color="auto"/>
            <w:left w:val="none" w:sz="0" w:space="0" w:color="auto"/>
            <w:bottom w:val="none" w:sz="0" w:space="0" w:color="auto"/>
            <w:right w:val="none" w:sz="0" w:space="0" w:color="auto"/>
          </w:divBdr>
        </w:div>
        <w:div w:id="1030061646">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69154556">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2201845">
      <w:bodyDiv w:val="1"/>
      <w:marLeft w:val="0"/>
      <w:marRight w:val="0"/>
      <w:marTop w:val="0"/>
      <w:marBottom w:val="0"/>
      <w:divBdr>
        <w:top w:val="none" w:sz="0" w:space="0" w:color="auto"/>
        <w:left w:val="none" w:sz="0" w:space="0" w:color="auto"/>
        <w:bottom w:val="none" w:sz="0" w:space="0" w:color="auto"/>
        <w:right w:val="none" w:sz="0" w:space="0" w:color="auto"/>
      </w:divBdr>
    </w:div>
    <w:div w:id="125922036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2276378">
      <w:bodyDiv w:val="1"/>
      <w:marLeft w:val="0"/>
      <w:marRight w:val="0"/>
      <w:marTop w:val="0"/>
      <w:marBottom w:val="0"/>
      <w:divBdr>
        <w:top w:val="none" w:sz="0" w:space="0" w:color="auto"/>
        <w:left w:val="none" w:sz="0" w:space="0" w:color="auto"/>
        <w:bottom w:val="none" w:sz="0" w:space="0" w:color="auto"/>
        <w:right w:val="none" w:sz="0" w:space="0" w:color="auto"/>
      </w:divBdr>
    </w:div>
    <w:div w:id="127926319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79907108">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1178354">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4244909">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504514">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1741148">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516E7-4CA4-45A0-A0C7-4A469B1D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11</Pages>
  <Words>2130</Words>
  <Characters>11715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119</cp:revision>
  <cp:lastPrinted>2020-02-13T19:37:00Z</cp:lastPrinted>
  <dcterms:created xsi:type="dcterms:W3CDTF">2021-06-12T08:40:00Z</dcterms:created>
  <dcterms:modified xsi:type="dcterms:W3CDTF">2022-02-22T16:10:00Z</dcterms:modified>
</cp:coreProperties>
</file>