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6A6BD6" w14:textId="1B4C7567" w:rsidR="00EA0165" w:rsidRPr="00655A8C" w:rsidRDefault="00EA0165" w:rsidP="00655A8C">
      <w:pPr>
        <w:tabs>
          <w:tab w:val="left" w:pos="3465"/>
        </w:tabs>
        <w:spacing w:before="240" w:after="360" w:line="360" w:lineRule="auto"/>
        <w:jc w:val="both"/>
        <w:rPr>
          <w:rFonts w:ascii="Palatino Linotype" w:eastAsiaTheme="minorEastAsia" w:hAnsi="Palatino Linotype" w:cstheme="minorBidi"/>
          <w:color w:val="000000" w:themeColor="text1"/>
          <w:lang w:val="es-ES_tradnl"/>
        </w:rPr>
      </w:pPr>
      <w:r w:rsidRPr="00655A8C">
        <w:rPr>
          <w:rFonts w:ascii="Palatino Linotype" w:eastAsiaTheme="minorEastAsia" w:hAnsi="Palatino Linotype" w:cstheme="minorBidi"/>
          <w:color w:val="000000" w:themeColor="text1"/>
          <w:lang w:val="es-ES_tradnl"/>
        </w:rPr>
        <w:t>Resolución del Pleno del Instituto de Transparencia, Acceso a la Información Pública y Protección de Datos Personales del Estado de México y Municipios, con domicilio e</w:t>
      </w:r>
      <w:r w:rsidR="009B3353" w:rsidRPr="00655A8C">
        <w:rPr>
          <w:rFonts w:ascii="Palatino Linotype" w:eastAsiaTheme="minorEastAsia" w:hAnsi="Palatino Linotype" w:cstheme="minorBidi"/>
          <w:color w:val="000000" w:themeColor="text1"/>
          <w:lang w:val="es-ES_tradnl"/>
        </w:rPr>
        <w:t xml:space="preserve">n Metepec, Estado </w:t>
      </w:r>
      <w:r w:rsidR="00850F99" w:rsidRPr="00655A8C">
        <w:rPr>
          <w:rFonts w:ascii="Palatino Linotype" w:eastAsiaTheme="minorEastAsia" w:hAnsi="Palatino Linotype" w:cstheme="minorBidi"/>
          <w:color w:val="000000" w:themeColor="text1"/>
          <w:lang w:val="es-ES_tradnl"/>
        </w:rPr>
        <w:t>de México; de veinticinco</w:t>
      </w:r>
      <w:r w:rsidR="00B96D41" w:rsidRPr="00655A8C">
        <w:rPr>
          <w:rFonts w:ascii="Palatino Linotype" w:eastAsiaTheme="minorEastAsia" w:hAnsi="Palatino Linotype" w:cstheme="minorBidi"/>
          <w:color w:val="000000" w:themeColor="text1"/>
          <w:lang w:val="es-ES_tradnl"/>
        </w:rPr>
        <w:t xml:space="preserve"> </w:t>
      </w:r>
      <w:r w:rsidRPr="00655A8C">
        <w:rPr>
          <w:rFonts w:ascii="Palatino Linotype" w:eastAsiaTheme="minorEastAsia" w:hAnsi="Palatino Linotype" w:cstheme="minorBidi"/>
          <w:color w:val="000000" w:themeColor="text1"/>
          <w:lang w:val="es-MX"/>
        </w:rPr>
        <w:t>(</w:t>
      </w:r>
      <w:r w:rsidR="00850F99" w:rsidRPr="00655A8C">
        <w:rPr>
          <w:rFonts w:ascii="Palatino Linotype" w:eastAsiaTheme="minorEastAsia" w:hAnsi="Palatino Linotype" w:cstheme="minorBidi"/>
          <w:color w:val="000000" w:themeColor="text1"/>
          <w:lang w:val="es-MX"/>
        </w:rPr>
        <w:t>25</w:t>
      </w:r>
      <w:r w:rsidRPr="00655A8C">
        <w:rPr>
          <w:rFonts w:ascii="Palatino Linotype" w:eastAsiaTheme="minorEastAsia" w:hAnsi="Palatino Linotype" w:cstheme="minorBidi"/>
          <w:color w:val="000000" w:themeColor="text1"/>
          <w:lang w:val="es-MX"/>
        </w:rPr>
        <w:t>) de</w:t>
      </w:r>
      <w:r w:rsidR="00C36DF2" w:rsidRPr="00655A8C">
        <w:rPr>
          <w:rFonts w:ascii="Palatino Linotype" w:eastAsiaTheme="minorEastAsia" w:hAnsi="Palatino Linotype" w:cstheme="minorBidi"/>
          <w:color w:val="000000" w:themeColor="text1"/>
          <w:lang w:val="es-MX"/>
        </w:rPr>
        <w:t xml:space="preserve"> mayo</w:t>
      </w:r>
      <w:r w:rsidR="00F03AFC" w:rsidRPr="00655A8C">
        <w:rPr>
          <w:rFonts w:ascii="Palatino Linotype" w:eastAsiaTheme="minorEastAsia" w:hAnsi="Palatino Linotype" w:cstheme="minorBidi"/>
          <w:color w:val="000000" w:themeColor="text1"/>
          <w:lang w:val="es-MX"/>
        </w:rPr>
        <w:t xml:space="preserve"> </w:t>
      </w:r>
      <w:r w:rsidR="00003CF3" w:rsidRPr="00655A8C">
        <w:rPr>
          <w:rFonts w:ascii="Palatino Linotype" w:eastAsiaTheme="minorEastAsia" w:hAnsi="Palatino Linotype" w:cstheme="minorBidi"/>
          <w:color w:val="000000" w:themeColor="text1"/>
          <w:lang w:val="es-MX"/>
        </w:rPr>
        <w:t>de dos mil veintidós</w:t>
      </w:r>
      <w:r w:rsidRPr="00655A8C">
        <w:rPr>
          <w:rFonts w:ascii="Palatino Linotype" w:eastAsiaTheme="minorEastAsia" w:hAnsi="Palatino Linotype" w:cstheme="minorBidi"/>
          <w:color w:val="000000" w:themeColor="text1"/>
          <w:lang w:val="es-ES_tradnl"/>
        </w:rPr>
        <w:t xml:space="preserve">. </w:t>
      </w:r>
    </w:p>
    <w:p w14:paraId="79BA84B1" w14:textId="7ABE5E89" w:rsidR="00C36DF2" w:rsidRPr="00655A8C" w:rsidRDefault="00C36DF2" w:rsidP="00655A8C">
      <w:pPr>
        <w:tabs>
          <w:tab w:val="left" w:pos="3465"/>
        </w:tabs>
        <w:spacing w:before="240" w:after="360" w:line="360" w:lineRule="auto"/>
        <w:jc w:val="both"/>
        <w:rPr>
          <w:rFonts w:ascii="Palatino Linotype" w:eastAsiaTheme="minorEastAsia" w:hAnsi="Palatino Linotype" w:cstheme="minorBidi"/>
          <w:b/>
          <w:bCs/>
          <w:color w:val="000000" w:themeColor="text1"/>
        </w:rPr>
      </w:pPr>
      <w:r w:rsidRPr="00655A8C">
        <w:rPr>
          <w:rFonts w:ascii="Palatino Linotype" w:eastAsiaTheme="minorEastAsia" w:hAnsi="Palatino Linotype" w:cstheme="minorBidi"/>
          <w:b/>
          <w:color w:val="000000" w:themeColor="text1"/>
          <w:lang w:val="es-ES_tradnl"/>
        </w:rPr>
        <w:t>VISTO</w:t>
      </w:r>
      <w:r w:rsidRPr="00655A8C">
        <w:rPr>
          <w:rFonts w:ascii="Palatino Linotype" w:eastAsiaTheme="minorEastAsia" w:hAnsi="Palatino Linotype" w:cstheme="minorBidi"/>
          <w:color w:val="000000" w:themeColor="text1"/>
          <w:lang w:val="es-ES_tradnl"/>
        </w:rPr>
        <w:t xml:space="preserve"> el expediente electrónico formado con motivo del recurso de revisión</w:t>
      </w:r>
      <w:r w:rsidRPr="00655A8C">
        <w:rPr>
          <w:rFonts w:ascii="Palatino Linotype" w:eastAsiaTheme="minorEastAsia" w:hAnsi="Palatino Linotype" w:cstheme="minorBidi"/>
          <w:b/>
          <w:bCs/>
          <w:color w:val="000000" w:themeColor="text1"/>
        </w:rPr>
        <w:t> </w:t>
      </w:r>
      <w:r w:rsidR="009864C2" w:rsidRPr="009864C2">
        <w:rPr>
          <w:rFonts w:ascii="Palatino Linotype" w:eastAsiaTheme="minorEastAsia" w:hAnsi="Palatino Linotype" w:cstheme="minorBidi"/>
          <w:b/>
          <w:bCs/>
          <w:color w:val="000000" w:themeColor="text1"/>
        </w:rPr>
        <w:t>05168/INFOEM/IP/RR/2022</w:t>
      </w:r>
      <w:r w:rsidR="009864C2">
        <w:rPr>
          <w:rFonts w:ascii="Palatino Linotype" w:eastAsiaTheme="minorEastAsia" w:hAnsi="Palatino Linotype" w:cstheme="minorBidi"/>
          <w:b/>
          <w:bCs/>
          <w:color w:val="000000" w:themeColor="text1"/>
        </w:rPr>
        <w:t xml:space="preserve">, </w:t>
      </w:r>
      <w:r w:rsidRPr="00655A8C">
        <w:rPr>
          <w:rFonts w:ascii="Palatino Linotype" w:eastAsiaTheme="minorEastAsia" w:hAnsi="Palatino Linotype" w:cstheme="minorBidi"/>
          <w:color w:val="000000" w:themeColor="text1"/>
          <w:lang w:val="es-ES_tradnl"/>
        </w:rPr>
        <w:t xml:space="preserve">promovido por un usuario del Sistema de Acceso a la Información Mexiquense </w:t>
      </w:r>
      <w:r w:rsidRPr="00655A8C">
        <w:rPr>
          <w:rFonts w:ascii="Palatino Linotype" w:eastAsiaTheme="minorEastAsia" w:hAnsi="Palatino Linotype" w:cstheme="minorBidi"/>
          <w:b/>
          <w:color w:val="000000" w:themeColor="text1"/>
          <w:lang w:val="es-ES_tradnl"/>
        </w:rPr>
        <w:t xml:space="preserve">(SAIMEX), </w:t>
      </w:r>
      <w:r w:rsidRPr="00655A8C">
        <w:rPr>
          <w:rFonts w:ascii="Palatino Linotype" w:eastAsiaTheme="minorEastAsia" w:hAnsi="Palatino Linotype" w:cstheme="minorBidi"/>
          <w:color w:val="000000" w:themeColor="text1"/>
          <w:lang w:val="es-ES_tradnl"/>
        </w:rPr>
        <w:t xml:space="preserve">quien no proporcionó ningún nombre o seudónimo para poder ser identificado, por lo que en lo sucesivo será identificado en su calidad de </w:t>
      </w:r>
      <w:r w:rsidRPr="00655A8C">
        <w:rPr>
          <w:rFonts w:ascii="Palatino Linotype" w:eastAsiaTheme="minorEastAsia" w:hAnsi="Palatino Linotype" w:cstheme="minorBidi"/>
          <w:b/>
          <w:color w:val="000000" w:themeColor="text1"/>
          <w:lang w:val="es-ES_tradnl"/>
        </w:rPr>
        <w:t>RECURRENTE</w:t>
      </w:r>
      <w:r w:rsidRPr="00655A8C">
        <w:rPr>
          <w:rFonts w:ascii="Palatino Linotype" w:eastAsiaTheme="minorEastAsia" w:hAnsi="Palatino Linotype" w:cstheme="minorBidi"/>
          <w:color w:val="000000" w:themeColor="text1"/>
          <w:lang w:val="es-ES_tradnl"/>
        </w:rPr>
        <w:t>, en contra de la respue</w:t>
      </w:r>
      <w:r w:rsidR="00861CF9" w:rsidRPr="00655A8C">
        <w:rPr>
          <w:rFonts w:ascii="Palatino Linotype" w:eastAsiaTheme="minorEastAsia" w:hAnsi="Palatino Linotype" w:cstheme="minorBidi"/>
          <w:color w:val="000000" w:themeColor="text1"/>
          <w:lang w:val="es-ES_tradnl"/>
        </w:rPr>
        <w:t>sta del</w:t>
      </w:r>
      <w:r w:rsidRPr="00655A8C">
        <w:rPr>
          <w:rFonts w:ascii="Palatino Linotype" w:eastAsiaTheme="minorEastAsia" w:hAnsi="Palatino Linotype" w:cstheme="minorBidi"/>
          <w:color w:val="000000" w:themeColor="text1"/>
          <w:lang w:val="es-ES_tradnl"/>
        </w:rPr>
        <w:t xml:space="preserve"> </w:t>
      </w:r>
      <w:r w:rsidR="009864C2" w:rsidRPr="009864C2">
        <w:rPr>
          <w:rFonts w:ascii="Palatino Linotype" w:eastAsiaTheme="minorEastAsia" w:hAnsi="Palatino Linotype" w:cstheme="minorBidi"/>
          <w:b/>
          <w:color w:val="000000" w:themeColor="text1"/>
          <w:lang w:val="es-ES_tradnl"/>
        </w:rPr>
        <w:t>Ayuntamiento de Texcaltitlán</w:t>
      </w:r>
      <w:r w:rsidR="009864C2">
        <w:rPr>
          <w:rFonts w:ascii="Palatino Linotype" w:eastAsiaTheme="minorEastAsia" w:hAnsi="Palatino Linotype" w:cstheme="minorBidi"/>
          <w:color w:val="000000" w:themeColor="text1"/>
          <w:lang w:val="es-ES_tradnl"/>
        </w:rPr>
        <w:t xml:space="preserve"> </w:t>
      </w:r>
      <w:r w:rsidRPr="00655A8C">
        <w:rPr>
          <w:rFonts w:ascii="Palatino Linotype" w:eastAsiaTheme="minorEastAsia" w:hAnsi="Palatino Linotype" w:cstheme="minorBidi"/>
          <w:color w:val="000000" w:themeColor="text1"/>
          <w:lang w:val="es-ES_tradnl"/>
        </w:rPr>
        <w:t>en lo</w:t>
      </w:r>
      <w:r w:rsidRPr="00655A8C">
        <w:rPr>
          <w:rFonts w:ascii="Palatino Linotype" w:eastAsiaTheme="minorEastAsia" w:hAnsi="Palatino Linotype" w:cstheme="minorBidi"/>
          <w:b/>
          <w:color w:val="000000" w:themeColor="text1"/>
          <w:lang w:val="es-ES_tradnl"/>
        </w:rPr>
        <w:t xml:space="preserve"> </w:t>
      </w:r>
      <w:r w:rsidRPr="00655A8C">
        <w:rPr>
          <w:rFonts w:ascii="Palatino Linotype" w:eastAsiaTheme="minorEastAsia" w:hAnsi="Palatino Linotype" w:cstheme="minorBidi"/>
          <w:color w:val="000000" w:themeColor="text1"/>
          <w:lang w:val="es-ES_tradnl"/>
        </w:rPr>
        <w:t>sucesivo el</w:t>
      </w:r>
      <w:r w:rsidRPr="00655A8C">
        <w:rPr>
          <w:rFonts w:ascii="Palatino Linotype" w:eastAsiaTheme="minorEastAsia" w:hAnsi="Palatino Linotype" w:cstheme="minorBidi"/>
          <w:b/>
          <w:color w:val="000000" w:themeColor="text1"/>
          <w:lang w:val="es-ES_tradnl"/>
        </w:rPr>
        <w:t xml:space="preserve"> SUJETO OBLIGADO, </w:t>
      </w:r>
      <w:r w:rsidRPr="00655A8C">
        <w:rPr>
          <w:rFonts w:ascii="Palatino Linotype" w:eastAsiaTheme="minorEastAsia" w:hAnsi="Palatino Linotype" w:cstheme="minorBidi"/>
          <w:color w:val="000000" w:themeColor="text1"/>
          <w:lang w:val="es-ES_tradnl"/>
        </w:rPr>
        <w:t xml:space="preserve">se procede a dictar la presente resolución, con base en los siguientes: </w:t>
      </w:r>
    </w:p>
    <w:p w14:paraId="64D30E95" w14:textId="2F57A823" w:rsidR="00F216D7" w:rsidRPr="00655A8C" w:rsidRDefault="00EA0165" w:rsidP="00655A8C">
      <w:pPr>
        <w:pStyle w:val="Ttulo1"/>
        <w:spacing w:line="360" w:lineRule="auto"/>
        <w:jc w:val="center"/>
        <w:rPr>
          <w:rFonts w:ascii="Palatino Linotype" w:hAnsi="Palatino Linotype"/>
          <w:b/>
          <w:color w:val="000000" w:themeColor="text1"/>
          <w:sz w:val="24"/>
          <w:szCs w:val="24"/>
          <w:lang w:val="es-MX" w:eastAsia="en-US"/>
        </w:rPr>
      </w:pPr>
      <w:bookmarkStart w:id="0" w:name="_Toc461555884"/>
      <w:bookmarkStart w:id="1" w:name="_Toc466371847"/>
      <w:bookmarkStart w:id="2" w:name="_Toc68804757"/>
      <w:bookmarkStart w:id="3" w:name="_Toc103877268"/>
      <w:r w:rsidRPr="00655A8C">
        <w:rPr>
          <w:rFonts w:ascii="Palatino Linotype" w:hAnsi="Palatino Linotype"/>
          <w:b/>
          <w:color w:val="000000" w:themeColor="text1"/>
          <w:sz w:val="24"/>
          <w:szCs w:val="24"/>
          <w:lang w:val="es-MX" w:eastAsia="en-US"/>
        </w:rPr>
        <w:t>ANTECEDENTES</w:t>
      </w:r>
      <w:bookmarkEnd w:id="0"/>
      <w:bookmarkEnd w:id="1"/>
      <w:bookmarkEnd w:id="2"/>
      <w:bookmarkEnd w:id="3"/>
    </w:p>
    <w:p w14:paraId="218046B5" w14:textId="46CB25E6" w:rsidR="00707416" w:rsidRPr="00655A8C" w:rsidRDefault="00EA0165" w:rsidP="00655A8C">
      <w:pPr>
        <w:pStyle w:val="Prrafodelista"/>
        <w:numPr>
          <w:ilvl w:val="0"/>
          <w:numId w:val="2"/>
        </w:numPr>
        <w:tabs>
          <w:tab w:val="left" w:pos="426"/>
        </w:tabs>
        <w:spacing w:before="240" w:after="240" w:line="360" w:lineRule="auto"/>
        <w:ind w:left="0" w:firstLine="0"/>
        <w:contextualSpacing/>
        <w:jc w:val="both"/>
        <w:rPr>
          <w:rFonts w:ascii="Palatino Linotype" w:eastAsia="Calibri" w:hAnsi="Palatino Linotype" w:cs="Arial"/>
          <w:color w:val="000000" w:themeColor="text1"/>
        </w:rPr>
      </w:pPr>
      <w:r w:rsidRPr="00655A8C">
        <w:rPr>
          <w:rFonts w:ascii="Palatino Linotype" w:eastAsia="Calibri" w:hAnsi="Palatino Linotype" w:cs="Arial"/>
          <w:color w:val="000000" w:themeColor="text1"/>
        </w:rPr>
        <w:t>El</w:t>
      </w:r>
      <w:r w:rsidR="00F216D7" w:rsidRPr="00655A8C">
        <w:rPr>
          <w:rFonts w:ascii="Palatino Linotype" w:eastAsia="Calibri" w:hAnsi="Palatino Linotype" w:cs="Arial"/>
          <w:color w:val="000000" w:themeColor="text1"/>
        </w:rPr>
        <w:t xml:space="preserve"> </w:t>
      </w:r>
      <w:r w:rsidR="009864C2">
        <w:rPr>
          <w:rFonts w:ascii="Palatino Linotype" w:eastAsia="Calibri" w:hAnsi="Palatino Linotype" w:cs="Arial"/>
          <w:color w:val="000000" w:themeColor="text1"/>
        </w:rPr>
        <w:t>cuatro</w:t>
      </w:r>
      <w:r w:rsidR="004D3F79" w:rsidRPr="00655A8C">
        <w:rPr>
          <w:rFonts w:ascii="Palatino Linotype" w:eastAsia="Calibri" w:hAnsi="Palatino Linotype" w:cs="Arial"/>
          <w:color w:val="000000" w:themeColor="text1"/>
        </w:rPr>
        <w:t xml:space="preserve"> </w:t>
      </w:r>
      <w:r w:rsidRPr="00655A8C">
        <w:rPr>
          <w:rFonts w:ascii="Palatino Linotype" w:eastAsia="Calibri" w:hAnsi="Palatino Linotype" w:cs="Arial"/>
          <w:color w:val="000000" w:themeColor="text1"/>
        </w:rPr>
        <w:t>(</w:t>
      </w:r>
      <w:r w:rsidR="009864C2">
        <w:rPr>
          <w:rFonts w:ascii="Palatino Linotype" w:eastAsia="Calibri" w:hAnsi="Palatino Linotype" w:cs="Arial"/>
          <w:color w:val="000000" w:themeColor="text1"/>
        </w:rPr>
        <w:t>04</w:t>
      </w:r>
      <w:r w:rsidRPr="00655A8C">
        <w:rPr>
          <w:rFonts w:ascii="Palatino Linotype" w:eastAsia="Calibri" w:hAnsi="Palatino Linotype" w:cs="Arial"/>
          <w:color w:val="000000" w:themeColor="text1"/>
        </w:rPr>
        <w:t>) de</w:t>
      </w:r>
      <w:r w:rsidR="00C36DF2" w:rsidRPr="00655A8C">
        <w:rPr>
          <w:rFonts w:ascii="Palatino Linotype" w:eastAsia="Calibri" w:hAnsi="Palatino Linotype" w:cs="Arial"/>
          <w:color w:val="000000" w:themeColor="text1"/>
        </w:rPr>
        <w:t xml:space="preserve"> </w:t>
      </w:r>
      <w:r w:rsidR="009864C2">
        <w:rPr>
          <w:rFonts w:ascii="Palatino Linotype" w:eastAsia="Calibri" w:hAnsi="Palatino Linotype" w:cs="Arial"/>
          <w:color w:val="000000" w:themeColor="text1"/>
        </w:rPr>
        <w:t>marzo</w:t>
      </w:r>
      <w:r w:rsidR="00707416" w:rsidRPr="00655A8C">
        <w:rPr>
          <w:rFonts w:ascii="Palatino Linotype" w:eastAsia="Calibri" w:hAnsi="Palatino Linotype" w:cs="Arial"/>
          <w:color w:val="000000" w:themeColor="text1"/>
        </w:rPr>
        <w:t xml:space="preserve"> </w:t>
      </w:r>
      <w:r w:rsidRPr="00655A8C">
        <w:rPr>
          <w:rFonts w:ascii="Palatino Linotype" w:eastAsia="Calibri" w:hAnsi="Palatino Linotype" w:cs="Arial"/>
          <w:color w:val="000000" w:themeColor="text1"/>
        </w:rPr>
        <w:t xml:space="preserve">de dos mil </w:t>
      </w:r>
      <w:r w:rsidR="003915BA" w:rsidRPr="00655A8C">
        <w:rPr>
          <w:rFonts w:ascii="Palatino Linotype" w:eastAsia="Calibri" w:hAnsi="Palatino Linotype" w:cs="Arial"/>
          <w:color w:val="000000" w:themeColor="text1"/>
        </w:rPr>
        <w:t>veintidós</w:t>
      </w:r>
      <w:r w:rsidRPr="00655A8C">
        <w:rPr>
          <w:rFonts w:ascii="Palatino Linotype" w:eastAsia="Calibri" w:hAnsi="Palatino Linotype" w:cs="Arial"/>
          <w:color w:val="000000" w:themeColor="text1"/>
        </w:rPr>
        <w:t xml:space="preserve">, </w:t>
      </w:r>
      <w:r w:rsidRPr="00655A8C">
        <w:rPr>
          <w:rFonts w:ascii="Palatino Linotype" w:eastAsiaTheme="minorEastAsia" w:hAnsi="Palatino Linotype" w:cstheme="minorBidi"/>
          <w:color w:val="000000" w:themeColor="text1"/>
          <w:lang w:val="es-ES_tradnl"/>
        </w:rPr>
        <w:t>el particular presentó</w:t>
      </w:r>
      <w:r w:rsidRPr="00655A8C">
        <w:rPr>
          <w:rFonts w:ascii="Palatino Linotype" w:eastAsiaTheme="minorEastAsia" w:hAnsi="Palatino Linotype" w:cstheme="minorBidi"/>
          <w:b/>
          <w:color w:val="000000" w:themeColor="text1"/>
          <w:lang w:val="es-ES_tradnl"/>
        </w:rPr>
        <w:t xml:space="preserve"> </w:t>
      </w:r>
      <w:r w:rsidR="00936BED" w:rsidRPr="00655A8C">
        <w:rPr>
          <w:rFonts w:ascii="Palatino Linotype" w:eastAsiaTheme="minorEastAsia" w:hAnsi="Palatino Linotype" w:cstheme="minorBidi"/>
          <w:bCs/>
          <w:color w:val="000000" w:themeColor="text1"/>
          <w:lang w:val="es-ES_tradnl"/>
        </w:rPr>
        <w:t>a través de</w:t>
      </w:r>
      <w:r w:rsidR="00923BD9" w:rsidRPr="00655A8C">
        <w:rPr>
          <w:rFonts w:ascii="Palatino Linotype" w:eastAsiaTheme="minorEastAsia" w:hAnsi="Palatino Linotype" w:cstheme="minorBidi"/>
          <w:bCs/>
          <w:color w:val="000000" w:themeColor="text1"/>
          <w:lang w:val="es-ES_tradnl"/>
        </w:rPr>
        <w:t>l</w:t>
      </w:r>
      <w:r w:rsidR="00923BD9" w:rsidRPr="00655A8C">
        <w:rPr>
          <w:rFonts w:ascii="Palatino Linotype" w:eastAsia="Calibri" w:hAnsi="Palatino Linotype" w:cs="Arial"/>
          <w:color w:val="000000" w:themeColor="text1"/>
        </w:rPr>
        <w:t xml:space="preserve"> </w:t>
      </w:r>
      <w:r w:rsidR="00923BD9" w:rsidRPr="00655A8C">
        <w:rPr>
          <w:rFonts w:ascii="Palatino Linotype" w:eastAsiaTheme="minorEastAsia" w:hAnsi="Palatino Linotype" w:cstheme="minorBidi"/>
          <w:bCs/>
          <w:color w:val="000000" w:themeColor="text1"/>
        </w:rPr>
        <w:t xml:space="preserve">Sistema de Acceso a la Información Mexiquense </w:t>
      </w:r>
      <w:r w:rsidR="00923BD9" w:rsidRPr="00655A8C">
        <w:rPr>
          <w:rFonts w:ascii="Palatino Linotype" w:eastAsiaTheme="minorEastAsia" w:hAnsi="Palatino Linotype" w:cstheme="minorBidi"/>
          <w:b/>
          <w:bCs/>
          <w:color w:val="000000" w:themeColor="text1"/>
        </w:rPr>
        <w:t>(SAIMEX)</w:t>
      </w:r>
      <w:r w:rsidRPr="00655A8C">
        <w:rPr>
          <w:rFonts w:ascii="Palatino Linotype" w:eastAsia="Calibri" w:hAnsi="Palatino Linotype" w:cs="Arial"/>
          <w:b/>
          <w:color w:val="000000" w:themeColor="text1"/>
        </w:rPr>
        <w:t xml:space="preserve">, </w:t>
      </w:r>
      <w:r w:rsidRPr="00655A8C">
        <w:rPr>
          <w:rFonts w:ascii="Palatino Linotype" w:eastAsia="Calibri" w:hAnsi="Palatino Linotype" w:cs="Arial"/>
          <w:color w:val="000000" w:themeColor="text1"/>
        </w:rPr>
        <w:t>la solicitud de información pública registrada con el número</w:t>
      </w:r>
      <w:r w:rsidR="009864C2">
        <w:rPr>
          <w:rFonts w:ascii="Palatino Linotype" w:eastAsia="Calibri" w:hAnsi="Palatino Linotype" w:cs="Arial"/>
          <w:color w:val="000000" w:themeColor="text1"/>
        </w:rPr>
        <w:t xml:space="preserve"> </w:t>
      </w:r>
      <w:r w:rsidR="009864C2" w:rsidRPr="009864C2">
        <w:rPr>
          <w:rFonts w:ascii="Palatino Linotype" w:eastAsia="Calibri" w:hAnsi="Palatino Linotype" w:cs="Arial"/>
          <w:b/>
          <w:bCs/>
          <w:color w:val="000000" w:themeColor="text1"/>
        </w:rPr>
        <w:t>00018/TEXCALTI/IP/2022</w:t>
      </w:r>
      <w:r w:rsidRPr="00655A8C">
        <w:rPr>
          <w:rFonts w:ascii="Palatino Linotype" w:eastAsiaTheme="minorEastAsia" w:hAnsi="Palatino Linotype" w:cstheme="minorBidi"/>
          <w:b/>
          <w:bCs/>
          <w:color w:val="000000" w:themeColor="text1"/>
          <w:lang w:val="es-ES_tradnl"/>
        </w:rPr>
        <w:t>,</w:t>
      </w:r>
      <w:r w:rsidRPr="00655A8C">
        <w:rPr>
          <w:rFonts w:ascii="Palatino Linotype" w:eastAsia="Calibri" w:hAnsi="Palatino Linotype" w:cs="Arial"/>
          <w:color w:val="000000" w:themeColor="text1"/>
        </w:rPr>
        <w:t xml:space="preserve"> mediante la cual requirió:</w:t>
      </w:r>
    </w:p>
    <w:p w14:paraId="0C9C3C6B" w14:textId="77777777" w:rsidR="00845136" w:rsidRDefault="00EA0165" w:rsidP="00655A8C">
      <w:pPr>
        <w:spacing w:line="360" w:lineRule="auto"/>
        <w:ind w:left="567" w:right="567"/>
        <w:contextualSpacing/>
        <w:jc w:val="both"/>
        <w:rPr>
          <w:rFonts w:ascii="Palatino Linotype" w:eastAsiaTheme="minorEastAsia" w:hAnsi="Palatino Linotype" w:cstheme="minorBidi"/>
          <w:i/>
          <w:color w:val="000000" w:themeColor="text1"/>
          <w:lang w:val="es-ES_tradnl"/>
        </w:rPr>
      </w:pPr>
      <w:r w:rsidRPr="00655A8C">
        <w:rPr>
          <w:rFonts w:ascii="Palatino Linotype" w:eastAsiaTheme="minorEastAsia" w:hAnsi="Palatino Linotype" w:cstheme="minorBidi"/>
          <w:i/>
          <w:color w:val="000000" w:themeColor="text1"/>
          <w:lang w:val="es-ES_tradnl"/>
        </w:rPr>
        <w:t>“</w:t>
      </w:r>
      <w:r w:rsidR="009864C2" w:rsidRPr="009864C2">
        <w:rPr>
          <w:rFonts w:ascii="Palatino Linotype" w:eastAsiaTheme="minorEastAsia" w:hAnsi="Palatino Linotype" w:cstheme="minorBidi"/>
          <w:i/>
          <w:color w:val="000000" w:themeColor="text1"/>
          <w:lang w:val="es-ES_tradnl"/>
        </w:rPr>
        <w:t>todas las nóminas de la servidora pública Mayra Esperanza Ortiz Calixto desde su ingreso en el año 2016 cuando se desempeñaba como secretaria, en el hasta el día de hoy como regidora. incluyendo todo tipo de pagos nóminas, bonos, aguinaldo y cualquier otra prestación que h</w:t>
      </w:r>
      <w:r w:rsidR="009864C2">
        <w:rPr>
          <w:rFonts w:ascii="Palatino Linotype" w:eastAsiaTheme="minorEastAsia" w:hAnsi="Palatino Linotype" w:cstheme="minorBidi"/>
          <w:i/>
          <w:color w:val="000000" w:themeColor="text1"/>
          <w:lang w:val="es-ES_tradnl"/>
        </w:rPr>
        <w:t>a tenido en su servicio público</w:t>
      </w:r>
    </w:p>
    <w:p w14:paraId="119BF7E0" w14:textId="37211E82" w:rsidR="00EA0165" w:rsidRPr="00655A8C" w:rsidRDefault="00EA0165" w:rsidP="00655A8C">
      <w:pPr>
        <w:spacing w:line="360" w:lineRule="auto"/>
        <w:ind w:left="567" w:right="567"/>
        <w:contextualSpacing/>
        <w:jc w:val="both"/>
        <w:rPr>
          <w:rFonts w:ascii="Palatino Linotype" w:eastAsiaTheme="minorEastAsia" w:hAnsi="Palatino Linotype" w:cstheme="minorBidi"/>
          <w:color w:val="000000" w:themeColor="text1"/>
          <w:lang w:val="es-ES_tradnl"/>
        </w:rPr>
      </w:pPr>
      <w:r w:rsidRPr="00655A8C">
        <w:rPr>
          <w:rFonts w:ascii="Palatino Linotype" w:eastAsiaTheme="minorEastAsia" w:hAnsi="Palatino Linotype" w:cstheme="minorBidi"/>
          <w:i/>
          <w:color w:val="000000" w:themeColor="text1"/>
          <w:lang w:val="es-ES_tradnl"/>
        </w:rPr>
        <w:t xml:space="preserve">.” </w:t>
      </w:r>
      <w:r w:rsidRPr="00655A8C">
        <w:rPr>
          <w:rFonts w:ascii="Palatino Linotype" w:eastAsiaTheme="minorEastAsia" w:hAnsi="Palatino Linotype" w:cstheme="minorBidi"/>
          <w:color w:val="000000" w:themeColor="text1"/>
          <w:lang w:val="es-ES_tradnl"/>
        </w:rPr>
        <w:t>(Sic).</w:t>
      </w:r>
    </w:p>
    <w:p w14:paraId="1046CCE1" w14:textId="304A6F03" w:rsidR="00A415DB" w:rsidRPr="00655A8C" w:rsidRDefault="00A415DB" w:rsidP="00655A8C">
      <w:pPr>
        <w:pStyle w:val="Prrafodelista"/>
        <w:spacing w:line="360" w:lineRule="auto"/>
        <w:ind w:left="0" w:right="567"/>
        <w:contextualSpacing/>
        <w:rPr>
          <w:rFonts w:ascii="Palatino Linotype" w:eastAsiaTheme="minorEastAsia" w:hAnsi="Palatino Linotype" w:cstheme="minorBidi"/>
          <w:i/>
          <w:color w:val="000000" w:themeColor="text1"/>
          <w:lang w:val="es-ES_tradnl"/>
        </w:rPr>
      </w:pPr>
    </w:p>
    <w:p w14:paraId="5CDF046F" w14:textId="555546DC" w:rsidR="00DD02B8" w:rsidRPr="00655A8C" w:rsidRDefault="00923BD9" w:rsidP="00655A8C">
      <w:pPr>
        <w:pStyle w:val="Prrafodelista"/>
        <w:numPr>
          <w:ilvl w:val="0"/>
          <w:numId w:val="2"/>
        </w:numPr>
        <w:tabs>
          <w:tab w:val="left" w:pos="284"/>
          <w:tab w:val="left" w:pos="567"/>
        </w:tabs>
        <w:spacing w:before="100" w:beforeAutospacing="1" w:after="100" w:afterAutospacing="1" w:line="360" w:lineRule="auto"/>
        <w:ind w:left="0" w:firstLine="0"/>
        <w:contextualSpacing/>
        <w:jc w:val="both"/>
        <w:rPr>
          <w:rFonts w:ascii="Palatino Linotype" w:hAnsi="Palatino Linotype" w:cs="Arial"/>
          <w:color w:val="000000" w:themeColor="text1"/>
        </w:rPr>
      </w:pPr>
      <w:r w:rsidRPr="00655A8C">
        <w:rPr>
          <w:rFonts w:ascii="Palatino Linotype" w:hAnsi="Palatino Linotype" w:cs="Arial"/>
        </w:rPr>
        <w:lastRenderedPageBreak/>
        <w:t>Se hace constar que se señaló como modalidad de entrega de la información</w:t>
      </w:r>
      <w:r w:rsidRPr="00655A8C">
        <w:rPr>
          <w:rFonts w:ascii="Palatino Linotype" w:hAnsi="Palatino Linotype" w:cs="Arial"/>
          <w:b/>
        </w:rPr>
        <w:t>:</w:t>
      </w:r>
      <w:r w:rsidRPr="00655A8C">
        <w:rPr>
          <w:rFonts w:ascii="Palatino Linotype" w:hAnsi="Palatino Linotype" w:cs="Arial"/>
        </w:rPr>
        <w:t xml:space="preserve"> </w:t>
      </w:r>
      <w:r w:rsidRPr="00655A8C">
        <w:rPr>
          <w:rFonts w:ascii="Palatino Linotype" w:hAnsi="Palatino Linotype" w:cs="Arial"/>
          <w:b/>
        </w:rPr>
        <w:t>A través del SAIMEX.</w:t>
      </w:r>
    </w:p>
    <w:p w14:paraId="2092A427" w14:textId="77777777" w:rsidR="00DD02B8" w:rsidRPr="00655A8C" w:rsidRDefault="00DD02B8" w:rsidP="00655A8C">
      <w:pPr>
        <w:pStyle w:val="Prrafodelista"/>
        <w:tabs>
          <w:tab w:val="left" w:pos="426"/>
        </w:tabs>
        <w:spacing w:before="240" w:after="240" w:line="360" w:lineRule="auto"/>
        <w:ind w:left="0"/>
        <w:contextualSpacing/>
        <w:jc w:val="both"/>
        <w:rPr>
          <w:rFonts w:ascii="Palatino Linotype" w:eastAsia="MS Mincho" w:hAnsi="Palatino Linotype"/>
          <w:color w:val="000000" w:themeColor="text1"/>
          <w:lang w:val="es-ES_tradnl"/>
        </w:rPr>
      </w:pPr>
    </w:p>
    <w:p w14:paraId="3A130D6D" w14:textId="15ACA090" w:rsidR="002B2B24" w:rsidRPr="00655A8C" w:rsidRDefault="00845136" w:rsidP="00655A8C">
      <w:pPr>
        <w:pStyle w:val="Prrafodelista"/>
        <w:numPr>
          <w:ilvl w:val="0"/>
          <w:numId w:val="2"/>
        </w:numPr>
        <w:tabs>
          <w:tab w:val="left" w:pos="426"/>
        </w:tabs>
        <w:spacing w:before="240" w:after="240" w:line="360" w:lineRule="auto"/>
        <w:ind w:left="0" w:firstLine="0"/>
        <w:contextualSpacing/>
        <w:jc w:val="both"/>
        <w:rPr>
          <w:rFonts w:ascii="Palatino Linotype" w:eastAsia="MS Mincho" w:hAnsi="Palatino Linotype"/>
          <w:color w:val="000000" w:themeColor="text1"/>
          <w:lang w:val="es-ES_tradnl"/>
        </w:rPr>
      </w:pPr>
      <w:r>
        <w:rPr>
          <w:rFonts w:ascii="Palatino Linotype" w:eastAsiaTheme="minorEastAsia" w:hAnsi="Palatino Linotype" w:cstheme="minorBidi"/>
          <w:color w:val="000000" w:themeColor="text1"/>
          <w:lang w:val="es-ES_tradnl"/>
        </w:rPr>
        <w:t>El veinticinco (25</w:t>
      </w:r>
      <w:r w:rsidR="00BA3CDE" w:rsidRPr="00655A8C">
        <w:rPr>
          <w:rFonts w:ascii="Palatino Linotype" w:eastAsiaTheme="minorEastAsia" w:hAnsi="Palatino Linotype" w:cstheme="minorBidi"/>
          <w:color w:val="000000" w:themeColor="text1"/>
          <w:lang w:val="es-ES_tradnl"/>
        </w:rPr>
        <w:t>) de</w:t>
      </w:r>
      <w:r w:rsidR="00C36DF2" w:rsidRPr="00655A8C">
        <w:rPr>
          <w:rFonts w:ascii="Palatino Linotype" w:eastAsiaTheme="minorEastAsia" w:hAnsi="Palatino Linotype" w:cstheme="minorBidi"/>
          <w:color w:val="000000" w:themeColor="text1"/>
          <w:lang w:val="es-ES_tradnl"/>
        </w:rPr>
        <w:t xml:space="preserve"> marzo </w:t>
      </w:r>
      <w:r w:rsidR="003915BA" w:rsidRPr="00655A8C">
        <w:rPr>
          <w:rFonts w:ascii="Palatino Linotype" w:eastAsiaTheme="minorEastAsia" w:hAnsi="Palatino Linotype" w:cstheme="minorBidi"/>
          <w:color w:val="000000" w:themeColor="text1"/>
          <w:lang w:val="es-ES_tradnl"/>
        </w:rPr>
        <w:t>de dos mil veintidós</w:t>
      </w:r>
      <w:r w:rsidR="00EA0165" w:rsidRPr="00655A8C">
        <w:rPr>
          <w:rFonts w:ascii="Palatino Linotype" w:eastAsiaTheme="minorEastAsia" w:hAnsi="Palatino Linotype" w:cstheme="minorBidi"/>
          <w:color w:val="000000" w:themeColor="text1"/>
          <w:lang w:val="es-ES_tradnl"/>
        </w:rPr>
        <w:t xml:space="preserve">, el </w:t>
      </w:r>
      <w:r w:rsidR="00EA0165" w:rsidRPr="00655A8C">
        <w:rPr>
          <w:rFonts w:ascii="Palatino Linotype" w:eastAsiaTheme="minorEastAsia" w:hAnsi="Palatino Linotype" w:cstheme="minorBidi"/>
          <w:b/>
          <w:color w:val="000000" w:themeColor="text1"/>
          <w:lang w:val="es-ES_tradnl"/>
        </w:rPr>
        <w:t>SUJETO OBLIGADO</w:t>
      </w:r>
      <w:r w:rsidR="00EA0165" w:rsidRPr="00655A8C">
        <w:rPr>
          <w:rFonts w:ascii="Palatino Linotype" w:eastAsiaTheme="minorEastAsia" w:hAnsi="Palatino Linotype" w:cstheme="minorBidi"/>
          <w:color w:val="000000" w:themeColor="text1"/>
          <w:lang w:val="es-ES_tradnl"/>
        </w:rPr>
        <w:t xml:space="preserve"> dio respuesta a la solicitud de información en los siguientes términos:</w:t>
      </w:r>
    </w:p>
    <w:p w14:paraId="23B8908C" w14:textId="77777777" w:rsidR="00D01CEF" w:rsidRPr="00655A8C" w:rsidRDefault="00D01CEF" w:rsidP="00655A8C">
      <w:pPr>
        <w:pStyle w:val="Prrafodelista"/>
        <w:tabs>
          <w:tab w:val="left" w:pos="426"/>
        </w:tabs>
        <w:spacing w:before="240" w:after="240" w:line="360" w:lineRule="auto"/>
        <w:ind w:left="0"/>
        <w:contextualSpacing/>
        <w:jc w:val="both"/>
        <w:rPr>
          <w:rFonts w:ascii="Palatino Linotype" w:eastAsia="MS Mincho" w:hAnsi="Palatino Linotype"/>
          <w:color w:val="000000" w:themeColor="text1"/>
          <w:lang w:val="es-ES_tradnl"/>
        </w:rPr>
      </w:pPr>
    </w:p>
    <w:p w14:paraId="662009FF" w14:textId="77777777" w:rsidR="00845136" w:rsidRPr="00845136" w:rsidRDefault="00EA0165" w:rsidP="00845136">
      <w:pPr>
        <w:spacing w:line="360" w:lineRule="auto"/>
        <w:ind w:left="567" w:right="567"/>
        <w:jc w:val="right"/>
        <w:rPr>
          <w:rFonts w:ascii="Palatino Linotype" w:eastAsiaTheme="minorEastAsia" w:hAnsi="Palatino Linotype" w:cstheme="minorBidi"/>
          <w:i/>
          <w:noProof/>
          <w:color w:val="000000" w:themeColor="text1"/>
          <w:lang w:val="es-MX" w:eastAsia="es-MX"/>
        </w:rPr>
      </w:pPr>
      <w:r w:rsidRPr="00655A8C">
        <w:rPr>
          <w:rFonts w:ascii="Palatino Linotype" w:eastAsiaTheme="minorEastAsia" w:hAnsi="Palatino Linotype" w:cstheme="minorBidi"/>
          <w:i/>
          <w:noProof/>
          <w:color w:val="000000" w:themeColor="text1"/>
          <w:lang w:val="es-MX" w:eastAsia="es-MX"/>
        </w:rPr>
        <w:t>“</w:t>
      </w:r>
      <w:r w:rsidR="00845136" w:rsidRPr="00845136">
        <w:rPr>
          <w:rFonts w:ascii="Palatino Linotype" w:eastAsiaTheme="minorEastAsia" w:hAnsi="Palatino Linotype" w:cstheme="minorBidi"/>
          <w:i/>
          <w:noProof/>
          <w:color w:val="000000" w:themeColor="text1"/>
          <w:lang w:val="es-MX" w:eastAsia="es-MX"/>
        </w:rPr>
        <w:t>Texcaltitlán, México a 25 de Marzo de 2022</w:t>
      </w:r>
    </w:p>
    <w:p w14:paraId="762C7864" w14:textId="77777777" w:rsidR="00845136" w:rsidRPr="00845136" w:rsidRDefault="00845136" w:rsidP="00845136">
      <w:pPr>
        <w:spacing w:line="360" w:lineRule="auto"/>
        <w:ind w:left="567" w:right="567"/>
        <w:jc w:val="right"/>
        <w:rPr>
          <w:rFonts w:ascii="Palatino Linotype" w:eastAsiaTheme="minorEastAsia" w:hAnsi="Palatino Linotype" w:cstheme="minorBidi"/>
          <w:i/>
          <w:noProof/>
          <w:color w:val="000000" w:themeColor="text1"/>
          <w:lang w:val="es-MX" w:eastAsia="es-MX"/>
        </w:rPr>
      </w:pPr>
      <w:r w:rsidRPr="00845136">
        <w:rPr>
          <w:rFonts w:ascii="Palatino Linotype" w:eastAsiaTheme="minorEastAsia" w:hAnsi="Palatino Linotype" w:cstheme="minorBidi"/>
          <w:i/>
          <w:noProof/>
          <w:color w:val="000000" w:themeColor="text1"/>
          <w:lang w:val="es-MX" w:eastAsia="es-MX"/>
        </w:rPr>
        <w:t>Nombre del solicitante: C. Solicitante</w:t>
      </w:r>
    </w:p>
    <w:p w14:paraId="23137EBA" w14:textId="5D6FF46E" w:rsidR="00845136" w:rsidRDefault="00845136" w:rsidP="00845136">
      <w:pPr>
        <w:spacing w:line="360" w:lineRule="auto"/>
        <w:ind w:left="567" w:right="567"/>
        <w:jc w:val="right"/>
        <w:rPr>
          <w:rFonts w:ascii="Palatino Linotype" w:eastAsiaTheme="minorEastAsia" w:hAnsi="Palatino Linotype" w:cstheme="minorBidi"/>
          <w:i/>
          <w:noProof/>
          <w:color w:val="000000" w:themeColor="text1"/>
          <w:lang w:val="es-MX" w:eastAsia="es-MX"/>
        </w:rPr>
      </w:pPr>
      <w:r w:rsidRPr="00845136">
        <w:rPr>
          <w:rFonts w:ascii="Palatino Linotype" w:eastAsiaTheme="minorEastAsia" w:hAnsi="Palatino Linotype" w:cstheme="minorBidi"/>
          <w:i/>
          <w:noProof/>
          <w:color w:val="000000" w:themeColor="text1"/>
          <w:lang w:val="es-MX" w:eastAsia="es-MX"/>
        </w:rPr>
        <w:t>Folio de la solicitud: 00018/TEXCALTI/IP/2022</w:t>
      </w:r>
    </w:p>
    <w:p w14:paraId="2B01112E" w14:textId="77777777" w:rsidR="00845136" w:rsidRPr="00845136" w:rsidRDefault="00845136" w:rsidP="00845136">
      <w:pPr>
        <w:spacing w:line="360" w:lineRule="auto"/>
        <w:ind w:left="567" w:right="567"/>
        <w:jc w:val="right"/>
        <w:rPr>
          <w:rFonts w:ascii="Palatino Linotype" w:eastAsiaTheme="minorEastAsia" w:hAnsi="Palatino Linotype" w:cstheme="minorBidi"/>
          <w:i/>
          <w:noProof/>
          <w:color w:val="000000" w:themeColor="text1"/>
          <w:lang w:val="es-MX" w:eastAsia="es-MX"/>
        </w:rPr>
      </w:pPr>
    </w:p>
    <w:p w14:paraId="3DF17CB6" w14:textId="72E45110" w:rsidR="00845136" w:rsidRDefault="00845136" w:rsidP="00845136">
      <w:pPr>
        <w:spacing w:line="360" w:lineRule="auto"/>
        <w:ind w:left="567" w:right="567"/>
        <w:jc w:val="both"/>
        <w:rPr>
          <w:rFonts w:ascii="Palatino Linotype" w:eastAsiaTheme="minorEastAsia" w:hAnsi="Palatino Linotype" w:cstheme="minorBidi"/>
          <w:i/>
          <w:noProof/>
          <w:color w:val="000000" w:themeColor="text1"/>
          <w:lang w:val="es-MX" w:eastAsia="es-MX"/>
        </w:rPr>
      </w:pPr>
      <w:r w:rsidRPr="00845136">
        <w:rPr>
          <w:rFonts w:ascii="Palatino Linotype" w:eastAsiaTheme="minorEastAsia" w:hAnsi="Palatino Linotype" w:cstheme="minorBidi"/>
          <w:i/>
          <w:noProof/>
          <w:color w:val="000000" w:themeColor="text1"/>
          <w:lang w:val="es-MX" w:eastAsia="es-MX"/>
        </w:rPr>
        <w:t>Se solicito una prorroga ya que dicha área no cuenta con información digital del año 2016 a 2018, dicha área se encuentra en el archivo municipal,y esta área no cuenta con personal suficiente para realizar la búsqueda.</w:t>
      </w:r>
    </w:p>
    <w:p w14:paraId="3C06D9E9" w14:textId="77777777" w:rsidR="00845136" w:rsidRPr="00845136" w:rsidRDefault="00845136" w:rsidP="00845136">
      <w:pPr>
        <w:spacing w:line="360" w:lineRule="auto"/>
        <w:ind w:left="567" w:right="567"/>
        <w:jc w:val="right"/>
        <w:rPr>
          <w:rFonts w:ascii="Palatino Linotype" w:eastAsiaTheme="minorEastAsia" w:hAnsi="Palatino Linotype" w:cstheme="minorBidi"/>
          <w:i/>
          <w:noProof/>
          <w:color w:val="000000" w:themeColor="text1"/>
          <w:lang w:val="es-MX" w:eastAsia="es-MX"/>
        </w:rPr>
      </w:pPr>
    </w:p>
    <w:p w14:paraId="744A3578" w14:textId="77777777" w:rsidR="00845136" w:rsidRPr="00845136" w:rsidRDefault="00845136" w:rsidP="00845136">
      <w:pPr>
        <w:spacing w:line="360" w:lineRule="auto"/>
        <w:ind w:left="567" w:right="567"/>
        <w:rPr>
          <w:rFonts w:ascii="Palatino Linotype" w:eastAsiaTheme="minorEastAsia" w:hAnsi="Palatino Linotype" w:cstheme="minorBidi"/>
          <w:i/>
          <w:noProof/>
          <w:color w:val="000000" w:themeColor="text1"/>
          <w:lang w:val="es-MX" w:eastAsia="es-MX"/>
        </w:rPr>
      </w:pPr>
      <w:r w:rsidRPr="00845136">
        <w:rPr>
          <w:rFonts w:ascii="Palatino Linotype" w:eastAsiaTheme="minorEastAsia" w:hAnsi="Palatino Linotype" w:cstheme="minorBidi"/>
          <w:i/>
          <w:noProof/>
          <w:color w:val="000000" w:themeColor="text1"/>
          <w:lang w:val="es-MX" w:eastAsia="es-MX"/>
        </w:rPr>
        <w:t>ATENTAMENTE</w:t>
      </w:r>
    </w:p>
    <w:p w14:paraId="3FD7499C" w14:textId="31F9DF8A" w:rsidR="00D01CEF" w:rsidRPr="00655A8C" w:rsidRDefault="00845136" w:rsidP="00845136">
      <w:pPr>
        <w:spacing w:line="360" w:lineRule="auto"/>
        <w:ind w:left="567" w:right="567"/>
        <w:rPr>
          <w:rFonts w:ascii="Palatino Linotype" w:eastAsiaTheme="minorEastAsia" w:hAnsi="Palatino Linotype" w:cstheme="minorBidi"/>
          <w:i/>
          <w:noProof/>
          <w:color w:val="000000" w:themeColor="text1"/>
          <w:lang w:val="es-MX" w:eastAsia="es-MX"/>
        </w:rPr>
      </w:pPr>
      <w:r w:rsidRPr="00845136">
        <w:rPr>
          <w:rFonts w:ascii="Palatino Linotype" w:eastAsiaTheme="minorEastAsia" w:hAnsi="Palatino Linotype" w:cstheme="minorBidi"/>
          <w:i/>
          <w:noProof/>
          <w:color w:val="000000" w:themeColor="text1"/>
          <w:lang w:val="es-MX" w:eastAsia="es-MX"/>
        </w:rPr>
        <w:t>Lic. Ricardo Vazquez Castañeda</w:t>
      </w:r>
      <w:r w:rsidR="001A0598" w:rsidRPr="00655A8C">
        <w:rPr>
          <w:rFonts w:ascii="Palatino Linotype" w:eastAsiaTheme="minorEastAsia" w:hAnsi="Palatino Linotype" w:cstheme="minorBidi"/>
          <w:i/>
          <w:noProof/>
          <w:color w:val="000000" w:themeColor="text1"/>
          <w:lang w:val="es-MX" w:eastAsia="es-MX"/>
        </w:rPr>
        <w:t>.” (Sic)</w:t>
      </w:r>
    </w:p>
    <w:p w14:paraId="7F7BAB7C" w14:textId="77777777" w:rsidR="00E3070E" w:rsidRPr="00655A8C" w:rsidRDefault="00E3070E" w:rsidP="00655A8C">
      <w:pPr>
        <w:spacing w:line="360" w:lineRule="auto"/>
        <w:ind w:left="567" w:right="567"/>
        <w:rPr>
          <w:rFonts w:ascii="Palatino Linotype" w:eastAsiaTheme="minorEastAsia" w:hAnsi="Palatino Linotype" w:cstheme="minorBidi"/>
          <w:i/>
          <w:noProof/>
          <w:color w:val="000000" w:themeColor="text1"/>
          <w:lang w:val="es-MX" w:eastAsia="es-MX"/>
        </w:rPr>
      </w:pPr>
    </w:p>
    <w:p w14:paraId="1AA97197" w14:textId="3C70D1C4" w:rsidR="00EA0165" w:rsidRPr="00655A8C" w:rsidRDefault="00EA0165" w:rsidP="00655A8C">
      <w:pPr>
        <w:pStyle w:val="Prrafodelista"/>
        <w:numPr>
          <w:ilvl w:val="0"/>
          <w:numId w:val="2"/>
        </w:numPr>
        <w:tabs>
          <w:tab w:val="left" w:pos="284"/>
          <w:tab w:val="left" w:pos="426"/>
        </w:tabs>
        <w:spacing w:line="360" w:lineRule="auto"/>
        <w:ind w:left="0" w:firstLine="0"/>
        <w:contextualSpacing/>
        <w:jc w:val="both"/>
        <w:rPr>
          <w:rFonts w:ascii="Palatino Linotype" w:eastAsiaTheme="minorEastAsia" w:hAnsi="Palatino Linotype" w:cstheme="minorBidi"/>
          <w:color w:val="000000" w:themeColor="text1"/>
          <w:lang w:val="es-ES_tradnl"/>
        </w:rPr>
      </w:pPr>
      <w:r w:rsidRPr="00655A8C">
        <w:rPr>
          <w:rFonts w:ascii="Palatino Linotype" w:eastAsiaTheme="minorEastAsia" w:hAnsi="Palatino Linotype" w:cstheme="minorBidi"/>
          <w:color w:val="000000" w:themeColor="text1"/>
          <w:lang w:val="es-ES_tradnl"/>
        </w:rPr>
        <w:t xml:space="preserve">Asimismo, el </w:t>
      </w:r>
      <w:r w:rsidRPr="00655A8C">
        <w:rPr>
          <w:rFonts w:ascii="Palatino Linotype" w:eastAsiaTheme="minorEastAsia" w:hAnsi="Palatino Linotype" w:cstheme="minorBidi"/>
          <w:b/>
          <w:bCs/>
          <w:color w:val="000000" w:themeColor="text1"/>
          <w:lang w:val="es-ES_tradnl"/>
        </w:rPr>
        <w:t>SUJETO OBLIGADO</w:t>
      </w:r>
      <w:r w:rsidRPr="00655A8C">
        <w:rPr>
          <w:rFonts w:ascii="Palatino Linotype" w:eastAsiaTheme="minorEastAsia" w:hAnsi="Palatino Linotype" w:cstheme="minorBidi"/>
          <w:color w:val="000000" w:themeColor="text1"/>
          <w:lang w:val="es-ES_tradnl"/>
        </w:rPr>
        <w:t xml:space="preserve"> adjuntó a su respuesta </w:t>
      </w:r>
      <w:r w:rsidR="009B5F4C" w:rsidRPr="00655A8C">
        <w:rPr>
          <w:rFonts w:ascii="Palatino Linotype" w:eastAsiaTheme="minorEastAsia" w:hAnsi="Palatino Linotype" w:cstheme="minorBidi"/>
          <w:color w:val="000000" w:themeColor="text1"/>
          <w:lang w:val="es-ES_tradnl"/>
        </w:rPr>
        <w:t xml:space="preserve">los </w:t>
      </w:r>
      <w:r w:rsidR="00F11AAF" w:rsidRPr="00655A8C">
        <w:rPr>
          <w:rFonts w:ascii="Palatino Linotype" w:eastAsiaTheme="minorEastAsia" w:hAnsi="Palatino Linotype" w:cstheme="minorBidi"/>
          <w:color w:val="000000" w:themeColor="text1"/>
          <w:lang w:val="es-ES_tradnl"/>
        </w:rPr>
        <w:t>archivo</w:t>
      </w:r>
      <w:r w:rsidR="009B5F4C" w:rsidRPr="00655A8C">
        <w:rPr>
          <w:rFonts w:ascii="Palatino Linotype" w:eastAsiaTheme="minorEastAsia" w:hAnsi="Palatino Linotype" w:cstheme="minorBidi"/>
          <w:color w:val="000000" w:themeColor="text1"/>
          <w:lang w:val="es-ES_tradnl"/>
        </w:rPr>
        <w:t>s</w:t>
      </w:r>
      <w:r w:rsidR="00376142" w:rsidRPr="00655A8C">
        <w:rPr>
          <w:rFonts w:ascii="Palatino Linotype" w:eastAsiaTheme="minorEastAsia" w:hAnsi="Palatino Linotype" w:cstheme="minorBidi"/>
          <w:color w:val="000000" w:themeColor="text1"/>
          <w:lang w:val="es-ES_tradnl"/>
        </w:rPr>
        <w:t xml:space="preserve"> </w:t>
      </w:r>
      <w:r w:rsidRPr="00655A8C">
        <w:rPr>
          <w:rFonts w:ascii="Palatino Linotype" w:eastAsiaTheme="minorEastAsia" w:hAnsi="Palatino Linotype" w:cstheme="minorBidi"/>
          <w:color w:val="000000" w:themeColor="text1"/>
          <w:lang w:val="es-ES_tradnl"/>
        </w:rPr>
        <w:t>electrónico</w:t>
      </w:r>
      <w:r w:rsidR="00AE125E" w:rsidRPr="00655A8C">
        <w:rPr>
          <w:rFonts w:ascii="Palatino Linotype" w:eastAsiaTheme="minorEastAsia" w:hAnsi="Palatino Linotype" w:cstheme="minorBidi"/>
          <w:color w:val="000000" w:themeColor="text1"/>
          <w:lang w:val="es-ES_tradnl"/>
        </w:rPr>
        <w:t>s</w:t>
      </w:r>
      <w:r w:rsidRPr="00655A8C">
        <w:rPr>
          <w:rFonts w:ascii="Palatino Linotype" w:eastAsiaTheme="minorEastAsia" w:hAnsi="Palatino Linotype" w:cstheme="minorBidi"/>
          <w:color w:val="000000" w:themeColor="text1"/>
          <w:lang w:val="es-ES_tradnl"/>
        </w:rPr>
        <w:t xml:space="preserve"> que se describe</w:t>
      </w:r>
      <w:r w:rsidR="00BF0B64" w:rsidRPr="00655A8C">
        <w:rPr>
          <w:rFonts w:ascii="Palatino Linotype" w:eastAsiaTheme="minorEastAsia" w:hAnsi="Palatino Linotype" w:cstheme="minorBidi"/>
          <w:color w:val="000000" w:themeColor="text1"/>
          <w:lang w:val="es-ES_tradnl"/>
        </w:rPr>
        <w:t>n</w:t>
      </w:r>
      <w:r w:rsidRPr="00655A8C">
        <w:rPr>
          <w:rFonts w:ascii="Palatino Linotype" w:eastAsiaTheme="minorEastAsia" w:hAnsi="Palatino Linotype" w:cstheme="minorBidi"/>
          <w:color w:val="000000" w:themeColor="text1"/>
          <w:lang w:val="es-ES_tradnl"/>
        </w:rPr>
        <w:t xml:space="preserve"> a continuación:</w:t>
      </w:r>
    </w:p>
    <w:p w14:paraId="2C4ABD59" w14:textId="77777777" w:rsidR="00A3314E" w:rsidRPr="00655A8C" w:rsidRDefault="00A3314E" w:rsidP="00655A8C">
      <w:pPr>
        <w:pStyle w:val="Prrafodelista"/>
        <w:tabs>
          <w:tab w:val="left" w:pos="284"/>
          <w:tab w:val="left" w:pos="426"/>
        </w:tabs>
        <w:spacing w:line="360" w:lineRule="auto"/>
        <w:ind w:left="0"/>
        <w:contextualSpacing/>
        <w:jc w:val="both"/>
        <w:rPr>
          <w:rFonts w:ascii="Palatino Linotype" w:eastAsiaTheme="minorEastAsia" w:hAnsi="Palatino Linotype" w:cstheme="minorBidi"/>
          <w:color w:val="000000" w:themeColor="text1"/>
          <w:lang w:val="es-ES_tradnl"/>
        </w:rPr>
      </w:pPr>
    </w:p>
    <w:p w14:paraId="54BE6202" w14:textId="77777777" w:rsidR="0049380B" w:rsidRDefault="004942B1" w:rsidP="00655A8C">
      <w:pPr>
        <w:pStyle w:val="Prrafodelista"/>
        <w:numPr>
          <w:ilvl w:val="0"/>
          <w:numId w:val="5"/>
        </w:numPr>
        <w:tabs>
          <w:tab w:val="left" w:pos="207"/>
          <w:tab w:val="left" w:pos="284"/>
          <w:tab w:val="left" w:pos="993"/>
          <w:tab w:val="left" w:pos="1134"/>
        </w:tabs>
        <w:spacing w:line="360" w:lineRule="auto"/>
        <w:ind w:left="567" w:right="616" w:firstLine="0"/>
        <w:contextualSpacing/>
        <w:jc w:val="both"/>
        <w:rPr>
          <w:rFonts w:ascii="Palatino Linotype" w:eastAsiaTheme="minorEastAsia" w:hAnsi="Palatino Linotype" w:cstheme="minorBidi"/>
          <w:color w:val="000000" w:themeColor="text1"/>
          <w:lang w:val="es-ES_tradnl"/>
        </w:rPr>
      </w:pPr>
      <w:hyperlink r:id="rId8" w:tgtFrame="_blank" w:history="1">
        <w:r w:rsidR="00845136" w:rsidRPr="00845136">
          <w:rPr>
            <w:rStyle w:val="Hipervnculo"/>
            <w:rFonts w:ascii="Palatino Linotype" w:hAnsi="Palatino Linotype"/>
            <w:b/>
            <w:bCs/>
            <w:color w:val="auto"/>
            <w:u w:val="none"/>
          </w:rPr>
          <w:t>oficio prorogga.pdf</w:t>
        </w:r>
      </w:hyperlink>
      <w:hyperlink r:id="rId9" w:tgtFrame="_blank" w:history="1">
        <w:r w:rsidR="004669A4">
          <w:rPr>
            <w:rStyle w:val="Hipervnculo"/>
          </w:rPr>
          <w:t>https://www.saimex.org.mx/saimex/solicitud/downloadAttach/1356738.page</w:t>
        </w:r>
      </w:hyperlink>
      <w:r w:rsidR="00556E99" w:rsidRPr="00845136">
        <w:rPr>
          <w:rFonts w:ascii="Palatino Linotype" w:eastAsiaTheme="minorEastAsia" w:hAnsi="Palatino Linotype" w:cstheme="minorBidi"/>
          <w:b/>
          <w:lang w:val="es-ES_tradnl"/>
        </w:rPr>
        <w:t>:</w:t>
      </w:r>
      <w:r w:rsidR="00556E99" w:rsidRPr="00845136">
        <w:rPr>
          <w:rFonts w:ascii="Palatino Linotype" w:eastAsiaTheme="minorEastAsia" w:hAnsi="Palatino Linotype" w:cstheme="minorBidi"/>
          <w:lang w:val="es-ES_tradnl"/>
        </w:rPr>
        <w:t xml:space="preserve"> </w:t>
      </w:r>
      <w:r w:rsidR="00556E99" w:rsidRPr="00655A8C">
        <w:rPr>
          <w:rFonts w:ascii="Palatino Linotype" w:eastAsiaTheme="minorEastAsia" w:hAnsi="Palatino Linotype" w:cstheme="minorBidi"/>
          <w:color w:val="000000" w:themeColor="text1"/>
          <w:lang w:val="es-ES_tradnl"/>
        </w:rPr>
        <w:t>D</w:t>
      </w:r>
      <w:r w:rsidR="00923BD9" w:rsidRPr="00655A8C">
        <w:rPr>
          <w:rFonts w:ascii="Palatino Linotype" w:eastAsiaTheme="minorEastAsia" w:hAnsi="Palatino Linotype" w:cstheme="minorBidi"/>
          <w:color w:val="000000" w:themeColor="text1"/>
          <w:lang w:val="es-ES_tradnl"/>
        </w:rPr>
        <w:t xml:space="preserve">ocumento </w:t>
      </w:r>
      <w:r w:rsidR="00850F99" w:rsidRPr="00655A8C">
        <w:rPr>
          <w:rFonts w:ascii="Palatino Linotype" w:eastAsiaTheme="minorEastAsia" w:hAnsi="Palatino Linotype" w:cstheme="minorBidi"/>
          <w:color w:val="000000" w:themeColor="text1"/>
          <w:lang w:val="es-ES_tradnl"/>
        </w:rPr>
        <w:t>electrónico que en</w:t>
      </w:r>
      <w:r w:rsidR="00845136">
        <w:rPr>
          <w:rFonts w:ascii="Palatino Linotype" w:eastAsiaTheme="minorEastAsia" w:hAnsi="Palatino Linotype" w:cstheme="minorBidi"/>
          <w:color w:val="000000" w:themeColor="text1"/>
          <w:lang w:val="es-ES_tradnl"/>
        </w:rPr>
        <w:t xml:space="preserve"> una (019 hoja contiene el </w:t>
      </w:r>
      <w:r w:rsidR="00845136">
        <w:rPr>
          <w:rFonts w:ascii="Palatino Linotype" w:eastAsiaTheme="minorEastAsia" w:hAnsi="Palatino Linotype" w:cstheme="minorBidi"/>
          <w:color w:val="000000" w:themeColor="text1"/>
          <w:lang w:val="es-ES_tradnl"/>
        </w:rPr>
        <w:lastRenderedPageBreak/>
        <w:t xml:space="preserve">oficio TMT/36/2022 dirigido al Titular de </w:t>
      </w:r>
      <w:r w:rsidR="0049380B">
        <w:rPr>
          <w:rFonts w:ascii="Palatino Linotype" w:eastAsiaTheme="minorEastAsia" w:hAnsi="Palatino Linotype" w:cstheme="minorBidi"/>
          <w:color w:val="000000" w:themeColor="text1"/>
          <w:lang w:val="es-ES_tradnl"/>
        </w:rPr>
        <w:t>Transparencia</w:t>
      </w:r>
      <w:r w:rsidR="00845136">
        <w:rPr>
          <w:rFonts w:ascii="Palatino Linotype" w:eastAsiaTheme="minorEastAsia" w:hAnsi="Palatino Linotype" w:cstheme="minorBidi"/>
          <w:color w:val="000000" w:themeColor="text1"/>
          <w:lang w:val="es-ES_tradnl"/>
        </w:rPr>
        <w:t xml:space="preserve"> e </w:t>
      </w:r>
      <w:r w:rsidR="0049380B">
        <w:rPr>
          <w:rFonts w:ascii="Palatino Linotype" w:eastAsiaTheme="minorEastAsia" w:hAnsi="Palatino Linotype" w:cstheme="minorBidi"/>
          <w:color w:val="000000" w:themeColor="text1"/>
          <w:lang w:val="es-ES_tradnl"/>
        </w:rPr>
        <w:t>Informática y suscrito por el Subtesorero Municipal mediante el cual refiere que:</w:t>
      </w:r>
    </w:p>
    <w:p w14:paraId="535B9955" w14:textId="67524588" w:rsidR="00850F99" w:rsidRPr="00655A8C" w:rsidRDefault="0049380B" w:rsidP="0049380B">
      <w:pPr>
        <w:pStyle w:val="Prrafodelista"/>
        <w:tabs>
          <w:tab w:val="left" w:pos="207"/>
          <w:tab w:val="left" w:pos="284"/>
          <w:tab w:val="left" w:pos="993"/>
          <w:tab w:val="left" w:pos="1134"/>
        </w:tabs>
        <w:spacing w:line="360" w:lineRule="auto"/>
        <w:ind w:left="567" w:right="616"/>
        <w:contextualSpacing/>
        <w:jc w:val="both"/>
        <w:rPr>
          <w:rFonts w:ascii="Palatino Linotype" w:eastAsiaTheme="minorEastAsia" w:hAnsi="Palatino Linotype" w:cstheme="minorBidi"/>
          <w:color w:val="000000" w:themeColor="text1"/>
          <w:lang w:val="es-ES_tradnl"/>
        </w:rPr>
      </w:pPr>
      <w:r w:rsidRPr="0049380B">
        <w:rPr>
          <w:rFonts w:ascii="Palatino Linotype" w:eastAsiaTheme="minorEastAsia" w:hAnsi="Palatino Linotype" w:cstheme="minorBidi"/>
          <w:i/>
          <w:color w:val="000000" w:themeColor="text1"/>
          <w:lang w:val="es-ES_tradnl"/>
        </w:rPr>
        <w:t>“…le solicito una prórroga de tiempo para la entrega de la documentación requerida. El motivo deriva de que a partir del año 2016 al 2018 no se encuentran archivos de forma digital, solo se encuentran la forma física en el archivo municipal y no se cuenta con el personal suficiente para realizar dicha búsqueda</w:t>
      </w:r>
      <w:r>
        <w:rPr>
          <w:rFonts w:ascii="Palatino Linotype" w:eastAsiaTheme="minorEastAsia" w:hAnsi="Palatino Linotype" w:cstheme="minorBidi"/>
          <w:color w:val="000000" w:themeColor="text1"/>
          <w:lang w:val="es-ES_tradnl"/>
        </w:rPr>
        <w:t xml:space="preserve"> …”</w:t>
      </w:r>
    </w:p>
    <w:p w14:paraId="7132F863" w14:textId="1410AF78" w:rsidR="00A3314E" w:rsidRPr="00655A8C" w:rsidRDefault="00A3314E" w:rsidP="00655A8C">
      <w:pPr>
        <w:tabs>
          <w:tab w:val="left" w:pos="284"/>
          <w:tab w:val="left" w:pos="426"/>
          <w:tab w:val="left" w:pos="993"/>
          <w:tab w:val="left" w:pos="1134"/>
        </w:tabs>
        <w:spacing w:line="360" w:lineRule="auto"/>
        <w:ind w:right="616"/>
        <w:contextualSpacing/>
        <w:jc w:val="both"/>
        <w:rPr>
          <w:rFonts w:ascii="Palatino Linotype" w:eastAsiaTheme="minorEastAsia" w:hAnsi="Palatino Linotype" w:cstheme="minorBidi"/>
          <w:color w:val="000000" w:themeColor="text1"/>
          <w:lang w:val="es-ES_tradnl"/>
        </w:rPr>
      </w:pPr>
    </w:p>
    <w:p w14:paraId="69AB4DFF" w14:textId="211B9E48" w:rsidR="0049380B" w:rsidRDefault="0049380B" w:rsidP="00655A8C">
      <w:pPr>
        <w:pStyle w:val="Prrafodelista"/>
        <w:numPr>
          <w:ilvl w:val="0"/>
          <w:numId w:val="2"/>
        </w:numPr>
        <w:tabs>
          <w:tab w:val="left" w:pos="0"/>
          <w:tab w:val="left" w:pos="426"/>
        </w:tabs>
        <w:spacing w:line="360" w:lineRule="auto"/>
        <w:ind w:left="0" w:firstLine="0"/>
        <w:contextualSpacing/>
        <w:jc w:val="both"/>
        <w:rPr>
          <w:rFonts w:ascii="Palatino Linotype" w:eastAsiaTheme="minorEastAsia" w:hAnsi="Palatino Linotype" w:cstheme="minorBidi"/>
          <w:color w:val="000000" w:themeColor="text1"/>
          <w:lang w:val="es-ES_tradnl"/>
        </w:rPr>
      </w:pPr>
      <w:r>
        <w:rPr>
          <w:rFonts w:ascii="Palatino Linotype" w:eastAsiaTheme="minorEastAsia" w:hAnsi="Palatino Linotype" w:cstheme="minorBidi"/>
          <w:color w:val="000000" w:themeColor="text1"/>
          <w:lang w:val="es-ES_tradnl"/>
        </w:rPr>
        <w:t xml:space="preserve">Así es necesario señalar que la prórroga solicitada no se encuentra acorde con lo dispuesto por la Ley de Transparencia y Acceso a la Información pública del Estado de México y Municipios, al no encentrase aprobada por el Comité de Transparencia. </w:t>
      </w:r>
    </w:p>
    <w:p w14:paraId="11E703F4" w14:textId="77777777" w:rsidR="0049380B" w:rsidRPr="0049380B" w:rsidRDefault="0049380B" w:rsidP="0049380B">
      <w:pPr>
        <w:pStyle w:val="Prrafodelista"/>
        <w:tabs>
          <w:tab w:val="left" w:pos="0"/>
          <w:tab w:val="left" w:pos="426"/>
        </w:tabs>
        <w:spacing w:line="360" w:lineRule="auto"/>
        <w:ind w:left="0"/>
        <w:contextualSpacing/>
        <w:jc w:val="both"/>
        <w:rPr>
          <w:rFonts w:ascii="Palatino Linotype" w:eastAsiaTheme="minorEastAsia" w:hAnsi="Palatino Linotype" w:cstheme="minorBidi"/>
          <w:color w:val="000000" w:themeColor="text1"/>
          <w:lang w:val="es-ES_tradnl"/>
        </w:rPr>
      </w:pPr>
    </w:p>
    <w:p w14:paraId="4BB5C5BA" w14:textId="3ACC43AE" w:rsidR="00EA0165" w:rsidRPr="00655A8C" w:rsidRDefault="0049380B" w:rsidP="00655A8C">
      <w:pPr>
        <w:pStyle w:val="Prrafodelista"/>
        <w:numPr>
          <w:ilvl w:val="0"/>
          <w:numId w:val="2"/>
        </w:numPr>
        <w:tabs>
          <w:tab w:val="left" w:pos="0"/>
          <w:tab w:val="left" w:pos="426"/>
        </w:tabs>
        <w:spacing w:line="360" w:lineRule="auto"/>
        <w:ind w:left="0" w:firstLine="0"/>
        <w:contextualSpacing/>
        <w:jc w:val="both"/>
        <w:rPr>
          <w:rFonts w:ascii="Palatino Linotype" w:eastAsiaTheme="minorEastAsia" w:hAnsi="Palatino Linotype" w:cstheme="minorBidi"/>
          <w:color w:val="000000" w:themeColor="text1"/>
          <w:lang w:val="es-ES_tradnl"/>
        </w:rPr>
      </w:pPr>
      <w:r>
        <w:rPr>
          <w:rFonts w:ascii="Palatino Linotype" w:hAnsi="Palatino Linotype" w:cs="Arial"/>
          <w:color w:val="000000" w:themeColor="text1"/>
        </w:rPr>
        <w:t>Derivado de la manifestación</w:t>
      </w:r>
      <w:r w:rsidR="00EA0165" w:rsidRPr="00655A8C">
        <w:rPr>
          <w:rFonts w:ascii="Palatino Linotype" w:hAnsi="Palatino Linotype" w:cs="Arial"/>
          <w:color w:val="000000" w:themeColor="text1"/>
        </w:rPr>
        <w:t xml:space="preserve"> emitida por el </w:t>
      </w:r>
      <w:r w:rsidR="00EA0165" w:rsidRPr="00655A8C">
        <w:rPr>
          <w:rFonts w:ascii="Palatino Linotype" w:hAnsi="Palatino Linotype" w:cs="Arial"/>
          <w:b/>
          <w:color w:val="000000" w:themeColor="text1"/>
        </w:rPr>
        <w:t>SUJETO OBLIGADO</w:t>
      </w:r>
      <w:r w:rsidR="00EA0165" w:rsidRPr="00655A8C">
        <w:rPr>
          <w:rFonts w:ascii="Palatino Linotype" w:hAnsi="Palatino Linotype" w:cs="Arial"/>
          <w:color w:val="000000" w:themeColor="text1"/>
        </w:rPr>
        <w:t>, e</w:t>
      </w:r>
      <w:r>
        <w:rPr>
          <w:rFonts w:ascii="Palatino Linotype" w:hAnsi="Palatino Linotype" w:cs="Arial"/>
          <w:color w:val="000000" w:themeColor="text1"/>
        </w:rPr>
        <w:t>l veintinueve (29</w:t>
      </w:r>
      <w:r w:rsidR="00AB7DB9" w:rsidRPr="00655A8C">
        <w:rPr>
          <w:rFonts w:ascii="Palatino Linotype" w:hAnsi="Palatino Linotype" w:cs="Arial"/>
          <w:color w:val="000000" w:themeColor="text1"/>
        </w:rPr>
        <w:t>)</w:t>
      </w:r>
      <w:r w:rsidR="008225FA" w:rsidRPr="00655A8C">
        <w:rPr>
          <w:rFonts w:ascii="Palatino Linotype" w:hAnsi="Palatino Linotype" w:cs="Arial"/>
          <w:color w:val="000000" w:themeColor="text1"/>
        </w:rPr>
        <w:t xml:space="preserve"> de marzo </w:t>
      </w:r>
      <w:r w:rsidR="00917444" w:rsidRPr="00655A8C">
        <w:rPr>
          <w:rFonts w:ascii="Palatino Linotype" w:hAnsi="Palatino Linotype" w:cs="Arial"/>
          <w:color w:val="000000" w:themeColor="text1"/>
        </w:rPr>
        <w:t>d</w:t>
      </w:r>
      <w:r w:rsidR="00233D1C" w:rsidRPr="00655A8C">
        <w:rPr>
          <w:rFonts w:ascii="Palatino Linotype" w:hAnsi="Palatino Linotype" w:cs="Arial"/>
          <w:color w:val="000000" w:themeColor="text1"/>
        </w:rPr>
        <w:t xml:space="preserve">e dos mil </w:t>
      </w:r>
      <w:r w:rsidR="008225FA" w:rsidRPr="00655A8C">
        <w:rPr>
          <w:rFonts w:ascii="Palatino Linotype" w:hAnsi="Palatino Linotype" w:cs="Arial"/>
          <w:color w:val="000000" w:themeColor="text1"/>
        </w:rPr>
        <w:t>veintidós</w:t>
      </w:r>
      <w:r w:rsidR="00EA0165" w:rsidRPr="00655A8C">
        <w:rPr>
          <w:rFonts w:ascii="Palatino Linotype" w:hAnsi="Palatino Linotype" w:cs="Arial"/>
          <w:color w:val="000000" w:themeColor="text1"/>
        </w:rPr>
        <w:t xml:space="preserve">, el particular </w:t>
      </w:r>
      <w:r w:rsidR="00861CF9" w:rsidRPr="00655A8C">
        <w:rPr>
          <w:rFonts w:ascii="Palatino Linotype" w:hAnsi="Palatino Linotype" w:cs="Arial"/>
          <w:color w:val="000000" w:themeColor="text1"/>
        </w:rPr>
        <w:t>interpuso el recurso de revisión</w:t>
      </w:r>
      <w:r w:rsidR="006C5507" w:rsidRPr="00655A8C">
        <w:rPr>
          <w:rFonts w:ascii="Palatino Linotype" w:hAnsi="Palatino Linotype" w:cs="Arial"/>
          <w:color w:val="000000" w:themeColor="text1"/>
        </w:rPr>
        <w:t xml:space="preserve"> </w:t>
      </w:r>
      <w:r w:rsidRPr="0049380B">
        <w:rPr>
          <w:rFonts w:ascii="Palatino Linotype" w:hAnsi="Palatino Linotype" w:cs="Arial"/>
          <w:b/>
          <w:color w:val="000000" w:themeColor="text1"/>
        </w:rPr>
        <w:t>05168/INFOEM/IP/RR/2022</w:t>
      </w:r>
      <w:r w:rsidR="00EA0165" w:rsidRPr="0049380B">
        <w:rPr>
          <w:rFonts w:ascii="Palatino Linotype" w:eastAsia="Calibri" w:hAnsi="Palatino Linotype" w:cs="Arial"/>
          <w:b/>
          <w:color w:val="000000" w:themeColor="text1"/>
        </w:rPr>
        <w:t>;</w:t>
      </w:r>
      <w:r w:rsidR="00EA0165" w:rsidRPr="00655A8C">
        <w:rPr>
          <w:rFonts w:ascii="Palatino Linotype" w:hAnsi="Palatino Linotype" w:cs="Arial"/>
          <w:color w:val="000000" w:themeColor="text1"/>
        </w:rPr>
        <w:t xml:space="preserve"> impugnación en la que refirió lo siguiente:</w:t>
      </w:r>
    </w:p>
    <w:p w14:paraId="176F4252" w14:textId="77777777" w:rsidR="00EA0165" w:rsidRPr="00655A8C" w:rsidRDefault="00EA0165" w:rsidP="00655A8C">
      <w:pPr>
        <w:tabs>
          <w:tab w:val="left" w:pos="426"/>
        </w:tabs>
        <w:spacing w:line="360" w:lineRule="auto"/>
        <w:ind w:left="284"/>
        <w:contextualSpacing/>
        <w:jc w:val="both"/>
        <w:rPr>
          <w:rFonts w:ascii="Palatino Linotype" w:hAnsi="Palatino Linotype" w:cs="Arial"/>
          <w:color w:val="000000" w:themeColor="text1"/>
        </w:rPr>
      </w:pPr>
    </w:p>
    <w:p w14:paraId="224FFDC9" w14:textId="4FED373E" w:rsidR="00EA0165" w:rsidRPr="00655A8C" w:rsidRDefault="00EA0165" w:rsidP="0049380B">
      <w:pPr>
        <w:numPr>
          <w:ilvl w:val="0"/>
          <w:numId w:val="1"/>
        </w:numPr>
        <w:tabs>
          <w:tab w:val="left" w:pos="426"/>
          <w:tab w:val="left" w:pos="567"/>
        </w:tabs>
        <w:spacing w:line="360" w:lineRule="auto"/>
        <w:ind w:right="616"/>
        <w:contextualSpacing/>
        <w:jc w:val="both"/>
        <w:rPr>
          <w:rFonts w:ascii="Palatino Linotype" w:hAnsi="Palatino Linotype" w:cs="Arial"/>
          <w:color w:val="000000" w:themeColor="text1"/>
        </w:rPr>
      </w:pPr>
      <w:r w:rsidRPr="00655A8C">
        <w:rPr>
          <w:rFonts w:ascii="Palatino Linotype" w:hAnsi="Palatino Linotype" w:cs="Arial"/>
          <w:b/>
          <w:color w:val="000000" w:themeColor="text1"/>
        </w:rPr>
        <w:t>Acto impugnado:</w:t>
      </w:r>
      <w:r w:rsidRPr="00655A8C">
        <w:rPr>
          <w:rFonts w:ascii="Palatino Linotype" w:hAnsi="Palatino Linotype" w:cs="Arial"/>
          <w:color w:val="000000" w:themeColor="text1"/>
        </w:rPr>
        <w:t xml:space="preserve"> </w:t>
      </w:r>
      <w:r w:rsidRPr="00655A8C">
        <w:rPr>
          <w:rFonts w:ascii="Palatino Linotype" w:hAnsi="Palatino Linotype" w:cs="Arial"/>
          <w:i/>
          <w:color w:val="000000" w:themeColor="text1"/>
        </w:rPr>
        <w:t>“</w:t>
      </w:r>
      <w:r w:rsidR="0049380B" w:rsidRPr="0049380B">
        <w:rPr>
          <w:rFonts w:ascii="Palatino Linotype" w:hAnsi="Palatino Linotype" w:cs="Arial"/>
          <w:i/>
          <w:color w:val="000000" w:themeColor="text1"/>
        </w:rPr>
        <w:t>no se me dio contestación</w:t>
      </w:r>
      <w:r w:rsidR="00AB7DB9" w:rsidRPr="00655A8C">
        <w:rPr>
          <w:rFonts w:ascii="Palatino Linotype" w:hAnsi="Palatino Linotype" w:cs="Arial"/>
          <w:i/>
          <w:color w:val="000000" w:themeColor="text1"/>
        </w:rPr>
        <w:t>.”</w:t>
      </w:r>
      <w:r w:rsidRPr="00655A8C">
        <w:rPr>
          <w:rFonts w:ascii="Palatino Linotype" w:hAnsi="Palatino Linotype" w:cs="Arial"/>
          <w:color w:val="000000" w:themeColor="text1"/>
        </w:rPr>
        <w:t>(Sic).</w:t>
      </w:r>
    </w:p>
    <w:p w14:paraId="71C7D21F" w14:textId="77777777" w:rsidR="00EA0165" w:rsidRPr="00655A8C" w:rsidRDefault="00EA0165" w:rsidP="00655A8C">
      <w:pPr>
        <w:tabs>
          <w:tab w:val="left" w:pos="0"/>
        </w:tabs>
        <w:spacing w:line="360" w:lineRule="auto"/>
        <w:ind w:left="567" w:right="616"/>
        <w:contextualSpacing/>
        <w:jc w:val="both"/>
        <w:rPr>
          <w:rFonts w:ascii="Palatino Linotype" w:hAnsi="Palatino Linotype" w:cs="Arial"/>
          <w:color w:val="000000" w:themeColor="text1"/>
        </w:rPr>
      </w:pPr>
    </w:p>
    <w:p w14:paraId="16E57192" w14:textId="24A2B6D6" w:rsidR="00EA0165" w:rsidRPr="00655A8C" w:rsidRDefault="00EA0165" w:rsidP="0049380B">
      <w:pPr>
        <w:numPr>
          <w:ilvl w:val="0"/>
          <w:numId w:val="1"/>
        </w:numPr>
        <w:tabs>
          <w:tab w:val="left" w:pos="0"/>
        </w:tabs>
        <w:spacing w:line="360" w:lineRule="auto"/>
        <w:ind w:right="616"/>
        <w:contextualSpacing/>
        <w:jc w:val="both"/>
        <w:rPr>
          <w:rFonts w:ascii="Palatino Linotype" w:hAnsi="Palatino Linotype" w:cs="Arial"/>
          <w:color w:val="000000" w:themeColor="text1"/>
        </w:rPr>
      </w:pPr>
      <w:r w:rsidRPr="00655A8C">
        <w:rPr>
          <w:rFonts w:ascii="Palatino Linotype" w:hAnsi="Palatino Linotype" w:cs="Arial"/>
          <w:b/>
          <w:color w:val="000000" w:themeColor="text1"/>
        </w:rPr>
        <w:t>Razones o motivos de inconformidad:</w:t>
      </w:r>
      <w:r w:rsidRPr="00655A8C">
        <w:rPr>
          <w:rFonts w:ascii="Palatino Linotype" w:hAnsi="Palatino Linotype" w:cs="Arial"/>
          <w:color w:val="000000" w:themeColor="text1"/>
        </w:rPr>
        <w:t xml:space="preserve"> </w:t>
      </w:r>
      <w:r w:rsidRPr="00655A8C">
        <w:rPr>
          <w:rFonts w:ascii="Palatino Linotype" w:hAnsi="Palatino Linotype" w:cs="Arial"/>
          <w:i/>
          <w:color w:val="000000" w:themeColor="text1"/>
        </w:rPr>
        <w:t>“</w:t>
      </w:r>
      <w:r w:rsidR="0049380B" w:rsidRPr="0049380B">
        <w:rPr>
          <w:rFonts w:ascii="Palatino Linotype" w:hAnsi="Palatino Linotype" w:cs="Arial"/>
          <w:i/>
          <w:color w:val="000000" w:themeColor="text1"/>
        </w:rPr>
        <w:t>no me dieron respuesta alguna</w:t>
      </w:r>
      <w:r w:rsidR="00AB7DB9" w:rsidRPr="00655A8C">
        <w:rPr>
          <w:rFonts w:ascii="Palatino Linotype" w:hAnsi="Palatino Linotype" w:cs="Arial"/>
          <w:i/>
          <w:color w:val="000000" w:themeColor="text1"/>
        </w:rPr>
        <w:t>.</w:t>
      </w:r>
      <w:r w:rsidRPr="00655A8C">
        <w:rPr>
          <w:rFonts w:ascii="Palatino Linotype" w:hAnsi="Palatino Linotype" w:cs="Arial"/>
          <w:i/>
          <w:color w:val="000000" w:themeColor="text1"/>
        </w:rPr>
        <w:t xml:space="preserve">” </w:t>
      </w:r>
      <w:r w:rsidRPr="00655A8C">
        <w:rPr>
          <w:rFonts w:ascii="Palatino Linotype" w:hAnsi="Palatino Linotype" w:cs="Arial"/>
          <w:color w:val="000000" w:themeColor="text1"/>
        </w:rPr>
        <w:t>(Sic).</w:t>
      </w:r>
    </w:p>
    <w:p w14:paraId="552C6645" w14:textId="77777777" w:rsidR="001B234C" w:rsidRPr="00655A8C" w:rsidRDefault="001B234C" w:rsidP="00655A8C">
      <w:pPr>
        <w:tabs>
          <w:tab w:val="left" w:pos="0"/>
        </w:tabs>
        <w:spacing w:line="360" w:lineRule="auto"/>
        <w:ind w:right="616"/>
        <w:contextualSpacing/>
        <w:jc w:val="both"/>
        <w:rPr>
          <w:rFonts w:ascii="Palatino Linotype" w:hAnsi="Palatino Linotype" w:cs="Arial"/>
          <w:color w:val="000000" w:themeColor="text1"/>
        </w:rPr>
      </w:pPr>
    </w:p>
    <w:p w14:paraId="7B42BA50" w14:textId="6E406BA6" w:rsidR="00EA0165" w:rsidRPr="00655A8C" w:rsidRDefault="00EA0165" w:rsidP="00655A8C">
      <w:pPr>
        <w:pStyle w:val="Prrafodelista"/>
        <w:numPr>
          <w:ilvl w:val="0"/>
          <w:numId w:val="2"/>
        </w:numPr>
        <w:tabs>
          <w:tab w:val="left" w:pos="426"/>
        </w:tabs>
        <w:spacing w:line="360" w:lineRule="auto"/>
        <w:ind w:left="0" w:firstLine="0"/>
        <w:contextualSpacing/>
        <w:jc w:val="both"/>
        <w:rPr>
          <w:rFonts w:ascii="Palatino Linotype" w:eastAsia="Calibri" w:hAnsi="Palatino Linotype" w:cs="Arial"/>
          <w:color w:val="000000" w:themeColor="text1"/>
        </w:rPr>
      </w:pPr>
      <w:r w:rsidRPr="00655A8C">
        <w:rPr>
          <w:rFonts w:ascii="Palatino Linotype" w:hAnsi="Palatino Linotype" w:cs="Arial"/>
          <w:color w:val="000000" w:themeColor="text1"/>
        </w:rPr>
        <w:t xml:space="preserve">Se registró el recurso de revisión bajo el número de expediente </w:t>
      </w:r>
      <w:r w:rsidRPr="00655A8C">
        <w:rPr>
          <w:rFonts w:ascii="Palatino Linotype" w:eastAsiaTheme="minorEastAsia" w:hAnsi="Palatino Linotype" w:cs="Arial"/>
          <w:bCs/>
          <w:color w:val="000000" w:themeColor="text1"/>
          <w:lang w:val="es-ES_tradnl"/>
        </w:rPr>
        <w:t xml:space="preserve">al rubro indicado, asimismo, con fundamento en lo dispuesto por el </w:t>
      </w:r>
      <w:r w:rsidRPr="00655A8C">
        <w:rPr>
          <w:rFonts w:ascii="Palatino Linotype" w:eastAsia="Calibri" w:hAnsi="Palatino Linotype" w:cs="Arial"/>
          <w:color w:val="000000" w:themeColor="text1"/>
        </w:rPr>
        <w:t xml:space="preserve">artículo 185 fracción I de la </w:t>
      </w:r>
      <w:r w:rsidRPr="00655A8C">
        <w:rPr>
          <w:rFonts w:ascii="Palatino Linotype" w:eastAsia="Calibri" w:hAnsi="Palatino Linotype" w:cs="Arial"/>
          <w:b/>
          <w:color w:val="000000" w:themeColor="text1"/>
        </w:rPr>
        <w:t xml:space="preserve">Ley de Transparencia y Acceso a la Información Pública del Estado de México y </w:t>
      </w:r>
      <w:r w:rsidRPr="00655A8C">
        <w:rPr>
          <w:rFonts w:ascii="Palatino Linotype" w:eastAsia="Calibri" w:hAnsi="Palatino Linotype" w:cs="Arial"/>
          <w:b/>
          <w:color w:val="000000" w:themeColor="text1"/>
        </w:rPr>
        <w:lastRenderedPageBreak/>
        <w:t xml:space="preserve">Municipios </w:t>
      </w:r>
      <w:r w:rsidR="005E6282" w:rsidRPr="00655A8C">
        <w:rPr>
          <w:rFonts w:ascii="Palatino Linotype" w:hAnsi="Palatino Linotype" w:cs="Arial"/>
          <w:color w:val="000000" w:themeColor="text1"/>
        </w:rPr>
        <w:t>se turnó a</w:t>
      </w:r>
      <w:r w:rsidR="00351568" w:rsidRPr="00655A8C">
        <w:rPr>
          <w:rFonts w:ascii="Palatino Linotype" w:hAnsi="Palatino Linotype" w:cs="Arial"/>
          <w:color w:val="000000" w:themeColor="text1"/>
        </w:rPr>
        <w:t xml:space="preserve"> la </w:t>
      </w:r>
      <w:r w:rsidR="00E3149E" w:rsidRPr="00655A8C">
        <w:rPr>
          <w:rFonts w:ascii="Palatino Linotype" w:hAnsi="Palatino Linotype" w:cs="Arial"/>
          <w:b/>
          <w:color w:val="000000" w:themeColor="text1"/>
        </w:rPr>
        <w:t>C</w:t>
      </w:r>
      <w:r w:rsidR="00351568" w:rsidRPr="00655A8C">
        <w:rPr>
          <w:rFonts w:ascii="Palatino Linotype" w:hAnsi="Palatino Linotype" w:cs="Arial"/>
          <w:b/>
          <w:color w:val="000000" w:themeColor="text1"/>
        </w:rPr>
        <w:t>omisionada María del Rosario Mejía Ayala</w:t>
      </w:r>
      <w:r w:rsidRPr="00655A8C">
        <w:rPr>
          <w:rFonts w:ascii="Palatino Linotype" w:hAnsi="Palatino Linotype" w:cs="Arial"/>
          <w:b/>
          <w:color w:val="000000" w:themeColor="text1"/>
        </w:rPr>
        <w:t xml:space="preserve">, </w:t>
      </w:r>
      <w:r w:rsidRPr="00655A8C">
        <w:rPr>
          <w:rFonts w:ascii="Palatino Linotype" w:hAnsi="Palatino Linotype" w:cs="Arial"/>
          <w:color w:val="000000" w:themeColor="text1"/>
        </w:rPr>
        <w:t xml:space="preserve">con el objeto de </w:t>
      </w:r>
      <w:r w:rsidRPr="00655A8C">
        <w:rPr>
          <w:rFonts w:ascii="Palatino Linotype" w:hAnsi="Palatino Linotype" w:cs="Arial"/>
          <w:color w:val="000000" w:themeColor="text1"/>
          <w:lang w:val="es-MX"/>
        </w:rPr>
        <w:t>su análisis.</w:t>
      </w:r>
    </w:p>
    <w:p w14:paraId="49F28BD1" w14:textId="77777777" w:rsidR="00EA0165" w:rsidRPr="00655A8C" w:rsidRDefault="00EA0165" w:rsidP="00655A8C">
      <w:pPr>
        <w:tabs>
          <w:tab w:val="left" w:pos="426"/>
        </w:tabs>
        <w:spacing w:line="360" w:lineRule="auto"/>
        <w:contextualSpacing/>
        <w:jc w:val="both"/>
        <w:rPr>
          <w:rFonts w:ascii="Palatino Linotype" w:eastAsia="Calibri" w:hAnsi="Palatino Linotype" w:cs="Arial"/>
          <w:color w:val="000000" w:themeColor="text1"/>
        </w:rPr>
      </w:pPr>
    </w:p>
    <w:p w14:paraId="35C6F494" w14:textId="44A7CDFA" w:rsidR="00861CF9" w:rsidRPr="00655A8C" w:rsidRDefault="00351568" w:rsidP="00655A8C">
      <w:pPr>
        <w:pStyle w:val="Prrafodelista"/>
        <w:numPr>
          <w:ilvl w:val="0"/>
          <w:numId w:val="2"/>
        </w:numPr>
        <w:tabs>
          <w:tab w:val="left" w:pos="426"/>
        </w:tabs>
        <w:spacing w:line="360" w:lineRule="auto"/>
        <w:ind w:left="0" w:firstLine="0"/>
        <w:contextualSpacing/>
        <w:jc w:val="both"/>
        <w:rPr>
          <w:rFonts w:ascii="Palatino Linotype" w:eastAsia="Calibri" w:hAnsi="Palatino Linotype" w:cs="Arial"/>
          <w:color w:val="000000" w:themeColor="text1"/>
        </w:rPr>
      </w:pPr>
      <w:r w:rsidRPr="00655A8C">
        <w:rPr>
          <w:rFonts w:ascii="Palatino Linotype" w:hAnsi="Palatino Linotype" w:cs="Arial"/>
          <w:color w:val="000000" w:themeColor="text1"/>
        </w:rPr>
        <w:t xml:space="preserve">La </w:t>
      </w:r>
      <w:r w:rsidRPr="00655A8C">
        <w:rPr>
          <w:rFonts w:ascii="Palatino Linotype" w:hAnsi="Palatino Linotype" w:cs="Arial"/>
          <w:b/>
          <w:color w:val="000000" w:themeColor="text1"/>
        </w:rPr>
        <w:t>Comisionada María del Rosario Mejía Ayala</w:t>
      </w:r>
      <w:r w:rsidR="00EA0165" w:rsidRPr="00655A8C">
        <w:rPr>
          <w:rFonts w:ascii="Palatino Linotype" w:eastAsia="Calibri" w:hAnsi="Palatino Linotype" w:cs="Arial"/>
          <w:color w:val="000000" w:themeColor="text1"/>
        </w:rPr>
        <w:t>, con fundamento en lo dispuesto por el artículo 185 fracción II de la ley de la materia, a t</w:t>
      </w:r>
      <w:r w:rsidR="007A237F" w:rsidRPr="00655A8C">
        <w:rPr>
          <w:rFonts w:ascii="Palatino Linotype" w:eastAsia="Calibri" w:hAnsi="Palatino Linotype" w:cs="Arial"/>
          <w:color w:val="000000" w:themeColor="text1"/>
        </w:rPr>
        <w:t xml:space="preserve">ravés del </w:t>
      </w:r>
      <w:r w:rsidR="006C5507" w:rsidRPr="00655A8C">
        <w:rPr>
          <w:rFonts w:ascii="Palatino Linotype" w:eastAsia="Calibri" w:hAnsi="Palatino Linotype" w:cs="Arial"/>
          <w:color w:val="000000" w:themeColor="text1"/>
        </w:rPr>
        <w:t>ac</w:t>
      </w:r>
      <w:r w:rsidR="0049380B">
        <w:rPr>
          <w:rFonts w:ascii="Palatino Linotype" w:eastAsia="Calibri" w:hAnsi="Palatino Linotype" w:cs="Arial"/>
          <w:color w:val="000000" w:themeColor="text1"/>
        </w:rPr>
        <w:t>uerdo de admisión de uno</w:t>
      </w:r>
      <w:r w:rsidR="008426D8" w:rsidRPr="00655A8C">
        <w:rPr>
          <w:rFonts w:ascii="Palatino Linotype" w:eastAsia="Calibri" w:hAnsi="Palatino Linotype" w:cs="Arial"/>
          <w:color w:val="000000" w:themeColor="text1"/>
        </w:rPr>
        <w:t xml:space="preserve"> </w:t>
      </w:r>
      <w:r w:rsidR="00EA0165" w:rsidRPr="00655A8C">
        <w:rPr>
          <w:rFonts w:ascii="Palatino Linotype" w:eastAsia="Calibri" w:hAnsi="Palatino Linotype" w:cs="Arial"/>
          <w:color w:val="000000" w:themeColor="text1"/>
        </w:rPr>
        <w:t>(</w:t>
      </w:r>
      <w:r w:rsidR="0049380B">
        <w:rPr>
          <w:rFonts w:ascii="Palatino Linotype" w:eastAsia="Calibri" w:hAnsi="Palatino Linotype" w:cs="Arial"/>
          <w:color w:val="000000" w:themeColor="text1"/>
        </w:rPr>
        <w:t>01</w:t>
      </w:r>
      <w:r w:rsidR="00EA0165" w:rsidRPr="00655A8C">
        <w:rPr>
          <w:rFonts w:ascii="Palatino Linotype" w:eastAsia="Calibri" w:hAnsi="Palatino Linotype" w:cs="Arial"/>
          <w:color w:val="000000" w:themeColor="text1"/>
        </w:rPr>
        <w:t>) de</w:t>
      </w:r>
      <w:r w:rsidR="0049380B">
        <w:rPr>
          <w:rFonts w:ascii="Palatino Linotype" w:eastAsia="Calibri" w:hAnsi="Palatino Linotype" w:cs="Arial"/>
          <w:color w:val="000000" w:themeColor="text1"/>
        </w:rPr>
        <w:t xml:space="preserve"> abril de</w:t>
      </w:r>
      <w:r w:rsidR="008225FA" w:rsidRPr="00655A8C">
        <w:rPr>
          <w:rFonts w:ascii="Palatino Linotype" w:eastAsia="Calibri" w:hAnsi="Palatino Linotype" w:cs="Arial"/>
          <w:color w:val="000000" w:themeColor="text1"/>
        </w:rPr>
        <w:t xml:space="preserve"> dos mil veintidós</w:t>
      </w:r>
      <w:r w:rsidR="00EA0165" w:rsidRPr="00655A8C">
        <w:rPr>
          <w:rFonts w:ascii="Palatino Linotype" w:eastAsia="Calibri" w:hAnsi="Palatino Linotype" w:cs="Arial"/>
          <w:color w:val="000000" w:themeColor="text1"/>
        </w:rPr>
        <w:t xml:space="preserve">, puso a disposición de las partes el expediente electrónico </w:t>
      </w:r>
      <w:r w:rsidR="00EA0165" w:rsidRPr="00655A8C">
        <w:rPr>
          <w:rFonts w:ascii="Palatino Linotype" w:eastAsia="Calibri" w:hAnsi="Palatino Linotype" w:cs="Arial"/>
          <w:color w:val="000000" w:themeColor="text1"/>
          <w:lang w:val="es-ES_tradnl"/>
        </w:rPr>
        <w:t xml:space="preserve">vía </w:t>
      </w:r>
      <w:r w:rsidR="00EA0165" w:rsidRPr="00655A8C">
        <w:rPr>
          <w:rFonts w:ascii="Palatino Linotype" w:eastAsia="Calibri" w:hAnsi="Palatino Linotype" w:cs="Arial"/>
          <w:color w:val="000000" w:themeColor="text1"/>
        </w:rPr>
        <w:t xml:space="preserve">Sistema de Acceso a la Información Mexiquense a efecto de que en un plazo máximo de siete días manifestaran lo que a su derecho convinieran, ofrecieran pruebas y alegatos según corresponda a los casos concretos, de esta forma para que el </w:t>
      </w:r>
      <w:r w:rsidR="00EA0165" w:rsidRPr="00655A8C">
        <w:rPr>
          <w:rFonts w:ascii="Palatino Linotype" w:eastAsia="Calibri" w:hAnsi="Palatino Linotype" w:cs="Arial"/>
          <w:b/>
          <w:color w:val="000000" w:themeColor="text1"/>
        </w:rPr>
        <w:t>SUJETO OBLIGADO</w:t>
      </w:r>
      <w:r w:rsidR="00EA0165" w:rsidRPr="00655A8C">
        <w:rPr>
          <w:rFonts w:ascii="Palatino Linotype" w:eastAsia="Calibri" w:hAnsi="Palatino Linotype" w:cs="Arial"/>
          <w:color w:val="000000" w:themeColor="text1"/>
        </w:rPr>
        <w:t xml:space="preserve"> presentara el</w:t>
      </w:r>
      <w:r w:rsidR="00266490" w:rsidRPr="00655A8C">
        <w:rPr>
          <w:rFonts w:ascii="Palatino Linotype" w:eastAsia="Calibri" w:hAnsi="Palatino Linotype" w:cs="Arial"/>
          <w:color w:val="000000" w:themeColor="text1"/>
        </w:rPr>
        <w:t xml:space="preserve"> </w:t>
      </w:r>
      <w:r w:rsidR="008225FA" w:rsidRPr="00655A8C">
        <w:rPr>
          <w:rFonts w:ascii="Palatino Linotype" w:eastAsia="Calibri" w:hAnsi="Palatino Linotype" w:cs="Arial"/>
          <w:color w:val="000000" w:themeColor="text1"/>
        </w:rPr>
        <w:t xml:space="preserve">informe justificado procedente, situación que no aconteció por las partes. </w:t>
      </w:r>
    </w:p>
    <w:p w14:paraId="7E5F3FF7" w14:textId="77777777" w:rsidR="006C5507" w:rsidRPr="00655A8C" w:rsidRDefault="006C5507" w:rsidP="00655A8C">
      <w:pPr>
        <w:pStyle w:val="Prrafodelista"/>
        <w:spacing w:line="360" w:lineRule="auto"/>
        <w:rPr>
          <w:rFonts w:ascii="Palatino Linotype" w:eastAsia="Calibri" w:hAnsi="Palatino Linotype" w:cs="Arial"/>
          <w:color w:val="000000" w:themeColor="text1"/>
        </w:rPr>
      </w:pPr>
    </w:p>
    <w:p w14:paraId="36960673" w14:textId="77777777" w:rsidR="006C5507" w:rsidRPr="00655A8C" w:rsidRDefault="006C5507" w:rsidP="00655A8C">
      <w:pPr>
        <w:pStyle w:val="Prrafodelista"/>
        <w:tabs>
          <w:tab w:val="left" w:pos="426"/>
        </w:tabs>
        <w:spacing w:line="360" w:lineRule="auto"/>
        <w:ind w:left="0"/>
        <w:contextualSpacing/>
        <w:jc w:val="both"/>
        <w:rPr>
          <w:rFonts w:ascii="Palatino Linotype" w:eastAsia="Calibri" w:hAnsi="Palatino Linotype" w:cs="Arial"/>
          <w:color w:val="000000" w:themeColor="text1"/>
        </w:rPr>
      </w:pPr>
    </w:p>
    <w:p w14:paraId="0FBAA5A7" w14:textId="5377878B" w:rsidR="00861CF9" w:rsidRPr="00655A8C" w:rsidRDefault="00861CF9" w:rsidP="00655A8C">
      <w:pPr>
        <w:numPr>
          <w:ilvl w:val="0"/>
          <w:numId w:val="2"/>
        </w:numPr>
        <w:tabs>
          <w:tab w:val="left" w:pos="426"/>
        </w:tabs>
        <w:spacing w:line="360" w:lineRule="auto"/>
        <w:ind w:left="0" w:firstLine="0"/>
        <w:contextualSpacing/>
        <w:jc w:val="both"/>
        <w:rPr>
          <w:rFonts w:ascii="Palatino Linotype" w:eastAsiaTheme="minorEastAsia" w:hAnsi="Palatino Linotype" w:cstheme="minorBidi"/>
          <w:lang w:val="es-ES_tradnl"/>
        </w:rPr>
      </w:pPr>
      <w:r w:rsidRPr="00655A8C">
        <w:rPr>
          <w:rFonts w:ascii="Palatino Linotype" w:eastAsiaTheme="minorEastAsia" w:hAnsi="Palatino Linotype" w:cstheme="minorBidi"/>
          <w:color w:val="000000" w:themeColor="text1"/>
          <w:lang w:val="es-MX"/>
        </w:rPr>
        <w:t>E</w:t>
      </w:r>
      <w:r w:rsidR="0049380B">
        <w:rPr>
          <w:rFonts w:ascii="Palatino Linotype" w:eastAsiaTheme="minorEastAsia" w:hAnsi="Palatino Linotype" w:cstheme="minorBidi"/>
          <w:color w:val="000000" w:themeColor="text1"/>
          <w:lang w:val="es-MX"/>
        </w:rPr>
        <w:t>l veinte (20</w:t>
      </w:r>
      <w:r w:rsidRPr="00655A8C">
        <w:rPr>
          <w:rFonts w:ascii="Palatino Linotype" w:eastAsiaTheme="minorEastAsia" w:hAnsi="Palatino Linotype" w:cstheme="minorBidi"/>
          <w:color w:val="000000" w:themeColor="text1"/>
          <w:lang w:val="es-MX"/>
        </w:rPr>
        <w:t>) de mayo de dos mil veintidós, con fundamento en el artículo 181 tercer párrafo de la Ley de Transparencia y Acceso a la Información Pública del Estado de México y Municipios, se acordó el plazo de treinta (30) días para resolver el recurso de revisión, sería ampliado por un periodo de quince (15) días hábiles adicionales.</w:t>
      </w:r>
      <w:bookmarkStart w:id="4" w:name="_Toc461555889"/>
      <w:bookmarkStart w:id="5" w:name="_Toc466371858"/>
    </w:p>
    <w:p w14:paraId="068D7840" w14:textId="0E96BAA8" w:rsidR="001B234C" w:rsidRPr="00655A8C" w:rsidRDefault="001B234C" w:rsidP="00655A8C">
      <w:pPr>
        <w:pStyle w:val="Prrafodelista"/>
        <w:tabs>
          <w:tab w:val="left" w:pos="426"/>
        </w:tabs>
        <w:spacing w:line="360" w:lineRule="auto"/>
        <w:ind w:left="0"/>
        <w:contextualSpacing/>
        <w:jc w:val="both"/>
        <w:rPr>
          <w:rFonts w:ascii="Palatino Linotype" w:eastAsiaTheme="minorEastAsia" w:hAnsi="Palatino Linotype" w:cstheme="minorBidi"/>
          <w:color w:val="000000" w:themeColor="text1"/>
          <w:lang w:val="es-ES_tradnl"/>
        </w:rPr>
      </w:pPr>
    </w:p>
    <w:p w14:paraId="7D15F30F" w14:textId="1D699BBF" w:rsidR="00A47AE2" w:rsidRPr="00655A8C" w:rsidRDefault="00A47AE2" w:rsidP="00655A8C">
      <w:pPr>
        <w:pStyle w:val="Prrafodelista"/>
        <w:numPr>
          <w:ilvl w:val="0"/>
          <w:numId w:val="3"/>
        </w:numPr>
        <w:tabs>
          <w:tab w:val="left" w:pos="426"/>
        </w:tabs>
        <w:spacing w:line="360" w:lineRule="auto"/>
        <w:ind w:left="0" w:firstLine="0"/>
        <w:contextualSpacing/>
        <w:jc w:val="both"/>
        <w:rPr>
          <w:rFonts w:ascii="Palatino Linotype" w:eastAsiaTheme="minorEastAsia" w:hAnsi="Palatino Linotype" w:cstheme="minorBidi"/>
          <w:b/>
          <w:color w:val="000000" w:themeColor="text1"/>
          <w:lang w:val="es-ES_tradnl"/>
        </w:rPr>
      </w:pPr>
      <w:r w:rsidRPr="00655A8C">
        <w:rPr>
          <w:rFonts w:ascii="Palatino Linotype" w:eastAsiaTheme="minorEastAsia" w:hAnsi="Palatino Linotype" w:cstheme="minorBidi"/>
          <w:color w:val="000000" w:themeColor="text1"/>
          <w:lang w:val="es-ES_tradnl"/>
        </w:rPr>
        <w:t>Así las cosas, la</w:t>
      </w:r>
      <w:r w:rsidRPr="00655A8C">
        <w:rPr>
          <w:rFonts w:ascii="Palatino Linotype" w:eastAsiaTheme="minorEastAsia" w:hAnsi="Palatino Linotype" w:cstheme="minorBidi"/>
          <w:b/>
          <w:color w:val="000000" w:themeColor="text1"/>
          <w:lang w:val="es-ES_tradnl"/>
        </w:rPr>
        <w:t xml:space="preserve"> Comisionada María del Rosario Mejía Ayala</w:t>
      </w:r>
      <w:r w:rsidRPr="00655A8C">
        <w:rPr>
          <w:rFonts w:ascii="Palatino Linotype" w:eastAsiaTheme="minorEastAsia" w:hAnsi="Palatino Linotype" w:cstheme="minorBidi"/>
          <w:color w:val="000000" w:themeColor="text1"/>
          <w:lang w:val="es-ES_tradnl"/>
        </w:rPr>
        <w:t xml:space="preserve"> decretó el cierre de instrucción </w:t>
      </w:r>
      <w:r w:rsidR="00FA6732" w:rsidRPr="00655A8C">
        <w:rPr>
          <w:rFonts w:ascii="Palatino Linotype" w:eastAsiaTheme="minorEastAsia" w:hAnsi="Palatino Linotype" w:cstheme="minorBidi"/>
          <w:color w:val="000000" w:themeColor="text1"/>
          <w:lang w:val="es-ES_tradnl"/>
        </w:rPr>
        <w:t>med</w:t>
      </w:r>
      <w:r w:rsidR="0049380B">
        <w:rPr>
          <w:rFonts w:ascii="Palatino Linotype" w:eastAsiaTheme="minorEastAsia" w:hAnsi="Palatino Linotype" w:cstheme="minorBidi"/>
          <w:color w:val="000000" w:themeColor="text1"/>
          <w:lang w:val="es-ES_tradnl"/>
        </w:rPr>
        <w:t>iante acuerdo de fecha veintinueve (20</w:t>
      </w:r>
      <w:r w:rsidRPr="00655A8C">
        <w:rPr>
          <w:rFonts w:ascii="Palatino Linotype" w:eastAsiaTheme="minorEastAsia" w:hAnsi="Palatino Linotype" w:cstheme="minorBidi"/>
          <w:color w:val="000000" w:themeColor="text1"/>
          <w:lang w:val="es-ES_tradnl"/>
        </w:rPr>
        <w:t>) de</w:t>
      </w:r>
      <w:r w:rsidR="008225FA" w:rsidRPr="00655A8C">
        <w:rPr>
          <w:rFonts w:ascii="Palatino Linotype" w:eastAsiaTheme="minorEastAsia" w:hAnsi="Palatino Linotype" w:cstheme="minorBidi"/>
          <w:color w:val="000000" w:themeColor="text1"/>
          <w:lang w:val="es-ES_tradnl"/>
        </w:rPr>
        <w:t xml:space="preserve"> mayo </w:t>
      </w:r>
      <w:r w:rsidRPr="00655A8C">
        <w:rPr>
          <w:rFonts w:ascii="Palatino Linotype" w:eastAsiaTheme="minorEastAsia" w:hAnsi="Palatino Linotype" w:cstheme="minorBidi"/>
          <w:color w:val="000000" w:themeColor="text1"/>
          <w:lang w:val="es-ES_tradnl"/>
        </w:rPr>
        <w:t xml:space="preserve">de dos mil veintidós. </w:t>
      </w:r>
    </w:p>
    <w:p w14:paraId="1A06EC63" w14:textId="5F16CF07" w:rsidR="0028674A" w:rsidRPr="00655A8C" w:rsidRDefault="0028674A" w:rsidP="00655A8C">
      <w:pPr>
        <w:spacing w:line="360" w:lineRule="auto"/>
        <w:rPr>
          <w:rFonts w:ascii="Palatino Linotype" w:hAnsi="Palatino Linotype"/>
          <w:lang w:val="es-ES_tradnl" w:eastAsia="en-US"/>
        </w:rPr>
      </w:pPr>
      <w:bookmarkStart w:id="6" w:name="_Toc68804758"/>
    </w:p>
    <w:p w14:paraId="0D7AA06B" w14:textId="2A5AEBF2" w:rsidR="00EA0165" w:rsidRPr="00655A8C" w:rsidRDefault="00EA0165" w:rsidP="00655A8C">
      <w:pPr>
        <w:pStyle w:val="Ttulo1"/>
        <w:spacing w:line="360" w:lineRule="auto"/>
        <w:jc w:val="center"/>
        <w:rPr>
          <w:rFonts w:ascii="Palatino Linotype" w:hAnsi="Palatino Linotype"/>
          <w:b/>
          <w:color w:val="000000" w:themeColor="text1"/>
          <w:sz w:val="24"/>
          <w:szCs w:val="24"/>
          <w:lang w:val="es-MX" w:eastAsia="en-US"/>
        </w:rPr>
      </w:pPr>
      <w:bookmarkStart w:id="7" w:name="_Toc103877269"/>
      <w:r w:rsidRPr="00655A8C">
        <w:rPr>
          <w:rFonts w:ascii="Palatino Linotype" w:hAnsi="Palatino Linotype"/>
          <w:b/>
          <w:color w:val="000000" w:themeColor="text1"/>
          <w:sz w:val="24"/>
          <w:szCs w:val="24"/>
          <w:lang w:val="es-MX" w:eastAsia="en-US"/>
        </w:rPr>
        <w:lastRenderedPageBreak/>
        <w:t>CONSIDERANDO</w:t>
      </w:r>
      <w:bookmarkEnd w:id="4"/>
      <w:bookmarkEnd w:id="5"/>
      <w:bookmarkEnd w:id="6"/>
      <w:bookmarkEnd w:id="7"/>
    </w:p>
    <w:p w14:paraId="3468D0CF" w14:textId="475BACAF" w:rsidR="00EA0165" w:rsidRPr="00655A8C" w:rsidRDefault="00EA0165" w:rsidP="00655A8C">
      <w:pPr>
        <w:pStyle w:val="Ttulo1"/>
        <w:spacing w:line="360" w:lineRule="auto"/>
        <w:rPr>
          <w:rFonts w:ascii="Palatino Linotype" w:hAnsi="Palatino Linotype"/>
          <w:b/>
          <w:color w:val="000000" w:themeColor="text1"/>
          <w:sz w:val="24"/>
          <w:szCs w:val="24"/>
          <w:lang w:val="es-MX" w:eastAsia="en-US"/>
        </w:rPr>
      </w:pPr>
      <w:bookmarkStart w:id="8" w:name="_Toc461555890"/>
      <w:bookmarkStart w:id="9" w:name="_Toc466371859"/>
      <w:bookmarkStart w:id="10" w:name="_Toc68804759"/>
      <w:bookmarkStart w:id="11" w:name="_Toc103877270"/>
      <w:r w:rsidRPr="00655A8C">
        <w:rPr>
          <w:rFonts w:ascii="Palatino Linotype" w:hAnsi="Palatino Linotype"/>
          <w:b/>
          <w:color w:val="000000" w:themeColor="text1"/>
          <w:sz w:val="24"/>
          <w:szCs w:val="24"/>
          <w:lang w:val="es-MX" w:eastAsia="en-US"/>
        </w:rPr>
        <w:t>PRIMERO. De la competencia</w:t>
      </w:r>
      <w:bookmarkEnd w:id="8"/>
      <w:bookmarkEnd w:id="9"/>
      <w:bookmarkEnd w:id="10"/>
      <w:r w:rsidR="00537427" w:rsidRPr="00655A8C">
        <w:rPr>
          <w:rFonts w:ascii="Palatino Linotype" w:hAnsi="Palatino Linotype"/>
          <w:b/>
          <w:color w:val="000000" w:themeColor="text1"/>
          <w:sz w:val="24"/>
          <w:szCs w:val="24"/>
          <w:lang w:val="es-MX" w:eastAsia="en-US"/>
        </w:rPr>
        <w:t>.</w:t>
      </w:r>
      <w:bookmarkEnd w:id="11"/>
    </w:p>
    <w:p w14:paraId="341F67EC" w14:textId="77777777" w:rsidR="00EA0165" w:rsidRPr="00655A8C" w:rsidRDefault="00EA0165" w:rsidP="00655A8C">
      <w:pPr>
        <w:spacing w:line="360" w:lineRule="auto"/>
        <w:rPr>
          <w:rFonts w:ascii="Palatino Linotype" w:eastAsiaTheme="minorEastAsia" w:hAnsi="Palatino Linotype" w:cstheme="minorBidi"/>
          <w:color w:val="000000" w:themeColor="text1"/>
          <w:lang w:val="es-MX" w:eastAsia="en-US"/>
        </w:rPr>
      </w:pPr>
    </w:p>
    <w:p w14:paraId="15D1D21E" w14:textId="4667732A" w:rsidR="00EA0165" w:rsidRPr="00655A8C" w:rsidRDefault="00EA0165" w:rsidP="00655A8C">
      <w:pPr>
        <w:pStyle w:val="Prrafodelista"/>
        <w:numPr>
          <w:ilvl w:val="0"/>
          <w:numId w:val="9"/>
        </w:numPr>
        <w:tabs>
          <w:tab w:val="left" w:pos="0"/>
        </w:tabs>
        <w:spacing w:after="160" w:line="360" w:lineRule="auto"/>
        <w:ind w:left="0" w:hanging="11"/>
        <w:contextualSpacing/>
        <w:jc w:val="both"/>
        <w:rPr>
          <w:rFonts w:ascii="Palatino Linotype" w:eastAsia="MS Mincho" w:hAnsi="Palatino Linotype"/>
          <w:lang w:val="es-ES_tradnl"/>
        </w:rPr>
      </w:pPr>
      <w:r w:rsidRPr="00655A8C">
        <w:rPr>
          <w:rFonts w:ascii="Palatino Linotype" w:eastAsia="Calibri" w:hAnsi="Palatino Linotype"/>
        </w:rPr>
        <w:t xml:space="preserve">Este Instituto de Transparencia, Acceso a la Información Pública y Protección de Datos Personales del Estado de México y Municipios, es competente para conocer y resolver del presente recurso de conformidad con el artículo: 6, apartado A, fracción IV de la </w:t>
      </w:r>
      <w:r w:rsidRPr="00655A8C">
        <w:rPr>
          <w:rFonts w:ascii="Palatino Linotype" w:eastAsia="Calibri" w:hAnsi="Palatino Linotype"/>
          <w:b/>
        </w:rPr>
        <w:t>Constitución Política de los Estados Unidos Mexicanos</w:t>
      </w:r>
      <w:r w:rsidRPr="00655A8C">
        <w:rPr>
          <w:rFonts w:ascii="Palatino Linotype" w:eastAsia="Calibri" w:hAnsi="Palatino Linotype"/>
        </w:rPr>
        <w:t xml:space="preserve">; </w:t>
      </w:r>
      <w:r w:rsidRPr="00655A8C">
        <w:rPr>
          <w:rFonts w:ascii="Palatino Linotype" w:eastAsia="Calibri" w:hAnsi="Palatino Linotype" w:cs="Arial"/>
          <w:bCs/>
          <w:color w:val="222222"/>
          <w:shd w:val="clear" w:color="auto" w:fill="FFFFFF"/>
          <w:lang w:eastAsia="en-US"/>
        </w:rPr>
        <w:t>5, párrafo</w:t>
      </w:r>
      <w:r w:rsidR="00543BF9" w:rsidRPr="00655A8C">
        <w:rPr>
          <w:rFonts w:ascii="Palatino Linotype" w:eastAsia="Calibri" w:hAnsi="Palatino Linotype"/>
          <w:lang w:val="es-MX" w:eastAsia="en-US"/>
        </w:rPr>
        <w:t xml:space="preserve"> trigésimo, trigésimo primero y trigésimo segundo, fracciones I, II, III, IV y V</w:t>
      </w:r>
      <w:r w:rsidR="00543BF9" w:rsidRPr="00655A8C">
        <w:rPr>
          <w:rFonts w:ascii="Palatino Linotype" w:eastAsia="MS Mincho" w:hAnsi="Palatino Linotype"/>
          <w:lang w:val="es-ES_tradnl"/>
        </w:rPr>
        <w:t xml:space="preserve"> </w:t>
      </w:r>
      <w:r w:rsidRPr="00655A8C">
        <w:rPr>
          <w:rFonts w:ascii="Palatino Linotype" w:eastAsia="Calibri" w:hAnsi="Palatino Linotype"/>
        </w:rPr>
        <w:t xml:space="preserve">de la </w:t>
      </w:r>
      <w:r w:rsidRPr="00655A8C">
        <w:rPr>
          <w:rFonts w:ascii="Palatino Linotype" w:eastAsia="Calibri" w:hAnsi="Palatino Linotype"/>
          <w:b/>
        </w:rPr>
        <w:t>Constitución Política del Estado Libre y Soberano de México</w:t>
      </w:r>
      <w:r w:rsidRPr="00655A8C">
        <w:rPr>
          <w:rFonts w:ascii="Palatino Linotype" w:eastAsia="Calibri" w:hAnsi="Palatino Linotype"/>
        </w:rPr>
        <w:t xml:space="preserve">; artículos 1, 2 fracción II, 13, 29, 36 fracciones I y II, 176, 178, 179, 181 párrafo tercero y 185 </w:t>
      </w:r>
      <w:r w:rsidRPr="00655A8C">
        <w:rPr>
          <w:rFonts w:ascii="Palatino Linotype" w:eastAsia="Calibri" w:hAnsi="Palatino Linotype" w:cs="Arial"/>
        </w:rPr>
        <w:t xml:space="preserve">de la </w:t>
      </w:r>
      <w:r w:rsidRPr="00655A8C">
        <w:rPr>
          <w:rFonts w:ascii="Palatino Linotype" w:eastAsia="Calibri" w:hAnsi="Palatino Linotype" w:cs="Arial"/>
          <w:b/>
        </w:rPr>
        <w:t>Ley de Transparencia y Acceso a la Información Pública del Estado de México y Municipios</w:t>
      </w:r>
      <w:r w:rsidRPr="00655A8C">
        <w:rPr>
          <w:rFonts w:ascii="Palatino Linotype" w:eastAsia="Calibri" w:hAnsi="Palatino Linotype" w:cs="Arial"/>
        </w:rPr>
        <w:t xml:space="preserve">; </w:t>
      </w:r>
      <w:r w:rsidRPr="00655A8C">
        <w:rPr>
          <w:rFonts w:ascii="Palatino Linotype" w:eastAsia="Calibri" w:hAnsi="Palatino Linotype" w:cs="Arial"/>
          <w:b/>
        </w:rPr>
        <w:t>7, 9 fracciones I y XXIV, y 11</w:t>
      </w:r>
      <w:r w:rsidRPr="00655A8C">
        <w:rPr>
          <w:rFonts w:ascii="Palatino Linotype" w:eastAsia="Calibri" w:hAnsi="Palatino Linotype" w:cs="Arial"/>
        </w:rPr>
        <w:t xml:space="preserve"> del </w:t>
      </w:r>
      <w:r w:rsidRPr="00655A8C">
        <w:rPr>
          <w:rFonts w:ascii="Palatino Linotype" w:eastAsia="Calibri" w:hAnsi="Palatino Linotype" w:cs="Arial"/>
          <w:b/>
        </w:rPr>
        <w:t>Reglamento Interior del Instituto de Transparencia, Acceso a la Información Pública y Protección de Datos Personales del Estado de México y Municipios</w:t>
      </w:r>
      <w:r w:rsidR="009A1E3F" w:rsidRPr="00655A8C">
        <w:rPr>
          <w:rFonts w:ascii="Palatino Linotype" w:eastAsia="Calibri" w:hAnsi="Palatino Linotype" w:cs="Arial"/>
          <w:b/>
        </w:rPr>
        <w:t>.</w:t>
      </w:r>
    </w:p>
    <w:p w14:paraId="343B0FCF" w14:textId="413622B7" w:rsidR="00EA0165" w:rsidRPr="00655A8C" w:rsidRDefault="00EA0165" w:rsidP="00655A8C">
      <w:pPr>
        <w:pStyle w:val="Ttulo1"/>
        <w:spacing w:line="360" w:lineRule="auto"/>
        <w:rPr>
          <w:rFonts w:ascii="Palatino Linotype" w:hAnsi="Palatino Linotype"/>
          <w:b/>
          <w:color w:val="000000" w:themeColor="text1"/>
          <w:sz w:val="24"/>
          <w:szCs w:val="24"/>
          <w:lang w:val="es-MX" w:eastAsia="en-US"/>
        </w:rPr>
      </w:pPr>
      <w:bookmarkStart w:id="12" w:name="_Toc461555891"/>
      <w:bookmarkStart w:id="13" w:name="_Toc466371860"/>
      <w:bookmarkStart w:id="14" w:name="_Toc68804760"/>
      <w:bookmarkStart w:id="15" w:name="_Toc103877271"/>
      <w:r w:rsidRPr="00655A8C">
        <w:rPr>
          <w:rFonts w:ascii="Palatino Linotype" w:hAnsi="Palatino Linotype"/>
          <w:b/>
          <w:color w:val="000000" w:themeColor="text1"/>
          <w:sz w:val="24"/>
          <w:szCs w:val="24"/>
          <w:lang w:val="es-MX" w:eastAsia="en-US"/>
        </w:rPr>
        <w:t>SEGUNDO. De la oportunidad y procedencia.</w:t>
      </w:r>
      <w:bookmarkEnd w:id="12"/>
      <w:bookmarkEnd w:id="13"/>
      <w:bookmarkEnd w:id="14"/>
      <w:bookmarkEnd w:id="15"/>
    </w:p>
    <w:p w14:paraId="75CC7C9B" w14:textId="592652D2" w:rsidR="00C36DF2" w:rsidRPr="00655A8C" w:rsidRDefault="00C36DF2" w:rsidP="00655A8C">
      <w:pPr>
        <w:pStyle w:val="Ttulo1"/>
        <w:spacing w:line="360" w:lineRule="auto"/>
        <w:rPr>
          <w:rFonts w:ascii="Palatino Linotype" w:hAnsi="Palatino Linotype"/>
          <w:b/>
          <w:color w:val="000000" w:themeColor="text1"/>
          <w:sz w:val="24"/>
          <w:szCs w:val="24"/>
          <w:lang w:val="es-MX" w:eastAsia="en-US"/>
        </w:rPr>
      </w:pPr>
      <w:bookmarkStart w:id="16" w:name="_Toc103877272"/>
      <w:r w:rsidRPr="00655A8C">
        <w:rPr>
          <w:rFonts w:ascii="Palatino Linotype" w:hAnsi="Palatino Linotype"/>
          <w:b/>
          <w:color w:val="000000" w:themeColor="text1"/>
          <w:sz w:val="24"/>
          <w:szCs w:val="24"/>
          <w:lang w:val="es-MX" w:eastAsia="en-US"/>
        </w:rPr>
        <w:t>I. De la interposición del recurso.</w:t>
      </w:r>
      <w:bookmarkEnd w:id="16"/>
      <w:r w:rsidRPr="00655A8C">
        <w:rPr>
          <w:rFonts w:ascii="Palatino Linotype" w:hAnsi="Palatino Linotype"/>
          <w:b/>
          <w:color w:val="000000" w:themeColor="text1"/>
          <w:sz w:val="24"/>
          <w:szCs w:val="24"/>
          <w:lang w:val="es-MX" w:eastAsia="en-US"/>
        </w:rPr>
        <w:t xml:space="preserve"> </w:t>
      </w:r>
    </w:p>
    <w:p w14:paraId="40D53B59" w14:textId="77777777" w:rsidR="00C36DF2" w:rsidRPr="00655A8C" w:rsidRDefault="00C36DF2" w:rsidP="00655A8C">
      <w:pPr>
        <w:keepNext/>
        <w:keepLines/>
        <w:tabs>
          <w:tab w:val="left" w:pos="0"/>
        </w:tabs>
        <w:spacing w:line="360" w:lineRule="auto"/>
        <w:contextualSpacing/>
        <w:outlineLvl w:val="0"/>
        <w:rPr>
          <w:rFonts w:ascii="Palatino Linotype" w:eastAsia="MS Gothic" w:hAnsi="Palatino Linotype"/>
          <w:b/>
          <w:lang w:val="es-MX" w:eastAsia="en-US"/>
        </w:rPr>
      </w:pPr>
    </w:p>
    <w:p w14:paraId="4F5294AE" w14:textId="0A7BC3CA" w:rsidR="00C36DF2" w:rsidRPr="00655A8C" w:rsidRDefault="00C36DF2" w:rsidP="00655A8C">
      <w:pPr>
        <w:numPr>
          <w:ilvl w:val="0"/>
          <w:numId w:val="11"/>
        </w:numPr>
        <w:spacing w:after="160" w:line="360" w:lineRule="auto"/>
        <w:ind w:left="0" w:right="49" w:firstLine="0"/>
        <w:contextualSpacing/>
        <w:jc w:val="both"/>
        <w:rPr>
          <w:rFonts w:ascii="Palatino Linotype" w:hAnsi="Palatino Linotype"/>
          <w:lang w:val="es-ES_tradnl"/>
        </w:rPr>
      </w:pPr>
      <w:r w:rsidRPr="00655A8C">
        <w:rPr>
          <w:rFonts w:ascii="Palatino Linotype" w:eastAsia="Calibri" w:hAnsi="Palatino Linotype" w:cs="Arial"/>
          <w:lang w:val="es-ES_tradnl"/>
        </w:rPr>
        <w:t xml:space="preserve">El medio de impugnación fue presentado a través del </w:t>
      </w:r>
      <w:r w:rsidRPr="00655A8C">
        <w:rPr>
          <w:rFonts w:ascii="Palatino Linotype" w:eastAsia="Calibri" w:hAnsi="Palatino Linotype" w:cs="Arial"/>
          <w:b/>
          <w:lang w:val="es-ES_tradnl"/>
        </w:rPr>
        <w:t>SAIMEX,</w:t>
      </w:r>
      <w:r w:rsidRPr="00655A8C">
        <w:rPr>
          <w:rFonts w:ascii="Palatino Linotype" w:eastAsia="Calibri" w:hAnsi="Palatino Linotype" w:cs="Arial"/>
          <w:lang w:val="es-ES_tradnl"/>
        </w:rPr>
        <w:t xml:space="preserve"> en el formato previamente aprobado para tal efecto y dentro del plazo legal de quince días hábiles otorgados; para el caso en particular es de señalar que si el </w:t>
      </w:r>
      <w:r w:rsidRPr="00655A8C">
        <w:rPr>
          <w:rFonts w:ascii="Palatino Linotype" w:eastAsia="Calibri" w:hAnsi="Palatino Linotype" w:cs="Arial"/>
          <w:b/>
          <w:lang w:val="es-ES_tradnl"/>
        </w:rPr>
        <w:t>SUJETO OBLIGADO</w:t>
      </w:r>
      <w:r w:rsidR="0049380B">
        <w:rPr>
          <w:rFonts w:ascii="Palatino Linotype" w:eastAsia="Calibri" w:hAnsi="Palatino Linotype" w:cs="Arial"/>
          <w:lang w:val="es-ES_tradnl"/>
        </w:rPr>
        <w:t xml:space="preserve"> entregó respuesta el veinticinco (25</w:t>
      </w:r>
      <w:r w:rsidRPr="00655A8C">
        <w:rPr>
          <w:rFonts w:ascii="Palatino Linotype" w:eastAsia="Calibri" w:hAnsi="Palatino Linotype" w:cs="Arial"/>
          <w:lang w:val="es-ES_tradnl"/>
        </w:rPr>
        <w:t>) de</w:t>
      </w:r>
      <w:r w:rsidR="008225FA" w:rsidRPr="00655A8C">
        <w:rPr>
          <w:rFonts w:ascii="Palatino Linotype" w:eastAsia="Calibri" w:hAnsi="Palatino Linotype" w:cs="Arial"/>
          <w:lang w:val="es-ES_tradnl"/>
        </w:rPr>
        <w:t xml:space="preserve"> marzo </w:t>
      </w:r>
      <w:r w:rsidRPr="00655A8C">
        <w:rPr>
          <w:rFonts w:ascii="Palatino Linotype" w:eastAsia="Calibri" w:hAnsi="Palatino Linotype" w:cs="Arial"/>
          <w:lang w:val="es-ES_tradnl"/>
        </w:rPr>
        <w:t>de dos mil veintidós</w:t>
      </w:r>
      <w:r w:rsidRPr="00655A8C">
        <w:rPr>
          <w:rFonts w:ascii="Palatino Linotype" w:eastAsia="Calibri" w:hAnsi="Palatino Linotype" w:cs="Arial"/>
          <w:lang w:val="es-MX" w:eastAsia="en-US"/>
        </w:rPr>
        <w:t>, el plazo para interponer el recurso de revisión tras</w:t>
      </w:r>
      <w:r w:rsidR="0049380B">
        <w:rPr>
          <w:rFonts w:ascii="Palatino Linotype" w:eastAsia="Calibri" w:hAnsi="Palatino Linotype" w:cs="Arial"/>
          <w:lang w:val="es-MX" w:eastAsia="en-US"/>
        </w:rPr>
        <w:t>currió del veintiocho (28</w:t>
      </w:r>
      <w:r w:rsidR="0081381E" w:rsidRPr="00655A8C">
        <w:rPr>
          <w:rFonts w:ascii="Palatino Linotype" w:eastAsia="Calibri" w:hAnsi="Palatino Linotype" w:cs="Arial"/>
          <w:lang w:val="es-MX" w:eastAsia="en-US"/>
        </w:rPr>
        <w:t xml:space="preserve">) </w:t>
      </w:r>
      <w:r w:rsidR="00ED72EE" w:rsidRPr="00655A8C">
        <w:rPr>
          <w:rFonts w:ascii="Palatino Linotype" w:eastAsia="Calibri" w:hAnsi="Palatino Linotype" w:cs="Arial"/>
          <w:lang w:val="es-MX" w:eastAsia="en-US"/>
        </w:rPr>
        <w:t xml:space="preserve"> de marzo </w:t>
      </w:r>
      <w:r w:rsidR="004555FD" w:rsidRPr="00655A8C">
        <w:rPr>
          <w:rFonts w:ascii="Palatino Linotype" w:eastAsia="Calibri" w:hAnsi="Palatino Linotype" w:cs="Arial"/>
          <w:lang w:val="es-MX" w:eastAsia="en-US"/>
        </w:rPr>
        <w:t xml:space="preserve">al </w:t>
      </w:r>
      <w:r w:rsidR="0049380B">
        <w:rPr>
          <w:rFonts w:ascii="Palatino Linotype" w:eastAsia="Calibri" w:hAnsi="Palatino Linotype" w:cs="Arial"/>
          <w:lang w:val="es-MX" w:eastAsia="en-US"/>
        </w:rPr>
        <w:t>veintidós (22</w:t>
      </w:r>
      <w:r w:rsidR="004555FD" w:rsidRPr="00655A8C">
        <w:rPr>
          <w:rFonts w:ascii="Palatino Linotype" w:eastAsia="Calibri" w:hAnsi="Palatino Linotype" w:cs="Arial"/>
          <w:lang w:val="es-MX" w:eastAsia="en-US"/>
        </w:rPr>
        <w:t>) de abril</w:t>
      </w:r>
      <w:r w:rsidRPr="00655A8C">
        <w:rPr>
          <w:rFonts w:ascii="Palatino Linotype" w:eastAsia="Calibri" w:hAnsi="Palatino Linotype" w:cs="Arial"/>
          <w:lang w:val="es-MX" w:eastAsia="en-US"/>
        </w:rPr>
        <w:t xml:space="preserve"> de dos mil veintidós, por lo que si el particular interpuso </w:t>
      </w:r>
      <w:r w:rsidRPr="00655A8C">
        <w:rPr>
          <w:rFonts w:ascii="Palatino Linotype" w:eastAsia="Calibri" w:hAnsi="Palatino Linotype" w:cs="Arial"/>
          <w:lang w:val="es-MX" w:eastAsia="en-US"/>
        </w:rPr>
        <w:lastRenderedPageBreak/>
        <w:t>re</w:t>
      </w:r>
      <w:r w:rsidR="00A930E9" w:rsidRPr="00655A8C">
        <w:rPr>
          <w:rFonts w:ascii="Palatino Linotype" w:eastAsia="Calibri" w:hAnsi="Palatino Linotype" w:cs="Arial"/>
          <w:lang w:val="es-MX" w:eastAsia="en-US"/>
        </w:rPr>
        <w:t>curso</w:t>
      </w:r>
      <w:r w:rsidR="0049380B">
        <w:rPr>
          <w:rFonts w:ascii="Palatino Linotype" w:eastAsia="Calibri" w:hAnsi="Palatino Linotype" w:cs="Arial"/>
          <w:lang w:val="es-MX" w:eastAsia="en-US"/>
        </w:rPr>
        <w:t xml:space="preserve"> de revisión el veintinueve (29</w:t>
      </w:r>
      <w:r w:rsidRPr="00655A8C">
        <w:rPr>
          <w:rFonts w:ascii="Palatino Linotype" w:eastAsia="Calibri" w:hAnsi="Palatino Linotype" w:cs="Arial"/>
          <w:lang w:val="es-MX" w:eastAsia="en-US"/>
        </w:rPr>
        <w:t>) de</w:t>
      </w:r>
      <w:r w:rsidR="008225FA" w:rsidRPr="00655A8C">
        <w:rPr>
          <w:rFonts w:ascii="Palatino Linotype" w:eastAsia="Calibri" w:hAnsi="Palatino Linotype" w:cs="Arial"/>
          <w:lang w:val="es-MX" w:eastAsia="en-US"/>
        </w:rPr>
        <w:t xml:space="preserve"> marzo </w:t>
      </w:r>
      <w:r w:rsidRPr="00655A8C">
        <w:rPr>
          <w:rFonts w:ascii="Palatino Linotype" w:eastAsia="Calibri" w:hAnsi="Palatino Linotype" w:cs="Arial"/>
          <w:lang w:val="es-MX" w:eastAsia="en-US"/>
        </w:rPr>
        <w:t xml:space="preserve">de dos mil veintidós, </w:t>
      </w:r>
      <w:r w:rsidRPr="00655A8C">
        <w:rPr>
          <w:rFonts w:ascii="Palatino Linotype" w:hAnsi="Palatino Linotype"/>
          <w:lang w:val="es-ES_tradnl"/>
        </w:rPr>
        <w:t xml:space="preserve">se encuentra dentro del periodo establecido por la Ley. </w:t>
      </w:r>
    </w:p>
    <w:p w14:paraId="5370DEB2" w14:textId="77777777" w:rsidR="008225FA" w:rsidRPr="00655A8C" w:rsidRDefault="008225FA" w:rsidP="00655A8C">
      <w:pPr>
        <w:spacing w:after="160" w:line="360" w:lineRule="auto"/>
        <w:ind w:right="49"/>
        <w:contextualSpacing/>
        <w:jc w:val="both"/>
        <w:rPr>
          <w:rFonts w:ascii="Palatino Linotype" w:hAnsi="Palatino Linotype"/>
          <w:lang w:val="es-ES_tradnl"/>
        </w:rPr>
      </w:pPr>
    </w:p>
    <w:p w14:paraId="2E1EBEC3" w14:textId="77777777" w:rsidR="00C36DF2" w:rsidRPr="00655A8C" w:rsidRDefault="00C36DF2" w:rsidP="00655A8C">
      <w:pPr>
        <w:keepNext/>
        <w:keepLines/>
        <w:spacing w:before="240" w:line="360" w:lineRule="auto"/>
        <w:jc w:val="both"/>
        <w:outlineLvl w:val="0"/>
        <w:rPr>
          <w:rFonts w:ascii="Palatino Linotype" w:eastAsiaTheme="majorEastAsia" w:hAnsi="Palatino Linotype" w:cstheme="majorBidi"/>
          <w:b/>
        </w:rPr>
      </w:pPr>
      <w:bookmarkStart w:id="17" w:name="_Toc89170794"/>
      <w:bookmarkStart w:id="18" w:name="_Toc89335547"/>
      <w:bookmarkStart w:id="19" w:name="_Toc89964362"/>
      <w:bookmarkStart w:id="20" w:name="_Toc98350361"/>
      <w:bookmarkStart w:id="21" w:name="_Toc99564200"/>
      <w:bookmarkStart w:id="22" w:name="_Toc99564863"/>
      <w:bookmarkStart w:id="23" w:name="_Toc102070727"/>
      <w:bookmarkStart w:id="24" w:name="_Toc103877273"/>
      <w:r w:rsidRPr="00655A8C">
        <w:rPr>
          <w:rFonts w:ascii="Palatino Linotype" w:eastAsiaTheme="majorEastAsia" w:hAnsi="Palatino Linotype" w:cstheme="majorBidi"/>
          <w:b/>
        </w:rPr>
        <w:t>II. Del nombre como requisito innecesario para la tramitación del recurso.</w:t>
      </w:r>
      <w:bookmarkEnd w:id="17"/>
      <w:bookmarkEnd w:id="18"/>
      <w:bookmarkEnd w:id="19"/>
      <w:bookmarkEnd w:id="20"/>
      <w:bookmarkEnd w:id="21"/>
      <w:bookmarkEnd w:id="22"/>
      <w:bookmarkEnd w:id="23"/>
      <w:bookmarkEnd w:id="24"/>
      <w:r w:rsidRPr="00655A8C">
        <w:rPr>
          <w:rFonts w:ascii="Palatino Linotype" w:eastAsiaTheme="majorEastAsia" w:hAnsi="Palatino Linotype" w:cstheme="majorBidi"/>
          <w:b/>
        </w:rPr>
        <w:t xml:space="preserve"> </w:t>
      </w:r>
    </w:p>
    <w:p w14:paraId="6C8919BA" w14:textId="77777777" w:rsidR="00C36DF2" w:rsidRPr="00655A8C" w:rsidRDefault="00C36DF2" w:rsidP="00655A8C">
      <w:pPr>
        <w:tabs>
          <w:tab w:val="left" w:pos="426"/>
        </w:tabs>
        <w:spacing w:line="360" w:lineRule="auto"/>
        <w:ind w:right="49"/>
        <w:contextualSpacing/>
        <w:jc w:val="both"/>
        <w:rPr>
          <w:rFonts w:ascii="Palatino Linotype" w:hAnsi="Palatino Linotype" w:cs="Arial"/>
          <w:b/>
        </w:rPr>
      </w:pPr>
    </w:p>
    <w:p w14:paraId="62ACDB12" w14:textId="77777777" w:rsidR="00C36DF2" w:rsidRPr="00655A8C" w:rsidRDefault="00C36DF2" w:rsidP="00655A8C">
      <w:pPr>
        <w:numPr>
          <w:ilvl w:val="0"/>
          <w:numId w:val="11"/>
        </w:numPr>
        <w:tabs>
          <w:tab w:val="left" w:pos="426"/>
        </w:tabs>
        <w:spacing w:after="160" w:line="360" w:lineRule="auto"/>
        <w:ind w:left="0" w:right="49" w:firstLine="0"/>
        <w:contextualSpacing/>
        <w:jc w:val="both"/>
        <w:rPr>
          <w:rFonts w:ascii="Palatino Linotype" w:hAnsi="Palatino Linotype" w:cs="Arial"/>
          <w:b/>
          <w:lang w:val="es-ES_tradnl"/>
        </w:rPr>
      </w:pPr>
      <w:r w:rsidRPr="00655A8C">
        <w:rPr>
          <w:rFonts w:ascii="Palatino Linotype" w:hAnsi="Palatino Linotype" w:cs="Arial"/>
          <w:bCs/>
          <w:lang w:val="es-ES_tradnl"/>
        </w:rPr>
        <w:t xml:space="preserve">Por </w:t>
      </w:r>
      <w:r w:rsidRPr="00655A8C">
        <w:rPr>
          <w:rFonts w:ascii="Palatino Linotype" w:hAnsi="Palatino Linotype" w:cs="Arial"/>
          <w:bCs/>
        </w:rPr>
        <w:t xml:space="preserve">otro lado, de la revisión al  expediente electrónico contenido en el sistema </w:t>
      </w:r>
      <w:r w:rsidRPr="00655A8C">
        <w:rPr>
          <w:rFonts w:ascii="Palatino Linotype" w:hAnsi="Palatino Linotype" w:cs="Arial"/>
          <w:b/>
          <w:bCs/>
        </w:rPr>
        <w:t>SAIMEX,</w:t>
      </w:r>
      <w:r w:rsidRPr="00655A8C">
        <w:rPr>
          <w:rFonts w:ascii="Palatino Linotype" w:hAnsi="Palatino Linotype" w:cs="Arial"/>
          <w:bCs/>
        </w:rPr>
        <w:t xml:space="preserve"> se desprende que la parte solicitante, en ejercicio de su derecho de acceso a la información pública en los expedientes acumulados que se revisan, tanto en la solicitud de información como en el recurso de revisión, </w:t>
      </w:r>
      <w:r w:rsidRPr="00655A8C">
        <w:rPr>
          <w:rFonts w:ascii="Palatino Linotype" w:hAnsi="Palatino Linotype" w:cs="Arial"/>
          <w:b/>
          <w:bCs/>
        </w:rPr>
        <w:t>no señaló su nombre completo, ni se tiene certeza sobre su identidad</w:t>
      </w:r>
      <w:r w:rsidRPr="00655A8C">
        <w:rPr>
          <w:rFonts w:ascii="Palatino Linotype" w:hAnsi="Palatino Linotype" w:cs="Arial"/>
          <w:bCs/>
        </w:rPr>
        <w:t>; sin embargo, es importante señalar que el nombre de los Solicitantes y Recurrentes no es un requisito indispensable para la tramitación del acto procesal específico en materia de acceso a la información, ello en estricto apego al numeral 155 párrafo tercero de la Ley de la materia, en concatenación con el 180 del mismo ordenamiento.</w:t>
      </w:r>
    </w:p>
    <w:p w14:paraId="1C5D2DF6" w14:textId="77777777" w:rsidR="00C36DF2" w:rsidRPr="00655A8C" w:rsidRDefault="00C36DF2" w:rsidP="00655A8C">
      <w:pPr>
        <w:tabs>
          <w:tab w:val="left" w:pos="426"/>
        </w:tabs>
        <w:spacing w:after="160" w:line="360" w:lineRule="auto"/>
        <w:ind w:right="49"/>
        <w:contextualSpacing/>
        <w:jc w:val="both"/>
        <w:rPr>
          <w:rFonts w:ascii="Palatino Linotype" w:hAnsi="Palatino Linotype" w:cs="Arial"/>
          <w:b/>
          <w:lang w:val="es-ES_tradnl"/>
        </w:rPr>
      </w:pPr>
    </w:p>
    <w:p w14:paraId="3DB909D6" w14:textId="77777777" w:rsidR="00C36DF2" w:rsidRPr="00655A8C" w:rsidRDefault="00C36DF2" w:rsidP="00655A8C">
      <w:pPr>
        <w:numPr>
          <w:ilvl w:val="0"/>
          <w:numId w:val="11"/>
        </w:numPr>
        <w:tabs>
          <w:tab w:val="left" w:pos="426"/>
        </w:tabs>
        <w:spacing w:after="160" w:line="360" w:lineRule="auto"/>
        <w:ind w:left="0" w:right="49" w:firstLine="0"/>
        <w:contextualSpacing/>
        <w:jc w:val="both"/>
        <w:rPr>
          <w:rFonts w:ascii="Palatino Linotype" w:hAnsi="Palatino Linotype" w:cs="Arial"/>
          <w:b/>
          <w:lang w:val="es-ES_tradnl"/>
        </w:rPr>
      </w:pPr>
      <w:r w:rsidRPr="00655A8C">
        <w:rPr>
          <w:rFonts w:ascii="Palatino Linotype" w:hAnsi="Palatino Linotype" w:cs="Arial"/>
          <w:bCs/>
        </w:rPr>
        <w:t xml:space="preserve">Esto es así, ya que de conformidad con los artículos 6, apartado A, fracciones III y IV de la </w:t>
      </w:r>
      <w:r w:rsidRPr="00655A8C">
        <w:rPr>
          <w:rFonts w:ascii="Palatino Linotype" w:hAnsi="Palatino Linotype" w:cs="Arial"/>
          <w:b/>
          <w:bCs/>
        </w:rPr>
        <w:t>Constitución Política de los Estados Unidos Mexicanos</w:t>
      </w:r>
      <w:r w:rsidRPr="00655A8C">
        <w:rPr>
          <w:rFonts w:ascii="Palatino Linotype" w:hAnsi="Palatino Linotype" w:cs="Arial"/>
          <w:bCs/>
        </w:rPr>
        <w:t xml:space="preserve">; 5, párrafos trigésimo, trigésimo primero y trigésimo segundo, fracciones III, IV y V, de la </w:t>
      </w:r>
      <w:r w:rsidRPr="00655A8C">
        <w:rPr>
          <w:rFonts w:ascii="Palatino Linotype" w:hAnsi="Palatino Linotype" w:cs="Arial"/>
          <w:b/>
          <w:bCs/>
        </w:rPr>
        <w:t>Constitución Política del Estado Libre y Soberano de México</w:t>
      </w:r>
      <w:r w:rsidRPr="00655A8C">
        <w:rPr>
          <w:rFonts w:ascii="Palatino Linotype" w:hAnsi="Palatino Linotype" w:cs="Arial"/>
          <w:bCs/>
        </w:rPr>
        <w:t xml:space="preserve">, se establece que toda persona, sin necesidad de acreditar interés alguno o justificar su utilización, tendrá acceso gratuito a la información pública, a sus datos personales o a la rectificación de éstos, además de  que se establecerán mecanismos de acceso a la información y procedimientos de revisión expeditos que se sustanciarán ante los organismos </w:t>
      </w:r>
      <w:r w:rsidRPr="00655A8C">
        <w:rPr>
          <w:rFonts w:ascii="Palatino Linotype" w:hAnsi="Palatino Linotype" w:cs="Arial"/>
          <w:bCs/>
        </w:rPr>
        <w:lastRenderedPageBreak/>
        <w:t>autónomos especializados e imparciales que establece la Constitución Federal y Local.</w:t>
      </w:r>
    </w:p>
    <w:p w14:paraId="7EBB3DEA" w14:textId="77777777" w:rsidR="00C36DF2" w:rsidRPr="00655A8C" w:rsidRDefault="00C36DF2" w:rsidP="00655A8C">
      <w:pPr>
        <w:spacing w:line="360" w:lineRule="auto"/>
        <w:rPr>
          <w:rFonts w:ascii="Palatino Linotype" w:hAnsi="Palatino Linotype" w:cs="Arial"/>
          <w:bCs/>
        </w:rPr>
      </w:pPr>
    </w:p>
    <w:p w14:paraId="70433EC7" w14:textId="77777777" w:rsidR="00C36DF2" w:rsidRPr="00655A8C" w:rsidRDefault="00C36DF2" w:rsidP="00655A8C">
      <w:pPr>
        <w:numPr>
          <w:ilvl w:val="0"/>
          <w:numId w:val="11"/>
        </w:numPr>
        <w:tabs>
          <w:tab w:val="left" w:pos="426"/>
        </w:tabs>
        <w:spacing w:after="160" w:line="360" w:lineRule="auto"/>
        <w:ind w:left="0" w:right="49" w:firstLine="0"/>
        <w:contextualSpacing/>
        <w:jc w:val="both"/>
        <w:rPr>
          <w:rFonts w:ascii="Palatino Linotype" w:hAnsi="Palatino Linotype" w:cs="Arial"/>
          <w:b/>
          <w:lang w:val="es-ES_tradnl"/>
        </w:rPr>
      </w:pPr>
      <w:r w:rsidRPr="00655A8C">
        <w:rPr>
          <w:rFonts w:ascii="Palatino Linotype" w:hAnsi="Palatino Linotype" w:cs="Arial"/>
          <w:bCs/>
        </w:rPr>
        <w:t>Por lo cual, de una interpretación sistemática, armónica y progresiva del derecho humano de acceso a la información pública se aprecia que toda persona, sin necesidad de acreditar interés alguno o justificar su utilización, deberá tener acceso a la información pública, es decir, dicho derecho fundamental exime a quien lo ejerce, de acreditar su legitimación en la causa o su interés en el asunto, lo que permite la posibilidad de que inclusive, la solicitud de acceso a la información pueda ser anónima o no contener un nombre que identifique al Solicitante o que permita tener certeza sobre su identidad.</w:t>
      </w:r>
    </w:p>
    <w:p w14:paraId="5ECC5366" w14:textId="77777777" w:rsidR="00C36DF2" w:rsidRPr="00655A8C" w:rsidRDefault="00C36DF2" w:rsidP="00655A8C">
      <w:pPr>
        <w:tabs>
          <w:tab w:val="left" w:pos="426"/>
        </w:tabs>
        <w:spacing w:line="360" w:lineRule="auto"/>
        <w:ind w:right="49"/>
        <w:contextualSpacing/>
        <w:jc w:val="both"/>
        <w:rPr>
          <w:rFonts w:ascii="Palatino Linotype" w:hAnsi="Palatino Linotype" w:cs="Arial"/>
          <w:b/>
        </w:rPr>
      </w:pPr>
    </w:p>
    <w:p w14:paraId="5FA85AAD" w14:textId="77777777" w:rsidR="00C36DF2" w:rsidRPr="00655A8C" w:rsidRDefault="00C36DF2" w:rsidP="00655A8C">
      <w:pPr>
        <w:numPr>
          <w:ilvl w:val="0"/>
          <w:numId w:val="11"/>
        </w:numPr>
        <w:tabs>
          <w:tab w:val="left" w:pos="426"/>
        </w:tabs>
        <w:spacing w:after="160" w:line="360" w:lineRule="auto"/>
        <w:ind w:left="0" w:right="49" w:firstLine="0"/>
        <w:contextualSpacing/>
        <w:jc w:val="both"/>
        <w:rPr>
          <w:rFonts w:ascii="Palatino Linotype" w:hAnsi="Palatino Linotype" w:cs="Arial"/>
          <w:b/>
        </w:rPr>
      </w:pPr>
      <w:r w:rsidRPr="00655A8C">
        <w:rPr>
          <w:rFonts w:ascii="Palatino Linotype" w:hAnsi="Palatino Linotype" w:cs="Arial"/>
          <w:bCs/>
        </w:rPr>
        <w:t>Asimismo, como lo establece la Convención Americana, en su artículo 13, el derecho de acceso a la información es un derecho humano universal y, en consecuencia, toda persona tiene derecho a solicitar acceso a la información.</w:t>
      </w:r>
    </w:p>
    <w:p w14:paraId="58AB8AE5" w14:textId="77777777" w:rsidR="00C36DF2" w:rsidRPr="00655A8C" w:rsidRDefault="00C36DF2" w:rsidP="00655A8C">
      <w:pPr>
        <w:tabs>
          <w:tab w:val="left" w:pos="426"/>
        </w:tabs>
        <w:spacing w:line="360" w:lineRule="auto"/>
        <w:ind w:right="49"/>
        <w:contextualSpacing/>
        <w:jc w:val="both"/>
        <w:rPr>
          <w:rFonts w:ascii="Palatino Linotype" w:hAnsi="Palatino Linotype" w:cs="Arial"/>
          <w:b/>
        </w:rPr>
      </w:pPr>
    </w:p>
    <w:p w14:paraId="47FC4A2F" w14:textId="77777777" w:rsidR="00C36DF2" w:rsidRPr="00655A8C" w:rsidRDefault="00C36DF2" w:rsidP="00655A8C">
      <w:pPr>
        <w:numPr>
          <w:ilvl w:val="0"/>
          <w:numId w:val="11"/>
        </w:numPr>
        <w:tabs>
          <w:tab w:val="left" w:pos="426"/>
        </w:tabs>
        <w:spacing w:after="160" w:line="360" w:lineRule="auto"/>
        <w:ind w:left="0" w:right="49" w:firstLine="0"/>
        <w:contextualSpacing/>
        <w:jc w:val="both"/>
        <w:rPr>
          <w:rFonts w:ascii="Palatino Linotype" w:hAnsi="Palatino Linotype" w:cs="Arial"/>
          <w:b/>
        </w:rPr>
      </w:pPr>
      <w:r w:rsidRPr="00655A8C">
        <w:rPr>
          <w:rFonts w:ascii="Palatino Linotype" w:hAnsi="Palatino Linotype" w:cs="Arial"/>
          <w:bCs/>
        </w:rPr>
        <w:t>De igual forma, la Corte Interamericana ha precisado que no es necesario acreditar un interés directo ni una afectación personal para obtener la información en poder del Estado, excepto en los casos en que se aplique una legítima restricción permitida por la Convención Americana.</w:t>
      </w:r>
    </w:p>
    <w:p w14:paraId="34B6C27E" w14:textId="77777777" w:rsidR="00C36DF2" w:rsidRPr="00655A8C" w:rsidRDefault="00C36DF2" w:rsidP="00655A8C">
      <w:pPr>
        <w:tabs>
          <w:tab w:val="left" w:pos="426"/>
        </w:tabs>
        <w:spacing w:line="360" w:lineRule="auto"/>
        <w:ind w:right="49"/>
        <w:contextualSpacing/>
        <w:jc w:val="both"/>
        <w:rPr>
          <w:rFonts w:ascii="Palatino Linotype" w:hAnsi="Palatino Linotype" w:cs="Arial"/>
          <w:b/>
        </w:rPr>
      </w:pPr>
    </w:p>
    <w:p w14:paraId="6250384F" w14:textId="77777777" w:rsidR="00C36DF2" w:rsidRPr="00655A8C" w:rsidRDefault="00C36DF2" w:rsidP="00655A8C">
      <w:pPr>
        <w:numPr>
          <w:ilvl w:val="0"/>
          <w:numId w:val="11"/>
        </w:numPr>
        <w:tabs>
          <w:tab w:val="left" w:pos="426"/>
        </w:tabs>
        <w:spacing w:after="160" w:line="360" w:lineRule="auto"/>
        <w:ind w:left="0" w:right="49" w:firstLine="0"/>
        <w:contextualSpacing/>
        <w:jc w:val="both"/>
        <w:rPr>
          <w:rFonts w:ascii="Palatino Linotype" w:hAnsi="Palatino Linotype" w:cs="Arial"/>
          <w:b/>
        </w:rPr>
      </w:pPr>
      <w:r w:rsidRPr="00655A8C">
        <w:rPr>
          <w:rFonts w:ascii="Palatino Linotype" w:hAnsi="Palatino Linotype" w:cs="Arial"/>
          <w:bCs/>
        </w:rPr>
        <w:t xml:space="preserve">Por lo tanto, el nombre de la </w:t>
      </w:r>
      <w:r w:rsidRPr="00655A8C">
        <w:rPr>
          <w:rFonts w:ascii="Palatino Linotype" w:hAnsi="Palatino Linotype" w:cs="Arial"/>
          <w:b/>
          <w:bCs/>
        </w:rPr>
        <w:t>SOLICITANTE</w:t>
      </w:r>
      <w:r w:rsidRPr="00655A8C">
        <w:rPr>
          <w:rFonts w:ascii="Palatino Linotype" w:hAnsi="Palatino Linotype" w:cs="Arial"/>
          <w:bCs/>
        </w:rPr>
        <w:t xml:space="preserve"> y subsecuente </w:t>
      </w:r>
      <w:r w:rsidRPr="00655A8C">
        <w:rPr>
          <w:rFonts w:ascii="Palatino Linotype" w:hAnsi="Palatino Linotype" w:cs="Arial"/>
          <w:b/>
          <w:bCs/>
        </w:rPr>
        <w:t>RECURRENTE</w:t>
      </w:r>
      <w:r w:rsidRPr="00655A8C">
        <w:rPr>
          <w:rFonts w:ascii="Palatino Linotype" w:hAnsi="Palatino Linotype" w:cs="Arial"/>
          <w:bCs/>
        </w:rPr>
        <w:t xml:space="preserve"> no puede ser considerado un requisito indispensable de procedencia del recurso de revisión que nos ocupa, ya que el acceso a la información no está condicionado a </w:t>
      </w:r>
      <w:r w:rsidRPr="00655A8C">
        <w:rPr>
          <w:rFonts w:ascii="Palatino Linotype" w:hAnsi="Palatino Linotype" w:cs="Arial"/>
          <w:bCs/>
        </w:rPr>
        <w:lastRenderedPageBreak/>
        <w:t xml:space="preserve">acreditar algún interés ya sea jurídico o legítimo, máxime que es un elemento subsanable por este Órgano Garante. </w:t>
      </w:r>
    </w:p>
    <w:p w14:paraId="3A8D150D" w14:textId="77777777" w:rsidR="00C36DF2" w:rsidRPr="00655A8C" w:rsidRDefault="00C36DF2" w:rsidP="00655A8C">
      <w:pPr>
        <w:tabs>
          <w:tab w:val="left" w:pos="426"/>
        </w:tabs>
        <w:spacing w:after="160" w:line="360" w:lineRule="auto"/>
        <w:ind w:right="49"/>
        <w:contextualSpacing/>
        <w:jc w:val="both"/>
        <w:rPr>
          <w:rFonts w:ascii="Palatino Linotype" w:hAnsi="Palatino Linotype" w:cs="Arial"/>
          <w:b/>
        </w:rPr>
      </w:pPr>
    </w:p>
    <w:p w14:paraId="516D7235" w14:textId="77777777" w:rsidR="00C36DF2" w:rsidRPr="00655A8C" w:rsidRDefault="00C36DF2" w:rsidP="00655A8C">
      <w:pPr>
        <w:keepNext/>
        <w:keepLines/>
        <w:spacing w:before="240" w:line="360" w:lineRule="auto"/>
        <w:ind w:right="49"/>
        <w:jc w:val="both"/>
        <w:outlineLvl w:val="0"/>
        <w:rPr>
          <w:rFonts w:ascii="Palatino Linotype" w:eastAsia="Calibri" w:hAnsi="Palatino Linotype" w:cs="Arial"/>
        </w:rPr>
      </w:pPr>
      <w:bookmarkStart w:id="25" w:name="_Toc90319523"/>
      <w:bookmarkStart w:id="26" w:name="_Toc99564201"/>
      <w:bookmarkStart w:id="27" w:name="_Toc99564864"/>
      <w:bookmarkStart w:id="28" w:name="_Toc102070728"/>
      <w:bookmarkStart w:id="29" w:name="_Toc103877274"/>
      <w:r w:rsidRPr="00655A8C">
        <w:rPr>
          <w:rFonts w:ascii="Palatino Linotype" w:eastAsia="Calibri" w:hAnsi="Palatino Linotype"/>
          <w:b/>
        </w:rPr>
        <w:t xml:space="preserve">III. </w:t>
      </w:r>
      <w:bookmarkStart w:id="30" w:name="_Toc89964363"/>
      <w:bookmarkStart w:id="31" w:name="_Toc98350362"/>
      <w:bookmarkStart w:id="32" w:name="_Toc67587987"/>
      <w:bookmarkStart w:id="33" w:name="_Toc68804763"/>
      <w:bookmarkEnd w:id="25"/>
      <w:r w:rsidRPr="00655A8C">
        <w:rPr>
          <w:rFonts w:ascii="Palatino Linotype" w:eastAsiaTheme="majorEastAsia" w:hAnsi="Palatino Linotype" w:cstheme="majorBidi"/>
          <w:b/>
          <w:color w:val="000000" w:themeColor="text1"/>
          <w:lang w:val="es-MX" w:eastAsia="en-US"/>
        </w:rPr>
        <w:t>De la determinación sobre la procedibilidad del recurso.</w:t>
      </w:r>
      <w:bookmarkEnd w:id="26"/>
      <w:bookmarkEnd w:id="27"/>
      <w:bookmarkEnd w:id="28"/>
      <w:bookmarkEnd w:id="29"/>
      <w:bookmarkEnd w:id="30"/>
      <w:bookmarkEnd w:id="31"/>
      <w:bookmarkEnd w:id="32"/>
      <w:bookmarkEnd w:id="33"/>
      <w:r w:rsidRPr="00655A8C">
        <w:rPr>
          <w:rFonts w:ascii="Palatino Linotype" w:eastAsiaTheme="majorEastAsia" w:hAnsi="Palatino Linotype" w:cstheme="majorBidi"/>
          <w:b/>
          <w:color w:val="000000" w:themeColor="text1"/>
          <w:lang w:val="es-MX" w:eastAsia="en-US"/>
        </w:rPr>
        <w:t xml:space="preserve"> </w:t>
      </w:r>
    </w:p>
    <w:p w14:paraId="6EC336F7" w14:textId="77777777" w:rsidR="00C36DF2" w:rsidRPr="00655A8C" w:rsidRDefault="00C36DF2" w:rsidP="00655A8C">
      <w:pPr>
        <w:spacing w:line="360" w:lineRule="auto"/>
        <w:rPr>
          <w:rFonts w:ascii="Palatino Linotype" w:hAnsi="Palatino Linotype"/>
          <w:lang w:val="es-MX" w:eastAsia="en-US"/>
        </w:rPr>
      </w:pPr>
    </w:p>
    <w:p w14:paraId="2CAA4C68" w14:textId="44D8FBEA" w:rsidR="00A2042B" w:rsidRPr="00655A8C" w:rsidRDefault="00C36DF2" w:rsidP="00655A8C">
      <w:pPr>
        <w:numPr>
          <w:ilvl w:val="0"/>
          <w:numId w:val="11"/>
        </w:numPr>
        <w:spacing w:after="160" w:line="360" w:lineRule="auto"/>
        <w:ind w:left="0" w:right="49" w:firstLine="0"/>
        <w:contextualSpacing/>
        <w:jc w:val="both"/>
        <w:rPr>
          <w:rFonts w:ascii="Palatino Linotype" w:hAnsi="Palatino Linotype"/>
          <w:lang w:val="es-ES_tradnl"/>
        </w:rPr>
      </w:pPr>
      <w:r w:rsidRPr="00655A8C">
        <w:rPr>
          <w:rFonts w:ascii="Palatino Linotype" w:eastAsia="Calibri" w:hAnsi="Palatino Linotype" w:cs="Arial"/>
          <w:lang w:val="es-ES_tradnl"/>
        </w:rPr>
        <w:t>Expuesto lo anterior, el escrito contiene las formalidades previstas por el artículo 180 último párrafo de la Ley de la materia actual, por lo que es procedente que este Instituto de Transparencia, Acceso a la Información Pública y Protección de Datos Personales del Estado de México y Municipios, conozca y resuelva el presente recurso.</w:t>
      </w:r>
    </w:p>
    <w:p w14:paraId="0EB2E86A" w14:textId="09724DF4" w:rsidR="003669E8" w:rsidRPr="00655A8C" w:rsidRDefault="00992BC7" w:rsidP="00655A8C">
      <w:pPr>
        <w:pStyle w:val="Ttulo1"/>
        <w:spacing w:line="360" w:lineRule="auto"/>
        <w:rPr>
          <w:rFonts w:ascii="Palatino Linotype" w:hAnsi="Palatino Linotype"/>
          <w:sz w:val="24"/>
          <w:szCs w:val="24"/>
          <w:lang w:eastAsia="es-ES_tradnl"/>
        </w:rPr>
      </w:pPr>
      <w:bookmarkStart w:id="34" w:name="_Toc103877275"/>
      <w:r w:rsidRPr="00655A8C">
        <w:rPr>
          <w:rFonts w:ascii="Palatino Linotype" w:eastAsia="MS Mincho" w:hAnsi="Palatino Linotype"/>
          <w:b/>
          <w:color w:val="000000" w:themeColor="text1"/>
          <w:sz w:val="24"/>
          <w:szCs w:val="24"/>
          <w:lang w:val="es-ES_tradnl"/>
        </w:rPr>
        <w:t>TERCERO</w:t>
      </w:r>
      <w:r w:rsidRPr="00655A8C">
        <w:rPr>
          <w:rFonts w:ascii="Palatino Linotype" w:hAnsi="Palatino Linotype" w:cs="Times New Roman"/>
          <w:b/>
          <w:color w:val="000000" w:themeColor="text1"/>
          <w:sz w:val="24"/>
          <w:szCs w:val="24"/>
        </w:rPr>
        <w:t>.</w:t>
      </w:r>
      <w:bookmarkStart w:id="35" w:name="_Toc67587990"/>
      <w:bookmarkStart w:id="36" w:name="_Toc68804766"/>
      <w:bookmarkStart w:id="37" w:name="_Toc455991148"/>
      <w:bookmarkStart w:id="38" w:name="_Toc450120669"/>
      <w:bookmarkStart w:id="39" w:name="_Toc461555896"/>
      <w:bookmarkStart w:id="40" w:name="_Toc462154385"/>
      <w:bookmarkStart w:id="41" w:name="_Toc462660376"/>
      <w:bookmarkStart w:id="42" w:name="_Toc462660687"/>
      <w:bookmarkStart w:id="43" w:name="_Toc462660766"/>
      <w:bookmarkStart w:id="44" w:name="_Toc465264624"/>
      <w:bookmarkStart w:id="45" w:name="_Toc465264870"/>
      <w:bookmarkStart w:id="46" w:name="_Toc465266520"/>
      <w:bookmarkStart w:id="47" w:name="_Toc466302258"/>
      <w:bookmarkStart w:id="48" w:name="_Toc466371866"/>
      <w:bookmarkStart w:id="49" w:name="_Toc466371925"/>
      <w:bookmarkStart w:id="50" w:name="_Toc466377654"/>
      <w:bookmarkStart w:id="51" w:name="_Toc478549736"/>
      <w:bookmarkStart w:id="52" w:name="_Toc478572850"/>
      <w:bookmarkStart w:id="53" w:name="_Toc479238537"/>
      <w:r w:rsidR="0065578F" w:rsidRPr="00655A8C">
        <w:rPr>
          <w:rFonts w:ascii="Palatino Linotype" w:hAnsi="Palatino Linotype" w:cs="Times New Roman"/>
          <w:b/>
          <w:color w:val="000000" w:themeColor="text1"/>
          <w:sz w:val="24"/>
          <w:szCs w:val="24"/>
        </w:rPr>
        <w:t xml:space="preserve"> </w:t>
      </w:r>
      <w:r w:rsidR="00EA0165" w:rsidRPr="00655A8C">
        <w:rPr>
          <w:rFonts w:ascii="Palatino Linotype" w:hAnsi="Palatino Linotype"/>
          <w:b/>
          <w:color w:val="000000" w:themeColor="text1"/>
          <w:sz w:val="24"/>
          <w:szCs w:val="24"/>
          <w:lang w:val="es-MX" w:eastAsia="en-US"/>
        </w:rPr>
        <w:t xml:space="preserve">Del planteamiento de la </w:t>
      </w:r>
      <w:r w:rsidR="00EA0165" w:rsidRPr="00655A8C">
        <w:rPr>
          <w:rFonts w:ascii="Palatino Linotype" w:hAnsi="Palatino Linotype"/>
          <w:b/>
          <w:i/>
          <w:color w:val="000000" w:themeColor="text1"/>
          <w:sz w:val="24"/>
          <w:szCs w:val="24"/>
          <w:lang w:val="es-MX" w:eastAsia="en-US"/>
        </w:rPr>
        <w:t>Litis.</w:t>
      </w:r>
      <w:bookmarkEnd w:id="34"/>
      <w:bookmarkEnd w:id="35"/>
      <w:bookmarkEnd w:id="36"/>
    </w:p>
    <w:p w14:paraId="6B097BE2" w14:textId="0929F460" w:rsidR="00D217A4" w:rsidRPr="00655A8C" w:rsidRDefault="00EA0165" w:rsidP="00655A8C">
      <w:pPr>
        <w:pStyle w:val="Prrafodelista"/>
        <w:numPr>
          <w:ilvl w:val="0"/>
          <w:numId w:val="9"/>
        </w:numPr>
        <w:spacing w:before="240" w:after="240" w:line="360" w:lineRule="auto"/>
        <w:ind w:left="0" w:firstLine="0"/>
        <w:contextualSpacing/>
        <w:jc w:val="both"/>
        <w:rPr>
          <w:rFonts w:ascii="Palatino Linotype" w:hAnsi="Palatino Linotype"/>
          <w:i/>
          <w:lang w:val="es-ES_tradnl"/>
        </w:rPr>
      </w:pPr>
      <w:r w:rsidRPr="00655A8C">
        <w:rPr>
          <w:rFonts w:ascii="Palatino Linotype" w:hAnsi="Palatino Linotype" w:cs="Arial"/>
          <w:lang w:val="es-ES_tradnl"/>
        </w:rPr>
        <w:t xml:space="preserve">El recurso revisión tiene como finalidad reparar cualquier posible afectación al derecho de acceso a la información pública en términos del Título Octavo de la </w:t>
      </w:r>
      <w:r w:rsidRPr="00655A8C">
        <w:rPr>
          <w:rFonts w:ascii="Palatino Linotype" w:eastAsia="Calibri" w:hAnsi="Palatino Linotype" w:cs="Arial"/>
          <w:b/>
        </w:rPr>
        <w:t>Ley de Transparencia y Acceso a la Información Pública del Estado de México y Municipios</w:t>
      </w:r>
      <w:r w:rsidRPr="00655A8C">
        <w:rPr>
          <w:rFonts w:ascii="Palatino Linotype" w:hAnsi="Palatino Linotype" w:cs="Arial"/>
          <w:lang w:val="es-ES_tradnl"/>
        </w:rPr>
        <w:t xml:space="preserve"> y determinar la confirmación; revocación o modificación; desechamiento o sobreseimiento; y en su </w:t>
      </w:r>
      <w:r w:rsidRPr="00655A8C">
        <w:rPr>
          <w:rFonts w:ascii="Palatino Linotype" w:hAnsi="Palatino Linotype" w:cs="Arial"/>
          <w:b/>
          <w:lang w:val="es-ES_tradnl"/>
        </w:rPr>
        <w:t>caso ordenar la entrega de la información,</w:t>
      </w:r>
      <w:r w:rsidRPr="00655A8C">
        <w:rPr>
          <w:rFonts w:ascii="Palatino Linotype" w:hAnsi="Palatino Linotype" w:cs="Arial"/>
          <w:lang w:val="es-ES_tradnl"/>
        </w:rPr>
        <w:t xml:space="preserve"> respecto a las respuestas o falta de ellas de los Sujetos Obligados. </w:t>
      </w:r>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p>
    <w:p w14:paraId="3E5F6627" w14:textId="77777777" w:rsidR="00D217A4" w:rsidRPr="00655A8C" w:rsidRDefault="00D217A4" w:rsidP="00655A8C">
      <w:pPr>
        <w:pStyle w:val="Prrafodelista"/>
        <w:spacing w:before="240" w:after="240" w:line="360" w:lineRule="auto"/>
        <w:ind w:left="0"/>
        <w:contextualSpacing/>
        <w:jc w:val="both"/>
        <w:rPr>
          <w:rFonts w:ascii="Palatino Linotype" w:hAnsi="Palatino Linotype"/>
          <w:i/>
          <w:lang w:val="es-ES_tradnl"/>
        </w:rPr>
      </w:pPr>
    </w:p>
    <w:p w14:paraId="44EC49A6" w14:textId="2500D1F6" w:rsidR="00B153AD" w:rsidRPr="00655A8C" w:rsidRDefault="00EA0165" w:rsidP="00655A8C">
      <w:pPr>
        <w:pStyle w:val="Prrafodelista"/>
        <w:numPr>
          <w:ilvl w:val="0"/>
          <w:numId w:val="9"/>
        </w:numPr>
        <w:spacing w:before="240" w:after="240" w:line="360" w:lineRule="auto"/>
        <w:ind w:left="0" w:firstLine="0"/>
        <w:contextualSpacing/>
        <w:jc w:val="both"/>
        <w:rPr>
          <w:rFonts w:ascii="Palatino Linotype" w:hAnsi="Palatino Linotype"/>
          <w:i/>
          <w:lang w:val="es-ES_tradnl"/>
        </w:rPr>
      </w:pPr>
      <w:r w:rsidRPr="00655A8C">
        <w:rPr>
          <w:rFonts w:ascii="Palatino Linotype" w:eastAsia="MS Mincho" w:hAnsi="Palatino Linotype"/>
          <w:lang w:val="es-ES_tradnl"/>
        </w:rPr>
        <w:t xml:space="preserve">De las constancias en el expediente al rubro indicado, se desprende que el particular solicitó </w:t>
      </w:r>
      <w:r w:rsidR="003669E8" w:rsidRPr="00655A8C">
        <w:rPr>
          <w:rFonts w:ascii="Palatino Linotype" w:eastAsia="MS Mincho" w:hAnsi="Palatino Linotype"/>
          <w:lang w:val="es-ES_tradnl"/>
        </w:rPr>
        <w:t>acceso</w:t>
      </w:r>
      <w:r w:rsidR="00081E7A">
        <w:rPr>
          <w:rFonts w:ascii="Palatino Linotype" w:eastAsia="MS Mincho" w:hAnsi="Palatino Linotype"/>
          <w:lang w:val="es-ES_tradnl"/>
        </w:rPr>
        <w:t xml:space="preserve"> a la nómina de una servidora pública</w:t>
      </w:r>
      <w:r w:rsidR="00A930E9" w:rsidRPr="00655A8C">
        <w:rPr>
          <w:rFonts w:ascii="Palatino Linotype" w:eastAsia="MS Mincho" w:hAnsi="Palatino Linotype"/>
          <w:lang w:val="es-ES_tradnl"/>
        </w:rPr>
        <w:t xml:space="preserve">, </w:t>
      </w:r>
      <w:r w:rsidR="008225FA" w:rsidRPr="00655A8C">
        <w:rPr>
          <w:rFonts w:ascii="Palatino Linotype" w:hAnsi="Palatino Linotype"/>
          <w:lang w:val="es-ES_tradnl"/>
        </w:rPr>
        <w:t>requerimiento</w:t>
      </w:r>
      <w:r w:rsidR="00B0049C" w:rsidRPr="00655A8C">
        <w:rPr>
          <w:rFonts w:ascii="Palatino Linotype" w:eastAsia="MS Mincho" w:hAnsi="Palatino Linotype"/>
          <w:lang w:val="es-ES_tradnl"/>
        </w:rPr>
        <w:t xml:space="preserve">, </w:t>
      </w:r>
      <w:r w:rsidR="00081E7A" w:rsidRPr="00655A8C">
        <w:rPr>
          <w:rFonts w:ascii="Palatino Linotype" w:eastAsia="MS Mincho" w:hAnsi="Palatino Linotype"/>
          <w:lang w:val="es-ES_tradnl"/>
        </w:rPr>
        <w:t>al que</w:t>
      </w:r>
      <w:r w:rsidR="00562ACE" w:rsidRPr="00655A8C">
        <w:rPr>
          <w:rFonts w:ascii="Palatino Linotype" w:eastAsia="MS Mincho" w:hAnsi="Palatino Linotype"/>
          <w:lang w:val="es-ES_tradnl"/>
        </w:rPr>
        <w:t xml:space="preserve"> se respondió</w:t>
      </w:r>
      <w:r w:rsidR="007E6704" w:rsidRPr="00655A8C">
        <w:rPr>
          <w:rFonts w:ascii="Palatino Linotype" w:eastAsia="MS Mincho" w:hAnsi="Palatino Linotype"/>
          <w:lang w:val="es-ES_tradnl"/>
        </w:rPr>
        <w:t xml:space="preserve"> </w:t>
      </w:r>
      <w:r w:rsidR="008225FA" w:rsidRPr="00655A8C">
        <w:rPr>
          <w:rFonts w:ascii="Palatino Linotype" w:eastAsia="MS Mincho" w:hAnsi="Palatino Linotype"/>
          <w:lang w:val="es-ES_tradnl"/>
        </w:rPr>
        <w:t>a través del</w:t>
      </w:r>
      <w:r w:rsidR="004555FD" w:rsidRPr="00655A8C">
        <w:rPr>
          <w:rFonts w:ascii="Palatino Linotype" w:eastAsia="MS Mincho" w:hAnsi="Palatino Linotype"/>
          <w:lang w:val="es-ES_tradnl"/>
        </w:rPr>
        <w:t xml:space="preserve"> </w:t>
      </w:r>
      <w:r w:rsidR="00081E7A">
        <w:rPr>
          <w:rFonts w:ascii="Palatino Linotype" w:eastAsia="MS Mincho" w:hAnsi="Palatino Linotype"/>
          <w:lang w:val="es-ES_tradnl"/>
        </w:rPr>
        <w:t>Subtesorero,</w:t>
      </w:r>
      <w:r w:rsidR="004555FD" w:rsidRPr="00655A8C">
        <w:rPr>
          <w:rFonts w:ascii="Palatino Linotype" w:eastAsia="MS Mincho" w:hAnsi="Palatino Linotype"/>
          <w:lang w:val="es-ES_tradnl"/>
        </w:rPr>
        <w:t xml:space="preserve"> argumentando la entrega de diversos recibos de nómina</w:t>
      </w:r>
      <w:r w:rsidR="007E6704" w:rsidRPr="00655A8C">
        <w:rPr>
          <w:rFonts w:ascii="Palatino Linotype" w:eastAsia="MS Mincho" w:hAnsi="Palatino Linotype"/>
          <w:lang w:val="es-ES_tradnl"/>
        </w:rPr>
        <w:t xml:space="preserve">, </w:t>
      </w:r>
      <w:r w:rsidR="00EC6134" w:rsidRPr="00655A8C">
        <w:rPr>
          <w:rFonts w:ascii="Palatino Linotype" w:eastAsia="MS Mincho" w:hAnsi="Palatino Linotype"/>
          <w:lang w:val="es-ES_tradnl"/>
        </w:rPr>
        <w:t>no</w:t>
      </w:r>
      <w:r w:rsidR="009C61F1" w:rsidRPr="00655A8C">
        <w:rPr>
          <w:rFonts w:ascii="Palatino Linotype" w:eastAsia="MS Mincho" w:hAnsi="Palatino Linotype"/>
          <w:lang w:val="es-ES_tradnl"/>
        </w:rPr>
        <w:t xml:space="preserve"> obstante lo anterior, </w:t>
      </w:r>
      <w:r w:rsidR="00B0049C" w:rsidRPr="00655A8C">
        <w:rPr>
          <w:rFonts w:ascii="Palatino Linotype" w:eastAsia="MS Mincho" w:hAnsi="Palatino Linotype"/>
          <w:lang w:val="es-ES_tradnl"/>
        </w:rPr>
        <w:t xml:space="preserve">la parte recurrente </w:t>
      </w:r>
      <w:r w:rsidRPr="00655A8C">
        <w:rPr>
          <w:rFonts w:ascii="Palatino Linotype" w:eastAsia="MS Mincho" w:hAnsi="Palatino Linotype"/>
          <w:lang w:val="es-ES_tradnl"/>
        </w:rPr>
        <w:t xml:space="preserve">se inconforma e </w:t>
      </w:r>
      <w:r w:rsidRPr="00655A8C">
        <w:rPr>
          <w:rFonts w:ascii="Palatino Linotype" w:eastAsia="MS Mincho" w:hAnsi="Palatino Linotype"/>
          <w:lang w:val="es-ES_tradnl"/>
        </w:rPr>
        <w:lastRenderedPageBreak/>
        <w:t>interpone el presente recurso de revisión, argumentado como raz</w:t>
      </w:r>
      <w:r w:rsidR="00B153AD" w:rsidRPr="00655A8C">
        <w:rPr>
          <w:rFonts w:ascii="Palatino Linotype" w:eastAsia="MS Mincho" w:hAnsi="Palatino Linotype"/>
          <w:lang w:val="es-ES_tradnl"/>
        </w:rPr>
        <w:t xml:space="preserve">ones o motivos de inconformidad la </w:t>
      </w:r>
      <w:r w:rsidR="00A2042B" w:rsidRPr="00655A8C">
        <w:rPr>
          <w:rFonts w:ascii="Palatino Linotype" w:eastAsia="MS Mincho" w:hAnsi="Palatino Linotype"/>
          <w:lang w:val="es-ES_tradnl"/>
        </w:rPr>
        <w:t xml:space="preserve">entrega de información </w:t>
      </w:r>
      <w:r w:rsidR="00081E7A">
        <w:rPr>
          <w:rFonts w:ascii="Palatino Linotype" w:eastAsia="MS Mincho" w:hAnsi="Palatino Linotype"/>
          <w:lang w:val="es-ES_tradnl"/>
        </w:rPr>
        <w:t xml:space="preserve">que o corresponde con lo solicitado. </w:t>
      </w:r>
    </w:p>
    <w:p w14:paraId="6AEEF0D1" w14:textId="492761D8" w:rsidR="004555FD" w:rsidRPr="00655A8C" w:rsidRDefault="004555FD" w:rsidP="00655A8C">
      <w:pPr>
        <w:pStyle w:val="Prrafodelista"/>
        <w:spacing w:before="240" w:after="240" w:line="360" w:lineRule="auto"/>
        <w:ind w:left="0"/>
        <w:contextualSpacing/>
        <w:jc w:val="both"/>
        <w:rPr>
          <w:rFonts w:ascii="Palatino Linotype" w:hAnsi="Palatino Linotype"/>
          <w:i/>
          <w:lang w:val="es-ES_tradnl"/>
        </w:rPr>
      </w:pPr>
    </w:p>
    <w:p w14:paraId="4F030FC3" w14:textId="4A9A6647" w:rsidR="00D217A4" w:rsidRPr="00655A8C" w:rsidRDefault="00EA0165" w:rsidP="00655A8C">
      <w:pPr>
        <w:pStyle w:val="Prrafodelista"/>
        <w:numPr>
          <w:ilvl w:val="0"/>
          <w:numId w:val="9"/>
        </w:numPr>
        <w:spacing w:before="240" w:after="240" w:line="360" w:lineRule="auto"/>
        <w:ind w:left="0" w:firstLine="0"/>
        <w:contextualSpacing/>
        <w:jc w:val="both"/>
        <w:rPr>
          <w:rFonts w:ascii="Palatino Linotype" w:hAnsi="Palatino Linotype"/>
          <w:i/>
          <w:lang w:val="es-ES_tradnl"/>
        </w:rPr>
      </w:pPr>
      <w:r w:rsidRPr="00655A8C">
        <w:rPr>
          <w:rFonts w:ascii="Palatino Linotype" w:eastAsia="MS Mincho" w:hAnsi="Palatino Linotype"/>
          <w:lang w:val="es-ES_tradnl"/>
        </w:rPr>
        <w:t xml:space="preserve">En ese sentido, el agravio del recurrente consiste en que la respuesta proporcionada por el </w:t>
      </w:r>
      <w:r w:rsidRPr="00655A8C">
        <w:rPr>
          <w:rFonts w:ascii="Palatino Linotype" w:eastAsia="MS Mincho" w:hAnsi="Palatino Linotype"/>
          <w:b/>
          <w:lang w:val="es-ES_tradnl"/>
        </w:rPr>
        <w:t>SUJETO OBLIGADO</w:t>
      </w:r>
      <w:r w:rsidRPr="00655A8C">
        <w:rPr>
          <w:rFonts w:ascii="Palatino Linotype" w:eastAsia="MS Mincho" w:hAnsi="Palatino Linotype"/>
          <w:lang w:val="es-ES_tradnl"/>
        </w:rPr>
        <w:t xml:space="preserve"> no garantizo el principio contenido en el artículo 11 de la Ley de Transparencia y Acceso a la Información Pública del Estado de México y Municipios, el cual señala que en la generación, publicación y entrega de información</w:t>
      </w:r>
      <w:r w:rsidR="00562ACE" w:rsidRPr="00655A8C">
        <w:rPr>
          <w:rFonts w:ascii="Palatino Linotype" w:eastAsia="MS Mincho" w:hAnsi="Palatino Linotype"/>
          <w:lang w:val="es-ES_tradnl"/>
        </w:rPr>
        <w:t xml:space="preserve"> se deberá garantiza</w:t>
      </w:r>
      <w:r w:rsidR="008D7BFC" w:rsidRPr="00655A8C">
        <w:rPr>
          <w:rFonts w:ascii="Palatino Linotype" w:eastAsia="MS Mincho" w:hAnsi="Palatino Linotype"/>
          <w:lang w:val="es-ES_tradnl"/>
        </w:rPr>
        <w:t>r que</w:t>
      </w:r>
      <w:r w:rsidR="004555FD" w:rsidRPr="00655A8C">
        <w:rPr>
          <w:rFonts w:ascii="Palatino Linotype" w:eastAsia="MS Mincho" w:hAnsi="Palatino Linotype"/>
          <w:lang w:val="es-ES_tradnl"/>
        </w:rPr>
        <w:t xml:space="preserve"> sea completa. </w:t>
      </w:r>
      <w:r w:rsidR="007E6704" w:rsidRPr="00655A8C">
        <w:rPr>
          <w:rFonts w:ascii="Palatino Linotype" w:eastAsia="MS Mincho" w:hAnsi="Palatino Linotype"/>
          <w:lang w:val="es-ES_tradnl"/>
        </w:rPr>
        <w:t xml:space="preserve"> </w:t>
      </w:r>
    </w:p>
    <w:p w14:paraId="35853B1F" w14:textId="77777777" w:rsidR="00D217A4" w:rsidRPr="00655A8C" w:rsidRDefault="00D217A4" w:rsidP="00655A8C">
      <w:pPr>
        <w:pStyle w:val="Prrafodelista"/>
        <w:spacing w:line="360" w:lineRule="auto"/>
        <w:rPr>
          <w:rFonts w:ascii="Palatino Linotype" w:eastAsia="MS Mincho" w:hAnsi="Palatino Linotype"/>
          <w:lang w:val="es-ES_tradnl"/>
        </w:rPr>
      </w:pPr>
    </w:p>
    <w:p w14:paraId="78993703" w14:textId="4FAD39E5" w:rsidR="002C7E93" w:rsidRPr="00655A8C" w:rsidRDefault="00EA0165" w:rsidP="00655A8C">
      <w:pPr>
        <w:pStyle w:val="Prrafodelista"/>
        <w:numPr>
          <w:ilvl w:val="0"/>
          <w:numId w:val="9"/>
        </w:numPr>
        <w:spacing w:before="240" w:after="240" w:line="360" w:lineRule="auto"/>
        <w:ind w:left="0" w:firstLine="0"/>
        <w:contextualSpacing/>
        <w:jc w:val="both"/>
        <w:rPr>
          <w:rFonts w:ascii="Palatino Linotype" w:hAnsi="Palatino Linotype"/>
          <w:i/>
          <w:lang w:val="es-ES_tradnl"/>
        </w:rPr>
      </w:pPr>
      <w:r w:rsidRPr="00655A8C">
        <w:rPr>
          <w:rFonts w:ascii="Palatino Linotype" w:eastAsia="MS Mincho" w:hAnsi="Palatino Linotype"/>
          <w:lang w:val="es-ES_tradnl"/>
        </w:rPr>
        <w:t xml:space="preserve">Por lo que de este modo, el presente recurso de revisión se circunscribe a determinar si el </w:t>
      </w:r>
      <w:r w:rsidRPr="00655A8C">
        <w:rPr>
          <w:rFonts w:ascii="Palatino Linotype" w:eastAsia="MS Mincho" w:hAnsi="Palatino Linotype"/>
          <w:b/>
          <w:lang w:val="es-ES_tradnl"/>
        </w:rPr>
        <w:t>SUJETO OBLIGADO</w:t>
      </w:r>
      <w:r w:rsidR="009C4F62" w:rsidRPr="00655A8C">
        <w:rPr>
          <w:rFonts w:ascii="Palatino Linotype" w:eastAsia="MS Mincho" w:hAnsi="Palatino Linotype"/>
          <w:lang w:val="es-ES_tradnl"/>
        </w:rPr>
        <w:t xml:space="preserve"> con la respuesta otorgada</w:t>
      </w:r>
      <w:r w:rsidR="00562ACE" w:rsidRPr="00655A8C">
        <w:rPr>
          <w:rFonts w:ascii="Palatino Linotype" w:eastAsia="MS Mincho" w:hAnsi="Palatino Linotype"/>
          <w:lang w:val="es-ES_tradnl"/>
        </w:rPr>
        <w:t xml:space="preserve">, </w:t>
      </w:r>
      <w:r w:rsidRPr="00655A8C">
        <w:rPr>
          <w:rFonts w:ascii="Palatino Linotype" w:eastAsia="MS Mincho" w:hAnsi="Palatino Linotype"/>
          <w:lang w:val="es-ES_tradnl"/>
        </w:rPr>
        <w:t>vulnera el derecho de acceso a la información accionado por el particular a</w:t>
      </w:r>
      <w:r w:rsidR="005F7AD4" w:rsidRPr="00655A8C">
        <w:rPr>
          <w:rFonts w:ascii="Palatino Linotype" w:eastAsia="MS Mincho" w:hAnsi="Palatino Linotype"/>
          <w:lang w:val="es-ES_tradnl"/>
        </w:rPr>
        <w:t>ctualizando la causal</w:t>
      </w:r>
      <w:r w:rsidRPr="00655A8C">
        <w:rPr>
          <w:rFonts w:ascii="Palatino Linotype" w:eastAsia="MS Mincho" w:hAnsi="Palatino Linotype"/>
          <w:lang w:val="es-ES_tradnl"/>
        </w:rPr>
        <w:t xml:space="preserve"> de procedencia prevista</w:t>
      </w:r>
      <w:r w:rsidR="008D7BFC" w:rsidRPr="00655A8C">
        <w:rPr>
          <w:rFonts w:ascii="Palatino Linotype" w:eastAsia="MS Mincho" w:hAnsi="Palatino Linotype"/>
          <w:lang w:val="es-ES_tradnl"/>
        </w:rPr>
        <w:t xml:space="preserve"> en el artículo 179 fracción</w:t>
      </w:r>
      <w:r w:rsidR="007E6704" w:rsidRPr="00655A8C">
        <w:rPr>
          <w:rFonts w:ascii="Palatino Linotype" w:eastAsia="MS Mincho" w:hAnsi="Palatino Linotype"/>
          <w:lang w:val="es-ES_tradnl"/>
        </w:rPr>
        <w:t xml:space="preserve"> </w:t>
      </w:r>
      <w:r w:rsidR="00A2042B" w:rsidRPr="00655A8C">
        <w:rPr>
          <w:rFonts w:ascii="Palatino Linotype" w:eastAsia="MS Mincho" w:hAnsi="Palatino Linotype"/>
          <w:lang w:val="es-ES_tradnl"/>
        </w:rPr>
        <w:t>V</w:t>
      </w:r>
      <w:r w:rsidR="00081E7A">
        <w:rPr>
          <w:rFonts w:ascii="Palatino Linotype" w:eastAsia="MS Mincho" w:hAnsi="Palatino Linotype"/>
          <w:lang w:val="es-ES_tradnl"/>
        </w:rPr>
        <w:t>I</w:t>
      </w:r>
      <w:r w:rsidR="009C4F62" w:rsidRPr="00655A8C">
        <w:rPr>
          <w:rStyle w:val="Refdenotaalpie"/>
          <w:rFonts w:ascii="Palatino Linotype" w:eastAsia="MS Mincho" w:hAnsi="Palatino Linotype"/>
          <w:lang w:val="es-ES_tradnl"/>
        </w:rPr>
        <w:footnoteReference w:id="1"/>
      </w:r>
      <w:r w:rsidR="00562ACE" w:rsidRPr="00655A8C">
        <w:rPr>
          <w:rFonts w:ascii="Palatino Linotype" w:eastAsia="MS Mincho" w:hAnsi="Palatino Linotype"/>
          <w:lang w:val="es-ES_tradnl"/>
        </w:rPr>
        <w:t xml:space="preserve"> </w:t>
      </w:r>
      <w:r w:rsidRPr="00655A8C">
        <w:rPr>
          <w:rFonts w:ascii="Palatino Linotype" w:eastAsia="MS Mincho" w:hAnsi="Palatino Linotype"/>
          <w:lang w:val="es-ES_tradnl"/>
        </w:rPr>
        <w:t>de la Ley de Transparencia y Acceso a la Información del Estado de México y Municipios.</w:t>
      </w:r>
    </w:p>
    <w:p w14:paraId="5162A17C" w14:textId="71549F44" w:rsidR="00286C23" w:rsidRPr="00655A8C" w:rsidRDefault="009A1E3F" w:rsidP="00655A8C">
      <w:pPr>
        <w:pStyle w:val="Ttulo1"/>
        <w:spacing w:line="360" w:lineRule="auto"/>
        <w:rPr>
          <w:rFonts w:ascii="Palatino Linotype" w:hAnsi="Palatino Linotype"/>
          <w:b/>
          <w:color w:val="000000" w:themeColor="text1"/>
          <w:sz w:val="24"/>
          <w:szCs w:val="24"/>
          <w:lang w:val="es-MX" w:eastAsia="en-US"/>
        </w:rPr>
      </w:pPr>
      <w:bookmarkStart w:id="54" w:name="_Toc68804767"/>
      <w:bookmarkStart w:id="55" w:name="_Toc103877276"/>
      <w:bookmarkStart w:id="56" w:name="_Toc459174366"/>
      <w:bookmarkStart w:id="57" w:name="_Toc459659884"/>
      <w:bookmarkStart w:id="58" w:name="_Toc461687280"/>
      <w:bookmarkStart w:id="59" w:name="_Toc462771051"/>
      <w:bookmarkStart w:id="60" w:name="_Toc464139201"/>
      <w:r w:rsidRPr="00655A8C">
        <w:rPr>
          <w:rFonts w:ascii="Palatino Linotype" w:hAnsi="Palatino Linotype"/>
          <w:b/>
          <w:color w:val="000000" w:themeColor="text1"/>
          <w:sz w:val="24"/>
          <w:szCs w:val="24"/>
          <w:lang w:val="es-MX" w:eastAsia="en-US"/>
        </w:rPr>
        <w:t>CUARTO</w:t>
      </w:r>
      <w:r w:rsidR="00F041CF" w:rsidRPr="00655A8C">
        <w:rPr>
          <w:rFonts w:ascii="Palatino Linotype" w:hAnsi="Palatino Linotype"/>
          <w:b/>
          <w:color w:val="000000" w:themeColor="text1"/>
          <w:sz w:val="24"/>
          <w:szCs w:val="24"/>
          <w:lang w:val="es-MX" w:eastAsia="en-US"/>
        </w:rPr>
        <w:t>. Estudio y r</w:t>
      </w:r>
      <w:r w:rsidR="00EA0165" w:rsidRPr="00655A8C">
        <w:rPr>
          <w:rFonts w:ascii="Palatino Linotype" w:hAnsi="Palatino Linotype"/>
          <w:b/>
          <w:color w:val="000000" w:themeColor="text1"/>
          <w:sz w:val="24"/>
          <w:szCs w:val="24"/>
          <w:lang w:val="es-MX" w:eastAsia="en-US"/>
        </w:rPr>
        <w:t>esolución del asunto.</w:t>
      </w:r>
      <w:bookmarkEnd w:id="54"/>
      <w:bookmarkEnd w:id="55"/>
    </w:p>
    <w:p w14:paraId="38D9F738" w14:textId="2A255571" w:rsidR="002C7E93" w:rsidRPr="00655A8C" w:rsidRDefault="002C7E93" w:rsidP="00655A8C">
      <w:pPr>
        <w:spacing w:line="360" w:lineRule="auto"/>
        <w:rPr>
          <w:rFonts w:ascii="Palatino Linotype" w:hAnsi="Palatino Linotype"/>
          <w:lang w:val="es-MX" w:eastAsia="en-US"/>
        </w:rPr>
      </w:pPr>
    </w:p>
    <w:p w14:paraId="4C48BE97" w14:textId="1C92B791" w:rsidR="003523DE" w:rsidRPr="00655A8C" w:rsidRDefault="00D91C33" w:rsidP="00655A8C">
      <w:pPr>
        <w:pStyle w:val="Ttulo1"/>
        <w:numPr>
          <w:ilvl w:val="0"/>
          <w:numId w:val="4"/>
        </w:numPr>
        <w:spacing w:line="360" w:lineRule="auto"/>
        <w:ind w:left="0" w:firstLine="0"/>
        <w:rPr>
          <w:rFonts w:ascii="Palatino Linotype" w:hAnsi="Palatino Linotype"/>
          <w:b/>
          <w:color w:val="auto"/>
          <w:sz w:val="24"/>
          <w:szCs w:val="24"/>
          <w:lang w:val="es-MX" w:eastAsia="en-US"/>
        </w:rPr>
      </w:pPr>
      <w:bookmarkStart w:id="61" w:name="_Toc103877277"/>
      <w:r w:rsidRPr="00655A8C">
        <w:rPr>
          <w:rFonts w:ascii="Palatino Linotype" w:hAnsi="Palatino Linotype"/>
          <w:b/>
          <w:color w:val="auto"/>
          <w:sz w:val="24"/>
          <w:szCs w:val="24"/>
          <w:lang w:val="es-MX" w:eastAsia="en-US"/>
        </w:rPr>
        <w:t>De la solicitud de información y la respuesta otorgada.</w:t>
      </w:r>
      <w:bookmarkEnd w:id="61"/>
      <w:r w:rsidRPr="00655A8C">
        <w:rPr>
          <w:rFonts w:ascii="Palatino Linotype" w:hAnsi="Palatino Linotype"/>
          <w:b/>
          <w:color w:val="auto"/>
          <w:sz w:val="24"/>
          <w:szCs w:val="24"/>
          <w:lang w:val="es-MX" w:eastAsia="en-US"/>
        </w:rPr>
        <w:t xml:space="preserve"> </w:t>
      </w:r>
    </w:p>
    <w:p w14:paraId="4BF3BCA3" w14:textId="77777777" w:rsidR="00D91C33" w:rsidRPr="00655A8C" w:rsidRDefault="00D91C33" w:rsidP="00655A8C">
      <w:pPr>
        <w:pStyle w:val="Prrafodelista"/>
        <w:spacing w:line="360" w:lineRule="auto"/>
        <w:ind w:left="1080"/>
        <w:rPr>
          <w:rFonts w:ascii="Palatino Linotype" w:hAnsi="Palatino Linotype"/>
          <w:lang w:val="es-MX" w:eastAsia="en-US"/>
        </w:rPr>
      </w:pPr>
    </w:p>
    <w:p w14:paraId="113D11EC" w14:textId="77777777" w:rsidR="00D91C33" w:rsidRPr="00655A8C" w:rsidRDefault="00EA0165" w:rsidP="00655A8C">
      <w:pPr>
        <w:pStyle w:val="Prrafodelista"/>
        <w:numPr>
          <w:ilvl w:val="0"/>
          <w:numId w:val="9"/>
        </w:numPr>
        <w:spacing w:before="240" w:after="360" w:line="360" w:lineRule="auto"/>
        <w:ind w:left="0" w:firstLine="0"/>
        <w:contextualSpacing/>
        <w:jc w:val="both"/>
        <w:rPr>
          <w:rFonts w:ascii="Palatino Linotype" w:eastAsia="MS Mincho" w:hAnsi="Palatino Linotype" w:cs="Arial"/>
          <w:i/>
          <w:lang w:val="es-MX"/>
        </w:rPr>
      </w:pPr>
      <w:r w:rsidRPr="00655A8C">
        <w:rPr>
          <w:rFonts w:ascii="Palatino Linotype" w:eastAsia="Cambria" w:hAnsi="Palatino Linotype" w:cs="Arial"/>
          <w:lang w:val="es-MX" w:eastAsia="en-US"/>
        </w:rPr>
        <w:lastRenderedPageBreak/>
        <w:t xml:space="preserve">Consecuentemente y derivado del Planteamiento de la Litis, se procede analizar el contenido íntegro de las actuaciones que obran en el expediente electrónico, y así este Órgano Garante dicte la resolución correspondiente, tomando en consideración los elementos aportados por las partes y apegándose en todo momento al principio de máxima publicidad de acuerdo con lo establecido en el artículo 8 de la </w:t>
      </w:r>
      <w:r w:rsidRPr="00655A8C">
        <w:rPr>
          <w:rFonts w:ascii="Palatino Linotype" w:eastAsia="Calibri" w:hAnsi="Palatino Linotype" w:cs="Arial"/>
          <w:b/>
          <w:lang w:eastAsia="en-US"/>
        </w:rPr>
        <w:t>Ley de Transparencia y Acceso a la Información Pública del Estado de México y Municipios</w:t>
      </w:r>
      <w:r w:rsidR="006C693D" w:rsidRPr="00655A8C">
        <w:rPr>
          <w:rFonts w:ascii="Palatino Linotype" w:hAnsi="Palatino Linotype" w:cs="Arial"/>
          <w:lang w:eastAsia="es-MX"/>
        </w:rPr>
        <w:t>.</w:t>
      </w:r>
    </w:p>
    <w:p w14:paraId="6DCC758D" w14:textId="77777777" w:rsidR="00D91C33" w:rsidRPr="00655A8C" w:rsidRDefault="00D91C33" w:rsidP="00655A8C">
      <w:pPr>
        <w:pStyle w:val="Prrafodelista"/>
        <w:spacing w:before="240" w:after="360" w:line="360" w:lineRule="auto"/>
        <w:ind w:left="0"/>
        <w:contextualSpacing/>
        <w:jc w:val="both"/>
        <w:rPr>
          <w:rFonts w:ascii="Palatino Linotype" w:eastAsia="MS Mincho" w:hAnsi="Palatino Linotype" w:cs="Arial"/>
          <w:i/>
          <w:lang w:val="es-MX"/>
        </w:rPr>
      </w:pPr>
    </w:p>
    <w:p w14:paraId="3786DFB1" w14:textId="3518C355" w:rsidR="0081381E" w:rsidRPr="0082658F" w:rsidRDefault="00D91C33" w:rsidP="00655A8C">
      <w:pPr>
        <w:pStyle w:val="Prrafodelista"/>
        <w:numPr>
          <w:ilvl w:val="0"/>
          <w:numId w:val="9"/>
        </w:numPr>
        <w:tabs>
          <w:tab w:val="left" w:pos="0"/>
          <w:tab w:val="left" w:pos="426"/>
        </w:tabs>
        <w:spacing w:before="240" w:after="240" w:line="360" w:lineRule="auto"/>
        <w:ind w:left="0" w:right="49" w:firstLine="0"/>
        <w:contextualSpacing/>
        <w:jc w:val="both"/>
        <w:rPr>
          <w:rFonts w:ascii="Palatino Linotype" w:eastAsia="MS Mincho" w:hAnsi="Palatino Linotype" w:cs="Arial"/>
          <w:lang w:val="es-MX"/>
        </w:rPr>
      </w:pPr>
      <w:r w:rsidRPr="00655A8C">
        <w:rPr>
          <w:rFonts w:ascii="Palatino Linotype" w:eastAsia="MS Mincho" w:hAnsi="Palatino Linotype" w:cs="Arial"/>
          <w:lang w:val="es-MX"/>
        </w:rPr>
        <w:t xml:space="preserve">Así, de la lectura a la solicitud de información se observa </w:t>
      </w:r>
      <w:r w:rsidR="007E6704" w:rsidRPr="00655A8C">
        <w:rPr>
          <w:rFonts w:ascii="Palatino Linotype" w:eastAsia="MS Mincho" w:hAnsi="Palatino Linotype" w:cs="Arial"/>
          <w:lang w:val="es-MX"/>
        </w:rPr>
        <w:t xml:space="preserve">que el particular requirió al </w:t>
      </w:r>
      <w:bookmarkStart w:id="62" w:name="_Toc84264165"/>
      <w:r w:rsidR="00545A06">
        <w:rPr>
          <w:rFonts w:ascii="Palatino Linotype" w:eastAsia="MS Mincho" w:hAnsi="Palatino Linotype" w:cs="Arial"/>
          <w:b/>
          <w:lang w:val="es-ES_tradnl"/>
        </w:rPr>
        <w:t>Ayuntamiento de Texcaltitlan</w:t>
      </w:r>
      <w:r w:rsidR="004555FD" w:rsidRPr="00655A8C">
        <w:rPr>
          <w:rFonts w:ascii="Palatino Linotype" w:eastAsia="MS Mincho" w:hAnsi="Palatino Linotype" w:cs="Arial"/>
          <w:lang w:val="es-MX"/>
        </w:rPr>
        <w:t xml:space="preserve"> </w:t>
      </w:r>
      <w:r w:rsidR="00A930E9" w:rsidRPr="00655A8C">
        <w:rPr>
          <w:rFonts w:ascii="Palatino Linotype" w:eastAsia="MS Mincho" w:hAnsi="Palatino Linotype" w:cs="Arial"/>
          <w:lang w:val="es-MX"/>
        </w:rPr>
        <w:t>acceder</w:t>
      </w:r>
      <w:r w:rsidR="004555FD" w:rsidRPr="00655A8C">
        <w:rPr>
          <w:rFonts w:ascii="Palatino Linotype" w:eastAsia="MS Mincho" w:hAnsi="Palatino Linotype" w:cs="Arial"/>
          <w:lang w:val="es-MX"/>
        </w:rPr>
        <w:t xml:space="preserve"> a </w:t>
      </w:r>
      <w:r w:rsidR="0082658F">
        <w:rPr>
          <w:rFonts w:ascii="Palatino Linotype" w:eastAsia="MS Mincho" w:hAnsi="Palatino Linotype" w:cs="Arial"/>
          <w:lang w:val="es-MX"/>
        </w:rPr>
        <w:t>la nómina general de una servidora pública</w:t>
      </w:r>
      <w:r w:rsidR="004555FD" w:rsidRPr="00655A8C">
        <w:rPr>
          <w:rFonts w:ascii="Palatino Linotype" w:eastAsia="MS Mincho" w:hAnsi="Palatino Linotype" w:cs="Arial"/>
          <w:lang w:val="es-MX"/>
        </w:rPr>
        <w:t xml:space="preserve">, a </w:t>
      </w:r>
      <w:r w:rsidR="0081381E" w:rsidRPr="00655A8C">
        <w:rPr>
          <w:rFonts w:ascii="Palatino Linotype" w:eastAsia="MS Mincho" w:hAnsi="Palatino Linotype" w:cs="Arial"/>
          <w:lang w:val="es-MX"/>
        </w:rPr>
        <w:t>dicho requerimiento se contestó por parte del</w:t>
      </w:r>
      <w:r w:rsidR="0082658F">
        <w:rPr>
          <w:rFonts w:ascii="Palatino Linotype" w:eastAsia="MS Mincho" w:hAnsi="Palatino Linotype" w:cs="Arial"/>
          <w:lang w:val="es-MX"/>
        </w:rPr>
        <w:t xml:space="preserve"> Subtesorero que se estaba en busqueda de la información solicitada por lo que se solicitó una prórroga a efecto atender los requerimientos</w:t>
      </w:r>
    </w:p>
    <w:p w14:paraId="50999C6A" w14:textId="59EB1A94" w:rsidR="007E66E7" w:rsidRPr="007E66E7" w:rsidRDefault="00C548CF" w:rsidP="007E66E7">
      <w:pPr>
        <w:numPr>
          <w:ilvl w:val="0"/>
          <w:numId w:val="9"/>
        </w:numPr>
        <w:tabs>
          <w:tab w:val="left" w:pos="0"/>
          <w:tab w:val="left" w:pos="426"/>
        </w:tabs>
        <w:spacing w:before="240" w:after="240" w:line="360" w:lineRule="auto"/>
        <w:ind w:left="0" w:right="49" w:firstLine="0"/>
        <w:contextualSpacing/>
        <w:jc w:val="both"/>
        <w:rPr>
          <w:rFonts w:ascii="Palatino Linotype" w:eastAsia="MS Mincho" w:hAnsi="Palatino Linotype" w:cs="Arial"/>
          <w:color w:val="000000"/>
          <w:lang w:val="es-ES_tradnl"/>
        </w:rPr>
      </w:pPr>
      <w:r w:rsidRPr="00655A8C">
        <w:rPr>
          <w:rFonts w:ascii="Palatino Linotype" w:eastAsia="MS Mincho" w:hAnsi="Palatino Linotype" w:cs="Arial"/>
          <w:color w:val="000000"/>
          <w:lang w:val="es-ES_tradnl"/>
        </w:rPr>
        <w:t>Así las cosas, este Instituto de Transparencia, de conformidad con los principios de eficacia y profesionalismo</w:t>
      </w:r>
      <w:r w:rsidRPr="00655A8C">
        <w:rPr>
          <w:rStyle w:val="Refdenotaalpie"/>
          <w:rFonts w:ascii="Palatino Linotype" w:eastAsia="MS Mincho" w:hAnsi="Palatino Linotype" w:cs="Arial"/>
          <w:color w:val="000000"/>
          <w:lang w:val="es-ES_tradnl"/>
        </w:rPr>
        <w:footnoteReference w:id="2"/>
      </w:r>
      <w:r w:rsidRPr="00655A8C">
        <w:rPr>
          <w:rFonts w:ascii="Palatino Linotype" w:eastAsia="MS Mincho" w:hAnsi="Palatino Linotype" w:cs="Arial"/>
          <w:color w:val="000000"/>
          <w:lang w:val="es-ES_tradnl"/>
        </w:rPr>
        <w:t xml:space="preserve">, procederá a verificar la información remitida por el </w:t>
      </w:r>
      <w:r w:rsidRPr="00655A8C">
        <w:rPr>
          <w:rFonts w:ascii="Palatino Linotype" w:eastAsia="MS Mincho" w:hAnsi="Palatino Linotype" w:cs="Arial"/>
          <w:b/>
          <w:color w:val="000000"/>
          <w:lang w:val="es-ES_tradnl"/>
        </w:rPr>
        <w:t>SUJETO OBLIGADO y</w:t>
      </w:r>
      <w:r w:rsidRPr="00655A8C">
        <w:rPr>
          <w:rFonts w:ascii="Palatino Linotype" w:eastAsia="MS Mincho" w:hAnsi="Palatino Linotype" w:cs="Arial"/>
          <w:color w:val="000000"/>
          <w:lang w:val="es-ES_tradnl"/>
        </w:rPr>
        <w:t xml:space="preserve"> las manifestaciones realizadas por el </w:t>
      </w:r>
      <w:r w:rsidRPr="00655A8C">
        <w:rPr>
          <w:rFonts w:ascii="Palatino Linotype" w:eastAsia="MS Mincho" w:hAnsi="Palatino Linotype" w:cs="Arial"/>
          <w:b/>
          <w:color w:val="000000"/>
          <w:lang w:val="es-ES_tradnl"/>
        </w:rPr>
        <w:t xml:space="preserve">SOLICTANTE </w:t>
      </w:r>
      <w:r w:rsidRPr="00655A8C">
        <w:rPr>
          <w:rFonts w:ascii="Palatino Linotype" w:eastAsia="MS Mincho" w:hAnsi="Palatino Linotype" w:cs="Arial"/>
          <w:color w:val="000000"/>
          <w:lang w:val="es-ES_tradnl"/>
        </w:rPr>
        <w:t xml:space="preserve">a efecto de determinar </w:t>
      </w:r>
      <w:bookmarkEnd w:id="62"/>
      <w:r w:rsidR="002E2669" w:rsidRPr="00655A8C">
        <w:rPr>
          <w:rFonts w:ascii="Palatino Linotype" w:eastAsia="MS Mincho" w:hAnsi="Palatino Linotype" w:cs="Arial"/>
          <w:color w:val="000000"/>
          <w:lang w:val="es-ES_tradnl"/>
        </w:rPr>
        <w:t xml:space="preserve">si la información remitida se encuentra apegada a lo que </w:t>
      </w:r>
      <w:r w:rsidR="00575053" w:rsidRPr="00655A8C">
        <w:rPr>
          <w:rFonts w:ascii="Palatino Linotype" w:eastAsia="MS Mincho" w:hAnsi="Palatino Linotype" w:cs="Arial"/>
          <w:color w:val="000000"/>
          <w:lang w:val="es-ES_tradnl"/>
        </w:rPr>
        <w:t>establece la Ley en materia de T</w:t>
      </w:r>
      <w:r w:rsidR="002E2669" w:rsidRPr="00655A8C">
        <w:rPr>
          <w:rFonts w:ascii="Palatino Linotype" w:eastAsia="MS Mincho" w:hAnsi="Palatino Linotype" w:cs="Arial"/>
          <w:color w:val="000000"/>
          <w:lang w:val="es-ES_tradnl"/>
        </w:rPr>
        <w:t>ransparencia</w:t>
      </w:r>
      <w:r w:rsidR="007E66E7" w:rsidRPr="007E66E7">
        <w:rPr>
          <w:rFonts w:ascii="Palatino Linotype" w:eastAsia="MS Mincho" w:hAnsi="Palatino Linotype" w:cs="Arial"/>
          <w:color w:val="000000"/>
          <w:lang w:val="es-ES_tradnl"/>
        </w:rPr>
        <w:t>, determinando que</w:t>
      </w:r>
      <w:r w:rsidR="007E66E7" w:rsidRPr="007E66E7">
        <w:rPr>
          <w:rFonts w:ascii="Palatino Linotype" w:eastAsia="MS Mincho" w:hAnsi="Palatino Linotype" w:cs="Arial"/>
          <w:bCs/>
          <w:color w:val="000000"/>
        </w:rPr>
        <w:t xml:space="preserve"> </w:t>
      </w:r>
      <w:r w:rsidR="007E66E7" w:rsidRPr="007E66E7">
        <w:rPr>
          <w:rFonts w:ascii="Palatino Linotype" w:eastAsia="MS Mincho" w:hAnsi="Palatino Linotype" w:cs="Arial"/>
          <w:color w:val="000000"/>
        </w:rPr>
        <w:t xml:space="preserve">el particular al no ser experto en la materia, eventualmente pudiera no indicar correctamente la </w:t>
      </w:r>
      <w:r w:rsidR="007E66E7" w:rsidRPr="007E66E7">
        <w:rPr>
          <w:rFonts w:ascii="Palatino Linotype" w:eastAsia="MS Mincho" w:hAnsi="Palatino Linotype" w:cs="Arial"/>
          <w:color w:val="000000"/>
        </w:rPr>
        <w:lastRenderedPageBreak/>
        <w:t>información que desea obtener, y siendo que este Órgano Garante, tiene la obligación de garantizar el acceso a la información en la medida de lo posible, atendiendo a la suplencia de la deficiencia, sin cambiar los hechos expuestos por el peticionario conforme a la facultad que otorga la Ley de Transparencia y Acceso a la Información Pública del Estado de México y Municipios en los artículos 13 y 181 cuarto párrafo, los cuales contienen lo siguiente:</w:t>
      </w:r>
    </w:p>
    <w:p w14:paraId="3012643A" w14:textId="77777777" w:rsidR="007E66E7" w:rsidRPr="00F86845" w:rsidRDefault="007E66E7" w:rsidP="007E66E7">
      <w:pPr>
        <w:tabs>
          <w:tab w:val="left" w:pos="0"/>
          <w:tab w:val="left" w:pos="426"/>
        </w:tabs>
        <w:spacing w:before="240" w:after="240" w:line="360" w:lineRule="auto"/>
        <w:ind w:right="49"/>
        <w:contextualSpacing/>
        <w:jc w:val="both"/>
        <w:rPr>
          <w:rFonts w:ascii="Palatino Linotype" w:eastAsia="MS Mincho" w:hAnsi="Palatino Linotype" w:cs="Arial"/>
          <w:color w:val="000000"/>
        </w:rPr>
      </w:pPr>
      <w:r w:rsidRPr="00F86845">
        <w:rPr>
          <w:rFonts w:ascii="Palatino Linotype" w:eastAsia="MS Mincho" w:hAnsi="Palatino Linotype" w:cs="Arial"/>
          <w:color w:val="000000"/>
        </w:rPr>
        <w:tab/>
      </w:r>
    </w:p>
    <w:p w14:paraId="4C9BD71E" w14:textId="77777777" w:rsidR="007E66E7" w:rsidRPr="00F86845" w:rsidRDefault="007E66E7" w:rsidP="007E66E7">
      <w:pPr>
        <w:tabs>
          <w:tab w:val="left" w:pos="567"/>
        </w:tabs>
        <w:spacing w:before="240" w:after="240" w:line="360" w:lineRule="auto"/>
        <w:ind w:left="567" w:right="616"/>
        <w:contextualSpacing/>
        <w:jc w:val="both"/>
        <w:rPr>
          <w:rFonts w:ascii="Palatino Linotype" w:eastAsia="MS Mincho" w:hAnsi="Palatino Linotype" w:cs="Arial"/>
          <w:i/>
          <w:color w:val="000000"/>
        </w:rPr>
      </w:pPr>
      <w:r w:rsidRPr="00F86845">
        <w:rPr>
          <w:rFonts w:ascii="Palatino Linotype" w:eastAsia="MS Mincho" w:hAnsi="Palatino Linotype" w:cs="Arial"/>
          <w:b/>
          <w:bCs/>
          <w:i/>
          <w:color w:val="000000"/>
        </w:rPr>
        <w:t xml:space="preserve">“Artículo 13. </w:t>
      </w:r>
      <w:r w:rsidRPr="00F86845">
        <w:rPr>
          <w:rFonts w:ascii="Palatino Linotype" w:eastAsia="MS Mincho" w:hAnsi="Palatino Linotype" w:cs="Arial"/>
          <w:i/>
          <w:color w:val="000000"/>
        </w:rPr>
        <w:t xml:space="preserve">El Instituto, en el ámbito de sus atribuciones, deberá </w:t>
      </w:r>
      <w:r w:rsidRPr="00F86845">
        <w:rPr>
          <w:rFonts w:ascii="Palatino Linotype" w:eastAsia="MS Mincho" w:hAnsi="Palatino Linotype" w:cs="Arial"/>
          <w:b/>
          <w:i/>
          <w:color w:val="000000"/>
        </w:rPr>
        <w:t xml:space="preserve">suplir cualquier deficiencia </w:t>
      </w:r>
      <w:r w:rsidRPr="00F86845">
        <w:rPr>
          <w:rFonts w:ascii="Palatino Linotype" w:eastAsia="MS Mincho" w:hAnsi="Palatino Linotype" w:cs="Arial"/>
          <w:i/>
          <w:color w:val="000000"/>
        </w:rPr>
        <w:t>para garantizar el ejercicio del derecho de acceso a la información.”</w:t>
      </w:r>
    </w:p>
    <w:p w14:paraId="11986FC5" w14:textId="77777777" w:rsidR="007E66E7" w:rsidRPr="00F86845" w:rsidRDefault="007E66E7" w:rsidP="007E66E7">
      <w:pPr>
        <w:tabs>
          <w:tab w:val="left" w:pos="567"/>
        </w:tabs>
        <w:spacing w:before="240" w:after="240" w:line="360" w:lineRule="auto"/>
        <w:ind w:left="567" w:right="616"/>
        <w:contextualSpacing/>
        <w:jc w:val="both"/>
        <w:rPr>
          <w:rFonts w:ascii="Palatino Linotype" w:eastAsia="MS Mincho" w:hAnsi="Palatino Linotype" w:cs="Arial"/>
          <w:i/>
          <w:color w:val="000000"/>
        </w:rPr>
      </w:pPr>
    </w:p>
    <w:p w14:paraId="20049230" w14:textId="77777777" w:rsidR="007E66E7" w:rsidRPr="00F86845" w:rsidRDefault="007E66E7" w:rsidP="007E66E7">
      <w:pPr>
        <w:tabs>
          <w:tab w:val="left" w:pos="567"/>
        </w:tabs>
        <w:spacing w:before="240" w:after="240" w:line="360" w:lineRule="auto"/>
        <w:ind w:left="567" w:right="616"/>
        <w:contextualSpacing/>
        <w:jc w:val="both"/>
        <w:rPr>
          <w:rFonts w:ascii="Palatino Linotype" w:eastAsia="MS Mincho" w:hAnsi="Palatino Linotype" w:cs="Arial"/>
          <w:i/>
          <w:color w:val="000000"/>
        </w:rPr>
      </w:pPr>
      <w:r w:rsidRPr="00F86845">
        <w:rPr>
          <w:rFonts w:ascii="Palatino Linotype" w:eastAsia="MS Mincho" w:hAnsi="Palatino Linotype" w:cs="Arial"/>
          <w:i/>
          <w:color w:val="000000"/>
        </w:rPr>
        <w:t>“</w:t>
      </w:r>
      <w:r w:rsidRPr="00F86845">
        <w:rPr>
          <w:rFonts w:ascii="Palatino Linotype" w:eastAsia="MS Mincho" w:hAnsi="Palatino Linotype" w:cs="Arial"/>
          <w:b/>
          <w:i/>
          <w:color w:val="000000"/>
        </w:rPr>
        <w:t>Artículo 181</w:t>
      </w:r>
    </w:p>
    <w:p w14:paraId="6A690910" w14:textId="77777777" w:rsidR="007E66E7" w:rsidRPr="00F86845" w:rsidRDefault="007E66E7" w:rsidP="007E66E7">
      <w:pPr>
        <w:tabs>
          <w:tab w:val="left" w:pos="567"/>
        </w:tabs>
        <w:spacing w:before="240" w:after="240" w:line="360" w:lineRule="auto"/>
        <w:ind w:left="567" w:right="616"/>
        <w:contextualSpacing/>
        <w:jc w:val="both"/>
        <w:rPr>
          <w:rFonts w:ascii="Palatino Linotype" w:eastAsia="MS Mincho" w:hAnsi="Palatino Linotype" w:cs="Arial"/>
          <w:i/>
          <w:color w:val="000000"/>
        </w:rPr>
      </w:pPr>
      <w:r>
        <w:rPr>
          <w:rFonts w:ascii="Palatino Linotype" w:eastAsia="MS Mincho" w:hAnsi="Palatino Linotype" w:cs="Arial"/>
          <w:i/>
          <w:color w:val="000000"/>
        </w:rPr>
        <w:t>(</w:t>
      </w:r>
      <w:r w:rsidRPr="00F86845">
        <w:rPr>
          <w:rFonts w:ascii="Palatino Linotype" w:eastAsia="MS Mincho" w:hAnsi="Palatino Linotype" w:cs="Arial"/>
          <w:i/>
          <w:color w:val="000000"/>
        </w:rPr>
        <w:t>…</w:t>
      </w:r>
      <w:r>
        <w:rPr>
          <w:rFonts w:ascii="Palatino Linotype" w:eastAsia="MS Mincho" w:hAnsi="Palatino Linotype" w:cs="Arial"/>
          <w:i/>
          <w:color w:val="000000"/>
        </w:rPr>
        <w:t>)</w:t>
      </w:r>
    </w:p>
    <w:p w14:paraId="5A8D8B8B" w14:textId="77777777" w:rsidR="007E66E7" w:rsidRPr="00F86845" w:rsidRDefault="007E66E7" w:rsidP="007E66E7">
      <w:pPr>
        <w:tabs>
          <w:tab w:val="left" w:pos="567"/>
        </w:tabs>
        <w:spacing w:before="240" w:after="240" w:line="360" w:lineRule="auto"/>
        <w:ind w:left="567" w:right="616"/>
        <w:contextualSpacing/>
        <w:jc w:val="both"/>
        <w:rPr>
          <w:rFonts w:ascii="Palatino Linotype" w:eastAsia="MS Mincho" w:hAnsi="Palatino Linotype" w:cs="Arial"/>
          <w:i/>
          <w:color w:val="000000"/>
        </w:rPr>
      </w:pPr>
      <w:r w:rsidRPr="00F86845">
        <w:rPr>
          <w:rFonts w:ascii="Palatino Linotype" w:eastAsia="MS Mincho" w:hAnsi="Palatino Linotype" w:cs="Arial"/>
          <w:i/>
          <w:color w:val="000000"/>
        </w:rPr>
        <w:t xml:space="preserve">Durante el procedimiento deberá aplicarse la </w:t>
      </w:r>
      <w:r w:rsidRPr="00F86845">
        <w:rPr>
          <w:rFonts w:ascii="Palatino Linotype" w:eastAsia="MS Mincho" w:hAnsi="Palatino Linotype" w:cs="Arial"/>
          <w:b/>
          <w:i/>
          <w:color w:val="000000"/>
        </w:rPr>
        <w:t>suplencia de la queja a favor del recurrente</w:t>
      </w:r>
      <w:r w:rsidRPr="00F86845">
        <w:rPr>
          <w:rFonts w:ascii="Palatino Linotype" w:eastAsia="MS Mincho" w:hAnsi="Palatino Linotype" w:cs="Arial"/>
          <w:i/>
          <w:color w:val="000000"/>
        </w:rPr>
        <w:t>, sin cambiar los hechos expuestos, asegurándose de que las partes puedan presentar, de manera oral o escrita, los argumentos que funden y motiven sus pretensiones</w:t>
      </w:r>
    </w:p>
    <w:p w14:paraId="032F4072" w14:textId="77777777" w:rsidR="007E66E7" w:rsidRDefault="007E66E7" w:rsidP="007E66E7">
      <w:pPr>
        <w:tabs>
          <w:tab w:val="left" w:pos="567"/>
        </w:tabs>
        <w:spacing w:before="240" w:after="240" w:line="360" w:lineRule="auto"/>
        <w:ind w:left="567" w:right="616"/>
        <w:contextualSpacing/>
        <w:jc w:val="both"/>
        <w:rPr>
          <w:rFonts w:ascii="Palatino Linotype" w:eastAsia="MS Mincho" w:hAnsi="Palatino Linotype" w:cs="Arial"/>
          <w:i/>
          <w:color w:val="000000"/>
        </w:rPr>
      </w:pPr>
      <w:r>
        <w:rPr>
          <w:rFonts w:ascii="Palatino Linotype" w:eastAsia="MS Mincho" w:hAnsi="Palatino Linotype" w:cs="Arial"/>
          <w:i/>
          <w:color w:val="000000"/>
        </w:rPr>
        <w:t>(</w:t>
      </w:r>
      <w:r w:rsidRPr="00F86845">
        <w:rPr>
          <w:rFonts w:ascii="Palatino Linotype" w:eastAsia="MS Mincho" w:hAnsi="Palatino Linotype" w:cs="Arial"/>
          <w:i/>
          <w:color w:val="000000"/>
        </w:rPr>
        <w:t>…</w:t>
      </w:r>
      <w:r>
        <w:rPr>
          <w:rFonts w:ascii="Palatino Linotype" w:eastAsia="MS Mincho" w:hAnsi="Palatino Linotype" w:cs="Arial"/>
          <w:i/>
          <w:color w:val="000000"/>
        </w:rPr>
        <w:t>)</w:t>
      </w:r>
    </w:p>
    <w:p w14:paraId="46C80CF0" w14:textId="77777777" w:rsidR="007E66E7" w:rsidRPr="00F86845" w:rsidRDefault="007E66E7" w:rsidP="007E66E7">
      <w:pPr>
        <w:tabs>
          <w:tab w:val="left" w:pos="567"/>
        </w:tabs>
        <w:spacing w:before="240" w:after="240" w:line="360" w:lineRule="auto"/>
        <w:ind w:left="567" w:right="616"/>
        <w:contextualSpacing/>
        <w:jc w:val="both"/>
        <w:rPr>
          <w:rFonts w:ascii="Palatino Linotype" w:eastAsia="MS Mincho" w:hAnsi="Palatino Linotype" w:cs="Arial"/>
          <w:i/>
          <w:color w:val="000000"/>
        </w:rPr>
      </w:pPr>
    </w:p>
    <w:p w14:paraId="03A51D86" w14:textId="77777777" w:rsidR="007E66E7" w:rsidRDefault="007E66E7" w:rsidP="007E66E7">
      <w:pPr>
        <w:numPr>
          <w:ilvl w:val="0"/>
          <w:numId w:val="2"/>
        </w:numPr>
        <w:tabs>
          <w:tab w:val="left" w:pos="0"/>
          <w:tab w:val="left" w:pos="426"/>
        </w:tabs>
        <w:spacing w:before="240" w:after="240" w:line="360" w:lineRule="auto"/>
        <w:ind w:left="0" w:right="49" w:firstLine="0"/>
        <w:contextualSpacing/>
        <w:jc w:val="both"/>
        <w:rPr>
          <w:rFonts w:ascii="Palatino Linotype" w:eastAsia="MS Mincho" w:hAnsi="Palatino Linotype" w:cs="Arial"/>
          <w:color w:val="000000"/>
        </w:rPr>
      </w:pPr>
      <w:r w:rsidRPr="00F86845">
        <w:rPr>
          <w:rFonts w:ascii="Palatino Linotype" w:eastAsia="MS Mincho" w:hAnsi="Palatino Linotype" w:cs="Arial"/>
          <w:color w:val="000000"/>
        </w:rPr>
        <w:t xml:space="preserve">Es así que en aras de tutelar la correcta aplicación de la ley, y términos de los artículos 13 y párrafo cuarto del artículo 181 de la Ley de Transparencia Local  y con la finalidad de corregir cualquier afectación al derecho de acceso a la información, se debe analizar el fondo del asunto para establecer si existe una afectación real que en su caso haya sufrido el recurrente, lo que sería imposible si se declarara improcedente por la carencia de líneas refutantes que cubran los elementos mínimos </w:t>
      </w:r>
      <w:r w:rsidRPr="00F86845">
        <w:rPr>
          <w:rFonts w:ascii="Palatino Linotype" w:eastAsia="MS Mincho" w:hAnsi="Palatino Linotype" w:cs="Arial"/>
          <w:color w:val="000000"/>
        </w:rPr>
        <w:lastRenderedPageBreak/>
        <w:t xml:space="preserve">requeridos de la </w:t>
      </w:r>
      <w:r w:rsidRPr="00F86845">
        <w:rPr>
          <w:rFonts w:ascii="Palatino Linotype" w:eastAsia="MS Mincho" w:hAnsi="Palatino Linotype" w:cs="Arial"/>
          <w:i/>
          <w:color w:val="000000"/>
        </w:rPr>
        <w:t>causa petendi, (</w:t>
      </w:r>
      <w:r w:rsidRPr="00F86845">
        <w:rPr>
          <w:rFonts w:ascii="Palatino Linotype" w:eastAsia="MS Mincho" w:hAnsi="Palatino Linotype" w:cs="Arial"/>
          <w:color w:val="000000"/>
        </w:rPr>
        <w:t>causa de pedir</w:t>
      </w:r>
      <w:r w:rsidRPr="00F86845">
        <w:rPr>
          <w:rFonts w:ascii="Palatino Linotype" w:eastAsia="MS Mincho" w:hAnsi="Palatino Linotype" w:cs="Arial"/>
          <w:i/>
          <w:color w:val="000000"/>
        </w:rPr>
        <w:t xml:space="preserve">) </w:t>
      </w:r>
      <w:r w:rsidRPr="00F86845">
        <w:rPr>
          <w:rFonts w:ascii="Palatino Linotype" w:eastAsia="MS Mincho" w:hAnsi="Palatino Linotype" w:cs="Arial"/>
          <w:color w:val="000000"/>
        </w:rPr>
        <w:t>aunado a que existe jurisprudencia que no obliga a los particulares a cubrir tales parámetros en las materias que admitan la suplencia de la queja deficiente</w:t>
      </w:r>
      <w:r w:rsidRPr="00F86845">
        <w:rPr>
          <w:rFonts w:ascii="Palatino Linotype" w:eastAsia="MS Mincho" w:hAnsi="Palatino Linotype" w:cs="Arial"/>
          <w:color w:val="000000"/>
          <w:vertAlign w:val="superscript"/>
        </w:rPr>
        <w:footnoteReference w:id="3"/>
      </w:r>
      <w:r w:rsidRPr="00F86845">
        <w:rPr>
          <w:rFonts w:ascii="Palatino Linotype" w:eastAsia="MS Mincho" w:hAnsi="Palatino Linotype" w:cs="Arial"/>
          <w:color w:val="000000"/>
        </w:rPr>
        <w:t xml:space="preserve">. </w:t>
      </w:r>
    </w:p>
    <w:p w14:paraId="706A48FC" w14:textId="77777777" w:rsidR="007E66E7" w:rsidRDefault="007E66E7" w:rsidP="007E66E7">
      <w:pPr>
        <w:tabs>
          <w:tab w:val="left" w:pos="0"/>
          <w:tab w:val="left" w:pos="426"/>
        </w:tabs>
        <w:spacing w:before="240" w:after="240" w:line="360" w:lineRule="auto"/>
        <w:ind w:right="49"/>
        <w:contextualSpacing/>
        <w:jc w:val="both"/>
        <w:rPr>
          <w:rFonts w:ascii="Palatino Linotype" w:eastAsia="MS Mincho" w:hAnsi="Palatino Linotype" w:cs="Arial"/>
          <w:color w:val="000000"/>
        </w:rPr>
      </w:pPr>
    </w:p>
    <w:p w14:paraId="7815B745" w14:textId="03C045DF" w:rsidR="007E66E7" w:rsidRPr="007E66E7" w:rsidRDefault="007E66E7" w:rsidP="007E66E7">
      <w:pPr>
        <w:numPr>
          <w:ilvl w:val="0"/>
          <w:numId w:val="2"/>
        </w:numPr>
        <w:tabs>
          <w:tab w:val="left" w:pos="0"/>
          <w:tab w:val="left" w:pos="426"/>
        </w:tabs>
        <w:spacing w:before="240" w:after="240" w:line="360" w:lineRule="auto"/>
        <w:ind w:left="0" w:right="49" w:firstLine="0"/>
        <w:contextualSpacing/>
        <w:jc w:val="both"/>
        <w:rPr>
          <w:rFonts w:ascii="Palatino Linotype" w:eastAsia="MS Mincho" w:hAnsi="Palatino Linotype" w:cs="Arial"/>
          <w:color w:val="000000"/>
        </w:rPr>
      </w:pPr>
      <w:r w:rsidRPr="007E66E7">
        <w:rPr>
          <w:rFonts w:ascii="Palatino Linotype" w:eastAsia="MS Mincho" w:hAnsi="Palatino Linotype" w:cs="Arial"/>
          <w:color w:val="000000"/>
          <w:lang w:val="es-ES_tradnl"/>
        </w:rPr>
        <w:t xml:space="preserve">En ese orden de ideas, de una interpretación sistemática de la solicitud y los motivos de inconformidad aducidos, se puede establecer que el recurrente solicita información relativa a los recibos de nómina </w:t>
      </w:r>
      <w:r>
        <w:rPr>
          <w:rFonts w:ascii="Palatino Linotype" w:eastAsia="MS Mincho" w:hAnsi="Palatino Linotype" w:cs="Arial"/>
          <w:color w:val="000000"/>
          <w:lang w:val="es-ES_tradnl"/>
        </w:rPr>
        <w:t xml:space="preserve">de la servidora pública referida en la solicitud de información, ya que requiere la información únicamente de un servidor público. </w:t>
      </w:r>
    </w:p>
    <w:p w14:paraId="7424CB26" w14:textId="77777777" w:rsidR="007E66E7" w:rsidRPr="00763E5E" w:rsidRDefault="007E66E7" w:rsidP="007E66E7">
      <w:pPr>
        <w:pStyle w:val="Prrafodelista"/>
        <w:numPr>
          <w:ilvl w:val="0"/>
          <w:numId w:val="2"/>
        </w:numPr>
        <w:tabs>
          <w:tab w:val="left" w:pos="567"/>
        </w:tabs>
        <w:spacing w:before="240" w:after="240" w:line="360" w:lineRule="auto"/>
        <w:ind w:left="0" w:right="49" w:firstLine="0"/>
        <w:contextualSpacing/>
        <w:jc w:val="both"/>
        <w:rPr>
          <w:rFonts w:ascii="Palatino Linotype" w:eastAsia="MS Mincho" w:hAnsi="Palatino Linotype" w:cs="Arial"/>
          <w:color w:val="000000"/>
          <w:lang w:val="es-MX"/>
        </w:rPr>
      </w:pPr>
      <w:r w:rsidRPr="00763E5E">
        <w:rPr>
          <w:rFonts w:ascii="Palatino Linotype" w:eastAsia="MS Mincho" w:hAnsi="Palatino Linotype" w:cs="Arial"/>
          <w:color w:val="000000"/>
          <w:lang w:val="es-MX"/>
        </w:rPr>
        <w:t>Precisado lo anterior y previo al estudio del asunto, es menester precisar</w:t>
      </w:r>
      <w:r w:rsidRPr="00763E5E">
        <w:rPr>
          <w:rFonts w:ascii="Palatino Linotype" w:eastAsia="MS Mincho" w:hAnsi="Palatino Linotype" w:cs="Arial"/>
          <w:bCs/>
          <w:color w:val="000000"/>
          <w:lang w:val="es-MX"/>
        </w:rPr>
        <w:t xml:space="preserve"> que este Órgano Garante parte del hecho que el Derecho de Acceso a la Información Pública, es un derecho humano reconocido en el Pacto de Derechos Civiles y Políticos en su artículo 19.2; en la Convención Americana sobre Derechos Humanos en su artículo 13.1; en el artículo sexto de la Constitución Política de los Estados Unidos Mexicanos y en el artículo quinto de la Particular del Estado de México, por lo que al respecto el </w:t>
      </w:r>
      <w:r w:rsidRPr="00763E5E">
        <w:rPr>
          <w:rFonts w:ascii="Palatino Linotype" w:eastAsia="MS Mincho" w:hAnsi="Palatino Linotype" w:cs="Arial"/>
          <w:b/>
          <w:bCs/>
          <w:color w:val="000000"/>
          <w:lang w:val="es-MX"/>
        </w:rPr>
        <w:t>SUJETO OBLIGADO</w:t>
      </w:r>
      <w:r w:rsidRPr="00763E5E">
        <w:rPr>
          <w:rFonts w:ascii="Palatino Linotype" w:eastAsia="MS Mincho" w:hAnsi="Palatino Linotype" w:cs="Arial"/>
          <w:bCs/>
          <w:color w:val="000000"/>
          <w:lang w:val="es-MX"/>
        </w:rPr>
        <w:t xml:space="preserve"> debe ser cuidadoso del debido cumplimiento de las obligaciones constitucionales que se le imponen; en consecuencia, a todas las autoridades, en el ámbito de su competencia, según lo dispone el tercer párrafo del artículo primero de la </w:t>
      </w:r>
      <w:r w:rsidRPr="00763E5E">
        <w:rPr>
          <w:rFonts w:ascii="Palatino Linotype" w:eastAsia="MS Mincho" w:hAnsi="Palatino Linotype" w:cs="Arial"/>
          <w:b/>
          <w:bCs/>
          <w:color w:val="000000"/>
          <w:lang w:val="es-MX"/>
        </w:rPr>
        <w:t>Constitución Política de los Estados Unidos Mexicanos</w:t>
      </w:r>
      <w:r w:rsidRPr="00763E5E">
        <w:rPr>
          <w:rFonts w:ascii="Palatino Linotype" w:eastAsia="MS Mincho" w:hAnsi="Palatino Linotype" w:cs="Arial"/>
          <w:bCs/>
          <w:color w:val="000000"/>
          <w:lang w:val="es-MX"/>
        </w:rPr>
        <w:t>, tienen</w:t>
      </w:r>
      <w:r w:rsidRPr="00763E5E">
        <w:rPr>
          <w:rFonts w:ascii="Palatino Linotype" w:eastAsia="MS Mincho" w:hAnsi="Palatino Linotype" w:cs="Arial"/>
          <w:b/>
          <w:bCs/>
          <w:color w:val="000000"/>
          <w:lang w:val="es-MX"/>
        </w:rPr>
        <w:t xml:space="preserve"> </w:t>
      </w:r>
      <w:r w:rsidRPr="00763E5E">
        <w:rPr>
          <w:rFonts w:ascii="Palatino Linotype" w:eastAsia="MS Mincho" w:hAnsi="Palatino Linotype" w:cs="Arial"/>
          <w:bCs/>
          <w:color w:val="000000"/>
          <w:lang w:val="es-MX"/>
        </w:rPr>
        <w:t xml:space="preserve">la obligación de “promover, </w:t>
      </w:r>
      <w:r w:rsidRPr="00763E5E">
        <w:rPr>
          <w:rFonts w:ascii="Palatino Linotype" w:eastAsia="MS Mincho" w:hAnsi="Palatino Linotype" w:cs="Arial"/>
          <w:b/>
          <w:bCs/>
          <w:color w:val="000000"/>
          <w:lang w:val="es-MX"/>
        </w:rPr>
        <w:t>respetar</w:t>
      </w:r>
      <w:r w:rsidRPr="00763E5E">
        <w:rPr>
          <w:rFonts w:ascii="Palatino Linotype" w:eastAsia="MS Mincho" w:hAnsi="Palatino Linotype" w:cs="Arial"/>
          <w:bCs/>
          <w:color w:val="000000"/>
          <w:lang w:val="es-MX"/>
        </w:rPr>
        <w:t xml:space="preserve">, proteger y </w:t>
      </w:r>
      <w:r w:rsidRPr="00763E5E">
        <w:rPr>
          <w:rFonts w:ascii="Palatino Linotype" w:eastAsia="MS Mincho" w:hAnsi="Palatino Linotype" w:cs="Arial"/>
          <w:b/>
          <w:bCs/>
          <w:color w:val="000000"/>
          <w:lang w:val="es-MX"/>
        </w:rPr>
        <w:t>garantizar</w:t>
      </w:r>
      <w:r w:rsidRPr="00763E5E">
        <w:rPr>
          <w:rFonts w:ascii="Palatino Linotype" w:eastAsia="MS Mincho" w:hAnsi="Palatino Linotype" w:cs="Arial"/>
          <w:bCs/>
          <w:color w:val="000000"/>
          <w:lang w:val="es-MX"/>
        </w:rPr>
        <w:t xml:space="preserve"> los derechos humanos”, entre los cuales se encuentra dicho derecho.</w:t>
      </w:r>
    </w:p>
    <w:p w14:paraId="42925F06" w14:textId="77777777" w:rsidR="007E66E7" w:rsidRPr="00F86845" w:rsidRDefault="007E66E7" w:rsidP="007E66E7">
      <w:pPr>
        <w:tabs>
          <w:tab w:val="left" w:pos="567"/>
        </w:tabs>
        <w:spacing w:before="240" w:after="240" w:line="360" w:lineRule="auto"/>
        <w:ind w:right="49"/>
        <w:contextualSpacing/>
        <w:jc w:val="both"/>
        <w:rPr>
          <w:rFonts w:ascii="Palatino Linotype" w:eastAsia="MS Mincho" w:hAnsi="Palatino Linotype" w:cs="Arial"/>
          <w:color w:val="000000"/>
          <w:lang w:val="es-MX"/>
        </w:rPr>
      </w:pPr>
    </w:p>
    <w:p w14:paraId="04544A84" w14:textId="77777777" w:rsidR="007E66E7" w:rsidRPr="00F86845" w:rsidRDefault="007E66E7" w:rsidP="007E66E7">
      <w:pPr>
        <w:numPr>
          <w:ilvl w:val="0"/>
          <w:numId w:val="2"/>
        </w:numPr>
        <w:tabs>
          <w:tab w:val="left" w:pos="567"/>
        </w:tabs>
        <w:spacing w:before="240" w:after="240" w:line="360" w:lineRule="auto"/>
        <w:ind w:left="0" w:right="49" w:firstLine="0"/>
        <w:contextualSpacing/>
        <w:jc w:val="both"/>
        <w:rPr>
          <w:rFonts w:ascii="Palatino Linotype" w:eastAsia="MS Mincho" w:hAnsi="Palatino Linotype" w:cs="Arial"/>
          <w:color w:val="000000"/>
          <w:lang w:val="es-MX"/>
        </w:rPr>
      </w:pPr>
      <w:r w:rsidRPr="00F86845">
        <w:rPr>
          <w:rFonts w:ascii="Palatino Linotype" w:eastAsia="MS Mincho" w:hAnsi="Palatino Linotype" w:cs="Arial"/>
          <w:color w:val="000000"/>
          <w:lang w:val="es-MX"/>
        </w:rPr>
        <w:t>Por lo anterior, se deduce que el derecho de acceso a la información pública es un derecho humano convencional y constitucionalmente reconocido; en consecuencia, todas las autoridades en el ámbito de sus competencias, funciones y atribuciones tienen la obligación de respetarlo, protegerlo y garantizarlo.</w:t>
      </w:r>
    </w:p>
    <w:p w14:paraId="30BB5B8F" w14:textId="77777777" w:rsidR="007E66E7" w:rsidRPr="00F86845" w:rsidRDefault="007E66E7" w:rsidP="007E66E7">
      <w:pPr>
        <w:tabs>
          <w:tab w:val="left" w:pos="567"/>
        </w:tabs>
        <w:spacing w:before="240" w:after="240" w:line="360" w:lineRule="auto"/>
        <w:ind w:right="49"/>
        <w:contextualSpacing/>
        <w:jc w:val="both"/>
        <w:rPr>
          <w:rFonts w:ascii="Palatino Linotype" w:eastAsia="MS Mincho" w:hAnsi="Palatino Linotype" w:cs="Arial"/>
          <w:color w:val="000000"/>
          <w:lang w:val="es-MX"/>
        </w:rPr>
      </w:pPr>
    </w:p>
    <w:p w14:paraId="1EB439DE" w14:textId="77777777" w:rsidR="007E66E7" w:rsidRPr="00F86845" w:rsidRDefault="007E66E7" w:rsidP="007E66E7">
      <w:pPr>
        <w:numPr>
          <w:ilvl w:val="0"/>
          <w:numId w:val="2"/>
        </w:numPr>
        <w:tabs>
          <w:tab w:val="left" w:pos="567"/>
        </w:tabs>
        <w:spacing w:before="240" w:after="240" w:line="360" w:lineRule="auto"/>
        <w:ind w:left="0" w:right="49" w:firstLine="0"/>
        <w:contextualSpacing/>
        <w:jc w:val="both"/>
        <w:rPr>
          <w:rFonts w:ascii="Palatino Linotype" w:eastAsia="MS Mincho" w:hAnsi="Palatino Linotype" w:cs="Arial"/>
          <w:color w:val="000000"/>
          <w:lang w:val="es-MX"/>
        </w:rPr>
      </w:pPr>
      <w:r w:rsidRPr="00F86845">
        <w:rPr>
          <w:rFonts w:ascii="Palatino Linotype" w:eastAsia="MS Mincho" w:hAnsi="Palatino Linotype" w:cs="Arial"/>
          <w:color w:val="000000"/>
          <w:lang w:val="es-MX"/>
        </w:rPr>
        <w:t xml:space="preserve">Así las cosas, podemos definir el Derecho de Acceso a la Información Pública como: </w:t>
      </w:r>
      <w:r w:rsidRPr="00F86845">
        <w:rPr>
          <w:rFonts w:ascii="Palatino Linotype" w:eastAsia="MS Mincho" w:hAnsi="Palatino Linotype" w:cs="Arial"/>
          <w:i/>
          <w:color w:val="000000"/>
          <w:lang w:val="es-MX"/>
        </w:rPr>
        <w:t>La igualdad de oportunidades para recibir, buscar e impartir información</w:t>
      </w:r>
      <w:r w:rsidRPr="00F86845">
        <w:rPr>
          <w:rFonts w:ascii="Palatino Linotype" w:eastAsia="MS Mincho" w:hAnsi="Palatino Linotype" w:cs="Arial"/>
          <w:i/>
          <w:color w:val="000000"/>
          <w:vertAlign w:val="superscript"/>
          <w:lang w:val="es-MX"/>
        </w:rPr>
        <w:footnoteReference w:id="4"/>
      </w:r>
      <w:r w:rsidRPr="00F86845">
        <w:rPr>
          <w:rFonts w:ascii="Palatino Linotype" w:eastAsia="MS Mincho" w:hAnsi="Palatino Linotype" w:cs="Arial"/>
          <w:i/>
          <w:color w:val="000000"/>
          <w:lang w:val="es-MX"/>
        </w:rPr>
        <w:t>en posesión de cualquier autoridad, entidad, órgano y organismo de los poderes Ejecutivo, Legislativo y Judicial, órganos autónomos, partidos políticos, fideicomisos y fondos públicos, así como de cualquier persona física, moral o sindicato que reciba y ejerza recursos públicos o realice actos de autoridad en el ámbito federal, estatal y municipal,</w:t>
      </w:r>
      <w:r w:rsidRPr="00F86845">
        <w:rPr>
          <w:rFonts w:ascii="Palatino Linotype" w:eastAsia="MS Mincho" w:hAnsi="Palatino Linotype" w:cs="Arial"/>
          <w:i/>
          <w:color w:val="000000"/>
          <w:vertAlign w:val="superscript"/>
          <w:lang w:val="es-MX"/>
        </w:rPr>
        <w:footnoteReference w:id="5"/>
      </w:r>
      <w:r w:rsidRPr="00F86845">
        <w:rPr>
          <w:rFonts w:ascii="Palatino Linotype" w:eastAsia="MS Mincho" w:hAnsi="Palatino Linotype" w:cs="Arial"/>
          <w:color w:val="000000"/>
          <w:lang w:val="es-MX"/>
        </w:rPr>
        <w:t>que se constituye como una herramienta fundamental para ejercer</w:t>
      </w:r>
      <w:r w:rsidRPr="00F86845">
        <w:rPr>
          <w:rFonts w:ascii="Palatino Linotype" w:eastAsia="MS Mincho" w:hAnsi="Palatino Linotype" w:cs="Arial"/>
          <w:i/>
          <w:color w:val="000000"/>
          <w:lang w:val="es-MX"/>
        </w:rPr>
        <w:t xml:space="preserve"> el control democrático de las gestiones estatales, de forma tal que puedan cuestionar, indagar y considerar si se está dando un adecuado cumplimiento a las funciones públicas,</w:t>
      </w:r>
      <w:r w:rsidRPr="00F86845">
        <w:rPr>
          <w:rFonts w:ascii="Palatino Linotype" w:eastAsia="MS Mincho" w:hAnsi="Palatino Linotype" w:cs="Arial"/>
          <w:i/>
          <w:color w:val="000000"/>
          <w:vertAlign w:val="superscript"/>
          <w:lang w:val="es-MX"/>
        </w:rPr>
        <w:footnoteReference w:id="6"/>
      </w:r>
      <w:r w:rsidRPr="00F86845">
        <w:rPr>
          <w:rFonts w:ascii="Palatino Linotype" w:eastAsia="MS Mincho" w:hAnsi="Palatino Linotype" w:cs="Arial"/>
          <w:i/>
          <w:color w:val="000000"/>
          <w:lang w:val="es-MX"/>
        </w:rPr>
        <w:t xml:space="preserve"> </w:t>
      </w:r>
      <w:r w:rsidRPr="00F86845">
        <w:rPr>
          <w:rFonts w:ascii="Palatino Linotype" w:eastAsia="MS Mincho" w:hAnsi="Palatino Linotype" w:cs="Arial"/>
          <w:color w:val="000000"/>
          <w:lang w:val="es-MX"/>
        </w:rPr>
        <w:t>fomentando</w:t>
      </w:r>
      <w:r w:rsidRPr="00F86845">
        <w:rPr>
          <w:rFonts w:ascii="Palatino Linotype" w:eastAsia="MS Mincho" w:hAnsi="Palatino Linotype" w:cs="Arial"/>
          <w:i/>
          <w:color w:val="000000"/>
          <w:lang w:val="es-MX"/>
        </w:rPr>
        <w:t xml:space="preserve"> la transparencia de las actividades estatales y </w:t>
      </w:r>
      <w:r w:rsidRPr="00F86845">
        <w:rPr>
          <w:rFonts w:ascii="Palatino Linotype" w:eastAsia="MS Mincho" w:hAnsi="Palatino Linotype" w:cs="Arial"/>
          <w:color w:val="000000"/>
          <w:lang w:val="es-MX"/>
        </w:rPr>
        <w:t>promoviendo</w:t>
      </w:r>
      <w:r w:rsidRPr="00F86845">
        <w:rPr>
          <w:rFonts w:ascii="Palatino Linotype" w:eastAsia="MS Mincho" w:hAnsi="Palatino Linotype" w:cs="Arial"/>
          <w:i/>
          <w:color w:val="000000"/>
          <w:lang w:val="es-MX"/>
        </w:rPr>
        <w:t xml:space="preserve"> la responsabilidad de los funcionarios sobre su gestión pública,</w:t>
      </w:r>
      <w:r w:rsidRPr="00F86845">
        <w:rPr>
          <w:rFonts w:ascii="Palatino Linotype" w:eastAsia="MS Mincho" w:hAnsi="Palatino Linotype" w:cs="Arial"/>
          <w:i/>
          <w:color w:val="000000"/>
          <w:vertAlign w:val="superscript"/>
          <w:lang w:val="es-MX"/>
        </w:rPr>
        <w:footnoteReference w:id="7"/>
      </w:r>
      <w:r w:rsidRPr="00F86845">
        <w:rPr>
          <w:rFonts w:ascii="Palatino Linotype" w:eastAsia="MS Mincho" w:hAnsi="Palatino Linotype" w:cs="Arial"/>
          <w:color w:val="000000"/>
          <w:lang w:val="es-MX"/>
        </w:rPr>
        <w:t>que permite</w:t>
      </w:r>
      <w:r w:rsidRPr="00F86845">
        <w:rPr>
          <w:rFonts w:ascii="Palatino Linotype" w:eastAsia="MS Mincho" w:hAnsi="Palatino Linotype" w:cs="Arial"/>
          <w:i/>
          <w:color w:val="000000"/>
          <w:lang w:val="es-MX"/>
        </w:rPr>
        <w:t xml:space="preserve"> saber qué están haciendo los gobiernos por sus pueblos, sin lo cual la verdad languidecería y la participación en el gobierno permanecería fragmentada.</w:t>
      </w:r>
    </w:p>
    <w:p w14:paraId="031CC6FA" w14:textId="77777777" w:rsidR="007E66E7" w:rsidRPr="00F86845" w:rsidRDefault="007E66E7" w:rsidP="007E66E7">
      <w:pPr>
        <w:tabs>
          <w:tab w:val="left" w:pos="567"/>
        </w:tabs>
        <w:spacing w:before="240" w:after="240" w:line="360" w:lineRule="auto"/>
        <w:ind w:right="49"/>
        <w:contextualSpacing/>
        <w:jc w:val="both"/>
        <w:rPr>
          <w:rFonts w:ascii="Palatino Linotype" w:eastAsia="MS Mincho" w:hAnsi="Palatino Linotype" w:cs="Arial"/>
          <w:color w:val="000000"/>
          <w:lang w:val="es-MX"/>
        </w:rPr>
      </w:pPr>
    </w:p>
    <w:p w14:paraId="020A29AF" w14:textId="77777777" w:rsidR="007E66E7" w:rsidRPr="00F86845" w:rsidRDefault="007E66E7" w:rsidP="007E66E7">
      <w:pPr>
        <w:numPr>
          <w:ilvl w:val="0"/>
          <w:numId w:val="2"/>
        </w:numPr>
        <w:tabs>
          <w:tab w:val="left" w:pos="567"/>
        </w:tabs>
        <w:spacing w:before="240" w:after="240" w:line="360" w:lineRule="auto"/>
        <w:ind w:left="0" w:right="49" w:firstLine="0"/>
        <w:contextualSpacing/>
        <w:jc w:val="both"/>
        <w:rPr>
          <w:rFonts w:ascii="Palatino Linotype" w:eastAsia="MS Mincho" w:hAnsi="Palatino Linotype" w:cs="Arial"/>
          <w:color w:val="000000"/>
          <w:lang w:val="es-MX"/>
        </w:rPr>
      </w:pPr>
      <w:r w:rsidRPr="00F86845">
        <w:rPr>
          <w:rFonts w:ascii="Palatino Linotype" w:eastAsia="MS Mincho" w:hAnsi="Palatino Linotype" w:cs="Arial"/>
          <w:color w:val="000000"/>
          <w:lang w:val="es-MX"/>
        </w:rPr>
        <w:t xml:space="preserve">En tal sentido, el derecho de acceso a la información constituye una garantía primaria, tal y como lo señala el artículo 150 de la Ley de Transparencia y Acceso a </w:t>
      </w:r>
      <w:r w:rsidRPr="00F86845">
        <w:rPr>
          <w:rFonts w:ascii="Palatino Linotype" w:eastAsia="MS Mincho" w:hAnsi="Palatino Linotype" w:cs="Arial"/>
          <w:color w:val="000000"/>
          <w:lang w:val="es-MX"/>
        </w:rPr>
        <w:lastRenderedPageBreak/>
        <w:t xml:space="preserve">la Información del Estado de México y Municipios, que además, establece que se regirá </w:t>
      </w:r>
      <w:r w:rsidRPr="00F86845">
        <w:rPr>
          <w:rFonts w:ascii="Palatino Linotype" w:eastAsia="MS Mincho" w:hAnsi="Palatino Linotype" w:cs="Arial"/>
          <w:i/>
          <w:color w:val="000000"/>
          <w:lang w:val="es-MX"/>
        </w:rPr>
        <w:t>por los principios de simplicidad, rapidez gratuidad del procedimiento, auxilio y orientación a los particulares</w:t>
      </w:r>
      <w:r w:rsidRPr="00F86845">
        <w:rPr>
          <w:rFonts w:ascii="Palatino Linotype" w:eastAsia="MS Mincho" w:hAnsi="Palatino Linotype" w:cs="Arial"/>
          <w:color w:val="000000"/>
          <w:lang w:val="es-MX"/>
        </w:rPr>
        <w:t xml:space="preserve">, contemplando el derecho de las personas con discapacidad y hablantes de lengua indígena. </w:t>
      </w:r>
    </w:p>
    <w:p w14:paraId="5AEDCF47" w14:textId="77777777" w:rsidR="007E66E7" w:rsidRPr="00F86845" w:rsidRDefault="007E66E7" w:rsidP="007E66E7">
      <w:pPr>
        <w:tabs>
          <w:tab w:val="left" w:pos="567"/>
        </w:tabs>
        <w:spacing w:before="240" w:after="240" w:line="360" w:lineRule="auto"/>
        <w:ind w:right="49"/>
        <w:contextualSpacing/>
        <w:jc w:val="both"/>
        <w:rPr>
          <w:rFonts w:ascii="Palatino Linotype" w:eastAsia="MS Mincho" w:hAnsi="Palatino Linotype" w:cs="Arial"/>
          <w:color w:val="000000"/>
          <w:lang w:val="es-MX"/>
        </w:rPr>
      </w:pPr>
    </w:p>
    <w:p w14:paraId="7035CA2D" w14:textId="77777777" w:rsidR="007E66E7" w:rsidRPr="00F86845" w:rsidRDefault="007E66E7" w:rsidP="007E66E7">
      <w:pPr>
        <w:numPr>
          <w:ilvl w:val="0"/>
          <w:numId w:val="2"/>
        </w:numPr>
        <w:tabs>
          <w:tab w:val="left" w:pos="567"/>
        </w:tabs>
        <w:spacing w:before="240" w:after="240" w:line="360" w:lineRule="auto"/>
        <w:ind w:left="0" w:right="49" w:firstLine="0"/>
        <w:contextualSpacing/>
        <w:jc w:val="both"/>
        <w:rPr>
          <w:rFonts w:ascii="Palatino Linotype" w:eastAsia="MS Mincho" w:hAnsi="Palatino Linotype" w:cs="Arial"/>
          <w:color w:val="000000"/>
          <w:lang w:val="es-MX"/>
        </w:rPr>
      </w:pPr>
      <w:r w:rsidRPr="00F86845">
        <w:rPr>
          <w:rFonts w:ascii="Palatino Linotype" w:eastAsia="MS Mincho" w:hAnsi="Palatino Linotype" w:cs="Arial"/>
          <w:color w:val="000000"/>
          <w:lang w:val="es-MX"/>
        </w:rPr>
        <w:t>Por otro lado, la Ley de Transparencia y Acceso a la Información Pública del Estado de México y Municipios, cuyo objeto es establecer principios, bases generales y procedimientos para tutelar y garantizar la transparencia y el derecho humano de acceso a la información pública en posesión de los sujetos obligados; en su artículo 176 establece que el recurso de revisión es la garantía secundaria mediante la cual se pretende reparar cualquier posible afectación al derecho de acceso a la información pública, siendo éste el medio a través del cual, este Órgano Garante después de realizar el análisis al procedimiento de acceso a la información, podrá determinar la posible afectación y, de ser el caso, ordenar la reparación a la violación del derecho en cuestión.</w:t>
      </w:r>
    </w:p>
    <w:p w14:paraId="3F5E4CDD" w14:textId="0BABF58C" w:rsidR="007E66E7" w:rsidRPr="00655A8C" w:rsidRDefault="007E66E7" w:rsidP="007E66E7">
      <w:pPr>
        <w:tabs>
          <w:tab w:val="left" w:pos="0"/>
          <w:tab w:val="left" w:pos="426"/>
        </w:tabs>
        <w:spacing w:before="240" w:after="240" w:line="360" w:lineRule="auto"/>
        <w:ind w:right="49"/>
        <w:contextualSpacing/>
        <w:jc w:val="both"/>
        <w:rPr>
          <w:rFonts w:ascii="Palatino Linotype" w:eastAsia="MS Mincho" w:hAnsi="Palatino Linotype" w:cs="Arial"/>
          <w:lang w:val="es-MX"/>
        </w:rPr>
      </w:pPr>
    </w:p>
    <w:p w14:paraId="25C9FEB6" w14:textId="4A436B22" w:rsidR="00CB6E8B" w:rsidRPr="00655A8C" w:rsidRDefault="00575053" w:rsidP="00655A8C">
      <w:pPr>
        <w:pStyle w:val="Ttulo1"/>
        <w:numPr>
          <w:ilvl w:val="0"/>
          <w:numId w:val="4"/>
        </w:numPr>
        <w:spacing w:line="360" w:lineRule="auto"/>
        <w:ind w:left="0" w:firstLine="0"/>
        <w:rPr>
          <w:rFonts w:ascii="Palatino Linotype" w:hAnsi="Palatino Linotype"/>
          <w:b/>
          <w:color w:val="auto"/>
          <w:sz w:val="24"/>
          <w:szCs w:val="24"/>
        </w:rPr>
      </w:pPr>
      <w:bookmarkStart w:id="63" w:name="_Toc103877278"/>
      <w:r w:rsidRPr="00655A8C">
        <w:rPr>
          <w:rFonts w:ascii="Palatino Linotype" w:hAnsi="Palatino Linotype"/>
          <w:b/>
          <w:color w:val="auto"/>
          <w:sz w:val="24"/>
          <w:szCs w:val="24"/>
        </w:rPr>
        <w:t>De la naturaleza de la información solicitada.</w:t>
      </w:r>
      <w:bookmarkEnd w:id="63"/>
      <w:r w:rsidRPr="00655A8C">
        <w:rPr>
          <w:rFonts w:ascii="Palatino Linotype" w:hAnsi="Palatino Linotype"/>
          <w:b/>
          <w:color w:val="auto"/>
          <w:sz w:val="24"/>
          <w:szCs w:val="24"/>
        </w:rPr>
        <w:t xml:space="preserve"> </w:t>
      </w:r>
    </w:p>
    <w:p w14:paraId="379AB981" w14:textId="2AE3FE55" w:rsidR="001C2C24" w:rsidRPr="00655A8C" w:rsidRDefault="001C2C24" w:rsidP="00655A8C">
      <w:pPr>
        <w:spacing w:line="360" w:lineRule="auto"/>
        <w:jc w:val="both"/>
        <w:rPr>
          <w:rFonts w:ascii="Palatino Linotype" w:hAnsi="Palatino Linotype"/>
          <w:b/>
        </w:rPr>
      </w:pPr>
    </w:p>
    <w:p w14:paraId="689A8B31" w14:textId="6208215F" w:rsidR="001C2C24" w:rsidRPr="00655A8C" w:rsidRDefault="001C2C24" w:rsidP="00655A8C">
      <w:pPr>
        <w:pStyle w:val="Prrafodelista"/>
        <w:numPr>
          <w:ilvl w:val="0"/>
          <w:numId w:val="9"/>
        </w:numPr>
        <w:tabs>
          <w:tab w:val="left" w:pos="0"/>
        </w:tabs>
        <w:spacing w:before="240" w:after="360" w:line="360" w:lineRule="auto"/>
        <w:ind w:left="0" w:firstLine="0"/>
        <w:contextualSpacing/>
        <w:jc w:val="both"/>
        <w:rPr>
          <w:rFonts w:ascii="Palatino Linotype" w:hAnsi="Palatino Linotype"/>
          <w:color w:val="000000"/>
        </w:rPr>
      </w:pPr>
      <w:r w:rsidRPr="00655A8C">
        <w:rPr>
          <w:rFonts w:ascii="Palatino Linotype" w:hAnsi="Palatino Linotype"/>
          <w:color w:val="000000"/>
        </w:rPr>
        <w:t xml:space="preserve">Previo al estudio de la naturaleza de la información solicitada, resulta necesario señalar que el </w:t>
      </w:r>
      <w:r w:rsidRPr="00655A8C">
        <w:rPr>
          <w:rFonts w:ascii="Palatino Linotype" w:hAnsi="Palatino Linotype"/>
          <w:b/>
          <w:color w:val="000000"/>
        </w:rPr>
        <w:t xml:space="preserve">SUJETO OBLIGADO </w:t>
      </w:r>
      <w:r w:rsidRPr="00655A8C">
        <w:rPr>
          <w:rFonts w:ascii="Palatino Linotype" w:hAnsi="Palatino Linotype"/>
          <w:color w:val="000000"/>
        </w:rPr>
        <w:t>asume contar con la información solicitada, de lo que se deduce que, derivado de sus facultades y atribuciones, genera posee y administra.</w:t>
      </w:r>
    </w:p>
    <w:p w14:paraId="4E794D61" w14:textId="1083069F" w:rsidR="0082658F" w:rsidRPr="0082658F" w:rsidRDefault="001C2C24" w:rsidP="0082658F">
      <w:pPr>
        <w:numPr>
          <w:ilvl w:val="0"/>
          <w:numId w:val="9"/>
        </w:numPr>
        <w:spacing w:before="240" w:after="360" w:line="360" w:lineRule="auto"/>
        <w:ind w:left="0" w:firstLine="0"/>
        <w:contextualSpacing/>
        <w:jc w:val="both"/>
        <w:rPr>
          <w:rFonts w:ascii="Palatino Linotype" w:eastAsia="MS Mincho" w:hAnsi="Palatino Linotype" w:cs="Arial"/>
          <w:i/>
          <w:lang w:val="es-MX"/>
        </w:rPr>
      </w:pPr>
      <w:r w:rsidRPr="00655A8C">
        <w:rPr>
          <w:rFonts w:ascii="Palatino Linotype" w:eastAsia="MS Mincho" w:hAnsi="Palatino Linotype"/>
          <w:color w:val="000000"/>
        </w:rPr>
        <w:lastRenderedPageBreak/>
        <w:t>Lo anterior se afirma así, ya que al referir sistemáticamente la existencia de la misma a asume que la genera, administra y/o posee en ejercicio de sus funciones</w:t>
      </w:r>
      <w:r w:rsidRPr="00655A8C">
        <w:rPr>
          <w:rFonts w:ascii="Palatino Linotype" w:eastAsia="MS Mincho" w:hAnsi="Palatino Linotype"/>
          <w:color w:val="000000"/>
          <w:lang w:val="es-ES_tradnl" w:eastAsia="es-MX"/>
        </w:rPr>
        <w:t xml:space="preserve">, en ese sentido el </w:t>
      </w:r>
      <w:r w:rsidRPr="00655A8C">
        <w:rPr>
          <w:rFonts w:ascii="Palatino Linotype" w:eastAsia="MS Mincho" w:hAnsi="Palatino Linotype"/>
          <w:b/>
          <w:color w:val="000000"/>
          <w:lang w:val="es-ES_tradnl" w:eastAsia="es-MX"/>
        </w:rPr>
        <w:t xml:space="preserve">SUJETO OBLIGADO, </w:t>
      </w:r>
      <w:r w:rsidRPr="00655A8C">
        <w:rPr>
          <w:rFonts w:ascii="Palatino Linotype" w:eastAsia="MS Mincho" w:hAnsi="Palatino Linotype"/>
          <w:color w:val="000000"/>
          <w:lang w:val="es-ES_tradnl" w:eastAsia="es-MX"/>
        </w:rPr>
        <w:t>está reconociendo implícitamente que la misma obra en sus archivos.</w:t>
      </w:r>
    </w:p>
    <w:p w14:paraId="0DA1BC22" w14:textId="77777777" w:rsidR="0082658F" w:rsidRDefault="0082658F" w:rsidP="0082658F">
      <w:pPr>
        <w:spacing w:before="240" w:after="360" w:line="360" w:lineRule="auto"/>
        <w:contextualSpacing/>
        <w:jc w:val="both"/>
        <w:rPr>
          <w:rFonts w:ascii="Palatino Linotype" w:eastAsia="MS Mincho" w:hAnsi="Palatino Linotype" w:cs="Arial"/>
          <w:i/>
          <w:lang w:val="es-MX"/>
        </w:rPr>
      </w:pPr>
    </w:p>
    <w:p w14:paraId="413733DE" w14:textId="77777777" w:rsidR="0082658F" w:rsidRPr="007D7513" w:rsidRDefault="0082658F" w:rsidP="0082658F">
      <w:pPr>
        <w:numPr>
          <w:ilvl w:val="0"/>
          <w:numId w:val="11"/>
        </w:numPr>
        <w:spacing w:after="160" w:line="360" w:lineRule="auto"/>
        <w:ind w:left="0" w:firstLine="0"/>
        <w:jc w:val="both"/>
        <w:rPr>
          <w:rFonts w:ascii="Palatino Linotype" w:hAnsi="Palatino Linotype" w:cs="Arial"/>
        </w:rPr>
      </w:pPr>
      <w:r w:rsidRPr="007D7513">
        <w:rPr>
          <w:rFonts w:ascii="Palatino Linotype" w:eastAsia="Calibri" w:hAnsi="Palatino Linotype" w:cs="Arial"/>
          <w:bCs/>
          <w:lang w:val="es-MX"/>
        </w:rPr>
        <w:t>No obstante lo anterior</w:t>
      </w:r>
      <w:r w:rsidRPr="007D7513">
        <w:rPr>
          <w:rFonts w:ascii="Palatino Linotype" w:eastAsia="Calibri" w:hAnsi="Palatino Linotype" w:cs="Arial"/>
          <w:bCs/>
        </w:rPr>
        <w:t xml:space="preserve">, es pertinente mencionar que, </w:t>
      </w:r>
      <w:r w:rsidRPr="007D7513">
        <w:rPr>
          <w:rFonts w:ascii="Palatino Linotype" w:eastAsia="MS Mincho" w:hAnsi="Palatino Linotype"/>
          <w:lang w:eastAsia="es-ES_tradnl"/>
        </w:rPr>
        <w:t xml:space="preserve">el </w:t>
      </w:r>
      <w:r w:rsidRPr="007D7513">
        <w:rPr>
          <w:rFonts w:ascii="Palatino Linotype" w:eastAsia="Calibri" w:hAnsi="Palatino Linotype" w:cs="Arial"/>
          <w:color w:val="000000"/>
          <w:lang w:val="es-MX" w:eastAsia="en-US"/>
        </w:rPr>
        <w:t>artículo 18 de Ley de Transparencia y Acceso a la Información Pública del Estado de México y Municipios establece que los Sujetos Obligados tienen el ineludible compromiso de documentar todos los actos que deriven de sus atribuciones, funciones y competencias considerando desde su origen la eventual publicidad de la información como a continuación se observa:</w:t>
      </w:r>
    </w:p>
    <w:p w14:paraId="7DCDAF00" w14:textId="77777777" w:rsidR="0082658F" w:rsidRPr="007D7513" w:rsidRDefault="0082658F" w:rsidP="0082658F">
      <w:pPr>
        <w:spacing w:after="160" w:line="360" w:lineRule="auto"/>
        <w:jc w:val="both"/>
        <w:rPr>
          <w:rFonts w:ascii="Palatino Linotype" w:hAnsi="Palatino Linotype" w:cs="Arial"/>
        </w:rPr>
      </w:pPr>
    </w:p>
    <w:p w14:paraId="56BF8DA8" w14:textId="77777777" w:rsidR="0082658F" w:rsidRPr="007D7513" w:rsidRDefault="0082658F" w:rsidP="0082658F">
      <w:pPr>
        <w:widowControl w:val="0"/>
        <w:autoSpaceDE w:val="0"/>
        <w:autoSpaceDN w:val="0"/>
        <w:adjustRightInd w:val="0"/>
        <w:spacing w:before="240" w:after="240" w:line="360" w:lineRule="auto"/>
        <w:ind w:left="567" w:right="567"/>
        <w:jc w:val="both"/>
        <w:rPr>
          <w:rFonts w:ascii="Palatino Linotype" w:eastAsia="Calibri" w:hAnsi="Palatino Linotype"/>
          <w:i/>
          <w:lang w:val="es-MX" w:eastAsia="es-ES_tradnl"/>
        </w:rPr>
      </w:pPr>
      <w:r w:rsidRPr="007D7513">
        <w:rPr>
          <w:rFonts w:ascii="Palatino Linotype" w:eastAsia="Calibri" w:hAnsi="Palatino Linotype"/>
          <w:b/>
          <w:i/>
          <w:lang w:val="es-MX" w:eastAsia="es-ES_tradnl"/>
        </w:rPr>
        <w:t>Artículo 18.</w:t>
      </w:r>
      <w:r w:rsidRPr="007D7513">
        <w:rPr>
          <w:rFonts w:ascii="Palatino Linotype" w:eastAsia="Calibri" w:hAnsi="Palatino Linotype"/>
          <w:i/>
          <w:lang w:val="es-MX" w:eastAsia="es-ES_tradnl"/>
        </w:rPr>
        <w:t xml:space="preserve"> Los sujetos obligados deberán documentar todo acto que derive del ejercicio de sus facultades, competencias o funciones, considerando desde su origen la eventual publicidad y reutilización de la información que generen.</w:t>
      </w:r>
    </w:p>
    <w:p w14:paraId="0DAA4D36" w14:textId="77777777" w:rsidR="0082658F" w:rsidRPr="007D7513" w:rsidRDefault="0082658F" w:rsidP="0082658F">
      <w:pPr>
        <w:spacing w:line="360" w:lineRule="auto"/>
        <w:jc w:val="both"/>
        <w:rPr>
          <w:rFonts w:ascii="Palatino Linotype" w:hAnsi="Palatino Linotype" w:cs="Arial"/>
        </w:rPr>
      </w:pPr>
    </w:p>
    <w:p w14:paraId="5960C8AA" w14:textId="77777777" w:rsidR="0082658F" w:rsidRPr="007D7513" w:rsidRDefault="0082658F" w:rsidP="0082658F">
      <w:pPr>
        <w:numPr>
          <w:ilvl w:val="0"/>
          <w:numId w:val="11"/>
        </w:numPr>
        <w:spacing w:after="160" w:line="360" w:lineRule="auto"/>
        <w:ind w:left="0" w:firstLine="0"/>
        <w:jc w:val="both"/>
        <w:rPr>
          <w:rFonts w:ascii="Palatino Linotype" w:hAnsi="Palatino Linotype" w:cs="Arial"/>
        </w:rPr>
      </w:pPr>
      <w:r w:rsidRPr="007D7513">
        <w:rPr>
          <w:rFonts w:ascii="Palatino Linotype" w:eastAsia="Calibri" w:hAnsi="Palatino Linotype" w:cs="Arial"/>
          <w:lang w:val="es-MX" w:eastAsia="en-US"/>
        </w:rPr>
        <w:t xml:space="preserve">Por otro lado, </w:t>
      </w:r>
      <w:r w:rsidRPr="007D7513">
        <w:rPr>
          <w:rFonts w:ascii="Palatino Linotype" w:hAnsi="Palatino Linotype"/>
          <w:lang w:val="es-MX" w:eastAsia="es-MX"/>
        </w:rPr>
        <w:t xml:space="preserve">de acuerdo con la multicitada Ley de Transparencia vigente en la entidad, se entiende que la información pública es toda aquella que sea generada, obtenida, adquirida, transformada, administrada o en posesión de los </w:t>
      </w:r>
      <w:r w:rsidRPr="007D7513">
        <w:rPr>
          <w:rFonts w:ascii="Palatino Linotype" w:hAnsi="Palatino Linotype"/>
          <w:b/>
          <w:lang w:val="es-MX" w:eastAsia="es-MX"/>
        </w:rPr>
        <w:t>SUJETOS OBLIGADOS</w:t>
      </w:r>
      <w:r w:rsidRPr="007D7513">
        <w:rPr>
          <w:rFonts w:ascii="Palatino Linotype" w:hAnsi="Palatino Linotype"/>
          <w:lang w:val="es-MX" w:eastAsia="es-MX"/>
        </w:rPr>
        <w:t>, misma que debe ser accesible de manera permanente a cualquier persona, siempre privilegiando el principio de máxima publicidad, como se prevé su artículo 4, segundo párrafo:</w:t>
      </w:r>
    </w:p>
    <w:p w14:paraId="70FEF680" w14:textId="77777777" w:rsidR="0082658F" w:rsidRPr="007D7513" w:rsidRDefault="0082658F" w:rsidP="0082658F">
      <w:pPr>
        <w:spacing w:line="360" w:lineRule="auto"/>
        <w:jc w:val="both"/>
        <w:rPr>
          <w:rFonts w:ascii="Palatino Linotype" w:hAnsi="Palatino Linotype" w:cs="Arial"/>
        </w:rPr>
      </w:pPr>
    </w:p>
    <w:p w14:paraId="0043770D" w14:textId="77777777" w:rsidR="0082658F" w:rsidRPr="007D7513" w:rsidRDefault="0082658F" w:rsidP="0082658F">
      <w:pPr>
        <w:spacing w:after="160" w:line="360" w:lineRule="auto"/>
        <w:ind w:left="567" w:right="567"/>
        <w:jc w:val="both"/>
        <w:rPr>
          <w:rFonts w:ascii="Palatino Linotype" w:hAnsi="Palatino Linotype"/>
          <w:i/>
          <w:lang w:eastAsia="en-US"/>
        </w:rPr>
      </w:pPr>
      <w:r w:rsidRPr="007D7513">
        <w:rPr>
          <w:rFonts w:ascii="Palatino Linotype" w:hAnsi="Palatino Linotype"/>
          <w:i/>
          <w:lang w:eastAsia="en-US"/>
        </w:rPr>
        <w:lastRenderedPageBreak/>
        <w:t>“</w:t>
      </w:r>
      <w:r w:rsidRPr="007D7513">
        <w:rPr>
          <w:rFonts w:ascii="Palatino Linotype" w:hAnsi="Palatino Linotype"/>
          <w:b/>
          <w:i/>
          <w:lang w:eastAsia="en-US"/>
        </w:rPr>
        <w:t>Artículo 4.</w:t>
      </w:r>
      <w:r w:rsidRPr="007D7513">
        <w:rPr>
          <w:rFonts w:ascii="Palatino Linotype" w:hAnsi="Palatino Linotype"/>
          <w:i/>
          <w:lang w:eastAsia="en-US"/>
        </w:rPr>
        <w:t xml:space="preserve"> </w:t>
      </w:r>
    </w:p>
    <w:p w14:paraId="373AEC97" w14:textId="77777777" w:rsidR="0082658F" w:rsidRPr="007D7513" w:rsidRDefault="0082658F" w:rsidP="0082658F">
      <w:pPr>
        <w:spacing w:after="160" w:line="360" w:lineRule="auto"/>
        <w:ind w:left="567" w:right="567"/>
        <w:jc w:val="both"/>
        <w:rPr>
          <w:rFonts w:ascii="Palatino Linotype" w:hAnsi="Palatino Linotype"/>
          <w:i/>
          <w:lang w:eastAsia="en-US"/>
        </w:rPr>
      </w:pPr>
      <w:r w:rsidRPr="007D7513">
        <w:rPr>
          <w:rFonts w:ascii="Palatino Linotype" w:hAnsi="Palatino Linotype"/>
          <w:i/>
          <w:lang w:eastAsia="en-US"/>
        </w:rPr>
        <w:t>(…)</w:t>
      </w:r>
    </w:p>
    <w:p w14:paraId="6A931F8A" w14:textId="77777777" w:rsidR="0082658F" w:rsidRPr="007D7513" w:rsidRDefault="0082658F" w:rsidP="0082658F">
      <w:pPr>
        <w:spacing w:after="160" w:line="360" w:lineRule="auto"/>
        <w:ind w:left="567" w:right="567"/>
        <w:jc w:val="both"/>
        <w:rPr>
          <w:rFonts w:ascii="Palatino Linotype" w:hAnsi="Palatino Linotype"/>
          <w:i/>
          <w:lang w:eastAsia="en-US"/>
        </w:rPr>
      </w:pPr>
      <w:r w:rsidRPr="007D7513">
        <w:rPr>
          <w:rFonts w:ascii="Palatino Linotype" w:hAnsi="Palatino Linotype"/>
          <w:b/>
          <w:i/>
          <w:lang w:eastAsia="en-US"/>
        </w:rPr>
        <w:t>Toda la información generada, obtenida, adquirida, transformada, administrada o en posesión de los sujetos obligados es pública y accesible de manera permanente a cualquier persona,</w:t>
      </w:r>
      <w:r w:rsidRPr="007D7513">
        <w:rPr>
          <w:rFonts w:ascii="Palatino Linotype" w:hAnsi="Palatino Linotype"/>
          <w:i/>
          <w:lang w:eastAsia="en-US"/>
        </w:rPr>
        <w:t xml:space="preserve"> en los términos y condiciones que se establezcan en los tratados internacionales de los que el Estado mexicano sea parte, en la Ley General, la presente Ley y demás disposiciones de la materia, privilegiando el </w:t>
      </w:r>
      <w:r w:rsidRPr="007D7513">
        <w:rPr>
          <w:rFonts w:ascii="Palatino Linotype" w:hAnsi="Palatino Linotype"/>
          <w:b/>
          <w:i/>
          <w:lang w:eastAsia="en-US"/>
        </w:rPr>
        <w:t>principio de máxima publicidad</w:t>
      </w:r>
      <w:r w:rsidRPr="007D7513">
        <w:rPr>
          <w:rFonts w:ascii="Palatino Linotype" w:hAnsi="Palatino Linotype"/>
          <w:i/>
          <w:lang w:eastAsia="en-US"/>
        </w:rPr>
        <w:t xml:space="preserve"> de la información. Solo podrá ser clasificada excepcionalmente como reservada temporalmente por razones de interés público, en los términos de las causas legítimas y estrictamente necesarias previstas por esta Ley.”</w:t>
      </w:r>
    </w:p>
    <w:p w14:paraId="292DF2AF" w14:textId="77777777" w:rsidR="0082658F" w:rsidRPr="007D7513" w:rsidRDefault="0082658F" w:rsidP="0082658F">
      <w:pPr>
        <w:spacing w:after="160" w:line="360" w:lineRule="auto"/>
        <w:ind w:left="567" w:right="567"/>
        <w:jc w:val="both"/>
        <w:rPr>
          <w:rFonts w:ascii="Palatino Linotype" w:hAnsi="Palatino Linotype"/>
          <w:i/>
          <w:lang w:eastAsia="en-US"/>
        </w:rPr>
      </w:pPr>
      <w:r w:rsidRPr="007D7513">
        <w:rPr>
          <w:rFonts w:ascii="Palatino Linotype" w:hAnsi="Palatino Linotype"/>
          <w:i/>
          <w:lang w:eastAsia="en-US"/>
        </w:rPr>
        <w:t>(…)</w:t>
      </w:r>
    </w:p>
    <w:p w14:paraId="62C3FF96" w14:textId="77777777" w:rsidR="0082658F" w:rsidRPr="007D7513" w:rsidRDefault="0082658F" w:rsidP="0082658F">
      <w:pPr>
        <w:spacing w:after="160" w:line="360" w:lineRule="auto"/>
        <w:ind w:right="567"/>
        <w:jc w:val="both"/>
        <w:rPr>
          <w:rFonts w:ascii="Palatino Linotype" w:hAnsi="Palatino Linotype"/>
          <w:lang w:eastAsia="en-US"/>
        </w:rPr>
      </w:pPr>
    </w:p>
    <w:p w14:paraId="1430F96F" w14:textId="77777777" w:rsidR="0082658F" w:rsidRPr="007D7513" w:rsidRDefault="0082658F" w:rsidP="0082658F">
      <w:pPr>
        <w:spacing w:after="160" w:line="360" w:lineRule="auto"/>
        <w:ind w:left="567" w:right="567"/>
        <w:jc w:val="both"/>
        <w:rPr>
          <w:rFonts w:ascii="Palatino Linotype" w:hAnsi="Palatino Linotype"/>
          <w:i/>
          <w:lang w:eastAsia="en-US"/>
        </w:rPr>
      </w:pPr>
      <w:r w:rsidRPr="007D7513">
        <w:rPr>
          <w:rFonts w:ascii="Palatino Linotype" w:hAnsi="Palatino Linotype"/>
          <w:i/>
          <w:lang w:eastAsia="en-US"/>
        </w:rPr>
        <w:t>(Énfasis añadido)</w:t>
      </w:r>
    </w:p>
    <w:p w14:paraId="35DDC5EE" w14:textId="77777777" w:rsidR="0082658F" w:rsidRPr="007D7513" w:rsidRDefault="0082658F" w:rsidP="0082658F">
      <w:pPr>
        <w:spacing w:line="360" w:lineRule="auto"/>
        <w:jc w:val="both"/>
        <w:rPr>
          <w:rFonts w:ascii="Palatino Linotype" w:hAnsi="Palatino Linotype" w:cs="Arial"/>
        </w:rPr>
      </w:pPr>
    </w:p>
    <w:p w14:paraId="17FF148E" w14:textId="77777777" w:rsidR="0082658F" w:rsidRPr="007D7513" w:rsidRDefault="0082658F" w:rsidP="0082658F">
      <w:pPr>
        <w:numPr>
          <w:ilvl w:val="0"/>
          <w:numId w:val="11"/>
        </w:numPr>
        <w:spacing w:after="160" w:line="360" w:lineRule="auto"/>
        <w:ind w:left="0" w:firstLine="0"/>
        <w:jc w:val="both"/>
        <w:rPr>
          <w:rFonts w:ascii="Palatino Linotype" w:hAnsi="Palatino Linotype" w:cs="Arial"/>
        </w:rPr>
      </w:pPr>
      <w:r w:rsidRPr="007D7513">
        <w:rPr>
          <w:rFonts w:ascii="Palatino Linotype" w:eastAsia="Calibri" w:hAnsi="Palatino Linotype" w:cs="Arial"/>
          <w:lang w:val="es-MX" w:eastAsia="en-US"/>
        </w:rPr>
        <w:t xml:space="preserve">En ese sentido, no debe de pasar de vista para el </w:t>
      </w:r>
      <w:r w:rsidRPr="007D7513">
        <w:rPr>
          <w:rFonts w:ascii="Palatino Linotype" w:eastAsia="Calibri" w:hAnsi="Palatino Linotype" w:cs="Arial"/>
          <w:b/>
          <w:lang w:val="es-MX" w:eastAsia="en-US"/>
        </w:rPr>
        <w:t>SUJETO OBLIGADO</w:t>
      </w:r>
      <w:r w:rsidRPr="007D7513">
        <w:rPr>
          <w:rFonts w:ascii="Palatino Linotype" w:eastAsia="Calibri" w:hAnsi="Palatino Linotype" w:cs="Arial"/>
          <w:lang w:val="es-MX" w:eastAsia="en-US"/>
        </w:rPr>
        <w:t xml:space="preserve"> que el principio fundamental del acceso a la información pública, es la máxima publicidad, el cual encuentra reconocimiento legal conforme a lo dispuesto en la Constitución Política de los Estados Unidos Mexicanos, la Ley General de Transparencia y Acceso a la Información Pública, la Constitución Política del Estado Libre y Soberano de México y los tratados internaciones de la materia en los que México sea parte; lo anterior de conformidad con el artículo 8 de la Ley de Transparencia y Acceso a la Información Pública del Estado de México y Municipios:</w:t>
      </w:r>
    </w:p>
    <w:p w14:paraId="2FC43DF0" w14:textId="77777777" w:rsidR="0082658F" w:rsidRPr="007D7513" w:rsidRDefault="0082658F" w:rsidP="0082658F">
      <w:pPr>
        <w:spacing w:line="360" w:lineRule="auto"/>
        <w:jc w:val="both"/>
        <w:rPr>
          <w:rFonts w:ascii="Palatino Linotype" w:hAnsi="Palatino Linotype" w:cs="Arial"/>
        </w:rPr>
      </w:pPr>
    </w:p>
    <w:p w14:paraId="1688FC6D" w14:textId="77777777" w:rsidR="0082658F" w:rsidRPr="007D7513" w:rsidRDefault="0082658F" w:rsidP="0082658F">
      <w:pPr>
        <w:spacing w:after="160" w:line="360" w:lineRule="auto"/>
        <w:ind w:left="567" w:right="567"/>
        <w:jc w:val="both"/>
        <w:rPr>
          <w:rFonts w:ascii="Palatino Linotype" w:eastAsia="Calibri" w:hAnsi="Palatino Linotype"/>
          <w:i/>
          <w:lang w:val="es-MX" w:eastAsia="en-US"/>
        </w:rPr>
      </w:pPr>
      <w:r w:rsidRPr="007D7513">
        <w:rPr>
          <w:rFonts w:ascii="Palatino Linotype" w:eastAsia="Calibri" w:hAnsi="Palatino Linotype"/>
          <w:i/>
          <w:lang w:val="es-MX" w:eastAsia="en-US"/>
        </w:rPr>
        <w:t>“</w:t>
      </w:r>
      <w:r w:rsidRPr="007D7513">
        <w:rPr>
          <w:rFonts w:ascii="Palatino Linotype" w:eastAsia="Calibri" w:hAnsi="Palatino Linotype"/>
          <w:b/>
          <w:i/>
          <w:lang w:val="es-MX" w:eastAsia="en-US"/>
        </w:rPr>
        <w:t>Artículo 8.</w:t>
      </w:r>
      <w:r w:rsidRPr="007D7513">
        <w:rPr>
          <w:rFonts w:ascii="Palatino Linotype" w:eastAsia="Calibri" w:hAnsi="Palatino Linotype"/>
          <w:i/>
          <w:lang w:val="es-MX" w:eastAsia="en-US"/>
        </w:rPr>
        <w:t xml:space="preserve"> El derecho de acceso a la información o la clasificación de la información se interpretarán conforme a los principios establecidos en la Constitución Federal, los tratados internacionales de los que el Estado mexicano sea parte, la Ley General, la Constitución Local y la presente Ley.</w:t>
      </w:r>
    </w:p>
    <w:p w14:paraId="2048AC14" w14:textId="77777777" w:rsidR="0082658F" w:rsidRPr="007D7513" w:rsidRDefault="0082658F" w:rsidP="0082658F">
      <w:pPr>
        <w:spacing w:after="160" w:line="360" w:lineRule="auto"/>
        <w:ind w:left="567" w:right="567"/>
        <w:jc w:val="both"/>
        <w:rPr>
          <w:rFonts w:ascii="Palatino Linotype" w:eastAsia="Calibri" w:hAnsi="Palatino Linotype"/>
          <w:i/>
          <w:lang w:val="es-MX" w:eastAsia="en-US"/>
        </w:rPr>
      </w:pPr>
    </w:p>
    <w:p w14:paraId="1EFE43E0" w14:textId="77777777" w:rsidR="0082658F" w:rsidRPr="007D7513" w:rsidRDefault="0082658F" w:rsidP="0082658F">
      <w:pPr>
        <w:spacing w:after="160" w:line="360" w:lineRule="auto"/>
        <w:ind w:left="567" w:right="567"/>
        <w:jc w:val="both"/>
        <w:rPr>
          <w:rFonts w:ascii="Palatino Linotype" w:eastAsia="Calibri" w:hAnsi="Palatino Linotype"/>
          <w:i/>
          <w:lang w:val="es-MX" w:eastAsia="en-US"/>
        </w:rPr>
      </w:pPr>
      <w:r w:rsidRPr="007D7513">
        <w:rPr>
          <w:rFonts w:ascii="Palatino Linotype" w:eastAsia="Calibri" w:hAnsi="Palatino Linotype"/>
          <w:b/>
          <w:i/>
          <w:lang w:val="es-MX" w:eastAsia="en-US"/>
        </w:rPr>
        <w:t>En la aplicación e interpretación de la presente Ley deberá prevalecer el principio de máxima publicidad,</w:t>
      </w:r>
      <w:r w:rsidRPr="007D7513">
        <w:rPr>
          <w:rFonts w:ascii="Palatino Linotype" w:eastAsia="Calibri" w:hAnsi="Palatino Linotype"/>
          <w:i/>
          <w:lang w:val="es-MX" w:eastAsia="en-US"/>
        </w:rPr>
        <w:t xml:space="preserve"> conforme a lo dispuesto en la Constitución Federal, en los tratados internacionales de los que el Estado mexicano sea parte, la Ley General, la Constitución Local, así como en las resoluciones y sentencias vinculantes que emitan los órganos nacionales e internacionales especializados, favoreciendo en todo tiempo a las personas la protección más amplia, atendiendo al principio pro persona.</w:t>
      </w:r>
    </w:p>
    <w:p w14:paraId="1B7E9C3A" w14:textId="77777777" w:rsidR="0082658F" w:rsidRPr="007D7513" w:rsidRDefault="0082658F" w:rsidP="0082658F">
      <w:pPr>
        <w:spacing w:after="160" w:line="360" w:lineRule="auto"/>
        <w:ind w:left="567" w:right="567"/>
        <w:jc w:val="both"/>
        <w:rPr>
          <w:rFonts w:ascii="Palatino Linotype" w:eastAsia="Calibri" w:hAnsi="Palatino Linotype"/>
          <w:i/>
          <w:lang w:val="es-MX" w:eastAsia="en-US"/>
        </w:rPr>
      </w:pPr>
    </w:p>
    <w:p w14:paraId="633C2B38" w14:textId="77777777" w:rsidR="0082658F" w:rsidRPr="007D7513" w:rsidRDefault="0082658F" w:rsidP="0082658F">
      <w:pPr>
        <w:spacing w:after="160" w:line="360" w:lineRule="auto"/>
        <w:ind w:left="567" w:right="567"/>
        <w:jc w:val="both"/>
        <w:rPr>
          <w:rFonts w:ascii="Palatino Linotype" w:eastAsia="Calibri" w:hAnsi="Palatino Linotype"/>
          <w:i/>
          <w:lang w:val="es-MX" w:eastAsia="en-US"/>
        </w:rPr>
      </w:pPr>
      <w:r w:rsidRPr="007D7513">
        <w:rPr>
          <w:rFonts w:ascii="Palatino Linotype" w:eastAsia="Calibri" w:hAnsi="Palatino Linotype"/>
          <w:i/>
          <w:lang w:val="es-MX" w:eastAsia="en-US"/>
        </w:rPr>
        <w:t>Para el caso de la interpretación se podrá tomar en cuenta los criterios, determinaciones y opiniones de los organismos nacionales e internacionales, en materia de transparencia y el derecho de acceso a la información.</w:t>
      </w:r>
    </w:p>
    <w:p w14:paraId="1652EE7E" w14:textId="77777777" w:rsidR="0082658F" w:rsidRPr="007D7513" w:rsidRDefault="0082658F" w:rsidP="0082658F">
      <w:pPr>
        <w:spacing w:after="160" w:line="360" w:lineRule="auto"/>
        <w:ind w:left="567" w:right="567"/>
        <w:jc w:val="both"/>
        <w:rPr>
          <w:rFonts w:ascii="Palatino Linotype" w:eastAsia="Calibri" w:hAnsi="Palatino Linotype"/>
          <w:i/>
          <w:lang w:val="es-MX" w:eastAsia="en-US"/>
        </w:rPr>
      </w:pPr>
      <w:r w:rsidRPr="007D7513">
        <w:rPr>
          <w:rFonts w:ascii="Palatino Linotype" w:eastAsia="Calibri" w:hAnsi="Palatino Linotype"/>
          <w:i/>
          <w:lang w:val="es-MX" w:eastAsia="en-US"/>
        </w:rPr>
        <w:t>(Énfasis añadido)</w:t>
      </w:r>
    </w:p>
    <w:p w14:paraId="069427E0" w14:textId="77777777" w:rsidR="0082658F" w:rsidRPr="007D7513" w:rsidRDefault="0082658F" w:rsidP="0082658F">
      <w:pPr>
        <w:spacing w:line="360" w:lineRule="auto"/>
        <w:jc w:val="both"/>
        <w:rPr>
          <w:rFonts w:ascii="Palatino Linotype" w:hAnsi="Palatino Linotype" w:cs="Arial"/>
        </w:rPr>
      </w:pPr>
    </w:p>
    <w:p w14:paraId="7CCA7684" w14:textId="77777777" w:rsidR="0082658F" w:rsidRPr="0081381E" w:rsidRDefault="0082658F" w:rsidP="0082658F">
      <w:pPr>
        <w:numPr>
          <w:ilvl w:val="0"/>
          <w:numId w:val="11"/>
        </w:numPr>
        <w:spacing w:after="160" w:line="360" w:lineRule="auto"/>
        <w:ind w:left="0" w:firstLine="0"/>
        <w:jc w:val="both"/>
        <w:rPr>
          <w:rFonts w:ascii="Palatino Linotype" w:hAnsi="Palatino Linotype" w:cs="Arial"/>
        </w:rPr>
      </w:pPr>
      <w:r w:rsidRPr="007D7513">
        <w:rPr>
          <w:rFonts w:ascii="Palatino Linotype" w:eastAsia="Calibri" w:hAnsi="Palatino Linotype"/>
        </w:rPr>
        <w:t>Establecido lo anterior el artículo 7 de la Ley antes citada señala que el estado mexicano garantizará el efectivo acceso a toda persona a la información en su posesión, como se aprecia a continuación:</w:t>
      </w:r>
    </w:p>
    <w:p w14:paraId="7E31A45B" w14:textId="77777777" w:rsidR="0082658F" w:rsidRPr="007D7513" w:rsidRDefault="0082658F" w:rsidP="0082658F">
      <w:pPr>
        <w:spacing w:after="160" w:line="360" w:lineRule="auto"/>
        <w:jc w:val="both"/>
        <w:rPr>
          <w:rFonts w:ascii="Palatino Linotype" w:hAnsi="Palatino Linotype" w:cs="Arial"/>
        </w:rPr>
      </w:pPr>
    </w:p>
    <w:p w14:paraId="517B2162" w14:textId="77777777" w:rsidR="0082658F" w:rsidRPr="007D7513" w:rsidRDefault="0082658F" w:rsidP="0082658F">
      <w:pPr>
        <w:spacing w:before="240" w:after="240" w:line="360" w:lineRule="auto"/>
        <w:ind w:left="540" w:right="738"/>
        <w:contextualSpacing/>
        <w:jc w:val="both"/>
        <w:rPr>
          <w:rFonts w:ascii="Palatino Linotype" w:eastAsia="Calibri" w:hAnsi="Palatino Linotype"/>
          <w:i/>
        </w:rPr>
      </w:pPr>
      <w:r w:rsidRPr="007D7513">
        <w:rPr>
          <w:rFonts w:ascii="Palatino Linotype" w:eastAsia="Calibri" w:hAnsi="Palatino Linotype"/>
        </w:rPr>
        <w:t>“</w:t>
      </w:r>
      <w:r w:rsidRPr="007D7513">
        <w:rPr>
          <w:rFonts w:ascii="Palatino Linotype" w:eastAsia="Calibri" w:hAnsi="Palatino Linotype"/>
          <w:b/>
          <w:i/>
        </w:rPr>
        <w:t>Artículo 7.</w:t>
      </w:r>
      <w:r w:rsidRPr="007D7513">
        <w:rPr>
          <w:rFonts w:ascii="Palatino Linotype" w:eastAsia="Calibri" w:hAnsi="Palatino Linotype"/>
          <w:i/>
        </w:rPr>
        <w:t xml:space="preserve"> El Estado de México garantizará el efectivo acceso de toda persona a la información en posesión de cualquier entidad, autoridad, órgano y organismo de los poderes Ejecutivo, Legislativo y Judicial, órganos autónomos, partidos políticos, fideicomisos y fondos públicos, así como de cualquier persona física, jurídico colectiva o sindicato que reciba y ejerza recursos públicos o realice actos de autoridad en el ámbito de competencia del Estado de México y sus municipios.”</w:t>
      </w:r>
    </w:p>
    <w:p w14:paraId="7BBC7CD9" w14:textId="77777777" w:rsidR="0082658F" w:rsidRPr="007D7513" w:rsidRDefault="0082658F" w:rsidP="0082658F">
      <w:pPr>
        <w:spacing w:line="360" w:lineRule="auto"/>
        <w:jc w:val="both"/>
        <w:rPr>
          <w:rFonts w:ascii="Palatino Linotype" w:hAnsi="Palatino Linotype" w:cs="Arial"/>
        </w:rPr>
      </w:pPr>
    </w:p>
    <w:p w14:paraId="090E7F48" w14:textId="77777777" w:rsidR="0082658F" w:rsidRPr="007D7513" w:rsidRDefault="0082658F" w:rsidP="0082658F">
      <w:pPr>
        <w:numPr>
          <w:ilvl w:val="0"/>
          <w:numId w:val="11"/>
        </w:numPr>
        <w:spacing w:after="160" w:line="360" w:lineRule="auto"/>
        <w:ind w:left="0" w:firstLine="0"/>
        <w:jc w:val="both"/>
        <w:rPr>
          <w:rFonts w:ascii="Palatino Linotype" w:hAnsi="Palatino Linotype" w:cs="Arial"/>
        </w:rPr>
      </w:pPr>
      <w:r w:rsidRPr="007D7513">
        <w:rPr>
          <w:rFonts w:ascii="Palatino Linotype" w:eastAsia="Calibri" w:hAnsi="Palatino Linotype" w:cs="Arial"/>
          <w:bCs/>
          <w:lang w:val="es-MX" w:eastAsia="en-US"/>
        </w:rPr>
        <w:t xml:space="preserve">Además, </w:t>
      </w:r>
      <w:r w:rsidRPr="007D7513">
        <w:rPr>
          <w:rFonts w:ascii="Palatino Linotype" w:hAnsi="Palatino Linotype" w:cs="Arial"/>
          <w:lang w:val="es-MX" w:eastAsia="en-US"/>
        </w:rPr>
        <w:t>Ley de Transparencia y Acceso a la Información Pública del Estado de México y Municipios, prevé en su artículo 23 fracción IV que son Sujetos Obligados a Transparentar y permitir el acceso a su información y proteger los datos que obren en su poder:</w:t>
      </w:r>
    </w:p>
    <w:p w14:paraId="0C3596BF" w14:textId="77777777" w:rsidR="0082658F" w:rsidRPr="007D7513" w:rsidRDefault="0082658F" w:rsidP="0082658F">
      <w:pPr>
        <w:spacing w:line="360" w:lineRule="auto"/>
        <w:jc w:val="both"/>
        <w:rPr>
          <w:rFonts w:ascii="Palatino Linotype" w:hAnsi="Palatino Linotype" w:cs="Arial"/>
        </w:rPr>
      </w:pPr>
    </w:p>
    <w:p w14:paraId="7EE4C997" w14:textId="77777777" w:rsidR="0082658F" w:rsidRPr="007D7513" w:rsidRDefault="0082658F" w:rsidP="0082658F">
      <w:pPr>
        <w:spacing w:after="160" w:line="360" w:lineRule="auto"/>
        <w:ind w:left="426" w:right="616"/>
        <w:contextualSpacing/>
        <w:jc w:val="both"/>
        <w:rPr>
          <w:rFonts w:ascii="Palatino Linotype" w:hAnsi="Palatino Linotype" w:cs="Arial"/>
          <w:i/>
          <w:lang w:val="es-MX" w:eastAsia="en-US"/>
        </w:rPr>
      </w:pPr>
      <w:r w:rsidRPr="007D7513">
        <w:rPr>
          <w:rFonts w:ascii="Palatino Linotype" w:hAnsi="Palatino Linotype" w:cs="Arial"/>
          <w:b/>
          <w:i/>
          <w:lang w:eastAsia="en-US"/>
        </w:rPr>
        <w:t>“Artículo 23.</w:t>
      </w:r>
      <w:r w:rsidRPr="007D7513">
        <w:rPr>
          <w:rFonts w:ascii="Palatino Linotype" w:hAnsi="Palatino Linotype" w:cs="Arial"/>
          <w:i/>
          <w:lang w:eastAsia="en-US"/>
        </w:rPr>
        <w:t xml:space="preserve"> Son sujetos obligados a transparentar y permitir el acceso a su información y proteger los datos personales que obren en su poder:”</w:t>
      </w:r>
    </w:p>
    <w:p w14:paraId="2A16AC81" w14:textId="77777777" w:rsidR="0082658F" w:rsidRPr="007D7513" w:rsidRDefault="0082658F" w:rsidP="0082658F">
      <w:pPr>
        <w:spacing w:after="160" w:line="360" w:lineRule="auto"/>
        <w:contextualSpacing/>
        <w:jc w:val="both"/>
        <w:rPr>
          <w:rFonts w:ascii="Palatino Linotype" w:eastAsia="MS Mincho" w:hAnsi="Palatino Linotype"/>
          <w:lang w:val="es-MX" w:eastAsia="en-US"/>
        </w:rPr>
      </w:pPr>
    </w:p>
    <w:p w14:paraId="42E49413" w14:textId="77777777" w:rsidR="0082658F" w:rsidRPr="007D7513" w:rsidRDefault="0082658F" w:rsidP="0082658F">
      <w:pPr>
        <w:spacing w:before="240" w:after="240" w:line="360" w:lineRule="auto"/>
        <w:ind w:left="567" w:right="616"/>
        <w:contextualSpacing/>
        <w:jc w:val="both"/>
        <w:rPr>
          <w:rFonts w:ascii="Palatino Linotype" w:eastAsia="MS Mincho" w:hAnsi="Palatino Linotype" w:cs="Arial"/>
          <w:lang w:val="es-MX"/>
        </w:rPr>
      </w:pPr>
      <w:r w:rsidRPr="007D7513">
        <w:rPr>
          <w:rFonts w:ascii="Palatino Linotype" w:eastAsia="MS Mincho" w:hAnsi="Palatino Linotype" w:cs="Arial"/>
          <w:lang w:val="es-MX"/>
        </w:rPr>
        <w:t>(…)</w:t>
      </w:r>
    </w:p>
    <w:p w14:paraId="5611741E" w14:textId="77777777" w:rsidR="0082658F" w:rsidRPr="007D7513" w:rsidRDefault="0082658F" w:rsidP="0082658F">
      <w:pPr>
        <w:spacing w:before="240" w:after="240" w:line="360" w:lineRule="auto"/>
        <w:ind w:left="567" w:right="616"/>
        <w:contextualSpacing/>
        <w:jc w:val="both"/>
        <w:rPr>
          <w:rFonts w:ascii="Palatino Linotype" w:eastAsia="MS Mincho" w:hAnsi="Palatino Linotype" w:cs="Arial"/>
          <w:b/>
          <w:lang w:val="es-MX"/>
        </w:rPr>
      </w:pPr>
    </w:p>
    <w:p w14:paraId="76A08D38" w14:textId="77777777" w:rsidR="0082658F" w:rsidRPr="007D7513" w:rsidRDefault="0082658F" w:rsidP="0082658F">
      <w:pPr>
        <w:spacing w:before="240" w:after="240" w:line="360" w:lineRule="auto"/>
        <w:ind w:left="567" w:right="616"/>
        <w:contextualSpacing/>
        <w:jc w:val="both"/>
        <w:rPr>
          <w:rFonts w:ascii="Palatino Linotype" w:eastAsia="MS Mincho" w:hAnsi="Palatino Linotype" w:cs="Arial"/>
          <w:b/>
          <w:i/>
          <w:lang w:val="es-MX"/>
        </w:rPr>
      </w:pPr>
      <w:r w:rsidRPr="0081381E">
        <w:rPr>
          <w:rFonts w:ascii="Palatino Linotype" w:eastAsia="MS Mincho" w:hAnsi="Palatino Linotype" w:cs="Arial"/>
          <w:b/>
          <w:i/>
        </w:rPr>
        <w:t>IV. Los ayuntamientos y las dependencias, organismos, órganos y entidades</w:t>
      </w:r>
      <w:r>
        <w:rPr>
          <w:rFonts w:ascii="Palatino Linotype" w:eastAsia="MS Mincho" w:hAnsi="Palatino Linotype" w:cs="Arial"/>
          <w:b/>
          <w:i/>
        </w:rPr>
        <w:t xml:space="preserve"> de la administración municipal</w:t>
      </w:r>
      <w:r w:rsidRPr="007D7513">
        <w:rPr>
          <w:rFonts w:ascii="Palatino Linotype" w:eastAsia="MS Mincho" w:hAnsi="Palatino Linotype" w:cs="Arial"/>
          <w:b/>
          <w:i/>
          <w:lang w:val="es-MX"/>
        </w:rPr>
        <w:t>;"</w:t>
      </w:r>
    </w:p>
    <w:p w14:paraId="085693E2" w14:textId="77777777" w:rsidR="0082658F" w:rsidRPr="007D7513" w:rsidRDefault="0082658F" w:rsidP="0082658F">
      <w:pPr>
        <w:tabs>
          <w:tab w:val="left" w:pos="851"/>
        </w:tabs>
        <w:spacing w:line="360" w:lineRule="auto"/>
        <w:ind w:right="616"/>
        <w:contextualSpacing/>
        <w:jc w:val="both"/>
        <w:rPr>
          <w:rFonts w:ascii="Palatino Linotype" w:hAnsi="Palatino Linotype" w:cs="Arial"/>
          <w:b/>
          <w:i/>
          <w:lang w:val="es-MX" w:eastAsia="en-US"/>
        </w:rPr>
      </w:pPr>
    </w:p>
    <w:p w14:paraId="7C74065C" w14:textId="77777777" w:rsidR="0082658F" w:rsidRPr="007D7513" w:rsidRDefault="0082658F" w:rsidP="0082658F">
      <w:pPr>
        <w:tabs>
          <w:tab w:val="left" w:pos="851"/>
        </w:tabs>
        <w:spacing w:line="360" w:lineRule="auto"/>
        <w:ind w:left="567" w:right="616"/>
        <w:contextualSpacing/>
        <w:jc w:val="both"/>
        <w:rPr>
          <w:rFonts w:ascii="Palatino Linotype" w:hAnsi="Palatino Linotype" w:cs="Arial"/>
          <w:i/>
          <w:lang w:val="es-MX" w:eastAsia="en-US"/>
        </w:rPr>
      </w:pPr>
      <w:r w:rsidRPr="007D7513">
        <w:rPr>
          <w:rFonts w:ascii="Palatino Linotype" w:hAnsi="Palatino Linotype" w:cs="Arial"/>
          <w:i/>
          <w:lang w:val="es-MX" w:eastAsia="en-US"/>
        </w:rPr>
        <w:t>(…)”</w:t>
      </w:r>
    </w:p>
    <w:p w14:paraId="0A24FFA5" w14:textId="77777777" w:rsidR="0082658F" w:rsidRPr="007D7513" w:rsidRDefault="0082658F" w:rsidP="0082658F">
      <w:pPr>
        <w:spacing w:line="360" w:lineRule="auto"/>
        <w:jc w:val="both"/>
        <w:rPr>
          <w:rFonts w:ascii="Palatino Linotype" w:hAnsi="Palatino Linotype" w:cs="Arial"/>
        </w:rPr>
      </w:pPr>
    </w:p>
    <w:p w14:paraId="4870191C" w14:textId="77777777" w:rsidR="0082658F" w:rsidRPr="007D7513" w:rsidRDefault="0082658F" w:rsidP="0082658F">
      <w:pPr>
        <w:numPr>
          <w:ilvl w:val="0"/>
          <w:numId w:val="11"/>
        </w:numPr>
        <w:spacing w:after="160" w:line="360" w:lineRule="auto"/>
        <w:ind w:left="0" w:firstLine="0"/>
        <w:jc w:val="both"/>
        <w:rPr>
          <w:rFonts w:ascii="Palatino Linotype" w:hAnsi="Palatino Linotype" w:cs="Arial"/>
        </w:rPr>
      </w:pPr>
      <w:r w:rsidRPr="007D7513">
        <w:rPr>
          <w:rFonts w:ascii="Palatino Linotype" w:eastAsia="Calibri" w:hAnsi="Palatino Linotype"/>
          <w:lang w:val="es-ES_tradnl"/>
        </w:rPr>
        <w:lastRenderedPageBreak/>
        <w:t xml:space="preserve">Al tenor de lo anterior, es oportuno establecer que </w:t>
      </w:r>
      <w:r w:rsidRPr="007D7513">
        <w:rPr>
          <w:rFonts w:ascii="Palatino Linotype" w:hAnsi="Palatino Linotype"/>
          <w:lang w:eastAsia="es-MX"/>
        </w:rPr>
        <w:t>la fr</w:t>
      </w:r>
      <w:r>
        <w:rPr>
          <w:rFonts w:ascii="Palatino Linotype" w:hAnsi="Palatino Linotype"/>
          <w:lang w:eastAsia="es-MX"/>
        </w:rPr>
        <w:t>acción XXIV</w:t>
      </w:r>
      <w:r w:rsidRPr="007D7513">
        <w:rPr>
          <w:rFonts w:ascii="Palatino Linotype" w:hAnsi="Palatino Linotype"/>
          <w:lang w:eastAsia="es-MX"/>
        </w:rPr>
        <w:t xml:space="preserve"> del artículo 92 de la Ley de Transparencia y Acceso a la Información del Estado de Méxic</w:t>
      </w:r>
      <w:r>
        <w:rPr>
          <w:rFonts w:ascii="Palatino Linotype" w:hAnsi="Palatino Linotype"/>
          <w:lang w:eastAsia="es-MX"/>
        </w:rPr>
        <w:t>o y Municipios, establece que lo</w:t>
      </w:r>
      <w:r w:rsidRPr="007D7513">
        <w:rPr>
          <w:rFonts w:ascii="Palatino Linotype" w:hAnsi="Palatino Linotype"/>
          <w:lang w:eastAsia="es-MX"/>
        </w:rPr>
        <w:t>s</w:t>
      </w:r>
      <w:r>
        <w:rPr>
          <w:rFonts w:ascii="Palatino Linotype" w:hAnsi="Palatino Linotype"/>
          <w:lang w:eastAsia="es-MX"/>
        </w:rPr>
        <w:t xml:space="preserve"> tramites, requisitos y formatos, así como los tiempos de respuesta</w:t>
      </w:r>
      <w:r w:rsidRPr="007D7513">
        <w:rPr>
          <w:rFonts w:ascii="Palatino Linotype" w:hAnsi="Palatino Linotype"/>
          <w:lang w:eastAsia="es-MX"/>
        </w:rPr>
        <w:t xml:space="preserve">, constituyen una obligación de transparencia común, como a continuación se observa: </w:t>
      </w:r>
    </w:p>
    <w:p w14:paraId="0F801B8B" w14:textId="77777777" w:rsidR="0082658F" w:rsidRPr="007D7513" w:rsidRDefault="0082658F" w:rsidP="0082658F">
      <w:pPr>
        <w:spacing w:line="360" w:lineRule="auto"/>
        <w:jc w:val="both"/>
        <w:rPr>
          <w:rFonts w:ascii="Palatino Linotype" w:hAnsi="Palatino Linotype" w:cs="Arial"/>
        </w:rPr>
      </w:pPr>
    </w:p>
    <w:p w14:paraId="40AD6B34" w14:textId="77777777" w:rsidR="0082658F" w:rsidRPr="007D7513" w:rsidRDefault="0082658F" w:rsidP="0082658F">
      <w:pPr>
        <w:spacing w:before="240" w:after="360" w:line="360" w:lineRule="auto"/>
        <w:ind w:left="567" w:right="616"/>
        <w:contextualSpacing/>
        <w:jc w:val="both"/>
        <w:rPr>
          <w:rFonts w:ascii="Palatino Linotype" w:hAnsi="Palatino Linotype"/>
          <w:i/>
        </w:rPr>
      </w:pPr>
      <w:r w:rsidRPr="007D7513">
        <w:rPr>
          <w:rFonts w:ascii="Palatino Linotype" w:hAnsi="Palatino Linotype"/>
          <w:i/>
        </w:rPr>
        <w:t>“</w:t>
      </w:r>
      <w:r w:rsidRPr="007D7513">
        <w:rPr>
          <w:rFonts w:ascii="Palatino Linotype" w:hAnsi="Palatino Linotype"/>
          <w:b/>
          <w:i/>
        </w:rPr>
        <w:t>Artículo 92.</w:t>
      </w:r>
      <w:r w:rsidRPr="007D7513">
        <w:rPr>
          <w:rFonts w:ascii="Palatino Linotype" w:hAnsi="Palatino Linotype"/>
          <w:i/>
        </w:rPr>
        <w:t xml:space="preserve"> Los sujetos obligados deberán poner a disposición del público de manera permanente y actualizada de forma sencilla, precisa y entendible, en los respectivos medios electrónicos, de acuerdo con sus facultades, atribuciones, funciones u objeto social, según corresponda, la información, por lo menos, de los temas, documentos y políticas que a continuación se señalan:</w:t>
      </w:r>
    </w:p>
    <w:p w14:paraId="57F67D36" w14:textId="77777777" w:rsidR="0082658F" w:rsidRPr="007D7513" w:rsidRDefault="0082658F" w:rsidP="0082658F">
      <w:pPr>
        <w:spacing w:before="240" w:after="240" w:line="360" w:lineRule="auto"/>
        <w:ind w:right="616"/>
        <w:contextualSpacing/>
        <w:jc w:val="both"/>
        <w:rPr>
          <w:rFonts w:ascii="Palatino Linotype" w:eastAsia="MS Mincho" w:hAnsi="Palatino Linotype"/>
          <w:i/>
        </w:rPr>
      </w:pPr>
    </w:p>
    <w:p w14:paraId="262E59DC" w14:textId="77777777" w:rsidR="0082658F" w:rsidRDefault="0082658F" w:rsidP="0082658F">
      <w:pPr>
        <w:spacing w:before="240" w:after="240" w:line="360" w:lineRule="auto"/>
        <w:ind w:left="567" w:right="616"/>
        <w:contextualSpacing/>
        <w:jc w:val="both"/>
        <w:rPr>
          <w:rFonts w:ascii="Palatino Linotype" w:eastAsia="MS Mincho" w:hAnsi="Palatino Linotype"/>
          <w:i/>
        </w:rPr>
      </w:pPr>
      <w:r w:rsidRPr="007D7513">
        <w:rPr>
          <w:rFonts w:ascii="Palatino Linotype" w:eastAsia="MS Mincho" w:hAnsi="Palatino Linotype"/>
          <w:i/>
        </w:rPr>
        <w:t xml:space="preserve"> (…)</w:t>
      </w:r>
    </w:p>
    <w:p w14:paraId="5B3A0D36" w14:textId="77777777" w:rsidR="0082658F" w:rsidRDefault="0082658F" w:rsidP="0082658F">
      <w:pPr>
        <w:spacing w:before="240" w:after="240" w:line="360" w:lineRule="auto"/>
        <w:ind w:left="567" w:right="616"/>
        <w:contextualSpacing/>
        <w:jc w:val="both"/>
        <w:rPr>
          <w:rFonts w:ascii="Palatino Linotype" w:eastAsia="MS Mincho" w:hAnsi="Palatino Linotype"/>
          <w:i/>
        </w:rPr>
      </w:pPr>
    </w:p>
    <w:p w14:paraId="5D19A49C" w14:textId="77777777" w:rsidR="0082658F" w:rsidRPr="007D7513" w:rsidRDefault="0082658F" w:rsidP="0082658F">
      <w:pPr>
        <w:spacing w:before="240" w:after="240" w:line="360" w:lineRule="auto"/>
        <w:ind w:left="567" w:right="616"/>
        <w:contextualSpacing/>
        <w:jc w:val="both"/>
        <w:rPr>
          <w:rFonts w:ascii="Palatino Linotype" w:eastAsia="MS Mincho" w:hAnsi="Palatino Linotype"/>
          <w:i/>
        </w:rPr>
      </w:pPr>
      <w:r w:rsidRPr="00E572BA">
        <w:rPr>
          <w:rFonts w:ascii="Palatino Linotype" w:eastAsia="MS Mincho" w:hAnsi="Palatino Linotype"/>
          <w:b/>
          <w:i/>
        </w:rPr>
        <w:t>VIII.</w:t>
      </w:r>
      <w:r w:rsidRPr="00E572BA">
        <w:rPr>
          <w:rFonts w:ascii="Palatino Linotype" w:eastAsia="MS Mincho" w:hAnsi="Palatino Linotype"/>
          <w:i/>
        </w:rPr>
        <w:t xml:space="preserve"> La remuneración bruta y neta de todos los servidores públicos de base o de confianza, de todas las percepciones, incluyendo sueldos, prestaciones, gratificaciones, primas, comisiones, dietas, bonos, estímulos, ingresos y sistemas de compensación, señalando la periodicidad de dicha remuneración;</w:t>
      </w:r>
    </w:p>
    <w:p w14:paraId="3BCCE644" w14:textId="77777777" w:rsidR="0082658F" w:rsidRPr="0081381E" w:rsidRDefault="0082658F" w:rsidP="0082658F">
      <w:pPr>
        <w:spacing w:before="240" w:after="240" w:line="360" w:lineRule="auto"/>
        <w:ind w:left="567" w:right="616"/>
        <w:contextualSpacing/>
        <w:jc w:val="both"/>
        <w:rPr>
          <w:rFonts w:ascii="Palatino Linotype" w:eastAsia="MS Mincho" w:hAnsi="Palatino Linotype"/>
          <w:b/>
          <w:i/>
        </w:rPr>
      </w:pPr>
    </w:p>
    <w:p w14:paraId="3EAA8044" w14:textId="77777777" w:rsidR="0082658F" w:rsidRPr="007D7513" w:rsidRDefault="0082658F" w:rsidP="0082658F">
      <w:pPr>
        <w:spacing w:before="240" w:after="240" w:line="360" w:lineRule="auto"/>
        <w:ind w:left="567" w:right="616"/>
        <w:contextualSpacing/>
        <w:jc w:val="both"/>
        <w:rPr>
          <w:rFonts w:ascii="Palatino Linotype" w:eastAsia="MS Mincho" w:hAnsi="Palatino Linotype"/>
          <w:i/>
        </w:rPr>
      </w:pPr>
      <w:r w:rsidRPr="007D7513">
        <w:rPr>
          <w:rFonts w:ascii="Palatino Linotype" w:eastAsia="MS Mincho" w:hAnsi="Palatino Linotype"/>
          <w:i/>
        </w:rPr>
        <w:t>(…)</w:t>
      </w:r>
    </w:p>
    <w:p w14:paraId="2E078812" w14:textId="77777777" w:rsidR="0082658F" w:rsidRPr="007D7513" w:rsidRDefault="0082658F" w:rsidP="0082658F">
      <w:pPr>
        <w:spacing w:before="240" w:after="240" w:line="360" w:lineRule="auto"/>
        <w:ind w:left="567" w:right="616"/>
        <w:contextualSpacing/>
        <w:jc w:val="both"/>
        <w:rPr>
          <w:rFonts w:ascii="Palatino Linotype" w:eastAsia="MS Mincho" w:hAnsi="Palatino Linotype"/>
          <w:i/>
        </w:rPr>
      </w:pPr>
    </w:p>
    <w:p w14:paraId="71FBEC6F" w14:textId="77777777" w:rsidR="0082658F" w:rsidRDefault="0082658F" w:rsidP="0082658F">
      <w:pPr>
        <w:spacing w:after="160" w:line="360" w:lineRule="auto"/>
        <w:ind w:firstLine="567"/>
        <w:jc w:val="both"/>
        <w:rPr>
          <w:rFonts w:ascii="Palatino Linotype" w:eastAsia="Calibri" w:hAnsi="Palatino Linotype" w:cs="Arial"/>
          <w:i/>
          <w:lang w:val="es-MX"/>
        </w:rPr>
      </w:pPr>
      <w:r w:rsidRPr="007D7513">
        <w:rPr>
          <w:rFonts w:ascii="Palatino Linotype" w:eastAsia="Calibri" w:hAnsi="Palatino Linotype" w:cs="Arial"/>
          <w:i/>
          <w:lang w:val="es-MX"/>
        </w:rPr>
        <w:t xml:space="preserve"> </w:t>
      </w:r>
      <w:r>
        <w:rPr>
          <w:rFonts w:ascii="Palatino Linotype" w:eastAsia="Calibri" w:hAnsi="Palatino Linotype" w:cs="Arial"/>
          <w:i/>
          <w:lang w:val="es-MX"/>
        </w:rPr>
        <w:t xml:space="preserve">(Énfasis añadido) </w:t>
      </w:r>
    </w:p>
    <w:p w14:paraId="68AA4C9E" w14:textId="77777777" w:rsidR="0082658F" w:rsidRPr="0081381E" w:rsidRDefault="0082658F" w:rsidP="0082658F">
      <w:pPr>
        <w:spacing w:after="160" w:line="360" w:lineRule="auto"/>
        <w:ind w:firstLine="567"/>
        <w:jc w:val="both"/>
        <w:rPr>
          <w:rFonts w:ascii="Palatino Linotype" w:eastAsia="Calibri" w:hAnsi="Palatino Linotype" w:cs="Arial"/>
          <w:i/>
          <w:lang w:val="es-MX"/>
        </w:rPr>
      </w:pPr>
    </w:p>
    <w:p w14:paraId="684A319F" w14:textId="77777777" w:rsidR="0082658F" w:rsidRPr="00E572BA" w:rsidRDefault="0082658F" w:rsidP="0082658F">
      <w:pPr>
        <w:numPr>
          <w:ilvl w:val="0"/>
          <w:numId w:val="11"/>
        </w:numPr>
        <w:tabs>
          <w:tab w:val="left" w:pos="284"/>
          <w:tab w:val="left" w:pos="426"/>
        </w:tabs>
        <w:spacing w:before="240" w:after="240" w:line="360" w:lineRule="auto"/>
        <w:ind w:left="0" w:right="49" w:firstLine="0"/>
        <w:contextualSpacing/>
        <w:jc w:val="both"/>
        <w:rPr>
          <w:rFonts w:ascii="Palatino Linotype" w:hAnsi="Palatino Linotype" w:cs="Arial"/>
        </w:rPr>
      </w:pPr>
      <w:r w:rsidRPr="00E572BA">
        <w:rPr>
          <w:rFonts w:ascii="Palatino Linotype" w:hAnsi="Palatino Linotype" w:cs="Arial"/>
          <w:lang w:eastAsia="en-US"/>
        </w:rPr>
        <w:lastRenderedPageBreak/>
        <w:t>D</w:t>
      </w:r>
      <w:r w:rsidRPr="00E572BA">
        <w:rPr>
          <w:rFonts w:ascii="Palatino Linotype" w:hAnsi="Palatino Linotype" w:cs="Arial"/>
          <w:lang w:val="es-ES_tradnl" w:eastAsia="en-US"/>
        </w:rPr>
        <w:t xml:space="preserve">emostrada </w:t>
      </w:r>
      <w:r w:rsidRPr="00E572BA">
        <w:rPr>
          <w:rFonts w:ascii="Palatino Linotype" w:hAnsi="Palatino Linotype" w:cs="Arial"/>
          <w:lang w:eastAsia="en-US"/>
        </w:rPr>
        <w:t xml:space="preserve">la procedencia del acceso en términos de la Ley de Transparencia Estatal,  por </w:t>
      </w:r>
      <w:r w:rsidRPr="00E572BA">
        <w:rPr>
          <w:rFonts w:ascii="Palatino Linotype" w:hAnsi="Palatino Linotype" w:cs="Arial"/>
        </w:rPr>
        <w:t xml:space="preserve">cuanto hace al requerimiento realizado </w:t>
      </w:r>
      <w:r>
        <w:rPr>
          <w:rFonts w:ascii="Palatino Linotype" w:hAnsi="Palatino Linotype" w:cs="Arial"/>
        </w:rPr>
        <w:t xml:space="preserve">y la respuesta otorgada resulta </w:t>
      </w:r>
      <w:r w:rsidRPr="00E572BA">
        <w:rPr>
          <w:rFonts w:ascii="Palatino Linotype" w:hAnsi="Palatino Linotype" w:cs="Arial"/>
        </w:rPr>
        <w:t xml:space="preserve">pertinente señalar que </w:t>
      </w:r>
      <w:r w:rsidRPr="00E572BA">
        <w:rPr>
          <w:rFonts w:ascii="Palatino Linotype" w:eastAsia="MS Mincho" w:hAnsi="Palatino Linotype"/>
          <w:lang w:val="es-ES_tradnl"/>
        </w:rPr>
        <w:t xml:space="preserve">toda vez que las remuneraciones del personal de los entes públicos se realizan </w:t>
      </w:r>
      <w:r w:rsidRPr="00E572BA">
        <w:rPr>
          <w:rFonts w:ascii="Palatino Linotype" w:hAnsi="Palatino Linotype" w:cs="Arial"/>
        </w:rPr>
        <w:t>mediante la aplicación de recursos públicos, dichas erogaciones son fiscalizadas por la Legislatura a través del Órgano Superior de Fiscalización, para ello, el artículo 61 de la Constitución Política del Estado Libre y Soberano de México, establece las facultades y obligaciones de la Legislatura de las cuales podemos resaltar las siguientes:</w:t>
      </w:r>
    </w:p>
    <w:p w14:paraId="015E9401" w14:textId="77777777" w:rsidR="0082658F" w:rsidRPr="00E572BA" w:rsidRDefault="0082658F" w:rsidP="0082658F">
      <w:pPr>
        <w:tabs>
          <w:tab w:val="left" w:pos="3090"/>
        </w:tabs>
        <w:spacing w:line="360" w:lineRule="auto"/>
        <w:jc w:val="both"/>
        <w:rPr>
          <w:rFonts w:ascii="Palatino Linotype" w:eastAsia="MS Mincho" w:hAnsi="Palatino Linotype"/>
          <w:lang w:val="es-ES_tradnl"/>
        </w:rPr>
      </w:pPr>
      <w:r w:rsidRPr="00E572BA">
        <w:rPr>
          <w:rFonts w:ascii="Palatino Linotype" w:eastAsia="MS Mincho" w:hAnsi="Palatino Linotype"/>
          <w:lang w:val="es-ES_tradnl"/>
        </w:rPr>
        <w:tab/>
      </w:r>
    </w:p>
    <w:p w14:paraId="2460ABC7" w14:textId="77777777" w:rsidR="0082658F" w:rsidRPr="00E572BA" w:rsidRDefault="0082658F" w:rsidP="0082658F">
      <w:pPr>
        <w:spacing w:line="360" w:lineRule="auto"/>
        <w:ind w:left="567" w:right="567"/>
        <w:contextualSpacing/>
        <w:jc w:val="both"/>
        <w:rPr>
          <w:rFonts w:ascii="Palatino Linotype" w:eastAsia="MS Mincho" w:hAnsi="Palatino Linotype" w:cs="Arial"/>
          <w:b/>
          <w:i/>
          <w:iCs/>
          <w:lang w:val="es-ES_tradnl"/>
        </w:rPr>
      </w:pPr>
      <w:r w:rsidRPr="00E572BA">
        <w:rPr>
          <w:rFonts w:ascii="Palatino Linotype" w:eastAsia="MS Mincho" w:hAnsi="Palatino Linotype" w:cs="Arial"/>
          <w:b/>
          <w:i/>
          <w:iCs/>
          <w:lang w:val="es-ES_tradnl"/>
        </w:rPr>
        <w:t>“Artículo 61.</w:t>
      </w:r>
    </w:p>
    <w:p w14:paraId="2BAABABA" w14:textId="77777777" w:rsidR="0082658F" w:rsidRPr="00E572BA" w:rsidRDefault="0082658F" w:rsidP="0082658F">
      <w:pPr>
        <w:spacing w:line="360" w:lineRule="auto"/>
        <w:ind w:left="567" w:right="567"/>
        <w:contextualSpacing/>
        <w:jc w:val="both"/>
        <w:rPr>
          <w:rFonts w:ascii="Palatino Linotype" w:eastAsia="MS Mincho" w:hAnsi="Palatino Linotype" w:cs="Arial"/>
          <w:b/>
          <w:i/>
          <w:iCs/>
          <w:lang w:val="es-ES_tradnl"/>
        </w:rPr>
      </w:pPr>
    </w:p>
    <w:p w14:paraId="4FCA30D9" w14:textId="77777777" w:rsidR="0082658F" w:rsidRPr="00E572BA" w:rsidRDefault="0082658F" w:rsidP="0082658F">
      <w:pPr>
        <w:spacing w:line="360" w:lineRule="auto"/>
        <w:ind w:left="567" w:right="567"/>
        <w:contextualSpacing/>
        <w:jc w:val="both"/>
        <w:rPr>
          <w:rFonts w:ascii="Palatino Linotype" w:eastAsia="MS Mincho" w:hAnsi="Palatino Linotype" w:cs="Arial"/>
          <w:iCs/>
          <w:lang w:val="es-ES_tradnl"/>
        </w:rPr>
      </w:pPr>
      <w:r w:rsidRPr="00E572BA">
        <w:rPr>
          <w:rFonts w:ascii="Palatino Linotype" w:eastAsia="MS Mincho" w:hAnsi="Palatino Linotype" w:cs="Arial"/>
          <w:iCs/>
          <w:lang w:val="es-ES_tradnl"/>
        </w:rPr>
        <w:t>(…)</w:t>
      </w:r>
    </w:p>
    <w:p w14:paraId="1AC0CAAA" w14:textId="77777777" w:rsidR="0082658F" w:rsidRPr="00E572BA" w:rsidRDefault="0082658F" w:rsidP="0082658F">
      <w:pPr>
        <w:spacing w:line="360" w:lineRule="auto"/>
        <w:ind w:left="567" w:right="567"/>
        <w:contextualSpacing/>
        <w:jc w:val="both"/>
        <w:rPr>
          <w:rFonts w:ascii="Palatino Linotype" w:eastAsia="MS Mincho" w:hAnsi="Palatino Linotype" w:cs="Arial"/>
          <w:iCs/>
          <w:lang w:val="es-ES_tradnl"/>
        </w:rPr>
      </w:pPr>
    </w:p>
    <w:p w14:paraId="712BA509" w14:textId="77777777" w:rsidR="0082658F" w:rsidRPr="00E572BA" w:rsidRDefault="0082658F" w:rsidP="0082658F">
      <w:pPr>
        <w:autoSpaceDE w:val="0"/>
        <w:autoSpaceDN w:val="0"/>
        <w:adjustRightInd w:val="0"/>
        <w:spacing w:line="360" w:lineRule="auto"/>
        <w:ind w:left="567" w:right="567"/>
        <w:contextualSpacing/>
        <w:jc w:val="both"/>
        <w:rPr>
          <w:rFonts w:ascii="Palatino Linotype" w:eastAsia="MS Mincho" w:hAnsi="Palatino Linotype" w:cs="Bookman Old Style"/>
          <w:i/>
          <w:iCs/>
          <w:lang w:val="es-ES_tradnl"/>
        </w:rPr>
      </w:pPr>
      <w:r w:rsidRPr="00E572BA">
        <w:rPr>
          <w:rFonts w:ascii="Palatino Linotype" w:eastAsia="MS Mincho" w:hAnsi="Palatino Linotype" w:cs="Bookman Old Style"/>
          <w:b/>
          <w:i/>
          <w:iCs/>
          <w:lang w:val="es-ES_tradnl"/>
        </w:rPr>
        <w:t>XXXIII.</w:t>
      </w:r>
      <w:r w:rsidRPr="00E572BA">
        <w:rPr>
          <w:rFonts w:ascii="Palatino Linotype" w:eastAsia="MS Mincho" w:hAnsi="Palatino Linotype" w:cs="Bookman Old Style"/>
          <w:i/>
          <w:iCs/>
          <w:lang w:val="es-ES_tradnl"/>
        </w:rPr>
        <w:t xml:space="preserve"> Revisar, por conducto del </w:t>
      </w:r>
      <w:r w:rsidRPr="00E572BA">
        <w:rPr>
          <w:rFonts w:ascii="Palatino Linotype" w:eastAsia="MS Mincho" w:hAnsi="Palatino Linotype" w:cs="Bookman Old Style"/>
          <w:b/>
          <w:i/>
          <w:iCs/>
          <w:lang w:val="es-ES_tradnl"/>
        </w:rPr>
        <w:t>Órgano Superior de Fiscalización del Estado de México</w:t>
      </w:r>
      <w:r w:rsidRPr="00E572BA">
        <w:rPr>
          <w:rFonts w:ascii="Palatino Linotype" w:eastAsia="MS Mincho" w:hAnsi="Palatino Linotype" w:cs="Bookman Old Style"/>
          <w:i/>
          <w:iCs/>
          <w:lang w:val="es-ES_tradnl"/>
        </w:rPr>
        <w:t>, las cuentas y actos relativos a la aplicación de los fondos públicos del Estado y de los Municipios, así como fondos públicos federales en los términos convenidos con dicho ámbito que incluirán la información correspondiente a los Poderes Públicos, organismos autónomos, organismos auxiliares, fideicomisos públicos o privados y demás entes públicos que manejen recursos del Estado y Municipios;</w:t>
      </w:r>
    </w:p>
    <w:p w14:paraId="32673CD6" w14:textId="77777777" w:rsidR="0082658F" w:rsidRPr="00E572BA" w:rsidRDefault="0082658F" w:rsidP="0082658F">
      <w:pPr>
        <w:autoSpaceDE w:val="0"/>
        <w:autoSpaceDN w:val="0"/>
        <w:adjustRightInd w:val="0"/>
        <w:spacing w:line="360" w:lineRule="auto"/>
        <w:ind w:left="567" w:right="567"/>
        <w:contextualSpacing/>
        <w:jc w:val="both"/>
        <w:rPr>
          <w:rFonts w:ascii="Palatino Linotype" w:eastAsia="MS Mincho" w:hAnsi="Palatino Linotype" w:cs="Bookman Old Style"/>
          <w:i/>
          <w:iCs/>
          <w:lang w:val="es-ES_tradnl"/>
        </w:rPr>
      </w:pPr>
    </w:p>
    <w:p w14:paraId="3D95AD3E" w14:textId="77777777" w:rsidR="0082658F" w:rsidRPr="00E572BA" w:rsidRDefault="0082658F" w:rsidP="0082658F">
      <w:pPr>
        <w:autoSpaceDE w:val="0"/>
        <w:autoSpaceDN w:val="0"/>
        <w:adjustRightInd w:val="0"/>
        <w:spacing w:line="360" w:lineRule="auto"/>
        <w:ind w:left="567" w:right="567"/>
        <w:contextualSpacing/>
        <w:jc w:val="both"/>
        <w:rPr>
          <w:rFonts w:ascii="Palatino Linotype" w:eastAsia="MS Mincho" w:hAnsi="Palatino Linotype" w:cs="Bookman Old Style"/>
          <w:i/>
          <w:iCs/>
          <w:lang w:val="es-ES_tradnl"/>
        </w:rPr>
      </w:pPr>
      <w:r w:rsidRPr="00E572BA">
        <w:rPr>
          <w:rFonts w:ascii="Palatino Linotype" w:eastAsia="MS Mincho" w:hAnsi="Palatino Linotype" w:cs="Bookman Old Style"/>
          <w:i/>
          <w:iCs/>
          <w:lang w:val="es-ES_tradnl"/>
        </w:rPr>
        <w:t>(…)</w:t>
      </w:r>
    </w:p>
    <w:p w14:paraId="3223F2A6" w14:textId="77777777" w:rsidR="0082658F" w:rsidRPr="00E572BA" w:rsidRDefault="0082658F" w:rsidP="0082658F">
      <w:pPr>
        <w:autoSpaceDE w:val="0"/>
        <w:autoSpaceDN w:val="0"/>
        <w:adjustRightInd w:val="0"/>
        <w:spacing w:line="360" w:lineRule="auto"/>
        <w:ind w:left="567" w:right="567"/>
        <w:contextualSpacing/>
        <w:jc w:val="both"/>
        <w:rPr>
          <w:rFonts w:ascii="Palatino Linotype" w:eastAsia="MS Mincho" w:hAnsi="Palatino Linotype" w:cs="Bookman Old Style"/>
          <w:i/>
          <w:iCs/>
          <w:lang w:val="es-ES_tradnl"/>
        </w:rPr>
      </w:pPr>
    </w:p>
    <w:p w14:paraId="28209CF4" w14:textId="77777777" w:rsidR="0082658F" w:rsidRPr="00E572BA" w:rsidRDefault="0082658F" w:rsidP="0082658F">
      <w:pPr>
        <w:autoSpaceDE w:val="0"/>
        <w:autoSpaceDN w:val="0"/>
        <w:adjustRightInd w:val="0"/>
        <w:spacing w:line="360" w:lineRule="auto"/>
        <w:ind w:left="567" w:right="567"/>
        <w:contextualSpacing/>
        <w:jc w:val="both"/>
        <w:rPr>
          <w:rFonts w:ascii="Palatino Linotype" w:eastAsia="MS Mincho" w:hAnsi="Palatino Linotype" w:cs="Bookman Old Style"/>
          <w:i/>
          <w:iCs/>
          <w:lang w:val="es-ES_tradnl"/>
        </w:rPr>
      </w:pPr>
      <w:r w:rsidRPr="00E572BA">
        <w:rPr>
          <w:rFonts w:ascii="Palatino Linotype" w:eastAsia="MS Mincho" w:hAnsi="Palatino Linotype" w:cs="Bookman Old Style"/>
          <w:b/>
          <w:i/>
          <w:iCs/>
          <w:lang w:val="es-ES_tradnl"/>
        </w:rPr>
        <w:t>XXXIV.</w:t>
      </w:r>
      <w:r w:rsidRPr="00E572BA">
        <w:rPr>
          <w:rFonts w:ascii="Palatino Linotype" w:eastAsia="MS Mincho" w:hAnsi="Palatino Linotype" w:cs="Bookman Old Style"/>
          <w:i/>
          <w:iCs/>
          <w:lang w:val="es-ES_tradnl"/>
        </w:rPr>
        <w:t xml:space="preserve"> Fiscalizar la administración de los ingresos y egresos del Estado y de los Municipios, que incluyen a los Poderes Públicos, organismos autónomos, </w:t>
      </w:r>
      <w:r w:rsidRPr="00E572BA">
        <w:rPr>
          <w:rFonts w:ascii="Palatino Linotype" w:eastAsia="MS Mincho" w:hAnsi="Palatino Linotype" w:cs="Bookman Old Style"/>
          <w:i/>
          <w:iCs/>
          <w:lang w:val="es-ES_tradnl"/>
        </w:rPr>
        <w:lastRenderedPageBreak/>
        <w:t xml:space="preserve">organismos auxiliares, fideicomisos públicos o privados y demás entes públicos que manejen recursos del Estado y Municipios, a través del </w:t>
      </w:r>
      <w:r w:rsidRPr="00E572BA">
        <w:rPr>
          <w:rFonts w:ascii="Palatino Linotype" w:eastAsia="MS Mincho" w:hAnsi="Palatino Linotype" w:cs="Bookman Old Style"/>
          <w:b/>
          <w:i/>
          <w:iCs/>
          <w:lang w:val="es-ES_tradnl"/>
        </w:rPr>
        <w:t>Órgano Superior de Fiscalización</w:t>
      </w:r>
      <w:r w:rsidRPr="00E572BA">
        <w:rPr>
          <w:rFonts w:ascii="Palatino Linotype" w:eastAsia="MS Mincho" w:hAnsi="Palatino Linotype" w:cs="Bookman Old Style"/>
          <w:i/>
          <w:iCs/>
          <w:lang w:val="es-ES_tradnl"/>
        </w:rPr>
        <w:t>.”</w:t>
      </w:r>
    </w:p>
    <w:p w14:paraId="0631FD88" w14:textId="77777777" w:rsidR="0082658F" w:rsidRPr="00E572BA" w:rsidRDefault="0082658F" w:rsidP="0082658F">
      <w:pPr>
        <w:autoSpaceDE w:val="0"/>
        <w:autoSpaceDN w:val="0"/>
        <w:adjustRightInd w:val="0"/>
        <w:spacing w:line="360" w:lineRule="auto"/>
        <w:ind w:left="567" w:right="567"/>
        <w:contextualSpacing/>
        <w:jc w:val="both"/>
        <w:rPr>
          <w:rFonts w:ascii="Palatino Linotype" w:eastAsia="MS Mincho" w:hAnsi="Palatino Linotype" w:cs="Bookman Old Style"/>
          <w:i/>
          <w:iCs/>
          <w:lang w:val="es-ES_tradnl"/>
        </w:rPr>
      </w:pPr>
    </w:p>
    <w:p w14:paraId="46D8096C" w14:textId="77777777" w:rsidR="0082658F" w:rsidRPr="00E572BA" w:rsidRDefault="0082658F" w:rsidP="0082658F">
      <w:pPr>
        <w:autoSpaceDE w:val="0"/>
        <w:autoSpaceDN w:val="0"/>
        <w:adjustRightInd w:val="0"/>
        <w:spacing w:line="360" w:lineRule="auto"/>
        <w:ind w:left="567" w:right="567"/>
        <w:contextualSpacing/>
        <w:jc w:val="both"/>
        <w:rPr>
          <w:rFonts w:ascii="Palatino Linotype" w:eastAsia="MS Mincho" w:hAnsi="Palatino Linotype" w:cs="Bookman Old Style"/>
          <w:iCs/>
          <w:lang w:val="es-ES_tradnl"/>
        </w:rPr>
      </w:pPr>
      <w:r w:rsidRPr="00E572BA">
        <w:rPr>
          <w:rFonts w:ascii="Palatino Linotype" w:eastAsia="MS Mincho" w:hAnsi="Palatino Linotype" w:cs="Bookman Old Style"/>
          <w:iCs/>
          <w:lang w:val="es-ES_tradnl"/>
        </w:rPr>
        <w:t>(Énfasis añadido)</w:t>
      </w:r>
    </w:p>
    <w:p w14:paraId="68EE44DB" w14:textId="77777777" w:rsidR="0082658F" w:rsidRPr="00E572BA" w:rsidRDefault="0082658F" w:rsidP="0082658F">
      <w:pPr>
        <w:spacing w:line="360" w:lineRule="auto"/>
        <w:jc w:val="both"/>
        <w:rPr>
          <w:rFonts w:ascii="Palatino Linotype" w:eastAsia="MS Mincho" w:hAnsi="Palatino Linotype"/>
          <w:lang w:val="es-ES_tradnl"/>
        </w:rPr>
      </w:pPr>
    </w:p>
    <w:p w14:paraId="17D4707C" w14:textId="77777777" w:rsidR="0082658F" w:rsidRPr="00E572BA" w:rsidRDefault="0082658F" w:rsidP="0082658F">
      <w:pPr>
        <w:numPr>
          <w:ilvl w:val="0"/>
          <w:numId w:val="11"/>
        </w:numPr>
        <w:spacing w:after="160" w:line="360" w:lineRule="auto"/>
        <w:ind w:left="0" w:firstLine="0"/>
        <w:jc w:val="both"/>
        <w:rPr>
          <w:rFonts w:ascii="Palatino Linotype" w:eastAsia="MS Mincho" w:hAnsi="Palatino Linotype"/>
          <w:lang w:val="es-ES_tradnl"/>
        </w:rPr>
      </w:pPr>
      <w:r w:rsidRPr="00E572BA">
        <w:rPr>
          <w:rFonts w:ascii="Palatino Linotype" w:eastAsia="MS Mincho" w:hAnsi="Palatino Linotype"/>
          <w:color w:val="000000"/>
          <w:lang w:val="es-ES_tradnl"/>
        </w:rPr>
        <w:t xml:space="preserve">Ahora </w:t>
      </w:r>
      <w:r w:rsidRPr="00E572BA">
        <w:rPr>
          <w:rFonts w:ascii="Palatino Linotype" w:eastAsia="MS Mincho" w:hAnsi="Palatino Linotype"/>
          <w:color w:val="000000"/>
        </w:rPr>
        <w:t xml:space="preserve">bien, la Ley de Fiscalización Superior del Estado de México, tiene por objeto establecer disposiciones encaminadas a fiscalizar, auditar y revisar las cuentas y actos relativos a la aplicación de los recursos públicos del Estado de México y de los municipios; y en este sentido, se aprecia que el </w:t>
      </w:r>
      <w:r w:rsidRPr="00E572BA">
        <w:rPr>
          <w:rFonts w:ascii="Palatino Linotype" w:eastAsia="MS Mincho" w:hAnsi="Palatino Linotype"/>
          <w:b/>
          <w:color w:val="000000"/>
        </w:rPr>
        <w:t>SUJETO OBLIGADO</w:t>
      </w:r>
      <w:r w:rsidRPr="00E572BA">
        <w:rPr>
          <w:rFonts w:ascii="Palatino Linotype" w:eastAsia="MS Mincho" w:hAnsi="Palatino Linotype"/>
          <w:color w:val="000000"/>
        </w:rPr>
        <w:t xml:space="preserve"> se encuentra reconocido como un Sujeto de Fiscalización con base en los artículos 2, y 4.</w:t>
      </w:r>
    </w:p>
    <w:p w14:paraId="4BEC003D" w14:textId="77777777" w:rsidR="0082658F" w:rsidRPr="00E572BA" w:rsidRDefault="0082658F" w:rsidP="0082658F">
      <w:pPr>
        <w:numPr>
          <w:ilvl w:val="0"/>
          <w:numId w:val="11"/>
        </w:numPr>
        <w:spacing w:after="160" w:line="360" w:lineRule="auto"/>
        <w:ind w:left="0" w:firstLine="0"/>
        <w:jc w:val="both"/>
        <w:rPr>
          <w:rFonts w:ascii="Palatino Linotype" w:eastAsia="MS Mincho" w:hAnsi="Palatino Linotype"/>
          <w:lang w:val="es-ES_tradnl"/>
        </w:rPr>
      </w:pPr>
      <w:r w:rsidRPr="00E572BA">
        <w:rPr>
          <w:rFonts w:ascii="Palatino Linotype" w:eastAsia="MS Mincho" w:hAnsi="Palatino Linotype"/>
          <w:color w:val="000000"/>
          <w:lang w:val="es-ES_tradnl"/>
        </w:rPr>
        <w:t xml:space="preserve">Establecido </w:t>
      </w:r>
      <w:r w:rsidRPr="00E572BA">
        <w:rPr>
          <w:rFonts w:ascii="Palatino Linotype" w:hAnsi="Palatino Linotype" w:cs="Arial"/>
        </w:rPr>
        <w:t>lo anterior, el Órgano Superior de Fiscalización del Estado de México (OSFEM), emitió</w:t>
      </w:r>
      <w:r w:rsidRPr="00E572BA">
        <w:rPr>
          <w:rFonts w:ascii="Palatino Linotype" w:eastAsia="Calibri" w:hAnsi="Palatino Linotype" w:cs="Arial"/>
          <w:bCs/>
          <w:lang w:val="es-MX" w:eastAsia="en-US"/>
        </w:rPr>
        <w:t xml:space="preserve"> la Capacitación</w:t>
      </w:r>
      <w:r w:rsidRPr="00E572BA">
        <w:rPr>
          <w:rFonts w:ascii="Palatino Linotype" w:hAnsi="Palatino Linotype" w:cs="Arial"/>
        </w:rPr>
        <w:t xml:space="preserve"> </w:t>
      </w:r>
      <w:r w:rsidRPr="00E572BA">
        <w:rPr>
          <w:rFonts w:ascii="Palatino Linotype" w:hAnsi="Palatino Linotype" w:cs="Arial"/>
          <w:i/>
        </w:rPr>
        <w:t>“Integración del Informe Trimestral de los Sujetos de Fiscalización Estatales para el Ejercicio 2022</w:t>
      </w:r>
      <w:r w:rsidRPr="00E572BA">
        <w:rPr>
          <w:rFonts w:ascii="Palatino Linotype" w:hAnsi="Palatino Linotype" w:cs="Arial"/>
        </w:rPr>
        <w:t>”</w:t>
      </w:r>
      <w:r w:rsidRPr="00E572BA">
        <w:rPr>
          <w:rFonts w:ascii="Palatino Linotype" w:eastAsia="MS Mincho" w:hAnsi="Palatino Linotype"/>
          <w:color w:val="000000"/>
          <w:lang w:val="es-ES_tradnl"/>
        </w:rPr>
        <w:t xml:space="preserve">, </w:t>
      </w:r>
      <w:r w:rsidRPr="00E572BA">
        <w:rPr>
          <w:rFonts w:ascii="Palatino Linotype" w:hAnsi="Palatino Linotype" w:cs="Arial"/>
        </w:rPr>
        <w:t xml:space="preserve">cuyo objetivo es dar a conocer las herramientas para la integración del informe que se habrá de presentar, específicamente en lo relativo al “Instructivo de Llenado del Módulo 4”, es de observancia general para todos los servidores públicos de las entidades fiscalizables de la administración pública municipal que desempeñen un empleo, cargo o comisión y que manejen recursos públicos; en atención a ello, el informe deberá ser presentado al </w:t>
      </w:r>
      <w:r w:rsidRPr="00E572BA">
        <w:rPr>
          <w:rFonts w:ascii="Palatino Linotype" w:hAnsi="Palatino Linotype" w:cs="Arial"/>
          <w:b/>
          <w:bCs/>
        </w:rPr>
        <w:t>Órgano Superior de Fiscalización del Estado de México</w:t>
      </w:r>
      <w:r w:rsidRPr="00E572BA">
        <w:rPr>
          <w:rFonts w:ascii="Palatino Linotype" w:hAnsi="Palatino Linotype" w:cs="Arial"/>
        </w:rPr>
        <w:t>.</w:t>
      </w:r>
    </w:p>
    <w:p w14:paraId="37D21108" w14:textId="77777777" w:rsidR="0082658F" w:rsidRPr="00E572BA" w:rsidRDefault="0082658F" w:rsidP="0082658F">
      <w:pPr>
        <w:spacing w:line="360" w:lineRule="auto"/>
        <w:jc w:val="both"/>
        <w:rPr>
          <w:rFonts w:ascii="Palatino Linotype" w:eastAsia="MS Mincho" w:hAnsi="Palatino Linotype"/>
          <w:lang w:val="es-ES_tradnl"/>
        </w:rPr>
      </w:pPr>
    </w:p>
    <w:p w14:paraId="10E436D4" w14:textId="77777777" w:rsidR="0082658F" w:rsidRPr="00E572BA" w:rsidRDefault="0082658F" w:rsidP="0082658F">
      <w:pPr>
        <w:numPr>
          <w:ilvl w:val="0"/>
          <w:numId w:val="11"/>
        </w:numPr>
        <w:spacing w:after="160" w:line="360" w:lineRule="auto"/>
        <w:ind w:left="0" w:firstLine="0"/>
        <w:jc w:val="both"/>
        <w:rPr>
          <w:rFonts w:ascii="Palatino Linotype" w:eastAsia="MS Mincho" w:hAnsi="Palatino Linotype"/>
          <w:lang w:val="es-ES_tradnl"/>
        </w:rPr>
      </w:pPr>
      <w:r w:rsidRPr="00E572BA">
        <w:rPr>
          <w:rFonts w:ascii="Palatino Linotype" w:hAnsi="Palatino Linotype" w:cs="Arial"/>
        </w:rPr>
        <w:t>La integración del Informe se entregará de manera física al Órgano Superior de Fiscalización del Estado de México, y estará compuesto de la siguiente manera:</w:t>
      </w:r>
    </w:p>
    <w:p w14:paraId="1E180B1B" w14:textId="77777777" w:rsidR="0082658F" w:rsidRPr="00E572BA" w:rsidRDefault="0082658F" w:rsidP="0082658F">
      <w:pPr>
        <w:spacing w:line="360" w:lineRule="auto"/>
        <w:jc w:val="both"/>
        <w:rPr>
          <w:rFonts w:ascii="Palatino Linotype" w:eastAsia="MS Mincho" w:hAnsi="Palatino Linotype"/>
          <w:lang w:val="es-ES_tradnl"/>
        </w:rPr>
      </w:pPr>
    </w:p>
    <w:p w14:paraId="1B6EC51B" w14:textId="77777777" w:rsidR="0082658F" w:rsidRPr="00E572BA" w:rsidRDefault="0082658F" w:rsidP="0082658F">
      <w:pPr>
        <w:autoSpaceDE w:val="0"/>
        <w:autoSpaceDN w:val="0"/>
        <w:adjustRightInd w:val="0"/>
        <w:spacing w:line="360" w:lineRule="auto"/>
        <w:ind w:left="567" w:right="616"/>
        <w:contextualSpacing/>
        <w:jc w:val="both"/>
        <w:rPr>
          <w:rFonts w:ascii="Palatino Linotype" w:eastAsia="MS Mincho" w:hAnsi="Palatino Linotype" w:cs="Arial"/>
          <w:i/>
          <w:iCs/>
          <w:lang w:val="es-ES_tradnl"/>
        </w:rPr>
      </w:pPr>
      <w:r w:rsidRPr="00E572BA">
        <w:rPr>
          <w:rFonts w:ascii="Palatino Linotype" w:eastAsia="MS Mincho" w:hAnsi="Palatino Linotype" w:cs="Arial"/>
          <w:b/>
          <w:bCs/>
          <w:i/>
          <w:iCs/>
          <w:lang w:val="es-ES_tradnl"/>
        </w:rPr>
        <w:t>a)</w:t>
      </w:r>
      <w:r w:rsidRPr="00E572BA">
        <w:rPr>
          <w:rFonts w:ascii="Palatino Linotype" w:eastAsia="MS Mincho" w:hAnsi="Palatino Linotype" w:cs="Arial"/>
          <w:i/>
          <w:iCs/>
          <w:lang w:val="es-ES_tradnl"/>
        </w:rPr>
        <w:t xml:space="preserve"> Información impresa.</w:t>
      </w:r>
    </w:p>
    <w:p w14:paraId="038C5C6D" w14:textId="77777777" w:rsidR="0082658F" w:rsidRPr="00E572BA" w:rsidRDefault="0082658F" w:rsidP="0082658F">
      <w:pPr>
        <w:autoSpaceDE w:val="0"/>
        <w:autoSpaceDN w:val="0"/>
        <w:adjustRightInd w:val="0"/>
        <w:spacing w:line="360" w:lineRule="auto"/>
        <w:ind w:left="567" w:right="616"/>
        <w:contextualSpacing/>
        <w:jc w:val="both"/>
        <w:rPr>
          <w:rFonts w:ascii="Palatino Linotype" w:eastAsia="MS Mincho" w:hAnsi="Palatino Linotype" w:cs="Arial"/>
          <w:i/>
          <w:iCs/>
          <w:lang w:val="es-ES_tradnl"/>
        </w:rPr>
      </w:pPr>
      <w:r w:rsidRPr="00E572BA">
        <w:rPr>
          <w:rFonts w:ascii="Palatino Linotype" w:eastAsia="MS Mincho" w:hAnsi="Palatino Linotype" w:cs="Arial"/>
          <w:b/>
          <w:bCs/>
          <w:i/>
          <w:iCs/>
          <w:lang w:val="es-ES_tradnl"/>
        </w:rPr>
        <w:t>b)</w:t>
      </w:r>
      <w:r w:rsidRPr="00E572BA">
        <w:rPr>
          <w:rFonts w:ascii="Palatino Linotype" w:eastAsia="MS Mincho" w:hAnsi="Palatino Linotype" w:cs="Arial"/>
          <w:i/>
          <w:iCs/>
          <w:lang w:val="es-ES_tradnl"/>
        </w:rPr>
        <w:t xml:space="preserve"> Información en medio de almacenamiento electrónico. </w:t>
      </w:r>
    </w:p>
    <w:p w14:paraId="3AC27D3E" w14:textId="77777777" w:rsidR="0082658F" w:rsidRPr="00E572BA" w:rsidRDefault="0082658F" w:rsidP="0082658F">
      <w:pPr>
        <w:spacing w:after="160" w:line="360" w:lineRule="auto"/>
        <w:rPr>
          <w:rFonts w:ascii="Palatino Linotype" w:eastAsia="MS Mincho" w:hAnsi="Palatino Linotype"/>
          <w:lang w:val="es-ES_tradnl"/>
        </w:rPr>
      </w:pPr>
    </w:p>
    <w:p w14:paraId="1C8C3B6F" w14:textId="5659EEE2" w:rsidR="0082658F" w:rsidRPr="00E572BA" w:rsidRDefault="0082658F" w:rsidP="007E66E7">
      <w:pPr>
        <w:spacing w:after="160" w:line="360" w:lineRule="auto"/>
        <w:rPr>
          <w:rFonts w:ascii="Palatino Linotype" w:eastAsia="MS Mincho" w:hAnsi="Palatino Linotype"/>
          <w:b/>
        </w:rPr>
      </w:pPr>
    </w:p>
    <w:p w14:paraId="6312D2CB" w14:textId="12C8859E" w:rsidR="007E66E7" w:rsidRPr="007E66E7" w:rsidRDefault="007E66E7" w:rsidP="007E66E7">
      <w:pPr>
        <w:pStyle w:val="Prrafodelista"/>
        <w:numPr>
          <w:ilvl w:val="0"/>
          <w:numId w:val="11"/>
        </w:numPr>
        <w:spacing w:after="160" w:line="360" w:lineRule="auto"/>
        <w:ind w:left="0" w:firstLine="0"/>
        <w:jc w:val="both"/>
        <w:rPr>
          <w:rFonts w:ascii="Palatino Linotype" w:eastAsia="MS Mincho" w:hAnsi="Palatino Linotype"/>
          <w:lang w:val="es-ES_tradnl"/>
        </w:rPr>
      </w:pPr>
      <w:r w:rsidRPr="007E66E7">
        <w:rPr>
          <w:rFonts w:ascii="Palatino Linotype" w:hAnsi="Palatino Linotype" w:cs="Arial"/>
        </w:rPr>
        <w:t xml:space="preserve">Por cuanto hace a la información en medio de almacenamiento electrónico, el Instructivo de la Capacitación, establece la los Requisitos de los Comprobantes Fiscales de Nómina, como a continuación se observa: </w:t>
      </w:r>
    </w:p>
    <w:p w14:paraId="642D9CD8" w14:textId="77777777" w:rsidR="007E66E7" w:rsidRPr="00655A8C" w:rsidRDefault="007E66E7" w:rsidP="007E66E7">
      <w:pPr>
        <w:spacing w:after="160" w:line="360" w:lineRule="auto"/>
        <w:jc w:val="both"/>
        <w:rPr>
          <w:rFonts w:ascii="Palatino Linotype" w:eastAsia="MS Mincho" w:hAnsi="Palatino Linotype"/>
          <w:lang w:val="es-ES_tradnl"/>
        </w:rPr>
      </w:pPr>
    </w:p>
    <w:p w14:paraId="44E70846" w14:textId="77777777" w:rsidR="007E66E7" w:rsidRPr="00655A8C" w:rsidRDefault="007E66E7" w:rsidP="007E66E7">
      <w:pPr>
        <w:spacing w:after="160" w:line="360" w:lineRule="auto"/>
        <w:jc w:val="center"/>
        <w:rPr>
          <w:rFonts w:ascii="Palatino Linotype" w:eastAsia="MS Mincho" w:hAnsi="Palatino Linotype"/>
          <w:b/>
        </w:rPr>
      </w:pPr>
      <w:r w:rsidRPr="00655A8C">
        <w:rPr>
          <w:rFonts w:ascii="Palatino Linotype" w:hAnsi="Palatino Linotype"/>
          <w:noProof/>
          <w:lang w:val="es-MX" w:eastAsia="es-MX"/>
        </w:rPr>
        <w:lastRenderedPageBreak/>
        <w:drawing>
          <wp:inline distT="0" distB="0" distL="0" distR="0" wp14:anchorId="217D3320" wp14:editId="00648269">
            <wp:extent cx="5154319" cy="5686425"/>
            <wp:effectExtent l="0" t="0" r="825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7835" t="10561" r="29396" b="5552"/>
                    <a:stretch/>
                  </pic:blipFill>
                  <pic:spPr bwMode="auto">
                    <a:xfrm>
                      <a:off x="0" y="0"/>
                      <a:ext cx="5164273" cy="5697407"/>
                    </a:xfrm>
                    <a:prstGeom prst="rect">
                      <a:avLst/>
                    </a:prstGeom>
                    <a:ln>
                      <a:noFill/>
                    </a:ln>
                    <a:extLst>
                      <a:ext uri="{53640926-AAD7-44D8-BBD7-CCE9431645EC}">
                        <a14:shadowObscured xmlns:a14="http://schemas.microsoft.com/office/drawing/2010/main"/>
                      </a:ext>
                    </a:extLst>
                  </pic:spPr>
                </pic:pic>
              </a:graphicData>
            </a:graphic>
          </wp:inline>
        </w:drawing>
      </w:r>
    </w:p>
    <w:p w14:paraId="6E353E4B" w14:textId="77777777" w:rsidR="007E66E7" w:rsidRPr="00655A8C" w:rsidRDefault="007E66E7" w:rsidP="007E66E7">
      <w:pPr>
        <w:spacing w:after="160" w:line="360" w:lineRule="auto"/>
        <w:jc w:val="center"/>
        <w:rPr>
          <w:rFonts w:ascii="Palatino Linotype" w:eastAsia="MS Mincho" w:hAnsi="Palatino Linotype"/>
          <w:b/>
          <w:lang w:val="es-ES_tradnl"/>
        </w:rPr>
      </w:pPr>
    </w:p>
    <w:p w14:paraId="0BA3AD6C" w14:textId="77777777" w:rsidR="007E66E7" w:rsidRPr="00655A8C" w:rsidRDefault="007E66E7" w:rsidP="007E66E7">
      <w:pPr>
        <w:spacing w:after="160" w:line="360" w:lineRule="auto"/>
        <w:jc w:val="center"/>
        <w:rPr>
          <w:rFonts w:ascii="Palatino Linotype" w:eastAsia="MS Mincho" w:hAnsi="Palatino Linotype"/>
          <w:lang w:val="es-ES_tradnl"/>
        </w:rPr>
      </w:pPr>
      <w:r w:rsidRPr="00655A8C">
        <w:rPr>
          <w:rFonts w:ascii="Palatino Linotype" w:hAnsi="Palatino Linotype"/>
          <w:noProof/>
          <w:lang w:val="es-MX" w:eastAsia="es-MX"/>
        </w:rPr>
        <w:lastRenderedPageBreak/>
        <w:drawing>
          <wp:inline distT="0" distB="0" distL="0" distR="0" wp14:anchorId="53DA5B58" wp14:editId="7AEF23F8">
            <wp:extent cx="2724150" cy="3690273"/>
            <wp:effectExtent l="0" t="0" r="0" b="571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34794" t="17200" r="36015" b="12493"/>
                    <a:stretch/>
                  </pic:blipFill>
                  <pic:spPr bwMode="auto">
                    <a:xfrm>
                      <a:off x="0" y="0"/>
                      <a:ext cx="2724150" cy="3690273"/>
                    </a:xfrm>
                    <a:prstGeom prst="rect">
                      <a:avLst/>
                    </a:prstGeom>
                    <a:ln>
                      <a:noFill/>
                    </a:ln>
                    <a:extLst>
                      <a:ext uri="{53640926-AAD7-44D8-BBD7-CCE9431645EC}">
                        <a14:shadowObscured xmlns:a14="http://schemas.microsoft.com/office/drawing/2010/main"/>
                      </a:ext>
                    </a:extLst>
                  </pic:spPr>
                </pic:pic>
              </a:graphicData>
            </a:graphic>
          </wp:inline>
        </w:drawing>
      </w:r>
    </w:p>
    <w:p w14:paraId="2140CA8C" w14:textId="77777777" w:rsidR="007E66E7" w:rsidRPr="00655A8C" w:rsidRDefault="007E66E7" w:rsidP="007E66E7">
      <w:pPr>
        <w:spacing w:after="160" w:line="360" w:lineRule="auto"/>
        <w:jc w:val="center"/>
        <w:rPr>
          <w:rFonts w:ascii="Palatino Linotype" w:eastAsia="MS Mincho" w:hAnsi="Palatino Linotype"/>
          <w:lang w:val="es-ES_tradnl"/>
        </w:rPr>
      </w:pPr>
      <w:r w:rsidRPr="00655A8C">
        <w:rPr>
          <w:rFonts w:ascii="Palatino Linotype" w:hAnsi="Palatino Linotype"/>
          <w:noProof/>
          <w:lang w:val="es-MX" w:eastAsia="es-MX"/>
        </w:rPr>
        <w:drawing>
          <wp:inline distT="0" distB="0" distL="0" distR="0" wp14:anchorId="4343DB9A" wp14:editId="1D4C7C30">
            <wp:extent cx="2524125" cy="3269889"/>
            <wp:effectExtent l="0" t="0" r="0" b="698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34792" t="14484" r="35336" b="16717"/>
                    <a:stretch/>
                  </pic:blipFill>
                  <pic:spPr bwMode="auto">
                    <a:xfrm>
                      <a:off x="0" y="0"/>
                      <a:ext cx="2527096" cy="3273738"/>
                    </a:xfrm>
                    <a:prstGeom prst="rect">
                      <a:avLst/>
                    </a:prstGeom>
                    <a:ln>
                      <a:noFill/>
                    </a:ln>
                    <a:extLst>
                      <a:ext uri="{53640926-AAD7-44D8-BBD7-CCE9431645EC}">
                        <a14:shadowObscured xmlns:a14="http://schemas.microsoft.com/office/drawing/2010/main"/>
                      </a:ext>
                    </a:extLst>
                  </pic:spPr>
                </pic:pic>
              </a:graphicData>
            </a:graphic>
          </wp:inline>
        </w:drawing>
      </w:r>
    </w:p>
    <w:p w14:paraId="4DA72D2F" w14:textId="77777777" w:rsidR="007E66E7" w:rsidRPr="00655A8C" w:rsidRDefault="007E66E7" w:rsidP="007E66E7">
      <w:pPr>
        <w:spacing w:after="160" w:line="360" w:lineRule="auto"/>
        <w:jc w:val="center"/>
        <w:rPr>
          <w:rFonts w:ascii="Palatino Linotype" w:eastAsia="MS Mincho" w:hAnsi="Palatino Linotype"/>
          <w:b/>
        </w:rPr>
      </w:pPr>
      <w:r w:rsidRPr="00655A8C">
        <w:rPr>
          <w:rFonts w:ascii="Palatino Linotype" w:hAnsi="Palatino Linotype"/>
          <w:noProof/>
          <w:lang w:val="es-MX" w:eastAsia="es-MX"/>
        </w:rPr>
        <w:lastRenderedPageBreak/>
        <w:drawing>
          <wp:inline distT="0" distB="0" distL="0" distR="0" wp14:anchorId="1A44FDBB" wp14:editId="63C69C90">
            <wp:extent cx="5286375" cy="7286625"/>
            <wp:effectExtent l="0" t="0" r="9525" b="9525"/>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34793" t="22330" r="35336" b="8871"/>
                    <a:stretch/>
                  </pic:blipFill>
                  <pic:spPr bwMode="auto">
                    <a:xfrm>
                      <a:off x="0" y="0"/>
                      <a:ext cx="5289585" cy="7291050"/>
                    </a:xfrm>
                    <a:prstGeom prst="rect">
                      <a:avLst/>
                    </a:prstGeom>
                    <a:ln>
                      <a:noFill/>
                    </a:ln>
                    <a:extLst>
                      <a:ext uri="{53640926-AAD7-44D8-BBD7-CCE9431645EC}">
                        <a14:shadowObscured xmlns:a14="http://schemas.microsoft.com/office/drawing/2010/main"/>
                      </a:ext>
                    </a:extLst>
                  </pic:spPr>
                </pic:pic>
              </a:graphicData>
            </a:graphic>
          </wp:inline>
        </w:drawing>
      </w:r>
    </w:p>
    <w:p w14:paraId="4AD0C865" w14:textId="018E6B21" w:rsidR="0082658F" w:rsidRPr="00E572BA" w:rsidRDefault="0082658F" w:rsidP="0082658F">
      <w:pPr>
        <w:spacing w:after="160" w:line="360" w:lineRule="auto"/>
        <w:jc w:val="center"/>
        <w:rPr>
          <w:rFonts w:ascii="Palatino Linotype" w:eastAsia="MS Mincho" w:hAnsi="Palatino Linotype"/>
          <w:b/>
          <w:lang w:val="es-ES_tradnl"/>
        </w:rPr>
      </w:pPr>
    </w:p>
    <w:p w14:paraId="46A4B7F0" w14:textId="77777777" w:rsidR="0082658F" w:rsidRPr="00E572BA" w:rsidRDefault="0082658F" w:rsidP="0082658F">
      <w:pPr>
        <w:spacing w:after="160" w:line="360" w:lineRule="auto"/>
        <w:jc w:val="center"/>
        <w:rPr>
          <w:rFonts w:ascii="Palatino Linotype" w:eastAsia="MS Mincho" w:hAnsi="Palatino Linotype"/>
          <w:lang w:val="es-ES_tradnl"/>
        </w:rPr>
      </w:pPr>
    </w:p>
    <w:p w14:paraId="38314595" w14:textId="77777777" w:rsidR="0082658F" w:rsidRPr="00E572BA" w:rsidRDefault="0082658F" w:rsidP="0082658F">
      <w:pPr>
        <w:spacing w:after="160" w:line="360" w:lineRule="auto"/>
        <w:jc w:val="center"/>
        <w:rPr>
          <w:rFonts w:ascii="Palatino Linotype" w:eastAsia="MS Mincho" w:hAnsi="Palatino Linotype"/>
          <w:lang w:val="es-ES_tradnl"/>
        </w:rPr>
      </w:pPr>
      <w:r w:rsidRPr="00E572BA">
        <w:rPr>
          <w:noProof/>
          <w:lang w:val="es-MX" w:eastAsia="es-MX"/>
        </w:rPr>
        <w:drawing>
          <wp:inline distT="0" distB="0" distL="0" distR="0" wp14:anchorId="01844C35" wp14:editId="4B6C4C6B">
            <wp:extent cx="5133531" cy="6553200"/>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31738" t="22329" r="33300" b="31286"/>
                    <a:stretch/>
                  </pic:blipFill>
                  <pic:spPr bwMode="auto">
                    <a:xfrm>
                      <a:off x="0" y="0"/>
                      <a:ext cx="5140671" cy="6562315"/>
                    </a:xfrm>
                    <a:prstGeom prst="rect">
                      <a:avLst/>
                    </a:prstGeom>
                    <a:ln>
                      <a:noFill/>
                    </a:ln>
                    <a:extLst>
                      <a:ext uri="{53640926-AAD7-44D8-BBD7-CCE9431645EC}">
                        <a14:shadowObscured xmlns:a14="http://schemas.microsoft.com/office/drawing/2010/main"/>
                      </a:ext>
                    </a:extLst>
                  </pic:spPr>
                </pic:pic>
              </a:graphicData>
            </a:graphic>
          </wp:inline>
        </w:drawing>
      </w:r>
    </w:p>
    <w:p w14:paraId="55474556" w14:textId="77777777" w:rsidR="0082658F" w:rsidRPr="00E572BA" w:rsidRDefault="0082658F" w:rsidP="0082658F">
      <w:pPr>
        <w:spacing w:after="160" w:line="360" w:lineRule="auto"/>
        <w:jc w:val="center"/>
        <w:rPr>
          <w:rFonts w:ascii="Palatino Linotype" w:eastAsia="MS Mincho" w:hAnsi="Palatino Linotype"/>
          <w:b/>
        </w:rPr>
      </w:pPr>
      <w:r>
        <w:rPr>
          <w:noProof/>
          <w:lang w:val="es-MX" w:eastAsia="es-MX"/>
        </w:rPr>
        <w:lastRenderedPageBreak/>
        <mc:AlternateContent>
          <mc:Choice Requires="wps">
            <w:drawing>
              <wp:anchor distT="0" distB="0" distL="114300" distR="114300" simplePos="0" relativeHeight="251659264" behindDoc="0" locked="0" layoutInCell="1" allowOverlap="1" wp14:anchorId="14BC836F" wp14:editId="1F0B011C">
                <wp:simplePos x="0" y="0"/>
                <wp:positionH relativeFrom="column">
                  <wp:posOffset>377190</wp:posOffset>
                </wp:positionH>
                <wp:positionV relativeFrom="paragraph">
                  <wp:posOffset>2037081</wp:posOffset>
                </wp:positionV>
                <wp:extent cx="5286375" cy="3105150"/>
                <wp:effectExtent l="57150" t="19050" r="85725" b="95250"/>
                <wp:wrapNone/>
                <wp:docPr id="10" name="Rectángulo 10"/>
                <wp:cNvGraphicFramePr/>
                <a:graphic xmlns:a="http://schemas.openxmlformats.org/drawingml/2006/main">
                  <a:graphicData uri="http://schemas.microsoft.com/office/word/2010/wordprocessingShape">
                    <wps:wsp>
                      <wps:cNvSpPr/>
                      <wps:spPr>
                        <a:xfrm>
                          <a:off x="0" y="0"/>
                          <a:ext cx="5286375" cy="3105150"/>
                        </a:xfrm>
                        <a:prstGeom prst="rect">
                          <a:avLst/>
                        </a:prstGeom>
                        <a:noFill/>
                        <a:ln w="9525" cap="flat" cmpd="sng" algn="ctr">
                          <a:solidFill>
                            <a:srgbClr val="FF000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C991E77" id="Rectángulo 10" o:spid="_x0000_s1026" style="position:absolute;margin-left:29.7pt;margin-top:160.4pt;width:416.25pt;height:244.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" filled="f" strokecolor="red">
                <v:shadow on="t" color="black" opacity="22937f" origin=",.5" offset="0,.63889mm"/>
              </v:rect>
            </w:pict>
          </mc:Fallback>
        </mc:AlternateContent>
      </w:r>
      <w:r w:rsidRPr="00E572BA">
        <w:rPr>
          <w:noProof/>
          <w:lang w:val="es-MX" w:eastAsia="es-MX"/>
        </w:rPr>
        <w:drawing>
          <wp:inline distT="0" distB="0" distL="0" distR="0" wp14:anchorId="0436431A" wp14:editId="30B8EB34">
            <wp:extent cx="5828450" cy="7267575"/>
            <wp:effectExtent l="0" t="0" r="127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35302" t="28363" r="37203" b="10683"/>
                    <a:stretch/>
                  </pic:blipFill>
                  <pic:spPr bwMode="auto">
                    <a:xfrm>
                      <a:off x="0" y="0"/>
                      <a:ext cx="5833807" cy="7274255"/>
                    </a:xfrm>
                    <a:prstGeom prst="rect">
                      <a:avLst/>
                    </a:prstGeom>
                    <a:ln>
                      <a:noFill/>
                    </a:ln>
                    <a:extLst>
                      <a:ext uri="{53640926-AAD7-44D8-BBD7-CCE9431645EC}">
                        <a14:shadowObscured xmlns:a14="http://schemas.microsoft.com/office/drawing/2010/main"/>
                      </a:ext>
                    </a:extLst>
                  </pic:spPr>
                </pic:pic>
              </a:graphicData>
            </a:graphic>
          </wp:inline>
        </w:drawing>
      </w:r>
    </w:p>
    <w:p w14:paraId="2A3BD6C6" w14:textId="603E9B3F" w:rsidR="0082658F" w:rsidRPr="007E66E7" w:rsidRDefault="0082658F" w:rsidP="0082658F">
      <w:pPr>
        <w:numPr>
          <w:ilvl w:val="0"/>
          <w:numId w:val="11"/>
        </w:numPr>
        <w:tabs>
          <w:tab w:val="left" w:pos="426"/>
        </w:tabs>
        <w:spacing w:before="240" w:after="240" w:line="360" w:lineRule="auto"/>
        <w:ind w:left="0" w:right="51" w:firstLine="0"/>
        <w:contextualSpacing/>
        <w:jc w:val="both"/>
        <w:rPr>
          <w:rFonts w:ascii="Palatino Linotype" w:hAnsi="Palatino Linotype" w:cs="Arial"/>
          <w:b/>
          <w:lang w:val="es-ES_tradnl"/>
        </w:rPr>
      </w:pPr>
      <w:r w:rsidRPr="00E572BA">
        <w:rPr>
          <w:rFonts w:ascii="Palatino Linotype" w:eastAsia="MS Mincho" w:hAnsi="Palatino Linotype"/>
          <w:color w:val="000000"/>
          <w:lang w:val="es-ES_tradnl"/>
        </w:rPr>
        <w:lastRenderedPageBreak/>
        <w:t>Como puede observarse, el documento señalado de manera enunciativa, más no limitativa, considera l</w:t>
      </w:r>
      <w:r>
        <w:rPr>
          <w:rFonts w:ascii="Palatino Linotype" w:eastAsia="MS Mincho" w:hAnsi="Palatino Linotype"/>
          <w:color w:val="000000"/>
          <w:lang w:val="es-ES_tradnl"/>
        </w:rPr>
        <w:t>a información correspondiente a las percepciones ordinarias, percepciones extraordinarias, total de percepciones brutas, deducciones, total de deducciones, total neto, entre otras</w:t>
      </w:r>
      <w:r w:rsidRPr="00E572BA">
        <w:rPr>
          <w:rFonts w:ascii="Palatino Linotype" w:eastAsia="MS Mincho" w:hAnsi="Palatino Linotype"/>
          <w:color w:val="000000"/>
          <w:lang w:val="es-ES_tradnl"/>
        </w:rPr>
        <w:t>, pues éstos deben remitirse al Órgano Superior de Fis</w:t>
      </w:r>
      <w:r>
        <w:rPr>
          <w:rFonts w:ascii="Palatino Linotype" w:eastAsia="MS Mincho" w:hAnsi="Palatino Linotype"/>
          <w:color w:val="000000"/>
          <w:lang w:val="es-ES_tradnl"/>
        </w:rPr>
        <w:t>calización del Estado de México.</w:t>
      </w:r>
    </w:p>
    <w:p w14:paraId="5CD6A38A" w14:textId="77777777" w:rsidR="007E66E7" w:rsidRPr="0030529D" w:rsidRDefault="007E66E7" w:rsidP="007E66E7">
      <w:pPr>
        <w:tabs>
          <w:tab w:val="left" w:pos="426"/>
        </w:tabs>
        <w:spacing w:before="240" w:after="240" w:line="360" w:lineRule="auto"/>
        <w:ind w:right="51"/>
        <w:contextualSpacing/>
        <w:jc w:val="both"/>
        <w:rPr>
          <w:rFonts w:ascii="Palatino Linotype" w:hAnsi="Palatino Linotype" w:cs="Arial"/>
          <w:b/>
          <w:lang w:val="es-ES_tradnl"/>
        </w:rPr>
      </w:pPr>
    </w:p>
    <w:p w14:paraId="0A7B0C1D" w14:textId="77777777" w:rsidR="0082658F" w:rsidRPr="00E572BA" w:rsidRDefault="0082658F" w:rsidP="0082658F">
      <w:pPr>
        <w:numPr>
          <w:ilvl w:val="0"/>
          <w:numId w:val="11"/>
        </w:numPr>
        <w:spacing w:before="240" w:after="360" w:line="360" w:lineRule="auto"/>
        <w:ind w:left="0" w:firstLine="0"/>
        <w:contextualSpacing/>
        <w:jc w:val="both"/>
        <w:rPr>
          <w:rFonts w:ascii="Palatino Linotype" w:hAnsi="Palatino Linotype"/>
          <w:lang w:eastAsia="es-MX"/>
        </w:rPr>
      </w:pPr>
      <w:r w:rsidRPr="00E572BA">
        <w:rPr>
          <w:rFonts w:ascii="Palatino Linotype" w:hAnsi="Palatino Linotype"/>
          <w:lang w:eastAsia="es-MX"/>
        </w:rPr>
        <w:t xml:space="preserve">Atendiendo a ello </w:t>
      </w:r>
      <w:r w:rsidRPr="00E572BA">
        <w:rPr>
          <w:rFonts w:ascii="Palatino Linotype" w:eastAsia="MS Mincho" w:hAnsi="Palatino Linotype" w:cs="Arial"/>
          <w:lang w:val="es-ES_tradnl"/>
        </w:rPr>
        <w:t>sistemáticamente se ha señalado, y así lo establecen diversos Órganos Garantes</w:t>
      </w:r>
      <w:r w:rsidRPr="00E572BA">
        <w:rPr>
          <w:rFonts w:ascii="Palatino Linotype" w:eastAsia="MS Mincho" w:hAnsi="Palatino Linotype" w:cs="Arial"/>
          <w:vertAlign w:val="superscript"/>
          <w:lang w:val="es-ES_tradnl"/>
        </w:rPr>
        <w:footnoteReference w:id="8"/>
      </w:r>
      <w:r w:rsidRPr="00E572BA">
        <w:rPr>
          <w:rFonts w:ascii="Palatino Linotype" w:eastAsia="MS Mincho" w:hAnsi="Palatino Linotype" w:cs="Arial"/>
          <w:lang w:val="es-ES_tradnl"/>
        </w:rPr>
        <w:t xml:space="preserve"> Nacionales, como Órganos Internacionales Especializados,</w:t>
      </w:r>
      <w:r w:rsidRPr="00E572BA">
        <w:rPr>
          <w:rFonts w:ascii="Palatino Linotype" w:eastAsia="MS Mincho" w:hAnsi="Palatino Linotype" w:cs="Arial"/>
          <w:vertAlign w:val="superscript"/>
          <w:lang w:val="es-ES_tradnl"/>
        </w:rPr>
        <w:footnoteReference w:id="9"/>
      </w:r>
      <w:r w:rsidRPr="00E572BA">
        <w:rPr>
          <w:rFonts w:ascii="Palatino Linotype" w:eastAsia="MS Mincho" w:hAnsi="Palatino Linotype" w:cs="Arial"/>
          <w:lang w:val="es-ES_tradnl"/>
        </w:rPr>
        <w:t xml:space="preserve"> el derecho de acceso a la información pública consiste en el </w:t>
      </w:r>
      <w:r w:rsidRPr="00E572BA">
        <w:rPr>
          <w:rFonts w:ascii="Palatino Linotype" w:eastAsia="MS Mincho" w:hAnsi="Palatino Linotype" w:cs="Arial"/>
          <w:b/>
          <w:u w:val="single"/>
          <w:lang w:val="es-ES_tradnl"/>
        </w:rPr>
        <w:t>acceso a documentos</w:t>
      </w:r>
      <w:r w:rsidRPr="00E572BA">
        <w:rPr>
          <w:rFonts w:ascii="Palatino Linotype" w:eastAsia="MS Mincho" w:hAnsi="Palatino Linotype" w:cs="Arial"/>
          <w:lang w:val="es-ES_tradnl"/>
        </w:rPr>
        <w:t xml:space="preserve"> generados, poseídos o administrados por la autoridad con antelación a que fuera presentada la solicitud de acceso a la información pública.</w:t>
      </w:r>
    </w:p>
    <w:p w14:paraId="2D8C743A" w14:textId="77777777" w:rsidR="0082658F" w:rsidRPr="00E572BA" w:rsidRDefault="0082658F" w:rsidP="0082658F">
      <w:pPr>
        <w:spacing w:before="240" w:after="360" w:line="360" w:lineRule="auto"/>
        <w:contextualSpacing/>
        <w:jc w:val="both"/>
        <w:rPr>
          <w:rFonts w:ascii="Palatino Linotype" w:eastAsia="MS Mincho" w:hAnsi="Palatino Linotype" w:cs="Arial"/>
        </w:rPr>
      </w:pPr>
    </w:p>
    <w:p w14:paraId="005397B0" w14:textId="77777777" w:rsidR="0082658F" w:rsidRPr="00E572BA" w:rsidRDefault="0082658F" w:rsidP="0082658F">
      <w:pPr>
        <w:numPr>
          <w:ilvl w:val="0"/>
          <w:numId w:val="11"/>
        </w:numPr>
        <w:spacing w:before="240" w:after="360" w:line="360" w:lineRule="auto"/>
        <w:ind w:left="0" w:firstLine="0"/>
        <w:contextualSpacing/>
        <w:jc w:val="both"/>
        <w:rPr>
          <w:rFonts w:ascii="Palatino Linotype" w:eastAsia="MS Mincho" w:hAnsi="Palatino Linotype" w:cs="Arial"/>
        </w:rPr>
      </w:pPr>
      <w:r w:rsidRPr="00E572BA">
        <w:rPr>
          <w:rFonts w:ascii="Palatino Linotype" w:eastAsia="MS Mincho" w:hAnsi="Palatino Linotype" w:cs="Arial"/>
          <w:lang w:val="es-ES_tradnl"/>
        </w:rPr>
        <w:t xml:space="preserve">Así, el </w:t>
      </w:r>
      <w:r w:rsidRPr="00E572BA">
        <w:rPr>
          <w:rFonts w:ascii="Palatino Linotype" w:eastAsia="MS Mincho" w:hAnsi="Palatino Linotype" w:cs="Arial"/>
        </w:rPr>
        <w:t>Criterio</w:t>
      </w:r>
      <w:r w:rsidRPr="00E572BA">
        <w:rPr>
          <w:rFonts w:ascii="Palatino Linotype" w:eastAsia="MS Mincho" w:hAnsi="Palatino Linotype" w:cs="Arial"/>
          <w:lang w:val="es-ES_tradnl"/>
        </w:rPr>
        <w:t xml:space="preserve"> </w:t>
      </w:r>
      <w:r w:rsidRPr="00E572BA">
        <w:rPr>
          <w:rFonts w:ascii="Palatino Linotype" w:eastAsia="MS Mincho" w:hAnsi="Palatino Linotype" w:cs="Arial"/>
        </w:rPr>
        <w:t>028-10</w:t>
      </w:r>
      <w:r w:rsidRPr="00E572BA">
        <w:rPr>
          <w:rFonts w:ascii="Palatino Linotype" w:eastAsia="MS Mincho" w:hAnsi="Palatino Linotype" w:cs="Arial"/>
          <w:lang w:val="es-ES_tradnl"/>
        </w:rPr>
        <w:t xml:space="preserve"> </w:t>
      </w:r>
      <w:r w:rsidRPr="00E572BA">
        <w:rPr>
          <w:rFonts w:ascii="Palatino Linotype" w:eastAsia="MS Mincho" w:hAnsi="Palatino Linotype" w:cs="Arial"/>
        </w:rPr>
        <w:t>emitido por</w:t>
      </w:r>
      <w:r w:rsidRPr="00E572BA">
        <w:rPr>
          <w:rFonts w:ascii="Palatino Linotype" w:eastAsia="MS Mincho" w:hAnsi="Palatino Linotype" w:cs="Arial"/>
          <w:lang w:val="es-ES_tradnl"/>
        </w:rPr>
        <w:t xml:space="preserve"> el Pleno del entonces llamado </w:t>
      </w:r>
      <w:r w:rsidRPr="00E572BA">
        <w:rPr>
          <w:rFonts w:ascii="Palatino Linotype" w:eastAsia="MS Mincho" w:hAnsi="Palatino Linotype" w:cs="Arial"/>
        </w:rPr>
        <w:t xml:space="preserve">Instituto Federal de Acceso a la Información y Protección de Datos, ahora Instituto Nacional de Transparencia, Acceso a la Información y Protección de Datos Personales </w:t>
      </w:r>
      <w:r w:rsidRPr="00E572BA">
        <w:rPr>
          <w:rFonts w:ascii="Palatino Linotype" w:eastAsia="MS Mincho" w:hAnsi="Palatino Linotype" w:cs="Arial"/>
        </w:rPr>
        <w:lastRenderedPageBreak/>
        <w:t>est</w:t>
      </w:r>
      <w:r w:rsidRPr="00E572BA">
        <w:rPr>
          <w:rFonts w:ascii="Palatino Linotype" w:eastAsia="MS Mincho" w:hAnsi="Palatino Linotype" w:cs="Arial"/>
          <w:lang w:val="es-ES_tradnl"/>
        </w:rPr>
        <w:t xml:space="preserve">ablece que se deberá garantizar </w:t>
      </w:r>
      <w:r w:rsidRPr="00E572BA">
        <w:rPr>
          <w:rFonts w:ascii="Palatino Linotype" w:eastAsia="MS Mincho" w:hAnsi="Palatino Linotype" w:cs="Arial"/>
        </w:rPr>
        <w:t xml:space="preserve">el acceso a la información contenida en documentos que los sujetos obligados generen, obtengan, adquieran, transformen o conserven por cualquier título; que se entienden como cualquier registro que documente el ejercicio de las facultades o la actividad de los sujetos obligados sin importar su fuente o fecha de elaboración, y lo anterior sin importar que </w:t>
      </w:r>
      <w:r w:rsidRPr="00E572BA">
        <w:rPr>
          <w:rFonts w:ascii="Palatino Linotype" w:eastAsia="MS Mincho" w:hAnsi="Palatino Linotype" w:cs="Arial"/>
          <w:lang w:val="es-ES_tradnl"/>
        </w:rPr>
        <w:t xml:space="preserve"> </w:t>
      </w:r>
      <w:r w:rsidRPr="00E572BA">
        <w:rPr>
          <w:rFonts w:ascii="Palatino Linotype" w:eastAsia="MS Mincho" w:hAnsi="Palatino Linotype" w:cs="Arial"/>
        </w:rPr>
        <w:t>particular lleve a cabo una solicitud de información sin identificar de forma precisa la do</w:t>
      </w:r>
      <w:r w:rsidRPr="00E572BA">
        <w:rPr>
          <w:rFonts w:ascii="Palatino Linotype" w:eastAsia="MS Mincho" w:hAnsi="Palatino Linotype" w:cs="Arial"/>
          <w:lang w:val="es-ES_tradnl"/>
        </w:rPr>
        <w:t xml:space="preserve">cumentación a la que requiere acceso, como a continuación se observa: </w:t>
      </w:r>
    </w:p>
    <w:p w14:paraId="21EEDA69" w14:textId="77777777" w:rsidR="0082658F" w:rsidRPr="00E572BA" w:rsidRDefault="0082658F" w:rsidP="0082658F">
      <w:pPr>
        <w:spacing w:before="240" w:after="360" w:line="360" w:lineRule="auto"/>
        <w:ind w:right="616"/>
        <w:contextualSpacing/>
        <w:jc w:val="both"/>
        <w:rPr>
          <w:rFonts w:ascii="Palatino Linotype" w:eastAsia="MS Mincho" w:hAnsi="Palatino Linotype" w:cs="Arial"/>
        </w:rPr>
      </w:pPr>
    </w:p>
    <w:p w14:paraId="633DACB6" w14:textId="77777777" w:rsidR="0082658F" w:rsidRPr="00E572BA" w:rsidRDefault="0082658F" w:rsidP="0082658F">
      <w:pPr>
        <w:spacing w:before="240" w:after="360" w:line="360" w:lineRule="auto"/>
        <w:ind w:left="567" w:right="616"/>
        <w:contextualSpacing/>
        <w:jc w:val="both"/>
        <w:rPr>
          <w:rFonts w:ascii="Palatino Linotype" w:eastAsia="MS Mincho" w:hAnsi="Palatino Linotype" w:cs="Arial"/>
          <w:i/>
          <w:iCs/>
          <w:lang w:val="es-ES_tradnl"/>
        </w:rPr>
      </w:pPr>
      <w:r w:rsidRPr="00E572BA">
        <w:rPr>
          <w:rFonts w:ascii="Palatino Linotype" w:eastAsia="MS Mincho" w:hAnsi="Palatino Linotype" w:cs="Arial"/>
          <w:b/>
          <w:bCs/>
          <w:i/>
          <w:iCs/>
          <w:lang w:val="es-ES_tradnl"/>
        </w:rPr>
        <w:t>“Cuando en una solicitud de información no se identifique un documento en específico, si ésta tiene una expresión documental, el sujeto obligado deberá entregar al particular el documento en específico.</w:t>
      </w:r>
      <w:r w:rsidRPr="00E572BA">
        <w:rPr>
          <w:rFonts w:ascii="Palatino Linotype" w:eastAsia="MS Mincho" w:hAnsi="Palatino Linotype" w:cs="Arial"/>
          <w:i/>
          <w:iCs/>
          <w:lang w:val="es-ES_tradnl"/>
        </w:rPr>
        <w:t xml:space="preserve"> La Ley Federal de Transparencia y Acceso a la Información Pública Gubernamental tiene por objeto garantizar el acceso a la información contenida en documentos que los sujetos obligados generen, obtengan, adquieran, transformen o conserven por cualquier título; que se entienden como cualquier registro que documente el ejercicio de las facultades o la actividad de los sujetos obligados sin importar su fuente o fecha de elaboración. En este sentido, cuando el particular lleve a cabo una solicitud de información sin identificar de forma precisa la documentación específica que pudiera contener dicha información, o bien pareciera que más bien la solicitud se constituye como una consulta y no como una solicitud de acceso en términos de la Ley Federal de Transparencia y Acceso a la Información Pública Gubernamental, pero su respuesta puede obrar en algún documento, el sujeto obligado debe dar a la solicitud una interpretación que le dé una expresión documental. Es decir, si la respuesta a la solicitud obra en algún documento en </w:t>
      </w:r>
      <w:r w:rsidRPr="00E572BA">
        <w:rPr>
          <w:rFonts w:ascii="Palatino Linotype" w:eastAsia="MS Mincho" w:hAnsi="Palatino Linotype" w:cs="Arial"/>
          <w:i/>
          <w:iCs/>
          <w:lang w:val="es-ES_tradnl"/>
        </w:rPr>
        <w:lastRenderedPageBreak/>
        <w:t>poder de la autoridad, pero el particular no hace referencia específica a tal documento, se deberá hacer entrega del mismo al solicitante.”</w:t>
      </w:r>
    </w:p>
    <w:p w14:paraId="50179DAE" w14:textId="77777777" w:rsidR="0082658F" w:rsidRPr="00E572BA" w:rsidRDefault="0082658F" w:rsidP="0082658F">
      <w:pPr>
        <w:spacing w:before="240" w:after="360" w:line="360" w:lineRule="auto"/>
        <w:ind w:right="616"/>
        <w:contextualSpacing/>
        <w:jc w:val="both"/>
        <w:rPr>
          <w:rFonts w:ascii="Palatino Linotype" w:eastAsia="MS Mincho" w:hAnsi="Palatino Linotype" w:cs="Arial"/>
          <w:i/>
          <w:iCs/>
          <w:lang w:val="es-ES_tradnl"/>
        </w:rPr>
      </w:pPr>
    </w:p>
    <w:p w14:paraId="3508F4B4" w14:textId="77777777" w:rsidR="0082658F" w:rsidRPr="00E572BA" w:rsidRDefault="0082658F" w:rsidP="0082658F">
      <w:pPr>
        <w:numPr>
          <w:ilvl w:val="0"/>
          <w:numId w:val="11"/>
        </w:numPr>
        <w:spacing w:before="240" w:after="360" w:line="360" w:lineRule="auto"/>
        <w:ind w:left="0" w:firstLine="0"/>
        <w:contextualSpacing/>
        <w:jc w:val="both"/>
        <w:rPr>
          <w:rFonts w:ascii="Palatino Linotype" w:eastAsia="MS Mincho" w:hAnsi="Palatino Linotype" w:cs="Arial"/>
          <w:lang w:val="es-ES_tradnl"/>
        </w:rPr>
      </w:pPr>
      <w:r w:rsidRPr="00E572BA">
        <w:rPr>
          <w:rFonts w:ascii="Palatino Linotype" w:eastAsia="MS Mincho" w:hAnsi="Palatino Linotype" w:cs="Arial"/>
        </w:rPr>
        <w:t xml:space="preserve">Robustece lo anterior </w:t>
      </w:r>
      <w:r w:rsidRPr="00E572BA">
        <w:rPr>
          <w:rFonts w:ascii="Palatino Linotype" w:eastAsia="MS Mincho" w:hAnsi="Palatino Linotype" w:cs="Arial"/>
          <w:lang w:val="es-ES_tradnl"/>
        </w:rPr>
        <w:t>el criterio orientador 16/17 emitido de igual forma por el Instituto Nacional de Transparencia, Acceso a la Información y Protección de Datos Personales que a la literalidad prevé:</w:t>
      </w:r>
    </w:p>
    <w:p w14:paraId="33A064B9" w14:textId="77777777" w:rsidR="0082658F" w:rsidRPr="00E572BA" w:rsidRDefault="0082658F" w:rsidP="0082658F">
      <w:pPr>
        <w:spacing w:before="240" w:after="360" w:line="360" w:lineRule="auto"/>
        <w:contextualSpacing/>
        <w:jc w:val="both"/>
        <w:rPr>
          <w:rFonts w:ascii="Palatino Linotype" w:eastAsia="MS Mincho" w:hAnsi="Palatino Linotype" w:cs="Arial"/>
          <w:lang w:val="es-ES_tradnl"/>
        </w:rPr>
      </w:pPr>
    </w:p>
    <w:p w14:paraId="2B44E40D" w14:textId="77777777" w:rsidR="0082658F" w:rsidRPr="00E572BA" w:rsidRDefault="0082658F" w:rsidP="0082658F">
      <w:pPr>
        <w:spacing w:before="240" w:after="360" w:line="360" w:lineRule="auto"/>
        <w:ind w:left="567" w:right="616"/>
        <w:contextualSpacing/>
        <w:jc w:val="both"/>
        <w:rPr>
          <w:rFonts w:ascii="Palatino Linotype" w:eastAsia="MS Mincho" w:hAnsi="Palatino Linotype" w:cs="Arial"/>
          <w:i/>
          <w:lang w:val="es-ES_tradnl"/>
        </w:rPr>
      </w:pPr>
      <w:r w:rsidRPr="00E572BA">
        <w:rPr>
          <w:rFonts w:ascii="Palatino Linotype" w:eastAsia="MS Mincho" w:hAnsi="Palatino Linotype" w:cs="Arial"/>
          <w:b/>
          <w:i/>
          <w:lang w:val="es-ES_tradnl"/>
        </w:rPr>
        <w:t>“Expresión documental</w:t>
      </w:r>
      <w:r w:rsidRPr="00E572BA">
        <w:rPr>
          <w:rFonts w:ascii="Palatino Linotype" w:eastAsia="MS Mincho" w:hAnsi="Palatino Linotype" w:cs="Arial"/>
          <w:i/>
          <w:lang w:val="es-ES_tradnl"/>
        </w:rPr>
        <w:t xml:space="preserve">. Cuando los particulares presenten solicitudes de acceso a la información sin identificar de forma precisa la documentación que pudiera contener la información de su interés, o bien, la solicitud constituya una consulta, pero la respuesta pudiera obrar en algún documento en poder de los sujetos obligados, éstos deben dar a dichas solicitudes una interpretación que les otorgue una expresión documental. </w:t>
      </w:r>
    </w:p>
    <w:p w14:paraId="0CED8E35" w14:textId="77777777" w:rsidR="0082658F" w:rsidRPr="00E572BA" w:rsidRDefault="0082658F" w:rsidP="0082658F">
      <w:pPr>
        <w:spacing w:before="240" w:after="360" w:line="360" w:lineRule="auto"/>
        <w:ind w:left="567" w:right="616"/>
        <w:contextualSpacing/>
        <w:jc w:val="both"/>
        <w:rPr>
          <w:rFonts w:ascii="Palatino Linotype" w:eastAsia="MS Mincho" w:hAnsi="Palatino Linotype" w:cs="Arial"/>
          <w:i/>
          <w:lang w:val="es-ES_tradnl"/>
        </w:rPr>
      </w:pPr>
    </w:p>
    <w:p w14:paraId="107545AC" w14:textId="77777777" w:rsidR="0082658F" w:rsidRPr="00E572BA" w:rsidRDefault="0082658F" w:rsidP="0082658F">
      <w:pPr>
        <w:spacing w:before="240" w:after="360" w:line="360" w:lineRule="auto"/>
        <w:ind w:left="567" w:right="616"/>
        <w:contextualSpacing/>
        <w:jc w:val="both"/>
        <w:rPr>
          <w:rFonts w:ascii="Palatino Linotype" w:eastAsia="MS Mincho" w:hAnsi="Palatino Linotype" w:cs="Arial"/>
          <w:i/>
          <w:lang w:val="es-ES_tradnl"/>
        </w:rPr>
      </w:pPr>
      <w:r w:rsidRPr="00E572BA">
        <w:rPr>
          <w:rFonts w:ascii="Palatino Linotype" w:eastAsia="MS Mincho" w:hAnsi="Palatino Linotype" w:cs="Arial"/>
          <w:i/>
          <w:lang w:val="es-ES_tradnl"/>
        </w:rPr>
        <w:t>Resoluciones:</w:t>
      </w:r>
    </w:p>
    <w:p w14:paraId="7DFE96B8" w14:textId="77777777" w:rsidR="0082658F" w:rsidRPr="00E572BA" w:rsidRDefault="0082658F" w:rsidP="0082658F">
      <w:pPr>
        <w:spacing w:before="240" w:after="360" w:line="360" w:lineRule="auto"/>
        <w:ind w:left="567" w:right="616"/>
        <w:contextualSpacing/>
        <w:jc w:val="both"/>
        <w:rPr>
          <w:rFonts w:ascii="Palatino Linotype" w:eastAsia="MS Mincho" w:hAnsi="Palatino Linotype" w:cs="Arial"/>
          <w:i/>
          <w:lang w:val="es-ES_tradnl"/>
        </w:rPr>
      </w:pPr>
    </w:p>
    <w:p w14:paraId="2AE91CBD" w14:textId="77777777" w:rsidR="0082658F" w:rsidRPr="00E572BA" w:rsidRDefault="0082658F" w:rsidP="0082658F">
      <w:pPr>
        <w:spacing w:before="240" w:after="360" w:line="360" w:lineRule="auto"/>
        <w:ind w:left="567" w:right="616"/>
        <w:contextualSpacing/>
        <w:jc w:val="both"/>
        <w:rPr>
          <w:rFonts w:ascii="Palatino Linotype" w:eastAsia="MS Mincho" w:hAnsi="Palatino Linotype" w:cs="Arial"/>
          <w:i/>
          <w:lang w:val="es-ES_tradnl"/>
        </w:rPr>
      </w:pPr>
      <w:r w:rsidRPr="00E572BA">
        <w:rPr>
          <w:rFonts w:ascii="Palatino Linotype" w:eastAsia="MS Mincho" w:hAnsi="Palatino Linotype" w:cs="Arial"/>
          <w:i/>
          <w:lang w:val="es-ES_tradnl"/>
        </w:rPr>
        <w:t>•</w:t>
      </w:r>
      <w:r w:rsidRPr="00E572BA">
        <w:rPr>
          <w:rFonts w:ascii="Palatino Linotype" w:eastAsia="MS Mincho" w:hAnsi="Palatino Linotype" w:cs="Arial"/>
          <w:i/>
          <w:lang w:val="es-ES_tradnl"/>
        </w:rPr>
        <w:tab/>
        <w:t>RRA 0774/16. Secretaría de Salud. 31 de agosto de 2016. Por unanimidad. Comisionada Ponente María Patricia Kurczyn Villalobos.</w:t>
      </w:r>
    </w:p>
    <w:p w14:paraId="4C0036EE" w14:textId="77777777" w:rsidR="0082658F" w:rsidRPr="00E572BA" w:rsidRDefault="0082658F" w:rsidP="0082658F">
      <w:pPr>
        <w:spacing w:before="240" w:after="360" w:line="360" w:lineRule="auto"/>
        <w:ind w:left="567" w:right="616"/>
        <w:contextualSpacing/>
        <w:jc w:val="both"/>
        <w:rPr>
          <w:rFonts w:ascii="Palatino Linotype" w:eastAsia="MS Mincho" w:hAnsi="Palatino Linotype" w:cs="Arial"/>
          <w:i/>
          <w:lang w:val="es-ES_tradnl"/>
        </w:rPr>
      </w:pPr>
      <w:r w:rsidRPr="00E572BA">
        <w:rPr>
          <w:rFonts w:ascii="Palatino Linotype" w:eastAsia="MS Mincho" w:hAnsi="Palatino Linotype" w:cs="Arial"/>
          <w:i/>
          <w:lang w:val="es-ES_tradnl"/>
        </w:rPr>
        <w:t>•</w:t>
      </w:r>
      <w:r w:rsidRPr="00E572BA">
        <w:rPr>
          <w:rFonts w:ascii="Palatino Linotype" w:eastAsia="MS Mincho" w:hAnsi="Palatino Linotype" w:cs="Arial"/>
          <w:i/>
          <w:lang w:val="es-ES_tradnl"/>
        </w:rPr>
        <w:tab/>
        <w:t xml:space="preserve">RRA 0143/17. Universidad Autónoma Agraria Antonio Narro. 22 de febrero de 2017. Por unanimidad. Comisionado Ponente Oscar Mauricio Guerra Ford. </w:t>
      </w:r>
    </w:p>
    <w:p w14:paraId="3F48321C" w14:textId="77777777" w:rsidR="0082658F" w:rsidRPr="00E572BA" w:rsidRDefault="0082658F" w:rsidP="0082658F">
      <w:pPr>
        <w:spacing w:before="240" w:after="360" w:line="360" w:lineRule="auto"/>
        <w:ind w:left="567" w:right="616"/>
        <w:contextualSpacing/>
        <w:jc w:val="both"/>
        <w:rPr>
          <w:rFonts w:ascii="Palatino Linotype" w:eastAsia="MS Mincho" w:hAnsi="Palatino Linotype" w:cs="Arial"/>
          <w:i/>
          <w:lang w:val="es-ES_tradnl"/>
        </w:rPr>
      </w:pPr>
      <w:r w:rsidRPr="00E572BA">
        <w:rPr>
          <w:rFonts w:ascii="Palatino Linotype" w:eastAsia="MS Mincho" w:hAnsi="Palatino Linotype" w:cs="Arial"/>
          <w:i/>
          <w:lang w:val="es-ES_tradnl"/>
        </w:rPr>
        <w:t>•</w:t>
      </w:r>
      <w:r w:rsidRPr="00E572BA">
        <w:rPr>
          <w:rFonts w:ascii="Palatino Linotype" w:eastAsia="MS Mincho" w:hAnsi="Palatino Linotype" w:cs="Arial"/>
          <w:i/>
          <w:lang w:val="es-ES_tradnl"/>
        </w:rPr>
        <w:tab/>
        <w:t>RRA 0540/17. Secretaría de Economía. 08 de marzo del 2017. Por unanimidad. Comisionado Ponente Francisco Javier Acuña Llamas”</w:t>
      </w:r>
    </w:p>
    <w:p w14:paraId="4FB73A5B" w14:textId="77777777" w:rsidR="0082658F" w:rsidRPr="00E572BA" w:rsidRDefault="0082658F" w:rsidP="0082658F">
      <w:pPr>
        <w:spacing w:before="240" w:after="360" w:line="360" w:lineRule="auto"/>
        <w:ind w:left="567" w:right="616"/>
        <w:contextualSpacing/>
        <w:jc w:val="both"/>
        <w:rPr>
          <w:rFonts w:ascii="Palatino Linotype" w:eastAsia="MS Mincho" w:hAnsi="Palatino Linotype" w:cs="Arial"/>
          <w:i/>
          <w:lang w:val="es-ES_tradnl"/>
        </w:rPr>
      </w:pPr>
    </w:p>
    <w:p w14:paraId="43469B43" w14:textId="77777777" w:rsidR="0082658F" w:rsidRPr="00E572BA" w:rsidRDefault="0082658F" w:rsidP="0082658F">
      <w:pPr>
        <w:numPr>
          <w:ilvl w:val="0"/>
          <w:numId w:val="11"/>
        </w:numPr>
        <w:spacing w:before="240" w:after="360" w:line="360" w:lineRule="auto"/>
        <w:ind w:left="0" w:right="616" w:firstLine="0"/>
        <w:contextualSpacing/>
        <w:jc w:val="both"/>
        <w:rPr>
          <w:rFonts w:ascii="Palatino Linotype" w:eastAsia="MS Mincho" w:hAnsi="Palatino Linotype" w:cs="Arial"/>
          <w:i/>
          <w:lang w:val="es-ES_tradnl"/>
        </w:rPr>
      </w:pPr>
      <w:r w:rsidRPr="00E572BA">
        <w:rPr>
          <w:rFonts w:ascii="Palatino Linotype" w:eastAsia="MS Mincho" w:hAnsi="Palatino Linotype" w:cs="Arial"/>
          <w:lang w:val="es-ES_tradnl"/>
        </w:rPr>
        <w:t>Por otro lado</w:t>
      </w:r>
      <w:r w:rsidRPr="00E572BA">
        <w:rPr>
          <w:rFonts w:ascii="Palatino Linotype" w:hAnsi="Palatino Linotype" w:cs="Arial"/>
        </w:rPr>
        <w:t xml:space="preserve">, </w:t>
      </w:r>
      <w:r w:rsidRPr="00E572BA">
        <w:rPr>
          <w:rFonts w:ascii="Palatino Linotype" w:eastAsia="Calibri" w:hAnsi="Palatino Linotype"/>
        </w:rPr>
        <w:t xml:space="preserve">adquiere relevancia el contenido del artículo 12 de la ya citada Ley de Transparencia Estatal, ya que quienes recopilen, administren, </w:t>
      </w:r>
      <w:r w:rsidRPr="00E572BA">
        <w:rPr>
          <w:rFonts w:ascii="Palatino Linotype" w:eastAsia="Calibri" w:hAnsi="Palatino Linotype"/>
        </w:rPr>
        <w:lastRenderedPageBreak/>
        <w:t xml:space="preserve">manejen, procesen, archiven o conserven información se encuentran obligados a proporcionarla en el estado en que se encuentra, como a continuación se observa:    </w:t>
      </w:r>
    </w:p>
    <w:p w14:paraId="06BF29E4" w14:textId="77777777" w:rsidR="0082658F" w:rsidRPr="00E572BA" w:rsidRDefault="0082658F" w:rsidP="0082658F">
      <w:pPr>
        <w:spacing w:line="360" w:lineRule="auto"/>
        <w:ind w:left="708"/>
        <w:rPr>
          <w:rFonts w:ascii="Palatino Linotype" w:eastAsia="Calibri" w:hAnsi="Palatino Linotype"/>
        </w:rPr>
      </w:pPr>
    </w:p>
    <w:p w14:paraId="6EB6CD6B" w14:textId="77777777" w:rsidR="0082658F" w:rsidRPr="00E572BA" w:rsidRDefault="0082658F" w:rsidP="0082658F">
      <w:pPr>
        <w:spacing w:before="240" w:after="240" w:line="360" w:lineRule="auto"/>
        <w:ind w:left="567" w:right="616"/>
        <w:contextualSpacing/>
        <w:jc w:val="both"/>
        <w:rPr>
          <w:rFonts w:ascii="Palatino Linotype" w:eastAsia="Calibri" w:hAnsi="Palatino Linotype"/>
          <w:i/>
        </w:rPr>
      </w:pPr>
      <w:r w:rsidRPr="00E572BA">
        <w:rPr>
          <w:rFonts w:ascii="Palatino Linotype" w:eastAsia="Calibri" w:hAnsi="Palatino Linotype"/>
        </w:rPr>
        <w:t>“</w:t>
      </w:r>
      <w:r w:rsidRPr="00E572BA">
        <w:rPr>
          <w:rFonts w:ascii="Palatino Linotype" w:eastAsia="Calibri" w:hAnsi="Palatino Linotype"/>
          <w:b/>
          <w:i/>
        </w:rPr>
        <w:t>Artículo 12.</w:t>
      </w:r>
      <w:r w:rsidRPr="00E572BA">
        <w:rPr>
          <w:rFonts w:ascii="Palatino Linotype" w:eastAsia="Calibri" w:hAnsi="Palatino Linotype"/>
          <w:i/>
        </w:rPr>
        <w:t xml:space="preserve"> Quienes generen, recopilen, administren, manejen, procesen, archiven o conserven información pública serán responsables de la misma en los términos de las disposiciones jurídicas aplicables. Los sujetos obligados sólo proporcionarán la información pública que se les requiera y que obre en sus archivos y en el estado en que ésta se encuentre.</w:t>
      </w:r>
    </w:p>
    <w:p w14:paraId="75F3678C" w14:textId="77777777" w:rsidR="0082658F" w:rsidRPr="00E572BA" w:rsidRDefault="0082658F" w:rsidP="0082658F">
      <w:pPr>
        <w:spacing w:before="240" w:after="240" w:line="360" w:lineRule="auto"/>
        <w:ind w:left="567" w:right="616"/>
        <w:contextualSpacing/>
        <w:jc w:val="both"/>
        <w:rPr>
          <w:rFonts w:ascii="Palatino Linotype" w:eastAsia="Calibri" w:hAnsi="Palatino Linotype"/>
          <w:i/>
        </w:rPr>
      </w:pPr>
    </w:p>
    <w:p w14:paraId="15D8526F" w14:textId="77777777" w:rsidR="0082658F" w:rsidRPr="00E572BA" w:rsidRDefault="0082658F" w:rsidP="0082658F">
      <w:pPr>
        <w:spacing w:before="240" w:after="240" w:line="360" w:lineRule="auto"/>
        <w:ind w:left="567" w:right="616"/>
        <w:contextualSpacing/>
        <w:jc w:val="both"/>
        <w:rPr>
          <w:rFonts w:ascii="Palatino Linotype" w:eastAsia="Calibri" w:hAnsi="Palatino Linotype"/>
          <w:i/>
        </w:rPr>
      </w:pPr>
      <w:r w:rsidRPr="00E572BA">
        <w:rPr>
          <w:rFonts w:ascii="Palatino Linotype" w:eastAsia="Calibri" w:hAnsi="Palatino Linotype"/>
          <w:i/>
        </w:rPr>
        <w:t xml:space="preserve"> La obligación de proporcionar información no comprende el procesamiento de la misma, ni el presentarla conforme al interés del solicitante; no estarán obligados a generarla, resumirla, efectuar cálculos o practicar investigaciones.” (Sic)</w:t>
      </w:r>
    </w:p>
    <w:p w14:paraId="26DF2772" w14:textId="77777777" w:rsidR="0082658F" w:rsidRPr="00E572BA" w:rsidRDefault="0082658F" w:rsidP="0082658F">
      <w:pPr>
        <w:spacing w:before="100" w:beforeAutospacing="1" w:after="100" w:afterAutospacing="1" w:line="360" w:lineRule="auto"/>
        <w:contextualSpacing/>
        <w:jc w:val="both"/>
        <w:rPr>
          <w:rFonts w:ascii="Palatino Linotype" w:eastAsia="MS Mincho" w:hAnsi="Palatino Linotype" w:cs="Segoe UI"/>
          <w:lang w:val="es-ES_tradnl"/>
        </w:rPr>
      </w:pPr>
    </w:p>
    <w:p w14:paraId="59F8FFF4" w14:textId="77777777" w:rsidR="0082658F" w:rsidRPr="00E572BA" w:rsidRDefault="0082658F" w:rsidP="0082658F">
      <w:pPr>
        <w:numPr>
          <w:ilvl w:val="0"/>
          <w:numId w:val="11"/>
        </w:numPr>
        <w:spacing w:before="240" w:after="240" w:line="360" w:lineRule="auto"/>
        <w:ind w:left="0" w:firstLine="0"/>
        <w:contextualSpacing/>
        <w:jc w:val="both"/>
        <w:rPr>
          <w:rFonts w:ascii="Palatino Linotype" w:hAnsi="Palatino Linotype" w:cs="Arial"/>
          <w:i/>
          <w:sz w:val="22"/>
          <w:szCs w:val="22"/>
          <w:lang w:val="es-ES_tradnl" w:eastAsia="es-MX"/>
        </w:rPr>
      </w:pPr>
      <w:r w:rsidRPr="00E572BA">
        <w:rPr>
          <w:rFonts w:ascii="Palatino Linotype" w:hAnsi="Palatino Linotype" w:cs="Arial"/>
          <w:lang w:val="es-ES_tradnl"/>
        </w:rPr>
        <w:t xml:space="preserve">Es decir, el Derecho de Acceso a la Información Pública se satisface en aquellos casos en que se entregue el soporte documental en que conste la información pública, toda vez que </w:t>
      </w:r>
      <w:r w:rsidRPr="00E572BA">
        <w:rPr>
          <w:rFonts w:ascii="Palatino Linotype" w:hAnsi="Palatino Linotype" w:cs="Arial"/>
          <w:u w:val="single"/>
          <w:lang w:val="es-ES_tradnl"/>
        </w:rPr>
        <w:t xml:space="preserve">no se tiene el deber de generar un documento </w:t>
      </w:r>
      <w:r w:rsidRPr="00E572BA">
        <w:rPr>
          <w:rFonts w:ascii="Palatino Linotype" w:hAnsi="Palatino Linotype" w:cs="Arial"/>
          <w:i/>
          <w:u w:val="single"/>
          <w:lang w:val="es-ES_tradnl"/>
        </w:rPr>
        <w:t>ad hoc</w:t>
      </w:r>
      <w:r w:rsidRPr="00E572BA">
        <w:rPr>
          <w:rFonts w:ascii="Palatino Linotype" w:hAnsi="Palatino Linotype" w:cs="Arial"/>
          <w:u w:val="single"/>
          <w:lang w:val="es-ES_tradnl"/>
        </w:rPr>
        <w:t>, para satisfacer la solicitud</w:t>
      </w:r>
      <w:r w:rsidRPr="00E572BA">
        <w:rPr>
          <w:rFonts w:ascii="Palatino Linotype" w:hAnsi="Palatino Linotype" w:cs="Arial"/>
          <w:lang w:val="es-ES_tradnl"/>
        </w:rPr>
        <w:t>.</w:t>
      </w:r>
    </w:p>
    <w:p w14:paraId="40800EAE" w14:textId="77777777" w:rsidR="0082658F" w:rsidRPr="00E572BA" w:rsidRDefault="0082658F" w:rsidP="0082658F">
      <w:pPr>
        <w:spacing w:before="240" w:after="240" w:line="360" w:lineRule="auto"/>
        <w:contextualSpacing/>
        <w:jc w:val="both"/>
        <w:rPr>
          <w:rFonts w:ascii="Palatino Linotype" w:hAnsi="Palatino Linotype" w:cs="Arial"/>
          <w:lang w:val="es-ES_tradnl" w:eastAsia="es-MX"/>
        </w:rPr>
      </w:pPr>
    </w:p>
    <w:p w14:paraId="0BBFF74A" w14:textId="77777777" w:rsidR="0082658F" w:rsidRPr="00E572BA" w:rsidRDefault="0082658F" w:rsidP="0082658F">
      <w:pPr>
        <w:numPr>
          <w:ilvl w:val="0"/>
          <w:numId w:val="11"/>
        </w:numPr>
        <w:spacing w:before="240" w:after="240" w:line="360" w:lineRule="auto"/>
        <w:ind w:left="0" w:firstLine="0"/>
        <w:contextualSpacing/>
        <w:jc w:val="both"/>
        <w:rPr>
          <w:rFonts w:ascii="Palatino Linotype" w:hAnsi="Palatino Linotype" w:cs="Arial"/>
          <w:i/>
          <w:sz w:val="22"/>
          <w:szCs w:val="22"/>
          <w:lang w:val="es-ES_tradnl" w:eastAsia="es-MX"/>
        </w:rPr>
      </w:pPr>
      <w:r w:rsidRPr="00E572BA">
        <w:rPr>
          <w:rFonts w:ascii="Palatino Linotype" w:hAnsi="Palatino Linotype" w:cs="Arial"/>
          <w:lang w:val="es-ES_tradnl"/>
        </w:rPr>
        <w:t xml:space="preserve">Como apoyo a lo anterior, es aplicable por analogía el Criterio 09-10, emitido por el Pleno del entonces </w:t>
      </w:r>
      <w:r w:rsidRPr="00E572BA">
        <w:rPr>
          <w:rFonts w:ascii="Palatino Linotype" w:hAnsi="Palatino Linotype" w:cs="Arial"/>
          <w:bCs/>
          <w:lang w:val="es-ES_tradnl"/>
        </w:rPr>
        <w:t>Instituto Federal de Acceso a la Información y Protección de Datos, que a la letra dice:</w:t>
      </w:r>
    </w:p>
    <w:p w14:paraId="5E7E8FB2" w14:textId="77777777" w:rsidR="0082658F" w:rsidRPr="00E572BA" w:rsidRDefault="0082658F" w:rsidP="0082658F">
      <w:pPr>
        <w:tabs>
          <w:tab w:val="left" w:pos="207"/>
        </w:tabs>
        <w:spacing w:before="240" w:after="360" w:line="360" w:lineRule="auto"/>
        <w:ind w:right="49"/>
        <w:contextualSpacing/>
        <w:jc w:val="both"/>
        <w:rPr>
          <w:rFonts w:ascii="Palatino Linotype" w:hAnsi="Palatino Linotype" w:cs="Arial"/>
          <w:lang w:val="es-ES_tradnl"/>
        </w:rPr>
      </w:pPr>
    </w:p>
    <w:p w14:paraId="385B9A3F" w14:textId="77777777" w:rsidR="0082658F" w:rsidRPr="00E572BA" w:rsidRDefault="0082658F" w:rsidP="0082658F">
      <w:pPr>
        <w:spacing w:before="240" w:after="360" w:line="360" w:lineRule="auto"/>
        <w:ind w:left="567" w:right="616"/>
        <w:contextualSpacing/>
        <w:jc w:val="both"/>
        <w:rPr>
          <w:rFonts w:ascii="Palatino Linotype" w:hAnsi="Palatino Linotype" w:cs="Arial"/>
          <w:lang w:val="es-ES_tradnl"/>
        </w:rPr>
      </w:pPr>
      <w:r w:rsidRPr="00E572BA">
        <w:rPr>
          <w:rFonts w:ascii="Palatino Linotype" w:hAnsi="Palatino Linotype" w:cs="Arial"/>
          <w:b/>
          <w:bCs/>
          <w:i/>
          <w:sz w:val="22"/>
          <w:lang w:val="es-ES_tradnl"/>
        </w:rPr>
        <w:t xml:space="preserve">“Las dependencias y entidades no están obligadas a generar documentos </w:t>
      </w:r>
      <w:r w:rsidRPr="00E572BA">
        <w:rPr>
          <w:rFonts w:ascii="Palatino Linotype" w:hAnsi="Palatino Linotype" w:cs="Arial"/>
          <w:b/>
          <w:bCs/>
          <w:i/>
          <w:iCs/>
          <w:sz w:val="22"/>
          <w:lang w:val="es-ES_tradnl"/>
        </w:rPr>
        <w:t xml:space="preserve">ad hoc </w:t>
      </w:r>
      <w:r w:rsidRPr="00E572BA">
        <w:rPr>
          <w:rFonts w:ascii="Palatino Linotype" w:hAnsi="Palatino Linotype" w:cs="Arial"/>
          <w:b/>
          <w:bCs/>
          <w:i/>
          <w:sz w:val="22"/>
          <w:lang w:val="es-ES_tradnl"/>
        </w:rPr>
        <w:t xml:space="preserve">para responder una solicitud de acceso a la información. </w:t>
      </w:r>
      <w:r w:rsidRPr="00E572BA">
        <w:rPr>
          <w:rFonts w:ascii="Palatino Linotype" w:hAnsi="Palatino Linotype" w:cs="Arial"/>
          <w:i/>
          <w:sz w:val="22"/>
          <w:lang w:val="es-ES_tradnl"/>
        </w:rPr>
        <w:t xml:space="preserve">Tomando en </w:t>
      </w:r>
      <w:r w:rsidRPr="00E572BA">
        <w:rPr>
          <w:rFonts w:ascii="Palatino Linotype" w:hAnsi="Palatino Linotype" w:cs="Arial"/>
          <w:i/>
          <w:sz w:val="22"/>
          <w:lang w:val="es-ES_tradnl"/>
        </w:rPr>
        <w:lastRenderedPageBreak/>
        <w:t xml:space="preserve">consideración lo establecido por el artículo 42 de la Ley Federal de Transparencia y Acceso a la Información Pública Gubernamental, que establece que las dependencias y entidades sólo estarán obligadas a entregar documentos que se encuentren en sus archivos, las dependencias y entidades no están obligadas a elaborar documentos </w:t>
      </w:r>
      <w:r w:rsidRPr="00E572BA">
        <w:rPr>
          <w:rFonts w:ascii="Palatino Linotype" w:hAnsi="Palatino Linotype" w:cs="Arial"/>
          <w:i/>
          <w:iCs/>
          <w:sz w:val="22"/>
          <w:lang w:val="es-ES_tradnl"/>
        </w:rPr>
        <w:t xml:space="preserve">ad hoc </w:t>
      </w:r>
      <w:r w:rsidRPr="00E572BA">
        <w:rPr>
          <w:rFonts w:ascii="Palatino Linotype" w:hAnsi="Palatino Linotype" w:cs="Arial"/>
          <w:i/>
          <w:sz w:val="22"/>
          <w:lang w:val="es-ES_tradnl"/>
        </w:rPr>
        <w:t>para atender las solicitudes de información, sino que deben garantizar el acceso a la información con la que cuentan en el formato que la misma así lo permita o se encuentre, en aras de dar satisfacción a la solicitud presentada.</w:t>
      </w:r>
    </w:p>
    <w:p w14:paraId="2D394305" w14:textId="77777777" w:rsidR="0082658F" w:rsidRPr="00E572BA" w:rsidRDefault="0082658F" w:rsidP="0082658F">
      <w:pPr>
        <w:spacing w:before="240" w:after="360" w:line="360" w:lineRule="auto"/>
        <w:ind w:left="567" w:right="616"/>
        <w:contextualSpacing/>
        <w:jc w:val="both"/>
        <w:rPr>
          <w:rFonts w:ascii="Palatino Linotype" w:hAnsi="Palatino Linotype" w:cs="Arial"/>
          <w:i/>
          <w:sz w:val="22"/>
          <w:lang w:val="es-ES_tradnl"/>
        </w:rPr>
      </w:pPr>
      <w:r w:rsidRPr="00E572BA">
        <w:rPr>
          <w:rFonts w:ascii="Palatino Linotype" w:hAnsi="Palatino Linotype" w:cs="Arial"/>
          <w:b/>
          <w:bCs/>
          <w:i/>
          <w:sz w:val="22"/>
          <w:lang w:val="es-ES_tradnl"/>
        </w:rPr>
        <w:t xml:space="preserve">Expedientes: </w:t>
      </w:r>
      <w:r w:rsidRPr="00E572BA">
        <w:rPr>
          <w:rFonts w:ascii="Palatino Linotype" w:hAnsi="Palatino Linotype" w:cs="Arial"/>
          <w:i/>
          <w:sz w:val="22"/>
          <w:lang w:val="es-ES_tradnl"/>
        </w:rPr>
        <w:t>0438/08 Pemex Exploración y Producción – Alonso Lujambio Irazábal 1751/09 Laboratorios de Biológicos y Reactivos de México S.A. de C.V. – María Marván Laborde 2868/09 Consejo Nacional de Ciencia y Tecnología – Jacqueline Peschard Mariscal 5160/09 Secretaría de Hacienda y Crédito Público – Ángel Trinidad Zaldívar 0304/10 Instituto Nacional de Cancerología – Jacqueline Peschard Mariscal” (Sic)</w:t>
      </w:r>
    </w:p>
    <w:p w14:paraId="08CCF262" w14:textId="77777777" w:rsidR="0082658F" w:rsidRPr="00E572BA" w:rsidRDefault="0082658F" w:rsidP="0082658F">
      <w:pPr>
        <w:spacing w:before="240" w:after="360" w:line="360" w:lineRule="auto"/>
        <w:ind w:left="567" w:right="616"/>
        <w:contextualSpacing/>
        <w:jc w:val="both"/>
        <w:rPr>
          <w:rFonts w:ascii="Palatino Linotype" w:eastAsia="MS Mincho" w:hAnsi="Palatino Linotype" w:cs="Arial"/>
          <w:i/>
          <w:lang w:val="es-ES_tradnl"/>
        </w:rPr>
      </w:pPr>
    </w:p>
    <w:p w14:paraId="397B4BBB" w14:textId="77777777" w:rsidR="0082658F" w:rsidRPr="00E572BA" w:rsidRDefault="0082658F" w:rsidP="0082658F">
      <w:pPr>
        <w:rPr>
          <w:rFonts w:ascii="Palatino Linotype" w:eastAsia="MS Mincho" w:hAnsi="Palatino Linotype"/>
          <w:color w:val="000000"/>
          <w:lang w:val="es-ES_tradnl"/>
        </w:rPr>
      </w:pPr>
    </w:p>
    <w:p w14:paraId="4A150C44" w14:textId="5A631C8E" w:rsidR="0082658F" w:rsidRDefault="0082658F" w:rsidP="0082658F">
      <w:pPr>
        <w:numPr>
          <w:ilvl w:val="0"/>
          <w:numId w:val="11"/>
        </w:numPr>
        <w:tabs>
          <w:tab w:val="left" w:pos="426"/>
        </w:tabs>
        <w:spacing w:before="240" w:after="240" w:line="360" w:lineRule="auto"/>
        <w:ind w:left="0" w:right="51" w:firstLine="0"/>
        <w:contextualSpacing/>
        <w:jc w:val="both"/>
        <w:rPr>
          <w:rFonts w:ascii="Palatino Linotype" w:eastAsia="MS Mincho" w:hAnsi="Palatino Linotype"/>
          <w:color w:val="000000"/>
          <w:lang w:val="es-ES_tradnl"/>
        </w:rPr>
      </w:pPr>
      <w:r w:rsidRPr="00E572BA">
        <w:rPr>
          <w:rFonts w:ascii="Palatino Linotype" w:eastAsia="MS Mincho" w:hAnsi="Palatino Linotype"/>
          <w:color w:val="000000"/>
          <w:lang w:val="es-ES_tradnl"/>
        </w:rPr>
        <w:t>En relación a las consideraciones planteadas, resulta dable ord</w:t>
      </w:r>
      <w:r>
        <w:rPr>
          <w:rFonts w:ascii="Palatino Linotype" w:eastAsia="MS Mincho" w:hAnsi="Palatino Linotype"/>
          <w:color w:val="000000"/>
          <w:lang w:val="es-ES_tradnl"/>
        </w:rPr>
        <w:t>ena</w:t>
      </w:r>
      <w:r w:rsidR="007E66E7">
        <w:rPr>
          <w:rFonts w:ascii="Palatino Linotype" w:eastAsia="MS Mincho" w:hAnsi="Palatino Linotype"/>
          <w:color w:val="000000"/>
          <w:lang w:val="es-ES_tradnl"/>
        </w:rPr>
        <w:t xml:space="preserve">r el documento donde consten los recibos nómina </w:t>
      </w:r>
      <w:r>
        <w:rPr>
          <w:rFonts w:ascii="Palatino Linotype" w:eastAsia="MS Mincho" w:hAnsi="Palatino Linotype"/>
          <w:color w:val="000000"/>
          <w:lang w:val="es-ES_tradnl"/>
        </w:rPr>
        <w:t>de la servidora pública referida en la solicitud de información desde la fecha de su ingreso al cuatro (04) de marzo de dos mil veintidós</w:t>
      </w:r>
      <w:r w:rsidRPr="00E572BA">
        <w:rPr>
          <w:rFonts w:ascii="Palatino Linotype" w:eastAsia="MS Mincho" w:hAnsi="Palatino Linotype"/>
          <w:color w:val="000000"/>
          <w:lang w:val="es-ES_tradnl"/>
        </w:rPr>
        <w:t xml:space="preserve">, en términos del Considerando </w:t>
      </w:r>
      <w:r>
        <w:rPr>
          <w:rFonts w:ascii="Palatino Linotype" w:eastAsia="MS Mincho" w:hAnsi="Palatino Linotype"/>
          <w:b/>
          <w:color w:val="000000"/>
          <w:lang w:val="es-ES_tradnl"/>
        </w:rPr>
        <w:t>QUINTO</w:t>
      </w:r>
      <w:r w:rsidRPr="00E572BA">
        <w:rPr>
          <w:rFonts w:ascii="Palatino Linotype" w:eastAsia="MS Mincho" w:hAnsi="Palatino Linotype"/>
          <w:b/>
          <w:color w:val="000000"/>
          <w:lang w:val="es-ES_tradnl"/>
        </w:rPr>
        <w:t>.</w:t>
      </w:r>
      <w:r w:rsidRPr="00E572BA">
        <w:rPr>
          <w:rFonts w:ascii="Palatino Linotype" w:eastAsia="MS Mincho" w:hAnsi="Palatino Linotype"/>
          <w:color w:val="000000"/>
          <w:lang w:val="es-ES_tradnl"/>
        </w:rPr>
        <w:t xml:space="preserve"> </w:t>
      </w:r>
    </w:p>
    <w:p w14:paraId="651663FC" w14:textId="77777777" w:rsidR="0082658F" w:rsidRPr="00E572BA" w:rsidRDefault="0082658F" w:rsidP="0082658F">
      <w:pPr>
        <w:tabs>
          <w:tab w:val="left" w:pos="426"/>
        </w:tabs>
        <w:spacing w:before="240" w:after="240" w:line="360" w:lineRule="auto"/>
        <w:ind w:right="51"/>
        <w:contextualSpacing/>
        <w:jc w:val="both"/>
        <w:rPr>
          <w:rFonts w:ascii="Palatino Linotype" w:eastAsia="MS Mincho" w:hAnsi="Palatino Linotype"/>
          <w:color w:val="000000"/>
          <w:lang w:val="es-ES_tradnl"/>
        </w:rPr>
      </w:pPr>
    </w:p>
    <w:p w14:paraId="17FE43EB" w14:textId="11BB3405" w:rsidR="008C27CC" w:rsidRPr="007100A0" w:rsidRDefault="008C27CC" w:rsidP="008C27CC">
      <w:pPr>
        <w:pStyle w:val="Ttulo1"/>
        <w:spacing w:line="360" w:lineRule="auto"/>
        <w:rPr>
          <w:rFonts w:ascii="Palatino Linotype" w:eastAsia="MS Mincho" w:hAnsi="Palatino Linotype" w:cs="Times New Roman"/>
          <w:b/>
          <w:color w:val="auto"/>
          <w:sz w:val="24"/>
          <w:szCs w:val="24"/>
          <w:lang w:val="es-ES_tradnl"/>
        </w:rPr>
      </w:pPr>
      <w:bookmarkStart w:id="64" w:name="_Toc85125476"/>
      <w:bookmarkStart w:id="65" w:name="_Toc103216920"/>
      <w:bookmarkStart w:id="66" w:name="_Toc103877279"/>
      <w:r>
        <w:rPr>
          <w:rFonts w:ascii="Palatino Linotype" w:hAnsi="Palatino Linotype"/>
          <w:b/>
          <w:color w:val="auto"/>
          <w:sz w:val="24"/>
          <w:szCs w:val="24"/>
        </w:rPr>
        <w:t>III</w:t>
      </w:r>
      <w:r w:rsidRPr="000C1184">
        <w:rPr>
          <w:rFonts w:ascii="Palatino Linotype" w:hAnsi="Palatino Linotype"/>
          <w:b/>
          <w:color w:val="auto"/>
          <w:sz w:val="24"/>
          <w:szCs w:val="24"/>
        </w:rPr>
        <w:t>. De la búsqueda exhaustiva</w:t>
      </w:r>
      <w:bookmarkEnd w:id="64"/>
      <w:bookmarkEnd w:id="65"/>
      <w:bookmarkEnd w:id="66"/>
      <w:r w:rsidR="008E6572">
        <w:rPr>
          <w:rFonts w:ascii="Palatino Linotype" w:hAnsi="Palatino Linotype"/>
          <w:b/>
          <w:color w:val="auto"/>
          <w:sz w:val="24"/>
          <w:szCs w:val="24"/>
        </w:rPr>
        <w:t>.</w:t>
      </w:r>
    </w:p>
    <w:p w14:paraId="10805CC0" w14:textId="23FF31CD" w:rsidR="008C27CC" w:rsidRPr="000C1184" w:rsidRDefault="008C27CC" w:rsidP="007E66E7">
      <w:pPr>
        <w:pStyle w:val="Prrafodelista"/>
        <w:numPr>
          <w:ilvl w:val="0"/>
          <w:numId w:val="11"/>
        </w:numPr>
        <w:spacing w:before="240" w:after="240" w:line="360" w:lineRule="auto"/>
        <w:ind w:left="0" w:right="49" w:firstLine="0"/>
        <w:contextualSpacing/>
        <w:jc w:val="both"/>
        <w:rPr>
          <w:rFonts w:ascii="Palatino Linotype" w:eastAsia="MS Mincho" w:hAnsi="Palatino Linotype"/>
          <w:lang w:val="es-ES_tradnl"/>
        </w:rPr>
      </w:pPr>
      <w:r w:rsidRPr="000C1184">
        <w:rPr>
          <w:rFonts w:ascii="Palatino Linotype" w:eastAsia="MS Mincho" w:hAnsi="Palatino Linotype"/>
          <w:lang w:val="es-ES_tradnl"/>
        </w:rPr>
        <w:t>Establecido lo anterior, que no</w:t>
      </w:r>
      <w:r>
        <w:rPr>
          <w:rFonts w:ascii="Palatino Linotype" w:eastAsia="MS Mincho" w:hAnsi="Palatino Linotype"/>
          <w:lang w:val="es-ES_tradnl"/>
        </w:rPr>
        <w:t xml:space="preserve"> se advierte que se haya desarrollado </w:t>
      </w:r>
      <w:r w:rsidRPr="000C1184">
        <w:rPr>
          <w:rFonts w:ascii="Palatino Linotype" w:eastAsia="MS Mincho" w:hAnsi="Palatino Linotype"/>
          <w:lang w:val="es-ES_tradnl"/>
        </w:rPr>
        <w:t>adecuadamente el proceso de acceso a la información ya que no demostró haber realizado una búsqueda exhaustiva de la información.</w:t>
      </w:r>
    </w:p>
    <w:p w14:paraId="2772E514" w14:textId="77777777" w:rsidR="008C27CC" w:rsidRPr="000C1184" w:rsidRDefault="008C27CC" w:rsidP="008C27CC">
      <w:pPr>
        <w:pStyle w:val="Prrafodelista"/>
        <w:spacing w:before="240" w:after="240" w:line="360" w:lineRule="auto"/>
        <w:ind w:left="0" w:right="49"/>
        <w:contextualSpacing/>
        <w:jc w:val="both"/>
        <w:rPr>
          <w:rFonts w:ascii="Palatino Linotype" w:eastAsia="MS Mincho" w:hAnsi="Palatino Linotype"/>
          <w:lang w:val="es-ES_tradnl"/>
        </w:rPr>
      </w:pPr>
    </w:p>
    <w:p w14:paraId="7DCAF3FF" w14:textId="019E3998" w:rsidR="008C27CC" w:rsidRPr="007100A0" w:rsidRDefault="008C27CC" w:rsidP="007E66E7">
      <w:pPr>
        <w:pStyle w:val="Prrafodelista"/>
        <w:numPr>
          <w:ilvl w:val="0"/>
          <w:numId w:val="11"/>
        </w:numPr>
        <w:spacing w:before="240" w:after="240" w:line="360" w:lineRule="auto"/>
        <w:ind w:left="0" w:right="49" w:firstLine="0"/>
        <w:contextualSpacing/>
        <w:jc w:val="both"/>
        <w:rPr>
          <w:rFonts w:ascii="Palatino Linotype" w:eastAsia="MS Mincho" w:hAnsi="Palatino Linotype"/>
          <w:lang w:val="es-ES_tradnl"/>
        </w:rPr>
      </w:pPr>
      <w:r w:rsidRPr="000C1184">
        <w:rPr>
          <w:rFonts w:ascii="Palatino Linotype" w:eastAsia="MS Mincho" w:hAnsi="Palatino Linotype"/>
          <w:lang w:val="es-ES_tradnl"/>
        </w:rPr>
        <w:lastRenderedPageBreak/>
        <w:t xml:space="preserve">En efecto, </w:t>
      </w:r>
      <w:r w:rsidRPr="000C1184">
        <w:rPr>
          <w:rFonts w:ascii="Palatino Linotype" w:eastAsia="MS Mincho" w:hAnsi="Palatino Linotype" w:cs="Arial"/>
          <w:color w:val="000000"/>
          <w:lang w:val="es-MX" w:eastAsia="en-US"/>
        </w:rPr>
        <w:t xml:space="preserve">el hecho de no realizar una adecuada búsqueda de la información puede llevar al </w:t>
      </w:r>
      <w:r w:rsidRPr="000C1184">
        <w:rPr>
          <w:rFonts w:ascii="Palatino Linotype" w:eastAsia="MS Mincho" w:hAnsi="Palatino Linotype" w:cs="Arial"/>
          <w:b/>
          <w:color w:val="000000"/>
          <w:lang w:val="es-MX" w:eastAsia="en-US"/>
        </w:rPr>
        <w:t xml:space="preserve">SUJETO OBLIGADO </w:t>
      </w:r>
      <w:r w:rsidRPr="000C1184">
        <w:rPr>
          <w:rFonts w:ascii="Palatino Linotype" w:eastAsia="MS Mincho" w:hAnsi="Palatino Linotype" w:cs="Arial"/>
          <w:color w:val="000000"/>
          <w:lang w:val="es-MX" w:eastAsia="en-US"/>
        </w:rPr>
        <w:t>a</w:t>
      </w:r>
      <w:r w:rsidR="00CF3E37">
        <w:rPr>
          <w:rFonts w:ascii="Palatino Linotype" w:eastAsia="MS Mincho" w:hAnsi="Palatino Linotype" w:cs="Arial"/>
          <w:color w:val="000000"/>
          <w:lang w:val="es-MX" w:eastAsia="en-US"/>
        </w:rPr>
        <w:t xml:space="preserve"> retrasar la búsqueda de información</w:t>
      </w:r>
      <w:r>
        <w:rPr>
          <w:rFonts w:ascii="Palatino Linotype" w:eastAsia="MS Mincho" w:hAnsi="Palatino Linotype" w:cs="Arial"/>
          <w:color w:val="000000"/>
          <w:lang w:val="es-MX" w:eastAsia="en-US"/>
        </w:rPr>
        <w:t>.</w:t>
      </w:r>
      <w:r>
        <w:rPr>
          <w:rFonts w:ascii="Palatino Linotype" w:eastAsia="MS Mincho" w:hAnsi="Palatino Linotype"/>
          <w:lang w:val="es-ES_tradnl"/>
        </w:rPr>
        <w:t xml:space="preserve"> </w:t>
      </w:r>
      <w:r w:rsidRPr="007100A0">
        <w:rPr>
          <w:rFonts w:ascii="Palatino Linotype" w:eastAsia="MS Mincho" w:hAnsi="Palatino Linotype"/>
          <w:lang w:val="es-ES_tradnl"/>
        </w:rPr>
        <w:t xml:space="preserve">Así, </w:t>
      </w:r>
      <w:r w:rsidRPr="007100A0">
        <w:rPr>
          <w:rFonts w:ascii="Palatino Linotype" w:eastAsia="MS Mincho" w:hAnsi="Palatino Linotype" w:cs="Arial"/>
          <w:color w:val="000000"/>
          <w:lang w:val="es-MX" w:eastAsia="en-US"/>
        </w:rPr>
        <w:t xml:space="preserve">el no turnar la solicitud de información a todas las áreas, que de conformidad con sus facultades o atribuciones  pudieran contar la información solicitada, así como no indicar al particular los procedimientos técnicos archivísticos empleados para la  búsqueda de la información solicitada, se traduce en discrecionalidad arbitraria del </w:t>
      </w:r>
      <w:r w:rsidRPr="007100A0">
        <w:rPr>
          <w:rFonts w:ascii="Palatino Linotype" w:eastAsia="MS Mincho" w:hAnsi="Palatino Linotype" w:cs="Arial"/>
          <w:b/>
          <w:color w:val="000000"/>
          <w:lang w:val="es-MX" w:eastAsia="en-US"/>
        </w:rPr>
        <w:t>SUJETO OBLIGADO</w:t>
      </w:r>
      <w:r w:rsidRPr="007100A0">
        <w:rPr>
          <w:rFonts w:ascii="Palatino Linotype" w:eastAsia="MS Mincho" w:hAnsi="Palatino Linotype" w:cs="Arial"/>
          <w:color w:val="000000"/>
          <w:lang w:val="es-MX" w:eastAsia="en-US"/>
        </w:rPr>
        <w:t>, careciendo de cumplimiento a lo establecido en el artículo 162 de la Ley de Transparencia y Acceso a la Información Pública del Estado de México y Municipios, el cual a la letra dispone lo siguiente:</w:t>
      </w:r>
    </w:p>
    <w:p w14:paraId="6DFF85A1" w14:textId="77777777" w:rsidR="008C27CC" w:rsidRPr="00DD4779" w:rsidRDefault="008C27CC" w:rsidP="008C27CC">
      <w:pPr>
        <w:tabs>
          <w:tab w:val="left" w:pos="426"/>
        </w:tabs>
        <w:spacing w:after="160" w:line="360" w:lineRule="auto"/>
        <w:ind w:left="567" w:right="616"/>
        <w:contextualSpacing/>
        <w:jc w:val="both"/>
        <w:rPr>
          <w:rFonts w:ascii="Palatino Linotype" w:eastAsia="MS Mincho" w:hAnsi="Palatino Linotype"/>
          <w:b/>
          <w:i/>
          <w:lang w:val="es-MX" w:eastAsia="en-US"/>
        </w:rPr>
      </w:pPr>
    </w:p>
    <w:p w14:paraId="7EB66566" w14:textId="77777777" w:rsidR="008C27CC" w:rsidRPr="00DD4779" w:rsidRDefault="008C27CC" w:rsidP="008C27CC">
      <w:pPr>
        <w:tabs>
          <w:tab w:val="left" w:pos="426"/>
        </w:tabs>
        <w:spacing w:after="160" w:line="360" w:lineRule="auto"/>
        <w:ind w:left="567" w:right="616"/>
        <w:contextualSpacing/>
        <w:jc w:val="both"/>
        <w:rPr>
          <w:rFonts w:ascii="Palatino Linotype" w:eastAsia="MS Mincho" w:hAnsi="Palatino Linotype"/>
          <w:i/>
          <w:lang w:val="es-MX" w:eastAsia="en-US"/>
        </w:rPr>
      </w:pPr>
      <w:r w:rsidRPr="00DD4779">
        <w:rPr>
          <w:rFonts w:ascii="Palatino Linotype" w:eastAsia="MS Mincho" w:hAnsi="Palatino Linotype"/>
          <w:b/>
          <w:i/>
          <w:lang w:val="es-MX" w:eastAsia="en-US"/>
        </w:rPr>
        <w:t>“Artículo 162.</w:t>
      </w:r>
      <w:r w:rsidRPr="00DD4779">
        <w:rPr>
          <w:rFonts w:ascii="Palatino Linotype" w:eastAsia="MS Mincho" w:hAnsi="Palatino Linotype"/>
          <w:i/>
          <w:lang w:val="es-MX" w:eastAsia="en-US"/>
        </w:rPr>
        <w:t xml:space="preserve"> Las unidades de transparencia deberán garantizar que las solicitudes se turnen a todas las Áreas competentes que cuenten con la información o deban tenerla de acuerdo a sus facultades, competencias y funciones, con el objeto de que realicen una</w:t>
      </w:r>
      <w:r w:rsidRPr="00DD4779">
        <w:rPr>
          <w:rFonts w:ascii="Palatino Linotype" w:eastAsia="MS Mincho" w:hAnsi="Palatino Linotype"/>
          <w:b/>
          <w:i/>
          <w:lang w:val="es-MX" w:eastAsia="en-US"/>
        </w:rPr>
        <w:t xml:space="preserve"> búsqueda exhaustiva</w:t>
      </w:r>
      <w:r w:rsidRPr="00DD4779">
        <w:rPr>
          <w:rFonts w:ascii="Palatino Linotype" w:eastAsia="MS Mincho" w:hAnsi="Palatino Linotype"/>
          <w:i/>
          <w:lang w:val="es-MX" w:eastAsia="en-US"/>
        </w:rPr>
        <w:t xml:space="preserve"> y razonable de la información solicitada.”</w:t>
      </w:r>
    </w:p>
    <w:p w14:paraId="365CFA42" w14:textId="77777777" w:rsidR="008C27CC" w:rsidRPr="00DD4779" w:rsidRDefault="008C27CC" w:rsidP="008C27CC">
      <w:pPr>
        <w:tabs>
          <w:tab w:val="left" w:pos="426"/>
        </w:tabs>
        <w:spacing w:after="160" w:line="360" w:lineRule="auto"/>
        <w:ind w:left="567" w:right="616"/>
        <w:contextualSpacing/>
        <w:jc w:val="both"/>
        <w:rPr>
          <w:rFonts w:ascii="Palatino Linotype" w:eastAsia="MS Mincho" w:hAnsi="Palatino Linotype"/>
          <w:i/>
          <w:lang w:val="es-MX" w:eastAsia="en-US"/>
        </w:rPr>
      </w:pPr>
    </w:p>
    <w:p w14:paraId="27F987BA" w14:textId="77777777" w:rsidR="008C27CC" w:rsidRPr="00DD4779" w:rsidRDefault="008C27CC" w:rsidP="008C27CC">
      <w:pPr>
        <w:tabs>
          <w:tab w:val="left" w:pos="426"/>
        </w:tabs>
        <w:spacing w:after="160" w:line="360" w:lineRule="auto"/>
        <w:ind w:left="567" w:right="616"/>
        <w:contextualSpacing/>
        <w:jc w:val="both"/>
        <w:rPr>
          <w:rFonts w:ascii="Palatino Linotype" w:eastAsia="MS Mincho" w:hAnsi="Palatino Linotype" w:cs="Arial"/>
          <w:color w:val="000000"/>
          <w:lang w:val="es-MX" w:eastAsia="en-US"/>
        </w:rPr>
      </w:pPr>
      <w:r w:rsidRPr="00DD4779">
        <w:rPr>
          <w:rFonts w:ascii="Palatino Linotype" w:eastAsia="MS Mincho" w:hAnsi="Palatino Linotype"/>
          <w:lang w:val="es-MX" w:eastAsia="en-US"/>
        </w:rPr>
        <w:t>(Énfasis añadido)</w:t>
      </w:r>
    </w:p>
    <w:p w14:paraId="2AD8A491" w14:textId="77777777" w:rsidR="008C27CC" w:rsidRPr="00DD4779" w:rsidRDefault="008C27CC" w:rsidP="008C27CC">
      <w:pPr>
        <w:tabs>
          <w:tab w:val="left" w:pos="426"/>
        </w:tabs>
        <w:spacing w:after="160" w:line="360" w:lineRule="auto"/>
        <w:contextualSpacing/>
        <w:jc w:val="both"/>
        <w:rPr>
          <w:rFonts w:ascii="Palatino Linotype" w:eastAsia="MS Mincho" w:hAnsi="Palatino Linotype" w:cs="Arial"/>
          <w:color w:val="000000"/>
          <w:lang w:val="es-MX" w:eastAsia="en-US"/>
        </w:rPr>
      </w:pPr>
    </w:p>
    <w:p w14:paraId="542E18C7" w14:textId="77777777" w:rsidR="008C27CC" w:rsidRDefault="008C27CC" w:rsidP="007E66E7">
      <w:pPr>
        <w:pStyle w:val="Prrafodelista"/>
        <w:numPr>
          <w:ilvl w:val="0"/>
          <w:numId w:val="11"/>
        </w:numPr>
        <w:tabs>
          <w:tab w:val="left" w:pos="426"/>
        </w:tabs>
        <w:spacing w:after="160" w:line="360" w:lineRule="auto"/>
        <w:ind w:left="-142" w:firstLine="142"/>
        <w:contextualSpacing/>
        <w:jc w:val="both"/>
        <w:rPr>
          <w:rFonts w:ascii="Palatino Linotype" w:eastAsia="MS Mincho" w:hAnsi="Palatino Linotype" w:cs="Arial"/>
          <w:color w:val="000000"/>
          <w:lang w:val="es-MX" w:eastAsia="en-US"/>
        </w:rPr>
      </w:pPr>
      <w:r w:rsidRPr="000C1184">
        <w:rPr>
          <w:rFonts w:ascii="Palatino Linotype" w:eastAsia="MS Mincho" w:hAnsi="Palatino Linotype" w:cs="Arial"/>
          <w:color w:val="000000"/>
          <w:lang w:val="es-MX" w:eastAsia="en-US"/>
        </w:rPr>
        <w:t>Así, del precepto jurídico se desprende que los Sujetos Obligados tienen el deber de turnar la solicitud de información a todas las áreas o unidades administrativas donde pudiera obrar la información para que estas procedan a fin de realizar la búsqueda exhaustiva y razonable de la misma, lo cual según lo que se advierte no ocurrió y llevó al sujeto obligado emitir una respuesta en la cual se presume incompetente lo cual como ya se demostró es totalmente incongruente, en ese sent</w:t>
      </w:r>
      <w:r>
        <w:rPr>
          <w:rFonts w:ascii="Palatino Linotype" w:eastAsia="MS Mincho" w:hAnsi="Palatino Linotype" w:cs="Arial"/>
          <w:color w:val="000000"/>
          <w:lang w:val="es-MX" w:eastAsia="en-US"/>
        </w:rPr>
        <w:t xml:space="preserve">ido, </w:t>
      </w:r>
      <w:r>
        <w:rPr>
          <w:rFonts w:ascii="Palatino Linotype" w:eastAsia="MS Mincho" w:hAnsi="Palatino Linotype" w:cs="Arial"/>
          <w:color w:val="000000"/>
          <w:lang w:val="es-MX" w:eastAsia="en-US"/>
        </w:rPr>
        <w:lastRenderedPageBreak/>
        <w:t xml:space="preserve">es oportuno señalar que de conformidad con la ya citada Ley Orgánica Municipal del Estado de México, señala en su diverso 91, que la Secretaría del Ayuntamiento estará a cargo del Archivo General del Ayuntamiento, como a continuación se observa: </w:t>
      </w:r>
    </w:p>
    <w:p w14:paraId="07797CCA" w14:textId="77777777" w:rsidR="008C27CC" w:rsidRDefault="008C27CC" w:rsidP="008C27CC">
      <w:pPr>
        <w:pStyle w:val="Prrafodelista"/>
        <w:tabs>
          <w:tab w:val="left" w:pos="426"/>
        </w:tabs>
        <w:spacing w:after="160" w:line="360" w:lineRule="auto"/>
        <w:ind w:left="720" w:right="918"/>
        <w:contextualSpacing/>
        <w:jc w:val="both"/>
        <w:rPr>
          <w:rFonts w:ascii="Palatino Linotype" w:eastAsia="MS Mincho" w:hAnsi="Palatino Linotype" w:cs="Arial"/>
          <w:color w:val="000000"/>
          <w:lang w:val="es-MX" w:eastAsia="en-US"/>
        </w:rPr>
      </w:pPr>
    </w:p>
    <w:p w14:paraId="5AB4F379" w14:textId="77777777" w:rsidR="008C27CC" w:rsidRPr="00F41687" w:rsidRDefault="008C27CC" w:rsidP="008C27CC">
      <w:pPr>
        <w:pStyle w:val="Prrafodelista"/>
        <w:tabs>
          <w:tab w:val="left" w:pos="426"/>
        </w:tabs>
        <w:spacing w:after="160" w:line="360" w:lineRule="auto"/>
        <w:ind w:left="720" w:right="918"/>
        <w:contextualSpacing/>
        <w:jc w:val="both"/>
        <w:rPr>
          <w:rFonts w:ascii="Palatino Linotype" w:eastAsia="MS Mincho" w:hAnsi="Palatino Linotype" w:cs="Arial"/>
          <w:i/>
          <w:color w:val="000000"/>
          <w:lang w:eastAsia="en-US"/>
        </w:rPr>
      </w:pPr>
      <w:r>
        <w:rPr>
          <w:rFonts w:ascii="Palatino Linotype" w:eastAsia="MS Mincho" w:hAnsi="Palatino Linotype" w:cs="Arial"/>
          <w:color w:val="000000"/>
          <w:lang w:val="es-MX" w:eastAsia="en-US"/>
        </w:rPr>
        <w:t xml:space="preserve"> </w:t>
      </w:r>
      <w:r w:rsidRPr="00F41687">
        <w:rPr>
          <w:rFonts w:ascii="Palatino Linotype" w:eastAsia="MS Mincho" w:hAnsi="Palatino Linotype" w:cs="Arial"/>
          <w:b/>
          <w:i/>
          <w:color w:val="000000"/>
          <w:lang w:eastAsia="en-US"/>
        </w:rPr>
        <w:t>Artículo 91.-</w:t>
      </w:r>
      <w:r w:rsidRPr="00F41687">
        <w:rPr>
          <w:rFonts w:ascii="Palatino Linotype" w:eastAsia="MS Mincho" w:hAnsi="Palatino Linotype" w:cs="Arial"/>
          <w:i/>
          <w:color w:val="000000"/>
          <w:lang w:eastAsia="en-US"/>
        </w:rPr>
        <w:t xml:space="preserve"> La Secretaría del Ayuntamiento estará a cargo de un Secretario, el que, sin ser miembro del mismo, deberá ser nombrado por el propio Ayuntamiento a propuesta del Presidente Municipal como lo marca el artículo 31 de la presente ley. Sus faltas temporales serán cubiertas por quien designe el Ayuntamiento y sus atribuciones son las siguientes:</w:t>
      </w:r>
    </w:p>
    <w:p w14:paraId="6AED5B98" w14:textId="77777777" w:rsidR="008C27CC" w:rsidRPr="00F41687" w:rsidRDefault="008C27CC" w:rsidP="008C27CC">
      <w:pPr>
        <w:pStyle w:val="Prrafodelista"/>
        <w:tabs>
          <w:tab w:val="left" w:pos="426"/>
        </w:tabs>
        <w:spacing w:after="160" w:line="360" w:lineRule="auto"/>
        <w:ind w:left="720" w:right="918"/>
        <w:contextualSpacing/>
        <w:jc w:val="both"/>
        <w:rPr>
          <w:rFonts w:ascii="Palatino Linotype" w:eastAsia="MS Mincho" w:hAnsi="Palatino Linotype" w:cs="Arial"/>
          <w:i/>
          <w:color w:val="000000"/>
          <w:lang w:val="es-MX" w:eastAsia="en-US"/>
        </w:rPr>
      </w:pPr>
      <w:r w:rsidRPr="00F41687">
        <w:rPr>
          <w:rFonts w:ascii="Palatino Linotype" w:eastAsia="MS Mincho" w:hAnsi="Palatino Linotype" w:cs="Arial"/>
          <w:i/>
          <w:color w:val="000000"/>
          <w:lang w:eastAsia="en-US"/>
        </w:rPr>
        <w:t>(…)</w:t>
      </w:r>
    </w:p>
    <w:p w14:paraId="2EDFD2FA" w14:textId="77777777" w:rsidR="008C27CC" w:rsidRPr="007636E4" w:rsidRDefault="008C27CC" w:rsidP="008C27CC">
      <w:pPr>
        <w:pStyle w:val="Prrafodelista"/>
        <w:tabs>
          <w:tab w:val="left" w:pos="426"/>
        </w:tabs>
        <w:spacing w:after="160" w:line="360" w:lineRule="auto"/>
        <w:ind w:left="720" w:right="918"/>
        <w:contextualSpacing/>
        <w:jc w:val="both"/>
        <w:rPr>
          <w:rFonts w:ascii="Palatino Linotype" w:eastAsia="MS Mincho" w:hAnsi="Palatino Linotype" w:cs="Arial"/>
          <w:b/>
          <w:i/>
          <w:color w:val="000000"/>
          <w:lang w:eastAsia="en-US"/>
        </w:rPr>
      </w:pPr>
      <w:r w:rsidRPr="007636E4">
        <w:rPr>
          <w:rFonts w:ascii="Palatino Linotype" w:eastAsia="MS Mincho" w:hAnsi="Palatino Linotype" w:cs="Arial"/>
          <w:b/>
          <w:i/>
          <w:color w:val="000000"/>
          <w:lang w:eastAsia="en-US"/>
        </w:rPr>
        <w:t>VI. Tener a su cargo el archivo general del ayuntamiento;</w:t>
      </w:r>
    </w:p>
    <w:p w14:paraId="5BAD84EE" w14:textId="77777777" w:rsidR="008C27CC" w:rsidRDefault="008C27CC" w:rsidP="008C27CC">
      <w:pPr>
        <w:pStyle w:val="Prrafodelista"/>
        <w:tabs>
          <w:tab w:val="left" w:pos="426"/>
        </w:tabs>
        <w:spacing w:after="160" w:line="360" w:lineRule="auto"/>
        <w:ind w:left="720" w:right="918"/>
        <w:contextualSpacing/>
        <w:jc w:val="both"/>
        <w:rPr>
          <w:rFonts w:ascii="Palatino Linotype" w:eastAsia="MS Mincho" w:hAnsi="Palatino Linotype" w:cs="Arial"/>
          <w:i/>
          <w:color w:val="000000"/>
          <w:lang w:eastAsia="en-US"/>
        </w:rPr>
      </w:pPr>
      <w:r w:rsidRPr="00F41687">
        <w:rPr>
          <w:rFonts w:ascii="Palatino Linotype" w:eastAsia="MS Mincho" w:hAnsi="Palatino Linotype" w:cs="Arial"/>
          <w:i/>
          <w:color w:val="000000"/>
          <w:lang w:eastAsia="en-US"/>
        </w:rPr>
        <w:t>(…)</w:t>
      </w:r>
    </w:p>
    <w:p w14:paraId="2AD17C93" w14:textId="77777777" w:rsidR="008C27CC" w:rsidRDefault="008C27CC" w:rsidP="008C27CC">
      <w:pPr>
        <w:pStyle w:val="Prrafodelista"/>
        <w:tabs>
          <w:tab w:val="left" w:pos="426"/>
        </w:tabs>
        <w:spacing w:after="160" w:line="360" w:lineRule="auto"/>
        <w:ind w:left="720" w:right="918"/>
        <w:contextualSpacing/>
        <w:jc w:val="both"/>
        <w:rPr>
          <w:rFonts w:ascii="Palatino Linotype" w:eastAsia="MS Mincho" w:hAnsi="Palatino Linotype" w:cs="Arial"/>
          <w:i/>
          <w:color w:val="000000"/>
          <w:lang w:eastAsia="en-US"/>
        </w:rPr>
      </w:pPr>
    </w:p>
    <w:p w14:paraId="41A4CC46" w14:textId="77777777" w:rsidR="008C27CC" w:rsidRPr="00F41687" w:rsidRDefault="008C27CC" w:rsidP="008C27CC">
      <w:pPr>
        <w:pStyle w:val="Prrafodelista"/>
        <w:tabs>
          <w:tab w:val="left" w:pos="426"/>
        </w:tabs>
        <w:spacing w:after="160" w:line="360" w:lineRule="auto"/>
        <w:ind w:left="720" w:right="918"/>
        <w:contextualSpacing/>
        <w:jc w:val="both"/>
        <w:rPr>
          <w:rFonts w:ascii="Palatino Linotype" w:eastAsia="MS Mincho" w:hAnsi="Palatino Linotype" w:cs="Arial"/>
          <w:i/>
          <w:color w:val="000000"/>
          <w:lang w:val="es-MX" w:eastAsia="en-US"/>
        </w:rPr>
      </w:pPr>
      <w:r>
        <w:rPr>
          <w:rFonts w:ascii="Palatino Linotype" w:eastAsia="MS Mincho" w:hAnsi="Palatino Linotype" w:cs="Arial"/>
          <w:i/>
          <w:color w:val="000000"/>
          <w:lang w:eastAsia="en-US"/>
        </w:rPr>
        <w:t xml:space="preserve">(Énfasis añadido) </w:t>
      </w:r>
    </w:p>
    <w:p w14:paraId="6A3D6E19" w14:textId="77777777" w:rsidR="008C27CC" w:rsidRDefault="008C27CC" w:rsidP="008C27CC">
      <w:pPr>
        <w:pStyle w:val="Prrafodelista"/>
        <w:tabs>
          <w:tab w:val="left" w:pos="426"/>
        </w:tabs>
        <w:spacing w:after="160" w:line="360" w:lineRule="auto"/>
        <w:ind w:left="0"/>
        <w:contextualSpacing/>
        <w:jc w:val="both"/>
        <w:rPr>
          <w:rFonts w:ascii="Palatino Linotype" w:eastAsia="MS Mincho" w:hAnsi="Palatino Linotype" w:cs="Arial"/>
          <w:color w:val="000000"/>
          <w:lang w:val="es-MX" w:eastAsia="en-US"/>
        </w:rPr>
      </w:pPr>
    </w:p>
    <w:p w14:paraId="51B598A9" w14:textId="34FE5F5F" w:rsidR="008C27CC" w:rsidRDefault="00CF3E37" w:rsidP="007E66E7">
      <w:pPr>
        <w:pStyle w:val="Prrafodelista"/>
        <w:numPr>
          <w:ilvl w:val="0"/>
          <w:numId w:val="11"/>
        </w:numPr>
        <w:tabs>
          <w:tab w:val="left" w:pos="426"/>
        </w:tabs>
        <w:spacing w:after="160" w:line="360" w:lineRule="auto"/>
        <w:ind w:left="-142" w:firstLine="142"/>
        <w:contextualSpacing/>
        <w:jc w:val="both"/>
        <w:rPr>
          <w:rFonts w:ascii="Palatino Linotype" w:eastAsia="MS Mincho" w:hAnsi="Palatino Linotype" w:cs="Arial"/>
          <w:color w:val="000000"/>
          <w:lang w:val="es-MX" w:eastAsia="en-US"/>
        </w:rPr>
      </w:pPr>
      <w:r>
        <w:rPr>
          <w:rFonts w:ascii="Palatino Linotype" w:eastAsia="MS Mincho" w:hAnsi="Palatino Linotype" w:cs="Arial"/>
          <w:color w:val="000000"/>
          <w:lang w:val="es-MX" w:eastAsia="en-US"/>
        </w:rPr>
        <w:t xml:space="preserve">Por otro la do el diverso 25 del Bando Municipal de Texcaltitlán señala que la Administración Pública Municipal se auxiliará de la Secretaría del Ayuntamiento como a continuación se observa:  </w:t>
      </w:r>
    </w:p>
    <w:p w14:paraId="31A7FB29" w14:textId="77777777" w:rsidR="00CF3E37" w:rsidRPr="00CF3E37" w:rsidRDefault="00CF3E37" w:rsidP="00CF3E37">
      <w:pPr>
        <w:tabs>
          <w:tab w:val="left" w:pos="426"/>
        </w:tabs>
        <w:spacing w:after="160" w:line="360" w:lineRule="auto"/>
        <w:ind w:left="720" w:right="918"/>
        <w:contextualSpacing/>
        <w:jc w:val="both"/>
        <w:rPr>
          <w:rFonts w:ascii="Palatino Linotype" w:eastAsia="MS Mincho" w:hAnsi="Palatino Linotype" w:cs="Arial"/>
          <w:color w:val="000000"/>
          <w:lang w:val="es-MX" w:eastAsia="en-US"/>
        </w:rPr>
      </w:pPr>
    </w:p>
    <w:p w14:paraId="69D65890" w14:textId="5A1885C5" w:rsidR="00CF3E37" w:rsidRDefault="00CF3E37" w:rsidP="00CF3E37">
      <w:pPr>
        <w:pStyle w:val="Prrafodelista"/>
        <w:tabs>
          <w:tab w:val="left" w:pos="426"/>
        </w:tabs>
        <w:spacing w:after="160" w:line="360" w:lineRule="auto"/>
        <w:ind w:left="720" w:right="918"/>
        <w:contextualSpacing/>
        <w:jc w:val="both"/>
        <w:rPr>
          <w:rFonts w:ascii="Palatino Linotype" w:eastAsia="MS Mincho" w:hAnsi="Palatino Linotype" w:cs="Arial"/>
          <w:i/>
          <w:color w:val="000000"/>
          <w:lang w:eastAsia="en-US"/>
        </w:rPr>
      </w:pPr>
      <w:r w:rsidRPr="00CF3E37">
        <w:rPr>
          <w:rFonts w:ascii="Palatino Linotype" w:eastAsia="MS Mincho" w:hAnsi="Palatino Linotype" w:cs="Arial"/>
          <w:i/>
          <w:color w:val="000000"/>
          <w:lang w:eastAsia="en-US"/>
        </w:rPr>
        <w:t xml:space="preserve">“ARTÍCULO 25.- Para el ejercicio de sus responsabilidades en los asuntos de la Administración Pública Municipal Centralizada, el Presidente Municipal se auxiliará de las siguientes dependencias: </w:t>
      </w:r>
    </w:p>
    <w:p w14:paraId="79D0BDBD" w14:textId="77777777" w:rsidR="00CF3E37" w:rsidRPr="00CF3E37" w:rsidRDefault="00CF3E37" w:rsidP="00CF3E37">
      <w:pPr>
        <w:pStyle w:val="Prrafodelista"/>
        <w:tabs>
          <w:tab w:val="left" w:pos="426"/>
        </w:tabs>
        <w:spacing w:after="160" w:line="360" w:lineRule="auto"/>
        <w:ind w:left="720" w:right="918"/>
        <w:contextualSpacing/>
        <w:jc w:val="both"/>
        <w:rPr>
          <w:rFonts w:ascii="Palatino Linotype" w:eastAsia="MS Mincho" w:hAnsi="Palatino Linotype" w:cs="Arial"/>
          <w:i/>
          <w:color w:val="000000"/>
          <w:lang w:eastAsia="en-US"/>
        </w:rPr>
      </w:pPr>
    </w:p>
    <w:p w14:paraId="3D7FB4D8" w14:textId="77777777" w:rsidR="00CF3E37" w:rsidRPr="00CF3E37" w:rsidRDefault="00CF3E37" w:rsidP="00CF3E37">
      <w:pPr>
        <w:pStyle w:val="Prrafodelista"/>
        <w:tabs>
          <w:tab w:val="left" w:pos="426"/>
        </w:tabs>
        <w:spacing w:after="160" w:line="360" w:lineRule="auto"/>
        <w:ind w:left="720" w:right="918"/>
        <w:contextualSpacing/>
        <w:jc w:val="both"/>
        <w:rPr>
          <w:rFonts w:ascii="Palatino Linotype" w:eastAsia="MS Mincho" w:hAnsi="Palatino Linotype" w:cs="Arial"/>
          <w:i/>
          <w:color w:val="000000"/>
          <w:lang w:eastAsia="en-US"/>
        </w:rPr>
      </w:pPr>
      <w:r w:rsidRPr="00CF3E37">
        <w:rPr>
          <w:rFonts w:ascii="Palatino Linotype" w:eastAsia="MS Mincho" w:hAnsi="Palatino Linotype" w:cs="Arial"/>
          <w:i/>
          <w:color w:val="000000"/>
          <w:lang w:eastAsia="en-US"/>
        </w:rPr>
        <w:t xml:space="preserve">I. Secretaría del Ayuntamiento </w:t>
      </w:r>
    </w:p>
    <w:p w14:paraId="7B727375" w14:textId="77777777" w:rsidR="00CF3E37" w:rsidRPr="00CF3E37" w:rsidRDefault="00CF3E37" w:rsidP="00CF3E37">
      <w:pPr>
        <w:pStyle w:val="Prrafodelista"/>
        <w:tabs>
          <w:tab w:val="left" w:pos="426"/>
        </w:tabs>
        <w:spacing w:after="160" w:line="360" w:lineRule="auto"/>
        <w:ind w:left="720" w:right="918"/>
        <w:contextualSpacing/>
        <w:jc w:val="both"/>
        <w:rPr>
          <w:rFonts w:ascii="Palatino Linotype" w:eastAsia="MS Mincho" w:hAnsi="Palatino Linotype" w:cs="Arial"/>
          <w:i/>
          <w:color w:val="000000"/>
          <w:lang w:eastAsia="en-US"/>
        </w:rPr>
      </w:pPr>
      <w:r w:rsidRPr="00CF3E37">
        <w:rPr>
          <w:rFonts w:ascii="Palatino Linotype" w:eastAsia="MS Mincho" w:hAnsi="Palatino Linotype" w:cs="Arial"/>
          <w:i/>
          <w:color w:val="000000"/>
          <w:lang w:eastAsia="en-US"/>
        </w:rPr>
        <w:lastRenderedPageBreak/>
        <w:t xml:space="preserve">II. Tesorero Municipal </w:t>
      </w:r>
    </w:p>
    <w:p w14:paraId="3EAE7498" w14:textId="3E437409" w:rsidR="008C27CC" w:rsidRPr="00CF3E37" w:rsidRDefault="00CF3E37" w:rsidP="00CF3E37">
      <w:pPr>
        <w:pStyle w:val="Prrafodelista"/>
        <w:tabs>
          <w:tab w:val="left" w:pos="426"/>
        </w:tabs>
        <w:spacing w:after="160" w:line="360" w:lineRule="auto"/>
        <w:ind w:left="720" w:right="918"/>
        <w:contextualSpacing/>
        <w:jc w:val="both"/>
        <w:rPr>
          <w:rFonts w:ascii="Palatino Linotype" w:eastAsia="MS Mincho" w:hAnsi="Palatino Linotype" w:cs="Arial"/>
          <w:i/>
          <w:color w:val="000000"/>
          <w:lang w:eastAsia="en-US"/>
        </w:rPr>
      </w:pPr>
      <w:r w:rsidRPr="00CF3E37">
        <w:rPr>
          <w:rFonts w:ascii="Palatino Linotype" w:eastAsia="MS Mincho" w:hAnsi="Palatino Linotype" w:cs="Arial"/>
          <w:i/>
          <w:color w:val="000000"/>
          <w:lang w:eastAsia="en-US"/>
        </w:rPr>
        <w:t xml:space="preserve">III. Contralor Municipal. </w:t>
      </w:r>
    </w:p>
    <w:p w14:paraId="3CC760ED" w14:textId="78D3F917" w:rsidR="00CF3E37" w:rsidRPr="00CF3E37" w:rsidRDefault="00CF3E37" w:rsidP="00CF3E37">
      <w:pPr>
        <w:pStyle w:val="Prrafodelista"/>
        <w:tabs>
          <w:tab w:val="left" w:pos="426"/>
        </w:tabs>
        <w:spacing w:after="160" w:line="360" w:lineRule="auto"/>
        <w:ind w:left="720" w:right="918"/>
        <w:contextualSpacing/>
        <w:jc w:val="both"/>
        <w:rPr>
          <w:rFonts w:ascii="Palatino Linotype" w:eastAsia="MS Mincho" w:hAnsi="Palatino Linotype" w:cs="Arial"/>
          <w:i/>
          <w:color w:val="000000"/>
          <w:lang w:val="es-MX" w:eastAsia="en-US"/>
        </w:rPr>
      </w:pPr>
      <w:r w:rsidRPr="00CF3E37">
        <w:rPr>
          <w:rFonts w:ascii="Palatino Linotype" w:eastAsia="MS Mincho" w:hAnsi="Palatino Linotype" w:cs="Arial"/>
          <w:i/>
          <w:color w:val="000000"/>
          <w:lang w:val="es-MX" w:eastAsia="en-US"/>
        </w:rPr>
        <w:t>(…)” (Sic)</w:t>
      </w:r>
    </w:p>
    <w:p w14:paraId="333C4F57" w14:textId="7C888D4C" w:rsidR="008C27CC" w:rsidRPr="00F41687" w:rsidRDefault="008C27CC" w:rsidP="00CF3E37">
      <w:pPr>
        <w:pStyle w:val="Prrafodelista"/>
        <w:tabs>
          <w:tab w:val="left" w:pos="426"/>
        </w:tabs>
        <w:spacing w:after="160" w:line="360" w:lineRule="auto"/>
        <w:ind w:left="0"/>
        <w:contextualSpacing/>
        <w:rPr>
          <w:rFonts w:ascii="Palatino Linotype" w:eastAsia="MS Mincho" w:hAnsi="Palatino Linotype" w:cs="Arial"/>
          <w:color w:val="000000"/>
          <w:lang w:val="es-MX" w:eastAsia="en-US"/>
        </w:rPr>
      </w:pPr>
    </w:p>
    <w:p w14:paraId="2BBC8F54" w14:textId="77777777" w:rsidR="008C27CC" w:rsidRPr="000C1184" w:rsidRDefault="008C27CC" w:rsidP="007E66E7">
      <w:pPr>
        <w:numPr>
          <w:ilvl w:val="0"/>
          <w:numId w:val="11"/>
        </w:numPr>
        <w:spacing w:after="160" w:line="360" w:lineRule="auto"/>
        <w:ind w:left="0" w:right="-93" w:firstLine="0"/>
        <w:contextualSpacing/>
        <w:jc w:val="both"/>
        <w:rPr>
          <w:rFonts w:ascii="Palatino Linotype" w:hAnsi="Palatino Linotype" w:cs="Arial"/>
          <w:lang w:val="es-ES_tradnl"/>
        </w:rPr>
      </w:pPr>
      <w:r w:rsidRPr="00CB0565">
        <w:rPr>
          <w:rFonts w:ascii="Palatino Linotype" w:eastAsia="MS Mincho" w:hAnsi="Palatino Linotype" w:cs="Tahoma"/>
          <w:lang w:val="es-ES_tradnl"/>
        </w:rPr>
        <w:t>De</w:t>
      </w:r>
      <w:r>
        <w:rPr>
          <w:rFonts w:ascii="Palatino Linotype" w:eastAsia="MS Mincho" w:hAnsi="Palatino Linotype" w:cs="Tahoma"/>
          <w:lang w:val="es-ES_tradnl"/>
        </w:rPr>
        <w:t xml:space="preserve"> todo lo anterior </w:t>
      </w:r>
      <w:r>
        <w:rPr>
          <w:rFonts w:ascii="Palatino Linotype" w:hAnsi="Palatino Linotype" w:cs="Arial"/>
          <w:lang w:val="es-ES_tradnl"/>
        </w:rPr>
        <w:t>y de conformidad con los indicios emitidos por el particular en su solicitud de información</w:t>
      </w:r>
      <w:r w:rsidRPr="00CB0565">
        <w:rPr>
          <w:rFonts w:ascii="Palatino Linotype" w:hAnsi="Palatino Linotype" w:cs="Arial"/>
          <w:lang w:val="es-ES_tradnl"/>
        </w:rPr>
        <w:t>, es de precisar que se presume que la información solicitada</w:t>
      </w:r>
      <w:r w:rsidRPr="000C1184">
        <w:rPr>
          <w:rFonts w:ascii="Palatino Linotype" w:hAnsi="Palatino Linotype" w:cs="Arial"/>
          <w:lang w:val="es-ES_tradnl"/>
        </w:rPr>
        <w:t xml:space="preserve">  </w:t>
      </w:r>
      <w:r w:rsidRPr="00CB0565">
        <w:rPr>
          <w:rFonts w:ascii="Palatino Linotype" w:hAnsi="Palatino Linotype" w:cs="Arial"/>
          <w:lang w:val="es-ES_tradnl"/>
        </w:rPr>
        <w:t xml:space="preserve"> obra en los archivos del </w:t>
      </w:r>
      <w:r w:rsidRPr="00CB0565">
        <w:rPr>
          <w:rFonts w:ascii="Palatino Linotype" w:hAnsi="Palatino Linotype" w:cs="Arial"/>
          <w:b/>
          <w:lang w:val="es-ES_tradnl"/>
        </w:rPr>
        <w:t xml:space="preserve">SUJETO OBLIGADO  </w:t>
      </w:r>
      <w:r w:rsidRPr="00CB0565">
        <w:rPr>
          <w:rFonts w:ascii="Palatino Linotype" w:hAnsi="Palatino Linotype" w:cs="Arial"/>
          <w:lang w:val="es-ES_tradnl"/>
        </w:rPr>
        <w:t xml:space="preserve">y por lo tanto debe proceder a realizar una búsqueda exhaustiva a efecto de proporcionar los documentos donde obre la misma, </w:t>
      </w:r>
      <w:r w:rsidRPr="000C1184">
        <w:rPr>
          <w:rFonts w:ascii="Palatino Linotype" w:hAnsi="Palatino Linotype" w:cs="Arial"/>
          <w:lang w:val="es-ES_tradnl"/>
        </w:rPr>
        <w:t xml:space="preserve">en la inteligencia de que todos </w:t>
      </w:r>
      <w:r w:rsidRPr="000C1184">
        <w:rPr>
          <w:rFonts w:ascii="Palatino Linotype" w:eastAsia="MS Mincho" w:hAnsi="Palatino Linotype"/>
          <w:lang w:val="es-ES_tradnl" w:eastAsia="es-MX"/>
        </w:rPr>
        <w:t>los Sujetos Obligados por las atribuciones de derecho público que  el Estado les confiere deberán dirigir sus actuaciones bajo la buena fe y realizar las diligencias necesarias, para asegurar la efectividad del derecho de acceso a la información pública, por cuanto hace a la búsqueda y localización de la información requerida, puesto que el no indicar las acciones ejercidas posibilita la actuación discrecional y arbitraria del Estado sobre facilitar o no determinada información, generando inseguridad jurídica a los particulares en el ejercicio de sus derechos.</w:t>
      </w:r>
    </w:p>
    <w:p w14:paraId="7BD3515E" w14:textId="77777777" w:rsidR="008C27CC" w:rsidRDefault="008C27CC" w:rsidP="008C27CC">
      <w:pPr>
        <w:pStyle w:val="Ttulo1"/>
        <w:rPr>
          <w:rFonts w:ascii="Palatino Linotype" w:hAnsi="Palatino Linotype"/>
          <w:b/>
          <w:color w:val="auto"/>
          <w:sz w:val="24"/>
          <w:szCs w:val="24"/>
          <w:lang w:val="es-ES_tradnl"/>
        </w:rPr>
      </w:pPr>
      <w:bookmarkStart w:id="67" w:name="_Toc83830730"/>
      <w:bookmarkStart w:id="68" w:name="_Toc85125477"/>
      <w:bookmarkStart w:id="69" w:name="_Toc92977824"/>
      <w:bookmarkStart w:id="70" w:name="_Toc103216921"/>
      <w:bookmarkStart w:id="71" w:name="_Toc103877280"/>
      <w:r>
        <w:rPr>
          <w:rFonts w:ascii="Palatino Linotype" w:hAnsi="Palatino Linotype"/>
          <w:b/>
          <w:color w:val="auto"/>
          <w:sz w:val="24"/>
          <w:szCs w:val="24"/>
          <w:lang w:val="es-ES_tradnl"/>
        </w:rPr>
        <w:t xml:space="preserve">IV. </w:t>
      </w:r>
      <w:r w:rsidRPr="000C1184">
        <w:rPr>
          <w:rFonts w:ascii="Palatino Linotype" w:hAnsi="Palatino Linotype"/>
          <w:b/>
          <w:color w:val="auto"/>
          <w:sz w:val="24"/>
          <w:szCs w:val="24"/>
          <w:lang w:val="es-ES_tradnl"/>
        </w:rPr>
        <w:t>De la conservación de los documentos.</w:t>
      </w:r>
      <w:bookmarkEnd w:id="67"/>
      <w:bookmarkEnd w:id="68"/>
      <w:bookmarkEnd w:id="69"/>
      <w:bookmarkEnd w:id="70"/>
      <w:bookmarkEnd w:id="71"/>
    </w:p>
    <w:p w14:paraId="74E58AC4" w14:textId="77777777" w:rsidR="008C27CC" w:rsidRPr="001D60A4" w:rsidRDefault="008C27CC" w:rsidP="008C27CC">
      <w:pPr>
        <w:rPr>
          <w:rFonts w:eastAsia="MS Mincho"/>
          <w:lang w:val="es-ES_tradnl"/>
        </w:rPr>
      </w:pPr>
    </w:p>
    <w:p w14:paraId="250978B7" w14:textId="77777777" w:rsidR="008C27CC" w:rsidRPr="000C1184" w:rsidRDefault="008C27CC" w:rsidP="007E66E7">
      <w:pPr>
        <w:pStyle w:val="Prrafodelista"/>
        <w:numPr>
          <w:ilvl w:val="0"/>
          <w:numId w:val="11"/>
        </w:numPr>
        <w:tabs>
          <w:tab w:val="left" w:pos="851"/>
        </w:tabs>
        <w:spacing w:before="240" w:after="240" w:line="360" w:lineRule="auto"/>
        <w:ind w:left="0" w:right="49" w:firstLine="0"/>
        <w:contextualSpacing/>
        <w:jc w:val="both"/>
        <w:rPr>
          <w:rFonts w:ascii="Palatino Linotype" w:hAnsi="Palatino Linotype"/>
        </w:rPr>
      </w:pPr>
      <w:r>
        <w:rPr>
          <w:rFonts w:ascii="Palatino Linotype" w:hAnsi="Palatino Linotype"/>
        </w:rPr>
        <w:t>Ahora bien y dado la temporalidad de la información solicitada resulta imprescindible señalar que , l</w:t>
      </w:r>
      <w:r w:rsidRPr="000C1184">
        <w:rPr>
          <w:rFonts w:ascii="Palatino Linotype" w:hAnsi="Palatino Linotype"/>
        </w:rPr>
        <w:t xml:space="preserve">a Ley de Documentos Administrativos e Históricos del Estado de México establece los </w:t>
      </w:r>
      <w:r w:rsidRPr="000C1184">
        <w:rPr>
          <w:rFonts w:ascii="Palatino Linotype" w:hAnsi="Palatino Linotype"/>
          <w:b/>
        </w:rPr>
        <w:t>sistemas de control y apoyo técnico para la clasificación, catalogación, conservación, reproducción, resguardo y depuración de los documentos con valor histórico</w:t>
      </w:r>
      <w:r w:rsidRPr="000C1184">
        <w:rPr>
          <w:rFonts w:ascii="Palatino Linotype" w:hAnsi="Palatino Linotype"/>
        </w:rPr>
        <w:t xml:space="preserve">, con señalamiento de las áreas de fumigación, restauración y encuadernación, tan es así que en el artículo 8 de la Ley </w:t>
      </w:r>
      <w:r w:rsidRPr="000C1184">
        <w:rPr>
          <w:rFonts w:ascii="Palatino Linotype" w:hAnsi="Palatino Linotype"/>
        </w:rPr>
        <w:lastRenderedPageBreak/>
        <w:t xml:space="preserve">en cito, establece que los documentos de contenido administrativo de importancia, serán conservados hasta por 20 años, y el mismo artículo señala </w:t>
      </w:r>
      <w:r w:rsidRPr="000C1184">
        <w:rPr>
          <w:rFonts w:ascii="Palatino Linotype" w:hAnsi="Palatino Linotype"/>
          <w:i/>
        </w:rPr>
        <w:t>que ningún documento podrá ser destruido, a menos que, por escrito, lo determine la instancia facultada para ese efecto, en términos de la presente ley.</w:t>
      </w:r>
    </w:p>
    <w:p w14:paraId="7768D387" w14:textId="77777777" w:rsidR="008C27CC" w:rsidRPr="000C1184" w:rsidRDefault="008C27CC" w:rsidP="008C27CC">
      <w:pPr>
        <w:spacing w:line="360" w:lineRule="auto"/>
        <w:contextualSpacing/>
        <w:jc w:val="both"/>
        <w:rPr>
          <w:rFonts w:ascii="Palatino Linotype" w:hAnsi="Palatino Linotype"/>
          <w:lang w:val="es-MX" w:eastAsia="en-US"/>
        </w:rPr>
      </w:pPr>
    </w:p>
    <w:p w14:paraId="0B87D416" w14:textId="77777777" w:rsidR="008C27CC" w:rsidRPr="000C1184" w:rsidRDefault="008C27CC" w:rsidP="007E66E7">
      <w:pPr>
        <w:numPr>
          <w:ilvl w:val="0"/>
          <w:numId w:val="11"/>
        </w:numPr>
        <w:tabs>
          <w:tab w:val="left" w:pos="851"/>
        </w:tabs>
        <w:spacing w:before="240" w:after="240" w:line="360" w:lineRule="auto"/>
        <w:ind w:left="0" w:right="49" w:firstLine="0"/>
        <w:contextualSpacing/>
        <w:jc w:val="both"/>
        <w:rPr>
          <w:rFonts w:ascii="Palatino Linotype" w:hAnsi="Palatino Linotype"/>
        </w:rPr>
      </w:pPr>
      <w:r w:rsidRPr="000C1184">
        <w:rPr>
          <w:rFonts w:ascii="Palatino Linotype" w:hAnsi="Palatino Linotype"/>
          <w:lang w:val="es-MX" w:eastAsia="es-MX"/>
        </w:rPr>
        <w:t xml:space="preserve">Siendo importante señalar que, conforme lo establecido por el artículo 6 de los </w:t>
      </w:r>
      <w:r w:rsidRPr="000C1184">
        <w:rPr>
          <w:rFonts w:ascii="Palatino Linotype" w:hAnsi="Palatino Linotype"/>
          <w:b/>
          <w:lang w:val="es-MX" w:eastAsia="es-MX"/>
        </w:rPr>
        <w:t>Lineamientos por los que se establecen las Políticas y Criterios para realizar la Selección de los Documentos y Expedientes de Trámite Concluido existentes en los Archivos de las Unidades Administrativas de los Poderes del Estado y de los Municipios</w:t>
      </w:r>
      <w:r w:rsidRPr="000C1184">
        <w:rPr>
          <w:rFonts w:ascii="Palatino Linotype" w:hAnsi="Palatino Linotype"/>
          <w:vertAlign w:val="superscript"/>
          <w:lang w:val="es-MX" w:eastAsia="es-MX"/>
        </w:rPr>
        <w:footnoteReference w:id="10"/>
      </w:r>
      <w:r w:rsidRPr="000C1184">
        <w:rPr>
          <w:rFonts w:ascii="Palatino Linotype" w:hAnsi="Palatino Linotype"/>
          <w:lang w:val="es-MX" w:eastAsia="es-MX"/>
        </w:rPr>
        <w:t xml:space="preserve">, las unidades administrativas implementarán las acciones necesarias para administrar y conservar los documentos de archivo, generados o recibidos en el ejercicio de sus funciones, a fin de asegurar su integridad y la disponibilidad de la información en ellos contenida. </w:t>
      </w:r>
    </w:p>
    <w:p w14:paraId="74E01526" w14:textId="77777777" w:rsidR="008C27CC" w:rsidRPr="000C1184" w:rsidRDefault="008C27CC" w:rsidP="008C27CC">
      <w:pPr>
        <w:spacing w:line="360" w:lineRule="auto"/>
        <w:ind w:left="720"/>
        <w:contextualSpacing/>
        <w:rPr>
          <w:rFonts w:ascii="Palatino Linotype" w:hAnsi="Palatino Linotype"/>
        </w:rPr>
      </w:pPr>
    </w:p>
    <w:p w14:paraId="539845BE" w14:textId="77777777" w:rsidR="008C27CC" w:rsidRPr="000C1184" w:rsidRDefault="008C27CC" w:rsidP="007E66E7">
      <w:pPr>
        <w:numPr>
          <w:ilvl w:val="0"/>
          <w:numId w:val="11"/>
        </w:numPr>
        <w:tabs>
          <w:tab w:val="left" w:pos="851"/>
        </w:tabs>
        <w:spacing w:before="240" w:after="240" w:line="360" w:lineRule="auto"/>
        <w:ind w:left="0" w:right="49" w:firstLine="0"/>
        <w:contextualSpacing/>
        <w:jc w:val="both"/>
        <w:rPr>
          <w:rFonts w:ascii="Palatino Linotype" w:hAnsi="Palatino Linotype"/>
        </w:rPr>
      </w:pPr>
      <w:r w:rsidRPr="000C1184">
        <w:rPr>
          <w:rFonts w:ascii="Palatino Linotype" w:hAnsi="Palatino Linotype" w:cs="Arial"/>
          <w:lang w:val="es-ES_tradnl"/>
        </w:rPr>
        <w:t>Aunado a ello, la Ley de Transparencia y Acceso a la Información Pública del Estado de México y Municipios y los Lineamientos para la Administración de Documentos en el Estado de México</w:t>
      </w:r>
      <w:r w:rsidRPr="000C1184">
        <w:rPr>
          <w:rFonts w:ascii="Palatino Linotype" w:hAnsi="Palatino Linotype" w:cs="Arial"/>
          <w:vertAlign w:val="superscript"/>
          <w:lang w:val="es-ES_tradnl"/>
        </w:rPr>
        <w:footnoteReference w:id="11"/>
      </w:r>
      <w:r w:rsidRPr="000C1184">
        <w:rPr>
          <w:rFonts w:ascii="Palatino Linotype" w:hAnsi="Palatino Linotype" w:cs="Arial"/>
          <w:lang w:val="es-ES_tradnl"/>
        </w:rPr>
        <w:t>, en sus artículo 3, fracción XI, y 4, fracciones VIII, XXXII, XXXIII, XXXVI, XXXVII y LXXIV, respectivamente, establecen de manera literal lo siguiente:</w:t>
      </w:r>
    </w:p>
    <w:p w14:paraId="13B87C71" w14:textId="77777777" w:rsidR="008C27CC" w:rsidRPr="000C1184" w:rsidRDefault="008C27CC" w:rsidP="008C27CC">
      <w:pPr>
        <w:tabs>
          <w:tab w:val="left" w:pos="851"/>
        </w:tabs>
        <w:spacing w:before="240" w:after="240" w:line="360" w:lineRule="auto"/>
        <w:ind w:right="49"/>
        <w:contextualSpacing/>
        <w:jc w:val="both"/>
        <w:rPr>
          <w:rFonts w:ascii="Palatino Linotype" w:hAnsi="Palatino Linotype"/>
        </w:rPr>
      </w:pPr>
    </w:p>
    <w:p w14:paraId="278ABC8A" w14:textId="77777777" w:rsidR="008C27CC" w:rsidRPr="000C1184" w:rsidRDefault="008C27CC" w:rsidP="008C27CC">
      <w:pPr>
        <w:spacing w:before="240" w:after="240" w:line="360" w:lineRule="auto"/>
        <w:ind w:left="567" w:right="567"/>
        <w:jc w:val="both"/>
        <w:rPr>
          <w:rFonts w:ascii="Palatino Linotype" w:hAnsi="Palatino Linotype" w:cs="Arial"/>
          <w:b/>
          <w:i/>
          <w:lang w:val="es-ES_tradnl"/>
        </w:rPr>
      </w:pPr>
      <w:r>
        <w:rPr>
          <w:rFonts w:ascii="Palatino Linotype" w:hAnsi="Palatino Linotype" w:cs="Arial"/>
          <w:b/>
          <w:i/>
          <w:lang w:val="es-ES_tradnl"/>
        </w:rPr>
        <w:lastRenderedPageBreak/>
        <w:t>“</w:t>
      </w:r>
      <w:r w:rsidRPr="000C1184">
        <w:rPr>
          <w:rFonts w:ascii="Palatino Linotype" w:hAnsi="Palatino Linotype" w:cs="Arial"/>
          <w:b/>
          <w:i/>
          <w:lang w:val="es-ES_tradnl"/>
        </w:rPr>
        <w:t>Ley de Transparencia y Acceso a la Información Pública del Estado de México y Municipios</w:t>
      </w:r>
    </w:p>
    <w:p w14:paraId="106FCA89" w14:textId="77777777" w:rsidR="008C27CC" w:rsidRPr="000C1184" w:rsidRDefault="008C27CC" w:rsidP="008C27CC">
      <w:pPr>
        <w:spacing w:before="240" w:after="240" w:line="360" w:lineRule="auto"/>
        <w:ind w:left="567" w:right="567"/>
        <w:jc w:val="both"/>
        <w:rPr>
          <w:rFonts w:ascii="Palatino Linotype" w:hAnsi="Palatino Linotype" w:cs="Arial"/>
          <w:i/>
          <w:lang w:val="es-ES_tradnl"/>
        </w:rPr>
      </w:pPr>
      <w:r w:rsidRPr="000C1184">
        <w:rPr>
          <w:rFonts w:ascii="Palatino Linotype" w:hAnsi="Palatino Linotype" w:cs="Arial"/>
          <w:b/>
          <w:i/>
          <w:lang w:val="es-ES_tradnl"/>
        </w:rPr>
        <w:t>Artículo 3.</w:t>
      </w:r>
      <w:r w:rsidRPr="000C1184">
        <w:rPr>
          <w:rFonts w:ascii="Palatino Linotype" w:hAnsi="Palatino Linotype" w:cs="Arial"/>
          <w:i/>
          <w:lang w:val="es-ES_tradnl"/>
        </w:rPr>
        <w:t xml:space="preserve"> Para los efectos de la presente Ley se entenderá por:</w:t>
      </w:r>
    </w:p>
    <w:p w14:paraId="2BB9996D" w14:textId="77777777" w:rsidR="008C27CC" w:rsidRPr="000C1184" w:rsidRDefault="008C27CC" w:rsidP="008C27CC">
      <w:pPr>
        <w:spacing w:before="240" w:after="240" w:line="360" w:lineRule="auto"/>
        <w:ind w:left="567" w:right="567"/>
        <w:jc w:val="both"/>
        <w:rPr>
          <w:rFonts w:ascii="Palatino Linotype" w:hAnsi="Palatino Linotype" w:cs="Arial"/>
          <w:i/>
          <w:lang w:val="es-ES_tradnl"/>
        </w:rPr>
      </w:pPr>
      <w:r>
        <w:rPr>
          <w:rFonts w:ascii="Palatino Linotype" w:hAnsi="Palatino Linotype" w:cs="Arial"/>
          <w:i/>
          <w:lang w:val="es-ES_tradnl"/>
        </w:rPr>
        <w:t>(</w:t>
      </w:r>
      <w:r w:rsidRPr="000C1184">
        <w:rPr>
          <w:rFonts w:ascii="Palatino Linotype" w:hAnsi="Palatino Linotype" w:cs="Arial"/>
          <w:i/>
          <w:lang w:val="es-ES_tradnl"/>
        </w:rPr>
        <w:t>…</w:t>
      </w:r>
      <w:r>
        <w:rPr>
          <w:rFonts w:ascii="Palatino Linotype" w:hAnsi="Palatino Linotype" w:cs="Arial"/>
          <w:i/>
          <w:lang w:val="es-ES_tradnl"/>
        </w:rPr>
        <w:t>)</w:t>
      </w:r>
    </w:p>
    <w:p w14:paraId="0A3FB228" w14:textId="77777777" w:rsidR="008C27CC" w:rsidRPr="000C1184" w:rsidRDefault="008C27CC" w:rsidP="008C27CC">
      <w:pPr>
        <w:spacing w:before="240" w:after="240" w:line="360" w:lineRule="auto"/>
        <w:ind w:left="567" w:right="567"/>
        <w:jc w:val="both"/>
        <w:rPr>
          <w:rFonts w:ascii="Palatino Linotype" w:hAnsi="Palatino Linotype" w:cs="Arial"/>
          <w:i/>
          <w:lang w:val="es-ES_tradnl"/>
        </w:rPr>
      </w:pPr>
      <w:r w:rsidRPr="000C1184">
        <w:rPr>
          <w:rFonts w:ascii="Palatino Linotype" w:hAnsi="Palatino Linotype" w:cs="Arial"/>
          <w:b/>
          <w:i/>
          <w:lang w:val="es-ES_tradnl"/>
        </w:rPr>
        <w:t>XI.</w:t>
      </w:r>
      <w:r w:rsidRPr="000C1184">
        <w:rPr>
          <w:rFonts w:ascii="Palatino Linotype" w:hAnsi="Palatino Linotype" w:cs="Arial"/>
          <w:i/>
          <w:lang w:val="es-ES_tradnl"/>
        </w:rPr>
        <w:t xml:space="preserve"> </w:t>
      </w:r>
      <w:r w:rsidRPr="000C1184">
        <w:rPr>
          <w:rFonts w:ascii="Palatino Linotype" w:hAnsi="Palatino Linotype" w:cs="Arial"/>
          <w:b/>
          <w:i/>
          <w:lang w:val="es-ES_tradnl"/>
        </w:rPr>
        <w:t>Documento:</w:t>
      </w:r>
      <w:r w:rsidRPr="000C1184">
        <w:rPr>
          <w:rFonts w:ascii="Palatino Linotype" w:hAnsi="Palatino Linotype" w:cs="Arial"/>
          <w:i/>
          <w:lang w:val="es-ES_tradnl"/>
        </w:rPr>
        <w:t xml:space="preserve"> Los expedientes, reportes, estudios, actas, resoluciones, oficios, correspondencia, acuerdos, directivas, directrices, circulares, contratos, convenios, instructivos, notas, memorandos, estadísticas o bien, cualquier otro registro que documente el ejercicio de las facultades, funciones y competencias de los sujetos obligados, sus servidores públicos e integrantes, sin importar su fuente o fecha de elaboración. Los documentos podrán estar en cualquier medio, sea escrito, impreso, sonoro, visual, electrónico, informático u holográfico;</w:t>
      </w:r>
      <w:r>
        <w:rPr>
          <w:rFonts w:ascii="Palatino Linotype" w:hAnsi="Palatino Linotype" w:cs="Arial"/>
          <w:i/>
          <w:lang w:val="es-ES_tradnl"/>
        </w:rPr>
        <w:t>” (Sic)</w:t>
      </w:r>
    </w:p>
    <w:p w14:paraId="48A26DEA" w14:textId="77777777" w:rsidR="008C27CC" w:rsidRPr="000C1184" w:rsidRDefault="008C27CC" w:rsidP="007E66E7">
      <w:pPr>
        <w:numPr>
          <w:ilvl w:val="0"/>
          <w:numId w:val="11"/>
        </w:numPr>
        <w:spacing w:line="360" w:lineRule="auto"/>
        <w:ind w:left="0" w:right="49" w:firstLine="0"/>
        <w:contextualSpacing/>
        <w:jc w:val="both"/>
        <w:rPr>
          <w:rFonts w:ascii="Palatino Linotype" w:hAnsi="Palatino Linotype" w:cs="Arial"/>
          <w:color w:val="000000"/>
          <w:lang w:val="es-ES_tradnl"/>
        </w:rPr>
      </w:pPr>
      <w:r w:rsidRPr="000C1184">
        <w:rPr>
          <w:rFonts w:ascii="Palatino Linotype" w:hAnsi="Palatino Linotype" w:cs="Arial"/>
          <w:color w:val="000000"/>
          <w:lang w:val="es-ES_tradnl"/>
        </w:rPr>
        <w:t xml:space="preserve">Ahora bien, es necesario señalar las siguientes definiciones de acuerdo a los lineamientos para la Organización y Conservación de Archivos emitidos por el Instituto Nacional de Acceso a la Información  (INAI), los cuales tienen por objeto </w:t>
      </w:r>
      <w:r w:rsidRPr="000C1184">
        <w:rPr>
          <w:rFonts w:ascii="Palatino Linotype" w:hAnsi="Palatino Linotype" w:cs="CIDFont+F3"/>
          <w:i/>
          <w:lang w:val="es-MX"/>
        </w:rPr>
        <w:t>establecer las políticas y criterios para la sistematización y digitalización, así como para la custodia y conservación de los archivos en posesión de los sujetos obligados, con la finalidad de garantizar la disponibilidad, la localización eficiente de la información generada, obtenida, adquirida, transformada y contar con sistemas de información, ágiles y eficientes.</w:t>
      </w:r>
      <w:r w:rsidRPr="000C1184">
        <w:rPr>
          <w:rFonts w:ascii="Palatino Linotype" w:hAnsi="Palatino Linotype" w:cs="CIDFont+F3"/>
          <w:i/>
          <w:vertAlign w:val="superscript"/>
          <w:lang w:val="es-MX"/>
        </w:rPr>
        <w:footnoteReference w:id="12"/>
      </w:r>
    </w:p>
    <w:p w14:paraId="1A5F8B7E" w14:textId="77777777" w:rsidR="008C27CC" w:rsidRPr="000C1184" w:rsidRDefault="008C27CC" w:rsidP="008C27CC">
      <w:pPr>
        <w:spacing w:line="360" w:lineRule="auto"/>
        <w:ind w:right="49"/>
        <w:contextualSpacing/>
        <w:jc w:val="both"/>
        <w:rPr>
          <w:rFonts w:ascii="Palatino Linotype" w:hAnsi="Palatino Linotype" w:cs="Arial"/>
          <w:color w:val="000000"/>
          <w:lang w:val="es-ES_tradnl"/>
        </w:rPr>
      </w:pPr>
    </w:p>
    <w:p w14:paraId="5E772050" w14:textId="77777777" w:rsidR="008C27CC" w:rsidRDefault="008C27CC" w:rsidP="008C27CC">
      <w:pPr>
        <w:spacing w:line="360" w:lineRule="auto"/>
        <w:ind w:left="567" w:right="567"/>
        <w:contextualSpacing/>
        <w:jc w:val="both"/>
        <w:rPr>
          <w:rFonts w:ascii="Palatino Linotype" w:hAnsi="Palatino Linotype" w:cs="Arial"/>
          <w:b/>
          <w:bCs/>
          <w:i/>
          <w:color w:val="2F2F2F"/>
          <w:shd w:val="clear" w:color="auto" w:fill="FFFFFF"/>
          <w:lang w:val="es-ES_tradnl"/>
        </w:rPr>
      </w:pPr>
      <w:r>
        <w:rPr>
          <w:rFonts w:ascii="Palatino Linotype" w:hAnsi="Palatino Linotype" w:cs="Arial"/>
          <w:b/>
          <w:bCs/>
          <w:i/>
          <w:color w:val="2F2F2F"/>
          <w:shd w:val="clear" w:color="auto" w:fill="FFFFFF"/>
          <w:lang w:val="es-ES_tradnl"/>
        </w:rPr>
        <w:t>“</w:t>
      </w:r>
      <w:r w:rsidRPr="000C1184">
        <w:rPr>
          <w:rFonts w:ascii="Palatino Linotype" w:hAnsi="Palatino Linotype" w:cs="Arial"/>
          <w:b/>
          <w:bCs/>
          <w:i/>
          <w:color w:val="2F2F2F"/>
          <w:shd w:val="clear" w:color="auto" w:fill="FFFFFF"/>
          <w:lang w:val="es-ES_tradnl"/>
        </w:rPr>
        <w:t>Cuarto. …</w:t>
      </w:r>
    </w:p>
    <w:p w14:paraId="1B1F781A" w14:textId="77777777" w:rsidR="008C27CC" w:rsidRPr="000C1184" w:rsidRDefault="008C27CC" w:rsidP="008C27CC">
      <w:pPr>
        <w:spacing w:line="360" w:lineRule="auto"/>
        <w:ind w:left="567" w:right="567"/>
        <w:contextualSpacing/>
        <w:jc w:val="both"/>
        <w:rPr>
          <w:rFonts w:ascii="Palatino Linotype" w:hAnsi="Palatino Linotype" w:cs="Arial"/>
          <w:b/>
          <w:bCs/>
          <w:i/>
          <w:color w:val="2F2F2F"/>
          <w:shd w:val="clear" w:color="auto" w:fill="FFFFFF"/>
          <w:lang w:val="es-ES_tradnl"/>
        </w:rPr>
      </w:pPr>
    </w:p>
    <w:p w14:paraId="214F4B86" w14:textId="77777777" w:rsidR="008C27CC" w:rsidRDefault="008C27CC" w:rsidP="008C27CC">
      <w:pPr>
        <w:spacing w:line="360" w:lineRule="auto"/>
        <w:ind w:left="567" w:right="567"/>
        <w:contextualSpacing/>
        <w:jc w:val="both"/>
        <w:rPr>
          <w:rFonts w:ascii="Palatino Linotype" w:hAnsi="Palatino Linotype" w:cs="Arial"/>
          <w:b/>
          <w:bCs/>
          <w:i/>
          <w:color w:val="2F2F2F"/>
          <w:shd w:val="clear" w:color="auto" w:fill="FFFFFF"/>
          <w:lang w:val="es-ES_tradnl"/>
        </w:rPr>
      </w:pPr>
      <w:r>
        <w:rPr>
          <w:rFonts w:ascii="Palatino Linotype" w:hAnsi="Palatino Linotype" w:cs="Arial"/>
          <w:b/>
          <w:bCs/>
          <w:i/>
          <w:color w:val="2F2F2F"/>
          <w:shd w:val="clear" w:color="auto" w:fill="FFFFFF"/>
          <w:lang w:val="es-ES_tradnl"/>
        </w:rPr>
        <w:t>(</w:t>
      </w:r>
      <w:r w:rsidRPr="000C1184">
        <w:rPr>
          <w:rFonts w:ascii="Palatino Linotype" w:hAnsi="Palatino Linotype" w:cs="Arial"/>
          <w:b/>
          <w:bCs/>
          <w:i/>
          <w:color w:val="2F2F2F"/>
          <w:shd w:val="clear" w:color="auto" w:fill="FFFFFF"/>
          <w:lang w:val="es-ES_tradnl"/>
        </w:rPr>
        <w:t>…</w:t>
      </w:r>
      <w:r>
        <w:rPr>
          <w:rFonts w:ascii="Palatino Linotype" w:hAnsi="Palatino Linotype" w:cs="Arial"/>
          <w:b/>
          <w:bCs/>
          <w:i/>
          <w:color w:val="2F2F2F"/>
          <w:shd w:val="clear" w:color="auto" w:fill="FFFFFF"/>
          <w:lang w:val="es-ES_tradnl"/>
        </w:rPr>
        <w:t>)</w:t>
      </w:r>
    </w:p>
    <w:p w14:paraId="7A11117E" w14:textId="77777777" w:rsidR="008C27CC" w:rsidRPr="000C1184" w:rsidRDefault="008C27CC" w:rsidP="008C27CC">
      <w:pPr>
        <w:spacing w:line="360" w:lineRule="auto"/>
        <w:ind w:left="567" w:right="567"/>
        <w:contextualSpacing/>
        <w:jc w:val="both"/>
        <w:rPr>
          <w:rFonts w:ascii="Palatino Linotype" w:hAnsi="Palatino Linotype" w:cs="Arial"/>
          <w:b/>
          <w:bCs/>
          <w:i/>
          <w:color w:val="2F2F2F"/>
          <w:shd w:val="clear" w:color="auto" w:fill="FFFFFF"/>
          <w:lang w:val="es-ES_tradnl"/>
        </w:rPr>
      </w:pPr>
    </w:p>
    <w:p w14:paraId="7BD9095A" w14:textId="77777777" w:rsidR="008C27CC" w:rsidRPr="000C1184" w:rsidRDefault="008C27CC" w:rsidP="008C27CC">
      <w:pPr>
        <w:spacing w:line="360" w:lineRule="auto"/>
        <w:ind w:left="567" w:right="567"/>
        <w:contextualSpacing/>
        <w:jc w:val="both"/>
        <w:rPr>
          <w:rFonts w:ascii="Palatino Linotype" w:hAnsi="Palatino Linotype" w:cs="Arial"/>
          <w:i/>
          <w:color w:val="2F2F2F"/>
          <w:shd w:val="clear" w:color="auto" w:fill="FFFFFF"/>
          <w:lang w:val="es-ES_tradnl"/>
        </w:rPr>
      </w:pPr>
      <w:r w:rsidRPr="000C1184">
        <w:rPr>
          <w:rFonts w:ascii="Palatino Linotype" w:hAnsi="Palatino Linotype" w:cs="Arial"/>
          <w:b/>
          <w:bCs/>
          <w:i/>
          <w:color w:val="2F2F2F"/>
          <w:shd w:val="clear" w:color="auto" w:fill="FFFFFF"/>
          <w:lang w:val="es-ES_tradnl"/>
        </w:rPr>
        <w:t>II. Archivo:</w:t>
      </w:r>
      <w:r w:rsidRPr="000C1184">
        <w:rPr>
          <w:rFonts w:ascii="Palatino Linotype" w:hAnsi="Palatino Linotype" w:cs="Arial"/>
          <w:i/>
          <w:color w:val="2F2F2F"/>
          <w:shd w:val="clear" w:color="auto" w:fill="FFFFFF"/>
          <w:lang w:val="es-ES_tradnl"/>
        </w:rPr>
        <w:t> El conjunto orgánico de documentos en cualquier soporte, que son producidos o recibidos por los sujetos obligados o los particulares en el ejercicio de sus atribuciones o en el desarrollo de sus actividades;</w:t>
      </w:r>
    </w:p>
    <w:p w14:paraId="5048C831" w14:textId="77777777" w:rsidR="008C27CC" w:rsidRPr="000C1184" w:rsidRDefault="008C27CC" w:rsidP="008C27CC">
      <w:pPr>
        <w:spacing w:line="360" w:lineRule="auto"/>
        <w:ind w:left="567" w:right="567"/>
        <w:contextualSpacing/>
        <w:jc w:val="both"/>
        <w:rPr>
          <w:rFonts w:ascii="Palatino Linotype" w:hAnsi="Palatino Linotype" w:cs="Arial"/>
          <w:i/>
          <w:color w:val="2F2F2F"/>
          <w:shd w:val="clear" w:color="auto" w:fill="FFFFFF"/>
          <w:lang w:val="es-ES_tradnl"/>
        </w:rPr>
      </w:pPr>
    </w:p>
    <w:p w14:paraId="1334DB71" w14:textId="77777777" w:rsidR="008C27CC" w:rsidRDefault="008C27CC" w:rsidP="008C27CC">
      <w:pPr>
        <w:spacing w:line="360" w:lineRule="auto"/>
        <w:ind w:left="567" w:right="567"/>
        <w:contextualSpacing/>
        <w:jc w:val="both"/>
        <w:rPr>
          <w:rFonts w:ascii="Palatino Linotype" w:hAnsi="Palatino Linotype" w:cs="Arial"/>
          <w:i/>
          <w:color w:val="2F2F2F"/>
          <w:shd w:val="clear" w:color="auto" w:fill="FFFFFF"/>
          <w:lang w:val="es-ES_tradnl"/>
        </w:rPr>
      </w:pPr>
      <w:r w:rsidRPr="000C1184">
        <w:rPr>
          <w:rFonts w:ascii="Palatino Linotype" w:hAnsi="Palatino Linotype" w:cs="Arial"/>
          <w:b/>
          <w:bCs/>
          <w:i/>
          <w:color w:val="2F2F2F"/>
          <w:shd w:val="clear" w:color="auto" w:fill="FFFFFF"/>
          <w:lang w:val="es-ES_tradnl"/>
        </w:rPr>
        <w:t>III. Archivo de concentración: </w:t>
      </w:r>
      <w:r w:rsidRPr="000C1184">
        <w:rPr>
          <w:rFonts w:ascii="Palatino Linotype" w:hAnsi="Palatino Linotype" w:cs="Arial"/>
          <w:i/>
          <w:color w:val="2F2F2F"/>
          <w:shd w:val="clear" w:color="auto" w:fill="FFFFFF"/>
          <w:lang w:val="es-ES_tradnl"/>
        </w:rPr>
        <w:t>La unidad responsable de la administración de documentos cuya consulta es esporádica y que permanecen en ella hasta su transferencia secundaria o baja documental;</w:t>
      </w:r>
    </w:p>
    <w:p w14:paraId="6DD33725" w14:textId="77777777" w:rsidR="008C27CC" w:rsidRPr="000C1184" w:rsidRDefault="008C27CC" w:rsidP="008C27CC">
      <w:pPr>
        <w:spacing w:line="360" w:lineRule="auto"/>
        <w:ind w:left="567" w:right="567"/>
        <w:contextualSpacing/>
        <w:jc w:val="both"/>
        <w:rPr>
          <w:rFonts w:ascii="Palatino Linotype" w:hAnsi="Palatino Linotype" w:cs="Arial"/>
          <w:i/>
          <w:color w:val="2F2F2F"/>
          <w:shd w:val="clear" w:color="auto" w:fill="FFFFFF"/>
          <w:lang w:val="es-ES_tradnl"/>
        </w:rPr>
      </w:pPr>
    </w:p>
    <w:p w14:paraId="5AF77004" w14:textId="77777777" w:rsidR="008C27CC" w:rsidRDefault="008C27CC" w:rsidP="008C27CC">
      <w:pPr>
        <w:spacing w:line="360" w:lineRule="auto"/>
        <w:ind w:left="567" w:right="567"/>
        <w:contextualSpacing/>
        <w:jc w:val="both"/>
        <w:rPr>
          <w:rFonts w:ascii="Palatino Linotype" w:hAnsi="Palatino Linotype" w:cs="Arial"/>
          <w:b/>
          <w:bCs/>
          <w:i/>
          <w:color w:val="2F2F2F"/>
          <w:shd w:val="clear" w:color="auto" w:fill="FFFFFF"/>
          <w:lang w:val="es-ES_tradnl"/>
        </w:rPr>
      </w:pPr>
      <w:r>
        <w:rPr>
          <w:rFonts w:ascii="Palatino Linotype" w:hAnsi="Palatino Linotype" w:cs="Arial"/>
          <w:b/>
          <w:bCs/>
          <w:i/>
          <w:color w:val="2F2F2F"/>
          <w:shd w:val="clear" w:color="auto" w:fill="FFFFFF"/>
          <w:lang w:val="es-ES_tradnl"/>
        </w:rPr>
        <w:t>(</w:t>
      </w:r>
      <w:r w:rsidRPr="000C1184">
        <w:rPr>
          <w:rFonts w:ascii="Palatino Linotype" w:hAnsi="Palatino Linotype" w:cs="Arial"/>
          <w:b/>
          <w:bCs/>
          <w:i/>
          <w:color w:val="2F2F2F"/>
          <w:shd w:val="clear" w:color="auto" w:fill="FFFFFF"/>
          <w:lang w:val="es-ES_tradnl"/>
        </w:rPr>
        <w:t>…</w:t>
      </w:r>
      <w:r>
        <w:rPr>
          <w:rFonts w:ascii="Palatino Linotype" w:hAnsi="Palatino Linotype" w:cs="Arial"/>
          <w:b/>
          <w:bCs/>
          <w:i/>
          <w:color w:val="2F2F2F"/>
          <w:shd w:val="clear" w:color="auto" w:fill="FFFFFF"/>
          <w:lang w:val="es-ES_tradnl"/>
        </w:rPr>
        <w:t>)</w:t>
      </w:r>
    </w:p>
    <w:p w14:paraId="619120BE" w14:textId="77777777" w:rsidR="008C27CC" w:rsidRPr="000C1184" w:rsidRDefault="008C27CC" w:rsidP="008C27CC">
      <w:pPr>
        <w:spacing w:line="360" w:lineRule="auto"/>
        <w:ind w:left="567" w:right="567"/>
        <w:contextualSpacing/>
        <w:jc w:val="both"/>
        <w:rPr>
          <w:rFonts w:ascii="Palatino Linotype" w:hAnsi="Palatino Linotype" w:cs="Arial"/>
          <w:b/>
          <w:bCs/>
          <w:i/>
          <w:color w:val="2F2F2F"/>
          <w:shd w:val="clear" w:color="auto" w:fill="FFFFFF"/>
          <w:lang w:val="es-ES_tradnl"/>
        </w:rPr>
      </w:pPr>
    </w:p>
    <w:p w14:paraId="17A20A51" w14:textId="77777777" w:rsidR="008C27CC" w:rsidRDefault="008C27CC" w:rsidP="008C27CC">
      <w:pPr>
        <w:spacing w:line="360" w:lineRule="auto"/>
        <w:ind w:left="567" w:right="567"/>
        <w:contextualSpacing/>
        <w:jc w:val="both"/>
        <w:rPr>
          <w:rFonts w:ascii="Palatino Linotype" w:hAnsi="Palatino Linotype" w:cs="Arial"/>
          <w:i/>
          <w:color w:val="2F2F2F"/>
          <w:shd w:val="clear" w:color="auto" w:fill="FFFFFF"/>
          <w:lang w:val="es-ES_tradnl"/>
        </w:rPr>
      </w:pPr>
      <w:r w:rsidRPr="000C1184">
        <w:rPr>
          <w:rFonts w:ascii="Palatino Linotype" w:hAnsi="Palatino Linotype" w:cs="Arial"/>
          <w:b/>
          <w:bCs/>
          <w:i/>
          <w:color w:val="2F2F2F"/>
          <w:shd w:val="clear" w:color="auto" w:fill="FFFFFF"/>
          <w:lang w:val="es-ES_tradnl"/>
        </w:rPr>
        <w:t>V. Archivo de trámite: </w:t>
      </w:r>
      <w:r w:rsidRPr="000C1184">
        <w:rPr>
          <w:rFonts w:ascii="Palatino Linotype" w:hAnsi="Palatino Linotype" w:cs="Arial"/>
          <w:i/>
          <w:color w:val="2F2F2F"/>
          <w:shd w:val="clear" w:color="auto" w:fill="FFFFFF"/>
          <w:lang w:val="es-ES_tradnl"/>
        </w:rPr>
        <w:t>La unidad responsable de la administración de documentos de uso cotidiano y necesario para el ejercicio de las atribuciones de una unidad administrativa, los cuales permanecen en ella hasta su transferencia primaria;</w:t>
      </w:r>
    </w:p>
    <w:p w14:paraId="3E72917A" w14:textId="77777777" w:rsidR="008C27CC" w:rsidRPr="000C1184" w:rsidRDefault="008C27CC" w:rsidP="008C27CC">
      <w:pPr>
        <w:spacing w:line="360" w:lineRule="auto"/>
        <w:ind w:left="567" w:right="567"/>
        <w:contextualSpacing/>
        <w:jc w:val="both"/>
        <w:rPr>
          <w:rFonts w:ascii="Palatino Linotype" w:hAnsi="Palatino Linotype" w:cs="Arial"/>
          <w:i/>
          <w:color w:val="2F2F2F"/>
          <w:shd w:val="clear" w:color="auto" w:fill="FFFFFF"/>
          <w:lang w:val="es-ES_tradnl"/>
        </w:rPr>
      </w:pPr>
    </w:p>
    <w:p w14:paraId="4C43DD2C" w14:textId="77777777" w:rsidR="008C27CC" w:rsidRDefault="008C27CC" w:rsidP="008C27CC">
      <w:pPr>
        <w:spacing w:line="360" w:lineRule="auto"/>
        <w:ind w:left="567" w:right="567"/>
        <w:contextualSpacing/>
        <w:jc w:val="both"/>
        <w:rPr>
          <w:rFonts w:ascii="Palatino Linotype" w:hAnsi="Palatino Linotype" w:cs="Arial"/>
          <w:b/>
          <w:bCs/>
          <w:i/>
          <w:color w:val="2F2F2F"/>
          <w:shd w:val="clear" w:color="auto" w:fill="FFFFFF"/>
          <w:lang w:val="es-ES_tradnl"/>
        </w:rPr>
      </w:pPr>
      <w:r>
        <w:rPr>
          <w:rFonts w:ascii="Palatino Linotype" w:hAnsi="Palatino Linotype" w:cs="Arial"/>
          <w:b/>
          <w:bCs/>
          <w:i/>
          <w:color w:val="2F2F2F"/>
          <w:shd w:val="clear" w:color="auto" w:fill="FFFFFF"/>
          <w:lang w:val="es-ES_tradnl"/>
        </w:rPr>
        <w:t>(</w:t>
      </w:r>
      <w:r w:rsidRPr="000C1184">
        <w:rPr>
          <w:rFonts w:ascii="Palatino Linotype" w:hAnsi="Palatino Linotype" w:cs="Arial"/>
          <w:b/>
          <w:bCs/>
          <w:i/>
          <w:color w:val="2F2F2F"/>
          <w:shd w:val="clear" w:color="auto" w:fill="FFFFFF"/>
          <w:lang w:val="es-ES_tradnl"/>
        </w:rPr>
        <w:t>…</w:t>
      </w:r>
      <w:r>
        <w:rPr>
          <w:rFonts w:ascii="Palatino Linotype" w:hAnsi="Palatino Linotype" w:cs="Arial"/>
          <w:b/>
          <w:bCs/>
          <w:i/>
          <w:color w:val="2F2F2F"/>
          <w:shd w:val="clear" w:color="auto" w:fill="FFFFFF"/>
          <w:lang w:val="es-ES_tradnl"/>
        </w:rPr>
        <w:t>)</w:t>
      </w:r>
    </w:p>
    <w:p w14:paraId="6288B161" w14:textId="77777777" w:rsidR="008C27CC" w:rsidRPr="000C1184" w:rsidRDefault="008C27CC" w:rsidP="008C27CC">
      <w:pPr>
        <w:spacing w:line="360" w:lineRule="auto"/>
        <w:ind w:left="567" w:right="567"/>
        <w:contextualSpacing/>
        <w:jc w:val="both"/>
        <w:rPr>
          <w:rFonts w:ascii="Palatino Linotype" w:hAnsi="Palatino Linotype" w:cs="Arial"/>
          <w:b/>
          <w:bCs/>
          <w:i/>
          <w:color w:val="2F2F2F"/>
          <w:shd w:val="clear" w:color="auto" w:fill="FFFFFF"/>
          <w:lang w:val="es-ES_tradnl"/>
        </w:rPr>
      </w:pPr>
    </w:p>
    <w:p w14:paraId="3109D29F" w14:textId="77777777" w:rsidR="008C27CC" w:rsidRDefault="008C27CC" w:rsidP="008C27CC">
      <w:pPr>
        <w:spacing w:line="360" w:lineRule="auto"/>
        <w:ind w:left="567" w:right="567"/>
        <w:contextualSpacing/>
        <w:jc w:val="both"/>
        <w:rPr>
          <w:rFonts w:ascii="Palatino Linotype" w:hAnsi="Palatino Linotype" w:cs="Arial"/>
          <w:i/>
          <w:color w:val="2F2F2F"/>
          <w:shd w:val="clear" w:color="auto" w:fill="FFFFFF"/>
          <w:lang w:val="es-ES_tradnl"/>
        </w:rPr>
      </w:pPr>
      <w:r w:rsidRPr="000C1184">
        <w:rPr>
          <w:rFonts w:ascii="Palatino Linotype" w:hAnsi="Palatino Linotype" w:cs="Arial"/>
          <w:b/>
          <w:bCs/>
          <w:i/>
          <w:color w:val="2F2F2F"/>
          <w:shd w:val="clear" w:color="auto" w:fill="FFFFFF"/>
          <w:lang w:val="es-ES_tradnl"/>
        </w:rPr>
        <w:t>X. Ciclo vital del documento:</w:t>
      </w:r>
      <w:r w:rsidRPr="000C1184">
        <w:rPr>
          <w:rFonts w:ascii="Palatino Linotype" w:hAnsi="Palatino Linotype" w:cs="Arial"/>
          <w:i/>
          <w:color w:val="2F2F2F"/>
          <w:shd w:val="clear" w:color="auto" w:fill="FFFFFF"/>
          <w:lang w:val="es-ES_tradnl"/>
        </w:rPr>
        <w:t> Las etapas de los documentos desde su producción o recepción hasta su baja o transferencia a un archivo histórico;</w:t>
      </w:r>
    </w:p>
    <w:p w14:paraId="60E1E551" w14:textId="77777777" w:rsidR="008C27CC" w:rsidRPr="000C1184" w:rsidRDefault="008C27CC" w:rsidP="008C27CC">
      <w:pPr>
        <w:spacing w:line="360" w:lineRule="auto"/>
        <w:ind w:left="567" w:right="567"/>
        <w:contextualSpacing/>
        <w:jc w:val="both"/>
        <w:rPr>
          <w:rFonts w:ascii="Palatino Linotype" w:hAnsi="Palatino Linotype" w:cs="Arial"/>
          <w:i/>
          <w:color w:val="2F2F2F"/>
          <w:shd w:val="clear" w:color="auto" w:fill="FFFFFF"/>
          <w:lang w:val="es-ES_tradnl"/>
        </w:rPr>
      </w:pPr>
    </w:p>
    <w:p w14:paraId="5527402C" w14:textId="77777777" w:rsidR="008C27CC" w:rsidRDefault="008C27CC" w:rsidP="008C27CC">
      <w:pPr>
        <w:spacing w:line="360" w:lineRule="auto"/>
        <w:ind w:left="567" w:right="567"/>
        <w:contextualSpacing/>
        <w:jc w:val="both"/>
        <w:rPr>
          <w:rFonts w:ascii="Palatino Linotype" w:hAnsi="Palatino Linotype" w:cs="Arial"/>
          <w:b/>
          <w:bCs/>
          <w:i/>
          <w:color w:val="2F2F2F"/>
          <w:shd w:val="clear" w:color="auto" w:fill="FFFFFF"/>
          <w:lang w:val="es-ES_tradnl"/>
        </w:rPr>
      </w:pPr>
      <w:r>
        <w:rPr>
          <w:rFonts w:ascii="Palatino Linotype" w:hAnsi="Palatino Linotype" w:cs="Arial"/>
          <w:b/>
          <w:bCs/>
          <w:i/>
          <w:color w:val="2F2F2F"/>
          <w:shd w:val="clear" w:color="auto" w:fill="FFFFFF"/>
          <w:lang w:val="es-ES_tradnl"/>
        </w:rPr>
        <w:lastRenderedPageBreak/>
        <w:t>(</w:t>
      </w:r>
      <w:r w:rsidRPr="000C1184">
        <w:rPr>
          <w:rFonts w:ascii="Palatino Linotype" w:hAnsi="Palatino Linotype" w:cs="Arial"/>
          <w:b/>
          <w:bCs/>
          <w:i/>
          <w:color w:val="2F2F2F"/>
          <w:shd w:val="clear" w:color="auto" w:fill="FFFFFF"/>
          <w:lang w:val="es-ES_tradnl"/>
        </w:rPr>
        <w:t>…</w:t>
      </w:r>
      <w:r>
        <w:rPr>
          <w:rFonts w:ascii="Palatino Linotype" w:hAnsi="Palatino Linotype" w:cs="Arial"/>
          <w:b/>
          <w:bCs/>
          <w:i/>
          <w:color w:val="2F2F2F"/>
          <w:shd w:val="clear" w:color="auto" w:fill="FFFFFF"/>
          <w:lang w:val="es-ES_tradnl"/>
        </w:rPr>
        <w:t>)</w:t>
      </w:r>
    </w:p>
    <w:p w14:paraId="5DD5B977" w14:textId="77777777" w:rsidR="008C27CC" w:rsidRPr="000C1184" w:rsidRDefault="008C27CC" w:rsidP="008C27CC">
      <w:pPr>
        <w:spacing w:line="360" w:lineRule="auto"/>
        <w:ind w:left="567" w:right="567"/>
        <w:contextualSpacing/>
        <w:jc w:val="both"/>
        <w:rPr>
          <w:rFonts w:ascii="Palatino Linotype" w:hAnsi="Palatino Linotype" w:cs="Arial"/>
          <w:i/>
          <w:color w:val="2F2F2F"/>
          <w:shd w:val="clear" w:color="auto" w:fill="FFFFFF"/>
          <w:lang w:val="es-ES_tradnl"/>
        </w:rPr>
      </w:pPr>
    </w:p>
    <w:p w14:paraId="6B38F021" w14:textId="77777777" w:rsidR="008C27CC" w:rsidRPr="000C1184" w:rsidRDefault="008C27CC" w:rsidP="008C27CC">
      <w:pPr>
        <w:spacing w:line="360" w:lineRule="auto"/>
        <w:ind w:left="567" w:right="567"/>
        <w:contextualSpacing/>
        <w:jc w:val="both"/>
        <w:rPr>
          <w:rFonts w:ascii="Palatino Linotype" w:hAnsi="Palatino Linotype" w:cs="Arial"/>
          <w:i/>
          <w:color w:val="2F2F2F"/>
          <w:shd w:val="clear" w:color="auto" w:fill="FFFFFF"/>
          <w:lang w:val="es-ES_tradnl"/>
        </w:rPr>
      </w:pPr>
      <w:r w:rsidRPr="000C1184">
        <w:rPr>
          <w:rFonts w:ascii="Palatino Linotype" w:hAnsi="Palatino Linotype" w:cs="Arial"/>
          <w:b/>
          <w:bCs/>
          <w:i/>
          <w:color w:val="2F2F2F"/>
          <w:shd w:val="clear" w:color="auto" w:fill="FFFFFF"/>
          <w:lang w:val="es-ES_tradnl"/>
        </w:rPr>
        <w:t>XLVIII. Transferencia documental:</w:t>
      </w:r>
      <w:r w:rsidRPr="000C1184">
        <w:rPr>
          <w:rFonts w:ascii="Palatino Linotype" w:hAnsi="Palatino Linotype" w:cs="Arial"/>
          <w:i/>
          <w:color w:val="2F2F2F"/>
          <w:shd w:val="clear" w:color="auto" w:fill="FFFFFF"/>
          <w:lang w:val="es-ES_tradnl"/>
        </w:rPr>
        <w:t> El traslado controlado y sistemático de expedientes de consulta esporádica de un archivo de trámite al archivo de concentración (transferencia primaria) y de expedientes que deben conservarse de manera permanente, del archivo de concentración al archivo histórico (transferencia secundaria);</w:t>
      </w:r>
    </w:p>
    <w:p w14:paraId="02612365" w14:textId="77777777" w:rsidR="008C27CC" w:rsidRPr="000C1184" w:rsidRDefault="008C27CC" w:rsidP="008C27CC">
      <w:pPr>
        <w:spacing w:line="360" w:lineRule="auto"/>
        <w:ind w:right="567"/>
        <w:jc w:val="both"/>
        <w:rPr>
          <w:rFonts w:ascii="Palatino Linotype" w:hAnsi="Palatino Linotype" w:cs="Arial"/>
          <w:i/>
          <w:color w:val="2F2F2F"/>
          <w:shd w:val="clear" w:color="auto" w:fill="FFFFFF"/>
          <w:lang w:val="es-ES_tradnl"/>
        </w:rPr>
      </w:pPr>
    </w:p>
    <w:p w14:paraId="6397817A" w14:textId="77777777" w:rsidR="008C27CC" w:rsidRPr="000C1184" w:rsidRDefault="008C27CC" w:rsidP="007E66E7">
      <w:pPr>
        <w:numPr>
          <w:ilvl w:val="0"/>
          <w:numId w:val="11"/>
        </w:numPr>
        <w:spacing w:line="360" w:lineRule="auto"/>
        <w:ind w:left="0" w:right="49" w:firstLine="0"/>
        <w:contextualSpacing/>
        <w:jc w:val="both"/>
        <w:rPr>
          <w:rFonts w:ascii="Palatino Linotype" w:hAnsi="Palatino Linotype" w:cs="Arial"/>
          <w:color w:val="000000"/>
          <w:lang w:val="es-ES_tradnl"/>
        </w:rPr>
      </w:pPr>
      <w:r w:rsidRPr="000C1184">
        <w:rPr>
          <w:rFonts w:ascii="Palatino Linotype" w:hAnsi="Palatino Linotype" w:cs="Arial"/>
          <w:color w:val="000000"/>
          <w:lang w:val="es-ES_tradnl"/>
        </w:rPr>
        <w:t xml:space="preserve">De lo anterior, se entiende que los documentos cuentan con un ciclo vital, dicho de otra manera, son etapas a las que son sometidos desde su producción o recepción hasta su baja o transferencia a un archivo histórico, la primer etapa es el Archivo de Trámite, ahí se depositan todos los archivos de uso cotidiano y que son necesarios para el ejercicio de las atribuciones de una entidad administrativa, y permanecen ahí hasta su transferencia primaria, al Archivo de Concentración, en esta área se mantienen los archivos cuya consulta es esporádica y permanecen ahí hasta su transferencia secundaria (Archivo Histórico) o baja documental. En ese sentido, el artículo 24 de </w:t>
      </w:r>
      <w:r w:rsidRPr="000C1184">
        <w:rPr>
          <w:rFonts w:ascii="Palatino Linotype" w:hAnsi="Palatino Linotype"/>
          <w:lang w:val="es-MX" w:eastAsia="es-MX"/>
        </w:rPr>
        <w:t>los Lineamientos por los que se establecen las Políticas y Criterios para realizar la Selección de los Documentos y Expedientes de Trámite Concluido existentes en los Archivos de las Unidades Administrativas de los Poderes del Estado y de los Municipios</w:t>
      </w:r>
      <w:r w:rsidRPr="000C1184">
        <w:rPr>
          <w:rFonts w:ascii="Palatino Linotype" w:hAnsi="Palatino Linotype"/>
          <w:vertAlign w:val="superscript"/>
          <w:lang w:val="es-MX" w:eastAsia="es-MX"/>
        </w:rPr>
        <w:footnoteReference w:id="13"/>
      </w:r>
      <w:r>
        <w:rPr>
          <w:rFonts w:ascii="Palatino Linotype" w:hAnsi="Palatino Linotype"/>
          <w:lang w:val="es-MX" w:eastAsia="es-MX"/>
        </w:rPr>
        <w:t>:</w:t>
      </w:r>
    </w:p>
    <w:p w14:paraId="464F1078" w14:textId="77777777" w:rsidR="008C27CC" w:rsidRPr="000C1184" w:rsidRDefault="008C27CC" w:rsidP="008C27CC">
      <w:pPr>
        <w:spacing w:line="360" w:lineRule="auto"/>
        <w:ind w:right="49"/>
        <w:contextualSpacing/>
        <w:jc w:val="both"/>
        <w:rPr>
          <w:rFonts w:ascii="Palatino Linotype" w:hAnsi="Palatino Linotype" w:cs="Arial"/>
          <w:color w:val="000000"/>
          <w:lang w:val="es-ES_tradnl"/>
        </w:rPr>
      </w:pPr>
    </w:p>
    <w:p w14:paraId="6237B2B1" w14:textId="77777777" w:rsidR="008C27CC" w:rsidRPr="000C1184" w:rsidRDefault="008C27CC" w:rsidP="008C27CC">
      <w:pPr>
        <w:spacing w:after="360" w:line="360" w:lineRule="auto"/>
        <w:ind w:left="567" w:right="918"/>
        <w:jc w:val="both"/>
        <w:rPr>
          <w:rFonts w:ascii="Palatino Linotype" w:hAnsi="Palatino Linotype"/>
          <w:lang w:val="es-MX" w:eastAsia="es-MX"/>
        </w:rPr>
      </w:pPr>
      <w:r>
        <w:rPr>
          <w:rFonts w:ascii="Palatino Linotype" w:hAnsi="Palatino Linotype"/>
          <w:b/>
          <w:bCs/>
          <w:i/>
          <w:iCs/>
          <w:lang w:val="es-MX" w:eastAsia="es-MX"/>
        </w:rPr>
        <w:lastRenderedPageBreak/>
        <w:t>“</w:t>
      </w:r>
      <w:r w:rsidRPr="000C1184">
        <w:rPr>
          <w:rFonts w:ascii="Palatino Linotype" w:hAnsi="Palatino Linotype"/>
          <w:b/>
          <w:bCs/>
          <w:i/>
          <w:iCs/>
          <w:lang w:val="es-MX" w:eastAsia="es-MX"/>
        </w:rPr>
        <w:t>Artículo 24.-</w:t>
      </w:r>
      <w:r w:rsidRPr="000C1184">
        <w:rPr>
          <w:rFonts w:ascii="Palatino Linotype" w:hAnsi="Palatino Linotype"/>
          <w:i/>
          <w:iCs/>
          <w:lang w:val="es-MX" w:eastAsia="es-MX"/>
        </w:rPr>
        <w:t xml:space="preserve"> Las unidades administrativas al realizar la transferencia de los expedientes de trámite concluido, señalaran en el “Inventario” los plazos de conservación precaucional de éstos en el Archivo de Concentración. Para determinar el plazo de conservación precaucional deberán considerar el marco legal o administrativo bajo el cual se produjeron o recibieron los documentos y los siguientes períodos:</w:t>
      </w:r>
    </w:p>
    <w:p w14:paraId="0DCF2E1C" w14:textId="77777777" w:rsidR="008C27CC" w:rsidRDefault="008C27CC" w:rsidP="008C27CC">
      <w:pPr>
        <w:spacing w:line="360" w:lineRule="auto"/>
        <w:ind w:left="567" w:right="918"/>
        <w:jc w:val="both"/>
        <w:rPr>
          <w:rFonts w:ascii="Palatino Linotype" w:hAnsi="Palatino Linotype"/>
          <w:bCs/>
          <w:i/>
          <w:iCs/>
          <w:u w:val="single"/>
          <w:lang w:val="es-MX" w:eastAsia="es-MX"/>
        </w:rPr>
      </w:pPr>
      <w:r w:rsidRPr="000C1184">
        <w:rPr>
          <w:rFonts w:ascii="Palatino Linotype" w:hAnsi="Palatino Linotype"/>
          <w:b/>
          <w:bCs/>
          <w:i/>
          <w:iCs/>
          <w:lang w:val="es-MX" w:eastAsia="es-MX"/>
        </w:rPr>
        <w:t xml:space="preserve">I. </w:t>
      </w:r>
      <w:r w:rsidRPr="000C1184">
        <w:rPr>
          <w:rFonts w:ascii="Palatino Linotype" w:hAnsi="Palatino Linotype"/>
          <w:bCs/>
          <w:i/>
          <w:iCs/>
          <w:u w:val="single"/>
          <w:lang w:val="es-MX" w:eastAsia="es-MX"/>
        </w:rPr>
        <w:t>6 años para expedientes con información administrativa;</w:t>
      </w:r>
    </w:p>
    <w:p w14:paraId="60289AAC" w14:textId="77777777" w:rsidR="008C27CC" w:rsidRPr="000C1184" w:rsidRDefault="008C27CC" w:rsidP="008C27CC">
      <w:pPr>
        <w:spacing w:line="360" w:lineRule="auto"/>
        <w:ind w:left="567" w:right="918"/>
        <w:jc w:val="both"/>
        <w:rPr>
          <w:rFonts w:ascii="Palatino Linotype" w:hAnsi="Palatino Linotype"/>
          <w:bCs/>
          <w:i/>
          <w:iCs/>
          <w:u w:val="single"/>
          <w:lang w:val="es-MX" w:eastAsia="es-MX"/>
        </w:rPr>
      </w:pPr>
    </w:p>
    <w:p w14:paraId="10C2A2A9" w14:textId="77777777" w:rsidR="008C27CC" w:rsidRPr="000C1184" w:rsidRDefault="008C27CC" w:rsidP="008C27CC">
      <w:pPr>
        <w:spacing w:line="360" w:lineRule="auto"/>
        <w:ind w:left="567" w:right="918"/>
        <w:jc w:val="both"/>
        <w:rPr>
          <w:rFonts w:ascii="Palatino Linotype" w:hAnsi="Palatino Linotype"/>
          <w:lang w:val="es-MX" w:eastAsia="es-MX"/>
        </w:rPr>
      </w:pPr>
      <w:r>
        <w:rPr>
          <w:rFonts w:ascii="Palatino Linotype" w:hAnsi="Palatino Linotype"/>
          <w:bCs/>
          <w:i/>
          <w:iCs/>
          <w:lang w:val="es-MX" w:eastAsia="es-MX"/>
        </w:rPr>
        <w:t>(</w:t>
      </w:r>
      <w:r w:rsidRPr="000C1184">
        <w:rPr>
          <w:rFonts w:ascii="Palatino Linotype" w:hAnsi="Palatino Linotype"/>
          <w:bCs/>
          <w:i/>
          <w:iCs/>
          <w:lang w:val="es-MX" w:eastAsia="es-MX"/>
        </w:rPr>
        <w:t>…</w:t>
      </w:r>
      <w:r>
        <w:rPr>
          <w:rFonts w:ascii="Palatino Linotype" w:hAnsi="Palatino Linotype"/>
          <w:bCs/>
          <w:i/>
          <w:iCs/>
          <w:lang w:val="es-MX" w:eastAsia="es-MX"/>
        </w:rPr>
        <w:t>)</w:t>
      </w:r>
    </w:p>
    <w:p w14:paraId="15E6EFA2" w14:textId="77777777" w:rsidR="008C27CC" w:rsidRPr="000C1184" w:rsidRDefault="008C27CC" w:rsidP="008C27CC">
      <w:pPr>
        <w:spacing w:line="360" w:lineRule="auto"/>
        <w:ind w:right="49"/>
        <w:contextualSpacing/>
        <w:jc w:val="both"/>
        <w:rPr>
          <w:rFonts w:ascii="Palatino Linotype" w:hAnsi="Palatino Linotype" w:cs="Arial"/>
          <w:lang w:val="es-ES_tradnl"/>
        </w:rPr>
      </w:pPr>
    </w:p>
    <w:p w14:paraId="5783E335" w14:textId="77777777" w:rsidR="008C27CC" w:rsidRPr="000C1184" w:rsidRDefault="008C27CC" w:rsidP="007E66E7">
      <w:pPr>
        <w:numPr>
          <w:ilvl w:val="0"/>
          <w:numId w:val="11"/>
        </w:numPr>
        <w:spacing w:line="360" w:lineRule="auto"/>
        <w:ind w:left="0" w:right="49" w:firstLine="0"/>
        <w:contextualSpacing/>
        <w:jc w:val="both"/>
        <w:rPr>
          <w:rFonts w:ascii="Palatino Linotype" w:hAnsi="Palatino Linotype" w:cs="Arial"/>
          <w:lang w:val="es-ES_tradnl"/>
        </w:rPr>
      </w:pPr>
      <w:r w:rsidRPr="000C1184">
        <w:rPr>
          <w:rFonts w:ascii="Palatino Linotype" w:hAnsi="Palatino Linotype" w:cs="Arial"/>
          <w:lang w:val="es-ES_tradnl"/>
        </w:rPr>
        <w:t xml:space="preserve">Los archivos permanecerán en Archivo de Trámite hasta que sean transferidos al Archivo de Concentración, en donde su plazo de conservación precaucional de acuerdo a los lineamientos en cito, </w:t>
      </w:r>
      <w:r w:rsidRPr="000C1184">
        <w:rPr>
          <w:rFonts w:ascii="Palatino Linotype" w:hAnsi="Palatino Linotype" w:cs="Arial"/>
          <w:b/>
          <w:lang w:val="es-ES_tradnl"/>
        </w:rPr>
        <w:t>será de 6 años</w:t>
      </w:r>
      <w:r w:rsidRPr="000C1184">
        <w:rPr>
          <w:rFonts w:ascii="Palatino Linotype" w:hAnsi="Palatino Linotype" w:cs="Arial"/>
          <w:lang w:val="es-ES_tradnl"/>
        </w:rPr>
        <w:t xml:space="preserve"> para los expedientes con información administrativa, sin embargo, el artículo 8 de la Ley de Documentos Administrativos e Históricos del Estado de México establece que </w:t>
      </w:r>
      <w:r w:rsidRPr="000C1184">
        <w:rPr>
          <w:rFonts w:ascii="Palatino Linotype" w:hAnsi="Palatino Linotype" w:cs="Arial"/>
          <w:b/>
          <w:lang w:val="es-ES_tradnl"/>
        </w:rPr>
        <w:t>los documentos de contenido administrativo de importancia</w:t>
      </w:r>
      <w:r w:rsidRPr="000C1184">
        <w:rPr>
          <w:rFonts w:ascii="Palatino Linotype" w:hAnsi="Palatino Linotype" w:cs="Arial"/>
          <w:lang w:val="es-ES_tradnl"/>
        </w:rPr>
        <w:t xml:space="preserve">, </w:t>
      </w:r>
      <w:r w:rsidRPr="000C1184">
        <w:rPr>
          <w:rFonts w:ascii="Palatino Linotype" w:hAnsi="Palatino Linotype" w:cs="Arial"/>
          <w:b/>
          <w:lang w:val="es-ES_tradnl"/>
        </w:rPr>
        <w:t>serán conservados por 20 años</w:t>
      </w:r>
      <w:r w:rsidRPr="000C1184">
        <w:rPr>
          <w:rFonts w:ascii="Palatino Linotype" w:hAnsi="Palatino Linotype" w:cs="Arial"/>
          <w:lang w:val="es-ES_tradnl"/>
        </w:rPr>
        <w:t xml:space="preserve">. </w:t>
      </w:r>
    </w:p>
    <w:p w14:paraId="79B03B6C" w14:textId="77777777" w:rsidR="008C27CC" w:rsidRPr="000C1184" w:rsidRDefault="008C27CC" w:rsidP="008C27CC">
      <w:pPr>
        <w:spacing w:line="360" w:lineRule="auto"/>
        <w:ind w:right="49"/>
        <w:contextualSpacing/>
        <w:jc w:val="both"/>
        <w:rPr>
          <w:rFonts w:ascii="Palatino Linotype" w:hAnsi="Palatino Linotype" w:cs="Arial"/>
          <w:b/>
          <w:i/>
        </w:rPr>
      </w:pPr>
    </w:p>
    <w:p w14:paraId="78E48FE6" w14:textId="77777777" w:rsidR="008C27CC" w:rsidRPr="000C1184" w:rsidRDefault="008C27CC" w:rsidP="008C27CC">
      <w:pPr>
        <w:spacing w:line="360" w:lineRule="auto"/>
        <w:ind w:left="567" w:right="567"/>
        <w:contextualSpacing/>
        <w:jc w:val="both"/>
        <w:rPr>
          <w:rFonts w:ascii="Palatino Linotype" w:hAnsi="Palatino Linotype" w:cs="Arial"/>
          <w:color w:val="000000"/>
          <w:lang w:val="es-ES_tradnl"/>
        </w:rPr>
      </w:pPr>
      <w:r w:rsidRPr="000C1184">
        <w:rPr>
          <w:rFonts w:ascii="Palatino Linotype" w:hAnsi="Palatino Linotype" w:cs="Arial"/>
          <w:b/>
          <w:i/>
        </w:rPr>
        <w:t>Artículo 8.-</w:t>
      </w:r>
      <w:r w:rsidRPr="000C1184">
        <w:rPr>
          <w:rFonts w:ascii="Palatino Linotype" w:hAnsi="Palatino Linotype" w:cs="Arial"/>
          <w:i/>
        </w:rPr>
        <w:t xml:space="preserve"> Los documentos de </w:t>
      </w:r>
      <w:r w:rsidRPr="000C1184">
        <w:rPr>
          <w:rFonts w:ascii="Palatino Linotype" w:hAnsi="Palatino Linotype" w:cs="Arial"/>
          <w:b/>
          <w:i/>
        </w:rPr>
        <w:t>contenido administrativo de importancia,</w:t>
      </w:r>
      <w:r w:rsidRPr="000C1184">
        <w:rPr>
          <w:rFonts w:ascii="Palatino Linotype" w:hAnsi="Palatino Linotype" w:cs="Arial"/>
          <w:i/>
        </w:rPr>
        <w:t xml:space="preserve"> </w:t>
      </w:r>
      <w:r w:rsidRPr="000C1184">
        <w:rPr>
          <w:rFonts w:ascii="Palatino Linotype" w:hAnsi="Palatino Linotype" w:cs="Arial"/>
          <w:b/>
          <w:i/>
        </w:rPr>
        <w:t>serán conservados por 20 año</w:t>
      </w:r>
      <w:r w:rsidRPr="000C1184">
        <w:rPr>
          <w:rFonts w:ascii="Palatino Linotype" w:hAnsi="Palatino Linotype" w:cs="Arial"/>
          <w:i/>
        </w:rPr>
        <w:t>s, y si el documento se vincula con las funciones de 2 ó más sujetos públicos, deberá transmitirse la información correspondiente, para el efecto, del proceso o vaciado en otros documentos.</w:t>
      </w:r>
    </w:p>
    <w:p w14:paraId="73715985" w14:textId="77777777" w:rsidR="008C27CC" w:rsidRPr="000C1184" w:rsidRDefault="008C27CC" w:rsidP="008C27CC">
      <w:pPr>
        <w:spacing w:line="360" w:lineRule="auto"/>
        <w:contextualSpacing/>
        <w:jc w:val="both"/>
        <w:rPr>
          <w:rFonts w:ascii="Palatino Linotype" w:hAnsi="Palatino Linotype"/>
          <w:highlight w:val="cyan"/>
          <w:lang w:val="es-MX" w:eastAsia="en-US"/>
        </w:rPr>
      </w:pPr>
    </w:p>
    <w:p w14:paraId="5E8443F7" w14:textId="79AA847A" w:rsidR="008C27CC" w:rsidRDefault="008C27CC" w:rsidP="007E66E7">
      <w:pPr>
        <w:numPr>
          <w:ilvl w:val="0"/>
          <w:numId w:val="11"/>
        </w:numPr>
        <w:spacing w:line="360" w:lineRule="auto"/>
        <w:ind w:left="0" w:firstLine="0"/>
        <w:contextualSpacing/>
        <w:jc w:val="both"/>
        <w:rPr>
          <w:rFonts w:ascii="Palatino Linotype" w:hAnsi="Palatino Linotype"/>
          <w:lang w:val="es-MX" w:eastAsia="en-US"/>
        </w:rPr>
      </w:pPr>
      <w:r w:rsidRPr="007878BC">
        <w:rPr>
          <w:rFonts w:ascii="Palatino Linotype" w:hAnsi="Palatino Linotype"/>
          <w:lang w:val="es-MX" w:eastAsia="en-US"/>
        </w:rPr>
        <w:lastRenderedPageBreak/>
        <w:t>En conclusión, se determina que el Documento al cual se requiere acceso reviste la calidad de documento administrativo de importancia por lo que, de conformidad con la normatividad a</w:t>
      </w:r>
      <w:r>
        <w:rPr>
          <w:rFonts w:ascii="Palatino Linotype" w:hAnsi="Palatino Linotype"/>
          <w:lang w:val="es-MX" w:eastAsia="en-US"/>
        </w:rPr>
        <w:t xml:space="preserve">plicable en materia de archivo, </w:t>
      </w:r>
      <w:r w:rsidRPr="007878BC">
        <w:rPr>
          <w:rFonts w:ascii="Palatino Linotype" w:hAnsi="Palatino Linotype"/>
          <w:lang w:val="es-MX" w:eastAsia="en-US"/>
        </w:rPr>
        <w:t>debe obrar en lo</w:t>
      </w:r>
      <w:r>
        <w:rPr>
          <w:rFonts w:ascii="Palatino Linotype" w:hAnsi="Palatino Linotype"/>
          <w:lang w:val="es-MX" w:eastAsia="en-US"/>
        </w:rPr>
        <w:t>s archivos del Sujeto Obligado.</w:t>
      </w:r>
    </w:p>
    <w:p w14:paraId="1DA924C6" w14:textId="77777777" w:rsidR="007E66E7" w:rsidRDefault="007E66E7" w:rsidP="007E66E7">
      <w:pPr>
        <w:spacing w:line="360" w:lineRule="auto"/>
        <w:contextualSpacing/>
        <w:jc w:val="both"/>
        <w:rPr>
          <w:rFonts w:ascii="Palatino Linotype" w:hAnsi="Palatino Linotype"/>
          <w:lang w:val="es-MX" w:eastAsia="en-US"/>
        </w:rPr>
      </w:pPr>
    </w:p>
    <w:p w14:paraId="311D97E3" w14:textId="77777777" w:rsidR="007E66E7" w:rsidRPr="00655A8C" w:rsidRDefault="007E66E7" w:rsidP="007E66E7">
      <w:pPr>
        <w:keepNext/>
        <w:keepLines/>
        <w:spacing w:before="240" w:line="360" w:lineRule="auto"/>
        <w:ind w:right="538"/>
        <w:contextualSpacing/>
        <w:jc w:val="both"/>
        <w:outlineLvl w:val="0"/>
        <w:rPr>
          <w:rFonts w:ascii="Palatino Linotype" w:eastAsia="MS Mincho" w:hAnsi="Palatino Linotype"/>
          <w:b/>
          <w:lang w:val="es-ES_tradnl"/>
        </w:rPr>
      </w:pPr>
      <w:bookmarkStart w:id="72" w:name="_Toc96007406"/>
      <w:bookmarkStart w:id="73" w:name="_Toc98429027"/>
      <w:bookmarkStart w:id="74" w:name="_Toc98978644"/>
      <w:bookmarkStart w:id="75" w:name="_Toc103821647"/>
      <w:r w:rsidRPr="00655A8C">
        <w:rPr>
          <w:rFonts w:ascii="Palatino Linotype" w:eastAsia="MS Gothic" w:hAnsi="Palatino Linotype"/>
          <w:b/>
          <w:lang w:val="es-ES_tradnl" w:eastAsia="es-ES_tradnl"/>
        </w:rPr>
        <w:t xml:space="preserve">QUINTO. </w:t>
      </w:r>
      <w:r w:rsidRPr="00655A8C">
        <w:rPr>
          <w:rFonts w:ascii="Palatino Linotype" w:eastAsia="MS Mincho" w:hAnsi="Palatino Linotype"/>
          <w:b/>
          <w:lang w:val="es-ES_tradnl"/>
        </w:rPr>
        <w:t>De la elaboración de la versión pública y el acuerdo de clasificación como información confidencial o reservada.</w:t>
      </w:r>
      <w:bookmarkEnd w:id="72"/>
      <w:bookmarkEnd w:id="73"/>
      <w:bookmarkEnd w:id="74"/>
      <w:bookmarkEnd w:id="75"/>
    </w:p>
    <w:p w14:paraId="5758AC91" w14:textId="77777777" w:rsidR="007E66E7" w:rsidRPr="00655A8C" w:rsidRDefault="007E66E7" w:rsidP="007E66E7">
      <w:pPr>
        <w:keepNext/>
        <w:keepLines/>
        <w:spacing w:before="240" w:line="360" w:lineRule="auto"/>
        <w:ind w:right="538"/>
        <w:contextualSpacing/>
        <w:jc w:val="both"/>
        <w:outlineLvl w:val="0"/>
        <w:rPr>
          <w:rFonts w:ascii="Palatino Linotype" w:eastAsia="MS Mincho" w:hAnsi="Palatino Linotype"/>
          <w:b/>
          <w:lang w:val="es-ES_tradnl"/>
        </w:rPr>
      </w:pPr>
    </w:p>
    <w:p w14:paraId="7FE10CFD" w14:textId="1BEA3F05" w:rsidR="007E66E7" w:rsidRPr="00655A8C" w:rsidRDefault="007E66E7" w:rsidP="007E66E7">
      <w:pPr>
        <w:pStyle w:val="Prrafodelista"/>
        <w:numPr>
          <w:ilvl w:val="0"/>
          <w:numId w:val="11"/>
        </w:numPr>
        <w:spacing w:before="240" w:after="240" w:line="360" w:lineRule="auto"/>
        <w:ind w:left="0" w:firstLine="0"/>
        <w:contextualSpacing/>
        <w:jc w:val="both"/>
        <w:rPr>
          <w:rFonts w:ascii="Palatino Linotype" w:hAnsi="Palatino Linotype" w:cs="Arial"/>
        </w:rPr>
      </w:pPr>
      <w:r w:rsidRPr="00655A8C">
        <w:rPr>
          <w:rFonts w:ascii="Palatino Linotype" w:hAnsi="Palatino Linotype" w:cs="Arial"/>
          <w:color w:val="000000"/>
          <w:lang w:val="es-ES_tradnl"/>
        </w:rPr>
        <w:t xml:space="preserve">Debe destacarse que debido a la naturaleza de </w:t>
      </w:r>
      <w:r w:rsidRPr="00655A8C">
        <w:rPr>
          <w:rFonts w:ascii="Palatino Linotype" w:hAnsi="Palatino Linotype"/>
          <w:color w:val="000000"/>
          <w:lang w:val="es-ES_tradnl"/>
        </w:rPr>
        <w:t xml:space="preserve">la información solicitada, en la misma pudieran obrar datos personales o información reservada susceptibles de protegerse </w:t>
      </w:r>
      <w:r w:rsidRPr="00655A8C">
        <w:rPr>
          <w:rFonts w:ascii="Palatino Linotype" w:hAnsi="Palatino Linotype" w:cs="Arial"/>
          <w:color w:val="000000"/>
          <w:lang w:val="es-ES_tradnl"/>
        </w:rPr>
        <w:t>y toda vez que este Instituto de Transparencia, Acceso a la Información Pública y Protección de Datos Personales del Estado de México tiene el deber de velar por la protección de los datos personales aun tratándose de servidores públicos o  por aquella información que deba ser clasificada en su totalidad como información reservada, por las consideraciones que se estimen pertinentes.</w:t>
      </w:r>
    </w:p>
    <w:p w14:paraId="77BC4FB3" w14:textId="77777777" w:rsidR="007E66E7" w:rsidRPr="00655A8C" w:rsidRDefault="007E66E7" w:rsidP="007E66E7">
      <w:pPr>
        <w:spacing w:before="240" w:after="240" w:line="360" w:lineRule="auto"/>
        <w:contextualSpacing/>
        <w:jc w:val="both"/>
        <w:rPr>
          <w:rFonts w:ascii="Palatino Linotype" w:hAnsi="Palatino Linotype" w:cs="Arial"/>
        </w:rPr>
      </w:pPr>
    </w:p>
    <w:p w14:paraId="0E4A87BB" w14:textId="77777777" w:rsidR="007E66E7" w:rsidRPr="00655A8C" w:rsidRDefault="007E66E7" w:rsidP="007E66E7">
      <w:pPr>
        <w:numPr>
          <w:ilvl w:val="0"/>
          <w:numId w:val="11"/>
        </w:numPr>
        <w:spacing w:before="240" w:after="240" w:line="360" w:lineRule="auto"/>
        <w:ind w:left="0" w:firstLine="0"/>
        <w:contextualSpacing/>
        <w:jc w:val="both"/>
        <w:rPr>
          <w:rFonts w:ascii="Palatino Linotype" w:hAnsi="Palatino Linotype" w:cs="Arial"/>
        </w:rPr>
      </w:pPr>
      <w:r w:rsidRPr="00655A8C">
        <w:rPr>
          <w:rFonts w:ascii="Palatino Linotype" w:eastAsia="Calibri" w:hAnsi="Palatino Linotype" w:cs="Arial"/>
          <w:color w:val="000000"/>
          <w:lang w:eastAsia="es-MX"/>
        </w:rPr>
        <w:t xml:space="preserve">Es de señalar que, por lo que hace a las versiones públicas, el </w:t>
      </w:r>
      <w:r w:rsidRPr="00655A8C">
        <w:rPr>
          <w:rFonts w:ascii="Palatino Linotype" w:eastAsia="Calibri" w:hAnsi="Palatino Linotype" w:cs="Arial"/>
          <w:b/>
          <w:color w:val="000000"/>
          <w:lang w:eastAsia="es-MX"/>
        </w:rPr>
        <w:t>SUJETO OBLIGADO</w:t>
      </w:r>
      <w:r w:rsidRPr="00655A8C">
        <w:rPr>
          <w:rFonts w:ascii="Palatino Linotype" w:eastAsia="Calibri" w:hAnsi="Palatino Linotype" w:cs="Arial"/>
          <w:color w:val="000000"/>
          <w:lang w:eastAsia="es-MX"/>
        </w:rPr>
        <w:t xml:space="preserve"> debe cumplir con las formalidades exigidas en la Ley, por lo que </w:t>
      </w:r>
      <w:r w:rsidRPr="00655A8C">
        <w:rPr>
          <w:rFonts w:ascii="Palatino Linotype" w:hAnsi="Palatino Linotype" w:cs="Arial"/>
          <w:color w:val="000000"/>
          <w:lang w:val="es-ES_tradnl" w:eastAsia="es-MX"/>
        </w:rPr>
        <w:t xml:space="preserve">para tal efecto emitirá el </w:t>
      </w:r>
      <w:r w:rsidRPr="00655A8C">
        <w:rPr>
          <w:rFonts w:ascii="Palatino Linotype" w:eastAsia="Calibri" w:hAnsi="Palatino Linotype" w:cs="Arial"/>
          <w:color w:val="000000"/>
          <w:lang w:eastAsia="es-MX"/>
        </w:rPr>
        <w:t xml:space="preserve">Acuerdo del Comité de Transparencia en términos de los </w:t>
      </w:r>
      <w:r w:rsidRPr="00655A8C">
        <w:rPr>
          <w:rFonts w:ascii="Palatino Linotype" w:eastAsia="Calibri" w:hAnsi="Palatino Linotype" w:cs="Arial"/>
          <w:color w:val="000000"/>
          <w:lang w:eastAsia="es-MX"/>
        </w:rPr>
        <w:lastRenderedPageBreak/>
        <w:t>artículos 49 fracción</w:t>
      </w:r>
      <w:r w:rsidRPr="00655A8C">
        <w:rPr>
          <w:rFonts w:ascii="Palatino Linotype" w:eastAsia="Calibri" w:hAnsi="Palatino Linotype" w:cs="Arial"/>
          <w:bCs/>
          <w:color w:val="000000"/>
          <w:lang w:val="es-ES_tradnl"/>
        </w:rPr>
        <w:t xml:space="preserve"> VIII,</w:t>
      </w:r>
      <w:r w:rsidRPr="00655A8C">
        <w:rPr>
          <w:rFonts w:ascii="Palatino Linotype" w:eastAsia="Calibri" w:hAnsi="Palatino Linotype" w:cs="Arial"/>
          <w:color w:val="000000"/>
          <w:lang w:eastAsia="es-MX"/>
        </w:rPr>
        <w:t xml:space="preserve"> 122</w:t>
      </w:r>
      <w:r w:rsidRPr="00655A8C">
        <w:rPr>
          <w:rFonts w:ascii="Palatino Linotype" w:hAnsi="Palatino Linotype"/>
          <w:vertAlign w:val="superscript"/>
          <w:lang w:eastAsia="es-MX"/>
        </w:rPr>
        <w:footnoteReference w:id="14"/>
      </w:r>
      <w:r w:rsidRPr="00655A8C">
        <w:rPr>
          <w:rFonts w:ascii="Palatino Linotype" w:eastAsia="Calibri" w:hAnsi="Palatino Linotype" w:cs="Arial"/>
          <w:color w:val="000000"/>
          <w:lang w:eastAsia="es-MX"/>
        </w:rPr>
        <w:t>, 135</w:t>
      </w:r>
      <w:r w:rsidRPr="00655A8C">
        <w:rPr>
          <w:rFonts w:ascii="Palatino Linotype" w:hAnsi="Palatino Linotype"/>
          <w:vertAlign w:val="superscript"/>
          <w:lang w:eastAsia="es-MX"/>
        </w:rPr>
        <w:footnoteReference w:id="15"/>
      </w:r>
      <w:r w:rsidRPr="00655A8C">
        <w:rPr>
          <w:rFonts w:ascii="Palatino Linotype" w:eastAsia="Calibri" w:hAnsi="Palatino Linotype" w:cs="Arial"/>
          <w:color w:val="000000"/>
          <w:lang w:eastAsia="es-MX"/>
        </w:rPr>
        <w:t xml:space="preserve"> y 149 de la </w:t>
      </w:r>
      <w:r w:rsidRPr="00655A8C">
        <w:rPr>
          <w:rFonts w:ascii="Palatino Linotype" w:eastAsia="Calibri" w:hAnsi="Palatino Linotype" w:cs="Arial"/>
          <w:b/>
          <w:color w:val="000000"/>
          <w:lang w:eastAsia="es-MX"/>
        </w:rPr>
        <w:t>Ley de Transparencia y Acceso a la Información Pública del Estado de México y Municipios</w:t>
      </w:r>
      <w:r w:rsidRPr="00655A8C">
        <w:rPr>
          <w:rFonts w:ascii="Palatino Linotype" w:eastAsia="Calibri" w:hAnsi="Palatino Linotype" w:cs="Arial"/>
          <w:color w:val="000000"/>
          <w:lang w:eastAsia="es-MX"/>
        </w:rPr>
        <w:t>, con el cual sustentara de forma fundada y motivada la clasificación de datos y con ello la "versión pública" de los documentos materia de la solicitud.</w:t>
      </w:r>
    </w:p>
    <w:p w14:paraId="5C45D498" w14:textId="77777777" w:rsidR="007E66E7" w:rsidRPr="00655A8C" w:rsidRDefault="007E66E7" w:rsidP="007E66E7">
      <w:pPr>
        <w:spacing w:before="240" w:after="240" w:line="360" w:lineRule="auto"/>
        <w:contextualSpacing/>
        <w:jc w:val="both"/>
        <w:rPr>
          <w:rFonts w:ascii="Palatino Linotype" w:hAnsi="Palatino Linotype" w:cs="Arial"/>
        </w:rPr>
      </w:pPr>
    </w:p>
    <w:p w14:paraId="7DF9A5E1" w14:textId="77777777" w:rsidR="007E66E7" w:rsidRPr="00655A8C" w:rsidRDefault="007E66E7" w:rsidP="007E66E7">
      <w:pPr>
        <w:keepNext/>
        <w:keepLines/>
        <w:numPr>
          <w:ilvl w:val="0"/>
          <w:numId w:val="8"/>
        </w:numPr>
        <w:spacing w:before="240" w:after="160" w:line="360" w:lineRule="auto"/>
        <w:ind w:left="284" w:hanging="284"/>
        <w:outlineLvl w:val="0"/>
        <w:rPr>
          <w:rFonts w:ascii="Palatino Linotype" w:eastAsia="MS Gothic" w:hAnsi="Palatino Linotype"/>
          <w:b/>
          <w:color w:val="000000"/>
          <w:lang w:val="es-ES_tradnl"/>
        </w:rPr>
      </w:pPr>
      <w:bookmarkStart w:id="76" w:name="_Toc83127114"/>
      <w:bookmarkStart w:id="77" w:name="_Toc96007407"/>
      <w:bookmarkStart w:id="78" w:name="_Toc98429028"/>
      <w:bookmarkStart w:id="79" w:name="_Toc98978645"/>
      <w:bookmarkStart w:id="80" w:name="_Toc103821648"/>
      <w:r w:rsidRPr="00655A8C">
        <w:rPr>
          <w:rFonts w:ascii="Palatino Linotype" w:eastAsia="MS Gothic" w:hAnsi="Palatino Linotype"/>
          <w:b/>
          <w:color w:val="000000"/>
          <w:lang w:val="es-ES_tradnl"/>
        </w:rPr>
        <w:t>De la clasificación de la información.</w:t>
      </w:r>
      <w:bookmarkEnd w:id="76"/>
      <w:bookmarkEnd w:id="77"/>
      <w:bookmarkEnd w:id="78"/>
      <w:bookmarkEnd w:id="79"/>
      <w:bookmarkEnd w:id="80"/>
      <w:r w:rsidRPr="00655A8C">
        <w:rPr>
          <w:rFonts w:ascii="Palatino Linotype" w:eastAsia="MS Gothic" w:hAnsi="Palatino Linotype"/>
          <w:b/>
          <w:color w:val="000000"/>
          <w:lang w:val="es-ES_tradnl"/>
        </w:rPr>
        <w:t xml:space="preserve"> </w:t>
      </w:r>
    </w:p>
    <w:p w14:paraId="6D5DA0B2" w14:textId="77777777" w:rsidR="007E66E7" w:rsidRPr="00655A8C" w:rsidRDefault="007E66E7" w:rsidP="007E66E7">
      <w:pPr>
        <w:shd w:val="clear" w:color="auto" w:fill="FFFFFF"/>
        <w:spacing w:before="240" w:after="200" w:line="360" w:lineRule="auto"/>
        <w:contextualSpacing/>
        <w:jc w:val="both"/>
        <w:rPr>
          <w:rFonts w:ascii="Palatino Linotype" w:hAnsi="Palatino Linotype" w:cs="Arial"/>
          <w:b/>
          <w:color w:val="000000"/>
          <w:lang w:val="es-ES_tradnl"/>
        </w:rPr>
      </w:pPr>
    </w:p>
    <w:p w14:paraId="3BEAC586" w14:textId="77777777" w:rsidR="007E66E7" w:rsidRPr="00655A8C" w:rsidRDefault="007E66E7" w:rsidP="007E66E7">
      <w:pPr>
        <w:numPr>
          <w:ilvl w:val="0"/>
          <w:numId w:val="11"/>
        </w:numPr>
        <w:spacing w:before="240" w:after="240" w:line="360" w:lineRule="auto"/>
        <w:ind w:left="0" w:firstLine="0"/>
        <w:contextualSpacing/>
        <w:jc w:val="both"/>
        <w:rPr>
          <w:rFonts w:ascii="Palatino Linotype" w:hAnsi="Palatino Linotype" w:cs="Arial"/>
          <w:color w:val="000000"/>
          <w:lang w:val="es-ES_tradnl"/>
        </w:rPr>
      </w:pPr>
      <w:r w:rsidRPr="00655A8C">
        <w:rPr>
          <w:rFonts w:ascii="Palatino Linotype" w:hAnsi="Palatino Linotype" w:cs="Arial"/>
          <w:color w:val="000000"/>
          <w:lang w:val="es-ES_tradnl"/>
        </w:rPr>
        <w:t>L</w:t>
      </w:r>
      <w:r w:rsidRPr="00655A8C">
        <w:rPr>
          <w:rFonts w:ascii="Palatino Linotype" w:hAnsi="Palatino Linotype"/>
          <w:color w:val="000000"/>
          <w:lang w:val="es-ES_tradnl"/>
        </w:rPr>
        <w:t>a</w:t>
      </w:r>
      <w:r w:rsidRPr="00655A8C">
        <w:rPr>
          <w:rFonts w:ascii="Palatino Linotype" w:hAnsi="Palatino Linotype"/>
          <w:lang w:val="es-ES_tradnl"/>
        </w:rPr>
        <w:t xml:space="preserve"> clasificación total o parcial de la información requerida, mediante solicitud de acceso a la información pública, constituye una restricción al derecho humano de acceso a la información. Como reiteradamente han dicho, diversos órganos jurisdiccionales, ningún derecho es absoluto</w:t>
      </w:r>
      <w:r w:rsidRPr="00655A8C">
        <w:rPr>
          <w:rFonts w:ascii="Palatino Linotype" w:hAnsi="Palatino Linotype"/>
          <w:vertAlign w:val="superscript"/>
          <w:lang w:val="es-ES_tradnl"/>
        </w:rPr>
        <w:footnoteReference w:id="16"/>
      </w:r>
      <w:r w:rsidRPr="00655A8C">
        <w:rPr>
          <w:rFonts w:ascii="Palatino Linotype" w:hAnsi="Palatino Linotype"/>
          <w:lang w:val="es-ES_tradnl"/>
        </w:rPr>
        <w:t xml:space="preserve"> aunque cualquier límite o restricción, </w:t>
      </w:r>
      <w:r w:rsidRPr="00655A8C">
        <w:rPr>
          <w:rFonts w:ascii="Palatino Linotype" w:hAnsi="Palatino Linotype"/>
          <w:lang w:val="es-ES_tradnl"/>
        </w:rPr>
        <w:lastRenderedPageBreak/>
        <w:t>para ser legítimo, debe reunir con tres requisitos: primero, debe de estar establecida en un ordenamiento legal, antes de su aplicación; debe de corresponder a un fin legítimo y ser estrictamente proporcional con el principio o valor que se pretende preservar.</w:t>
      </w:r>
      <w:r w:rsidRPr="00655A8C">
        <w:rPr>
          <w:rFonts w:ascii="Palatino Linotype" w:hAnsi="Palatino Linotype"/>
          <w:vertAlign w:val="superscript"/>
          <w:lang w:val="es-ES_tradnl"/>
        </w:rPr>
        <w:footnoteReference w:id="17"/>
      </w:r>
      <w:r w:rsidRPr="00655A8C">
        <w:rPr>
          <w:rFonts w:ascii="Palatino Linotype" w:hAnsi="Palatino Linotype"/>
          <w:lang w:val="es-ES_tradnl"/>
        </w:rPr>
        <w:t xml:space="preserve"> En este caso, la clasificación total o parcial de la información es un supuesto que tanto la Ley General de Transparencia y Acceso a la Información Pública, en adelante, la Ley General, como la Ley de Transparencia y Acceso a la Información Pública del Estado de México y Municipios, en adelante, la Ley Estatal, establecen, y agotar el procedimiento legalmente establecido, es precisamente lo que permite acreditar el cumplimiento de los otros dos requisitos.</w:t>
      </w:r>
    </w:p>
    <w:p w14:paraId="38A87F12" w14:textId="77777777" w:rsidR="007E66E7" w:rsidRPr="00655A8C" w:rsidRDefault="007E66E7" w:rsidP="007E66E7">
      <w:pPr>
        <w:spacing w:before="240" w:after="240" w:line="360" w:lineRule="auto"/>
        <w:contextualSpacing/>
        <w:jc w:val="both"/>
        <w:rPr>
          <w:rFonts w:ascii="Palatino Linotype" w:hAnsi="Palatino Linotype" w:cs="Arial"/>
          <w:color w:val="000000"/>
          <w:lang w:val="es-ES_tradnl"/>
        </w:rPr>
      </w:pPr>
    </w:p>
    <w:p w14:paraId="331FA3C4" w14:textId="77777777" w:rsidR="007E66E7" w:rsidRPr="00655A8C" w:rsidRDefault="007E66E7" w:rsidP="007E66E7">
      <w:pPr>
        <w:keepNext/>
        <w:keepLines/>
        <w:spacing w:before="240" w:line="360" w:lineRule="auto"/>
        <w:outlineLvl w:val="0"/>
        <w:rPr>
          <w:rFonts w:ascii="Palatino Linotype" w:hAnsi="Palatino Linotype"/>
          <w:b/>
          <w:lang w:val="es-MX" w:eastAsia="en-US"/>
        </w:rPr>
      </w:pPr>
      <w:bookmarkStart w:id="81" w:name="_Toc96007408"/>
      <w:bookmarkStart w:id="82" w:name="_Toc98429029"/>
      <w:bookmarkStart w:id="83" w:name="_Toc98978646"/>
      <w:bookmarkStart w:id="84" w:name="_Toc103821649"/>
      <w:r w:rsidRPr="00655A8C">
        <w:rPr>
          <w:rFonts w:ascii="Palatino Linotype" w:hAnsi="Palatino Linotype"/>
          <w:b/>
          <w:lang w:val="es-MX" w:eastAsia="en-US"/>
        </w:rPr>
        <w:t xml:space="preserve">II. </w:t>
      </w:r>
      <w:bookmarkStart w:id="85" w:name="_Toc5890461"/>
      <w:bookmarkStart w:id="86" w:name="_Toc50062187"/>
      <w:bookmarkStart w:id="87" w:name="_Toc63348478"/>
      <w:bookmarkStart w:id="88" w:name="_Toc67598515"/>
      <w:bookmarkStart w:id="89" w:name="_Toc69999204"/>
      <w:bookmarkStart w:id="90" w:name="_Toc73033013"/>
      <w:bookmarkStart w:id="91" w:name="_Toc83127115"/>
      <w:r w:rsidRPr="00655A8C">
        <w:rPr>
          <w:rFonts w:ascii="Palatino Linotype" w:hAnsi="Palatino Linotype"/>
          <w:b/>
          <w:lang w:val="es-MX" w:eastAsia="en-US"/>
        </w:rPr>
        <w:t>Requisitos previos.</w:t>
      </w:r>
      <w:bookmarkEnd w:id="81"/>
      <w:bookmarkEnd w:id="82"/>
      <w:bookmarkEnd w:id="83"/>
      <w:bookmarkEnd w:id="84"/>
      <w:bookmarkEnd w:id="85"/>
      <w:bookmarkEnd w:id="86"/>
      <w:bookmarkEnd w:id="87"/>
      <w:bookmarkEnd w:id="88"/>
      <w:bookmarkEnd w:id="89"/>
      <w:bookmarkEnd w:id="90"/>
      <w:bookmarkEnd w:id="91"/>
    </w:p>
    <w:p w14:paraId="5FDA61F4" w14:textId="77777777" w:rsidR="007E66E7" w:rsidRPr="00655A8C" w:rsidRDefault="007E66E7" w:rsidP="007E66E7">
      <w:pPr>
        <w:numPr>
          <w:ilvl w:val="0"/>
          <w:numId w:val="11"/>
        </w:numPr>
        <w:spacing w:before="240" w:after="240" w:line="360" w:lineRule="auto"/>
        <w:ind w:left="0" w:firstLine="0"/>
        <w:contextualSpacing/>
        <w:jc w:val="both"/>
        <w:rPr>
          <w:rFonts w:ascii="Palatino Linotype" w:hAnsi="Palatino Linotype" w:cs="Arial"/>
          <w:color w:val="000000"/>
          <w:lang w:val="es-ES_tradnl"/>
        </w:rPr>
      </w:pPr>
      <w:r w:rsidRPr="00655A8C">
        <w:rPr>
          <w:rFonts w:ascii="Palatino Linotype" w:hAnsi="Palatino Linotype"/>
          <w:lang w:val="es-ES_tradnl"/>
        </w:rPr>
        <w:t>Los</w:t>
      </w:r>
      <w:r w:rsidRPr="00655A8C">
        <w:rPr>
          <w:rFonts w:ascii="Palatino Linotype" w:hAnsi="Palatino Linotype" w:cs="Arial"/>
          <w:color w:val="000000"/>
          <w:lang w:val="es-ES_tradnl"/>
        </w:rPr>
        <w:t xml:space="preserve"> </w:t>
      </w:r>
      <w:r w:rsidRPr="00655A8C">
        <w:rPr>
          <w:rFonts w:ascii="Palatino Linotype" w:hAnsi="Palatino Linotype"/>
          <w:lang w:val="es-ES_tradnl"/>
        </w:rPr>
        <w:t>artículos</w:t>
      </w:r>
      <w:r w:rsidRPr="00655A8C">
        <w:rPr>
          <w:rFonts w:ascii="Palatino Linotype" w:hAnsi="Palatino Linotype" w:cs="Arial"/>
          <w:color w:val="000000"/>
          <w:lang w:val="es-ES_tradnl"/>
        </w:rPr>
        <w:t xml:space="preserve"> 122 y 100 de la Ley Estatal y de la Ley General, respectivamente, señalan que los sujetos obligados determinan que la información actualiza alguno de los supuestos de clasificación y que son los titulares de las áreas los encargados de clasificar la información. En consecuencia, son los titulares de las áreas que </w:t>
      </w:r>
      <w:r w:rsidRPr="00655A8C">
        <w:rPr>
          <w:rFonts w:ascii="Palatino Linotype" w:hAnsi="Palatino Linotype" w:cs="Arial"/>
          <w:color w:val="000000"/>
          <w:lang w:val="es-ES_tradnl"/>
        </w:rPr>
        <w:lastRenderedPageBreak/>
        <w:t>administran la información los que aprueban su clasificación y no el Comité de Transparencia. Al hacerlo tienen que precisar de qué información se trata (nombre, registro federal de contribuyentes, edad, fotografía, entre otros) que forme parte de algún documento o el documento que se pretende reservar (contrato, licencia, póliza, entre otros), señalando el supuesto de clasificación (confidencialidad o reserva).</w:t>
      </w:r>
    </w:p>
    <w:p w14:paraId="57ECBFFB" w14:textId="77777777" w:rsidR="007E66E7" w:rsidRPr="00655A8C" w:rsidRDefault="007E66E7" w:rsidP="007E66E7">
      <w:pPr>
        <w:spacing w:before="240" w:after="240" w:line="360" w:lineRule="auto"/>
        <w:contextualSpacing/>
        <w:jc w:val="both"/>
        <w:rPr>
          <w:rFonts w:ascii="Palatino Linotype" w:hAnsi="Palatino Linotype" w:cs="Arial"/>
          <w:color w:val="000000"/>
          <w:lang w:val="es-ES_tradnl"/>
        </w:rPr>
      </w:pPr>
    </w:p>
    <w:p w14:paraId="308DE111" w14:textId="77777777" w:rsidR="007E66E7" w:rsidRPr="00655A8C" w:rsidRDefault="007E66E7" w:rsidP="007E66E7">
      <w:pPr>
        <w:numPr>
          <w:ilvl w:val="0"/>
          <w:numId w:val="11"/>
        </w:numPr>
        <w:spacing w:before="240" w:after="240" w:line="360" w:lineRule="auto"/>
        <w:ind w:left="0" w:firstLine="0"/>
        <w:contextualSpacing/>
        <w:jc w:val="both"/>
        <w:rPr>
          <w:rFonts w:ascii="Palatino Linotype" w:hAnsi="Palatino Linotype" w:cs="Arial"/>
          <w:color w:val="000000"/>
          <w:lang w:val="es-ES_tradnl"/>
        </w:rPr>
      </w:pPr>
      <w:r w:rsidRPr="00655A8C">
        <w:rPr>
          <w:rFonts w:ascii="Palatino Linotype" w:hAnsi="Palatino Linotype" w:cs="Arial"/>
          <w:color w:val="000000"/>
          <w:lang w:val="es-ES_tradnl"/>
        </w:rPr>
        <w:t>Además, se debe señalar el procedimiento, de los tres que establecen los artículos 132 y 106 de la Ley Estatal y General, respectivamente, por el que se realiza dicha clasificación, a saber, cuando se atiende una solicitud de acceso a la información, porque lo determina una autoridad competente o porque se va a generar una versión pública para cumplir con sus obligaciones.</w:t>
      </w:r>
    </w:p>
    <w:p w14:paraId="4E001DB2" w14:textId="77777777" w:rsidR="007E66E7" w:rsidRPr="00655A8C" w:rsidRDefault="007E66E7" w:rsidP="007E66E7">
      <w:pPr>
        <w:spacing w:after="160" w:line="360" w:lineRule="auto"/>
        <w:rPr>
          <w:rFonts w:ascii="Palatino Linotype" w:eastAsia="Calibri" w:hAnsi="Palatino Linotype" w:cs="Arial"/>
          <w:color w:val="000000"/>
          <w:lang w:val="es-ES_tradnl"/>
        </w:rPr>
      </w:pPr>
    </w:p>
    <w:p w14:paraId="75800B4E" w14:textId="77777777" w:rsidR="007E66E7" w:rsidRPr="00655A8C" w:rsidRDefault="007E66E7" w:rsidP="007E66E7">
      <w:pPr>
        <w:numPr>
          <w:ilvl w:val="0"/>
          <w:numId w:val="11"/>
        </w:numPr>
        <w:spacing w:before="240" w:after="240" w:line="360" w:lineRule="auto"/>
        <w:ind w:left="0" w:firstLine="0"/>
        <w:contextualSpacing/>
        <w:jc w:val="both"/>
        <w:rPr>
          <w:rFonts w:ascii="Palatino Linotype" w:hAnsi="Palatino Linotype" w:cs="Arial"/>
          <w:color w:val="000000"/>
          <w:lang w:val="es-ES_tradnl"/>
        </w:rPr>
      </w:pPr>
      <w:r w:rsidRPr="00655A8C">
        <w:rPr>
          <w:rFonts w:ascii="Palatino Linotype" w:hAnsi="Palatino Linotype" w:cs="Arial"/>
          <w:color w:val="000000"/>
          <w:lang w:val="es-ES_tradnl"/>
        </w:rPr>
        <w:t xml:space="preserve">El último de estos requisitos previos consiste en que no se pueden emitir acuerdos de carácter general ni particular, según lo disponen los artículos 134 y 108 de la Ley Estatal y de la Ley General, respectivamente, esto es, </w:t>
      </w:r>
      <w:r w:rsidRPr="00655A8C">
        <w:rPr>
          <w:rFonts w:ascii="Palatino Linotype" w:hAnsi="Palatino Linotype" w:cs="Arial"/>
          <w:b/>
          <w:color w:val="000000"/>
          <w:lang w:val="es-ES_tradnl"/>
        </w:rPr>
        <w:t xml:space="preserve">no se puede hacer un acuerdo para clasificar de manera general todos los documentos de un expediente o área,  </w:t>
      </w:r>
      <w:r w:rsidRPr="00655A8C">
        <w:rPr>
          <w:rFonts w:ascii="Palatino Linotype" w:hAnsi="Palatino Linotype" w:cs="Arial"/>
          <w:color w:val="000000"/>
          <w:lang w:val="es-ES_tradnl"/>
        </w:rPr>
        <w:t>sin individualizar su análisis y tampoco se puede hacer un acuerdo por cada dato que se vaya a clasificar dentro de un documento con diez datos, por ejemplo, susceptibles de ser clasificados.</w:t>
      </w:r>
    </w:p>
    <w:p w14:paraId="4C3EA0C7" w14:textId="77777777" w:rsidR="007E66E7" w:rsidRPr="00655A8C" w:rsidRDefault="007E66E7" w:rsidP="007E66E7">
      <w:pPr>
        <w:spacing w:before="240" w:after="240" w:line="360" w:lineRule="auto"/>
        <w:contextualSpacing/>
        <w:jc w:val="both"/>
        <w:rPr>
          <w:rFonts w:ascii="Palatino Linotype" w:hAnsi="Palatino Linotype" w:cs="Arial"/>
          <w:color w:val="000000"/>
          <w:lang w:val="es-ES_tradnl"/>
        </w:rPr>
      </w:pPr>
    </w:p>
    <w:p w14:paraId="19AACC6F" w14:textId="77777777" w:rsidR="007E66E7" w:rsidRPr="00655A8C" w:rsidRDefault="007E66E7" w:rsidP="007E66E7">
      <w:pPr>
        <w:keepNext/>
        <w:keepLines/>
        <w:spacing w:before="240" w:line="360" w:lineRule="auto"/>
        <w:outlineLvl w:val="0"/>
        <w:rPr>
          <w:rFonts w:ascii="Palatino Linotype" w:hAnsi="Palatino Linotype" w:cs="Arial"/>
          <w:color w:val="000000"/>
          <w:lang w:val="es-ES_tradnl"/>
        </w:rPr>
      </w:pPr>
      <w:bookmarkStart w:id="92" w:name="_Toc5890462"/>
      <w:bookmarkStart w:id="93" w:name="_Toc50062188"/>
      <w:bookmarkStart w:id="94" w:name="_Toc63348479"/>
      <w:bookmarkStart w:id="95" w:name="_Toc67598516"/>
      <w:bookmarkStart w:id="96" w:name="_Toc69999205"/>
      <w:bookmarkStart w:id="97" w:name="_Toc73033014"/>
      <w:bookmarkStart w:id="98" w:name="_Toc83127116"/>
      <w:bookmarkStart w:id="99" w:name="_Toc96007409"/>
      <w:bookmarkStart w:id="100" w:name="_Toc98429030"/>
      <w:bookmarkStart w:id="101" w:name="_Toc98978647"/>
      <w:bookmarkStart w:id="102" w:name="_Toc103821650"/>
      <w:r w:rsidRPr="00655A8C">
        <w:rPr>
          <w:rFonts w:ascii="Palatino Linotype" w:hAnsi="Palatino Linotype"/>
          <w:b/>
          <w:lang w:val="es-MX" w:eastAsia="en-US"/>
        </w:rPr>
        <w:lastRenderedPageBreak/>
        <w:t>III</w:t>
      </w:r>
      <w:bookmarkStart w:id="103" w:name="_Toc5890463"/>
      <w:bookmarkStart w:id="104" w:name="_Toc50062189"/>
      <w:bookmarkStart w:id="105" w:name="_Toc63348480"/>
      <w:bookmarkStart w:id="106" w:name="_Toc67598517"/>
      <w:bookmarkStart w:id="107" w:name="_Toc69999206"/>
      <w:bookmarkStart w:id="108" w:name="_Toc73033015"/>
      <w:bookmarkEnd w:id="92"/>
      <w:bookmarkEnd w:id="93"/>
      <w:bookmarkEnd w:id="94"/>
      <w:bookmarkEnd w:id="95"/>
      <w:bookmarkEnd w:id="96"/>
      <w:bookmarkEnd w:id="97"/>
      <w:r w:rsidRPr="00655A8C">
        <w:rPr>
          <w:rFonts w:ascii="Palatino Linotype" w:hAnsi="Palatino Linotype"/>
          <w:b/>
          <w:lang w:val="es-MX" w:eastAsia="en-US"/>
        </w:rPr>
        <w:t>. La intervención del comité de transparencia.</w:t>
      </w:r>
      <w:bookmarkEnd w:id="98"/>
      <w:bookmarkEnd w:id="99"/>
      <w:bookmarkEnd w:id="100"/>
      <w:bookmarkEnd w:id="101"/>
      <w:bookmarkEnd w:id="102"/>
      <w:bookmarkEnd w:id="103"/>
      <w:bookmarkEnd w:id="104"/>
      <w:bookmarkEnd w:id="105"/>
      <w:bookmarkEnd w:id="106"/>
      <w:bookmarkEnd w:id="107"/>
      <w:bookmarkEnd w:id="108"/>
    </w:p>
    <w:p w14:paraId="48718582" w14:textId="77777777" w:rsidR="007E66E7" w:rsidRPr="00655A8C" w:rsidRDefault="007E66E7" w:rsidP="007E66E7">
      <w:pPr>
        <w:keepNext/>
        <w:keepLines/>
        <w:numPr>
          <w:ilvl w:val="0"/>
          <w:numId w:val="6"/>
        </w:numPr>
        <w:tabs>
          <w:tab w:val="left" w:pos="0"/>
        </w:tabs>
        <w:spacing w:before="240" w:after="160" w:line="360" w:lineRule="auto"/>
        <w:outlineLvl w:val="0"/>
        <w:rPr>
          <w:rFonts w:ascii="Palatino Linotype" w:hAnsi="Palatino Linotype"/>
          <w:b/>
          <w:lang w:val="es-MX" w:eastAsia="en-US"/>
        </w:rPr>
      </w:pPr>
      <w:bookmarkStart w:id="109" w:name="_Toc5890464"/>
      <w:bookmarkStart w:id="110" w:name="_Toc50062190"/>
      <w:bookmarkStart w:id="111" w:name="_Toc63348481"/>
      <w:bookmarkStart w:id="112" w:name="_Toc67598518"/>
      <w:bookmarkStart w:id="113" w:name="_Toc69999207"/>
      <w:bookmarkStart w:id="114" w:name="_Toc73033016"/>
      <w:bookmarkStart w:id="115" w:name="_Toc83127117"/>
      <w:bookmarkStart w:id="116" w:name="_Toc96007410"/>
      <w:bookmarkStart w:id="117" w:name="_Toc98429031"/>
      <w:bookmarkStart w:id="118" w:name="_Toc98978648"/>
      <w:bookmarkStart w:id="119" w:name="_Toc103821651"/>
      <w:r w:rsidRPr="00655A8C">
        <w:rPr>
          <w:rFonts w:ascii="Palatino Linotype" w:hAnsi="Palatino Linotype"/>
          <w:b/>
          <w:lang w:val="es-MX" w:eastAsia="en-US"/>
        </w:rPr>
        <w:t>Formalidades para emitir el acuerdo de clasificación.</w:t>
      </w:r>
      <w:bookmarkEnd w:id="109"/>
      <w:bookmarkEnd w:id="110"/>
      <w:bookmarkEnd w:id="111"/>
      <w:bookmarkEnd w:id="112"/>
      <w:bookmarkEnd w:id="113"/>
      <w:bookmarkEnd w:id="114"/>
      <w:bookmarkEnd w:id="115"/>
      <w:bookmarkEnd w:id="116"/>
      <w:bookmarkEnd w:id="117"/>
      <w:bookmarkEnd w:id="118"/>
      <w:bookmarkEnd w:id="119"/>
    </w:p>
    <w:p w14:paraId="461B9522" w14:textId="77777777" w:rsidR="007E66E7" w:rsidRPr="00655A8C" w:rsidRDefault="007E66E7" w:rsidP="007E66E7">
      <w:pPr>
        <w:keepNext/>
        <w:keepLines/>
        <w:tabs>
          <w:tab w:val="left" w:pos="0"/>
        </w:tabs>
        <w:spacing w:before="240" w:line="360" w:lineRule="auto"/>
        <w:outlineLvl w:val="0"/>
        <w:rPr>
          <w:rFonts w:ascii="Palatino Linotype" w:hAnsi="Palatino Linotype"/>
          <w:b/>
          <w:lang w:val="es-MX" w:eastAsia="en-US"/>
        </w:rPr>
      </w:pPr>
    </w:p>
    <w:p w14:paraId="2B350914" w14:textId="77777777" w:rsidR="007E66E7" w:rsidRPr="00655A8C" w:rsidRDefault="007E66E7" w:rsidP="007E66E7">
      <w:pPr>
        <w:numPr>
          <w:ilvl w:val="0"/>
          <w:numId w:val="11"/>
        </w:numPr>
        <w:spacing w:before="240" w:after="240" w:line="360" w:lineRule="auto"/>
        <w:ind w:left="0" w:firstLine="0"/>
        <w:contextualSpacing/>
        <w:jc w:val="both"/>
        <w:rPr>
          <w:rFonts w:ascii="Palatino Linotype" w:hAnsi="Palatino Linotype"/>
          <w:lang w:val="es-ES_tradnl" w:eastAsia="es-ES_tradnl"/>
        </w:rPr>
      </w:pPr>
      <w:r w:rsidRPr="00655A8C">
        <w:rPr>
          <w:rFonts w:ascii="Palatino Linotype" w:hAnsi="Palatino Linotype" w:cs="Arial"/>
          <w:color w:val="000000"/>
          <w:lang w:val="es-ES_tradnl"/>
        </w:rPr>
        <w:t xml:space="preserve">El Comité de Transparencia, según lo dispuesto en los artículos 128 y 103 de la Ley Estatal y de la Ley General, respectivamente, y </w:t>
      </w:r>
      <w:r w:rsidRPr="00655A8C">
        <w:rPr>
          <w:rFonts w:ascii="Palatino Linotype" w:hAnsi="Palatino Linotype"/>
          <w:lang w:val="es-ES_tradnl"/>
        </w:rPr>
        <w:t xml:space="preserve">la fracción III del numeral Segundo de los </w:t>
      </w:r>
      <w:r w:rsidRPr="00655A8C">
        <w:rPr>
          <w:rFonts w:ascii="Palatino Linotype" w:hAnsi="Palatino Linotype" w:cs="Arial"/>
          <w:color w:val="000000"/>
          <w:lang w:val="es-ES_tradnl"/>
        </w:rPr>
        <w:t>Lineamientos generales en materia de clasificación y desclasificación de la información, así como para la elaboración de versiones públicas, en adelante los Lineamientos Generales,</w:t>
      </w:r>
      <w:r w:rsidRPr="00655A8C">
        <w:rPr>
          <w:rFonts w:ascii="Palatino Linotype" w:hAnsi="Palatino Linotype"/>
          <w:lang w:val="es-ES_tradnl"/>
        </w:rPr>
        <w:t xml:space="preserve"> </w:t>
      </w:r>
      <w:r w:rsidRPr="00655A8C">
        <w:rPr>
          <w:rFonts w:ascii="Palatino Linotype" w:hAnsi="Palatino Linotype" w:cs="Arial"/>
          <w:color w:val="000000"/>
          <w:lang w:val="es-ES_tradnl"/>
        </w:rPr>
        <w:t xml:space="preserve">cuenta con las facultades para </w:t>
      </w:r>
      <w:r w:rsidRPr="00655A8C">
        <w:rPr>
          <w:rFonts w:ascii="Palatino Linotype" w:hAnsi="Palatino Linotype" w:cs="Arial"/>
          <w:b/>
          <w:color w:val="000000"/>
          <w:lang w:val="es-ES_tradnl"/>
        </w:rPr>
        <w:t>confirmar, modificar o revocar</w:t>
      </w:r>
      <w:r w:rsidRPr="00655A8C">
        <w:rPr>
          <w:rFonts w:ascii="Palatino Linotype" w:hAnsi="Palatino Linotype" w:cs="Arial"/>
          <w:color w:val="000000"/>
          <w:lang w:val="es-ES_tradnl"/>
        </w:rPr>
        <w:t xml:space="preserve"> la clasificación de la información que ha hecho el titular del área que administra la información. Por lo tanto, el Comité </w:t>
      </w:r>
      <w:r w:rsidRPr="00655A8C">
        <w:rPr>
          <w:rFonts w:ascii="Palatino Linotype" w:hAnsi="Palatino Linotype" w:cs="Arial"/>
          <w:b/>
          <w:color w:val="000000"/>
          <w:lang w:val="es-ES_tradnl"/>
        </w:rPr>
        <w:t>no aprueba</w:t>
      </w:r>
      <w:r w:rsidRPr="00655A8C">
        <w:rPr>
          <w:rFonts w:ascii="Palatino Linotype" w:hAnsi="Palatino Linotype" w:cs="Arial"/>
          <w:color w:val="000000"/>
          <w:lang w:val="es-ES_tradnl"/>
        </w:rPr>
        <w:t xml:space="preserve"> la clasificación, sino que revisa lo que ha hecho el titular del área y confirma, modifica o revoca la decisión a través de un acuerdo.</w:t>
      </w:r>
    </w:p>
    <w:p w14:paraId="2CAA01EF" w14:textId="77777777" w:rsidR="007E66E7" w:rsidRPr="00655A8C" w:rsidRDefault="007E66E7" w:rsidP="007E66E7">
      <w:pPr>
        <w:spacing w:before="240" w:after="240" w:line="360" w:lineRule="auto"/>
        <w:contextualSpacing/>
        <w:jc w:val="both"/>
        <w:rPr>
          <w:rFonts w:ascii="Palatino Linotype" w:hAnsi="Palatino Linotype"/>
          <w:lang w:val="es-ES_tradnl" w:eastAsia="es-ES_tradnl"/>
        </w:rPr>
      </w:pPr>
    </w:p>
    <w:p w14:paraId="1118F41C" w14:textId="77777777" w:rsidR="007E66E7" w:rsidRPr="00655A8C" w:rsidRDefault="007E66E7" w:rsidP="007E66E7">
      <w:pPr>
        <w:numPr>
          <w:ilvl w:val="0"/>
          <w:numId w:val="11"/>
        </w:numPr>
        <w:spacing w:before="240" w:after="240" w:line="360" w:lineRule="auto"/>
        <w:ind w:left="0" w:firstLine="0"/>
        <w:contextualSpacing/>
        <w:jc w:val="both"/>
        <w:rPr>
          <w:rFonts w:ascii="Palatino Linotype" w:hAnsi="Palatino Linotype"/>
          <w:lang w:val="es-ES_tradnl" w:eastAsia="es-ES_tradnl"/>
        </w:rPr>
      </w:pPr>
      <w:r w:rsidRPr="00655A8C">
        <w:rPr>
          <w:rFonts w:ascii="Palatino Linotype" w:hAnsi="Palatino Linotype" w:cs="Arial"/>
          <w:color w:val="000000"/>
          <w:lang w:val="es-ES_tradnl"/>
        </w:rPr>
        <w:t xml:space="preserve">Evidentemente, esta decisión implica una restricción a un derecho humano, por lo tanto, puede generar un agravio al particular y, en consecuencia, es necesario que </w:t>
      </w:r>
      <w:r w:rsidRPr="00655A8C">
        <w:rPr>
          <w:rFonts w:ascii="Palatino Linotype" w:hAnsi="Palatino Linotype" w:cs="Arial"/>
          <w:b/>
          <w:color w:val="000000"/>
          <w:lang w:val="es-ES_tradnl"/>
        </w:rPr>
        <w:t>el acto reúna con los requisitos elementales</w:t>
      </w:r>
      <w:r w:rsidRPr="00655A8C">
        <w:rPr>
          <w:rFonts w:ascii="Palatino Linotype" w:hAnsi="Palatino Linotype" w:cs="Arial"/>
          <w:color w:val="000000"/>
          <w:lang w:val="es-ES_tradnl"/>
        </w:rPr>
        <w:t xml:space="preserve">, entre ellos, que la autoridad que va a emitir el acto de autoridad sea la legalmente facultada para ello, es decir, que cumpla con el principio de reserva de ley,  por lo que no está demás señalar que el artículo 45 de la Ley Estatal, claramente señala que el Comité de Transparencia, legalmente facultado para emitir el acuerdo de clasificación, se integra por el Titular de la Unidad de Transparencia, el responsable del área coordinadora de archivos y el titular del órgano interno de control, integrado siempre por un número impar y que no debe de existir dependencia jerárquica entre sus integrantes. Cualquier otra </w:t>
      </w:r>
      <w:r w:rsidRPr="00655A8C">
        <w:rPr>
          <w:rFonts w:ascii="Palatino Linotype" w:hAnsi="Palatino Linotype" w:cs="Arial"/>
          <w:color w:val="000000"/>
          <w:lang w:val="es-ES_tradnl"/>
        </w:rPr>
        <w:lastRenderedPageBreak/>
        <w:t>composición del Comité puede generar vicios de legalidad de origen en el acto que restringe un derecho humano.</w:t>
      </w:r>
    </w:p>
    <w:p w14:paraId="05599830" w14:textId="77777777" w:rsidR="007E66E7" w:rsidRPr="00655A8C" w:rsidRDefault="007E66E7" w:rsidP="007E66E7">
      <w:pPr>
        <w:spacing w:after="160" w:line="360" w:lineRule="auto"/>
        <w:rPr>
          <w:rFonts w:ascii="Palatino Linotype" w:eastAsia="Calibri" w:hAnsi="Palatino Linotype"/>
          <w:lang w:val="es-ES_tradnl"/>
        </w:rPr>
      </w:pPr>
    </w:p>
    <w:p w14:paraId="59301DE3" w14:textId="77777777" w:rsidR="007E66E7" w:rsidRPr="00655A8C" w:rsidRDefault="007E66E7" w:rsidP="007E66E7">
      <w:pPr>
        <w:numPr>
          <w:ilvl w:val="0"/>
          <w:numId w:val="11"/>
        </w:numPr>
        <w:spacing w:before="240" w:after="240" w:line="360" w:lineRule="auto"/>
        <w:ind w:left="0" w:firstLine="0"/>
        <w:contextualSpacing/>
        <w:jc w:val="both"/>
        <w:rPr>
          <w:rFonts w:ascii="Palatino Linotype" w:hAnsi="Palatino Linotype"/>
          <w:lang w:val="es-ES_tradnl" w:eastAsia="es-ES_tradnl"/>
        </w:rPr>
      </w:pPr>
      <w:r w:rsidRPr="00655A8C">
        <w:rPr>
          <w:rFonts w:ascii="Palatino Linotype" w:hAnsi="Palatino Linotype"/>
          <w:lang w:val="es-ES_tradnl"/>
        </w:rPr>
        <w:t xml:space="preserve">La decisión de confirmar, modificar o revocar la clasificación deberá de asentarse en un documento que registre la determinación a la que se llegue después de un análisis minucioso a partir de lo aprobado por el Titular del área que administra la información, cuyo análisis debe integrarse en la agenda de los asuntos a tratar en las sesiones, se insiste, a partir de las decisiones adoptadas previamente por los titulares de áreas y que son sujetas a control, en primera instancia, por el Comité de Transparencia. </w:t>
      </w:r>
    </w:p>
    <w:p w14:paraId="25F76D00" w14:textId="77777777" w:rsidR="007E66E7" w:rsidRPr="00655A8C" w:rsidRDefault="007E66E7" w:rsidP="007E66E7">
      <w:pPr>
        <w:spacing w:before="240" w:after="240" w:line="360" w:lineRule="auto"/>
        <w:contextualSpacing/>
        <w:jc w:val="both"/>
        <w:rPr>
          <w:rFonts w:ascii="Palatino Linotype" w:hAnsi="Palatino Linotype"/>
          <w:lang w:val="es-ES_tradnl" w:eastAsia="es-ES_tradnl"/>
        </w:rPr>
      </w:pPr>
    </w:p>
    <w:p w14:paraId="201D632E" w14:textId="77777777" w:rsidR="007E66E7" w:rsidRPr="00655A8C" w:rsidRDefault="007E66E7" w:rsidP="007E66E7">
      <w:pPr>
        <w:keepNext/>
        <w:keepLines/>
        <w:spacing w:before="240" w:line="360" w:lineRule="auto"/>
        <w:outlineLvl w:val="0"/>
        <w:rPr>
          <w:rFonts w:ascii="Palatino Linotype" w:hAnsi="Palatino Linotype"/>
          <w:b/>
          <w:lang w:val="es-MX" w:eastAsia="en-US"/>
        </w:rPr>
      </w:pPr>
      <w:bookmarkStart w:id="120" w:name="_Toc63348482"/>
      <w:bookmarkStart w:id="121" w:name="_Toc67598519"/>
      <w:bookmarkStart w:id="122" w:name="_Toc69999208"/>
      <w:bookmarkStart w:id="123" w:name="_Toc73033017"/>
      <w:bookmarkStart w:id="124" w:name="_Toc83127118"/>
      <w:bookmarkStart w:id="125" w:name="_Toc96007411"/>
      <w:bookmarkStart w:id="126" w:name="_Toc98429032"/>
      <w:bookmarkStart w:id="127" w:name="_Toc98978649"/>
      <w:bookmarkStart w:id="128" w:name="_Toc103821652"/>
      <w:r w:rsidRPr="00655A8C">
        <w:rPr>
          <w:rFonts w:ascii="Palatino Linotype" w:hAnsi="Palatino Linotype"/>
          <w:b/>
          <w:lang w:val="es-MX" w:eastAsia="en-US"/>
        </w:rPr>
        <w:t xml:space="preserve">b) </w:t>
      </w:r>
      <w:bookmarkStart w:id="129" w:name="_Toc5890465"/>
      <w:bookmarkStart w:id="130" w:name="_Toc50062191"/>
      <w:r w:rsidRPr="00655A8C">
        <w:rPr>
          <w:rFonts w:ascii="Palatino Linotype" w:hAnsi="Palatino Linotype"/>
          <w:b/>
          <w:lang w:val="es-MX" w:eastAsia="en-US"/>
        </w:rPr>
        <w:t>Requisitos de fondo del acuerdo de clasificación.</w:t>
      </w:r>
      <w:bookmarkEnd w:id="120"/>
      <w:bookmarkEnd w:id="121"/>
      <w:bookmarkEnd w:id="122"/>
      <w:bookmarkEnd w:id="123"/>
      <w:bookmarkEnd w:id="124"/>
      <w:bookmarkEnd w:id="125"/>
      <w:bookmarkEnd w:id="126"/>
      <w:bookmarkEnd w:id="127"/>
      <w:bookmarkEnd w:id="128"/>
      <w:bookmarkEnd w:id="129"/>
      <w:bookmarkEnd w:id="130"/>
    </w:p>
    <w:p w14:paraId="2272AECF" w14:textId="77777777" w:rsidR="007E66E7" w:rsidRPr="00655A8C" w:rsidRDefault="007E66E7" w:rsidP="007E66E7">
      <w:pPr>
        <w:keepNext/>
        <w:keepLines/>
        <w:spacing w:before="240" w:line="360" w:lineRule="auto"/>
        <w:outlineLvl w:val="0"/>
        <w:rPr>
          <w:rFonts w:ascii="Palatino Linotype" w:hAnsi="Palatino Linotype"/>
          <w:b/>
          <w:lang w:val="es-MX" w:eastAsia="en-US"/>
        </w:rPr>
      </w:pPr>
    </w:p>
    <w:p w14:paraId="24A8FF89" w14:textId="77777777" w:rsidR="007E66E7" w:rsidRPr="00655A8C" w:rsidRDefault="007E66E7" w:rsidP="007E66E7">
      <w:pPr>
        <w:numPr>
          <w:ilvl w:val="0"/>
          <w:numId w:val="11"/>
        </w:numPr>
        <w:spacing w:before="240" w:after="240" w:line="360" w:lineRule="auto"/>
        <w:ind w:left="0" w:firstLine="0"/>
        <w:contextualSpacing/>
        <w:jc w:val="both"/>
        <w:rPr>
          <w:rFonts w:ascii="Palatino Linotype" w:hAnsi="Palatino Linotype" w:cs="Arial"/>
          <w:color w:val="000000"/>
          <w:lang w:val="es-ES_tradnl"/>
        </w:rPr>
      </w:pPr>
      <w:r w:rsidRPr="00655A8C">
        <w:rPr>
          <w:rFonts w:ascii="Palatino Linotype" w:hAnsi="Palatino Linotype" w:cs="Arial"/>
          <w:color w:val="000000"/>
          <w:lang w:val="es-ES_tradnl"/>
        </w:rPr>
        <w:t xml:space="preserve">Como se ha señalado antes, al hacer el juicio de subsunción o encaje entre el supuesto de hecho y la hipótesis jurídica, se debe acreditar la estricta correspondencia entre un elemento y otro. Ahora, en esta parte del procedimiento, que se desahoga en sede del Comité de Transparencia, la ley nos aporta mayores luces para cumplir con dicha acreditación. En los artículos 131 y 105 segundo párrafo de la Ley Estatal y de la Ley General respectivamente, y el lineamiento sexagésimo segundo de los Lineamientos Generales, al señalar que la carga de la prueba, para justificar las restricciones, corresponde a los sujetos obligados, por lo que deberán fundar y motivar debidamente la clasificación. </w:t>
      </w:r>
    </w:p>
    <w:p w14:paraId="025FF76D" w14:textId="77777777" w:rsidR="007E66E7" w:rsidRPr="00655A8C" w:rsidRDefault="007E66E7" w:rsidP="007E66E7">
      <w:pPr>
        <w:spacing w:before="240" w:after="240" w:line="360" w:lineRule="auto"/>
        <w:contextualSpacing/>
        <w:jc w:val="both"/>
        <w:rPr>
          <w:rFonts w:ascii="Palatino Linotype" w:hAnsi="Palatino Linotype" w:cs="Arial"/>
          <w:color w:val="000000"/>
          <w:lang w:val="es-ES_tradnl"/>
        </w:rPr>
      </w:pPr>
    </w:p>
    <w:p w14:paraId="36A3BD1B" w14:textId="77777777" w:rsidR="007E66E7" w:rsidRPr="00655A8C" w:rsidRDefault="007E66E7" w:rsidP="007E66E7">
      <w:pPr>
        <w:numPr>
          <w:ilvl w:val="0"/>
          <w:numId w:val="11"/>
        </w:numPr>
        <w:spacing w:before="240" w:after="240" w:line="360" w:lineRule="auto"/>
        <w:ind w:left="0" w:firstLine="0"/>
        <w:contextualSpacing/>
        <w:jc w:val="both"/>
        <w:rPr>
          <w:rFonts w:ascii="Palatino Linotype" w:hAnsi="Palatino Linotype" w:cs="Arial"/>
          <w:color w:val="000000"/>
          <w:lang w:val="es-ES_tradnl"/>
        </w:rPr>
      </w:pPr>
      <w:r w:rsidRPr="00655A8C">
        <w:rPr>
          <w:rFonts w:ascii="Palatino Linotype" w:hAnsi="Palatino Linotype"/>
          <w:lang w:val="es-ES_tradnl"/>
        </w:rPr>
        <w:lastRenderedPageBreak/>
        <w:t>De lo anterior, se desprende que, para una correcta clasificación total o parcial, esto es determinar los datos que se suprimen en las versiones públicas, es necesario fundar y motivar, de manera correcta, la clasificación; considerando que todo acto que la autoridad pronuncie en el ejercicio de sus atribuciones, debe expresar los fundamentos legales que le dieron origen y las razones por las que se deben aplicar al caso concreto.</w:t>
      </w:r>
    </w:p>
    <w:p w14:paraId="429A8A9B" w14:textId="77777777" w:rsidR="007E66E7" w:rsidRPr="00655A8C" w:rsidRDefault="007E66E7" w:rsidP="007E66E7">
      <w:pPr>
        <w:spacing w:line="360" w:lineRule="auto"/>
        <w:ind w:left="708"/>
        <w:rPr>
          <w:rFonts w:ascii="Palatino Linotype" w:hAnsi="Palatino Linotype" w:cs="Arial"/>
          <w:color w:val="222222"/>
          <w:lang w:val="es-ES_tradnl" w:eastAsia="es-MX"/>
        </w:rPr>
      </w:pPr>
    </w:p>
    <w:p w14:paraId="3DC425F7" w14:textId="77777777" w:rsidR="007E66E7" w:rsidRPr="00655A8C" w:rsidRDefault="007E66E7" w:rsidP="007E66E7">
      <w:pPr>
        <w:numPr>
          <w:ilvl w:val="0"/>
          <w:numId w:val="11"/>
        </w:numPr>
        <w:spacing w:before="240" w:after="240" w:line="360" w:lineRule="auto"/>
        <w:ind w:left="0" w:firstLine="0"/>
        <w:contextualSpacing/>
        <w:jc w:val="both"/>
        <w:rPr>
          <w:rFonts w:ascii="Palatino Linotype" w:hAnsi="Palatino Linotype" w:cs="Arial"/>
          <w:color w:val="000000"/>
          <w:lang w:val="es-ES_tradnl"/>
        </w:rPr>
      </w:pPr>
      <w:r w:rsidRPr="00655A8C">
        <w:rPr>
          <w:rFonts w:ascii="Palatino Linotype" w:hAnsi="Palatino Linotype" w:cs="Arial"/>
          <w:color w:val="222222"/>
          <w:lang w:val="es-ES_tradnl" w:eastAsia="es-MX"/>
        </w:rPr>
        <w:t>Han sido vastos los estudios doctrinarios relativos a estos derechos fundamentales y al principio de legalidad en ellos contenidos; como ejemplo, el procesalista José Ovalle Fabela, en su obra “Garantías Constitucionales del Proceso”, refiere que “...la garantía de fundamentación impone a las autoridades el deber de precisar las disposiciones jurídicas que aplican a los hechos de que se trate y que sustenten su competencia, así como de manifestar los razonamientos que demuestren la aplicabilidad de dichas disposiciones, todo lo cual se debe traducir en una argumentación o juicio de derecho. Pero de igual manera, la garantía de motivación exige que las autoridades expongan los razonamientos con base en los cuales llegaron a la conclusión de que esos hechos son ciertos, normalmente a partir del análisis de las pruebas, lo cual se debe exteriorizar en una argumentación o juicio de hecho...”</w:t>
      </w:r>
      <w:r w:rsidRPr="00655A8C">
        <w:rPr>
          <w:rFonts w:ascii="Palatino Linotype" w:hAnsi="Palatino Linotype"/>
          <w:vertAlign w:val="superscript"/>
          <w:lang w:val="es-ES_tradnl"/>
        </w:rPr>
        <w:footnoteReference w:id="18"/>
      </w:r>
    </w:p>
    <w:p w14:paraId="28F13D6A" w14:textId="77777777" w:rsidR="007E66E7" w:rsidRPr="00655A8C" w:rsidRDefault="007E66E7" w:rsidP="007E66E7">
      <w:pPr>
        <w:spacing w:after="160" w:line="360" w:lineRule="auto"/>
        <w:rPr>
          <w:rFonts w:ascii="Palatino Linotype" w:eastAsia="Calibri" w:hAnsi="Palatino Linotype" w:cs="Arial"/>
          <w:color w:val="222222"/>
          <w:lang w:val="es-ES_tradnl" w:eastAsia="es-MX"/>
        </w:rPr>
      </w:pPr>
    </w:p>
    <w:p w14:paraId="49CDC654" w14:textId="77777777" w:rsidR="007E66E7" w:rsidRPr="00655A8C" w:rsidRDefault="007E66E7" w:rsidP="007E66E7">
      <w:pPr>
        <w:numPr>
          <w:ilvl w:val="0"/>
          <w:numId w:val="11"/>
        </w:numPr>
        <w:spacing w:before="240" w:after="240" w:line="360" w:lineRule="auto"/>
        <w:ind w:left="0" w:firstLine="0"/>
        <w:contextualSpacing/>
        <w:jc w:val="both"/>
        <w:rPr>
          <w:rFonts w:ascii="Palatino Linotype" w:hAnsi="Palatino Linotype" w:cs="Arial"/>
          <w:color w:val="000000"/>
          <w:lang w:val="es-ES_tradnl"/>
        </w:rPr>
      </w:pPr>
      <w:r w:rsidRPr="00655A8C">
        <w:rPr>
          <w:rFonts w:ascii="Palatino Linotype" w:hAnsi="Palatino Linotype" w:cs="Arial"/>
          <w:color w:val="222222"/>
          <w:lang w:val="es-ES_tradnl" w:eastAsia="es-MX"/>
        </w:rPr>
        <w:lastRenderedPageBreak/>
        <w:t>Por su parte, el intérprete judicial del país ha establecido una jurisprudencia respecto a qué debe entenderse por fundamentación y motivación, en los siguientes términos:</w:t>
      </w:r>
    </w:p>
    <w:p w14:paraId="763E4E8B" w14:textId="77777777" w:rsidR="007E66E7" w:rsidRPr="00655A8C" w:rsidRDefault="007E66E7" w:rsidP="007E66E7">
      <w:pPr>
        <w:spacing w:before="240" w:after="240" w:line="360" w:lineRule="auto"/>
        <w:contextualSpacing/>
        <w:jc w:val="both"/>
        <w:rPr>
          <w:rFonts w:ascii="Palatino Linotype" w:hAnsi="Palatino Linotype" w:cs="Arial"/>
          <w:color w:val="222222"/>
          <w:lang w:val="es-ES_tradnl" w:eastAsia="es-MX"/>
        </w:rPr>
      </w:pPr>
    </w:p>
    <w:p w14:paraId="4F581605" w14:textId="77777777" w:rsidR="007E66E7" w:rsidRPr="00655A8C" w:rsidRDefault="007E66E7" w:rsidP="007E66E7">
      <w:pPr>
        <w:spacing w:line="360" w:lineRule="auto"/>
        <w:ind w:left="851" w:right="618"/>
        <w:contextualSpacing/>
        <w:jc w:val="both"/>
        <w:rPr>
          <w:rFonts w:ascii="Palatino Linotype" w:hAnsi="Palatino Linotype" w:cs="Arial"/>
          <w:i/>
          <w:color w:val="000000"/>
          <w:lang w:val="es-ES_tradnl"/>
        </w:rPr>
      </w:pPr>
      <w:r w:rsidRPr="00655A8C">
        <w:rPr>
          <w:rFonts w:ascii="Palatino Linotype" w:hAnsi="Palatino Linotype" w:cs="Arial"/>
          <w:b/>
          <w:i/>
          <w:color w:val="000000"/>
          <w:lang w:val="es-ES_tradnl"/>
        </w:rPr>
        <w:t>FUNDAMENTACIÓN Y MOTIVACIÓN.</w:t>
      </w:r>
      <w:r w:rsidRPr="00655A8C">
        <w:rPr>
          <w:rFonts w:ascii="Palatino Linotype" w:hAnsi="Palatino Linotype" w:cs="Arial"/>
          <w:i/>
          <w:color w:val="000000"/>
          <w:lang w:val="es-ES_tradnl"/>
        </w:rPr>
        <w:t xml:space="preserve"> La debida fundamentación y motivación legal, deben entenderse, por lo primero, la cita del precepto legal aplicable al caso, y por lo segundo, las razones, motivos o circunstancias especiales que llevaron a la autoridad a concluir que el caso particular encuadra en el supuesto previsto por la norma legal invocada como fundamento.</w:t>
      </w:r>
    </w:p>
    <w:p w14:paraId="01518A79" w14:textId="77777777" w:rsidR="007E66E7" w:rsidRPr="00655A8C" w:rsidRDefault="007E66E7" w:rsidP="007E66E7">
      <w:pPr>
        <w:spacing w:line="360" w:lineRule="auto"/>
        <w:ind w:left="851" w:right="618"/>
        <w:contextualSpacing/>
        <w:jc w:val="both"/>
        <w:rPr>
          <w:rFonts w:ascii="Palatino Linotype" w:hAnsi="Palatino Linotype" w:cs="Arial"/>
          <w:i/>
          <w:color w:val="000000"/>
          <w:lang w:val="es-ES_tradnl"/>
        </w:rPr>
      </w:pPr>
      <w:r w:rsidRPr="00655A8C">
        <w:rPr>
          <w:rFonts w:ascii="Palatino Linotype" w:hAnsi="Palatino Linotype" w:cs="Arial"/>
          <w:i/>
          <w:color w:val="000000"/>
          <w:lang w:val="es-ES_tradnl"/>
        </w:rPr>
        <w:t>SEGUNDO TRIBUNAL COLEGIADO DEL SEXTO CIRCUITO.</w:t>
      </w:r>
    </w:p>
    <w:p w14:paraId="3039F077" w14:textId="77777777" w:rsidR="007E66E7" w:rsidRPr="00655A8C" w:rsidRDefault="007E66E7" w:rsidP="007E66E7">
      <w:pPr>
        <w:spacing w:line="360" w:lineRule="auto"/>
        <w:ind w:left="851" w:right="618"/>
        <w:contextualSpacing/>
        <w:jc w:val="both"/>
        <w:rPr>
          <w:rFonts w:ascii="Palatino Linotype" w:hAnsi="Palatino Linotype" w:cs="Arial"/>
          <w:i/>
          <w:color w:val="000000"/>
          <w:lang w:val="es-ES_tradnl"/>
        </w:rPr>
      </w:pPr>
      <w:r w:rsidRPr="00655A8C">
        <w:rPr>
          <w:rFonts w:ascii="Palatino Linotype" w:hAnsi="Palatino Linotype" w:cs="Arial"/>
          <w:i/>
          <w:color w:val="000000"/>
          <w:lang w:val="es-ES_tradnl"/>
        </w:rPr>
        <w:t>Amparo directo 194/88. Bufete Industrial Construcciones, S.A. de C.V. 28 de junio de 1988. Unanimidad de votos. Ponente: Gustavo Calvillo Rangel. Secretario: Jorge Alberto González Álvarez.</w:t>
      </w:r>
    </w:p>
    <w:p w14:paraId="39CADB06" w14:textId="77777777" w:rsidR="007E66E7" w:rsidRPr="00655A8C" w:rsidRDefault="007E66E7" w:rsidP="007E66E7">
      <w:pPr>
        <w:spacing w:line="360" w:lineRule="auto"/>
        <w:ind w:left="851" w:right="618"/>
        <w:contextualSpacing/>
        <w:jc w:val="both"/>
        <w:rPr>
          <w:rFonts w:ascii="Palatino Linotype" w:hAnsi="Palatino Linotype" w:cs="Arial"/>
          <w:i/>
          <w:color w:val="000000"/>
          <w:lang w:val="es-ES_tradnl"/>
        </w:rPr>
      </w:pPr>
      <w:r w:rsidRPr="00655A8C">
        <w:rPr>
          <w:rFonts w:ascii="Palatino Linotype" w:hAnsi="Palatino Linotype" w:cs="Arial"/>
          <w:i/>
          <w:color w:val="000000"/>
          <w:lang w:val="es-ES_tradnl"/>
        </w:rPr>
        <w:t>Revisión fiscal 103/88. Instituto Mexicano del Seguro Social. 18 de octubre de 1988. Unanimidad de votos. Ponente: Arnoldo Nájera Virgen. Secretario: Alejandro Esponda Rincón.</w:t>
      </w:r>
    </w:p>
    <w:p w14:paraId="364159B2" w14:textId="77777777" w:rsidR="007E66E7" w:rsidRPr="00655A8C" w:rsidRDefault="007E66E7" w:rsidP="007E66E7">
      <w:pPr>
        <w:spacing w:line="360" w:lineRule="auto"/>
        <w:ind w:left="851" w:right="618"/>
        <w:contextualSpacing/>
        <w:jc w:val="both"/>
        <w:rPr>
          <w:rFonts w:ascii="Palatino Linotype" w:hAnsi="Palatino Linotype" w:cs="Arial"/>
          <w:i/>
          <w:color w:val="000000"/>
          <w:lang w:val="es-ES_tradnl"/>
        </w:rPr>
      </w:pPr>
      <w:r w:rsidRPr="00655A8C">
        <w:rPr>
          <w:rFonts w:ascii="Palatino Linotype" w:hAnsi="Palatino Linotype" w:cs="Arial"/>
          <w:i/>
          <w:color w:val="000000"/>
          <w:lang w:val="es-ES_tradnl"/>
        </w:rPr>
        <w:t>Amparo en revisión 333/88. Adilia Romero. 26 de octubre de 1988. Unanimidad de votos. Ponente: Arnoldo Nájera Virgen. Secretario: Enrique Crispín Campos Ramírez.</w:t>
      </w:r>
    </w:p>
    <w:p w14:paraId="041AE207" w14:textId="77777777" w:rsidR="007E66E7" w:rsidRPr="00655A8C" w:rsidRDefault="007E66E7" w:rsidP="007E66E7">
      <w:pPr>
        <w:spacing w:line="360" w:lineRule="auto"/>
        <w:ind w:left="851" w:right="618"/>
        <w:contextualSpacing/>
        <w:jc w:val="both"/>
        <w:rPr>
          <w:rFonts w:ascii="Palatino Linotype" w:hAnsi="Palatino Linotype" w:cs="Arial"/>
          <w:i/>
          <w:color w:val="000000"/>
          <w:lang w:val="es-ES_tradnl"/>
        </w:rPr>
      </w:pPr>
      <w:r w:rsidRPr="00655A8C">
        <w:rPr>
          <w:rFonts w:ascii="Palatino Linotype" w:hAnsi="Palatino Linotype" w:cs="Arial"/>
          <w:i/>
          <w:color w:val="000000"/>
          <w:lang w:val="es-ES_tradnl"/>
        </w:rPr>
        <w:t>Amparo en revisión 597/95. Emilio Maurer Bretón. 15 de noviembre de 1995. Unanimidad de votos. Ponente: Clementina Ramírez Moguel Goyzueta. Secretario: Gonzalo Carrera Molina.</w:t>
      </w:r>
    </w:p>
    <w:p w14:paraId="165DCA49" w14:textId="77777777" w:rsidR="007E66E7" w:rsidRPr="00655A8C" w:rsidRDefault="007E66E7" w:rsidP="007E66E7">
      <w:pPr>
        <w:spacing w:line="360" w:lineRule="auto"/>
        <w:ind w:left="851" w:right="618"/>
        <w:contextualSpacing/>
        <w:jc w:val="both"/>
        <w:rPr>
          <w:rFonts w:ascii="Palatino Linotype" w:hAnsi="Palatino Linotype" w:cs="Arial"/>
          <w:i/>
          <w:color w:val="000000"/>
          <w:lang w:val="es-ES_tradnl"/>
        </w:rPr>
      </w:pPr>
      <w:r w:rsidRPr="00655A8C">
        <w:rPr>
          <w:rFonts w:ascii="Palatino Linotype" w:hAnsi="Palatino Linotype" w:cs="Arial"/>
          <w:i/>
          <w:color w:val="000000"/>
          <w:lang w:val="es-ES_tradnl"/>
        </w:rPr>
        <w:lastRenderedPageBreak/>
        <w:t>Amparo directo 7/96. Pedro Vicente López Miro. 21 de febrero de 1996. Unanimidad de votos. Ponente: María Eugenia Estela Martínez Cardiel. Secretario: Enrique Baigts Muñoz.</w:t>
      </w:r>
    </w:p>
    <w:p w14:paraId="27261EA6" w14:textId="77777777" w:rsidR="007E66E7" w:rsidRPr="00655A8C" w:rsidRDefault="007E66E7" w:rsidP="007E66E7">
      <w:pPr>
        <w:spacing w:line="360" w:lineRule="auto"/>
        <w:contextualSpacing/>
        <w:jc w:val="both"/>
        <w:rPr>
          <w:rFonts w:ascii="Palatino Linotype" w:hAnsi="Palatino Linotype" w:cs="Arial"/>
          <w:i/>
          <w:color w:val="000000"/>
          <w:lang w:val="es-ES_tradnl"/>
        </w:rPr>
      </w:pPr>
    </w:p>
    <w:p w14:paraId="7C728EC2" w14:textId="77777777" w:rsidR="007E66E7" w:rsidRPr="00655A8C" w:rsidRDefault="007E66E7" w:rsidP="007E66E7">
      <w:pPr>
        <w:numPr>
          <w:ilvl w:val="0"/>
          <w:numId w:val="11"/>
        </w:numPr>
        <w:spacing w:before="240" w:after="240" w:line="360" w:lineRule="auto"/>
        <w:ind w:left="0" w:firstLine="0"/>
        <w:contextualSpacing/>
        <w:jc w:val="both"/>
        <w:rPr>
          <w:rFonts w:ascii="Palatino Linotype" w:hAnsi="Palatino Linotype" w:cs="Arial"/>
          <w:color w:val="222222"/>
          <w:lang w:val="es-ES_tradnl" w:eastAsia="es-MX"/>
        </w:rPr>
      </w:pPr>
      <w:r w:rsidRPr="00655A8C">
        <w:rPr>
          <w:rFonts w:ascii="Palatino Linotype" w:hAnsi="Palatino Linotype" w:cs="Arial"/>
          <w:color w:val="222222"/>
          <w:lang w:val="es-ES_tradnl" w:eastAsia="es-MX"/>
        </w:rPr>
        <w:t>Así, en un acto de autoridad se cumple con la debida fundamentación cuando se cita el precepto legal aplicable al caso concreto y la debida motivación cuando se expresan las razones, motivos o circunstancias que tomó en cuenta la autoridad para adecuar el hecho a los fundamentos de derecho.</w:t>
      </w:r>
    </w:p>
    <w:p w14:paraId="51DB9B1E" w14:textId="77777777" w:rsidR="007E66E7" w:rsidRPr="00655A8C" w:rsidRDefault="007E66E7" w:rsidP="007E66E7">
      <w:pPr>
        <w:spacing w:before="240" w:after="240" w:line="360" w:lineRule="auto"/>
        <w:contextualSpacing/>
        <w:jc w:val="both"/>
        <w:rPr>
          <w:rFonts w:ascii="Palatino Linotype" w:hAnsi="Palatino Linotype" w:cs="Arial"/>
          <w:color w:val="222222"/>
          <w:lang w:val="es-ES_tradnl" w:eastAsia="es-MX"/>
        </w:rPr>
      </w:pPr>
    </w:p>
    <w:p w14:paraId="70DAA470" w14:textId="77777777" w:rsidR="007E66E7" w:rsidRPr="00655A8C" w:rsidRDefault="007E66E7" w:rsidP="007E66E7">
      <w:pPr>
        <w:numPr>
          <w:ilvl w:val="0"/>
          <w:numId w:val="11"/>
        </w:numPr>
        <w:spacing w:before="240" w:after="240" w:line="360" w:lineRule="auto"/>
        <w:ind w:left="0" w:firstLine="0"/>
        <w:contextualSpacing/>
        <w:jc w:val="both"/>
        <w:rPr>
          <w:rFonts w:ascii="Palatino Linotype" w:hAnsi="Palatino Linotype" w:cs="Arial"/>
          <w:color w:val="222222"/>
          <w:lang w:val="es-ES_tradnl" w:eastAsia="es-MX"/>
        </w:rPr>
      </w:pPr>
      <w:r w:rsidRPr="00655A8C">
        <w:rPr>
          <w:rFonts w:ascii="Palatino Linotype" w:hAnsi="Palatino Linotype" w:cs="Arial"/>
          <w:color w:val="222222"/>
          <w:lang w:val="es-ES_tradnl" w:eastAsia="es-MX"/>
        </w:rPr>
        <w:t>En consecuencia, la fundamentación y motivación implica que, en el acto de autoridad, además de contenerse los supuestos jurídicos aplicables se expliquen claramente por qué a través de la utilización de la norma se emitió el acto. De este modo, la persona que se sienta afectada pueda impugnar la decisión, permitiéndole una real y auténtica defensa.</w:t>
      </w:r>
    </w:p>
    <w:p w14:paraId="0EE35507" w14:textId="77777777" w:rsidR="007E66E7" w:rsidRPr="00655A8C" w:rsidRDefault="007E66E7" w:rsidP="007E66E7">
      <w:pPr>
        <w:spacing w:after="160" w:line="360" w:lineRule="auto"/>
        <w:rPr>
          <w:rFonts w:ascii="Palatino Linotype" w:eastAsia="Calibri" w:hAnsi="Palatino Linotype" w:cs="Arial"/>
          <w:color w:val="222222"/>
          <w:lang w:val="es-ES_tradnl" w:eastAsia="es-MX"/>
        </w:rPr>
      </w:pPr>
    </w:p>
    <w:p w14:paraId="4241963B" w14:textId="77777777" w:rsidR="007E66E7" w:rsidRPr="00655A8C" w:rsidRDefault="007E66E7" w:rsidP="007E66E7">
      <w:pPr>
        <w:numPr>
          <w:ilvl w:val="0"/>
          <w:numId w:val="11"/>
        </w:numPr>
        <w:spacing w:before="240" w:after="240" w:line="360" w:lineRule="auto"/>
        <w:ind w:left="0" w:firstLine="0"/>
        <w:contextualSpacing/>
        <w:jc w:val="both"/>
        <w:rPr>
          <w:rFonts w:ascii="Palatino Linotype" w:hAnsi="Palatino Linotype" w:cs="Arial"/>
          <w:color w:val="222222"/>
          <w:lang w:val="es-ES_tradnl" w:eastAsia="es-MX"/>
        </w:rPr>
      </w:pPr>
      <w:r w:rsidRPr="00655A8C">
        <w:rPr>
          <w:rFonts w:ascii="Palatino Linotype" w:hAnsi="Palatino Linotype" w:cs="Arial"/>
          <w:color w:val="222222"/>
          <w:lang w:val="es-ES_tradnl" w:eastAsia="es-MX"/>
        </w:rPr>
        <w:t>En ese mismo sentido, el numeral trigésimo tercero fracción V de los Lineamientos Generales, precisa que para motivar la clasificación se deben acreditar las circunstancias de tiempo, modo y lugar.</w:t>
      </w:r>
    </w:p>
    <w:p w14:paraId="692D211C" w14:textId="77777777" w:rsidR="007E66E7" w:rsidRPr="00655A8C" w:rsidRDefault="007E66E7" w:rsidP="007E66E7">
      <w:pPr>
        <w:spacing w:after="160" w:line="360" w:lineRule="auto"/>
        <w:rPr>
          <w:rFonts w:ascii="Palatino Linotype" w:eastAsia="Calibri" w:hAnsi="Palatino Linotype" w:cs="Arial"/>
          <w:color w:val="222222"/>
          <w:lang w:val="es-ES_tradnl" w:eastAsia="es-MX"/>
        </w:rPr>
      </w:pPr>
    </w:p>
    <w:p w14:paraId="035C1A8C" w14:textId="77777777" w:rsidR="007E66E7" w:rsidRPr="00655A8C" w:rsidRDefault="007E66E7" w:rsidP="007E66E7">
      <w:pPr>
        <w:numPr>
          <w:ilvl w:val="0"/>
          <w:numId w:val="11"/>
        </w:numPr>
        <w:spacing w:before="240" w:after="240" w:line="360" w:lineRule="auto"/>
        <w:ind w:left="0" w:firstLine="0"/>
        <w:contextualSpacing/>
        <w:jc w:val="both"/>
        <w:rPr>
          <w:rFonts w:ascii="Palatino Linotype" w:hAnsi="Palatino Linotype" w:cs="Arial"/>
          <w:color w:val="222222"/>
          <w:lang w:val="es-ES_tradnl" w:eastAsia="es-MX"/>
        </w:rPr>
      </w:pPr>
      <w:r w:rsidRPr="00655A8C">
        <w:rPr>
          <w:rFonts w:ascii="Palatino Linotype" w:hAnsi="Palatino Linotype" w:cs="Arial"/>
          <w:color w:val="222222"/>
          <w:lang w:val="es-ES_tradnl" w:eastAsia="es-MX"/>
        </w:rPr>
        <w:t xml:space="preserve">Ahora bien, </w:t>
      </w:r>
      <w:r w:rsidRPr="00655A8C">
        <w:rPr>
          <w:rFonts w:ascii="Palatino Linotype" w:hAnsi="Palatino Linotype" w:cs="Arial"/>
          <w:b/>
          <w:color w:val="222222"/>
          <w:lang w:val="es-ES_tradnl" w:eastAsia="es-MX"/>
        </w:rPr>
        <w:t>para cada caso además de fundar y motivar</w:t>
      </w:r>
      <w:r w:rsidRPr="00655A8C">
        <w:rPr>
          <w:rFonts w:ascii="Palatino Linotype" w:hAnsi="Palatino Linotype" w:cs="Arial"/>
          <w:color w:val="222222"/>
          <w:lang w:val="es-ES_tradnl" w:eastAsia="es-MX"/>
        </w:rPr>
        <w:t xml:space="preserve">, se debe identificar con claridad, que datos contenidos en las documentales son susceptibles de suprimirse, por ejemplo, en una documental de naturaleza pública como lo es una factura liquidada con recursos provenientes del erario público, </w:t>
      </w:r>
      <w:r w:rsidRPr="00655A8C">
        <w:rPr>
          <w:rFonts w:ascii="Palatino Linotype" w:eastAsia="Calibri" w:hAnsi="Palatino Linotype" w:cs="Arial"/>
          <w:lang w:eastAsia="es-MX"/>
        </w:rPr>
        <w:t xml:space="preserve">el Registro Federal de Contribuyentes (R.F.C.), y clave de Cadenas Originales del Sellos Digitales y los </w:t>
      </w:r>
      <w:r w:rsidRPr="00655A8C">
        <w:rPr>
          <w:rFonts w:ascii="Palatino Linotype" w:eastAsia="Calibri" w:hAnsi="Palatino Linotype" w:cs="Arial"/>
          <w:lang w:eastAsia="es-MX"/>
        </w:rPr>
        <w:lastRenderedPageBreak/>
        <w:t>Códigos Bidimensionales, también denominados Códigos QR, se consideran datos públicos, o de ser el caso en que una documental contenga datos personales relacionados con algún procedimiento judicial será susceptible de clasificarse como reservada.</w:t>
      </w:r>
    </w:p>
    <w:p w14:paraId="7F732B7F" w14:textId="77777777" w:rsidR="007E66E7" w:rsidRPr="00655A8C" w:rsidRDefault="007E66E7" w:rsidP="007E66E7">
      <w:pPr>
        <w:spacing w:before="240" w:after="240" w:line="360" w:lineRule="auto"/>
        <w:contextualSpacing/>
        <w:jc w:val="both"/>
        <w:rPr>
          <w:rFonts w:ascii="Palatino Linotype" w:hAnsi="Palatino Linotype" w:cs="Arial"/>
          <w:color w:val="222222"/>
          <w:lang w:val="es-ES_tradnl" w:eastAsia="es-MX"/>
        </w:rPr>
      </w:pPr>
    </w:p>
    <w:p w14:paraId="0058A1A6" w14:textId="77777777" w:rsidR="007E66E7" w:rsidRPr="00655A8C" w:rsidRDefault="007E66E7" w:rsidP="007E66E7">
      <w:pPr>
        <w:numPr>
          <w:ilvl w:val="0"/>
          <w:numId w:val="11"/>
        </w:numPr>
        <w:spacing w:before="240" w:after="240" w:line="360" w:lineRule="auto"/>
        <w:ind w:left="0" w:firstLine="0"/>
        <w:contextualSpacing/>
        <w:jc w:val="both"/>
        <w:rPr>
          <w:rFonts w:ascii="Palatino Linotype" w:hAnsi="Palatino Linotype" w:cs="Arial"/>
          <w:color w:val="222222"/>
          <w:lang w:val="es-ES_tradnl" w:eastAsia="es-MX"/>
        </w:rPr>
      </w:pPr>
      <w:r w:rsidRPr="00655A8C">
        <w:rPr>
          <w:rFonts w:ascii="Palatino Linotype" w:eastAsia="Calibri" w:hAnsi="Palatino Linotype" w:cs="Arial"/>
          <w:lang w:eastAsia="es-MX"/>
        </w:rPr>
        <w:t xml:space="preserve">Finalmente, no pasa desapercibido que se solicita acceso al Expediente Laboral de una persona, por lo que de existir documentos que por su naturaleza contengan datos personales en su totalidad, se deberá proceder a su clasificación total, como de manera enunciativa más no limitativa pueden ser el acta de nacimiento, la credencial de elector o la cartilla militar. </w:t>
      </w:r>
    </w:p>
    <w:p w14:paraId="633E102E" w14:textId="77777777" w:rsidR="007E66E7" w:rsidRPr="00655A8C" w:rsidRDefault="007E66E7" w:rsidP="007E66E7">
      <w:pPr>
        <w:spacing w:before="240" w:after="240" w:line="360" w:lineRule="auto"/>
        <w:contextualSpacing/>
        <w:jc w:val="both"/>
        <w:rPr>
          <w:rFonts w:ascii="Palatino Linotype" w:eastAsia="Calibri" w:hAnsi="Palatino Linotype" w:cs="Arial"/>
          <w:lang w:eastAsia="es-MX"/>
        </w:rPr>
      </w:pPr>
    </w:p>
    <w:p w14:paraId="5EFF9B5D" w14:textId="77777777" w:rsidR="007E66E7" w:rsidRPr="00655A8C" w:rsidRDefault="007E66E7" w:rsidP="007E66E7">
      <w:pPr>
        <w:keepNext/>
        <w:keepLines/>
        <w:spacing w:before="240" w:line="360" w:lineRule="auto"/>
        <w:jc w:val="both"/>
        <w:outlineLvl w:val="0"/>
        <w:rPr>
          <w:rFonts w:ascii="Palatino Linotype" w:hAnsi="Palatino Linotype"/>
          <w:b/>
          <w:lang w:val="es-MX" w:eastAsia="en-US"/>
        </w:rPr>
      </w:pPr>
      <w:bookmarkStart w:id="131" w:name="_Toc96007412"/>
      <w:bookmarkStart w:id="132" w:name="_Toc98429033"/>
      <w:bookmarkStart w:id="133" w:name="_Toc98978650"/>
      <w:bookmarkStart w:id="134" w:name="_Toc103821653"/>
      <w:r w:rsidRPr="00655A8C">
        <w:rPr>
          <w:rFonts w:ascii="Palatino Linotype" w:hAnsi="Palatino Linotype"/>
          <w:b/>
          <w:lang w:val="es-MX" w:eastAsia="en-US"/>
        </w:rPr>
        <w:t xml:space="preserve">IV. </w:t>
      </w:r>
      <w:bookmarkStart w:id="135" w:name="_Toc5711929"/>
      <w:bookmarkStart w:id="136" w:name="_Toc5890466"/>
      <w:bookmarkStart w:id="137" w:name="_Toc50062192"/>
      <w:bookmarkStart w:id="138" w:name="_Toc63348483"/>
      <w:bookmarkStart w:id="139" w:name="_Toc67598520"/>
      <w:bookmarkStart w:id="140" w:name="_Toc69999209"/>
      <w:bookmarkStart w:id="141" w:name="_Toc73033018"/>
      <w:bookmarkStart w:id="142" w:name="_Toc83127119"/>
      <w:r w:rsidRPr="00655A8C">
        <w:rPr>
          <w:rFonts w:ascii="Palatino Linotype" w:hAnsi="Palatino Linotype"/>
          <w:b/>
          <w:lang w:val="es-MX" w:eastAsia="en-US"/>
        </w:rPr>
        <w:t>Condiciones especiales de la clasificación de la información como confidencial.</w:t>
      </w:r>
      <w:bookmarkEnd w:id="131"/>
      <w:bookmarkEnd w:id="132"/>
      <w:bookmarkEnd w:id="133"/>
      <w:bookmarkEnd w:id="134"/>
      <w:bookmarkEnd w:id="135"/>
      <w:bookmarkEnd w:id="136"/>
      <w:bookmarkEnd w:id="137"/>
      <w:bookmarkEnd w:id="138"/>
      <w:bookmarkEnd w:id="139"/>
      <w:bookmarkEnd w:id="140"/>
      <w:bookmarkEnd w:id="141"/>
      <w:bookmarkEnd w:id="142"/>
    </w:p>
    <w:p w14:paraId="0EF8212B" w14:textId="77777777" w:rsidR="007E66E7" w:rsidRPr="00655A8C" w:rsidRDefault="007E66E7" w:rsidP="007E66E7">
      <w:pPr>
        <w:keepNext/>
        <w:keepLines/>
        <w:spacing w:before="240" w:line="360" w:lineRule="auto"/>
        <w:jc w:val="both"/>
        <w:outlineLvl w:val="0"/>
        <w:rPr>
          <w:rFonts w:ascii="Palatino Linotype" w:hAnsi="Palatino Linotype"/>
          <w:b/>
          <w:lang w:val="es-MX" w:eastAsia="en-US"/>
        </w:rPr>
      </w:pPr>
    </w:p>
    <w:p w14:paraId="601D350D" w14:textId="77777777" w:rsidR="007E66E7" w:rsidRPr="00655A8C" w:rsidRDefault="007E66E7" w:rsidP="007E66E7">
      <w:pPr>
        <w:numPr>
          <w:ilvl w:val="0"/>
          <w:numId w:val="11"/>
        </w:numPr>
        <w:spacing w:before="240" w:after="240" w:line="360" w:lineRule="auto"/>
        <w:ind w:left="0" w:firstLine="0"/>
        <w:contextualSpacing/>
        <w:jc w:val="both"/>
        <w:rPr>
          <w:rFonts w:ascii="Palatino Linotype" w:hAnsi="Palatino Linotype" w:cs="Arial"/>
          <w:color w:val="000000"/>
          <w:lang w:val="es-ES_tradnl"/>
        </w:rPr>
      </w:pPr>
      <w:r w:rsidRPr="00655A8C">
        <w:rPr>
          <w:rFonts w:ascii="Palatino Linotype" w:hAnsi="Palatino Linotype" w:cs="Arial"/>
          <w:color w:val="000000"/>
          <w:lang w:val="es-ES_tradnl"/>
        </w:rPr>
        <w:t>Las disposiciones constitucionales y legales en la materia establecen los dos supuestos generales para clasificar la información: por reserva y por confidencialidad.</w:t>
      </w:r>
    </w:p>
    <w:p w14:paraId="5B892A08" w14:textId="77777777" w:rsidR="007E66E7" w:rsidRPr="00655A8C" w:rsidRDefault="007E66E7" w:rsidP="007E66E7">
      <w:pPr>
        <w:spacing w:before="240" w:after="240" w:line="360" w:lineRule="auto"/>
        <w:contextualSpacing/>
        <w:jc w:val="both"/>
        <w:rPr>
          <w:rFonts w:ascii="Palatino Linotype" w:hAnsi="Palatino Linotype" w:cs="Arial"/>
          <w:color w:val="000000"/>
          <w:lang w:val="es-ES_tradnl"/>
        </w:rPr>
      </w:pPr>
    </w:p>
    <w:p w14:paraId="381E6DD7" w14:textId="77777777" w:rsidR="007E66E7" w:rsidRPr="00655A8C" w:rsidRDefault="007E66E7" w:rsidP="007E66E7">
      <w:pPr>
        <w:numPr>
          <w:ilvl w:val="0"/>
          <w:numId w:val="11"/>
        </w:numPr>
        <w:spacing w:before="240" w:after="240" w:line="360" w:lineRule="auto"/>
        <w:ind w:left="0" w:firstLine="0"/>
        <w:contextualSpacing/>
        <w:jc w:val="both"/>
        <w:rPr>
          <w:rFonts w:ascii="Palatino Linotype" w:hAnsi="Palatino Linotype" w:cs="Arial"/>
          <w:color w:val="000000"/>
          <w:lang w:val="es-ES_tradnl"/>
        </w:rPr>
      </w:pPr>
      <w:r w:rsidRPr="00655A8C">
        <w:rPr>
          <w:rFonts w:ascii="Palatino Linotype" w:hAnsi="Palatino Linotype" w:cs="Arial"/>
          <w:color w:val="000000"/>
          <w:lang w:val="es-ES_tradnl"/>
        </w:rPr>
        <w:t>Los artículos 143 y 116 de la Ley Estatal y de la Ley General, respectivamente, señalan los supuestos para que la información pueda ser clasificada como confidencial:</w:t>
      </w:r>
    </w:p>
    <w:p w14:paraId="0268B164" w14:textId="77777777" w:rsidR="007E66E7" w:rsidRPr="00655A8C" w:rsidRDefault="007E66E7" w:rsidP="007E66E7">
      <w:pPr>
        <w:spacing w:before="240" w:after="240" w:line="360" w:lineRule="auto"/>
        <w:contextualSpacing/>
        <w:jc w:val="both"/>
        <w:rPr>
          <w:rFonts w:ascii="Palatino Linotype" w:hAnsi="Palatino Linotype" w:cs="Arial"/>
          <w:color w:val="000000"/>
          <w:lang w:val="es-ES_tradnl"/>
        </w:rPr>
      </w:pPr>
    </w:p>
    <w:p w14:paraId="056A0C78" w14:textId="77777777" w:rsidR="007E66E7" w:rsidRPr="00655A8C" w:rsidRDefault="007E66E7" w:rsidP="007E66E7">
      <w:pPr>
        <w:widowControl w:val="0"/>
        <w:autoSpaceDE w:val="0"/>
        <w:autoSpaceDN w:val="0"/>
        <w:adjustRightInd w:val="0"/>
        <w:spacing w:after="240" w:line="360" w:lineRule="auto"/>
        <w:ind w:left="567" w:right="616"/>
        <w:jc w:val="both"/>
        <w:rPr>
          <w:rFonts w:ascii="Palatino Linotype" w:hAnsi="Palatino Linotype" w:cs="Times"/>
          <w:i/>
          <w:color w:val="000000"/>
          <w:lang w:val="es-ES_tradnl"/>
        </w:rPr>
      </w:pPr>
      <w:r w:rsidRPr="00655A8C">
        <w:rPr>
          <w:rFonts w:ascii="Palatino Linotype" w:hAnsi="Palatino Linotype" w:cs="Bookman Old Style"/>
          <w:bCs/>
          <w:i/>
          <w:color w:val="000000"/>
          <w:lang w:val="es-ES_tradnl"/>
        </w:rPr>
        <w:t xml:space="preserve">I. </w:t>
      </w:r>
      <w:r w:rsidRPr="00655A8C">
        <w:rPr>
          <w:rFonts w:ascii="Palatino Linotype" w:hAnsi="Palatino Linotype" w:cs="Bookman Old Style"/>
          <w:i/>
          <w:color w:val="000000"/>
          <w:lang w:val="es-ES_tradnl"/>
        </w:rPr>
        <w:t xml:space="preserve">Se refiera a la información privada y los datos personales concernientes a una persona física o jurídico colectiva identificada o identificable; </w:t>
      </w:r>
    </w:p>
    <w:p w14:paraId="506D017B" w14:textId="77777777" w:rsidR="007E66E7" w:rsidRPr="00655A8C" w:rsidRDefault="007E66E7" w:rsidP="007E66E7">
      <w:pPr>
        <w:widowControl w:val="0"/>
        <w:autoSpaceDE w:val="0"/>
        <w:autoSpaceDN w:val="0"/>
        <w:adjustRightInd w:val="0"/>
        <w:spacing w:after="240" w:line="360" w:lineRule="auto"/>
        <w:ind w:left="567" w:right="616"/>
        <w:jc w:val="both"/>
        <w:rPr>
          <w:rFonts w:ascii="Palatino Linotype" w:hAnsi="Palatino Linotype" w:cs="Times"/>
          <w:i/>
          <w:color w:val="000000"/>
          <w:lang w:val="es-ES_tradnl"/>
        </w:rPr>
      </w:pPr>
      <w:r w:rsidRPr="00655A8C">
        <w:rPr>
          <w:rFonts w:ascii="Palatino Linotype" w:hAnsi="Palatino Linotype" w:cs="Bookman Old Style"/>
          <w:bCs/>
          <w:i/>
          <w:color w:val="000000"/>
          <w:lang w:val="es-ES_tradnl"/>
        </w:rPr>
        <w:lastRenderedPageBreak/>
        <w:t xml:space="preserve">II. </w:t>
      </w:r>
      <w:r w:rsidRPr="00655A8C">
        <w:rPr>
          <w:rFonts w:ascii="Palatino Linotype" w:hAnsi="Palatino Linotype" w:cs="Bookman Old Style"/>
          <w:i/>
          <w:color w:val="000000"/>
          <w:lang w:val="es-ES_tradnl"/>
        </w:rPr>
        <w:t xml:space="preserve">Los secretos bancario, fiduciario, industrial, comercial, fiscal, bursátil y postal, cuya titularidad corresponda a particulares, sujetos de derecho internacional o a sujetos obligados cuando no involucren el ejercicio de recursos públicos; y </w:t>
      </w:r>
    </w:p>
    <w:p w14:paraId="00DEAAC3" w14:textId="77777777" w:rsidR="007E66E7" w:rsidRPr="00655A8C" w:rsidRDefault="007E66E7" w:rsidP="007E66E7">
      <w:pPr>
        <w:widowControl w:val="0"/>
        <w:autoSpaceDE w:val="0"/>
        <w:autoSpaceDN w:val="0"/>
        <w:adjustRightInd w:val="0"/>
        <w:spacing w:after="240" w:line="360" w:lineRule="auto"/>
        <w:ind w:left="567" w:right="616"/>
        <w:jc w:val="both"/>
        <w:rPr>
          <w:rFonts w:ascii="Palatino Linotype" w:hAnsi="Palatino Linotype" w:cs="Times"/>
          <w:i/>
          <w:color w:val="000000"/>
          <w:lang w:val="es-ES_tradnl"/>
        </w:rPr>
      </w:pPr>
      <w:r w:rsidRPr="00655A8C">
        <w:rPr>
          <w:rFonts w:ascii="Palatino Linotype" w:hAnsi="Palatino Linotype" w:cs="Bookman Old Style"/>
          <w:bCs/>
          <w:i/>
          <w:color w:val="000000"/>
          <w:lang w:val="es-ES_tradnl"/>
        </w:rPr>
        <w:t xml:space="preserve">III. </w:t>
      </w:r>
      <w:r w:rsidRPr="00655A8C">
        <w:rPr>
          <w:rFonts w:ascii="Palatino Linotype" w:hAnsi="Palatino Linotype" w:cs="Bookman Old Style"/>
          <w:i/>
          <w:color w:val="000000"/>
          <w:lang w:val="es-ES_tradnl"/>
        </w:rPr>
        <w:t xml:space="preserve">La que presenten los particulares a los sujetos obligados, de conformidad con lo dispuesto por las leyes o los tratados internacionales. </w:t>
      </w:r>
    </w:p>
    <w:p w14:paraId="7949B249" w14:textId="77777777" w:rsidR="007E66E7" w:rsidRPr="00655A8C" w:rsidRDefault="007E66E7" w:rsidP="007E66E7">
      <w:pPr>
        <w:widowControl w:val="0"/>
        <w:autoSpaceDE w:val="0"/>
        <w:autoSpaceDN w:val="0"/>
        <w:adjustRightInd w:val="0"/>
        <w:spacing w:after="240" w:line="360" w:lineRule="auto"/>
        <w:ind w:left="567" w:right="616"/>
        <w:jc w:val="both"/>
        <w:rPr>
          <w:rFonts w:ascii="Palatino Linotype" w:hAnsi="Palatino Linotype" w:cs="Times"/>
          <w:i/>
          <w:color w:val="000000"/>
          <w:lang w:val="es-ES_tradnl"/>
        </w:rPr>
      </w:pPr>
      <w:r w:rsidRPr="00655A8C">
        <w:rPr>
          <w:rFonts w:ascii="Palatino Linotype" w:hAnsi="Palatino Linotype" w:cs="Bookman Old Style"/>
          <w:i/>
          <w:color w:val="000000"/>
          <w:lang w:val="es-ES_tradnl"/>
        </w:rPr>
        <w:t xml:space="preserve">La información confidencial no estará sujeta a temporalidad alguna y sólo podrán tener acceso a ella los titulares de la misma, sus representantes y los servidores públicos facultados para ello. </w:t>
      </w:r>
    </w:p>
    <w:p w14:paraId="1B49843F" w14:textId="77777777" w:rsidR="007E66E7" w:rsidRPr="00655A8C" w:rsidRDefault="007E66E7" w:rsidP="007E66E7">
      <w:pPr>
        <w:widowControl w:val="0"/>
        <w:autoSpaceDE w:val="0"/>
        <w:autoSpaceDN w:val="0"/>
        <w:adjustRightInd w:val="0"/>
        <w:spacing w:after="240" w:line="360" w:lineRule="auto"/>
        <w:ind w:left="567" w:right="616"/>
        <w:jc w:val="both"/>
        <w:rPr>
          <w:rFonts w:ascii="Palatino Linotype" w:hAnsi="Palatino Linotype" w:cs="Bookman Old Style"/>
          <w:i/>
          <w:color w:val="000000"/>
          <w:lang w:val="es-ES_tradnl"/>
        </w:rPr>
      </w:pPr>
      <w:r w:rsidRPr="00655A8C">
        <w:rPr>
          <w:rFonts w:ascii="Palatino Linotype" w:hAnsi="Palatino Linotype" w:cs="Bookman Old Style"/>
          <w:i/>
          <w:color w:val="000000"/>
          <w:lang w:val="es-ES_tradnl"/>
        </w:rPr>
        <w:t xml:space="preserve">No se considerará confidencial la información que se encuentre en los registros públicos o en fuentes de acceso público, ni tampoco la que sea considerada por la presente ley como información pública. </w:t>
      </w:r>
    </w:p>
    <w:p w14:paraId="6E632F4A" w14:textId="77777777" w:rsidR="007E66E7" w:rsidRPr="00655A8C" w:rsidRDefault="007E66E7" w:rsidP="007E66E7">
      <w:pPr>
        <w:numPr>
          <w:ilvl w:val="0"/>
          <w:numId w:val="11"/>
        </w:numPr>
        <w:spacing w:before="240" w:after="240" w:line="360" w:lineRule="auto"/>
        <w:ind w:left="0" w:firstLine="0"/>
        <w:contextualSpacing/>
        <w:jc w:val="both"/>
        <w:rPr>
          <w:rFonts w:ascii="Palatino Linotype" w:hAnsi="Palatino Linotype" w:cs="Arial"/>
          <w:color w:val="000000"/>
          <w:lang w:val="es-ES_tradnl"/>
        </w:rPr>
      </w:pPr>
      <w:r w:rsidRPr="00655A8C">
        <w:rPr>
          <w:rFonts w:ascii="Palatino Linotype" w:hAnsi="Palatino Linotype" w:cs="Arial"/>
          <w:color w:val="000000"/>
          <w:lang w:val="es-ES_tradnl"/>
        </w:rPr>
        <w:t>Mientras que los artículos 130 y 105 de la Ley Estatal y de la Ley General, respectivamente, señalan que la aplicación de estos supuestos debe de realizarse de manera restrictiva y limitada, por lo que debe acreditarse que se cumple con esta condición y no se pueden ampliar las excepciones o supuestos de clasificación aduciendo analogía o mayoría de razón.</w:t>
      </w:r>
    </w:p>
    <w:p w14:paraId="6E1A11E1" w14:textId="77777777" w:rsidR="007E66E7" w:rsidRPr="00655A8C" w:rsidRDefault="007E66E7" w:rsidP="007E66E7">
      <w:pPr>
        <w:spacing w:before="240" w:after="240" w:line="360" w:lineRule="auto"/>
        <w:contextualSpacing/>
        <w:jc w:val="both"/>
        <w:rPr>
          <w:rFonts w:ascii="Palatino Linotype" w:hAnsi="Palatino Linotype" w:cs="Arial"/>
          <w:color w:val="000000"/>
          <w:lang w:val="es-ES_tradnl"/>
        </w:rPr>
      </w:pPr>
    </w:p>
    <w:p w14:paraId="792CE96F" w14:textId="77777777" w:rsidR="007E66E7" w:rsidRPr="00655A8C" w:rsidRDefault="007E66E7" w:rsidP="007E66E7">
      <w:pPr>
        <w:numPr>
          <w:ilvl w:val="0"/>
          <w:numId w:val="11"/>
        </w:numPr>
        <w:spacing w:before="240" w:after="240" w:line="360" w:lineRule="auto"/>
        <w:ind w:left="0" w:firstLine="0"/>
        <w:contextualSpacing/>
        <w:jc w:val="both"/>
        <w:rPr>
          <w:rFonts w:ascii="Palatino Linotype" w:hAnsi="Palatino Linotype" w:cs="Arial"/>
          <w:color w:val="000000"/>
          <w:lang w:val="es-ES_tradnl"/>
        </w:rPr>
      </w:pPr>
      <w:r w:rsidRPr="00655A8C">
        <w:rPr>
          <w:rFonts w:ascii="Palatino Linotype" w:hAnsi="Palatino Linotype" w:cs="Arial"/>
          <w:color w:val="000000"/>
          <w:lang w:val="es-ES_tradnl"/>
        </w:rPr>
        <w:t xml:space="preserve">Como consecuencia de lo anterior, el </w:t>
      </w:r>
      <w:r w:rsidRPr="00655A8C">
        <w:rPr>
          <w:rFonts w:ascii="Palatino Linotype" w:hAnsi="Palatino Linotype" w:cs="Arial"/>
          <w:b/>
          <w:color w:val="000000"/>
          <w:lang w:val="es-ES_tradnl"/>
        </w:rPr>
        <w:t>SUJETO OBLIGADO</w:t>
      </w:r>
      <w:r w:rsidRPr="00655A8C">
        <w:rPr>
          <w:rFonts w:ascii="Palatino Linotype" w:hAnsi="Palatino Linotype" w:cs="Arial"/>
          <w:color w:val="000000"/>
          <w:lang w:val="es-ES_tradnl"/>
        </w:rPr>
        <w:t xml:space="preserve"> debe identificar claramente el tipo de información y hacer un juicio de subsunción o encaje</w:t>
      </w:r>
      <w:r w:rsidRPr="00655A8C">
        <w:rPr>
          <w:rFonts w:ascii="Palatino Linotype" w:hAnsi="Palatino Linotype"/>
          <w:vertAlign w:val="superscript"/>
          <w:lang w:val="es-ES_tradnl"/>
        </w:rPr>
        <w:footnoteReference w:id="19"/>
      </w:r>
      <w:r w:rsidRPr="00655A8C">
        <w:rPr>
          <w:rFonts w:ascii="Palatino Linotype" w:hAnsi="Palatino Linotype" w:cs="Arial"/>
          <w:color w:val="000000"/>
          <w:lang w:val="es-ES_tradnl"/>
        </w:rPr>
        <w:t xml:space="preserve"> para </w:t>
      </w:r>
      <w:r w:rsidRPr="00655A8C">
        <w:rPr>
          <w:rFonts w:ascii="Palatino Linotype" w:hAnsi="Palatino Linotype" w:cs="Arial"/>
          <w:color w:val="000000"/>
          <w:lang w:val="es-ES_tradnl"/>
        </w:rPr>
        <w:lastRenderedPageBreak/>
        <w:t>acreditar que el supuesto de hecho corresponde estrictamente con la hipótesis jurídica. Esto también lo debe de realizar el servidor público habilitado y el titular del área que administra la información.</w:t>
      </w:r>
    </w:p>
    <w:p w14:paraId="4B043B8A" w14:textId="77777777" w:rsidR="007E66E7" w:rsidRPr="00655A8C" w:rsidRDefault="007E66E7" w:rsidP="007E66E7">
      <w:pPr>
        <w:spacing w:line="360" w:lineRule="auto"/>
        <w:rPr>
          <w:rFonts w:ascii="Palatino Linotype" w:hAnsi="Palatino Linotype" w:cs="Arial"/>
          <w:color w:val="000000"/>
          <w:lang w:val="es-ES_tradnl"/>
        </w:rPr>
      </w:pPr>
    </w:p>
    <w:p w14:paraId="7C6CEC7A" w14:textId="77777777" w:rsidR="007E66E7" w:rsidRPr="00655A8C" w:rsidRDefault="007E66E7" w:rsidP="007E66E7">
      <w:pPr>
        <w:numPr>
          <w:ilvl w:val="0"/>
          <w:numId w:val="11"/>
        </w:numPr>
        <w:spacing w:before="240" w:after="240" w:line="360" w:lineRule="auto"/>
        <w:ind w:left="0" w:firstLine="0"/>
        <w:contextualSpacing/>
        <w:jc w:val="both"/>
        <w:rPr>
          <w:rFonts w:ascii="Palatino Linotype" w:hAnsi="Palatino Linotype" w:cs="Arial"/>
          <w:color w:val="000000"/>
          <w:lang w:val="es-ES_tradnl"/>
        </w:rPr>
      </w:pPr>
      <w:r w:rsidRPr="00655A8C">
        <w:rPr>
          <w:rFonts w:ascii="Palatino Linotype" w:hAnsi="Palatino Linotype" w:cs="Arial"/>
          <w:color w:val="000000"/>
          <w:lang w:val="es-ES_tradnl"/>
        </w:rPr>
        <w:t>Una vez hecho lo anterior, se remite la información al Titular de la Unidad de Transparencia, con el acuerdo de clasificación correspondiente, para que sea sometido al conocimiento del Comité de Transparencia.</w:t>
      </w:r>
    </w:p>
    <w:p w14:paraId="79B9123B" w14:textId="77777777" w:rsidR="007E66E7" w:rsidRPr="00655A8C" w:rsidRDefault="007E66E7" w:rsidP="007E66E7">
      <w:pPr>
        <w:spacing w:before="240" w:after="240" w:line="360" w:lineRule="auto"/>
        <w:contextualSpacing/>
        <w:jc w:val="both"/>
        <w:rPr>
          <w:rFonts w:ascii="Palatino Linotype" w:hAnsi="Palatino Linotype" w:cs="Arial"/>
          <w:color w:val="000000"/>
          <w:lang w:val="es-ES_tradnl"/>
        </w:rPr>
      </w:pPr>
    </w:p>
    <w:p w14:paraId="4BFD62D6" w14:textId="77777777" w:rsidR="007E66E7" w:rsidRPr="00655A8C" w:rsidRDefault="007E66E7" w:rsidP="007E66E7">
      <w:pPr>
        <w:keepNext/>
        <w:keepLines/>
        <w:numPr>
          <w:ilvl w:val="0"/>
          <w:numId w:val="7"/>
        </w:numPr>
        <w:spacing w:before="240" w:after="160" w:line="360" w:lineRule="auto"/>
        <w:ind w:left="270" w:hanging="270"/>
        <w:outlineLvl w:val="0"/>
        <w:rPr>
          <w:rFonts w:ascii="Palatino Linotype" w:eastAsia="MS Gothic" w:hAnsi="Palatino Linotype"/>
          <w:b/>
          <w:lang w:val="es-MX" w:eastAsia="en-US"/>
        </w:rPr>
      </w:pPr>
      <w:bookmarkStart w:id="143" w:name="_Toc5711930"/>
      <w:bookmarkStart w:id="144" w:name="_Toc5890467"/>
      <w:bookmarkStart w:id="145" w:name="_Toc50062193"/>
      <w:r w:rsidRPr="00655A8C">
        <w:rPr>
          <w:rFonts w:ascii="Palatino Linotype" w:eastAsia="MS Gothic" w:hAnsi="Palatino Linotype"/>
          <w:b/>
          <w:lang w:val="es-MX" w:eastAsia="en-US"/>
        </w:rPr>
        <w:t xml:space="preserve"> </w:t>
      </w:r>
      <w:bookmarkStart w:id="146" w:name="_Toc63348484"/>
      <w:bookmarkStart w:id="147" w:name="_Toc67598521"/>
      <w:bookmarkStart w:id="148" w:name="_Toc69999210"/>
      <w:bookmarkStart w:id="149" w:name="_Toc73033019"/>
      <w:bookmarkStart w:id="150" w:name="_Toc83127120"/>
      <w:bookmarkStart w:id="151" w:name="_Toc96007413"/>
      <w:bookmarkStart w:id="152" w:name="_Toc98429034"/>
      <w:bookmarkStart w:id="153" w:name="_Toc98978651"/>
      <w:bookmarkStart w:id="154" w:name="_Toc103821654"/>
      <w:r w:rsidRPr="00655A8C">
        <w:rPr>
          <w:rFonts w:ascii="Palatino Linotype" w:eastAsia="MS Gothic" w:hAnsi="Palatino Linotype"/>
          <w:b/>
          <w:lang w:val="es-MX" w:eastAsia="en-US"/>
        </w:rPr>
        <w:t>Del consentimiento.</w:t>
      </w:r>
      <w:bookmarkEnd w:id="143"/>
      <w:bookmarkEnd w:id="144"/>
      <w:bookmarkEnd w:id="145"/>
      <w:bookmarkEnd w:id="146"/>
      <w:bookmarkEnd w:id="147"/>
      <w:bookmarkEnd w:id="148"/>
      <w:bookmarkEnd w:id="149"/>
      <w:bookmarkEnd w:id="150"/>
      <w:bookmarkEnd w:id="151"/>
      <w:bookmarkEnd w:id="152"/>
      <w:bookmarkEnd w:id="153"/>
      <w:bookmarkEnd w:id="154"/>
    </w:p>
    <w:p w14:paraId="52C579E4" w14:textId="77777777" w:rsidR="007E66E7" w:rsidRPr="00655A8C" w:rsidRDefault="007E66E7" w:rsidP="007E66E7">
      <w:pPr>
        <w:spacing w:line="360" w:lineRule="auto"/>
        <w:rPr>
          <w:rFonts w:ascii="Palatino Linotype" w:eastAsia="MS Mincho" w:hAnsi="Palatino Linotype"/>
          <w:lang w:val="es-MX" w:eastAsia="en-US"/>
        </w:rPr>
      </w:pPr>
    </w:p>
    <w:p w14:paraId="7CE20AF9" w14:textId="77777777" w:rsidR="007E66E7" w:rsidRPr="00655A8C" w:rsidRDefault="007E66E7" w:rsidP="007E66E7">
      <w:pPr>
        <w:numPr>
          <w:ilvl w:val="0"/>
          <w:numId w:val="11"/>
        </w:numPr>
        <w:spacing w:after="120" w:line="360" w:lineRule="auto"/>
        <w:ind w:left="0" w:right="49" w:firstLine="0"/>
        <w:contextualSpacing/>
        <w:jc w:val="both"/>
        <w:rPr>
          <w:rFonts w:ascii="Palatino Linotype" w:eastAsia="MS Mincho" w:hAnsi="Palatino Linotype" w:cs="Arial"/>
          <w:color w:val="000000"/>
          <w:lang w:val="es-ES_tradnl"/>
        </w:rPr>
      </w:pPr>
      <w:r w:rsidRPr="00655A8C">
        <w:rPr>
          <w:rFonts w:ascii="Palatino Linotype" w:eastAsia="MS Mincho" w:hAnsi="Palatino Linotype" w:cs="Arial"/>
          <w:color w:val="000000"/>
          <w:lang w:val="es-ES_tradnl"/>
        </w:rPr>
        <w:t xml:space="preserve">Los artículos 148 y 120 de la Ley Estatal y de la Ley General, respectivamente, establecen que, aun tratándose de datos personales, se podrán proporcionar, incluso sin solicitar el consentimiento de su titular, cuando dichos datos correspondan a los siguientes supuestos: </w:t>
      </w:r>
    </w:p>
    <w:p w14:paraId="06CBE8EC" w14:textId="77777777" w:rsidR="007E66E7" w:rsidRPr="00655A8C" w:rsidRDefault="007E66E7" w:rsidP="007E66E7">
      <w:pPr>
        <w:spacing w:after="120" w:line="360" w:lineRule="auto"/>
        <w:ind w:left="426" w:right="49" w:hanging="426"/>
        <w:contextualSpacing/>
        <w:jc w:val="both"/>
        <w:rPr>
          <w:rFonts w:ascii="Palatino Linotype" w:eastAsia="MS Mincho" w:hAnsi="Palatino Linotype" w:cs="Arial"/>
          <w:color w:val="000000"/>
          <w:lang w:val="es-ES_tradnl"/>
        </w:rPr>
      </w:pPr>
    </w:p>
    <w:p w14:paraId="57B35FF4" w14:textId="77777777" w:rsidR="007E66E7" w:rsidRPr="00655A8C" w:rsidRDefault="007E66E7" w:rsidP="007E66E7">
      <w:pPr>
        <w:spacing w:after="120" w:line="360" w:lineRule="auto"/>
        <w:ind w:left="567" w:right="567"/>
        <w:contextualSpacing/>
        <w:jc w:val="both"/>
        <w:rPr>
          <w:rFonts w:ascii="Palatino Linotype" w:eastAsia="MS Mincho" w:hAnsi="Palatino Linotype" w:cs="Arial"/>
          <w:bCs/>
          <w:i/>
          <w:color w:val="000000"/>
          <w:lang w:val="es-MX"/>
        </w:rPr>
      </w:pPr>
      <w:r w:rsidRPr="00655A8C">
        <w:rPr>
          <w:rFonts w:ascii="Palatino Linotype" w:eastAsia="MS Mincho" w:hAnsi="Palatino Linotype" w:cs="Arial"/>
          <w:bCs/>
          <w:i/>
          <w:color w:val="000000"/>
          <w:lang w:val="es-MX"/>
        </w:rPr>
        <w:t>I.</w:t>
      </w:r>
      <w:r w:rsidRPr="00655A8C">
        <w:rPr>
          <w:rFonts w:ascii="Palatino Linotype" w:eastAsia="MS Mincho" w:hAnsi="Palatino Linotype" w:cs="Arial"/>
          <w:i/>
          <w:color w:val="000000"/>
          <w:lang w:val="es-MX"/>
        </w:rPr>
        <w:t xml:space="preserve"> La información se encuentre en registros públicos o fuentes de acceso público;</w:t>
      </w:r>
    </w:p>
    <w:p w14:paraId="1774F2A7" w14:textId="77777777" w:rsidR="007E66E7" w:rsidRPr="00655A8C" w:rsidRDefault="007E66E7" w:rsidP="007E66E7">
      <w:pPr>
        <w:spacing w:after="120" w:line="360" w:lineRule="auto"/>
        <w:ind w:left="567" w:right="567"/>
        <w:contextualSpacing/>
        <w:jc w:val="both"/>
        <w:rPr>
          <w:rFonts w:ascii="Palatino Linotype" w:eastAsia="MS Mincho" w:hAnsi="Palatino Linotype" w:cs="Arial"/>
          <w:bCs/>
          <w:i/>
          <w:color w:val="000000"/>
          <w:lang w:val="es-MX"/>
        </w:rPr>
      </w:pPr>
      <w:r w:rsidRPr="00655A8C">
        <w:rPr>
          <w:rFonts w:ascii="Palatino Linotype" w:eastAsia="MS Mincho" w:hAnsi="Palatino Linotype" w:cs="Arial"/>
          <w:bCs/>
          <w:i/>
          <w:color w:val="000000"/>
          <w:lang w:val="es-MX"/>
        </w:rPr>
        <w:t xml:space="preserve">II. </w:t>
      </w:r>
      <w:r w:rsidRPr="00655A8C">
        <w:rPr>
          <w:rFonts w:ascii="Palatino Linotype" w:eastAsia="MS Mincho" w:hAnsi="Palatino Linotype" w:cs="Arial"/>
          <w:i/>
          <w:color w:val="000000"/>
          <w:lang w:val="es-MX"/>
        </w:rPr>
        <w:t>Por Ley tenga el carácter de pública;</w:t>
      </w:r>
    </w:p>
    <w:p w14:paraId="7C8DB06E" w14:textId="77777777" w:rsidR="007E66E7" w:rsidRPr="00655A8C" w:rsidRDefault="007E66E7" w:rsidP="007E66E7">
      <w:pPr>
        <w:spacing w:after="120" w:line="360" w:lineRule="auto"/>
        <w:ind w:left="567" w:right="567"/>
        <w:contextualSpacing/>
        <w:jc w:val="both"/>
        <w:rPr>
          <w:rFonts w:ascii="Palatino Linotype" w:eastAsia="MS Mincho" w:hAnsi="Palatino Linotype" w:cs="Arial"/>
          <w:i/>
          <w:color w:val="000000"/>
          <w:lang w:val="es-MX"/>
        </w:rPr>
      </w:pPr>
      <w:r w:rsidRPr="00655A8C">
        <w:rPr>
          <w:rFonts w:ascii="Palatino Linotype" w:eastAsia="MS Mincho" w:hAnsi="Palatino Linotype" w:cs="Arial"/>
          <w:bCs/>
          <w:i/>
          <w:color w:val="000000"/>
          <w:lang w:val="es-MX"/>
        </w:rPr>
        <w:lastRenderedPageBreak/>
        <w:t xml:space="preserve">III. </w:t>
      </w:r>
      <w:r w:rsidRPr="00655A8C">
        <w:rPr>
          <w:rFonts w:ascii="Palatino Linotype" w:eastAsia="MS Mincho" w:hAnsi="Palatino Linotype" w:cs="Arial"/>
          <w:i/>
          <w:color w:val="000000"/>
          <w:lang w:val="es-MX"/>
        </w:rPr>
        <w:t xml:space="preserve">Exista una orden judicial; </w:t>
      </w:r>
    </w:p>
    <w:p w14:paraId="62B65BE7" w14:textId="77777777" w:rsidR="007E66E7" w:rsidRPr="00655A8C" w:rsidRDefault="007E66E7" w:rsidP="007E66E7">
      <w:pPr>
        <w:spacing w:after="120" w:line="360" w:lineRule="auto"/>
        <w:ind w:left="567" w:right="567"/>
        <w:contextualSpacing/>
        <w:jc w:val="both"/>
        <w:rPr>
          <w:rFonts w:ascii="Palatino Linotype" w:eastAsia="MS Mincho" w:hAnsi="Palatino Linotype" w:cs="Arial"/>
          <w:i/>
          <w:color w:val="000000"/>
          <w:lang w:val="es-MX"/>
        </w:rPr>
      </w:pPr>
      <w:r w:rsidRPr="00655A8C">
        <w:rPr>
          <w:rFonts w:ascii="Palatino Linotype" w:eastAsia="MS Mincho" w:hAnsi="Palatino Linotype" w:cs="Arial"/>
          <w:bCs/>
          <w:i/>
          <w:color w:val="000000"/>
          <w:lang w:val="es-MX"/>
        </w:rPr>
        <w:t xml:space="preserve">IV. </w:t>
      </w:r>
      <w:r w:rsidRPr="00655A8C">
        <w:rPr>
          <w:rFonts w:ascii="Palatino Linotype" w:eastAsia="MS Mincho" w:hAnsi="Palatino Linotype" w:cs="Arial"/>
          <w:i/>
          <w:color w:val="000000"/>
          <w:lang w:val="es-MX"/>
        </w:rPr>
        <w:t xml:space="preserve">Por razones de seguridad pública, o para proteger los derechos de terceros, se requiera su publicación; o </w:t>
      </w:r>
    </w:p>
    <w:p w14:paraId="08F09526" w14:textId="77777777" w:rsidR="007E66E7" w:rsidRPr="00655A8C" w:rsidRDefault="007E66E7" w:rsidP="007E66E7">
      <w:pPr>
        <w:spacing w:after="120" w:line="360" w:lineRule="auto"/>
        <w:ind w:left="567" w:right="567"/>
        <w:contextualSpacing/>
        <w:jc w:val="both"/>
        <w:rPr>
          <w:rFonts w:ascii="Palatino Linotype" w:eastAsia="MS Mincho" w:hAnsi="Palatino Linotype" w:cs="Arial"/>
          <w:i/>
          <w:color w:val="000000"/>
          <w:lang w:val="es-MX"/>
        </w:rPr>
      </w:pPr>
      <w:r w:rsidRPr="00655A8C">
        <w:rPr>
          <w:rFonts w:ascii="Palatino Linotype" w:eastAsia="MS Mincho" w:hAnsi="Palatino Linotype" w:cs="Arial"/>
          <w:bCs/>
          <w:i/>
          <w:color w:val="000000"/>
          <w:lang w:val="es-MX"/>
        </w:rPr>
        <w:t xml:space="preserve">V. </w:t>
      </w:r>
      <w:r w:rsidRPr="00655A8C">
        <w:rPr>
          <w:rFonts w:ascii="Palatino Linotype" w:eastAsia="MS Mincho" w:hAnsi="Palatino Linotype" w:cs="Arial"/>
          <w:i/>
          <w:color w:val="000000"/>
          <w:lang w:val="es-MX"/>
        </w:rPr>
        <w:t xml:space="preserve">Cuando se transmita entre sujetos obligados y entre éstos y los sujetos de derecho internacional, en términos de los tratados y los acuerdos interinstitucionales, siempre y cuando la información se utilice para el ejercicio de facultades propias de los mismos. </w:t>
      </w:r>
    </w:p>
    <w:p w14:paraId="10967952" w14:textId="77777777" w:rsidR="007E66E7" w:rsidRPr="00655A8C" w:rsidRDefault="007E66E7" w:rsidP="007E66E7">
      <w:pPr>
        <w:spacing w:after="120" w:line="360" w:lineRule="auto"/>
        <w:ind w:left="426" w:right="49" w:hanging="426"/>
        <w:contextualSpacing/>
        <w:jc w:val="both"/>
        <w:rPr>
          <w:rFonts w:ascii="Palatino Linotype" w:eastAsia="MS Mincho" w:hAnsi="Palatino Linotype" w:cs="Arial"/>
          <w:color w:val="000000"/>
          <w:lang w:val="es-ES_tradnl"/>
        </w:rPr>
      </w:pPr>
    </w:p>
    <w:p w14:paraId="77B90033" w14:textId="77777777" w:rsidR="007E66E7" w:rsidRPr="00655A8C" w:rsidRDefault="007E66E7" w:rsidP="007E66E7">
      <w:pPr>
        <w:numPr>
          <w:ilvl w:val="0"/>
          <w:numId w:val="11"/>
        </w:numPr>
        <w:spacing w:after="120" w:line="360" w:lineRule="auto"/>
        <w:ind w:left="0" w:firstLine="0"/>
        <w:contextualSpacing/>
        <w:jc w:val="both"/>
        <w:rPr>
          <w:rFonts w:ascii="Palatino Linotype" w:eastAsia="MS Mincho" w:hAnsi="Palatino Linotype" w:cs="Arial"/>
          <w:color w:val="000000"/>
          <w:lang w:val="es-ES_tradnl"/>
        </w:rPr>
      </w:pPr>
      <w:r w:rsidRPr="00655A8C">
        <w:rPr>
          <w:rFonts w:ascii="Palatino Linotype" w:eastAsia="MS Mincho" w:hAnsi="Palatino Linotype" w:cs="Arial"/>
          <w:color w:val="000000"/>
          <w:lang w:val="es-ES_tradnl"/>
        </w:rPr>
        <w:t xml:space="preserve">En el caso de lo señalado en la fracción IV, será el Instituto quien deba aplicar la prueba de interés público, considerando también que como recientemente ha discutido la Suprema Corte de Justicia de la Nación, los servidores públicos nos encontramos sujetos a un régimen menor de protección. </w:t>
      </w:r>
    </w:p>
    <w:p w14:paraId="0F499453" w14:textId="77777777" w:rsidR="007E66E7" w:rsidRPr="00655A8C" w:rsidRDefault="007E66E7" w:rsidP="007E66E7">
      <w:pPr>
        <w:spacing w:after="120" w:line="360" w:lineRule="auto"/>
        <w:contextualSpacing/>
        <w:jc w:val="both"/>
        <w:rPr>
          <w:rFonts w:ascii="Palatino Linotype" w:eastAsia="MS Mincho" w:hAnsi="Palatino Linotype" w:cs="Arial"/>
          <w:color w:val="000000"/>
          <w:lang w:val="es-ES_tradnl"/>
        </w:rPr>
      </w:pPr>
    </w:p>
    <w:p w14:paraId="14CBE7EE" w14:textId="77777777" w:rsidR="007E66E7" w:rsidRPr="00655A8C" w:rsidRDefault="007E66E7" w:rsidP="007E66E7">
      <w:pPr>
        <w:pStyle w:val="Ttulo1"/>
        <w:numPr>
          <w:ilvl w:val="0"/>
          <w:numId w:val="7"/>
        </w:numPr>
        <w:spacing w:line="360" w:lineRule="auto"/>
        <w:ind w:left="270" w:hanging="270"/>
        <w:rPr>
          <w:rFonts w:ascii="Palatino Linotype" w:eastAsia="MS Mincho" w:hAnsi="Palatino Linotype" w:cs="Arial"/>
          <w:b/>
          <w:color w:val="000000" w:themeColor="text1"/>
          <w:sz w:val="24"/>
          <w:szCs w:val="24"/>
          <w:lang w:val="es-ES_tradnl"/>
        </w:rPr>
      </w:pPr>
      <w:bookmarkStart w:id="155" w:name="_Toc103821655"/>
      <w:r w:rsidRPr="00655A8C">
        <w:rPr>
          <w:rFonts w:ascii="Palatino Linotype" w:hAnsi="Palatino Linotype"/>
          <w:b/>
          <w:color w:val="000000" w:themeColor="text1"/>
          <w:sz w:val="24"/>
          <w:szCs w:val="24"/>
          <w:lang w:val="es-MX" w:eastAsia="en-US"/>
        </w:rPr>
        <w:t>C</w:t>
      </w:r>
      <w:r w:rsidRPr="00655A8C">
        <w:rPr>
          <w:rFonts w:ascii="Palatino Linotype" w:hAnsi="Palatino Linotype"/>
          <w:b/>
          <w:color w:val="000000" w:themeColor="text1"/>
          <w:sz w:val="24"/>
          <w:szCs w:val="24"/>
          <w:lang w:val="es-ES_tradnl" w:eastAsia="en-US"/>
        </w:rPr>
        <w:t>lave Única de Registro de Población (CURP).</w:t>
      </w:r>
      <w:bookmarkEnd w:id="155"/>
    </w:p>
    <w:p w14:paraId="6D8D5CA4" w14:textId="77777777" w:rsidR="007E66E7" w:rsidRPr="00655A8C" w:rsidRDefault="007E66E7" w:rsidP="007E66E7">
      <w:pPr>
        <w:spacing w:line="360" w:lineRule="auto"/>
        <w:jc w:val="both"/>
        <w:rPr>
          <w:rFonts w:ascii="Palatino Linotype" w:eastAsia="Calibri" w:hAnsi="Palatino Linotype"/>
          <w:bCs/>
          <w:iCs/>
          <w:color w:val="000000"/>
          <w:lang w:val="es-MX" w:eastAsia="en-US"/>
        </w:rPr>
      </w:pPr>
    </w:p>
    <w:p w14:paraId="6327EED8" w14:textId="77777777" w:rsidR="007E66E7" w:rsidRPr="00655A8C" w:rsidRDefault="007E66E7" w:rsidP="007E66E7">
      <w:pPr>
        <w:pStyle w:val="Prrafodelista"/>
        <w:numPr>
          <w:ilvl w:val="0"/>
          <w:numId w:val="11"/>
        </w:numPr>
        <w:spacing w:line="360" w:lineRule="auto"/>
        <w:ind w:left="0" w:firstLine="0"/>
        <w:jc w:val="both"/>
        <w:rPr>
          <w:rFonts w:ascii="Palatino Linotype" w:eastAsia="Calibri" w:hAnsi="Palatino Linotype"/>
          <w:bCs/>
          <w:iCs/>
          <w:color w:val="000000"/>
          <w:lang w:val="es-MX" w:eastAsia="en-US"/>
        </w:rPr>
      </w:pPr>
      <w:r w:rsidRPr="00655A8C">
        <w:rPr>
          <w:rFonts w:ascii="Palatino Linotype" w:eastAsia="Calibri" w:hAnsi="Palatino Linotype"/>
          <w:bCs/>
          <w:iCs/>
          <w:color w:val="000000"/>
          <w:lang w:val="es-MX" w:eastAsia="en-US"/>
        </w:rPr>
        <w:t>El artículo 36 de la Constitución Política de los Estados Unidos Mexicanos, dispone la obligación de los ciudadanos de inscribirse en el Registro Nacional de Ciudadanos; además, el diverso 85 de la Ley General de Población, prevé que corresponde a la Secretaría de Gobernación el registro y acreditación de la identidad de todas las personas residentes en el país y de los nacionales que residan en el extranjero.</w:t>
      </w:r>
    </w:p>
    <w:p w14:paraId="0E02CAA2" w14:textId="77777777" w:rsidR="007E66E7" w:rsidRPr="00655A8C" w:rsidRDefault="007E66E7" w:rsidP="007E66E7">
      <w:pPr>
        <w:pStyle w:val="Prrafodelista"/>
        <w:spacing w:line="360" w:lineRule="auto"/>
        <w:ind w:left="0"/>
        <w:jc w:val="both"/>
        <w:rPr>
          <w:rFonts w:ascii="Palatino Linotype" w:eastAsia="Calibri" w:hAnsi="Palatino Linotype"/>
          <w:bCs/>
          <w:iCs/>
          <w:color w:val="000000"/>
          <w:lang w:val="es-MX" w:eastAsia="en-US"/>
        </w:rPr>
      </w:pPr>
    </w:p>
    <w:p w14:paraId="1C246D7D" w14:textId="77777777" w:rsidR="007E66E7" w:rsidRPr="00655A8C" w:rsidRDefault="007E66E7" w:rsidP="007E66E7">
      <w:pPr>
        <w:pStyle w:val="Prrafodelista"/>
        <w:numPr>
          <w:ilvl w:val="0"/>
          <w:numId w:val="11"/>
        </w:numPr>
        <w:spacing w:line="360" w:lineRule="auto"/>
        <w:ind w:left="0" w:firstLine="0"/>
        <w:jc w:val="both"/>
        <w:rPr>
          <w:rFonts w:ascii="Palatino Linotype" w:eastAsia="Calibri" w:hAnsi="Palatino Linotype"/>
          <w:bCs/>
          <w:iCs/>
          <w:color w:val="000000"/>
          <w:lang w:val="es-MX" w:eastAsia="en-US"/>
        </w:rPr>
      </w:pPr>
      <w:r w:rsidRPr="00655A8C">
        <w:rPr>
          <w:rFonts w:ascii="Palatino Linotype" w:eastAsia="Calibri" w:hAnsi="Palatino Linotype"/>
          <w:bCs/>
          <w:iCs/>
          <w:color w:val="000000"/>
          <w:lang w:val="es-MX" w:eastAsia="en-US"/>
        </w:rPr>
        <w:t xml:space="preserve">Acorde con lo anterior, el artículo 22 del Reglamento Interior de la Secretaría de Gobernación, establece en su fracción III, que la Dirección General del Registro </w:t>
      </w:r>
      <w:r w:rsidRPr="00655A8C">
        <w:rPr>
          <w:rFonts w:ascii="Palatino Linotype" w:eastAsia="Calibri" w:hAnsi="Palatino Linotype"/>
          <w:bCs/>
          <w:iCs/>
          <w:color w:val="000000"/>
          <w:lang w:val="es-MX" w:eastAsia="en-US"/>
        </w:rPr>
        <w:lastRenderedPageBreak/>
        <w:t>Nacional de Población e Identificación Personal tiene la atribución de asignar y depurar la Clave Única de Registro de Población a todas las personas residentes en el país, así como a los mexicanos que residan en el extranjero.</w:t>
      </w:r>
    </w:p>
    <w:p w14:paraId="3C891693" w14:textId="77777777" w:rsidR="007E66E7" w:rsidRPr="00655A8C" w:rsidRDefault="007E66E7" w:rsidP="007E66E7">
      <w:pPr>
        <w:pStyle w:val="Prrafodelista"/>
        <w:spacing w:line="360" w:lineRule="auto"/>
        <w:rPr>
          <w:rFonts w:ascii="Palatino Linotype" w:eastAsia="Calibri" w:hAnsi="Palatino Linotype"/>
          <w:bCs/>
          <w:iCs/>
          <w:color w:val="000000"/>
          <w:lang w:val="es-MX" w:eastAsia="en-US"/>
        </w:rPr>
      </w:pPr>
    </w:p>
    <w:p w14:paraId="7233C7C9" w14:textId="77777777" w:rsidR="007E66E7" w:rsidRPr="00655A8C" w:rsidRDefault="007E66E7" w:rsidP="007E66E7">
      <w:pPr>
        <w:pStyle w:val="Prrafodelista"/>
        <w:numPr>
          <w:ilvl w:val="0"/>
          <w:numId w:val="11"/>
        </w:numPr>
        <w:spacing w:line="360" w:lineRule="auto"/>
        <w:ind w:left="0" w:firstLine="0"/>
        <w:jc w:val="both"/>
        <w:rPr>
          <w:rFonts w:ascii="Palatino Linotype" w:eastAsia="Calibri" w:hAnsi="Palatino Linotype"/>
          <w:bCs/>
          <w:iCs/>
          <w:color w:val="000000"/>
          <w:lang w:val="es-MX" w:eastAsia="en-US"/>
        </w:rPr>
      </w:pPr>
      <w:r w:rsidRPr="00655A8C">
        <w:rPr>
          <w:rFonts w:ascii="Palatino Linotype" w:eastAsia="Calibri" w:hAnsi="Palatino Linotype"/>
          <w:bCs/>
          <w:iCs/>
          <w:color w:val="000000"/>
          <w:lang w:val="es-MX" w:eastAsia="en-US"/>
        </w:rPr>
        <w:t xml:space="preserve">En ese orden de ideas, la Secretaría de Gobernación en las direcciones </w:t>
      </w:r>
      <w:hyperlink r:id="rId16" w:history="1">
        <w:r w:rsidRPr="00655A8C">
          <w:rPr>
            <w:rFonts w:ascii="Palatino Linotype" w:eastAsia="Calibri" w:hAnsi="Palatino Linotype"/>
            <w:bCs/>
            <w:iCs/>
            <w:color w:val="0563C1"/>
            <w:u w:val="single"/>
            <w:lang w:val="es-MX" w:eastAsia="en-US"/>
          </w:rPr>
          <w:t>https://consultas.curp.gob.mx/CurpSP/html/informacionecurpPS.html</w:t>
        </w:r>
      </w:hyperlink>
      <w:r w:rsidRPr="00655A8C">
        <w:rPr>
          <w:rFonts w:ascii="Palatino Linotype" w:eastAsia="Calibri" w:hAnsi="Palatino Linotype"/>
          <w:bCs/>
          <w:iCs/>
          <w:color w:val="000000"/>
          <w:lang w:val="es-MX" w:eastAsia="en-US"/>
        </w:rPr>
        <w:t xml:space="preserve"> y </w:t>
      </w:r>
      <w:hyperlink r:id="rId17" w:history="1">
        <w:r w:rsidRPr="00655A8C">
          <w:rPr>
            <w:rFonts w:ascii="Palatino Linotype" w:eastAsia="Calibri" w:hAnsi="Palatino Linotype"/>
            <w:bCs/>
            <w:iCs/>
            <w:color w:val="0563C1"/>
            <w:u w:val="single"/>
            <w:lang w:val="es-MX" w:eastAsia="en-US"/>
          </w:rPr>
          <w:t>https://www.gob.mx/segob/renapo/acciones-y-programas/clave-unica-de-registro-de-poblacion-curp-142226</w:t>
        </w:r>
      </w:hyperlink>
      <w:r w:rsidRPr="00655A8C">
        <w:rPr>
          <w:rFonts w:ascii="Palatino Linotype" w:eastAsia="Calibri" w:hAnsi="Palatino Linotype"/>
          <w:bCs/>
          <w:iCs/>
          <w:color w:val="000000"/>
          <w:lang w:val="es-MX" w:eastAsia="en-US"/>
        </w:rPr>
        <w:t xml:space="preserve"> (consultadas el cuatro de mayo de dos mil veintidós), estableció que la Clave Única del Registro de Población, es un instrumento de registro que se asigna a todas las personas que viven en el territorio nacional, así como a los mexicanos que residen en el extranjero y se compone de dieciocho elementos, representados por letras y números, que </w:t>
      </w:r>
      <w:r w:rsidRPr="00655A8C">
        <w:rPr>
          <w:rFonts w:ascii="Palatino Linotype" w:eastAsia="Calibri" w:hAnsi="Palatino Linotype"/>
          <w:b/>
          <w:bCs/>
          <w:iCs/>
          <w:color w:val="000000"/>
          <w:lang w:val="es-MX" w:eastAsia="en-US"/>
        </w:rPr>
        <w:t>se generan a partir de los datos contenidos en el documento probatorio de la identidad</w:t>
      </w:r>
      <w:r w:rsidRPr="00655A8C">
        <w:rPr>
          <w:rFonts w:ascii="Palatino Linotype" w:eastAsia="Calibri" w:hAnsi="Palatino Linotype"/>
          <w:bCs/>
          <w:iCs/>
          <w:color w:val="000000"/>
          <w:lang w:val="es-MX" w:eastAsia="en-US"/>
        </w:rPr>
        <w:t xml:space="preserve"> </w:t>
      </w:r>
      <w:r w:rsidRPr="00655A8C">
        <w:rPr>
          <w:rFonts w:ascii="Palatino Linotype" w:eastAsia="Calibri" w:hAnsi="Palatino Linotype"/>
          <w:b/>
          <w:bCs/>
          <w:iCs/>
          <w:color w:val="000000"/>
          <w:lang w:val="es-MX" w:eastAsia="en-US"/>
        </w:rPr>
        <w:t xml:space="preserve">del interesado </w:t>
      </w:r>
      <w:r w:rsidRPr="00655A8C">
        <w:rPr>
          <w:rFonts w:ascii="Palatino Linotype" w:eastAsia="Calibri" w:hAnsi="Palatino Linotype"/>
          <w:bCs/>
          <w:iCs/>
          <w:color w:val="000000"/>
          <w:lang w:val="es-MX" w:eastAsia="en-US"/>
        </w:rPr>
        <w:t>(acta de nacimiento, carta de naturalización o documento migratorio) de la siguiente forma:</w:t>
      </w:r>
    </w:p>
    <w:p w14:paraId="478467AD" w14:textId="77777777" w:rsidR="007E66E7" w:rsidRPr="00655A8C" w:rsidRDefault="007E66E7" w:rsidP="007E66E7">
      <w:pPr>
        <w:spacing w:line="360" w:lineRule="auto"/>
        <w:jc w:val="both"/>
        <w:rPr>
          <w:rFonts w:ascii="Palatino Linotype" w:eastAsia="Calibri" w:hAnsi="Palatino Linotype"/>
          <w:bCs/>
          <w:iCs/>
          <w:color w:val="000000"/>
          <w:lang w:val="es-MX" w:eastAsia="en-US"/>
        </w:rPr>
      </w:pPr>
    </w:p>
    <w:p w14:paraId="3D8A22DA" w14:textId="77777777" w:rsidR="007E66E7" w:rsidRPr="00655A8C" w:rsidRDefault="007E66E7" w:rsidP="007E66E7">
      <w:pPr>
        <w:numPr>
          <w:ilvl w:val="0"/>
          <w:numId w:val="21"/>
        </w:numPr>
        <w:spacing w:line="360" w:lineRule="auto"/>
        <w:jc w:val="both"/>
        <w:rPr>
          <w:rFonts w:ascii="Palatino Linotype" w:eastAsia="Calibri" w:hAnsi="Palatino Linotype"/>
          <w:bCs/>
          <w:iCs/>
          <w:color w:val="000000"/>
          <w:lang w:val="es-MX" w:eastAsia="en-US"/>
        </w:rPr>
      </w:pPr>
      <w:r w:rsidRPr="00655A8C">
        <w:rPr>
          <w:rFonts w:ascii="Palatino Linotype" w:eastAsia="Calibri" w:hAnsi="Palatino Linotype"/>
          <w:bCs/>
          <w:iCs/>
          <w:color w:val="000000"/>
          <w:lang w:val="es-MX" w:eastAsia="en-US"/>
        </w:rPr>
        <w:t>El primero y segundo apellidos, así como al nombre de pila;</w:t>
      </w:r>
    </w:p>
    <w:p w14:paraId="7767D836" w14:textId="77777777" w:rsidR="007E66E7" w:rsidRPr="00655A8C" w:rsidRDefault="007E66E7" w:rsidP="007E66E7">
      <w:pPr>
        <w:numPr>
          <w:ilvl w:val="0"/>
          <w:numId w:val="21"/>
        </w:numPr>
        <w:spacing w:line="360" w:lineRule="auto"/>
        <w:jc w:val="both"/>
        <w:rPr>
          <w:rFonts w:ascii="Palatino Linotype" w:eastAsia="Calibri" w:hAnsi="Palatino Linotype"/>
          <w:bCs/>
          <w:iCs/>
          <w:color w:val="000000"/>
          <w:lang w:val="es-MX" w:eastAsia="en-US"/>
        </w:rPr>
      </w:pPr>
      <w:r w:rsidRPr="00655A8C">
        <w:rPr>
          <w:rFonts w:ascii="Palatino Linotype" w:eastAsia="Calibri" w:hAnsi="Palatino Linotype"/>
          <w:bCs/>
          <w:iCs/>
          <w:color w:val="000000"/>
          <w:lang w:val="es-MX" w:eastAsia="en-US"/>
        </w:rPr>
        <w:t>La fecha de nacimiento;</w:t>
      </w:r>
    </w:p>
    <w:p w14:paraId="65DE99B5" w14:textId="77777777" w:rsidR="007E66E7" w:rsidRPr="00655A8C" w:rsidRDefault="007E66E7" w:rsidP="007E66E7">
      <w:pPr>
        <w:numPr>
          <w:ilvl w:val="0"/>
          <w:numId w:val="21"/>
        </w:numPr>
        <w:spacing w:line="360" w:lineRule="auto"/>
        <w:jc w:val="both"/>
        <w:rPr>
          <w:rFonts w:ascii="Palatino Linotype" w:eastAsia="Calibri" w:hAnsi="Palatino Linotype"/>
          <w:bCs/>
          <w:iCs/>
          <w:color w:val="000000"/>
          <w:lang w:val="es-MX" w:eastAsia="en-US"/>
        </w:rPr>
      </w:pPr>
      <w:r w:rsidRPr="00655A8C">
        <w:rPr>
          <w:rFonts w:ascii="Palatino Linotype" w:eastAsia="Calibri" w:hAnsi="Palatino Linotype"/>
          <w:bCs/>
          <w:iCs/>
          <w:color w:val="000000"/>
          <w:lang w:val="es-MX" w:eastAsia="en-US"/>
        </w:rPr>
        <w:t>El sexo, y</w:t>
      </w:r>
    </w:p>
    <w:p w14:paraId="27BBABF7" w14:textId="77777777" w:rsidR="007E66E7" w:rsidRPr="00655A8C" w:rsidRDefault="007E66E7" w:rsidP="007E66E7">
      <w:pPr>
        <w:numPr>
          <w:ilvl w:val="0"/>
          <w:numId w:val="21"/>
        </w:numPr>
        <w:spacing w:line="360" w:lineRule="auto"/>
        <w:jc w:val="both"/>
        <w:rPr>
          <w:rFonts w:ascii="Palatino Linotype" w:eastAsia="Calibri" w:hAnsi="Palatino Linotype"/>
          <w:bCs/>
          <w:iCs/>
          <w:color w:val="000000"/>
          <w:lang w:val="es-MX" w:eastAsia="en-US"/>
        </w:rPr>
      </w:pPr>
      <w:r w:rsidRPr="00655A8C">
        <w:rPr>
          <w:rFonts w:ascii="Palatino Linotype" w:eastAsia="Calibri" w:hAnsi="Palatino Linotype"/>
          <w:bCs/>
          <w:iCs/>
          <w:color w:val="000000"/>
          <w:lang w:val="es-MX" w:eastAsia="en-US"/>
        </w:rPr>
        <w:t>La entidad federativa de nacimiento.</w:t>
      </w:r>
    </w:p>
    <w:p w14:paraId="65C0FC31" w14:textId="77777777" w:rsidR="007E66E7" w:rsidRPr="00655A8C" w:rsidRDefault="007E66E7" w:rsidP="007E66E7">
      <w:pPr>
        <w:spacing w:line="360" w:lineRule="auto"/>
        <w:jc w:val="both"/>
        <w:rPr>
          <w:rFonts w:ascii="Palatino Linotype" w:eastAsia="Calibri" w:hAnsi="Palatino Linotype"/>
          <w:bCs/>
          <w:iCs/>
          <w:color w:val="000000"/>
          <w:lang w:val="es-MX" w:eastAsia="en-US"/>
        </w:rPr>
      </w:pPr>
    </w:p>
    <w:p w14:paraId="3797DF5C" w14:textId="77777777" w:rsidR="007E66E7" w:rsidRPr="00655A8C" w:rsidRDefault="007E66E7" w:rsidP="007E66E7">
      <w:pPr>
        <w:pStyle w:val="Prrafodelista"/>
        <w:numPr>
          <w:ilvl w:val="0"/>
          <w:numId w:val="11"/>
        </w:numPr>
        <w:spacing w:line="360" w:lineRule="auto"/>
        <w:ind w:left="0" w:firstLine="0"/>
        <w:jc w:val="both"/>
        <w:rPr>
          <w:rFonts w:ascii="Palatino Linotype" w:eastAsia="Calibri" w:hAnsi="Palatino Linotype"/>
          <w:bCs/>
          <w:iCs/>
          <w:color w:val="000000"/>
          <w:lang w:val="es-MX" w:eastAsia="en-US"/>
        </w:rPr>
      </w:pPr>
      <w:r w:rsidRPr="00655A8C">
        <w:rPr>
          <w:rFonts w:ascii="Palatino Linotype" w:eastAsia="Calibri" w:hAnsi="Palatino Linotype"/>
          <w:bCs/>
          <w:iCs/>
          <w:color w:val="000000"/>
          <w:lang w:val="es-MX" w:eastAsia="en-US"/>
        </w:rPr>
        <w:t>Los dos últimos elementos de la Clave Única de Registro de Población evitan la duplicidad de la Clave y garantizan su correcta integración.</w:t>
      </w:r>
    </w:p>
    <w:p w14:paraId="5860940D" w14:textId="77777777" w:rsidR="007E66E7" w:rsidRPr="00655A8C" w:rsidRDefault="007E66E7" w:rsidP="007E66E7">
      <w:pPr>
        <w:pStyle w:val="Prrafodelista"/>
        <w:spacing w:line="360" w:lineRule="auto"/>
        <w:ind w:left="0"/>
        <w:jc w:val="both"/>
        <w:rPr>
          <w:rFonts w:ascii="Palatino Linotype" w:eastAsia="Calibri" w:hAnsi="Palatino Linotype"/>
          <w:bCs/>
          <w:iCs/>
          <w:color w:val="000000"/>
          <w:lang w:val="es-MX" w:eastAsia="en-US"/>
        </w:rPr>
      </w:pPr>
    </w:p>
    <w:p w14:paraId="0C1CA971" w14:textId="77777777" w:rsidR="007E66E7" w:rsidRPr="00655A8C" w:rsidRDefault="007E66E7" w:rsidP="007E66E7">
      <w:pPr>
        <w:pStyle w:val="Prrafodelista"/>
        <w:numPr>
          <w:ilvl w:val="0"/>
          <w:numId w:val="11"/>
        </w:numPr>
        <w:spacing w:line="360" w:lineRule="auto"/>
        <w:ind w:left="0" w:firstLine="0"/>
        <w:jc w:val="both"/>
        <w:rPr>
          <w:rFonts w:ascii="Palatino Linotype" w:eastAsia="Calibri" w:hAnsi="Palatino Linotype"/>
          <w:bCs/>
          <w:iCs/>
          <w:color w:val="000000"/>
          <w:lang w:val="es-MX" w:eastAsia="en-US"/>
        </w:rPr>
      </w:pPr>
      <w:r w:rsidRPr="00655A8C">
        <w:rPr>
          <w:rFonts w:ascii="Palatino Linotype" w:eastAsia="Calibri" w:hAnsi="Palatino Linotype"/>
          <w:bCs/>
          <w:iCs/>
          <w:color w:val="000000"/>
          <w:lang w:val="es-MX" w:eastAsia="en-US"/>
        </w:rPr>
        <w:t xml:space="preserve">Como se desprende de lo anterior, la Clave Única de Registro de Población es un dato personal confidencial, ya que por sí sola brinda información personal de su </w:t>
      </w:r>
      <w:r w:rsidRPr="00655A8C">
        <w:rPr>
          <w:rFonts w:ascii="Palatino Linotype" w:eastAsia="Calibri" w:hAnsi="Palatino Linotype"/>
          <w:bCs/>
          <w:iCs/>
          <w:color w:val="000000"/>
          <w:lang w:val="es-MX" w:eastAsia="en-US"/>
        </w:rPr>
        <w:lastRenderedPageBreak/>
        <w:t>titular y lo hace identificado e identificable, motivo por el cual se aprueba su eliminación de las versiones públicas, ya que además no guarda relación con el desempeño laboral de un individuo, simplemente se trata de un trámite administrativo requerido por la autoridad federal para hacer identificables a las personas.</w:t>
      </w:r>
    </w:p>
    <w:p w14:paraId="429D0B0C" w14:textId="77777777" w:rsidR="007E66E7" w:rsidRPr="00655A8C" w:rsidRDefault="007E66E7" w:rsidP="007E66E7">
      <w:pPr>
        <w:pStyle w:val="Prrafodelista"/>
        <w:spacing w:line="360" w:lineRule="auto"/>
        <w:rPr>
          <w:rFonts w:ascii="Palatino Linotype" w:eastAsia="Calibri" w:hAnsi="Palatino Linotype"/>
          <w:bCs/>
          <w:iCs/>
          <w:color w:val="000000"/>
          <w:lang w:val="es-MX" w:eastAsia="en-US"/>
        </w:rPr>
      </w:pPr>
    </w:p>
    <w:p w14:paraId="1DBDB1A4" w14:textId="77777777" w:rsidR="007E66E7" w:rsidRPr="00655A8C" w:rsidRDefault="007E66E7" w:rsidP="007E66E7">
      <w:pPr>
        <w:pStyle w:val="Prrafodelista"/>
        <w:numPr>
          <w:ilvl w:val="0"/>
          <w:numId w:val="11"/>
        </w:numPr>
        <w:spacing w:line="360" w:lineRule="auto"/>
        <w:ind w:left="0" w:firstLine="0"/>
        <w:jc w:val="both"/>
        <w:rPr>
          <w:rFonts w:ascii="Palatino Linotype" w:eastAsia="Calibri" w:hAnsi="Palatino Linotype"/>
          <w:bCs/>
          <w:iCs/>
          <w:color w:val="000000"/>
          <w:lang w:val="es-MX" w:eastAsia="en-US"/>
        </w:rPr>
      </w:pPr>
      <w:r w:rsidRPr="00655A8C">
        <w:rPr>
          <w:rFonts w:ascii="Palatino Linotype" w:eastAsia="Calibri" w:hAnsi="Palatino Linotype"/>
          <w:bCs/>
          <w:iCs/>
          <w:color w:val="000000"/>
          <w:lang w:val="es-MX" w:eastAsia="en-US"/>
        </w:rPr>
        <w:t>Situación que se robustece, con el Criterio 18/17, emitido por el Instituto Nacional de Transparencia, Acceso a la Información y Protección de Datos Personales, que establece lo siguiente:</w:t>
      </w:r>
    </w:p>
    <w:p w14:paraId="115491BC" w14:textId="77777777" w:rsidR="007E66E7" w:rsidRPr="00655A8C" w:rsidRDefault="007E66E7" w:rsidP="007E66E7">
      <w:pPr>
        <w:spacing w:line="360" w:lineRule="auto"/>
        <w:jc w:val="both"/>
        <w:rPr>
          <w:rFonts w:ascii="Palatino Linotype" w:eastAsia="Calibri" w:hAnsi="Palatino Linotype"/>
          <w:bCs/>
          <w:iCs/>
          <w:color w:val="000000"/>
          <w:lang w:val="es-MX" w:eastAsia="en-US"/>
        </w:rPr>
      </w:pPr>
    </w:p>
    <w:p w14:paraId="746792C4" w14:textId="77777777" w:rsidR="007E66E7" w:rsidRPr="00655A8C" w:rsidRDefault="007E66E7" w:rsidP="007E66E7">
      <w:pPr>
        <w:spacing w:line="360" w:lineRule="auto"/>
        <w:ind w:left="567" w:right="567"/>
        <w:jc w:val="both"/>
        <w:rPr>
          <w:rFonts w:ascii="Palatino Linotype" w:eastAsia="Calibri" w:hAnsi="Palatino Linotype"/>
          <w:bCs/>
          <w:i/>
          <w:iCs/>
          <w:color w:val="000000"/>
          <w:lang w:val="es-MX" w:eastAsia="en-US"/>
        </w:rPr>
      </w:pPr>
      <w:r w:rsidRPr="00655A8C">
        <w:rPr>
          <w:rFonts w:ascii="Palatino Linotype" w:eastAsia="Calibri" w:hAnsi="Palatino Linotype"/>
          <w:b/>
          <w:bCs/>
          <w:i/>
          <w:iCs/>
          <w:color w:val="000000"/>
          <w:lang w:val="es-MX" w:eastAsia="en-US"/>
        </w:rPr>
        <w:t xml:space="preserve">“Clave Única de Registro de Población (CURP). </w:t>
      </w:r>
      <w:r w:rsidRPr="00655A8C">
        <w:rPr>
          <w:rFonts w:ascii="Palatino Linotype" w:eastAsia="Calibri" w:hAnsi="Palatino Linotype"/>
          <w:bCs/>
          <w:i/>
          <w:iCs/>
          <w:color w:val="000000"/>
          <w:lang w:val="es-MX" w:eastAsia="en-US"/>
        </w:rPr>
        <w:t xml:space="preserve">La Clave Única de Registro de Población se integra por datos personales que sólo conciernen al particular titular de la misma, como lo son su nombre, apellidos, fecha de nacimiento, lugar de nacimiento y sexo. Dichos datos, constituyen información que distingue plenamente a una persona física del resto de los habitantes del país, por lo que la CURP está considerada como información confidencial.” </w:t>
      </w:r>
    </w:p>
    <w:p w14:paraId="44764F41" w14:textId="77777777" w:rsidR="007E66E7" w:rsidRPr="00655A8C" w:rsidRDefault="007E66E7" w:rsidP="007E66E7">
      <w:pPr>
        <w:spacing w:line="360" w:lineRule="auto"/>
        <w:jc w:val="both"/>
        <w:rPr>
          <w:rFonts w:ascii="Palatino Linotype" w:eastAsia="Calibri" w:hAnsi="Palatino Linotype"/>
          <w:bCs/>
          <w:iCs/>
          <w:color w:val="000000"/>
          <w:lang w:val="es-MX" w:eastAsia="en-US"/>
        </w:rPr>
      </w:pPr>
    </w:p>
    <w:p w14:paraId="09CB59BE" w14:textId="77777777" w:rsidR="007E66E7" w:rsidRPr="00655A8C" w:rsidRDefault="007E66E7" w:rsidP="007E66E7">
      <w:pPr>
        <w:pStyle w:val="Prrafodelista"/>
        <w:numPr>
          <w:ilvl w:val="0"/>
          <w:numId w:val="11"/>
        </w:numPr>
        <w:spacing w:line="360" w:lineRule="auto"/>
        <w:ind w:left="0" w:firstLine="0"/>
        <w:jc w:val="both"/>
        <w:rPr>
          <w:rFonts w:ascii="Palatino Linotype" w:eastAsia="Calibri" w:hAnsi="Palatino Linotype"/>
          <w:bCs/>
          <w:iCs/>
          <w:color w:val="000000"/>
          <w:lang w:val="es-MX" w:eastAsia="en-US"/>
        </w:rPr>
      </w:pPr>
      <w:r w:rsidRPr="00655A8C">
        <w:rPr>
          <w:rFonts w:ascii="Palatino Linotype" w:eastAsia="Calibri" w:hAnsi="Palatino Linotype"/>
          <w:bCs/>
          <w:iCs/>
          <w:color w:val="000000"/>
          <w:lang w:val="es-MX" w:eastAsia="en-US"/>
        </w:rPr>
        <w:t xml:space="preserve">De acuerdo con lo anterior, resulta procedente la clasificación de la Clave Única de Registro de Población, por tratarse de un dato personal confidencial, en términos del artículo 143, fracción I, de la Ley de Transparencia y Acceso a la Información Pública del Estado de México y Municipios. </w:t>
      </w:r>
    </w:p>
    <w:p w14:paraId="593E7B6E" w14:textId="77777777" w:rsidR="007E66E7" w:rsidRPr="00655A8C" w:rsidRDefault="007E66E7" w:rsidP="007E66E7">
      <w:pPr>
        <w:pStyle w:val="Prrafodelista"/>
        <w:spacing w:line="360" w:lineRule="auto"/>
        <w:ind w:left="0"/>
        <w:jc w:val="both"/>
        <w:rPr>
          <w:rFonts w:ascii="Palatino Linotype" w:eastAsia="Calibri" w:hAnsi="Palatino Linotype"/>
          <w:bCs/>
          <w:iCs/>
          <w:color w:val="000000"/>
          <w:lang w:val="es-MX" w:eastAsia="en-US"/>
        </w:rPr>
      </w:pPr>
    </w:p>
    <w:p w14:paraId="4D1207A6" w14:textId="77777777" w:rsidR="007E66E7" w:rsidRPr="00655A8C" w:rsidRDefault="007E66E7" w:rsidP="007E66E7">
      <w:pPr>
        <w:pStyle w:val="Ttulo1"/>
        <w:numPr>
          <w:ilvl w:val="0"/>
          <w:numId w:val="7"/>
        </w:numPr>
        <w:tabs>
          <w:tab w:val="left" w:pos="90"/>
        </w:tabs>
        <w:spacing w:line="360" w:lineRule="auto"/>
        <w:ind w:left="270" w:hanging="270"/>
        <w:rPr>
          <w:rFonts w:ascii="Palatino Linotype" w:hAnsi="Palatino Linotype"/>
          <w:b/>
          <w:color w:val="000000" w:themeColor="text1"/>
          <w:sz w:val="24"/>
          <w:szCs w:val="24"/>
          <w:lang w:val="es-ES_tradnl" w:eastAsia="en-US"/>
        </w:rPr>
      </w:pPr>
      <w:bookmarkStart w:id="156" w:name="_Toc103821656"/>
      <w:r w:rsidRPr="00655A8C">
        <w:rPr>
          <w:rFonts w:ascii="Palatino Linotype" w:hAnsi="Palatino Linotype"/>
          <w:b/>
          <w:color w:val="000000" w:themeColor="text1"/>
          <w:sz w:val="24"/>
          <w:szCs w:val="24"/>
          <w:lang w:val="es-ES_tradnl" w:eastAsia="en-US"/>
        </w:rPr>
        <w:t>Registro Federal de Contribuyentes (RFC).</w:t>
      </w:r>
      <w:bookmarkEnd w:id="156"/>
    </w:p>
    <w:p w14:paraId="47BC393B" w14:textId="77777777" w:rsidR="007E66E7" w:rsidRPr="00655A8C" w:rsidRDefault="007E66E7" w:rsidP="007E66E7">
      <w:pPr>
        <w:spacing w:line="360" w:lineRule="auto"/>
        <w:jc w:val="both"/>
        <w:rPr>
          <w:rFonts w:ascii="Palatino Linotype" w:eastAsia="Calibri" w:hAnsi="Palatino Linotype"/>
          <w:bCs/>
          <w:iCs/>
          <w:color w:val="000000"/>
          <w:lang w:val="es-MX" w:eastAsia="en-US"/>
        </w:rPr>
      </w:pPr>
    </w:p>
    <w:p w14:paraId="1AEC62AE" w14:textId="77777777" w:rsidR="007E66E7" w:rsidRPr="00655A8C" w:rsidRDefault="007E66E7" w:rsidP="007E66E7">
      <w:pPr>
        <w:pStyle w:val="Prrafodelista"/>
        <w:numPr>
          <w:ilvl w:val="0"/>
          <w:numId w:val="11"/>
        </w:numPr>
        <w:spacing w:line="360" w:lineRule="auto"/>
        <w:ind w:left="0" w:firstLine="0"/>
        <w:jc w:val="both"/>
        <w:rPr>
          <w:rFonts w:ascii="Palatino Linotype" w:eastAsia="Calibri" w:hAnsi="Palatino Linotype"/>
          <w:bCs/>
          <w:iCs/>
          <w:color w:val="000000"/>
          <w:lang w:val="es-MX" w:eastAsia="en-US"/>
        </w:rPr>
      </w:pPr>
      <w:r w:rsidRPr="00655A8C">
        <w:rPr>
          <w:rFonts w:ascii="Palatino Linotype" w:eastAsia="Calibri" w:hAnsi="Palatino Linotype"/>
          <w:bCs/>
          <w:iCs/>
          <w:color w:val="000000"/>
          <w:lang w:val="es-MX" w:eastAsia="en-US"/>
        </w:rPr>
        <w:lastRenderedPageBreak/>
        <w:t>Al respecto, cabe precisar que las personas físicas que deban presentar declaraciones periódicas o que están obligadas a expedir comprobantes fiscales, tienen que solicitar su inscripción en el Registro Federal de Contribuyentes, esta inscripción es realizada por el Servicio de Administración Tributaria, quien entrega una cédula de identificación fiscal en donde consta la clave que asigna este órgano desconcentrado de la Secretaría de Hacienda y Crédito Público, de acuerdo al artículo 27 del Código Fiscal de la Federación.</w:t>
      </w:r>
    </w:p>
    <w:p w14:paraId="7992634E" w14:textId="77777777" w:rsidR="007E66E7" w:rsidRPr="00655A8C" w:rsidRDefault="007E66E7" w:rsidP="007E66E7">
      <w:pPr>
        <w:pStyle w:val="Prrafodelista"/>
        <w:spacing w:line="360" w:lineRule="auto"/>
        <w:ind w:left="0"/>
        <w:jc w:val="both"/>
        <w:rPr>
          <w:rFonts w:ascii="Palatino Linotype" w:eastAsia="Calibri" w:hAnsi="Palatino Linotype"/>
          <w:bCs/>
          <w:iCs/>
          <w:color w:val="000000"/>
          <w:lang w:val="es-MX" w:eastAsia="en-US"/>
        </w:rPr>
      </w:pPr>
    </w:p>
    <w:p w14:paraId="7FF8AD14" w14:textId="77777777" w:rsidR="007E66E7" w:rsidRPr="00655A8C" w:rsidRDefault="007E66E7" w:rsidP="007E66E7">
      <w:pPr>
        <w:pStyle w:val="Prrafodelista"/>
        <w:numPr>
          <w:ilvl w:val="0"/>
          <w:numId w:val="11"/>
        </w:numPr>
        <w:spacing w:line="360" w:lineRule="auto"/>
        <w:ind w:left="0" w:firstLine="0"/>
        <w:jc w:val="both"/>
        <w:rPr>
          <w:rFonts w:ascii="Palatino Linotype" w:eastAsia="Calibri" w:hAnsi="Palatino Linotype"/>
          <w:bCs/>
          <w:iCs/>
          <w:color w:val="000000"/>
          <w:lang w:val="es-MX" w:eastAsia="en-US"/>
        </w:rPr>
      </w:pPr>
      <w:r w:rsidRPr="00655A8C">
        <w:rPr>
          <w:rFonts w:ascii="Palatino Linotype" w:eastAsia="Calibri" w:hAnsi="Palatino Linotype"/>
          <w:bCs/>
          <w:iCs/>
          <w:color w:val="000000"/>
          <w:lang w:val="es-MX" w:eastAsia="en-US"/>
        </w:rPr>
        <w:t>De acuerdo a lo establecido en el artículo en comento, esta clave se compone de trece caracteres alfanuméricos, con datos obtenidos de los apellidos, nombre(s), fecha de nacimiento del titular, más una homoclave que establece el sistema automático del Servicio de Administración Tributaria.</w:t>
      </w:r>
    </w:p>
    <w:p w14:paraId="0214E150" w14:textId="77777777" w:rsidR="007E66E7" w:rsidRPr="00655A8C" w:rsidRDefault="007E66E7" w:rsidP="007E66E7">
      <w:pPr>
        <w:pStyle w:val="Prrafodelista"/>
        <w:spacing w:line="360" w:lineRule="auto"/>
        <w:rPr>
          <w:rFonts w:ascii="Palatino Linotype" w:eastAsia="Calibri" w:hAnsi="Palatino Linotype"/>
          <w:bCs/>
          <w:iCs/>
          <w:color w:val="000000"/>
          <w:lang w:val="es-MX" w:eastAsia="en-US"/>
        </w:rPr>
      </w:pPr>
    </w:p>
    <w:p w14:paraId="76147614" w14:textId="77777777" w:rsidR="007E66E7" w:rsidRPr="00655A8C" w:rsidRDefault="007E66E7" w:rsidP="007E66E7">
      <w:pPr>
        <w:pStyle w:val="Prrafodelista"/>
        <w:numPr>
          <w:ilvl w:val="0"/>
          <w:numId w:val="11"/>
        </w:numPr>
        <w:spacing w:line="360" w:lineRule="auto"/>
        <w:ind w:left="0" w:firstLine="0"/>
        <w:jc w:val="both"/>
        <w:rPr>
          <w:rFonts w:ascii="Palatino Linotype" w:eastAsia="Calibri" w:hAnsi="Palatino Linotype"/>
          <w:bCs/>
          <w:iCs/>
          <w:color w:val="000000"/>
          <w:lang w:val="es-MX" w:eastAsia="en-US"/>
        </w:rPr>
      </w:pPr>
      <w:r w:rsidRPr="00655A8C">
        <w:rPr>
          <w:rFonts w:ascii="Palatino Linotype" w:eastAsia="Calibri" w:hAnsi="Palatino Linotype"/>
          <w:bCs/>
          <w:iCs/>
          <w:color w:val="000000"/>
          <w:lang w:val="es-MX" w:eastAsia="en-US"/>
        </w:rPr>
        <w:t>Ahora bien, la clave del Registro Federal de Contribuyentes, es el medio de control que tiene la Secretaría de Hacienda y Crédito Público, a través del Servicio de Administración Tributaria, para exigir y vigilar el cumplimiento de las obligaciones fiscales de los contribuyentes; mientras que los particulares tramitan dicho dato, con el único propósito de realizar mediante esa clave de identificación, operaciones o actividades de naturaleza fiscal.</w:t>
      </w:r>
    </w:p>
    <w:p w14:paraId="0A02CA11" w14:textId="77777777" w:rsidR="007E66E7" w:rsidRPr="00655A8C" w:rsidRDefault="007E66E7" w:rsidP="007E66E7">
      <w:pPr>
        <w:pStyle w:val="Prrafodelista"/>
        <w:spacing w:line="360" w:lineRule="auto"/>
        <w:rPr>
          <w:rFonts w:ascii="Palatino Linotype" w:eastAsia="Calibri" w:hAnsi="Palatino Linotype"/>
          <w:bCs/>
          <w:iCs/>
          <w:color w:val="000000"/>
          <w:lang w:val="es-MX" w:eastAsia="en-US"/>
        </w:rPr>
      </w:pPr>
    </w:p>
    <w:p w14:paraId="280EAED7" w14:textId="77777777" w:rsidR="007E66E7" w:rsidRPr="00655A8C" w:rsidRDefault="007E66E7" w:rsidP="007E66E7">
      <w:pPr>
        <w:pStyle w:val="Prrafodelista"/>
        <w:numPr>
          <w:ilvl w:val="0"/>
          <w:numId w:val="11"/>
        </w:numPr>
        <w:spacing w:line="360" w:lineRule="auto"/>
        <w:ind w:left="0" w:firstLine="0"/>
        <w:jc w:val="both"/>
        <w:rPr>
          <w:rFonts w:ascii="Palatino Linotype" w:eastAsia="Calibri" w:hAnsi="Palatino Linotype"/>
          <w:bCs/>
          <w:iCs/>
          <w:color w:val="000000"/>
          <w:lang w:val="es-MX" w:eastAsia="en-US"/>
        </w:rPr>
      </w:pPr>
      <w:r w:rsidRPr="00655A8C">
        <w:rPr>
          <w:rFonts w:ascii="Palatino Linotype" w:eastAsia="Calibri" w:hAnsi="Palatino Linotype"/>
          <w:bCs/>
          <w:iCs/>
          <w:color w:val="000000"/>
          <w:lang w:val="es-MX" w:eastAsia="en-US"/>
        </w:rPr>
        <w:t xml:space="preserve">Así, el Registro Federal de Contribuyentes, es un dato personal, ya que hace a las personas físicas identificas e identificables, además de que las relaciona como contribuyentes de las autoridades fiscales. Es de destacar que dicho dato únicamente sirve para efectos fiscales y pago de contribuciones, por lo que se trata de un dato </w:t>
      </w:r>
      <w:r w:rsidRPr="00655A8C">
        <w:rPr>
          <w:rFonts w:ascii="Palatino Linotype" w:eastAsia="Calibri" w:hAnsi="Palatino Linotype"/>
          <w:bCs/>
          <w:iCs/>
          <w:color w:val="000000"/>
          <w:lang w:val="es-MX" w:eastAsia="en-US"/>
        </w:rPr>
        <w:lastRenderedPageBreak/>
        <w:t xml:space="preserve">relevante únicamente para las personas involucrada, en el pago de estos, en el presente caso, del pago del Impuesto Sobre el Producto del Trabajo. </w:t>
      </w:r>
    </w:p>
    <w:p w14:paraId="56563E94" w14:textId="77777777" w:rsidR="007E66E7" w:rsidRPr="00655A8C" w:rsidRDefault="007E66E7" w:rsidP="007E66E7">
      <w:pPr>
        <w:pStyle w:val="Prrafodelista"/>
        <w:spacing w:line="360" w:lineRule="auto"/>
        <w:rPr>
          <w:rFonts w:ascii="Palatino Linotype" w:eastAsia="Calibri" w:hAnsi="Palatino Linotype"/>
          <w:bCs/>
          <w:iCs/>
          <w:color w:val="000000"/>
          <w:lang w:val="es-MX" w:eastAsia="en-US"/>
        </w:rPr>
      </w:pPr>
    </w:p>
    <w:p w14:paraId="45AB90C0" w14:textId="77777777" w:rsidR="007E66E7" w:rsidRPr="00655A8C" w:rsidRDefault="007E66E7" w:rsidP="007E66E7">
      <w:pPr>
        <w:pStyle w:val="Prrafodelista"/>
        <w:numPr>
          <w:ilvl w:val="0"/>
          <w:numId w:val="11"/>
        </w:numPr>
        <w:spacing w:line="360" w:lineRule="auto"/>
        <w:ind w:left="0" w:firstLine="0"/>
        <w:jc w:val="both"/>
        <w:rPr>
          <w:rFonts w:ascii="Palatino Linotype" w:eastAsia="Calibri" w:hAnsi="Palatino Linotype"/>
          <w:bCs/>
          <w:iCs/>
          <w:color w:val="000000"/>
          <w:lang w:val="es-MX" w:eastAsia="en-US"/>
        </w:rPr>
      </w:pPr>
      <w:r w:rsidRPr="00655A8C">
        <w:rPr>
          <w:rFonts w:ascii="Palatino Linotype" w:eastAsia="Calibri" w:hAnsi="Palatino Linotype"/>
          <w:bCs/>
          <w:iCs/>
          <w:color w:val="000000"/>
          <w:lang w:val="es-MX" w:eastAsia="en-US"/>
        </w:rPr>
        <w:t>Lo anterior, resulta congruente con el Criterio 19/17 emitido por el Instituto Nacional de Transparencia, Acceso a la Información y Protección de Datos Personales, en el cual se señala lo siguiente:</w:t>
      </w:r>
    </w:p>
    <w:p w14:paraId="61DCFF8C" w14:textId="77777777" w:rsidR="007E66E7" w:rsidRPr="00655A8C" w:rsidRDefault="007E66E7" w:rsidP="007E66E7">
      <w:pPr>
        <w:spacing w:line="360" w:lineRule="auto"/>
        <w:jc w:val="both"/>
        <w:rPr>
          <w:rFonts w:ascii="Palatino Linotype" w:eastAsia="Calibri" w:hAnsi="Palatino Linotype"/>
          <w:bCs/>
          <w:iCs/>
          <w:color w:val="000000"/>
          <w:lang w:val="es-MX" w:eastAsia="en-US"/>
        </w:rPr>
      </w:pPr>
    </w:p>
    <w:p w14:paraId="764489FA" w14:textId="77777777" w:rsidR="007E66E7" w:rsidRPr="00655A8C" w:rsidRDefault="007E66E7" w:rsidP="007E66E7">
      <w:pPr>
        <w:spacing w:line="360" w:lineRule="auto"/>
        <w:ind w:left="567" w:right="567"/>
        <w:jc w:val="both"/>
        <w:rPr>
          <w:rFonts w:ascii="Palatino Linotype" w:eastAsia="Calibri" w:hAnsi="Palatino Linotype"/>
          <w:bCs/>
          <w:i/>
          <w:iCs/>
          <w:color w:val="000000"/>
          <w:lang w:val="es-MX" w:eastAsia="en-US"/>
        </w:rPr>
      </w:pPr>
      <w:r w:rsidRPr="00655A8C">
        <w:rPr>
          <w:rFonts w:ascii="Palatino Linotype" w:eastAsia="Calibri" w:hAnsi="Palatino Linotype"/>
          <w:b/>
          <w:bCs/>
          <w:i/>
          <w:iCs/>
          <w:color w:val="000000"/>
          <w:lang w:val="es-MX" w:eastAsia="en-US"/>
        </w:rPr>
        <w:t>“Registro Federal de Contribuyentes (RFC) de personas físicas.</w:t>
      </w:r>
      <w:r w:rsidRPr="00655A8C">
        <w:rPr>
          <w:rFonts w:ascii="Palatino Linotype" w:eastAsia="Calibri" w:hAnsi="Palatino Linotype"/>
          <w:bCs/>
          <w:i/>
          <w:iCs/>
          <w:color w:val="000000"/>
          <w:lang w:val="es-MX" w:eastAsia="en-US"/>
        </w:rPr>
        <w:t xml:space="preserve"> El RFC es una clave de carácter fiscal, única e irrepetible, que permite identificar al titular, su edad y fecha de nacimiento, por lo que es un dato personal de carácter confidencial.”</w:t>
      </w:r>
    </w:p>
    <w:p w14:paraId="3E6E4025" w14:textId="77777777" w:rsidR="007E66E7" w:rsidRPr="00655A8C" w:rsidRDefault="007E66E7" w:rsidP="007E66E7">
      <w:pPr>
        <w:spacing w:line="360" w:lineRule="auto"/>
        <w:jc w:val="both"/>
        <w:rPr>
          <w:rFonts w:ascii="Palatino Linotype" w:eastAsia="Calibri" w:hAnsi="Palatino Linotype"/>
          <w:bCs/>
          <w:iCs/>
          <w:color w:val="000000"/>
          <w:lang w:val="es-MX" w:eastAsia="en-US"/>
        </w:rPr>
      </w:pPr>
    </w:p>
    <w:p w14:paraId="269F9CE4" w14:textId="77777777" w:rsidR="007E66E7" w:rsidRPr="00655A8C" w:rsidRDefault="007E66E7" w:rsidP="007E66E7">
      <w:pPr>
        <w:pStyle w:val="Prrafodelista"/>
        <w:numPr>
          <w:ilvl w:val="0"/>
          <w:numId w:val="11"/>
        </w:numPr>
        <w:spacing w:line="360" w:lineRule="auto"/>
        <w:ind w:left="-90" w:firstLine="90"/>
        <w:jc w:val="both"/>
        <w:rPr>
          <w:rFonts w:ascii="Palatino Linotype" w:eastAsia="Calibri" w:hAnsi="Palatino Linotype"/>
          <w:bCs/>
          <w:iCs/>
          <w:color w:val="000000"/>
          <w:lang w:val="es-MX" w:eastAsia="en-US"/>
        </w:rPr>
      </w:pPr>
      <w:r w:rsidRPr="00655A8C">
        <w:rPr>
          <w:rFonts w:ascii="Palatino Linotype" w:eastAsia="Calibri" w:hAnsi="Palatino Linotype"/>
          <w:bCs/>
          <w:iCs/>
          <w:color w:val="000000"/>
          <w:lang w:val="es-MX" w:eastAsia="en-US"/>
        </w:rPr>
        <w:t>De tal suerte, el Registro Federal de Contribuyentes de los servidores públicos no guarda relación con la transparencia de los recursos públicos, así como tampoco con el desempeño laboral que pueda tener una persona, por lo que constituye un dato personal confidencial al actualizar el supuesto normativo del artículo 143, fracción I, de la Ley de Transparencia y Acceso a la Información Pública del Estado de México y Municipios.</w:t>
      </w:r>
    </w:p>
    <w:p w14:paraId="54529B50" w14:textId="77777777" w:rsidR="007E66E7" w:rsidRPr="00655A8C" w:rsidRDefault="007E66E7" w:rsidP="007E66E7">
      <w:pPr>
        <w:spacing w:line="360" w:lineRule="auto"/>
        <w:jc w:val="both"/>
        <w:rPr>
          <w:rFonts w:ascii="Palatino Linotype" w:eastAsia="Calibri" w:hAnsi="Palatino Linotype"/>
          <w:bCs/>
          <w:iCs/>
          <w:color w:val="000000"/>
          <w:lang w:val="es-MX" w:eastAsia="en-US"/>
        </w:rPr>
      </w:pPr>
    </w:p>
    <w:p w14:paraId="001D26A8" w14:textId="77777777" w:rsidR="007E66E7" w:rsidRPr="00C05029" w:rsidRDefault="007E66E7" w:rsidP="007E66E7">
      <w:pPr>
        <w:pStyle w:val="Ttulo1"/>
        <w:numPr>
          <w:ilvl w:val="0"/>
          <w:numId w:val="7"/>
        </w:numPr>
        <w:ind w:left="0" w:firstLine="0"/>
        <w:rPr>
          <w:rFonts w:ascii="Palatino Linotype" w:hAnsi="Palatino Linotype"/>
          <w:b/>
          <w:color w:val="000000" w:themeColor="text1"/>
          <w:sz w:val="24"/>
          <w:szCs w:val="24"/>
        </w:rPr>
      </w:pPr>
      <w:bookmarkStart w:id="157" w:name="_Toc103821657"/>
      <w:r w:rsidRPr="00C05029">
        <w:rPr>
          <w:rFonts w:ascii="Palatino Linotype" w:hAnsi="Palatino Linotype"/>
          <w:b/>
          <w:color w:val="000000" w:themeColor="text1"/>
          <w:sz w:val="24"/>
          <w:szCs w:val="24"/>
        </w:rPr>
        <w:t>Código bidimensional o Qr.</w:t>
      </w:r>
      <w:bookmarkEnd w:id="157"/>
    </w:p>
    <w:p w14:paraId="79609F4B" w14:textId="77777777" w:rsidR="007E66E7" w:rsidRPr="00655A8C" w:rsidRDefault="007E66E7" w:rsidP="007E66E7">
      <w:pPr>
        <w:spacing w:line="360" w:lineRule="auto"/>
        <w:jc w:val="both"/>
        <w:rPr>
          <w:rFonts w:ascii="Palatino Linotype" w:eastAsia="Calibri" w:hAnsi="Palatino Linotype"/>
          <w:b/>
          <w:bCs/>
          <w:iCs/>
          <w:color w:val="000000"/>
          <w:lang w:val="es-MX" w:eastAsia="en-US"/>
        </w:rPr>
      </w:pPr>
    </w:p>
    <w:p w14:paraId="0ACBFD28" w14:textId="77777777" w:rsidR="007E66E7" w:rsidRPr="00655A8C" w:rsidRDefault="007E66E7" w:rsidP="007E66E7">
      <w:pPr>
        <w:pStyle w:val="Prrafodelista"/>
        <w:numPr>
          <w:ilvl w:val="0"/>
          <w:numId w:val="11"/>
        </w:numPr>
        <w:spacing w:line="360" w:lineRule="auto"/>
        <w:ind w:left="0" w:firstLine="0"/>
        <w:jc w:val="both"/>
        <w:rPr>
          <w:rFonts w:ascii="Palatino Linotype" w:eastAsia="Calibri" w:hAnsi="Palatino Linotype"/>
          <w:bCs/>
          <w:iCs/>
          <w:color w:val="000000"/>
          <w:lang w:val="es-MX" w:eastAsia="en-US"/>
        </w:rPr>
      </w:pPr>
      <w:r w:rsidRPr="00655A8C">
        <w:rPr>
          <w:rFonts w:ascii="Palatino Linotype" w:eastAsia="Calibri" w:hAnsi="Palatino Linotype"/>
          <w:bCs/>
          <w:iCs/>
          <w:color w:val="000000"/>
          <w:lang w:val="es-MX" w:eastAsia="en-US"/>
        </w:rPr>
        <w:t xml:space="preserve">En principio, resulta necesario señalar que los comprobantes fiscales digitales por Internet, deben de incluir un código bidimensional conforme al formato </w:t>
      </w:r>
      <w:r w:rsidRPr="00655A8C">
        <w:rPr>
          <w:rFonts w:ascii="Palatino Linotype" w:eastAsia="Calibri" w:hAnsi="Palatino Linotype"/>
          <w:bCs/>
          <w:i/>
          <w:iCs/>
          <w:color w:val="000000"/>
          <w:lang w:val="es-MX" w:eastAsia="en-US"/>
        </w:rPr>
        <w:t>QR Code (Quick Response Code)</w:t>
      </w:r>
      <w:r w:rsidRPr="00655A8C">
        <w:rPr>
          <w:rFonts w:ascii="Palatino Linotype" w:eastAsia="Calibri" w:hAnsi="Palatino Linotype"/>
          <w:bCs/>
          <w:iCs/>
          <w:color w:val="000000"/>
          <w:lang w:val="es-MX" w:eastAsia="en-US"/>
        </w:rPr>
        <w:t xml:space="preserve">, el cual contiene el Registro Federal de Contribuyentes del </w:t>
      </w:r>
      <w:r w:rsidRPr="00655A8C">
        <w:rPr>
          <w:rFonts w:ascii="Palatino Linotype" w:eastAsia="Calibri" w:hAnsi="Palatino Linotype"/>
          <w:bCs/>
          <w:iCs/>
          <w:color w:val="000000"/>
          <w:lang w:val="es-MX" w:eastAsia="en-US"/>
        </w:rPr>
        <w:lastRenderedPageBreak/>
        <w:t xml:space="preserve">receptor, del emisor, o de ambos; lo anterior, conforme al Anexo 20 de la Segunda Resolución de modificación a la Resolución Miscelánea Fiscal para el 2017, localizada en la página electrónica </w:t>
      </w:r>
      <w:hyperlink r:id="rId18" w:history="1">
        <w:r w:rsidRPr="00655A8C">
          <w:rPr>
            <w:rFonts w:ascii="Palatino Linotype" w:eastAsia="Calibri" w:hAnsi="Palatino Linotype"/>
            <w:bCs/>
            <w:iCs/>
            <w:color w:val="0563C1"/>
            <w:u w:val="single"/>
            <w:lang w:val="es-MX" w:eastAsia="en-US"/>
          </w:rPr>
          <w:t>http://dof.gob.mx/nota_detalle.php?codigo=5492254&amp;fecha=28/07/2017</w:t>
        </w:r>
      </w:hyperlink>
      <w:r w:rsidRPr="00655A8C">
        <w:rPr>
          <w:rFonts w:ascii="Palatino Linotype" w:eastAsia="Calibri" w:hAnsi="Palatino Linotype"/>
          <w:bCs/>
          <w:iCs/>
          <w:color w:val="000000"/>
          <w:lang w:val="es-MX" w:eastAsia="en-US"/>
        </w:rPr>
        <w:t>. Incluso con la captura de dicho código, a través de la aplicación móvil del Servicio de Administración Tributaria, permite el acceso al Registro Federal de Contribuyentes, como del Sujeto Obligado, como de los servidores públicos.</w:t>
      </w:r>
    </w:p>
    <w:p w14:paraId="4EBBA19A" w14:textId="77777777" w:rsidR="007E66E7" w:rsidRPr="00655A8C" w:rsidRDefault="007E66E7" w:rsidP="007E66E7">
      <w:pPr>
        <w:pStyle w:val="Prrafodelista"/>
        <w:spacing w:line="360" w:lineRule="auto"/>
        <w:ind w:left="0"/>
        <w:jc w:val="both"/>
        <w:rPr>
          <w:rFonts w:ascii="Palatino Linotype" w:eastAsia="Calibri" w:hAnsi="Palatino Linotype"/>
          <w:bCs/>
          <w:iCs/>
          <w:color w:val="000000"/>
          <w:lang w:val="es-MX" w:eastAsia="en-US"/>
        </w:rPr>
      </w:pPr>
    </w:p>
    <w:p w14:paraId="0F336205" w14:textId="77777777" w:rsidR="007E66E7" w:rsidRPr="00655A8C" w:rsidRDefault="007E66E7" w:rsidP="007E66E7">
      <w:pPr>
        <w:pStyle w:val="Prrafodelista"/>
        <w:numPr>
          <w:ilvl w:val="0"/>
          <w:numId w:val="11"/>
        </w:numPr>
        <w:spacing w:line="360" w:lineRule="auto"/>
        <w:ind w:left="0" w:firstLine="0"/>
        <w:jc w:val="both"/>
        <w:rPr>
          <w:rFonts w:ascii="Palatino Linotype" w:eastAsia="Calibri" w:hAnsi="Palatino Linotype"/>
          <w:bCs/>
          <w:iCs/>
          <w:color w:val="000000"/>
          <w:lang w:val="es-MX" w:eastAsia="en-US"/>
        </w:rPr>
      </w:pPr>
      <w:r w:rsidRPr="00655A8C">
        <w:rPr>
          <w:rFonts w:ascii="Palatino Linotype" w:eastAsia="Calibri" w:hAnsi="Palatino Linotype"/>
          <w:bCs/>
          <w:iCs/>
          <w:color w:val="000000"/>
          <w:lang w:val="es-MX" w:eastAsia="en-US"/>
        </w:rPr>
        <w:t xml:space="preserve">De tales circunstancias, se considera que dicho dato actualiza la causal de clasificación prevista en el artículo 143, fracción I de la Ley de la materia, toda vez que da acceso al Registro Federal de Contribuyentes de los servidores públicos del Sujeto Obligado, datos que tal como se señaló previamente, son clasificados. </w:t>
      </w:r>
    </w:p>
    <w:p w14:paraId="414421D3" w14:textId="77777777" w:rsidR="007E66E7" w:rsidRPr="00655A8C" w:rsidRDefault="007E66E7" w:rsidP="007E66E7">
      <w:pPr>
        <w:spacing w:line="360" w:lineRule="auto"/>
        <w:jc w:val="both"/>
        <w:rPr>
          <w:rFonts w:ascii="Palatino Linotype" w:eastAsia="Calibri" w:hAnsi="Palatino Linotype"/>
          <w:bCs/>
          <w:iCs/>
          <w:color w:val="000000"/>
          <w:lang w:val="es-MX" w:eastAsia="en-US"/>
        </w:rPr>
      </w:pPr>
    </w:p>
    <w:p w14:paraId="6DD2647B" w14:textId="77777777" w:rsidR="007E66E7" w:rsidRPr="00C05029" w:rsidRDefault="007E66E7" w:rsidP="007E66E7">
      <w:pPr>
        <w:pStyle w:val="Ttulo1"/>
        <w:spacing w:line="360" w:lineRule="auto"/>
        <w:rPr>
          <w:rFonts w:ascii="Palatino Linotype" w:hAnsi="Palatino Linotype"/>
          <w:b/>
          <w:color w:val="000000" w:themeColor="text1"/>
          <w:sz w:val="24"/>
          <w:szCs w:val="24"/>
        </w:rPr>
      </w:pPr>
      <w:bookmarkStart w:id="158" w:name="_Toc103821658"/>
      <w:r w:rsidRPr="00C05029">
        <w:rPr>
          <w:rFonts w:ascii="Palatino Linotype" w:hAnsi="Palatino Linotype"/>
          <w:b/>
          <w:color w:val="000000" w:themeColor="text1"/>
          <w:sz w:val="24"/>
          <w:szCs w:val="24"/>
        </w:rPr>
        <w:t>f) Número de seguridad social del Instituto de Seguridad Social del Estado de México y Municipios.</w:t>
      </w:r>
      <w:bookmarkEnd w:id="158"/>
    </w:p>
    <w:p w14:paraId="3B65B1CE" w14:textId="77777777" w:rsidR="007E66E7" w:rsidRPr="00655A8C" w:rsidRDefault="007E66E7" w:rsidP="007E66E7">
      <w:pPr>
        <w:spacing w:line="360" w:lineRule="auto"/>
        <w:jc w:val="both"/>
        <w:rPr>
          <w:rFonts w:ascii="Palatino Linotype" w:eastAsia="Calibri" w:hAnsi="Palatino Linotype"/>
          <w:b/>
          <w:bCs/>
          <w:iCs/>
          <w:color w:val="000000"/>
          <w:lang w:val="es-MX" w:eastAsia="en-US"/>
        </w:rPr>
      </w:pPr>
    </w:p>
    <w:p w14:paraId="4762EDB3" w14:textId="77777777" w:rsidR="007E66E7" w:rsidRPr="00655A8C" w:rsidRDefault="007E66E7" w:rsidP="007E66E7">
      <w:pPr>
        <w:pStyle w:val="Prrafodelista"/>
        <w:numPr>
          <w:ilvl w:val="0"/>
          <w:numId w:val="11"/>
        </w:numPr>
        <w:spacing w:line="360" w:lineRule="auto"/>
        <w:ind w:left="0" w:firstLine="0"/>
        <w:jc w:val="both"/>
        <w:rPr>
          <w:rFonts w:ascii="Palatino Linotype" w:eastAsia="Calibri" w:hAnsi="Palatino Linotype"/>
          <w:bCs/>
          <w:iCs/>
          <w:color w:val="000000"/>
          <w:lang w:val="es-MX" w:eastAsia="en-US"/>
        </w:rPr>
      </w:pPr>
      <w:r w:rsidRPr="00655A8C">
        <w:rPr>
          <w:rFonts w:ascii="Palatino Linotype" w:eastAsia="Calibri" w:hAnsi="Palatino Linotype"/>
          <w:bCs/>
          <w:iCs/>
          <w:color w:val="000000"/>
          <w:lang w:val="es-MX" w:eastAsia="en-US"/>
        </w:rPr>
        <w:t>El Instituto de Seguridad Social del Estado de México y Municipios (ISSEMYM) es el organismo público encargado de proporcionar los servicios de seguridad social a los servidores públicos del Estado de México, con el objetivo de garantizar a los derechohabientes el acceso a las prestaciones que otorga, de conformidad con el artículo 14 de la Ley de Seguridad Social para los Servidores Públicos del Estado de México y Municipios.</w:t>
      </w:r>
    </w:p>
    <w:p w14:paraId="3945B8E8" w14:textId="77777777" w:rsidR="007E66E7" w:rsidRPr="00655A8C" w:rsidRDefault="007E66E7" w:rsidP="007E66E7">
      <w:pPr>
        <w:pStyle w:val="Prrafodelista"/>
        <w:spacing w:line="360" w:lineRule="auto"/>
        <w:ind w:left="0"/>
        <w:jc w:val="both"/>
        <w:rPr>
          <w:rFonts w:ascii="Palatino Linotype" w:eastAsia="Calibri" w:hAnsi="Palatino Linotype"/>
          <w:bCs/>
          <w:iCs/>
          <w:color w:val="000000"/>
          <w:lang w:val="es-MX" w:eastAsia="en-US"/>
        </w:rPr>
      </w:pPr>
    </w:p>
    <w:p w14:paraId="42D35DB2" w14:textId="77777777" w:rsidR="007E66E7" w:rsidRPr="00655A8C" w:rsidRDefault="007E66E7" w:rsidP="007E66E7">
      <w:pPr>
        <w:pStyle w:val="Prrafodelista"/>
        <w:numPr>
          <w:ilvl w:val="0"/>
          <w:numId w:val="11"/>
        </w:numPr>
        <w:spacing w:line="360" w:lineRule="auto"/>
        <w:ind w:left="0" w:firstLine="0"/>
        <w:jc w:val="both"/>
        <w:rPr>
          <w:rFonts w:ascii="Palatino Linotype" w:eastAsia="Calibri" w:hAnsi="Palatino Linotype"/>
          <w:bCs/>
          <w:iCs/>
          <w:color w:val="000000"/>
          <w:lang w:val="es-MX" w:eastAsia="en-US"/>
        </w:rPr>
      </w:pPr>
      <w:r w:rsidRPr="00655A8C">
        <w:rPr>
          <w:rFonts w:ascii="Palatino Linotype" w:eastAsia="Calibri" w:hAnsi="Palatino Linotype"/>
          <w:bCs/>
          <w:iCs/>
          <w:color w:val="000000"/>
          <w:lang w:val="es-MX" w:eastAsia="en-US"/>
        </w:rPr>
        <w:lastRenderedPageBreak/>
        <w:t>En ese contexto, el artículo 9° del mismo ordenamiento, dispone que el Instituto de Seguridad Social del Estado de México y Municipios expedirá documentos de identificación para facilitar el acceso a las prestaciones a que tengan derecho; así, el artículo 158, fracción I del Reglamento de Servicios de Salud del Instituto de Seguridad Social del Estado de México y Municipios, establece que es obligación de los derechohabientes tramitar la credencial que los acredite como tal, la cual será de naturaleza personal e intransferible. En esta credencial se consignan diversos datos personales y se le asigna una clave para hacer identificable al trabajador con el objetivo de poder proporcionar los servicios que brinda el Instituto de Seguridad Social del Estado de México y Municipios.</w:t>
      </w:r>
    </w:p>
    <w:p w14:paraId="41BE3F18" w14:textId="77777777" w:rsidR="007E66E7" w:rsidRPr="00655A8C" w:rsidRDefault="007E66E7" w:rsidP="007E66E7">
      <w:pPr>
        <w:pStyle w:val="Prrafodelista"/>
        <w:spacing w:line="360" w:lineRule="auto"/>
        <w:rPr>
          <w:rFonts w:ascii="Palatino Linotype" w:eastAsia="Calibri" w:hAnsi="Palatino Linotype"/>
          <w:bCs/>
          <w:iCs/>
          <w:color w:val="000000"/>
          <w:lang w:val="es-MX" w:eastAsia="en-US"/>
        </w:rPr>
      </w:pPr>
    </w:p>
    <w:p w14:paraId="3A8755DC" w14:textId="77777777" w:rsidR="007E66E7" w:rsidRPr="00655A8C" w:rsidRDefault="007E66E7" w:rsidP="007E66E7">
      <w:pPr>
        <w:pStyle w:val="Prrafodelista"/>
        <w:numPr>
          <w:ilvl w:val="0"/>
          <w:numId w:val="11"/>
        </w:numPr>
        <w:spacing w:line="360" w:lineRule="auto"/>
        <w:ind w:left="0" w:firstLine="0"/>
        <w:jc w:val="both"/>
        <w:rPr>
          <w:rFonts w:ascii="Palatino Linotype" w:eastAsia="Calibri" w:hAnsi="Palatino Linotype"/>
          <w:bCs/>
          <w:iCs/>
          <w:color w:val="000000"/>
          <w:lang w:val="es-MX" w:eastAsia="en-US"/>
        </w:rPr>
      </w:pPr>
      <w:r w:rsidRPr="00655A8C">
        <w:rPr>
          <w:rFonts w:ascii="Palatino Linotype" w:eastAsia="Calibri" w:hAnsi="Palatino Linotype"/>
          <w:bCs/>
          <w:iCs/>
          <w:color w:val="000000"/>
          <w:lang w:val="es-MX" w:eastAsia="en-US"/>
        </w:rPr>
        <w:t>Como se advierte, el número del Instituto de Seguridad y Servicios Sociales del Estado de México y Municipios, es un dato personal que permite identificar que una persona que trabajó o trabaja en alguna institución pública del Estado de México, por la que tiene o tuvo derecho a esta prestación de seguridad social; además, es de destacar que dicho dato no cambia, aunque el trabajador se dé de baja y alta en diversas ocasiones, con motivo de haber trabajado en diferentes instituciones gubernamentales de la Entidad.</w:t>
      </w:r>
    </w:p>
    <w:p w14:paraId="74F5A01A" w14:textId="77777777" w:rsidR="007E66E7" w:rsidRPr="00655A8C" w:rsidRDefault="007E66E7" w:rsidP="007E66E7">
      <w:pPr>
        <w:pStyle w:val="Prrafodelista"/>
        <w:spacing w:line="360" w:lineRule="auto"/>
        <w:rPr>
          <w:rFonts w:ascii="Palatino Linotype" w:eastAsia="Calibri" w:hAnsi="Palatino Linotype"/>
          <w:bCs/>
          <w:iCs/>
          <w:color w:val="000000"/>
          <w:lang w:val="es-MX" w:eastAsia="en-US"/>
        </w:rPr>
      </w:pPr>
    </w:p>
    <w:p w14:paraId="0E0BF4B8" w14:textId="77777777" w:rsidR="007E66E7" w:rsidRPr="00655A8C" w:rsidRDefault="007E66E7" w:rsidP="007E66E7">
      <w:pPr>
        <w:pStyle w:val="Prrafodelista"/>
        <w:numPr>
          <w:ilvl w:val="0"/>
          <w:numId w:val="11"/>
        </w:numPr>
        <w:spacing w:line="360" w:lineRule="auto"/>
        <w:ind w:left="0" w:firstLine="0"/>
        <w:jc w:val="both"/>
        <w:rPr>
          <w:rFonts w:ascii="Palatino Linotype" w:eastAsia="Calibri" w:hAnsi="Palatino Linotype"/>
          <w:bCs/>
          <w:iCs/>
          <w:color w:val="000000"/>
          <w:lang w:val="es-MX" w:eastAsia="en-US"/>
        </w:rPr>
      </w:pPr>
      <w:r w:rsidRPr="00655A8C">
        <w:rPr>
          <w:rFonts w:ascii="Palatino Linotype" w:eastAsia="Calibri" w:hAnsi="Palatino Linotype"/>
          <w:bCs/>
          <w:iCs/>
          <w:color w:val="000000"/>
          <w:lang w:val="es-MX" w:eastAsia="en-US"/>
        </w:rPr>
        <w:t xml:space="preserve">En ese sentido, contar con la prestación de seguridad social que brinda el Instituto de Seguridad Social del Estado de México y Municipios no es una obligación para entrar a trabajar, por el contrario, es un derecho que se adquiere cuando se ingresa al servicio público, por tal motivo, es un dato personal confidencial, que actualiza el supuesto de confidencialidad, establecido en el artículo </w:t>
      </w:r>
      <w:r w:rsidRPr="00655A8C">
        <w:rPr>
          <w:rFonts w:ascii="Palatino Linotype" w:eastAsia="Calibri" w:hAnsi="Palatino Linotype"/>
          <w:bCs/>
          <w:iCs/>
          <w:color w:val="000000"/>
          <w:lang w:val="es-MX" w:eastAsia="en-US"/>
        </w:rPr>
        <w:lastRenderedPageBreak/>
        <w:t>143, fracción I, de la Ley de Transparencia y Acceso a la Información Pública del Estado de México y Municipios.</w:t>
      </w:r>
    </w:p>
    <w:p w14:paraId="7BB7E047" w14:textId="77777777" w:rsidR="007E66E7" w:rsidRPr="00655A8C" w:rsidRDefault="007E66E7" w:rsidP="007E66E7">
      <w:pPr>
        <w:spacing w:line="360" w:lineRule="auto"/>
        <w:jc w:val="both"/>
        <w:rPr>
          <w:rFonts w:ascii="Palatino Linotype" w:eastAsia="Calibri" w:hAnsi="Palatino Linotype"/>
          <w:bCs/>
          <w:iCs/>
          <w:color w:val="000000"/>
          <w:lang w:val="es-MX" w:eastAsia="en-US"/>
        </w:rPr>
      </w:pPr>
    </w:p>
    <w:p w14:paraId="5823EECA" w14:textId="77777777" w:rsidR="007E66E7" w:rsidRPr="00C05029" w:rsidRDefault="007E66E7" w:rsidP="007E66E7">
      <w:pPr>
        <w:pStyle w:val="Ttulo1"/>
        <w:spacing w:line="360" w:lineRule="auto"/>
        <w:jc w:val="both"/>
        <w:rPr>
          <w:rFonts w:ascii="Palatino Linotype" w:hAnsi="Palatino Linotype"/>
          <w:b/>
          <w:color w:val="000000" w:themeColor="text1"/>
          <w:sz w:val="24"/>
          <w:szCs w:val="24"/>
        </w:rPr>
      </w:pPr>
      <w:bookmarkStart w:id="159" w:name="_Toc103821659"/>
      <w:r w:rsidRPr="00C05029">
        <w:rPr>
          <w:rFonts w:ascii="Palatino Linotype" w:hAnsi="Palatino Linotype"/>
          <w:b/>
          <w:color w:val="000000" w:themeColor="text1"/>
          <w:sz w:val="24"/>
          <w:szCs w:val="24"/>
        </w:rPr>
        <w:t>g) Sellos digitales del emisor y del Servicio de Administración Tributaria y cadena original del complemento de certificación digital del órgano previamente señalado.</w:t>
      </w:r>
      <w:bookmarkEnd w:id="159"/>
    </w:p>
    <w:p w14:paraId="758CA3E8" w14:textId="77777777" w:rsidR="007E66E7" w:rsidRPr="00655A8C" w:rsidRDefault="007E66E7" w:rsidP="007E66E7">
      <w:pPr>
        <w:spacing w:line="360" w:lineRule="auto"/>
        <w:jc w:val="both"/>
        <w:rPr>
          <w:rFonts w:ascii="Palatino Linotype" w:eastAsia="Calibri" w:hAnsi="Palatino Linotype"/>
          <w:bCs/>
          <w:color w:val="000000"/>
          <w:lang w:eastAsia="en-US"/>
        </w:rPr>
      </w:pPr>
    </w:p>
    <w:p w14:paraId="2F78E408" w14:textId="77777777" w:rsidR="007E66E7" w:rsidRPr="00655A8C" w:rsidRDefault="007E66E7" w:rsidP="007E66E7">
      <w:pPr>
        <w:pStyle w:val="Prrafodelista"/>
        <w:numPr>
          <w:ilvl w:val="0"/>
          <w:numId w:val="11"/>
        </w:numPr>
        <w:spacing w:line="360" w:lineRule="auto"/>
        <w:ind w:left="0" w:firstLine="0"/>
        <w:jc w:val="both"/>
        <w:rPr>
          <w:rFonts w:ascii="Palatino Linotype" w:eastAsia="Calibri" w:hAnsi="Palatino Linotype"/>
          <w:bCs/>
          <w:color w:val="000000"/>
          <w:lang w:eastAsia="en-US"/>
        </w:rPr>
      </w:pPr>
      <w:r w:rsidRPr="00655A8C">
        <w:rPr>
          <w:rFonts w:ascii="Palatino Linotype" w:eastAsia="Calibri" w:hAnsi="Palatino Linotype"/>
          <w:bCs/>
          <w:color w:val="000000"/>
          <w:lang w:eastAsia="en-US"/>
        </w:rPr>
        <w:t>Cuando, de la secuencia de números y letras, no se advierta un Registro Federal de Contribuyentes o una Clave Única de Registro de Población, que pueda hacer identificable al titular del dato personal, no puede tenerse como dato personal y por ende información confidencial. Por el contrario, debe considerarse que esta información incluida en los documentos fiscales, constituyen un elemento adicional que permite a cualquier persona verificar la legitimidad del documento entregado en una solicitud de acceso a la información y, por sí solos no contienen datos personales susceptibles de clasificación, ya que no hacen identificado o identificable a su titular, pues dichos datos sólo son de utilidad de manera directa a la Secretaría de Hacienda y Crédito Público y si bien, dichas cadenas sí derivan de la información personal de los contribuyentes, esta se encuentra encriptada como se verá a continuación.</w:t>
      </w:r>
    </w:p>
    <w:p w14:paraId="4BD0DE59" w14:textId="77777777" w:rsidR="007E66E7" w:rsidRPr="00655A8C" w:rsidRDefault="007E66E7" w:rsidP="007E66E7">
      <w:pPr>
        <w:pStyle w:val="Prrafodelista"/>
        <w:spacing w:line="360" w:lineRule="auto"/>
        <w:ind w:left="0"/>
        <w:jc w:val="both"/>
        <w:rPr>
          <w:rFonts w:ascii="Palatino Linotype" w:eastAsia="Calibri" w:hAnsi="Palatino Linotype"/>
          <w:bCs/>
          <w:color w:val="000000"/>
          <w:lang w:eastAsia="en-US"/>
        </w:rPr>
      </w:pPr>
    </w:p>
    <w:p w14:paraId="26EED533" w14:textId="77777777" w:rsidR="007E66E7" w:rsidRPr="00655A8C" w:rsidRDefault="007E66E7" w:rsidP="007E66E7">
      <w:pPr>
        <w:pStyle w:val="Prrafodelista"/>
        <w:numPr>
          <w:ilvl w:val="0"/>
          <w:numId w:val="11"/>
        </w:numPr>
        <w:spacing w:line="360" w:lineRule="auto"/>
        <w:ind w:left="0" w:firstLine="0"/>
        <w:jc w:val="both"/>
        <w:rPr>
          <w:rFonts w:ascii="Palatino Linotype" w:eastAsia="Calibri" w:hAnsi="Palatino Linotype"/>
          <w:bCs/>
          <w:color w:val="000000"/>
          <w:lang w:eastAsia="en-US"/>
        </w:rPr>
      </w:pPr>
      <w:r w:rsidRPr="00655A8C">
        <w:rPr>
          <w:rFonts w:ascii="Palatino Linotype" w:eastAsia="Calibri" w:hAnsi="Palatino Linotype"/>
          <w:bCs/>
          <w:color w:val="000000"/>
          <w:lang w:eastAsia="en-US"/>
        </w:rPr>
        <w:t>Las cadenas originales y sellos que se agregan a las facturas</w:t>
      </w:r>
      <w:r w:rsidRPr="00655A8C">
        <w:rPr>
          <w:rFonts w:ascii="Palatino Linotype" w:eastAsia="Calibri" w:hAnsi="Palatino Linotype"/>
          <w:b/>
          <w:bCs/>
          <w:color w:val="000000"/>
          <w:lang w:eastAsia="en-US"/>
        </w:rPr>
        <w:t>,</w:t>
      </w:r>
      <w:r w:rsidRPr="00655A8C">
        <w:rPr>
          <w:rFonts w:ascii="Palatino Linotype" w:eastAsia="Calibri" w:hAnsi="Palatino Linotype"/>
          <w:bCs/>
          <w:color w:val="000000"/>
          <w:lang w:eastAsia="en-US"/>
        </w:rPr>
        <w:t xml:space="preserve"> tienen una secuencia de generación, determinados con base en el ANEXO 20 de la Segunda Resolución de modificaciones a la Resolución Miscelánea Fiscal para dos mil diecisiete, publicada en el Diario Oficial de la Federación el dieciocho de julio de dos </w:t>
      </w:r>
      <w:r w:rsidRPr="00655A8C">
        <w:rPr>
          <w:rFonts w:ascii="Palatino Linotype" w:eastAsia="Calibri" w:hAnsi="Palatino Linotype"/>
          <w:bCs/>
          <w:color w:val="000000"/>
          <w:lang w:eastAsia="en-US"/>
        </w:rPr>
        <w:lastRenderedPageBreak/>
        <w:t>mil diecisiete, que precisa los datos de los que se componen los elementos de seguridad y se puntualiza que dicha información está encriptada.</w:t>
      </w:r>
    </w:p>
    <w:p w14:paraId="3375C957" w14:textId="77777777" w:rsidR="007E66E7" w:rsidRPr="00655A8C" w:rsidRDefault="007E66E7" w:rsidP="007E66E7">
      <w:pPr>
        <w:spacing w:line="360" w:lineRule="auto"/>
        <w:jc w:val="both"/>
        <w:rPr>
          <w:rFonts w:ascii="Palatino Linotype" w:eastAsia="Calibri" w:hAnsi="Palatino Linotype"/>
          <w:bCs/>
          <w:color w:val="000000"/>
          <w:lang w:eastAsia="en-US"/>
        </w:rPr>
      </w:pPr>
    </w:p>
    <w:p w14:paraId="48B9D0D8" w14:textId="77777777" w:rsidR="007E66E7" w:rsidRPr="00655A8C" w:rsidRDefault="007E66E7" w:rsidP="007E66E7">
      <w:pPr>
        <w:spacing w:line="360" w:lineRule="auto"/>
        <w:ind w:left="567" w:right="567"/>
        <w:jc w:val="both"/>
        <w:rPr>
          <w:rFonts w:ascii="Palatino Linotype" w:eastAsia="Calibri" w:hAnsi="Palatino Linotype"/>
          <w:bCs/>
          <w:i/>
          <w:color w:val="000000"/>
          <w:lang w:eastAsia="en-US"/>
        </w:rPr>
      </w:pPr>
      <w:r w:rsidRPr="00655A8C">
        <w:rPr>
          <w:rFonts w:ascii="Palatino Linotype" w:eastAsia="Calibri" w:hAnsi="Palatino Linotype"/>
          <w:bCs/>
          <w:i/>
          <w:color w:val="000000"/>
          <w:lang w:eastAsia="en-US"/>
        </w:rPr>
        <w:t>“…</w:t>
      </w:r>
    </w:p>
    <w:p w14:paraId="1B8DB7D3" w14:textId="77777777" w:rsidR="007E66E7" w:rsidRPr="00655A8C" w:rsidRDefault="007E66E7" w:rsidP="007E66E7">
      <w:pPr>
        <w:spacing w:line="360" w:lineRule="auto"/>
        <w:ind w:left="567" w:right="567"/>
        <w:jc w:val="both"/>
        <w:rPr>
          <w:rFonts w:ascii="Palatino Linotype" w:eastAsia="Calibri" w:hAnsi="Palatino Linotype"/>
          <w:bCs/>
          <w:i/>
          <w:color w:val="000000"/>
          <w:lang w:eastAsia="en-US"/>
        </w:rPr>
      </w:pPr>
      <w:r w:rsidRPr="00655A8C">
        <w:rPr>
          <w:rFonts w:ascii="Palatino Linotype" w:eastAsia="Calibri" w:hAnsi="Palatino Linotype"/>
          <w:bCs/>
          <w:i/>
          <w:color w:val="000000"/>
          <w:lang w:eastAsia="en-US"/>
        </w:rPr>
        <w:t>Elementos utilizados en la generación de Sellos Digitales:</w:t>
      </w:r>
    </w:p>
    <w:p w14:paraId="26D1ECD3" w14:textId="77777777" w:rsidR="007E66E7" w:rsidRPr="00655A8C" w:rsidRDefault="007E66E7" w:rsidP="007E66E7">
      <w:pPr>
        <w:spacing w:line="360" w:lineRule="auto"/>
        <w:ind w:left="567" w:right="567"/>
        <w:jc w:val="both"/>
        <w:rPr>
          <w:rFonts w:ascii="Palatino Linotype" w:eastAsia="Calibri" w:hAnsi="Palatino Linotype"/>
          <w:bCs/>
          <w:i/>
          <w:color w:val="000000"/>
          <w:lang w:eastAsia="en-US"/>
        </w:rPr>
      </w:pPr>
      <w:r w:rsidRPr="00655A8C">
        <w:rPr>
          <w:rFonts w:ascii="Palatino Linotype" w:eastAsia="Calibri" w:hAnsi="Palatino Linotype"/>
          <w:bCs/>
          <w:i/>
          <w:color w:val="000000"/>
          <w:lang w:eastAsia="en-US"/>
        </w:rPr>
        <w:t>•</w:t>
      </w:r>
      <w:r w:rsidRPr="00655A8C">
        <w:rPr>
          <w:rFonts w:ascii="Palatino Linotype" w:eastAsia="Calibri" w:hAnsi="Palatino Linotype"/>
          <w:bCs/>
          <w:i/>
          <w:color w:val="000000"/>
          <w:lang w:eastAsia="en-US"/>
        </w:rPr>
        <w:tab/>
        <w:t>Cadena Original, el elemento a sellar, en este caso de un comprobante fiscal digital a través de Internet.</w:t>
      </w:r>
    </w:p>
    <w:p w14:paraId="5E7725F4" w14:textId="77777777" w:rsidR="007E66E7" w:rsidRPr="00655A8C" w:rsidRDefault="007E66E7" w:rsidP="007E66E7">
      <w:pPr>
        <w:spacing w:line="360" w:lineRule="auto"/>
        <w:ind w:left="567" w:right="567"/>
        <w:jc w:val="both"/>
        <w:rPr>
          <w:rFonts w:ascii="Palatino Linotype" w:eastAsia="Calibri" w:hAnsi="Palatino Linotype"/>
          <w:bCs/>
          <w:i/>
          <w:color w:val="000000"/>
          <w:lang w:eastAsia="en-US"/>
        </w:rPr>
      </w:pPr>
      <w:r w:rsidRPr="00655A8C">
        <w:rPr>
          <w:rFonts w:ascii="Palatino Linotype" w:eastAsia="Calibri" w:hAnsi="Palatino Linotype"/>
          <w:bCs/>
          <w:i/>
          <w:color w:val="000000"/>
          <w:lang w:eastAsia="en-US"/>
        </w:rPr>
        <w:t>•</w:t>
      </w:r>
      <w:r w:rsidRPr="00655A8C">
        <w:rPr>
          <w:rFonts w:ascii="Palatino Linotype" w:eastAsia="Calibri" w:hAnsi="Palatino Linotype"/>
          <w:bCs/>
          <w:i/>
          <w:color w:val="000000"/>
          <w:lang w:eastAsia="en-US"/>
        </w:rPr>
        <w:tab/>
        <w:t>Certificado de Sello Digital y su correspondiente clave privada.</w:t>
      </w:r>
    </w:p>
    <w:p w14:paraId="1BF7F089" w14:textId="77777777" w:rsidR="007E66E7" w:rsidRPr="00655A8C" w:rsidRDefault="007E66E7" w:rsidP="007E66E7">
      <w:pPr>
        <w:spacing w:line="360" w:lineRule="auto"/>
        <w:ind w:left="567" w:right="567"/>
        <w:jc w:val="both"/>
        <w:rPr>
          <w:rFonts w:ascii="Palatino Linotype" w:eastAsia="Calibri" w:hAnsi="Palatino Linotype"/>
          <w:bCs/>
          <w:i/>
          <w:color w:val="000000"/>
          <w:lang w:eastAsia="en-US"/>
        </w:rPr>
      </w:pPr>
      <w:r w:rsidRPr="00655A8C">
        <w:rPr>
          <w:rFonts w:ascii="Palatino Linotype" w:eastAsia="Calibri" w:hAnsi="Palatino Linotype"/>
          <w:bCs/>
          <w:i/>
          <w:color w:val="000000"/>
          <w:lang w:eastAsia="en-US"/>
        </w:rPr>
        <w:t>•</w:t>
      </w:r>
      <w:r w:rsidRPr="00655A8C">
        <w:rPr>
          <w:rFonts w:ascii="Palatino Linotype" w:eastAsia="Calibri" w:hAnsi="Palatino Linotype"/>
          <w:bCs/>
          <w:i/>
          <w:color w:val="000000"/>
          <w:lang w:eastAsia="en-US"/>
        </w:rPr>
        <w:tab/>
        <w:t>Algoritmos de criptografía de clave pública para firma electrónica avanzada.</w:t>
      </w:r>
    </w:p>
    <w:p w14:paraId="11D38B05" w14:textId="77777777" w:rsidR="007E66E7" w:rsidRPr="00655A8C" w:rsidRDefault="007E66E7" w:rsidP="007E66E7">
      <w:pPr>
        <w:spacing w:line="360" w:lineRule="auto"/>
        <w:ind w:left="567" w:right="567"/>
        <w:jc w:val="both"/>
        <w:rPr>
          <w:rFonts w:ascii="Palatino Linotype" w:eastAsia="Calibri" w:hAnsi="Palatino Linotype"/>
          <w:bCs/>
          <w:i/>
          <w:color w:val="000000"/>
          <w:lang w:eastAsia="en-US"/>
        </w:rPr>
      </w:pPr>
      <w:r w:rsidRPr="00655A8C">
        <w:rPr>
          <w:rFonts w:ascii="Palatino Linotype" w:eastAsia="Calibri" w:hAnsi="Palatino Linotype"/>
          <w:bCs/>
          <w:i/>
          <w:color w:val="000000"/>
          <w:lang w:eastAsia="en-US"/>
        </w:rPr>
        <w:t>•</w:t>
      </w:r>
      <w:r w:rsidRPr="00655A8C">
        <w:rPr>
          <w:rFonts w:ascii="Palatino Linotype" w:eastAsia="Calibri" w:hAnsi="Palatino Linotype"/>
          <w:bCs/>
          <w:i/>
          <w:color w:val="000000"/>
          <w:lang w:eastAsia="en-US"/>
        </w:rPr>
        <w:tab/>
        <w:t>Especificaciones de conversión de la firma electrónica avanzada a Base 64.</w:t>
      </w:r>
    </w:p>
    <w:p w14:paraId="7B88EAB9" w14:textId="77777777" w:rsidR="007E66E7" w:rsidRPr="00655A8C" w:rsidRDefault="007E66E7" w:rsidP="007E66E7">
      <w:pPr>
        <w:spacing w:line="360" w:lineRule="auto"/>
        <w:ind w:left="567" w:right="567"/>
        <w:jc w:val="both"/>
        <w:rPr>
          <w:rFonts w:ascii="Palatino Linotype" w:eastAsia="Calibri" w:hAnsi="Palatino Linotype"/>
          <w:bCs/>
          <w:i/>
          <w:color w:val="000000"/>
          <w:lang w:eastAsia="en-US"/>
        </w:rPr>
      </w:pPr>
      <w:r w:rsidRPr="00655A8C">
        <w:rPr>
          <w:rFonts w:ascii="Palatino Linotype" w:eastAsia="Calibri" w:hAnsi="Palatino Linotype"/>
          <w:bCs/>
          <w:i/>
          <w:color w:val="000000"/>
          <w:lang w:eastAsia="en-US"/>
        </w:rPr>
        <w:t>Para la generación de sellos digitales se utiliza criptografía de clave pública aplicada a una cadena original.</w:t>
      </w:r>
    </w:p>
    <w:p w14:paraId="4EA1A5FB" w14:textId="77777777" w:rsidR="007E66E7" w:rsidRPr="00655A8C" w:rsidRDefault="007E66E7" w:rsidP="007E66E7">
      <w:pPr>
        <w:spacing w:line="360" w:lineRule="auto"/>
        <w:ind w:left="567" w:right="567"/>
        <w:jc w:val="both"/>
        <w:rPr>
          <w:rFonts w:ascii="Palatino Linotype" w:eastAsia="Calibri" w:hAnsi="Palatino Linotype"/>
          <w:bCs/>
          <w:i/>
          <w:color w:val="000000"/>
          <w:lang w:eastAsia="en-US"/>
        </w:rPr>
      </w:pPr>
    </w:p>
    <w:p w14:paraId="2A6961E1" w14:textId="77777777" w:rsidR="007E66E7" w:rsidRPr="00655A8C" w:rsidRDefault="007E66E7" w:rsidP="007E66E7">
      <w:pPr>
        <w:spacing w:line="360" w:lineRule="auto"/>
        <w:ind w:left="567" w:right="567"/>
        <w:jc w:val="both"/>
        <w:rPr>
          <w:rFonts w:ascii="Palatino Linotype" w:eastAsia="Calibri" w:hAnsi="Palatino Linotype"/>
          <w:bCs/>
          <w:i/>
          <w:color w:val="000000"/>
          <w:lang w:eastAsia="en-US"/>
        </w:rPr>
      </w:pPr>
      <w:r w:rsidRPr="00655A8C">
        <w:rPr>
          <w:rFonts w:ascii="Palatino Linotype" w:eastAsia="Calibri" w:hAnsi="Palatino Linotype"/>
          <w:bCs/>
          <w:i/>
          <w:color w:val="000000"/>
          <w:lang w:eastAsia="en-US"/>
        </w:rPr>
        <w:t>Criptografía de la Clave Pública</w:t>
      </w:r>
    </w:p>
    <w:p w14:paraId="27DCCA75" w14:textId="77777777" w:rsidR="007E66E7" w:rsidRPr="00655A8C" w:rsidRDefault="007E66E7" w:rsidP="007E66E7">
      <w:pPr>
        <w:spacing w:line="360" w:lineRule="auto"/>
        <w:ind w:left="567" w:right="567"/>
        <w:jc w:val="both"/>
        <w:rPr>
          <w:rFonts w:ascii="Palatino Linotype" w:eastAsia="Calibri" w:hAnsi="Palatino Linotype"/>
          <w:bCs/>
          <w:i/>
          <w:color w:val="000000"/>
          <w:lang w:eastAsia="en-US"/>
        </w:rPr>
      </w:pPr>
      <w:r w:rsidRPr="00655A8C">
        <w:rPr>
          <w:rFonts w:ascii="Palatino Linotype" w:eastAsia="Calibri" w:hAnsi="Palatino Linotype"/>
          <w:bCs/>
          <w:i/>
          <w:color w:val="000000"/>
          <w:lang w:eastAsia="en-US"/>
        </w:rPr>
        <w:t>La criptografía de Clave Pública se basa en la generación de una pareja de números muy grandes relacionados íntimamente entre sí, de tal manera que una operación de encripción sobre un mensaje tomando como clave de encripción a uno de los dos números, produce un mensaje alterado en su significado que solo puede ser devuelto a su estado original mediante la operación de desencripción correspondiente tomando como clave de desencripción al otro número de la pareja.</w:t>
      </w:r>
    </w:p>
    <w:p w14:paraId="5C4FBC8D" w14:textId="77777777" w:rsidR="007E66E7" w:rsidRPr="00655A8C" w:rsidRDefault="007E66E7" w:rsidP="007E66E7">
      <w:pPr>
        <w:spacing w:line="360" w:lineRule="auto"/>
        <w:ind w:left="567" w:right="567"/>
        <w:jc w:val="both"/>
        <w:rPr>
          <w:rFonts w:ascii="Palatino Linotype" w:eastAsia="Calibri" w:hAnsi="Palatino Linotype"/>
          <w:bCs/>
          <w:i/>
          <w:color w:val="000000"/>
          <w:lang w:eastAsia="en-US"/>
        </w:rPr>
      </w:pPr>
      <w:r w:rsidRPr="00655A8C">
        <w:rPr>
          <w:rFonts w:ascii="Palatino Linotype" w:eastAsia="Calibri" w:hAnsi="Palatino Linotype"/>
          <w:bCs/>
          <w:i/>
          <w:color w:val="000000"/>
          <w:lang w:eastAsia="en-US"/>
        </w:rPr>
        <w:t>…”</w:t>
      </w:r>
    </w:p>
    <w:p w14:paraId="7A014316" w14:textId="77777777" w:rsidR="007E66E7" w:rsidRPr="00655A8C" w:rsidRDefault="007E66E7" w:rsidP="007E66E7">
      <w:pPr>
        <w:spacing w:line="360" w:lineRule="auto"/>
        <w:jc w:val="both"/>
        <w:rPr>
          <w:rFonts w:ascii="Palatino Linotype" w:eastAsia="Calibri" w:hAnsi="Palatino Linotype"/>
          <w:bCs/>
          <w:color w:val="000000"/>
          <w:lang w:eastAsia="en-US"/>
        </w:rPr>
      </w:pPr>
    </w:p>
    <w:p w14:paraId="1D77A957" w14:textId="0626CBC3" w:rsidR="007E66E7" w:rsidRDefault="007E66E7" w:rsidP="007E66E7">
      <w:pPr>
        <w:pStyle w:val="Prrafodelista"/>
        <w:numPr>
          <w:ilvl w:val="0"/>
          <w:numId w:val="11"/>
        </w:numPr>
        <w:spacing w:line="360" w:lineRule="auto"/>
        <w:ind w:left="0" w:firstLine="0"/>
        <w:jc w:val="both"/>
        <w:rPr>
          <w:rFonts w:ascii="Palatino Linotype" w:eastAsia="Calibri" w:hAnsi="Palatino Linotype"/>
          <w:bCs/>
          <w:color w:val="000000"/>
          <w:lang w:eastAsia="en-US"/>
        </w:rPr>
      </w:pPr>
      <w:r w:rsidRPr="00655A8C">
        <w:rPr>
          <w:rFonts w:ascii="Palatino Linotype" w:eastAsia="Calibri" w:hAnsi="Palatino Linotype"/>
          <w:bCs/>
          <w:color w:val="000000"/>
          <w:lang w:eastAsia="en-US"/>
        </w:rPr>
        <w:t xml:space="preserve">Es decir, por sí solos las cadenas originales y los sellos originales no contienen datos personales confidenciales, por lo que se considera que no actualizan en </w:t>
      </w:r>
      <w:r w:rsidRPr="00655A8C">
        <w:rPr>
          <w:rFonts w:ascii="Palatino Linotype" w:eastAsia="Calibri" w:hAnsi="Palatino Linotype"/>
          <w:bCs/>
          <w:color w:val="000000"/>
          <w:lang w:eastAsia="en-US"/>
        </w:rPr>
        <w:lastRenderedPageBreak/>
        <w:t>supuesto de confidencialidad previsto en el artículo 143, fracción I, de la Ley de Transparencia y Acceso a la Información Pública del Estado de México y Municipios y, por el contrario, son información que permite corroborar la legitimidad de la factura, de ser el caso, por lo que guardan el carácter de público.</w:t>
      </w:r>
    </w:p>
    <w:p w14:paraId="1963ACAB" w14:textId="77777777" w:rsidR="007E66E7" w:rsidRPr="00655A8C" w:rsidRDefault="007E66E7" w:rsidP="007E66E7">
      <w:pPr>
        <w:pStyle w:val="Prrafodelista"/>
        <w:spacing w:line="360" w:lineRule="auto"/>
        <w:ind w:left="0"/>
        <w:jc w:val="both"/>
        <w:rPr>
          <w:rFonts w:ascii="Palatino Linotype" w:eastAsia="Calibri" w:hAnsi="Palatino Linotype"/>
          <w:bCs/>
          <w:color w:val="000000"/>
          <w:lang w:eastAsia="en-US"/>
        </w:rPr>
      </w:pPr>
    </w:p>
    <w:p w14:paraId="12A83C4F" w14:textId="77777777" w:rsidR="007E66E7" w:rsidRPr="00655A8C" w:rsidRDefault="007E66E7" w:rsidP="007E66E7">
      <w:pPr>
        <w:pStyle w:val="Prrafodelista"/>
        <w:numPr>
          <w:ilvl w:val="0"/>
          <w:numId w:val="11"/>
        </w:numPr>
        <w:spacing w:line="360" w:lineRule="auto"/>
        <w:ind w:left="0" w:firstLine="0"/>
        <w:jc w:val="both"/>
        <w:rPr>
          <w:rFonts w:ascii="Palatino Linotype" w:eastAsia="Calibri" w:hAnsi="Palatino Linotype"/>
          <w:bCs/>
          <w:color w:val="000000"/>
          <w:lang w:eastAsia="en-US"/>
        </w:rPr>
      </w:pPr>
      <w:r w:rsidRPr="00655A8C">
        <w:rPr>
          <w:rFonts w:ascii="Palatino Linotype" w:eastAsia="Calibri" w:hAnsi="Palatino Linotype"/>
          <w:bCs/>
          <w:color w:val="000000"/>
          <w:lang w:eastAsia="en-US"/>
        </w:rPr>
        <w:t>Como se logra observar, el Sujeto Obligado testo datos de naturaleza pública, tales como, los sellos digitales del emisor y del Servicio de Administración Tributaria y cadena original del complemento de certificación digital del órgano previamente señalado, por lo que, deberá entregar el recibo de la segunda quincena de enero de dos mil veintidós, en versión pública</w:t>
      </w:r>
      <w:r w:rsidRPr="00655A8C">
        <w:rPr>
          <w:rFonts w:ascii="Palatino Linotype" w:eastAsia="Calibri" w:hAnsi="Palatino Linotype"/>
          <w:bCs/>
          <w:color w:val="000000"/>
          <w:lang w:val="es-MX" w:eastAsia="en-US"/>
        </w:rPr>
        <w:t xml:space="preserve">, en donde únicamente podrá clasificar </w:t>
      </w:r>
      <w:r w:rsidRPr="00655A8C">
        <w:rPr>
          <w:rFonts w:ascii="Palatino Linotype" w:eastAsia="Calibri" w:hAnsi="Palatino Linotype"/>
          <w:bCs/>
          <w:color w:val="000000"/>
          <w:lang w:eastAsia="en-US"/>
        </w:rPr>
        <w:t>como confidencial, la Clave Única de Registro de Población, el Registro Federal de Contribuyentes, el número de seguridad social del Instituto de Seguridad Social del Estado de México y Municipios y el Código Bidimensional o QR, en términos del artículo referido en el párrafo anterior.</w:t>
      </w:r>
    </w:p>
    <w:p w14:paraId="5B1E6409" w14:textId="77777777" w:rsidR="007E66E7" w:rsidRPr="00655A8C" w:rsidRDefault="007E66E7" w:rsidP="007E66E7">
      <w:pPr>
        <w:pStyle w:val="Prrafodelista"/>
        <w:spacing w:line="360" w:lineRule="auto"/>
        <w:ind w:left="0"/>
        <w:jc w:val="both"/>
        <w:rPr>
          <w:rFonts w:ascii="Palatino Linotype" w:eastAsia="Calibri" w:hAnsi="Palatino Linotype"/>
          <w:bCs/>
          <w:color w:val="000000"/>
          <w:lang w:eastAsia="en-US"/>
        </w:rPr>
      </w:pPr>
    </w:p>
    <w:p w14:paraId="37F09618" w14:textId="77777777" w:rsidR="007E66E7" w:rsidRPr="00655A8C" w:rsidRDefault="007E66E7" w:rsidP="007E66E7">
      <w:pPr>
        <w:pStyle w:val="Prrafodelista"/>
        <w:numPr>
          <w:ilvl w:val="0"/>
          <w:numId w:val="11"/>
        </w:numPr>
        <w:spacing w:line="360" w:lineRule="auto"/>
        <w:ind w:left="0" w:firstLine="0"/>
        <w:jc w:val="both"/>
        <w:rPr>
          <w:rFonts w:ascii="Palatino Linotype" w:eastAsia="Calibri" w:hAnsi="Palatino Linotype"/>
          <w:bCs/>
          <w:color w:val="000000"/>
          <w:lang w:eastAsia="en-US"/>
        </w:rPr>
      </w:pPr>
      <w:r w:rsidRPr="00655A8C">
        <w:rPr>
          <w:rFonts w:ascii="Palatino Linotype" w:eastAsia="Calibri" w:hAnsi="Palatino Linotype"/>
          <w:bCs/>
          <w:iCs/>
          <w:color w:val="000000"/>
          <w:lang w:eastAsia="en-US"/>
        </w:rPr>
        <w:t>Para tal situación, el Sujeto Obligado deberá seguir el procedimiento establecido en el artículo 168 de dicho ordenamiento jurídico; esto es, que el área competente deberá elaborar la versión pública, así como emitir el Acuerdo, por parte del Comité de Transparencia, donde confirme la clasificación de los datos, fundando y motivando la clasificación.</w:t>
      </w:r>
    </w:p>
    <w:p w14:paraId="23BAF4FB" w14:textId="77777777" w:rsidR="007E66E7" w:rsidRPr="00655A8C" w:rsidRDefault="007E66E7" w:rsidP="007E66E7">
      <w:pPr>
        <w:spacing w:after="120" w:line="360" w:lineRule="auto"/>
        <w:contextualSpacing/>
        <w:jc w:val="both"/>
        <w:rPr>
          <w:rFonts w:ascii="Palatino Linotype" w:eastAsia="MS Mincho" w:hAnsi="Palatino Linotype" w:cs="Arial"/>
          <w:color w:val="000000"/>
        </w:rPr>
      </w:pPr>
    </w:p>
    <w:p w14:paraId="565507FD" w14:textId="77777777" w:rsidR="007E66E7" w:rsidRPr="00C05029" w:rsidRDefault="007E66E7" w:rsidP="007E66E7">
      <w:pPr>
        <w:pStyle w:val="Ttulo1"/>
        <w:rPr>
          <w:rFonts w:ascii="Palatino Linotype" w:hAnsi="Palatino Linotype"/>
          <w:b/>
          <w:color w:val="000000" w:themeColor="text1"/>
          <w:sz w:val="24"/>
          <w:szCs w:val="24"/>
        </w:rPr>
      </w:pPr>
      <w:bookmarkStart w:id="160" w:name="_Toc63348485"/>
      <w:bookmarkStart w:id="161" w:name="_Toc67598522"/>
      <w:bookmarkStart w:id="162" w:name="_Toc69999211"/>
      <w:bookmarkStart w:id="163" w:name="_Toc73033020"/>
      <w:bookmarkStart w:id="164" w:name="_Toc83127121"/>
      <w:bookmarkStart w:id="165" w:name="_Toc96007414"/>
      <w:bookmarkStart w:id="166" w:name="_Toc98429035"/>
      <w:bookmarkStart w:id="167" w:name="_Toc102008276"/>
      <w:bookmarkStart w:id="168" w:name="_Toc103821660"/>
      <w:r w:rsidRPr="00C05029">
        <w:rPr>
          <w:rFonts w:ascii="Palatino Linotype" w:hAnsi="Palatino Linotype"/>
          <w:b/>
          <w:color w:val="000000" w:themeColor="text1"/>
          <w:sz w:val="24"/>
          <w:szCs w:val="24"/>
        </w:rPr>
        <w:lastRenderedPageBreak/>
        <w:t>h) De la firma de los servidores públicos.</w:t>
      </w:r>
      <w:bookmarkEnd w:id="160"/>
      <w:bookmarkEnd w:id="161"/>
      <w:bookmarkEnd w:id="162"/>
      <w:bookmarkEnd w:id="163"/>
      <w:bookmarkEnd w:id="164"/>
      <w:bookmarkEnd w:id="165"/>
      <w:bookmarkEnd w:id="166"/>
      <w:bookmarkEnd w:id="167"/>
      <w:bookmarkEnd w:id="168"/>
    </w:p>
    <w:p w14:paraId="172067B4" w14:textId="77777777" w:rsidR="007E66E7" w:rsidRPr="00655A8C" w:rsidRDefault="007E66E7" w:rsidP="007E66E7">
      <w:pPr>
        <w:keepNext/>
        <w:keepLines/>
        <w:spacing w:before="240" w:line="360" w:lineRule="auto"/>
        <w:outlineLvl w:val="0"/>
        <w:rPr>
          <w:rFonts w:ascii="Palatino Linotype" w:hAnsi="Palatino Linotype"/>
          <w:b/>
          <w:color w:val="000000"/>
          <w:lang w:val="es-ES_tradnl"/>
        </w:rPr>
      </w:pPr>
    </w:p>
    <w:p w14:paraId="5137225B" w14:textId="77777777" w:rsidR="007E66E7" w:rsidRPr="00655A8C" w:rsidRDefault="007E66E7" w:rsidP="007E66E7">
      <w:pPr>
        <w:pStyle w:val="Prrafodelista"/>
        <w:numPr>
          <w:ilvl w:val="0"/>
          <w:numId w:val="11"/>
        </w:numPr>
        <w:tabs>
          <w:tab w:val="left" w:pos="567"/>
        </w:tabs>
        <w:spacing w:after="160" w:line="360" w:lineRule="auto"/>
        <w:ind w:left="0" w:firstLine="0"/>
        <w:contextualSpacing/>
        <w:jc w:val="both"/>
        <w:rPr>
          <w:rFonts w:ascii="Palatino Linotype" w:hAnsi="Palatino Linotype"/>
          <w:b/>
          <w:lang w:val="es-ES_tradnl"/>
        </w:rPr>
      </w:pPr>
      <w:r w:rsidRPr="00655A8C">
        <w:rPr>
          <w:rFonts w:ascii="Palatino Linotype" w:eastAsia="MS Mincho" w:hAnsi="Palatino Linotype"/>
          <w:lang w:val="es-ES_tradnl"/>
        </w:rPr>
        <w:t xml:space="preserve">En lo referente a la firma de los servidores públicos es necesario precisar que si bien la firma pudiera corresponder a un dato personal cuando se trata de servidores púbicos dicha consideración se encuentra limitada, lo anterior ya que en ejercicio de sus obligaciones y atribuciones desempeña diversos actos mismos que únicamente se validan a través de su rúbrica o firma, por lo que la misma es publica, sirve de apoyo a lo anterior el siguiente criterio orientador: </w:t>
      </w:r>
    </w:p>
    <w:p w14:paraId="4B2DDF37" w14:textId="77777777" w:rsidR="007E66E7" w:rsidRPr="00655A8C" w:rsidRDefault="007E66E7" w:rsidP="007E66E7">
      <w:pPr>
        <w:tabs>
          <w:tab w:val="left" w:pos="567"/>
        </w:tabs>
        <w:spacing w:line="360" w:lineRule="auto"/>
        <w:contextualSpacing/>
        <w:jc w:val="both"/>
        <w:rPr>
          <w:rFonts w:ascii="Palatino Linotype" w:hAnsi="Palatino Linotype"/>
          <w:b/>
          <w:lang w:val="es-ES_tradnl"/>
        </w:rPr>
      </w:pPr>
    </w:p>
    <w:p w14:paraId="39D918DF" w14:textId="77777777" w:rsidR="007E66E7" w:rsidRPr="00655A8C" w:rsidRDefault="007E66E7" w:rsidP="007E66E7">
      <w:pPr>
        <w:tabs>
          <w:tab w:val="left" w:pos="567"/>
        </w:tabs>
        <w:spacing w:line="360" w:lineRule="auto"/>
        <w:ind w:left="567" w:right="616"/>
        <w:jc w:val="both"/>
        <w:rPr>
          <w:rFonts w:ascii="Palatino Linotype" w:hAnsi="Palatino Linotype"/>
          <w:i/>
          <w:color w:val="000000"/>
          <w:lang w:val="es-MX"/>
        </w:rPr>
      </w:pPr>
      <w:r w:rsidRPr="00655A8C">
        <w:rPr>
          <w:rFonts w:ascii="Palatino Linotype" w:hAnsi="Palatino Linotype"/>
          <w:i/>
          <w:color w:val="000000"/>
          <w:lang w:val="es-MX"/>
        </w:rPr>
        <w:t>“</w:t>
      </w:r>
      <w:r w:rsidRPr="00655A8C">
        <w:rPr>
          <w:rFonts w:ascii="Palatino Linotype" w:hAnsi="Palatino Linotype"/>
          <w:b/>
          <w:i/>
          <w:color w:val="000000"/>
          <w:lang w:val="es-MX"/>
        </w:rPr>
        <w:t>Firma y rúbrica de servidores públicos. Si bien la firma y la rúbrica son datos personales confidenciales, cuando un servidor público emite un acto como autoridad, en ejercicio de las funciones que tiene conferidas, la firma o rúbrica mediante la cual se valida dicho acto es pública</w:t>
      </w:r>
      <w:r w:rsidRPr="00655A8C">
        <w:rPr>
          <w:rFonts w:ascii="Palatino Linotype" w:hAnsi="Palatino Linotype"/>
          <w:i/>
          <w:color w:val="000000"/>
          <w:lang w:val="es-MX"/>
        </w:rPr>
        <w:t>.</w:t>
      </w:r>
      <w:r w:rsidRPr="00655A8C">
        <w:rPr>
          <w:rFonts w:ascii="Palatino Linotype" w:hAnsi="Palatino Linotype"/>
          <w:bCs/>
          <w:i/>
          <w:color w:val="000000"/>
          <w:lang w:val="es-MX"/>
        </w:rPr>
        <w:t xml:space="preserve"> “</w:t>
      </w:r>
    </w:p>
    <w:p w14:paraId="589BFF52" w14:textId="77777777" w:rsidR="007E66E7" w:rsidRPr="00655A8C" w:rsidRDefault="007E66E7" w:rsidP="007E66E7">
      <w:pPr>
        <w:spacing w:line="360" w:lineRule="auto"/>
        <w:contextualSpacing/>
        <w:jc w:val="both"/>
        <w:rPr>
          <w:rFonts w:ascii="Palatino Linotype" w:eastAsia="MS Mincho" w:hAnsi="Palatino Linotype"/>
          <w:lang w:val="es-ES_tradnl"/>
        </w:rPr>
      </w:pPr>
    </w:p>
    <w:p w14:paraId="739EE499" w14:textId="77777777" w:rsidR="007E66E7" w:rsidRPr="00655A8C" w:rsidRDefault="007E66E7" w:rsidP="007E66E7">
      <w:pPr>
        <w:numPr>
          <w:ilvl w:val="0"/>
          <w:numId w:val="11"/>
        </w:numPr>
        <w:spacing w:after="160" w:line="360" w:lineRule="auto"/>
        <w:ind w:left="0" w:firstLine="0"/>
        <w:contextualSpacing/>
        <w:jc w:val="both"/>
        <w:rPr>
          <w:rFonts w:ascii="Palatino Linotype" w:eastAsia="MS Mincho" w:hAnsi="Palatino Linotype"/>
          <w:lang w:val="es-ES_tradnl"/>
        </w:rPr>
      </w:pPr>
      <w:r w:rsidRPr="00655A8C">
        <w:rPr>
          <w:rFonts w:ascii="Palatino Linotype" w:eastAsia="MS Mincho" w:hAnsi="Palatino Linotype"/>
          <w:lang w:val="es-ES_tradnl"/>
        </w:rPr>
        <w:t xml:space="preserve">En ese mismo sentido los </w:t>
      </w:r>
      <w:r w:rsidRPr="00655A8C">
        <w:rPr>
          <w:rFonts w:ascii="Palatino Linotype" w:hAnsi="Palatino Linotype" w:cs="Arial"/>
          <w:b/>
          <w:lang w:val="es-ES_tradnl"/>
        </w:rPr>
        <w:t xml:space="preserve">Lineamientos Generales en Materia de Clasificación y Desclasificación de la Información, así como para la Elaboración de Versiones Públicas </w:t>
      </w:r>
      <w:r w:rsidRPr="00655A8C">
        <w:rPr>
          <w:rFonts w:ascii="Palatino Linotype" w:hAnsi="Palatino Linotype" w:cs="Arial"/>
          <w:lang w:val="es-ES_tradnl"/>
        </w:rPr>
        <w:t>que señalan lo siguiente:</w:t>
      </w:r>
    </w:p>
    <w:p w14:paraId="31B4AC6E" w14:textId="77777777" w:rsidR="007E66E7" w:rsidRPr="00655A8C" w:rsidRDefault="007E66E7" w:rsidP="007E66E7">
      <w:pPr>
        <w:spacing w:line="360" w:lineRule="auto"/>
        <w:contextualSpacing/>
        <w:jc w:val="both"/>
        <w:rPr>
          <w:rFonts w:ascii="Palatino Linotype" w:eastAsia="MS Mincho" w:hAnsi="Palatino Linotype"/>
          <w:lang w:val="es-ES_tradnl"/>
        </w:rPr>
      </w:pPr>
    </w:p>
    <w:p w14:paraId="7B47D2B2" w14:textId="77777777" w:rsidR="007E66E7" w:rsidRPr="00655A8C" w:rsidRDefault="007E66E7" w:rsidP="007E66E7">
      <w:pPr>
        <w:shd w:val="clear" w:color="auto" w:fill="FFFFFF"/>
        <w:spacing w:after="200" w:line="360" w:lineRule="auto"/>
        <w:ind w:left="567" w:right="567"/>
        <w:jc w:val="both"/>
        <w:rPr>
          <w:rFonts w:ascii="Palatino Linotype" w:hAnsi="Palatino Linotype" w:cs="Arial"/>
          <w:i/>
          <w:lang w:val="es-ES_tradnl"/>
        </w:rPr>
      </w:pPr>
      <w:r w:rsidRPr="00655A8C">
        <w:rPr>
          <w:rFonts w:ascii="Palatino Linotype" w:hAnsi="Palatino Linotype" w:cs="Arial"/>
          <w:b/>
          <w:i/>
          <w:lang w:val="es-ES_tradnl"/>
        </w:rPr>
        <w:t>Quincuagésimo séptimo</w:t>
      </w:r>
      <w:r w:rsidRPr="00655A8C">
        <w:rPr>
          <w:rFonts w:ascii="Palatino Linotype" w:hAnsi="Palatino Linotype" w:cs="Arial"/>
          <w:i/>
          <w:lang w:val="es-ES_tradnl"/>
        </w:rPr>
        <w:t xml:space="preserve">. </w:t>
      </w:r>
      <w:r w:rsidRPr="00655A8C">
        <w:rPr>
          <w:rFonts w:ascii="Palatino Linotype" w:hAnsi="Palatino Linotype" w:cs="Arial"/>
          <w:b/>
          <w:i/>
          <w:lang w:val="es-ES_tradnl"/>
        </w:rPr>
        <w:t>Se considera, en principio, como información pública</w:t>
      </w:r>
      <w:r w:rsidRPr="00655A8C">
        <w:rPr>
          <w:rFonts w:ascii="Palatino Linotype" w:hAnsi="Palatino Linotype" w:cs="Arial"/>
          <w:i/>
          <w:lang w:val="es-ES_tradnl"/>
        </w:rPr>
        <w:t xml:space="preserve"> y no podrá omitirse de las versiones públicas la siguiente:</w:t>
      </w:r>
    </w:p>
    <w:p w14:paraId="0D6AF599" w14:textId="77777777" w:rsidR="007E66E7" w:rsidRPr="00655A8C" w:rsidRDefault="007E66E7" w:rsidP="007E66E7">
      <w:pPr>
        <w:shd w:val="clear" w:color="auto" w:fill="FFFFFF"/>
        <w:spacing w:after="200" w:line="360" w:lineRule="auto"/>
        <w:ind w:left="567" w:right="567"/>
        <w:jc w:val="both"/>
        <w:rPr>
          <w:rFonts w:ascii="Palatino Linotype" w:hAnsi="Palatino Linotype" w:cs="Arial"/>
          <w:i/>
          <w:lang w:val="es-ES_tradnl"/>
        </w:rPr>
      </w:pPr>
      <w:r w:rsidRPr="00655A8C">
        <w:rPr>
          <w:rFonts w:ascii="Palatino Linotype" w:hAnsi="Palatino Linotype" w:cs="Arial"/>
          <w:i/>
          <w:lang w:val="es-ES_tradnl"/>
        </w:rPr>
        <w:t>La relativa a las Obligaciones de Transparencia que contempla el Título V de la Ley General y las demás disposiciones legales aplicables;</w:t>
      </w:r>
    </w:p>
    <w:p w14:paraId="5B5C96AB" w14:textId="77777777" w:rsidR="007E66E7" w:rsidRPr="00655A8C" w:rsidRDefault="007E66E7" w:rsidP="007E66E7">
      <w:pPr>
        <w:shd w:val="clear" w:color="auto" w:fill="FFFFFF"/>
        <w:spacing w:after="200" w:line="360" w:lineRule="auto"/>
        <w:ind w:left="567" w:right="567"/>
        <w:jc w:val="both"/>
        <w:rPr>
          <w:rFonts w:ascii="Palatino Linotype" w:hAnsi="Palatino Linotype" w:cs="Arial"/>
          <w:b/>
          <w:i/>
          <w:lang w:val="es-ES_tradnl"/>
        </w:rPr>
      </w:pPr>
      <w:r w:rsidRPr="00655A8C">
        <w:rPr>
          <w:rFonts w:ascii="Palatino Linotype" w:hAnsi="Palatino Linotype" w:cs="Arial"/>
          <w:b/>
          <w:i/>
          <w:lang w:val="es-ES_tradnl"/>
        </w:rPr>
        <w:lastRenderedPageBreak/>
        <w:t>El nombre de los servidores públicos en los documentos, y sus firmas autógrafas, cuando sean utilizados en el ejercicio de las facultades conferidas para el desempeño del servicio público, y</w:t>
      </w:r>
    </w:p>
    <w:p w14:paraId="0A0CFEC8" w14:textId="77777777" w:rsidR="007E66E7" w:rsidRPr="00655A8C" w:rsidRDefault="007E66E7" w:rsidP="007E66E7">
      <w:pPr>
        <w:shd w:val="clear" w:color="auto" w:fill="FFFFFF"/>
        <w:spacing w:after="200" w:line="360" w:lineRule="auto"/>
        <w:ind w:left="567" w:right="567"/>
        <w:jc w:val="both"/>
        <w:rPr>
          <w:rFonts w:ascii="Palatino Linotype" w:hAnsi="Palatino Linotype" w:cs="Arial"/>
          <w:b/>
          <w:i/>
          <w:lang w:val="es-ES_tradnl"/>
        </w:rPr>
      </w:pPr>
      <w:r w:rsidRPr="00655A8C">
        <w:rPr>
          <w:rFonts w:ascii="Palatino Linotype" w:hAnsi="Palatino Linotype" w:cs="Arial"/>
          <w:b/>
          <w:i/>
          <w:lang w:val="es-ES_tradnl"/>
        </w:rPr>
        <w:t>La información que documente decisiones y los actos de autoridad concluidos de los sujetos obligados, así como el ejercicio de las facultades o actividades de los servidores públicos, de manera que se pueda valorar el desempeño de los mismos.</w:t>
      </w:r>
    </w:p>
    <w:p w14:paraId="2F96FE46" w14:textId="77777777" w:rsidR="007E66E7" w:rsidRPr="00655A8C" w:rsidRDefault="007E66E7" w:rsidP="007E66E7">
      <w:pPr>
        <w:shd w:val="clear" w:color="auto" w:fill="FFFFFF"/>
        <w:spacing w:after="200" w:line="360" w:lineRule="auto"/>
        <w:ind w:left="567" w:right="567"/>
        <w:jc w:val="both"/>
        <w:rPr>
          <w:rFonts w:ascii="Palatino Linotype" w:hAnsi="Palatino Linotype" w:cs="Arial"/>
          <w:i/>
          <w:lang w:val="es-ES_tradnl"/>
        </w:rPr>
      </w:pPr>
      <w:r w:rsidRPr="00655A8C">
        <w:rPr>
          <w:rFonts w:ascii="Palatino Linotype" w:hAnsi="Palatino Linotype" w:cs="Arial"/>
          <w:i/>
          <w:lang w:val="es-ES_tradnl"/>
        </w:rPr>
        <w:t>Lo anterior, siempre y cuando no se acredite alguna causal de clasificación, prevista en las leyes o en los tratados internaciones suscritos por el Estado mexicano.</w:t>
      </w:r>
    </w:p>
    <w:p w14:paraId="4EA57F12" w14:textId="77777777" w:rsidR="007E66E7" w:rsidRPr="00655A8C" w:rsidRDefault="007E66E7" w:rsidP="007E66E7">
      <w:pPr>
        <w:numPr>
          <w:ilvl w:val="0"/>
          <w:numId w:val="11"/>
        </w:numPr>
        <w:spacing w:after="160" w:line="360" w:lineRule="auto"/>
        <w:ind w:left="0" w:firstLine="0"/>
        <w:contextualSpacing/>
        <w:jc w:val="both"/>
        <w:rPr>
          <w:rFonts w:ascii="Palatino Linotype" w:eastAsia="MS Mincho" w:hAnsi="Palatino Linotype"/>
          <w:lang w:val="es-ES_tradnl"/>
        </w:rPr>
      </w:pPr>
      <w:r w:rsidRPr="00655A8C">
        <w:rPr>
          <w:rFonts w:ascii="Palatino Linotype" w:eastAsia="MS Mincho" w:hAnsi="Palatino Linotype"/>
          <w:lang w:val="es-ES_tradnl"/>
        </w:rPr>
        <w:t xml:space="preserve">Por lo tanto, si la firma contenida en un documento generado con motivo de las funciones u obligaciones de los servidores públicos corresponde a información pública, en ese contexto la entrega de dichos documentos deberá ser en situaciones posteriores en versión pública, pero sin testar los nombres y las firmas correspondientes a los servidores públicos que aparezcan en los mismos. </w:t>
      </w:r>
    </w:p>
    <w:p w14:paraId="7F937681" w14:textId="7FA518A5" w:rsidR="00BB4D28" w:rsidRPr="00E572BA" w:rsidRDefault="00BB4D28" w:rsidP="00BB4D28">
      <w:pPr>
        <w:spacing w:after="160" w:line="360" w:lineRule="auto"/>
        <w:ind w:right="-93"/>
        <w:contextualSpacing/>
        <w:jc w:val="both"/>
        <w:rPr>
          <w:rFonts w:ascii="Palatino Linotype" w:eastAsia="Calibri" w:hAnsi="Palatino Linotype" w:cs="Arial"/>
          <w:lang w:val="es-ES_tradnl" w:eastAsia="en-US"/>
        </w:rPr>
      </w:pPr>
    </w:p>
    <w:p w14:paraId="5736268D" w14:textId="77777777" w:rsidR="00BB4D28" w:rsidRPr="00E572BA" w:rsidRDefault="00BB4D28" w:rsidP="00BB4D28">
      <w:pPr>
        <w:keepNext/>
        <w:keepLines/>
        <w:spacing w:before="240" w:line="360" w:lineRule="auto"/>
        <w:outlineLvl w:val="0"/>
        <w:rPr>
          <w:rFonts w:ascii="Palatino Linotype" w:eastAsia="MS Mincho" w:hAnsi="Palatino Linotype" w:cstheme="majorBidi"/>
          <w:b/>
          <w:color w:val="000000"/>
          <w:lang w:val="es-ES_tradnl"/>
        </w:rPr>
      </w:pPr>
      <w:bookmarkStart w:id="169" w:name="_Toc34310247"/>
      <w:bookmarkStart w:id="170" w:name="_Toc34849558"/>
      <w:bookmarkStart w:id="171" w:name="_Toc53659481"/>
      <w:bookmarkStart w:id="172" w:name="_Toc67598514"/>
      <w:bookmarkStart w:id="173" w:name="_Toc69999203"/>
      <w:bookmarkStart w:id="174" w:name="_Toc73033012"/>
      <w:bookmarkStart w:id="175" w:name="_Toc102008278"/>
      <w:bookmarkStart w:id="176" w:name="_Toc102644154"/>
      <w:bookmarkStart w:id="177" w:name="_Toc103877295"/>
      <w:bookmarkStart w:id="178" w:name="_Toc466371865"/>
      <w:bookmarkStart w:id="179" w:name="_Toc466377653"/>
      <w:r>
        <w:rPr>
          <w:rFonts w:ascii="Palatino Linotype" w:eastAsia="MS Gothic" w:hAnsi="Palatino Linotype" w:cstheme="majorBidi"/>
          <w:b/>
          <w:lang w:val="es-ES_tradnl" w:eastAsia="es-ES_tradnl"/>
        </w:rPr>
        <w:t>SEXTO</w:t>
      </w:r>
      <w:r w:rsidRPr="00E572BA">
        <w:rPr>
          <w:rFonts w:ascii="Palatino Linotype" w:eastAsia="MS Gothic" w:hAnsi="Palatino Linotype" w:cstheme="majorBidi"/>
          <w:b/>
          <w:lang w:val="es-ES_tradnl" w:eastAsia="es-ES_tradnl"/>
        </w:rPr>
        <w:t xml:space="preserve">. </w:t>
      </w:r>
      <w:bookmarkStart w:id="180" w:name="_Toc67588008"/>
      <w:bookmarkStart w:id="181" w:name="_Toc68804770"/>
      <w:bookmarkEnd w:id="169"/>
      <w:bookmarkEnd w:id="170"/>
      <w:bookmarkEnd w:id="171"/>
      <w:bookmarkEnd w:id="172"/>
      <w:bookmarkEnd w:id="173"/>
      <w:bookmarkEnd w:id="174"/>
      <w:r w:rsidRPr="00E572BA">
        <w:rPr>
          <w:rFonts w:ascii="Palatino Linotype" w:eastAsia="MS Mincho" w:hAnsi="Palatino Linotype" w:cstheme="majorBidi"/>
          <w:b/>
          <w:color w:val="000000"/>
          <w:lang w:val="es-ES_tradnl"/>
        </w:rPr>
        <w:t>De la decisión.</w:t>
      </w:r>
      <w:bookmarkEnd w:id="175"/>
      <w:bookmarkEnd w:id="176"/>
      <w:bookmarkEnd w:id="177"/>
      <w:bookmarkEnd w:id="180"/>
      <w:bookmarkEnd w:id="181"/>
      <w:r w:rsidRPr="00E572BA">
        <w:rPr>
          <w:rFonts w:ascii="Palatino Linotype" w:eastAsia="MS Mincho" w:hAnsi="Palatino Linotype" w:cstheme="majorBidi"/>
          <w:b/>
          <w:color w:val="000000"/>
          <w:lang w:val="es-ES_tradnl"/>
        </w:rPr>
        <w:t xml:space="preserve"> </w:t>
      </w:r>
    </w:p>
    <w:p w14:paraId="5371DA72" w14:textId="77777777" w:rsidR="00BB4D28" w:rsidRPr="00E572BA" w:rsidRDefault="00BB4D28" w:rsidP="00BB4D28">
      <w:pPr>
        <w:rPr>
          <w:rFonts w:eastAsia="MS Mincho"/>
          <w:lang w:val="es-ES_tradnl"/>
        </w:rPr>
      </w:pPr>
    </w:p>
    <w:p w14:paraId="423D1508" w14:textId="1B8828FC" w:rsidR="00CF3E37" w:rsidRPr="00CF3E37" w:rsidRDefault="00BB4D28" w:rsidP="007E66E7">
      <w:pPr>
        <w:numPr>
          <w:ilvl w:val="0"/>
          <w:numId w:val="11"/>
        </w:numPr>
        <w:shd w:val="clear" w:color="auto" w:fill="FFFFFF"/>
        <w:tabs>
          <w:tab w:val="left" w:pos="0"/>
        </w:tabs>
        <w:spacing w:before="240" w:after="240" w:line="360" w:lineRule="auto"/>
        <w:ind w:left="0" w:right="49" w:firstLine="0"/>
        <w:jc w:val="both"/>
        <w:rPr>
          <w:rFonts w:ascii="Palatino Linotype" w:eastAsia="MS Mincho" w:hAnsi="Palatino Linotype"/>
          <w:i/>
          <w:iCs/>
          <w:color w:val="000000"/>
          <w:lang w:val="es-ES_tradnl"/>
        </w:rPr>
      </w:pPr>
      <w:r w:rsidRPr="00E572BA">
        <w:rPr>
          <w:rFonts w:ascii="Palatino Linotype" w:hAnsi="Palatino Linotype" w:cs="Tahoma"/>
          <w:lang w:val="es-MX"/>
        </w:rPr>
        <w:t>Con base en todo lo expuesto, y con fundamento en el artículo 186, fracción III, de la Ley de Transparencia y Acceso a la Información Pública del Estado de México y Municipios, este Instituto considera procedente</w:t>
      </w:r>
      <w:r w:rsidR="00CF3E37">
        <w:rPr>
          <w:rFonts w:ascii="Palatino Linotype" w:hAnsi="Palatino Linotype" w:cs="Tahoma"/>
          <w:b/>
          <w:lang w:val="es-MX"/>
        </w:rPr>
        <w:t xml:space="preserve"> REVOCAR</w:t>
      </w:r>
      <w:r w:rsidRPr="00E572BA">
        <w:rPr>
          <w:rFonts w:ascii="Palatino Linotype" w:hAnsi="Palatino Linotype" w:cs="Tahoma"/>
          <w:b/>
          <w:lang w:val="es-MX"/>
        </w:rPr>
        <w:t xml:space="preserve"> </w:t>
      </w:r>
      <w:r w:rsidRPr="00E572BA">
        <w:rPr>
          <w:rFonts w:ascii="Palatino Linotype" w:hAnsi="Palatino Linotype" w:cs="Tahoma"/>
          <w:lang w:val="es-MX"/>
        </w:rPr>
        <w:t>la respuesta otorgada por el</w:t>
      </w:r>
      <w:r w:rsidRPr="00E572BA">
        <w:rPr>
          <w:rFonts w:ascii="Verdana" w:hAnsi="Verdana"/>
          <w:b/>
          <w:bCs/>
          <w:color w:val="000000"/>
          <w:sz w:val="14"/>
          <w:szCs w:val="14"/>
        </w:rPr>
        <w:t xml:space="preserve"> </w:t>
      </w:r>
      <w:r w:rsidR="00CF3E37" w:rsidRPr="00CF3E37">
        <w:rPr>
          <w:rFonts w:ascii="Palatino Linotype" w:hAnsi="Palatino Linotype"/>
          <w:b/>
          <w:bCs/>
          <w:color w:val="000000"/>
        </w:rPr>
        <w:t>Ayuntamiento de Texcaltitlán</w:t>
      </w:r>
      <w:r w:rsidR="00CF3E37">
        <w:rPr>
          <w:rFonts w:ascii="Verdana" w:hAnsi="Verdana"/>
          <w:b/>
          <w:bCs/>
          <w:color w:val="000000"/>
          <w:sz w:val="14"/>
          <w:szCs w:val="14"/>
        </w:rPr>
        <w:t xml:space="preserve"> </w:t>
      </w:r>
      <w:r w:rsidR="00CF3E37">
        <w:rPr>
          <w:rFonts w:ascii="Palatino Linotype" w:eastAsia="MS Mincho" w:hAnsi="Palatino Linotype"/>
          <w:lang w:val="es-ES_tradnl"/>
        </w:rPr>
        <w:t xml:space="preserve">y ordenar la entrega de </w:t>
      </w:r>
      <w:r w:rsidR="00CF3E37" w:rsidRPr="009627F4">
        <w:rPr>
          <w:rFonts w:ascii="Palatino Linotype" w:eastAsia="MS Mincho" w:hAnsi="Palatino Linotype"/>
          <w:color w:val="000000"/>
          <w:lang w:val="es-ES_tradnl"/>
        </w:rPr>
        <w:t xml:space="preserve">las nóminas </w:t>
      </w:r>
      <w:r w:rsidR="00CF3E37" w:rsidRPr="009627F4">
        <w:rPr>
          <w:rFonts w:ascii="Palatino Linotype" w:eastAsia="MS Mincho" w:hAnsi="Palatino Linotype"/>
          <w:color w:val="000000"/>
          <w:lang w:val="es-ES_tradnl"/>
        </w:rPr>
        <w:lastRenderedPageBreak/>
        <w:t>genera de la servidora pública referida en la solicitud de información desde la fecha de su ingreso al cuatro (04) de marzo de dos mil veintidós</w:t>
      </w:r>
    </w:p>
    <w:p w14:paraId="1E5C3113" w14:textId="77777777" w:rsidR="00BB4D28" w:rsidRPr="00E572BA" w:rsidRDefault="00BB4D28" w:rsidP="007E66E7">
      <w:pPr>
        <w:numPr>
          <w:ilvl w:val="0"/>
          <w:numId w:val="11"/>
        </w:numPr>
        <w:shd w:val="clear" w:color="auto" w:fill="FFFFFF"/>
        <w:tabs>
          <w:tab w:val="left" w:pos="0"/>
        </w:tabs>
        <w:spacing w:before="240" w:after="240" w:line="360" w:lineRule="auto"/>
        <w:ind w:left="0" w:right="49" w:firstLine="0"/>
        <w:jc w:val="both"/>
        <w:rPr>
          <w:rFonts w:ascii="Palatino Linotype" w:eastAsia="MS Mincho" w:hAnsi="Palatino Linotype"/>
          <w:i/>
          <w:iCs/>
          <w:color w:val="000000"/>
          <w:lang w:val="es-ES_tradnl"/>
        </w:rPr>
      </w:pPr>
      <w:r w:rsidRPr="00E572BA">
        <w:rPr>
          <w:rFonts w:ascii="Palatino Linotype" w:eastAsia="MS Mincho" w:hAnsi="Palatino Linotype"/>
          <w:color w:val="000000"/>
        </w:rPr>
        <w:t xml:space="preserve">Por lo anteriormente expuesto y fundado, este </w:t>
      </w:r>
      <w:r w:rsidRPr="00E572BA">
        <w:rPr>
          <w:rFonts w:ascii="Palatino Linotype" w:eastAsia="MS Mincho" w:hAnsi="Palatino Linotype"/>
          <w:b/>
          <w:bCs/>
          <w:color w:val="000000"/>
        </w:rPr>
        <w:t>ÓRGANO GARANTE</w:t>
      </w:r>
      <w:r w:rsidRPr="00E572BA">
        <w:rPr>
          <w:rFonts w:ascii="Palatino Linotype" w:eastAsia="MS Mincho" w:hAnsi="Palatino Linotype"/>
          <w:color w:val="000000"/>
        </w:rPr>
        <w:t xml:space="preserve"> emite los siguientes:</w:t>
      </w:r>
      <w:bookmarkStart w:id="182" w:name="_Toc495427547"/>
      <w:bookmarkStart w:id="183" w:name="_Toc497905366"/>
    </w:p>
    <w:p w14:paraId="51D357F4" w14:textId="77777777" w:rsidR="00BB4D28" w:rsidRPr="00E572BA" w:rsidRDefault="00BB4D28" w:rsidP="00BB4D28">
      <w:pPr>
        <w:keepNext/>
        <w:keepLines/>
        <w:spacing w:before="240" w:line="360" w:lineRule="auto"/>
        <w:jc w:val="center"/>
        <w:outlineLvl w:val="0"/>
        <w:rPr>
          <w:rFonts w:ascii="Palatino Linotype" w:eastAsiaTheme="majorEastAsia" w:hAnsi="Palatino Linotype" w:cstheme="majorBidi"/>
          <w:b/>
          <w:color w:val="000000" w:themeColor="text1"/>
          <w:lang w:val="es-ES_tradnl"/>
        </w:rPr>
      </w:pPr>
      <w:bookmarkStart w:id="184" w:name="_Toc102008279"/>
      <w:bookmarkStart w:id="185" w:name="_Toc102644155"/>
      <w:bookmarkStart w:id="186" w:name="_Toc103877296"/>
      <w:r w:rsidRPr="00E572BA">
        <w:rPr>
          <w:rFonts w:ascii="Palatino Linotype" w:eastAsiaTheme="majorEastAsia" w:hAnsi="Palatino Linotype" w:cstheme="majorBidi"/>
          <w:b/>
          <w:color w:val="000000" w:themeColor="text1"/>
          <w:lang w:val="es-ES_tradnl"/>
        </w:rPr>
        <w:t>R E S O L U T I V O S</w:t>
      </w:r>
      <w:bookmarkEnd w:id="178"/>
      <w:bookmarkEnd w:id="179"/>
      <w:bookmarkEnd w:id="182"/>
      <w:bookmarkEnd w:id="183"/>
      <w:bookmarkEnd w:id="184"/>
      <w:bookmarkEnd w:id="185"/>
      <w:bookmarkEnd w:id="186"/>
    </w:p>
    <w:p w14:paraId="33E2125E" w14:textId="77777777" w:rsidR="00BB4D28" w:rsidRPr="00E572BA" w:rsidRDefault="00BB4D28" w:rsidP="00BB4D28">
      <w:pPr>
        <w:spacing w:line="360" w:lineRule="auto"/>
        <w:rPr>
          <w:rFonts w:ascii="Palatino Linotype" w:eastAsiaTheme="minorEastAsia" w:hAnsi="Palatino Linotype"/>
          <w:lang w:val="es-ES_tradnl"/>
        </w:rPr>
      </w:pPr>
    </w:p>
    <w:p w14:paraId="02E77B1E" w14:textId="747F8E32" w:rsidR="00BB4D28" w:rsidRPr="00E572BA" w:rsidRDefault="00BB4D28" w:rsidP="00BB4D28">
      <w:pPr>
        <w:spacing w:line="360" w:lineRule="auto"/>
        <w:jc w:val="both"/>
        <w:rPr>
          <w:rFonts w:ascii="Palatino Linotype" w:eastAsiaTheme="minorEastAsia" w:hAnsi="Palatino Linotype" w:cs="Arial"/>
          <w:bCs/>
          <w:lang w:val="es-ES_tradnl"/>
        </w:rPr>
      </w:pPr>
      <w:r w:rsidRPr="00E572BA">
        <w:rPr>
          <w:rFonts w:ascii="Palatino Linotype" w:hAnsi="Palatino Linotype" w:cs="Arial"/>
          <w:b/>
          <w:lang w:val="es-ES_tradnl"/>
        </w:rPr>
        <w:t xml:space="preserve">PRIMERO. </w:t>
      </w:r>
      <w:r w:rsidRPr="00E572BA">
        <w:rPr>
          <w:rFonts w:ascii="Palatino Linotype" w:hAnsi="Palatino Linotype" w:cs="Arial"/>
          <w:lang w:val="es-ES_tradnl"/>
        </w:rPr>
        <w:t>Resultan fundadas las</w:t>
      </w:r>
      <w:r w:rsidRPr="00E572BA">
        <w:rPr>
          <w:rFonts w:ascii="Palatino Linotype" w:hAnsi="Palatino Linotype" w:cs="Arial"/>
          <w:b/>
          <w:lang w:val="es-ES_tradnl"/>
        </w:rPr>
        <w:t xml:space="preserve"> </w:t>
      </w:r>
      <w:r w:rsidRPr="00E572BA">
        <w:rPr>
          <w:rFonts w:ascii="Palatino Linotype" w:hAnsi="Palatino Linotype" w:cs="Arial"/>
          <w:lang w:val="es-ES_tradnl"/>
        </w:rPr>
        <w:t xml:space="preserve">razones y motivos de inconformidad hechos valer </w:t>
      </w:r>
      <w:r w:rsidRPr="00E572BA">
        <w:rPr>
          <w:rFonts w:ascii="Palatino Linotype" w:eastAsia="Calibri" w:hAnsi="Palatino Linotype" w:cs="Arial"/>
          <w:lang w:val="es-ES_tradnl"/>
        </w:rPr>
        <w:t>en el recurso de revisión</w:t>
      </w:r>
      <w:r w:rsidR="00CF3E37" w:rsidRPr="00CF3E37">
        <w:rPr>
          <w:rFonts w:ascii="Verdana" w:hAnsi="Verdana"/>
          <w:b/>
          <w:bCs/>
          <w:color w:val="000000"/>
          <w:sz w:val="14"/>
          <w:szCs w:val="14"/>
        </w:rPr>
        <w:t xml:space="preserve"> </w:t>
      </w:r>
      <w:r w:rsidR="004C44B6" w:rsidRPr="009864C2">
        <w:rPr>
          <w:rFonts w:ascii="Palatino Linotype" w:hAnsi="Palatino Linotype"/>
          <w:b/>
          <w:bCs/>
          <w:szCs w:val="22"/>
        </w:rPr>
        <w:t>05168/INFOEM/IP/RR/2022</w:t>
      </w:r>
      <w:r w:rsidRPr="00E572BA">
        <w:rPr>
          <w:rFonts w:ascii="Palatino Linotype" w:eastAsiaTheme="minorEastAsia" w:hAnsi="Palatino Linotype" w:cs="Arial"/>
          <w:b/>
          <w:bCs/>
          <w:lang w:val="es-ES_tradnl"/>
        </w:rPr>
        <w:t xml:space="preserve">, </w:t>
      </w:r>
      <w:r w:rsidRPr="00E572BA">
        <w:rPr>
          <w:rFonts w:ascii="Palatino Linotype" w:eastAsiaTheme="minorEastAsia" w:hAnsi="Palatino Linotype" w:cs="Arial"/>
          <w:bCs/>
          <w:lang w:val="es-ES_tradnl"/>
        </w:rPr>
        <w:t>en términos de</w:t>
      </w:r>
      <w:r w:rsidR="008E6572">
        <w:rPr>
          <w:rFonts w:ascii="Palatino Linotype" w:eastAsiaTheme="minorEastAsia" w:hAnsi="Palatino Linotype" w:cs="Arial"/>
          <w:bCs/>
          <w:lang w:val="es-ES_tradnl"/>
        </w:rPr>
        <w:t xml:space="preserve"> </w:t>
      </w:r>
      <w:r w:rsidRPr="00E572BA">
        <w:rPr>
          <w:rFonts w:ascii="Palatino Linotype" w:eastAsiaTheme="minorEastAsia" w:hAnsi="Palatino Linotype" w:cs="Arial"/>
          <w:bCs/>
          <w:lang w:val="es-ES_tradnl"/>
        </w:rPr>
        <w:t>l</w:t>
      </w:r>
      <w:r w:rsidR="008E6572">
        <w:rPr>
          <w:rFonts w:ascii="Palatino Linotype" w:eastAsiaTheme="minorEastAsia" w:hAnsi="Palatino Linotype" w:cs="Arial"/>
          <w:bCs/>
          <w:lang w:val="es-ES_tradnl"/>
        </w:rPr>
        <w:t>os</w:t>
      </w:r>
      <w:r w:rsidRPr="00E572BA">
        <w:rPr>
          <w:rFonts w:ascii="Palatino Linotype" w:eastAsiaTheme="minorEastAsia" w:hAnsi="Palatino Linotype" w:cs="Arial"/>
          <w:bCs/>
          <w:lang w:val="es-ES_tradnl"/>
        </w:rPr>
        <w:t xml:space="preserve"> </w:t>
      </w:r>
      <w:r w:rsidRPr="00E572BA">
        <w:rPr>
          <w:rFonts w:ascii="Palatino Linotype" w:eastAsiaTheme="minorEastAsia" w:hAnsi="Palatino Linotype" w:cs="Arial"/>
          <w:b/>
          <w:bCs/>
          <w:lang w:val="es-ES_tradnl"/>
        </w:rPr>
        <w:t>Considerandos</w:t>
      </w:r>
      <w:r w:rsidRPr="00E572BA">
        <w:rPr>
          <w:rFonts w:ascii="Palatino Linotype" w:eastAsiaTheme="minorEastAsia" w:hAnsi="Palatino Linotype" w:cs="Arial"/>
          <w:bCs/>
          <w:lang w:val="es-ES_tradnl"/>
        </w:rPr>
        <w:t xml:space="preserve"> </w:t>
      </w:r>
      <w:r w:rsidR="00B837F7">
        <w:rPr>
          <w:rFonts w:ascii="Palatino Linotype" w:eastAsiaTheme="minorEastAsia" w:hAnsi="Palatino Linotype" w:cs="Arial"/>
          <w:b/>
          <w:bCs/>
          <w:lang w:val="es-ES_tradnl"/>
        </w:rPr>
        <w:t>CUARTO</w:t>
      </w:r>
      <w:r w:rsidRPr="00E572BA">
        <w:rPr>
          <w:rFonts w:ascii="Palatino Linotype" w:eastAsiaTheme="minorEastAsia" w:hAnsi="Palatino Linotype" w:cs="Arial"/>
          <w:b/>
          <w:bCs/>
          <w:lang w:val="es-ES_tradnl"/>
        </w:rPr>
        <w:t xml:space="preserve"> y</w:t>
      </w:r>
      <w:r w:rsidR="00B837F7">
        <w:rPr>
          <w:rFonts w:ascii="Palatino Linotype" w:eastAsiaTheme="minorEastAsia" w:hAnsi="Palatino Linotype" w:cs="Arial"/>
          <w:b/>
          <w:bCs/>
          <w:lang w:val="es-ES_tradnl"/>
        </w:rPr>
        <w:t xml:space="preserve"> QUINTO </w:t>
      </w:r>
      <w:r w:rsidRPr="00E572BA">
        <w:rPr>
          <w:rFonts w:ascii="Palatino Linotype" w:eastAsiaTheme="minorEastAsia" w:hAnsi="Palatino Linotype" w:cs="Arial"/>
          <w:bCs/>
          <w:lang w:val="es-ES_tradnl"/>
        </w:rPr>
        <w:t>de la presente resolución.</w:t>
      </w:r>
      <w:bookmarkStart w:id="187" w:name="_GoBack"/>
      <w:bookmarkEnd w:id="187"/>
    </w:p>
    <w:p w14:paraId="056ACEA5" w14:textId="7C825256" w:rsidR="00BB4D28" w:rsidRPr="00E572BA" w:rsidRDefault="00BB4D28" w:rsidP="00BB4D28">
      <w:pPr>
        <w:spacing w:before="240" w:line="360" w:lineRule="auto"/>
        <w:jc w:val="both"/>
        <w:rPr>
          <w:rFonts w:ascii="Palatino Linotype" w:eastAsia="MS Mincho" w:hAnsi="Palatino Linotype" w:cs="Arial"/>
          <w:lang w:val="es-MX"/>
        </w:rPr>
      </w:pPr>
      <w:bookmarkStart w:id="188" w:name="_Toc477891768"/>
      <w:bookmarkStart w:id="189" w:name="_Toc477891858"/>
      <w:bookmarkStart w:id="190" w:name="_Toc481576259"/>
      <w:bookmarkStart w:id="191" w:name="_Toc492590391"/>
      <w:bookmarkStart w:id="192" w:name="_Toc462653937"/>
      <w:bookmarkStart w:id="193" w:name="_Toc453696502"/>
      <w:bookmarkStart w:id="194" w:name="_Toc454301155"/>
      <w:r w:rsidRPr="00E572BA">
        <w:rPr>
          <w:rFonts w:ascii="Palatino Linotype" w:eastAsiaTheme="minorEastAsia" w:hAnsi="Palatino Linotype" w:cstheme="minorBidi"/>
          <w:b/>
          <w:lang w:val="es-ES_tradnl"/>
        </w:rPr>
        <w:t>SEGUNDO.</w:t>
      </w:r>
      <w:r w:rsidRPr="00E572BA">
        <w:rPr>
          <w:rFonts w:ascii="Palatino Linotype" w:eastAsiaTheme="majorEastAsia" w:hAnsi="Palatino Linotype" w:cstheme="majorBidi"/>
          <w:b/>
          <w:color w:val="365F91" w:themeColor="accent1" w:themeShade="BF"/>
          <w:lang w:val="es-MX" w:eastAsia="en-US"/>
        </w:rPr>
        <w:t xml:space="preserve"> </w:t>
      </w:r>
      <w:bookmarkEnd w:id="188"/>
      <w:bookmarkEnd w:id="189"/>
      <w:bookmarkEnd w:id="190"/>
      <w:bookmarkEnd w:id="191"/>
      <w:bookmarkEnd w:id="192"/>
      <w:bookmarkEnd w:id="193"/>
      <w:bookmarkEnd w:id="194"/>
      <w:r w:rsidRPr="00E572BA">
        <w:rPr>
          <w:rFonts w:ascii="Palatino Linotype" w:eastAsia="Calibri" w:hAnsi="Palatino Linotype" w:cs="Arial"/>
          <w:lang w:val="es-ES_tradnl"/>
        </w:rPr>
        <w:t>Se</w:t>
      </w:r>
      <w:r w:rsidR="00B837F7">
        <w:rPr>
          <w:rFonts w:ascii="Palatino Linotype" w:eastAsia="Calibri" w:hAnsi="Palatino Linotype" w:cs="Arial"/>
          <w:b/>
          <w:lang w:val="es-ES_tradnl"/>
        </w:rPr>
        <w:t xml:space="preserve"> REVOCA</w:t>
      </w:r>
      <w:r w:rsidRPr="00E572BA">
        <w:rPr>
          <w:rFonts w:ascii="Palatino Linotype" w:eastAsia="Calibri" w:hAnsi="Palatino Linotype" w:cs="Arial"/>
          <w:b/>
          <w:lang w:val="es-ES_tradnl"/>
        </w:rPr>
        <w:t xml:space="preserve"> </w:t>
      </w:r>
      <w:r w:rsidR="00B837F7">
        <w:rPr>
          <w:rFonts w:ascii="Palatino Linotype" w:eastAsia="Calibri" w:hAnsi="Palatino Linotype" w:cs="Arial"/>
          <w:lang w:val="es-ES_tradnl"/>
        </w:rPr>
        <w:t>la respuesta emitida por el</w:t>
      </w:r>
      <w:r w:rsidR="00B837F7" w:rsidRPr="00B837F7">
        <w:rPr>
          <w:rFonts w:ascii="Verdana" w:hAnsi="Verdana"/>
          <w:b/>
          <w:bCs/>
          <w:color w:val="000000"/>
          <w:sz w:val="14"/>
          <w:szCs w:val="14"/>
        </w:rPr>
        <w:t xml:space="preserve"> </w:t>
      </w:r>
      <w:r w:rsidR="00B837F7" w:rsidRPr="00B837F7">
        <w:rPr>
          <w:rFonts w:ascii="Palatino Linotype" w:eastAsia="Calibri" w:hAnsi="Palatino Linotype" w:cs="Arial"/>
          <w:b/>
          <w:bCs/>
        </w:rPr>
        <w:t>Ayuntamiento de Texcaltitlán</w:t>
      </w:r>
      <w:r>
        <w:rPr>
          <w:rFonts w:ascii="Palatino Linotype" w:eastAsia="Calibri" w:hAnsi="Palatino Linotype" w:cs="Arial"/>
          <w:b/>
          <w:bCs/>
        </w:rPr>
        <w:t xml:space="preserve"> </w:t>
      </w:r>
      <w:r w:rsidRPr="00E572BA">
        <w:rPr>
          <w:rFonts w:ascii="Palatino Linotype" w:eastAsia="Calibri" w:hAnsi="Palatino Linotype" w:cs="Arial"/>
          <w:lang w:val="es-ES_tradnl"/>
        </w:rPr>
        <w:t>y se</w:t>
      </w:r>
      <w:r w:rsidRPr="00E572BA">
        <w:rPr>
          <w:rFonts w:ascii="Palatino Linotype" w:eastAsia="Calibri" w:hAnsi="Palatino Linotype" w:cs="Arial"/>
          <w:b/>
          <w:lang w:val="es-ES_tradnl"/>
        </w:rPr>
        <w:t xml:space="preserve"> ORDENA </w:t>
      </w:r>
      <w:r w:rsidRPr="00E572BA">
        <w:rPr>
          <w:rFonts w:ascii="Palatino Linotype" w:hAnsi="Palatino Linotype" w:cs="Arial"/>
          <w:lang w:val="es-ES_tradnl"/>
        </w:rPr>
        <w:t xml:space="preserve">entregar vía Sistema de Acceso a la Información Mexiquense </w:t>
      </w:r>
      <w:r w:rsidRPr="00E572BA">
        <w:rPr>
          <w:rFonts w:ascii="Palatino Linotype" w:hAnsi="Palatino Linotype" w:cs="Arial"/>
          <w:b/>
          <w:lang w:val="es-ES_tradnl"/>
        </w:rPr>
        <w:t>(SAIMEX)</w:t>
      </w:r>
      <w:r w:rsidRPr="00E572BA">
        <w:rPr>
          <w:rFonts w:ascii="Palatino Linotype" w:eastAsia="MS Mincho" w:hAnsi="Palatino Linotype" w:cs="Arial"/>
          <w:lang w:val="es-MX"/>
        </w:rPr>
        <w:t>, en versión pública de ser procedente, el o los documentos donde conste la siguiente información:</w:t>
      </w:r>
    </w:p>
    <w:p w14:paraId="6D8651E1" w14:textId="77777777" w:rsidR="00BB4D28" w:rsidRPr="00E572BA" w:rsidRDefault="00BB4D28" w:rsidP="00BB4D28">
      <w:pPr>
        <w:spacing w:before="240" w:line="360" w:lineRule="auto"/>
        <w:jc w:val="both"/>
        <w:rPr>
          <w:rFonts w:ascii="Palatino Linotype" w:eastAsia="MS Mincho" w:hAnsi="Palatino Linotype" w:cs="Arial"/>
          <w:lang w:val="es-MX"/>
        </w:rPr>
      </w:pPr>
    </w:p>
    <w:p w14:paraId="55000F93" w14:textId="05A4109E" w:rsidR="00BB4D28" w:rsidRPr="0030529D" w:rsidRDefault="00B837F7" w:rsidP="00B837F7">
      <w:pPr>
        <w:numPr>
          <w:ilvl w:val="0"/>
          <w:numId w:val="13"/>
        </w:numPr>
        <w:spacing w:after="160" w:line="360" w:lineRule="auto"/>
        <w:ind w:right="616"/>
        <w:contextualSpacing/>
        <w:jc w:val="both"/>
        <w:rPr>
          <w:rFonts w:ascii="Palatino Linotype" w:eastAsia="MS Mincho" w:hAnsi="Palatino Linotype"/>
          <w:b/>
          <w:color w:val="000000"/>
          <w:lang w:val="es-ES_tradnl"/>
        </w:rPr>
      </w:pPr>
      <w:r>
        <w:rPr>
          <w:rFonts w:ascii="Palatino Linotype" w:eastAsia="MS Mincho" w:hAnsi="Palatino Linotype"/>
          <w:b/>
          <w:color w:val="000000"/>
          <w:lang w:val="es-MX"/>
        </w:rPr>
        <w:t>L</w:t>
      </w:r>
      <w:r w:rsidR="00C80D46">
        <w:rPr>
          <w:rFonts w:ascii="Palatino Linotype" w:eastAsia="MS Mincho" w:hAnsi="Palatino Linotype"/>
          <w:b/>
          <w:color w:val="000000"/>
          <w:lang w:val="es-ES_tradnl"/>
        </w:rPr>
        <w:t xml:space="preserve">os recibos de </w:t>
      </w:r>
      <w:r w:rsidR="007E66E7">
        <w:rPr>
          <w:rFonts w:ascii="Palatino Linotype" w:eastAsia="MS Mincho" w:hAnsi="Palatino Linotype"/>
          <w:b/>
          <w:color w:val="000000"/>
          <w:lang w:val="es-ES_tradnl"/>
        </w:rPr>
        <w:t xml:space="preserve">nómina, </w:t>
      </w:r>
      <w:r w:rsidR="00491F00">
        <w:rPr>
          <w:rFonts w:ascii="Palatino Linotype" w:eastAsia="MS Mincho" w:hAnsi="Palatino Linotype"/>
          <w:b/>
          <w:color w:val="000000"/>
          <w:lang w:val="es-ES_tradnl"/>
        </w:rPr>
        <w:t xml:space="preserve">así como cualquier otra percepción como </w:t>
      </w:r>
      <w:r w:rsidR="00C80D46">
        <w:rPr>
          <w:rFonts w:ascii="Palatino Linotype" w:eastAsia="MS Mincho" w:hAnsi="Palatino Linotype"/>
          <w:b/>
          <w:color w:val="000000"/>
          <w:lang w:val="es-ES_tradnl"/>
        </w:rPr>
        <w:t>bono</w:t>
      </w:r>
      <w:r w:rsidR="00491F00">
        <w:rPr>
          <w:rFonts w:ascii="Palatino Linotype" w:eastAsia="MS Mincho" w:hAnsi="Palatino Linotype"/>
          <w:b/>
          <w:color w:val="000000"/>
          <w:lang w:val="es-ES_tradnl"/>
        </w:rPr>
        <w:t>s</w:t>
      </w:r>
      <w:r w:rsidR="00C80D46">
        <w:rPr>
          <w:rFonts w:ascii="Palatino Linotype" w:eastAsia="MS Mincho" w:hAnsi="Palatino Linotype"/>
          <w:b/>
          <w:color w:val="000000"/>
          <w:lang w:val="es-ES_tradnl"/>
        </w:rPr>
        <w:t>, aguinaldo</w:t>
      </w:r>
      <w:r w:rsidR="00491F00">
        <w:rPr>
          <w:rFonts w:ascii="Palatino Linotype" w:eastAsia="MS Mincho" w:hAnsi="Palatino Linotype"/>
          <w:b/>
          <w:color w:val="000000"/>
          <w:lang w:val="es-ES_tradnl"/>
        </w:rPr>
        <w:t>s</w:t>
      </w:r>
      <w:r w:rsidR="00C80D46">
        <w:rPr>
          <w:rFonts w:ascii="Palatino Linotype" w:eastAsia="MS Mincho" w:hAnsi="Palatino Linotype"/>
          <w:b/>
          <w:color w:val="000000"/>
          <w:lang w:val="es-ES_tradnl"/>
        </w:rPr>
        <w:t xml:space="preserve"> </w:t>
      </w:r>
      <w:r w:rsidR="004A77BA">
        <w:rPr>
          <w:rFonts w:ascii="Palatino Linotype" w:eastAsia="MS Mincho" w:hAnsi="Palatino Linotype"/>
          <w:b/>
          <w:color w:val="000000"/>
          <w:lang w:val="es-ES_tradnl"/>
        </w:rPr>
        <w:t>o prima</w:t>
      </w:r>
      <w:r w:rsidR="00491F00">
        <w:rPr>
          <w:rFonts w:ascii="Palatino Linotype" w:eastAsia="MS Mincho" w:hAnsi="Palatino Linotype"/>
          <w:b/>
          <w:color w:val="000000"/>
          <w:lang w:val="es-ES_tradnl"/>
        </w:rPr>
        <w:t xml:space="preserve">s, </w:t>
      </w:r>
      <w:r w:rsidRPr="00B837F7">
        <w:rPr>
          <w:rFonts w:ascii="Palatino Linotype" w:eastAsia="MS Mincho" w:hAnsi="Palatino Linotype"/>
          <w:b/>
          <w:color w:val="000000"/>
          <w:lang w:val="es-ES_tradnl"/>
        </w:rPr>
        <w:t>de la servidora pública referida en la solicitud de información desde la fecha de su ingreso al cuatro (04) de marzo de dos mil veintidós</w:t>
      </w:r>
      <w:r w:rsidR="00491F00">
        <w:rPr>
          <w:rFonts w:ascii="Palatino Linotype" w:eastAsia="MS Mincho" w:hAnsi="Palatino Linotype"/>
          <w:b/>
          <w:color w:val="000000"/>
          <w:lang w:val="es-ES_tradnl"/>
        </w:rPr>
        <w:t>.</w:t>
      </w:r>
    </w:p>
    <w:p w14:paraId="7E626C37" w14:textId="77777777" w:rsidR="00BB4D28" w:rsidRPr="0030529D" w:rsidRDefault="00BB4D28" w:rsidP="00BB4D28">
      <w:pPr>
        <w:spacing w:after="160" w:line="360" w:lineRule="auto"/>
        <w:ind w:left="851" w:right="616"/>
        <w:contextualSpacing/>
        <w:jc w:val="both"/>
        <w:rPr>
          <w:rFonts w:ascii="Palatino Linotype" w:eastAsia="MS Mincho" w:hAnsi="Palatino Linotype"/>
          <w:b/>
          <w:color w:val="000000"/>
          <w:lang w:val="es-ES_tradnl"/>
        </w:rPr>
      </w:pPr>
    </w:p>
    <w:p w14:paraId="20DE76D0" w14:textId="77777777" w:rsidR="00BB4D28" w:rsidRPr="00E572BA" w:rsidRDefault="00BB4D28" w:rsidP="00BB4D28">
      <w:pPr>
        <w:tabs>
          <w:tab w:val="left" w:pos="7088"/>
        </w:tabs>
        <w:autoSpaceDE w:val="0"/>
        <w:autoSpaceDN w:val="0"/>
        <w:adjustRightInd w:val="0"/>
        <w:spacing w:line="360" w:lineRule="auto"/>
        <w:ind w:right="49"/>
        <w:contextualSpacing/>
        <w:jc w:val="both"/>
        <w:rPr>
          <w:rFonts w:ascii="Palatino Linotype" w:eastAsia="Calibri" w:hAnsi="Palatino Linotype" w:cs="Arial"/>
          <w:lang w:val="es-ES_tradnl"/>
        </w:rPr>
      </w:pPr>
      <w:r w:rsidRPr="00E572BA">
        <w:rPr>
          <w:rFonts w:ascii="Palatino Linotype" w:eastAsia="Calibri" w:hAnsi="Palatino Linotype" w:cs="Arial"/>
          <w:lang w:val="es-ES_tradnl"/>
        </w:rPr>
        <w:t xml:space="preserve">Para efectos de lo anterior se deberá emitir el Acuerdo del Comité de Transparencia en términos de los artículos 49 fracción VIII y 132 fracción II de la Ley de Transparencia y Acceso a la Información Pública del Estado de México y Municipios, en el que funde y motive las razones sobre los datos que se supriman o </w:t>
      </w:r>
      <w:r w:rsidRPr="00E572BA">
        <w:rPr>
          <w:rFonts w:ascii="Palatino Linotype" w:eastAsia="Calibri" w:hAnsi="Palatino Linotype" w:cs="Arial"/>
          <w:lang w:val="es-ES_tradnl"/>
        </w:rPr>
        <w:lastRenderedPageBreak/>
        <w:t xml:space="preserve">eliminen dentro del soporte documental respectivo objeto de las versiones públicas que se formulen y se ponga a disposición del recurrente. </w:t>
      </w:r>
    </w:p>
    <w:p w14:paraId="1180D4B8" w14:textId="77777777" w:rsidR="00BB4D28" w:rsidRPr="00E572BA" w:rsidRDefault="00BB4D28" w:rsidP="00BB4D28">
      <w:pPr>
        <w:tabs>
          <w:tab w:val="left" w:pos="7088"/>
        </w:tabs>
        <w:autoSpaceDE w:val="0"/>
        <w:autoSpaceDN w:val="0"/>
        <w:adjustRightInd w:val="0"/>
        <w:spacing w:line="360" w:lineRule="auto"/>
        <w:ind w:right="49"/>
        <w:contextualSpacing/>
        <w:jc w:val="both"/>
        <w:rPr>
          <w:rFonts w:ascii="Palatino Linotype" w:eastAsia="Calibri" w:hAnsi="Palatino Linotype" w:cs="Arial"/>
          <w:lang w:val="es-ES_tradnl"/>
        </w:rPr>
      </w:pPr>
    </w:p>
    <w:p w14:paraId="166D5171" w14:textId="77777777" w:rsidR="00BB4D28" w:rsidRPr="00E572BA" w:rsidRDefault="00BB4D28" w:rsidP="00BB4D28">
      <w:pPr>
        <w:shd w:val="clear" w:color="auto" w:fill="FFFFFF"/>
        <w:spacing w:before="240" w:line="360" w:lineRule="auto"/>
        <w:ind w:right="49"/>
        <w:jc w:val="both"/>
        <w:rPr>
          <w:rFonts w:ascii="Palatino Linotype" w:hAnsi="Palatino Linotype" w:cs="Arial"/>
          <w:b/>
          <w:bCs/>
          <w:color w:val="222222"/>
          <w:lang w:val="es-ES_tradnl" w:eastAsia="es-MX"/>
        </w:rPr>
      </w:pPr>
      <w:r w:rsidRPr="00E572BA">
        <w:rPr>
          <w:rFonts w:ascii="Palatino Linotype" w:hAnsi="Palatino Linotype" w:cs="Arial"/>
          <w:b/>
          <w:bCs/>
          <w:color w:val="222222"/>
          <w:lang w:val="es-ES_tradnl" w:eastAsia="es-MX"/>
        </w:rPr>
        <w:t xml:space="preserve">TERCERO. </w:t>
      </w:r>
      <w:r w:rsidRPr="00E572BA">
        <w:rPr>
          <w:rFonts w:ascii="Palatino Linotype" w:hAnsi="Palatino Linotype" w:cs="Arial"/>
          <w:b/>
          <w:color w:val="222222"/>
          <w:lang w:val="es-ES_tradnl" w:eastAsia="es-MX"/>
        </w:rPr>
        <w:t>Notifíquese</w:t>
      </w:r>
      <w:r w:rsidRPr="00E572BA">
        <w:rPr>
          <w:rFonts w:ascii="Palatino Linotype" w:hAnsi="Palatino Linotype" w:cs="Arial"/>
          <w:b/>
          <w:bCs/>
          <w:color w:val="222222"/>
          <w:lang w:val="es-ES_tradnl" w:eastAsia="es-MX"/>
        </w:rPr>
        <w:t xml:space="preserve"> </w:t>
      </w:r>
      <w:r w:rsidRPr="00E572BA">
        <w:rPr>
          <w:rFonts w:ascii="Palatino Linotype" w:hAnsi="Palatino Linotype" w:cs="Arial"/>
          <w:color w:val="222222"/>
          <w:lang w:val="es-ES_tradnl" w:eastAsia="es-MX"/>
        </w:rPr>
        <w:t xml:space="preserve">al Titular de la Unidad de Transparencia del </w:t>
      </w:r>
      <w:r w:rsidRPr="00E572BA">
        <w:rPr>
          <w:rFonts w:ascii="Palatino Linotype" w:hAnsi="Palatino Linotype" w:cs="Arial"/>
          <w:b/>
          <w:bCs/>
          <w:color w:val="222222"/>
          <w:lang w:val="es-ES_tradnl" w:eastAsia="es-MX"/>
        </w:rPr>
        <w:t>SUJETO OBLIGADO la presente resolución vía Sistema de Acceso a la Información Mexiquense (SAIMEX)</w:t>
      </w:r>
      <w:r w:rsidRPr="00E572BA">
        <w:rPr>
          <w:rFonts w:ascii="Palatino Linotype" w:hAnsi="Palatino Linotype" w:cs="Arial"/>
          <w:color w:val="222222"/>
          <w:lang w:val="es-ES_tradnl" w:eastAsia="es-MX"/>
        </w:rPr>
        <w:t>, para que conforme a los artículos 186 último párrafo, 189 párrafo segundo y 199 de la Ley de Transparencia y Acceso a la Información Pública del Estado de México y Municipios, dé cumplimiento a lo ordenado dentro del plazo de diez días hábiles, debiendo rendir a este Instituto el informe de cumplimiento de la resolución en un plazo de tres días hábiles posteriores.</w:t>
      </w:r>
    </w:p>
    <w:p w14:paraId="7ADA112C" w14:textId="77777777" w:rsidR="00BB4D28" w:rsidRPr="00E572BA" w:rsidRDefault="00BB4D28" w:rsidP="00BB4D28">
      <w:pPr>
        <w:shd w:val="clear" w:color="auto" w:fill="FFFFFF"/>
        <w:spacing w:before="240" w:line="360" w:lineRule="auto"/>
        <w:ind w:right="49"/>
        <w:jc w:val="both"/>
        <w:rPr>
          <w:rFonts w:ascii="Palatino Linotype" w:hAnsi="Palatino Linotype" w:cs="Arial"/>
          <w:b/>
          <w:bCs/>
          <w:color w:val="222222"/>
          <w:lang w:val="es-ES_tradnl" w:eastAsia="es-MX"/>
        </w:rPr>
      </w:pPr>
    </w:p>
    <w:p w14:paraId="1AD1BCDF" w14:textId="77777777" w:rsidR="00BB4D28" w:rsidRPr="00E572BA" w:rsidRDefault="00BB4D28" w:rsidP="00BB4D28">
      <w:pPr>
        <w:shd w:val="clear" w:color="auto" w:fill="FFFFFF"/>
        <w:spacing w:line="360" w:lineRule="auto"/>
        <w:jc w:val="both"/>
        <w:rPr>
          <w:rFonts w:ascii="Palatino Linotype" w:eastAsia="MS Mincho" w:hAnsi="Palatino Linotype"/>
          <w:color w:val="000000"/>
          <w:shd w:val="clear" w:color="auto" w:fill="FFFFFF"/>
          <w:lang w:val="es-ES_tradnl"/>
        </w:rPr>
      </w:pPr>
      <w:r w:rsidRPr="00E572BA">
        <w:rPr>
          <w:rFonts w:ascii="Palatino Linotype" w:eastAsia="Calibri" w:hAnsi="Palatino Linotype" w:cs="Arial"/>
          <w:b/>
          <w:bCs/>
          <w:color w:val="000000"/>
          <w:lang w:val="es-MX" w:eastAsia="en-US"/>
        </w:rPr>
        <w:t>CUARTO.</w:t>
      </w:r>
      <w:r w:rsidRPr="00E572BA">
        <w:rPr>
          <w:rFonts w:ascii="Palatino Linotype" w:eastAsia="Calibri" w:hAnsi="Palatino Linotype" w:cs="Arial"/>
          <w:bCs/>
          <w:color w:val="000000"/>
          <w:lang w:val="es-MX" w:eastAsia="en-US"/>
        </w:rPr>
        <w:t xml:space="preserve"> De conformidad con el artículo 198 de la Ley de Transparencia y Acceso a la Información Pública del Estado de México y Municipios, de considerarlo procedente, el Sujeto Obligado de manera fundada y motivada, podrá solicitar una ampliación de plazo para el cumplimiento de la presente resolución.</w:t>
      </w:r>
    </w:p>
    <w:p w14:paraId="7B478276" w14:textId="77777777" w:rsidR="00BB4D28" w:rsidRPr="00E572BA" w:rsidRDefault="00BB4D28" w:rsidP="00BB4D28">
      <w:pPr>
        <w:spacing w:line="360" w:lineRule="auto"/>
        <w:rPr>
          <w:rFonts w:ascii="Palatino Linotype" w:eastAsia="MS Mincho" w:hAnsi="Palatino Linotype"/>
        </w:rPr>
      </w:pPr>
    </w:p>
    <w:p w14:paraId="0164E5B4" w14:textId="77777777" w:rsidR="00BB4D28" w:rsidRPr="00E572BA" w:rsidRDefault="00BB4D28" w:rsidP="00BB4D28">
      <w:pPr>
        <w:shd w:val="clear" w:color="auto" w:fill="FFFFFF"/>
        <w:spacing w:line="360" w:lineRule="auto"/>
        <w:jc w:val="both"/>
        <w:rPr>
          <w:rFonts w:ascii="Palatino Linotype" w:hAnsi="Palatino Linotype"/>
          <w:color w:val="000000" w:themeColor="text1"/>
          <w:lang w:val="es-ES_tradnl"/>
        </w:rPr>
      </w:pPr>
      <w:r w:rsidRPr="00E572BA">
        <w:rPr>
          <w:rFonts w:ascii="Palatino Linotype" w:hAnsi="Palatino Linotype" w:cs="Arial"/>
          <w:b/>
          <w:lang w:val="es-ES_tradnl"/>
        </w:rPr>
        <w:t xml:space="preserve">QUINTO. </w:t>
      </w:r>
      <w:r w:rsidRPr="00E572BA">
        <w:rPr>
          <w:rFonts w:ascii="Palatino Linotype" w:hAnsi="Palatino Linotype"/>
          <w:b/>
          <w:bCs/>
          <w:color w:val="222222"/>
        </w:rPr>
        <w:t xml:space="preserve">Notifíquese </w:t>
      </w:r>
      <w:r w:rsidRPr="00E572BA">
        <w:rPr>
          <w:rFonts w:ascii="Palatino Linotype" w:hAnsi="Palatino Linotype"/>
          <w:bCs/>
          <w:color w:val="222222"/>
        </w:rPr>
        <w:t xml:space="preserve">al </w:t>
      </w:r>
      <w:r w:rsidRPr="00E572BA">
        <w:rPr>
          <w:rFonts w:ascii="Palatino Linotype" w:hAnsi="Palatino Linotype"/>
          <w:b/>
          <w:bCs/>
          <w:color w:val="222222"/>
        </w:rPr>
        <w:t>RECURRENTE</w:t>
      </w:r>
      <w:r w:rsidRPr="00E572BA">
        <w:rPr>
          <w:rFonts w:ascii="Palatino Linotype" w:hAnsi="Palatino Linotype"/>
          <w:bCs/>
          <w:color w:val="222222"/>
        </w:rPr>
        <w:t xml:space="preserve"> </w:t>
      </w:r>
      <w:r w:rsidRPr="00E572BA">
        <w:rPr>
          <w:rFonts w:ascii="Palatino Linotype" w:hAnsi="Palatino Linotype"/>
          <w:lang w:val="es-ES_tradnl"/>
        </w:rPr>
        <w:t xml:space="preserve">la presente resolución vía </w:t>
      </w:r>
      <w:r w:rsidRPr="00E572BA">
        <w:rPr>
          <w:rFonts w:ascii="Palatino Linotype" w:hAnsi="Palatino Linotype" w:cs="Arial"/>
          <w:lang w:val="es-ES_tradnl"/>
        </w:rPr>
        <w:t xml:space="preserve">Sistema de Acceso a la Información Mexiquense </w:t>
      </w:r>
      <w:r w:rsidRPr="00E572BA">
        <w:rPr>
          <w:rFonts w:ascii="Palatino Linotype" w:hAnsi="Palatino Linotype" w:cs="Arial"/>
          <w:b/>
          <w:lang w:val="es-ES_tradnl"/>
        </w:rPr>
        <w:t>(SAIMEX).</w:t>
      </w:r>
    </w:p>
    <w:p w14:paraId="16CCCF2F" w14:textId="77777777" w:rsidR="00BB4D28" w:rsidRPr="00E572BA" w:rsidRDefault="00BB4D28" w:rsidP="00BB4D28">
      <w:pPr>
        <w:shd w:val="clear" w:color="auto" w:fill="FFFFFF"/>
        <w:spacing w:line="360" w:lineRule="auto"/>
        <w:jc w:val="both"/>
        <w:rPr>
          <w:rFonts w:ascii="Palatino Linotype" w:hAnsi="Palatino Linotype"/>
          <w:lang w:val="es-ES_tradnl"/>
        </w:rPr>
      </w:pPr>
    </w:p>
    <w:p w14:paraId="4A34F8AB" w14:textId="77777777" w:rsidR="00BB4D28" w:rsidRPr="00E572BA" w:rsidRDefault="00BB4D28" w:rsidP="00BB4D28">
      <w:pPr>
        <w:spacing w:line="360" w:lineRule="auto"/>
        <w:jc w:val="both"/>
        <w:rPr>
          <w:rFonts w:ascii="Palatino Linotype" w:hAnsi="Palatino Linotype"/>
          <w:b/>
          <w:lang w:val="es-MX" w:eastAsia="es-MX"/>
        </w:rPr>
      </w:pPr>
      <w:r w:rsidRPr="00E572BA">
        <w:rPr>
          <w:rFonts w:ascii="Palatino Linotype" w:eastAsia="MS Mincho" w:hAnsi="Palatino Linotype"/>
          <w:b/>
          <w:lang w:val="es-MX"/>
        </w:rPr>
        <w:t>SEXTO.</w:t>
      </w:r>
      <w:r w:rsidRPr="00E572BA">
        <w:rPr>
          <w:rFonts w:ascii="Palatino Linotype" w:eastAsia="MS Mincho" w:hAnsi="Palatino Linotype"/>
          <w:lang w:val="es-MX"/>
        </w:rPr>
        <w:t xml:space="preserve"> </w:t>
      </w:r>
      <w:r w:rsidRPr="00E572BA">
        <w:rPr>
          <w:rFonts w:ascii="Palatino Linotype" w:eastAsia="MS Mincho" w:hAnsi="Palatino Linotype"/>
        </w:rPr>
        <w:t xml:space="preserve">Se hace del conocimiento del </w:t>
      </w:r>
      <w:r w:rsidRPr="00E572BA">
        <w:rPr>
          <w:rFonts w:ascii="Palatino Linotype" w:eastAsia="MS Mincho" w:hAnsi="Palatino Linotype"/>
          <w:b/>
          <w:bCs/>
        </w:rPr>
        <w:t>RECURRENTE</w:t>
      </w:r>
      <w:r w:rsidRPr="00E572BA">
        <w:rPr>
          <w:rFonts w:ascii="Palatino Linotype" w:hAnsi="Palatino Linotype"/>
          <w:bCs/>
          <w:color w:val="222222"/>
          <w:lang w:val="es-ES_tradnl"/>
        </w:rPr>
        <w:t xml:space="preserve"> </w:t>
      </w:r>
      <w:r w:rsidRPr="00E572BA">
        <w:rPr>
          <w:rFonts w:ascii="Palatino Linotype" w:eastAsia="MS Mincho" w:hAnsi="Palatino Linotype"/>
        </w:rPr>
        <w:t>que, de conformidad con lo establecido en el artículo 196 de la Ley de Transparencia y Acceso a la Información Pública del Estado de México y Municipios, en caso de que considere que la resolución le cause algún perjuicio podrá impugnarla </w:t>
      </w:r>
      <w:r w:rsidRPr="00E572BA">
        <w:rPr>
          <w:rFonts w:ascii="Palatino Linotype" w:eastAsia="MS Mincho" w:hAnsi="Palatino Linotype"/>
          <w:bCs/>
        </w:rPr>
        <w:t>vía juicio de amparo</w:t>
      </w:r>
      <w:r w:rsidRPr="00E572BA">
        <w:rPr>
          <w:rFonts w:ascii="Palatino Linotype" w:eastAsia="MS Mincho" w:hAnsi="Palatino Linotype"/>
        </w:rPr>
        <w:t> en los términos de las leyes aplicables.</w:t>
      </w:r>
      <w:r w:rsidRPr="00E572BA">
        <w:rPr>
          <w:rFonts w:ascii="Palatino Linotype" w:eastAsia="MS Mincho" w:hAnsi="Palatino Linotype"/>
        </w:rPr>
        <w:tab/>
      </w:r>
      <w:r w:rsidRPr="00E572BA">
        <w:rPr>
          <w:rFonts w:ascii="Palatino Linotype" w:hAnsi="Palatino Linotype"/>
          <w:b/>
          <w:lang w:val="es-MX" w:eastAsia="es-MX"/>
        </w:rPr>
        <w:t xml:space="preserve"> </w:t>
      </w:r>
    </w:p>
    <w:p w14:paraId="6D349F1C" w14:textId="77777777" w:rsidR="00BB4D28" w:rsidRDefault="00BB4D28" w:rsidP="00BB4D28">
      <w:pPr>
        <w:tabs>
          <w:tab w:val="left" w:pos="284"/>
          <w:tab w:val="left" w:pos="426"/>
        </w:tabs>
        <w:spacing w:before="240" w:after="240" w:line="360" w:lineRule="auto"/>
        <w:ind w:right="49"/>
        <w:contextualSpacing/>
        <w:jc w:val="both"/>
        <w:rPr>
          <w:rFonts w:ascii="Palatino Linotype" w:hAnsi="Palatino Linotype" w:cs="Arial"/>
        </w:rPr>
      </w:pPr>
    </w:p>
    <w:p w14:paraId="6AA9D1A4" w14:textId="77777777" w:rsidR="004C44B6" w:rsidRDefault="004C44B6" w:rsidP="004C44B6">
      <w:pPr>
        <w:spacing w:before="240" w:after="240" w:line="360" w:lineRule="auto"/>
        <w:ind w:firstLine="1"/>
        <w:jc w:val="both"/>
        <w:rPr>
          <w:rFonts w:ascii="Palatino Linotype" w:hAnsi="Palatino Linotype"/>
        </w:rPr>
      </w:pPr>
      <w:r w:rsidRPr="00A0054B">
        <w:rPr>
          <w:rFonts w:ascii="Palatino Linotype" w:hAnsi="Palatino Linotype"/>
        </w:rPr>
        <w:t>ASÍ LO RESUELVE, POR UNANIMIDAD DE VOTOS, EL PLENO DEL INSTITUTO DE TRANSPARENCIA, ACCESO A LA INFORMACIÓN PÚBLICA Y PROTECCIÓN DE DATOS PERSONALES DEL ESTADO DE MÉXICO Y MUNICIPIOS, CONFORMADO POR LOS COMISIONADOS JOSÉ MARTÍNEZ VILCHIS; MARÍA DEL ROSARIO MEJÍA AYALA; SHARON CRISTINA MORALES MARTÍNEZ</w:t>
      </w:r>
      <w:r>
        <w:rPr>
          <w:rFonts w:ascii="Palatino Linotype" w:hAnsi="Palatino Linotype"/>
        </w:rPr>
        <w:t xml:space="preserve">; </w:t>
      </w:r>
      <w:r w:rsidRPr="00A0054B">
        <w:rPr>
          <w:rFonts w:ascii="Palatino Linotype" w:hAnsi="Palatino Linotype"/>
        </w:rPr>
        <w:t xml:space="preserve">LUIS GUSTAVO PARRA NORIEGA Y GUADALUPE RAMÍREZ PEÑA EN LA </w:t>
      </w:r>
      <w:r>
        <w:rPr>
          <w:rFonts w:ascii="Palatino Linotype" w:hAnsi="Palatino Linotype"/>
        </w:rPr>
        <w:t>DÉCIMA</w:t>
      </w:r>
      <w:r w:rsidRPr="00A0054B">
        <w:rPr>
          <w:rFonts w:ascii="Palatino Linotype" w:hAnsi="Palatino Linotype"/>
        </w:rPr>
        <w:t xml:space="preserve"> </w:t>
      </w:r>
      <w:r>
        <w:rPr>
          <w:rFonts w:ascii="Palatino Linotype" w:hAnsi="Palatino Linotype"/>
        </w:rPr>
        <w:t xml:space="preserve">NOVENA </w:t>
      </w:r>
      <w:r w:rsidRPr="00A0054B">
        <w:rPr>
          <w:rFonts w:ascii="Palatino Linotype" w:hAnsi="Palatino Linotype"/>
        </w:rPr>
        <w:t xml:space="preserve">SESIÓN ORDINARIA CELEBRADA EL </w:t>
      </w:r>
      <w:r>
        <w:rPr>
          <w:rFonts w:ascii="Palatino Linotype" w:hAnsi="Palatino Linotype"/>
        </w:rPr>
        <w:t>VEINTICINCO (25)</w:t>
      </w:r>
      <w:r w:rsidRPr="00A0054B">
        <w:rPr>
          <w:rFonts w:ascii="Palatino Linotype" w:hAnsi="Palatino Linotype"/>
        </w:rPr>
        <w:t xml:space="preserve"> DE </w:t>
      </w:r>
      <w:r>
        <w:rPr>
          <w:rFonts w:ascii="Palatino Linotype" w:hAnsi="Palatino Linotype"/>
        </w:rPr>
        <w:t>MAYO</w:t>
      </w:r>
      <w:r w:rsidRPr="00A0054B">
        <w:rPr>
          <w:rFonts w:ascii="Palatino Linotype" w:hAnsi="Palatino Linotype"/>
        </w:rPr>
        <w:t xml:space="preserve"> DE DOS MIL VEINTIDÓS, ANTE EL SECRETARIO TÉCNICO DEL PLENO ALEXIS TAPIA RAMÍREZ</w:t>
      </w:r>
      <w:r>
        <w:rPr>
          <w:rFonts w:ascii="Palatino Linotype" w:hAnsi="Palatino Linotype"/>
        </w:rPr>
        <w:t>.</w:t>
      </w:r>
      <w:r w:rsidRPr="00624AAD">
        <w:rPr>
          <w:rFonts w:ascii="Palatino Linotype" w:hAnsi="Palatino Linotype"/>
        </w:rPr>
        <w:t xml:space="preserve"> </w:t>
      </w:r>
    </w:p>
    <w:p w14:paraId="1E3EEA17" w14:textId="77777777" w:rsidR="0082658F" w:rsidRPr="0082658F" w:rsidRDefault="0082658F" w:rsidP="0082658F">
      <w:pPr>
        <w:spacing w:before="240" w:after="360" w:line="360" w:lineRule="auto"/>
        <w:contextualSpacing/>
        <w:jc w:val="both"/>
        <w:rPr>
          <w:rFonts w:ascii="Palatino Linotype" w:eastAsia="MS Mincho" w:hAnsi="Palatino Linotype" w:cs="Arial"/>
          <w:i/>
          <w:lang w:val="es-ES_tradnl"/>
        </w:rPr>
      </w:pPr>
    </w:p>
    <w:bookmarkEnd w:id="56"/>
    <w:bookmarkEnd w:id="57"/>
    <w:bookmarkEnd w:id="58"/>
    <w:bookmarkEnd w:id="59"/>
    <w:bookmarkEnd w:id="60"/>
    <w:p w14:paraId="4453F8E6" w14:textId="0CDC3D99" w:rsidR="00090DE6" w:rsidRPr="00655A8C" w:rsidRDefault="00090DE6" w:rsidP="0082658F">
      <w:pPr>
        <w:spacing w:before="240" w:after="240" w:line="360" w:lineRule="auto"/>
        <w:jc w:val="both"/>
        <w:rPr>
          <w:rFonts w:ascii="Palatino Linotype" w:hAnsi="Palatino Linotype"/>
          <w:lang w:val="es-ES_tradnl"/>
        </w:rPr>
      </w:pPr>
    </w:p>
    <w:sectPr w:rsidR="00090DE6" w:rsidRPr="00655A8C" w:rsidSect="009F07F4">
      <w:headerReference w:type="default" r:id="rId19"/>
      <w:footerReference w:type="default" r:id="rId20"/>
      <w:headerReference w:type="first" r:id="rId21"/>
      <w:footerReference w:type="first" r:id="rId22"/>
      <w:pgSz w:w="12240" w:h="15840" w:code="1"/>
      <w:pgMar w:top="1417" w:right="1701" w:bottom="141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8A138C" w14:textId="77777777" w:rsidR="004942B1" w:rsidRDefault="004942B1" w:rsidP="00C80F8C">
      <w:r>
        <w:separator/>
      </w:r>
    </w:p>
  </w:endnote>
  <w:endnote w:type="continuationSeparator" w:id="0">
    <w:p w14:paraId="3681FD66" w14:textId="77777777" w:rsidR="004942B1" w:rsidRDefault="004942B1" w:rsidP="00C80F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IDFont+F3">
    <w:panose1 w:val="00000000000000000000"/>
    <w:charset w:val="00"/>
    <w:family w:val="auto"/>
    <w:notTrueType/>
    <w:pitch w:val="default"/>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4BD0B5" w14:textId="2F12854F" w:rsidR="007E66E7" w:rsidRPr="00817AAB" w:rsidRDefault="007E66E7" w:rsidP="00935A0D">
    <w:pPr>
      <w:pStyle w:val="Piedepgina"/>
      <w:jc w:val="right"/>
      <w:rPr>
        <w:rFonts w:ascii="Palatino Linotype" w:hAnsi="Palatino Linotype" w:cs="Arial"/>
        <w:lang w:val="es-ES"/>
      </w:rPr>
    </w:pPr>
    <w:r w:rsidRPr="00817AAB">
      <w:rPr>
        <w:rFonts w:ascii="Palatino Linotype" w:hAnsi="Palatino Linotype" w:cs="Arial"/>
        <w:b/>
        <w:bCs/>
      </w:rPr>
      <w:t xml:space="preserve">Página </w:t>
    </w:r>
    <w:r w:rsidRPr="00817AAB">
      <w:rPr>
        <w:rFonts w:ascii="Palatino Linotype" w:hAnsi="Palatino Linotype" w:cs="Arial"/>
        <w:b/>
        <w:bCs/>
      </w:rPr>
      <w:fldChar w:fldCharType="begin"/>
    </w:r>
    <w:r w:rsidRPr="00817AAB">
      <w:rPr>
        <w:rFonts w:ascii="Palatino Linotype" w:hAnsi="Palatino Linotype" w:cs="Arial"/>
        <w:b/>
        <w:bCs/>
      </w:rPr>
      <w:instrText>PAGE</w:instrText>
    </w:r>
    <w:r w:rsidRPr="00817AAB">
      <w:rPr>
        <w:rFonts w:ascii="Palatino Linotype" w:hAnsi="Palatino Linotype" w:cs="Arial"/>
        <w:b/>
        <w:bCs/>
      </w:rPr>
      <w:fldChar w:fldCharType="separate"/>
    </w:r>
    <w:r w:rsidR="004C44B6">
      <w:rPr>
        <w:rFonts w:ascii="Palatino Linotype" w:hAnsi="Palatino Linotype" w:cs="Arial"/>
        <w:b/>
        <w:bCs/>
        <w:noProof/>
      </w:rPr>
      <w:t>65</w:t>
    </w:r>
    <w:r w:rsidRPr="00817AAB">
      <w:rPr>
        <w:rFonts w:ascii="Palatino Linotype" w:hAnsi="Palatino Linotype" w:cs="Arial"/>
        <w:b/>
        <w:bCs/>
      </w:rPr>
      <w:fldChar w:fldCharType="end"/>
    </w:r>
    <w:r w:rsidRPr="00817AAB">
      <w:rPr>
        <w:rFonts w:ascii="Palatino Linotype" w:hAnsi="Palatino Linotype" w:cs="Arial"/>
      </w:rPr>
      <w:t xml:space="preserve"> de </w:t>
    </w:r>
    <w:r w:rsidRPr="00817AAB">
      <w:rPr>
        <w:rFonts w:ascii="Palatino Linotype" w:hAnsi="Palatino Linotype" w:cs="Arial"/>
        <w:b/>
        <w:bCs/>
      </w:rPr>
      <w:fldChar w:fldCharType="begin"/>
    </w:r>
    <w:r w:rsidRPr="00817AAB">
      <w:rPr>
        <w:rFonts w:ascii="Palatino Linotype" w:hAnsi="Palatino Linotype" w:cs="Arial"/>
        <w:b/>
        <w:bCs/>
      </w:rPr>
      <w:instrText>NUMPAGES</w:instrText>
    </w:r>
    <w:r w:rsidRPr="00817AAB">
      <w:rPr>
        <w:rFonts w:ascii="Palatino Linotype" w:hAnsi="Palatino Linotype" w:cs="Arial"/>
        <w:b/>
        <w:bCs/>
      </w:rPr>
      <w:fldChar w:fldCharType="separate"/>
    </w:r>
    <w:r w:rsidR="004C44B6">
      <w:rPr>
        <w:rFonts w:ascii="Palatino Linotype" w:hAnsi="Palatino Linotype" w:cs="Arial"/>
        <w:b/>
        <w:bCs/>
        <w:noProof/>
      </w:rPr>
      <w:t>67</w:t>
    </w:r>
    <w:r w:rsidRPr="00817AAB">
      <w:rPr>
        <w:rFonts w:ascii="Palatino Linotype" w:hAnsi="Palatino Linotype" w:cs="Arial"/>
        <w:b/>
        <w:bCs/>
      </w:rPr>
      <w:fldChar w:fldCharType="end"/>
    </w:r>
  </w:p>
  <w:p w14:paraId="1192A578" w14:textId="77777777" w:rsidR="007E66E7" w:rsidRDefault="007E66E7" w:rsidP="00935A0D">
    <w:pPr>
      <w:pStyle w:val="Piedepgina"/>
      <w:rPr>
        <w:rFonts w:ascii="Times New Roman" w:hAnsi="Times New Roman" w:cs="Times New Roman"/>
      </w:rPr>
    </w:pPr>
  </w:p>
  <w:p w14:paraId="14A770F8" w14:textId="77777777" w:rsidR="007E66E7" w:rsidRDefault="007E66E7" w:rsidP="006F30F8">
    <w:pPr>
      <w:pStyle w:val="Piedepgina"/>
      <w:ind w:firstLine="70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0B0BFC" w14:textId="2469DA39" w:rsidR="007E66E7" w:rsidRDefault="007E66E7" w:rsidP="00935A0D">
    <w:pPr>
      <w:pStyle w:val="Piedepgina"/>
      <w:jc w:val="right"/>
      <w:rPr>
        <w:rFonts w:ascii="Arial" w:hAnsi="Arial" w:cs="Arial"/>
        <w:sz w:val="20"/>
        <w:szCs w:val="20"/>
        <w:lang w:val="es-ES"/>
      </w:rPr>
    </w:pPr>
    <w:r>
      <w:rPr>
        <w:rFonts w:ascii="Arial" w:hAnsi="Arial" w:cs="Arial"/>
        <w:b/>
        <w:bCs/>
        <w:sz w:val="20"/>
        <w:szCs w:val="20"/>
      </w:rPr>
      <w:t xml:space="preserve">Página </w:t>
    </w:r>
    <w:r>
      <w:rPr>
        <w:rFonts w:ascii="Arial" w:hAnsi="Arial" w:cs="Arial"/>
        <w:b/>
        <w:bCs/>
        <w:sz w:val="20"/>
        <w:szCs w:val="20"/>
      </w:rPr>
      <w:fldChar w:fldCharType="begin"/>
    </w:r>
    <w:r>
      <w:rPr>
        <w:rFonts w:ascii="Arial" w:hAnsi="Arial" w:cs="Arial"/>
        <w:b/>
        <w:bCs/>
        <w:sz w:val="20"/>
        <w:szCs w:val="20"/>
      </w:rPr>
      <w:instrText>PAGE</w:instrText>
    </w:r>
    <w:r>
      <w:rPr>
        <w:rFonts w:ascii="Arial" w:hAnsi="Arial" w:cs="Arial"/>
        <w:b/>
        <w:bCs/>
        <w:sz w:val="20"/>
        <w:szCs w:val="20"/>
      </w:rPr>
      <w:fldChar w:fldCharType="separate"/>
    </w:r>
    <w:r w:rsidR="004C44B6">
      <w:rPr>
        <w:rFonts w:ascii="Arial" w:hAnsi="Arial" w:cs="Arial"/>
        <w:b/>
        <w:bCs/>
        <w:noProof/>
        <w:sz w:val="20"/>
        <w:szCs w:val="20"/>
      </w:rPr>
      <w:t>1</w:t>
    </w:r>
    <w:r>
      <w:rPr>
        <w:rFonts w:ascii="Arial" w:hAnsi="Arial" w:cs="Arial"/>
        <w:b/>
        <w:bCs/>
        <w:sz w:val="20"/>
        <w:szCs w:val="20"/>
      </w:rPr>
      <w:fldChar w:fldCharType="end"/>
    </w:r>
    <w:r>
      <w:rPr>
        <w:rFonts w:ascii="Arial" w:hAnsi="Arial" w:cs="Arial"/>
        <w:sz w:val="20"/>
        <w:szCs w:val="20"/>
      </w:rPr>
      <w:t xml:space="preserve"> de </w:t>
    </w:r>
    <w:r>
      <w:rPr>
        <w:rFonts w:ascii="Arial" w:hAnsi="Arial" w:cs="Arial"/>
        <w:b/>
        <w:bCs/>
        <w:sz w:val="20"/>
        <w:szCs w:val="20"/>
      </w:rPr>
      <w:fldChar w:fldCharType="begin"/>
    </w:r>
    <w:r>
      <w:rPr>
        <w:rFonts w:ascii="Arial" w:hAnsi="Arial" w:cs="Arial"/>
        <w:b/>
        <w:bCs/>
        <w:sz w:val="20"/>
        <w:szCs w:val="20"/>
      </w:rPr>
      <w:instrText>NUMPAGES</w:instrText>
    </w:r>
    <w:r>
      <w:rPr>
        <w:rFonts w:ascii="Arial" w:hAnsi="Arial" w:cs="Arial"/>
        <w:b/>
        <w:bCs/>
        <w:sz w:val="20"/>
        <w:szCs w:val="20"/>
      </w:rPr>
      <w:fldChar w:fldCharType="separate"/>
    </w:r>
    <w:r w:rsidR="004C44B6">
      <w:rPr>
        <w:rFonts w:ascii="Arial" w:hAnsi="Arial" w:cs="Arial"/>
        <w:b/>
        <w:bCs/>
        <w:noProof/>
        <w:sz w:val="20"/>
        <w:szCs w:val="20"/>
      </w:rPr>
      <w:t>67</w:t>
    </w:r>
    <w:r>
      <w:rPr>
        <w:rFonts w:ascii="Arial" w:hAnsi="Arial" w:cs="Arial"/>
        <w:b/>
        <w:bCs/>
        <w:sz w:val="20"/>
        <w:szCs w:val="20"/>
      </w:rPr>
      <w:fldChar w:fldCharType="end"/>
    </w:r>
  </w:p>
  <w:p w14:paraId="5D98ABD5" w14:textId="77777777" w:rsidR="007E66E7" w:rsidRDefault="007E66E7">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867EC18" w14:textId="77777777" w:rsidR="004942B1" w:rsidRDefault="004942B1" w:rsidP="00C80F8C">
      <w:r>
        <w:separator/>
      </w:r>
    </w:p>
  </w:footnote>
  <w:footnote w:type="continuationSeparator" w:id="0">
    <w:p w14:paraId="775D7B4F" w14:textId="77777777" w:rsidR="004942B1" w:rsidRDefault="004942B1" w:rsidP="00C80F8C">
      <w:r>
        <w:continuationSeparator/>
      </w:r>
    </w:p>
  </w:footnote>
  <w:footnote w:id="1">
    <w:p w14:paraId="39D7764F" w14:textId="77777777" w:rsidR="007E66E7" w:rsidRDefault="007E66E7" w:rsidP="009C4F62">
      <w:pPr>
        <w:pStyle w:val="Textonotapie"/>
        <w:jc w:val="both"/>
        <w:rPr>
          <w:lang w:val="es-ES"/>
        </w:rPr>
      </w:pPr>
      <w:r>
        <w:rPr>
          <w:rStyle w:val="Refdenotaalpie"/>
        </w:rPr>
        <w:footnoteRef/>
      </w:r>
      <w:r>
        <w:t xml:space="preserve"> </w:t>
      </w:r>
      <w:r w:rsidRPr="009C4F62">
        <w:rPr>
          <w:lang w:val="es-ES"/>
        </w:rPr>
        <w:t>Artículo 179. El recurso de revisión es un medio de protección que la Ley otorga a los particulares, para hacer valer su derecho de acceso a la información pública, y procederá en contra de las siguientes causas:</w:t>
      </w:r>
      <w:r>
        <w:rPr>
          <w:lang w:val="es-ES"/>
        </w:rPr>
        <w:t xml:space="preserve"> </w:t>
      </w:r>
    </w:p>
    <w:p w14:paraId="1A8DFF2E" w14:textId="3712E130" w:rsidR="007E66E7" w:rsidRDefault="007E66E7" w:rsidP="009C4F62">
      <w:pPr>
        <w:pStyle w:val="Textonotapie"/>
        <w:jc w:val="both"/>
        <w:rPr>
          <w:lang w:val="es-ES"/>
        </w:rPr>
      </w:pPr>
      <w:r>
        <w:rPr>
          <w:lang w:val="es-ES"/>
        </w:rPr>
        <w:t>(…)</w:t>
      </w:r>
    </w:p>
    <w:p w14:paraId="6A55C9C6" w14:textId="3B41C096" w:rsidR="007E66E7" w:rsidRDefault="007E66E7" w:rsidP="009C4F62">
      <w:pPr>
        <w:pStyle w:val="Textonotapie"/>
        <w:jc w:val="both"/>
        <w:rPr>
          <w:lang w:val="es-ES"/>
        </w:rPr>
      </w:pPr>
      <w:r w:rsidRPr="00081E7A">
        <w:rPr>
          <w:lang w:val="es-ES"/>
        </w:rPr>
        <w:t>VI. La entrega de información que no corresponda con lo solicitado</w:t>
      </w:r>
    </w:p>
    <w:p w14:paraId="6E8E4B42" w14:textId="48632C39" w:rsidR="007E66E7" w:rsidRDefault="007E66E7" w:rsidP="009C4F62">
      <w:pPr>
        <w:pStyle w:val="Textonotapie"/>
        <w:jc w:val="both"/>
        <w:rPr>
          <w:lang w:val="es-ES"/>
        </w:rPr>
      </w:pPr>
      <w:r>
        <w:rPr>
          <w:lang w:val="es-ES"/>
        </w:rPr>
        <w:t xml:space="preserve"> (…)</w:t>
      </w:r>
    </w:p>
    <w:p w14:paraId="3EBA8880" w14:textId="5E3164DF" w:rsidR="007E66E7" w:rsidRDefault="007E66E7" w:rsidP="00A2042B">
      <w:pPr>
        <w:pStyle w:val="Textonotapie"/>
        <w:jc w:val="both"/>
        <w:rPr>
          <w:lang w:val="es-ES"/>
        </w:rPr>
      </w:pPr>
    </w:p>
    <w:p w14:paraId="1867D448" w14:textId="3D0D5CA2" w:rsidR="007E66E7" w:rsidRDefault="007E66E7" w:rsidP="009C4F62">
      <w:pPr>
        <w:pStyle w:val="Textonotapie"/>
        <w:jc w:val="both"/>
      </w:pPr>
    </w:p>
  </w:footnote>
  <w:footnote w:id="2">
    <w:p w14:paraId="6E57EC4F" w14:textId="77777777" w:rsidR="007E66E7" w:rsidRPr="00F5102E" w:rsidRDefault="007E66E7" w:rsidP="00C548CF">
      <w:pPr>
        <w:pStyle w:val="Textonotapie"/>
        <w:jc w:val="both"/>
        <w:rPr>
          <w:rFonts w:ascii="Palatino Linotype" w:hAnsi="Palatino Linotype"/>
        </w:rPr>
      </w:pPr>
      <w:r w:rsidRPr="00F5102E">
        <w:rPr>
          <w:rStyle w:val="Refdenotaalpie"/>
          <w:rFonts w:ascii="Palatino Linotype" w:hAnsi="Palatino Linotype"/>
        </w:rPr>
        <w:footnoteRef/>
      </w:r>
      <w:r w:rsidRPr="00F5102E">
        <w:rPr>
          <w:rFonts w:ascii="Palatino Linotype" w:hAnsi="Palatino Linotype"/>
        </w:rPr>
        <w:t xml:space="preserve"> </w:t>
      </w:r>
      <w:r w:rsidRPr="00F5102E">
        <w:rPr>
          <w:rFonts w:ascii="Palatino Linotype" w:hAnsi="Palatino Linotype"/>
          <w:b/>
        </w:rPr>
        <w:t>Artículo 9.</w:t>
      </w:r>
      <w:r w:rsidRPr="00F5102E">
        <w:rPr>
          <w:rFonts w:ascii="Palatino Linotype" w:hAnsi="Palatino Linotype"/>
        </w:rPr>
        <w:t xml:space="preserve"> El Instituto deberá regir su funcionamiento de acuerdo a los siguientes principios:</w:t>
      </w:r>
    </w:p>
    <w:p w14:paraId="3E119021" w14:textId="77777777" w:rsidR="007E66E7" w:rsidRPr="00F5102E" w:rsidRDefault="007E66E7" w:rsidP="00C548CF">
      <w:pPr>
        <w:pStyle w:val="Textonotapie"/>
        <w:jc w:val="both"/>
        <w:rPr>
          <w:rFonts w:ascii="Palatino Linotype" w:hAnsi="Palatino Linotype"/>
        </w:rPr>
      </w:pPr>
      <w:r w:rsidRPr="00F5102E">
        <w:rPr>
          <w:rFonts w:ascii="Palatino Linotype" w:hAnsi="Palatino Linotype"/>
        </w:rPr>
        <w:t>(…)</w:t>
      </w:r>
    </w:p>
    <w:p w14:paraId="42D31E86" w14:textId="77777777" w:rsidR="007E66E7" w:rsidRPr="00F5102E" w:rsidRDefault="007E66E7" w:rsidP="00C548CF">
      <w:pPr>
        <w:pStyle w:val="Textonotapie"/>
        <w:jc w:val="both"/>
        <w:rPr>
          <w:rFonts w:ascii="Palatino Linotype" w:hAnsi="Palatino Linotype"/>
          <w:lang w:val="es-ES"/>
        </w:rPr>
      </w:pPr>
      <w:r w:rsidRPr="00F5102E">
        <w:rPr>
          <w:rFonts w:ascii="Palatino Linotype" w:hAnsi="Palatino Linotype"/>
          <w:b/>
          <w:lang w:val="es-ES"/>
        </w:rPr>
        <w:t>II. Eficacia:</w:t>
      </w:r>
      <w:r w:rsidRPr="00F5102E">
        <w:rPr>
          <w:rFonts w:ascii="Palatino Linotype" w:hAnsi="Palatino Linotype"/>
          <w:lang w:val="es-ES"/>
        </w:rPr>
        <w:t xml:space="preserve"> Obligación del Instituto para tutelar, de manera efectiva, el derecho de acceso a la información</w:t>
      </w:r>
    </w:p>
    <w:p w14:paraId="3846E108" w14:textId="77777777" w:rsidR="007E66E7" w:rsidRPr="00F5102E" w:rsidRDefault="007E66E7" w:rsidP="00C548CF">
      <w:pPr>
        <w:pStyle w:val="Textonotapie"/>
        <w:jc w:val="both"/>
        <w:rPr>
          <w:rFonts w:ascii="Palatino Linotype" w:hAnsi="Palatino Linotype"/>
          <w:lang w:val="es-ES"/>
        </w:rPr>
      </w:pPr>
      <w:r w:rsidRPr="00F5102E">
        <w:rPr>
          <w:rFonts w:ascii="Palatino Linotype" w:hAnsi="Palatino Linotype"/>
          <w:lang w:val="es-ES"/>
        </w:rPr>
        <w:t>(…)</w:t>
      </w:r>
    </w:p>
    <w:p w14:paraId="1233CE65" w14:textId="77777777" w:rsidR="007E66E7" w:rsidRDefault="007E66E7" w:rsidP="00C548CF">
      <w:pPr>
        <w:pStyle w:val="Textonotapie"/>
        <w:jc w:val="both"/>
      </w:pPr>
      <w:r w:rsidRPr="00F5102E">
        <w:rPr>
          <w:rFonts w:ascii="Palatino Linotype" w:hAnsi="Palatino Linotype"/>
          <w:b/>
          <w:lang w:val="es-ES"/>
        </w:rPr>
        <w:t>IX. Profesionalismo:</w:t>
      </w:r>
      <w:r w:rsidRPr="00F5102E">
        <w:rPr>
          <w:rFonts w:ascii="Palatino Linotype" w:hAnsi="Palatino Linotype"/>
          <w:lang w:val="es-ES"/>
        </w:rPr>
        <w:t xml:space="preserve"> Los servidores públicos que laboren en el Instituto deberán sujetar su actuación a conocimientos técnicos, teóricos y metodológicos que garanticen un desempeño eficiente y eficaz en el ejercicio de la función pública que tienen encomendada; y</w:t>
      </w:r>
    </w:p>
  </w:footnote>
  <w:footnote w:id="3">
    <w:p w14:paraId="70BF3B8C" w14:textId="77777777" w:rsidR="007E66E7" w:rsidRDefault="007E66E7" w:rsidP="007E66E7">
      <w:pPr>
        <w:pStyle w:val="Textonotapie"/>
        <w:jc w:val="both"/>
      </w:pPr>
      <w:r>
        <w:rPr>
          <w:rStyle w:val="Refdenotaalpie"/>
        </w:rPr>
        <w:footnoteRef/>
      </w:r>
      <w:r>
        <w:t xml:space="preserve"> </w:t>
      </w:r>
      <w:r w:rsidRPr="00394AFF">
        <w:t xml:space="preserve">Referencias que tienen sustento bajo analogía con la jurisprudencia publicada en el Semanario Judicial de la Federación con número de registro 2010038 (V Región) 2º. J/1 (10ª) identificada con el rubro </w:t>
      </w:r>
      <w:r w:rsidRPr="00394AFF">
        <w:rPr>
          <w:b/>
          <w:bCs/>
        </w:rPr>
        <w:t>CONCEPTOS O AGRAVIOS INOPERANTES. QUÉ DEBE ENTENDERSE POR "RAZONAMIENTO" COMO COMPONENTE DE LA CAUSA DE PEDIR PARA QUE PROCEDA SU ESTUDIO</w:t>
      </w:r>
    </w:p>
  </w:footnote>
  <w:footnote w:id="4">
    <w:p w14:paraId="735C638A" w14:textId="77777777" w:rsidR="007E66E7" w:rsidRDefault="007E66E7" w:rsidP="007E66E7">
      <w:pPr>
        <w:pStyle w:val="Textonotapie"/>
        <w:rPr>
          <w:rFonts w:ascii="Palatino Linotype" w:hAnsi="Palatino Linotype"/>
          <w:sz w:val="18"/>
        </w:rPr>
      </w:pPr>
      <w:r>
        <w:rPr>
          <w:rStyle w:val="Refdenotaalpie"/>
          <w:rFonts w:ascii="Palatino Linotype" w:hAnsi="Palatino Linotype"/>
        </w:rPr>
        <w:footnoteRef/>
      </w:r>
      <w:r>
        <w:rPr>
          <w:rFonts w:ascii="Palatino Linotype" w:hAnsi="Palatino Linotype"/>
          <w:sz w:val="18"/>
        </w:rPr>
        <w:t xml:space="preserve"> Convención Americana sobre Derechos Humanos. Artículo 13.</w:t>
      </w:r>
    </w:p>
  </w:footnote>
  <w:footnote w:id="5">
    <w:p w14:paraId="3A63A4BD" w14:textId="77777777" w:rsidR="007E66E7" w:rsidRDefault="007E66E7" w:rsidP="007E66E7">
      <w:pPr>
        <w:pStyle w:val="Textonotapie"/>
        <w:rPr>
          <w:rFonts w:ascii="Palatino Linotype" w:hAnsi="Palatino Linotype"/>
          <w:sz w:val="18"/>
        </w:rPr>
      </w:pPr>
      <w:r>
        <w:rPr>
          <w:rStyle w:val="Refdenotaalpie"/>
          <w:rFonts w:ascii="Palatino Linotype" w:hAnsi="Palatino Linotype"/>
        </w:rPr>
        <w:footnoteRef/>
      </w:r>
      <w:r>
        <w:rPr>
          <w:rFonts w:ascii="Palatino Linotype" w:hAnsi="Palatino Linotype"/>
          <w:sz w:val="18"/>
        </w:rPr>
        <w:t xml:space="preserve"> Constitución Política de los Estados Unidos Mexicanos. Artículo sexto, sección A, fracción I.</w:t>
      </w:r>
    </w:p>
  </w:footnote>
  <w:footnote w:id="6">
    <w:p w14:paraId="1BB3A707" w14:textId="77777777" w:rsidR="007E66E7" w:rsidRDefault="007E66E7" w:rsidP="007E66E7">
      <w:pPr>
        <w:pStyle w:val="Textonotapie"/>
        <w:rPr>
          <w:rFonts w:ascii="Palatino Linotype" w:hAnsi="Palatino Linotype"/>
          <w:sz w:val="18"/>
        </w:rPr>
      </w:pPr>
      <w:r>
        <w:rPr>
          <w:rStyle w:val="Refdenotaalpie"/>
          <w:rFonts w:ascii="Palatino Linotype" w:hAnsi="Palatino Linotype"/>
        </w:rPr>
        <w:footnoteRef/>
      </w:r>
      <w:r>
        <w:rPr>
          <w:rFonts w:ascii="Palatino Linotype" w:hAnsi="Palatino Linotype"/>
          <w:sz w:val="18"/>
        </w:rPr>
        <w:t xml:space="preserve"> Corte Interamericana de Derechos Humanos. Caso Claude Reyes y otros vs. Chile. Sentencia de 19 de septiembre de 2006. Serie C. No. 151. Párr. 86.</w:t>
      </w:r>
    </w:p>
  </w:footnote>
  <w:footnote w:id="7">
    <w:p w14:paraId="561B6C24" w14:textId="77777777" w:rsidR="007E66E7" w:rsidRDefault="007E66E7" w:rsidP="007E66E7">
      <w:pPr>
        <w:pStyle w:val="Textonotapie"/>
        <w:rPr>
          <w:rFonts w:ascii="Cambria" w:hAnsi="Cambria"/>
        </w:rPr>
      </w:pPr>
      <w:r>
        <w:rPr>
          <w:rStyle w:val="Refdenotaalpie"/>
          <w:rFonts w:ascii="Palatino Linotype" w:hAnsi="Palatino Linotype"/>
        </w:rPr>
        <w:footnoteRef/>
      </w:r>
      <w:r>
        <w:rPr>
          <w:rFonts w:ascii="Palatino Linotype" w:hAnsi="Palatino Linotype"/>
          <w:sz w:val="18"/>
        </w:rPr>
        <w:t xml:space="preserve"> Ibídem. Parr. 87.</w:t>
      </w:r>
    </w:p>
  </w:footnote>
  <w:footnote w:id="8">
    <w:p w14:paraId="4123EA8E" w14:textId="77777777" w:rsidR="007E66E7" w:rsidRPr="00AE2E50" w:rsidRDefault="007E66E7" w:rsidP="0082658F">
      <w:pPr>
        <w:jc w:val="both"/>
        <w:rPr>
          <w:rFonts w:ascii="Calibri" w:hAnsi="Calibri"/>
          <w:sz w:val="20"/>
          <w:szCs w:val="20"/>
        </w:rPr>
      </w:pPr>
      <w:r w:rsidRPr="008E7F2E">
        <w:rPr>
          <w:rStyle w:val="Refdenotaalpie"/>
        </w:rPr>
        <w:footnoteRef/>
      </w:r>
      <w:r w:rsidRPr="008E7F2E">
        <w:rPr>
          <w:sz w:val="20"/>
          <w:szCs w:val="20"/>
        </w:rPr>
        <w:t xml:space="preserve"> Las dependencias y entidades no están obligadas</w:t>
      </w:r>
      <w:r w:rsidRPr="00AE2E50">
        <w:rPr>
          <w:rFonts w:ascii="Calibri" w:hAnsi="Calibri"/>
          <w:sz w:val="20"/>
          <w:szCs w:val="20"/>
        </w:rPr>
        <w:t xml:space="preserve"> a generar documentos ad hoc para responder una solicitud de acceso a la información. Tomando en consideración lo establecido por el artículo 42 de la Ley Federal de Transparencia y Acceso a la Información Pública Gubernamental, que establece que las dependencias y entidades sólo estarán obligadas a entregar documentos que se encuentren en sus archivos, las dependencias y entidades no están obligadas a elaborar documentos ad hoc para atender las solicitudes de información, sino que deben garantizar el acceso a la información con la que cuentan en el formato que la misma así lo permita o se encuentre, en aras de dar satisfacción a la solicitud presentada. </w:t>
      </w:r>
    </w:p>
    <w:p w14:paraId="19EA1A10" w14:textId="77777777" w:rsidR="007E66E7" w:rsidRPr="00AE2E50" w:rsidRDefault="007E66E7" w:rsidP="0082658F">
      <w:pPr>
        <w:jc w:val="both"/>
        <w:rPr>
          <w:rFonts w:ascii="Calibri" w:hAnsi="Calibri"/>
          <w:i/>
          <w:sz w:val="20"/>
          <w:szCs w:val="20"/>
        </w:rPr>
      </w:pPr>
      <w:r w:rsidRPr="00AE2E50">
        <w:rPr>
          <w:rFonts w:ascii="Calibri" w:hAnsi="Calibri"/>
          <w:i/>
          <w:sz w:val="20"/>
          <w:szCs w:val="20"/>
        </w:rPr>
        <w:t>Expedientes: 0438/08 Pemex Exploración y Producción – Alonso Lujambio Irazábal 1751/09 Laboratorios de Biológicos y Reactivos de México S.A. de C.V. – María Marván Laborde 2868/09 Consejo Nacional de Ciencia y Tecnología – Jacqueline Peschard Mariscal 5160/09 Secretaría de Hacienda y Crédito Público – Ángel Trinidad Zaldívar 0304/10 Instituto Nacional de Cancerología – Jacqueline Peschard Mariscal</w:t>
      </w:r>
    </w:p>
  </w:footnote>
  <w:footnote w:id="9">
    <w:p w14:paraId="44F68E6F" w14:textId="77777777" w:rsidR="007E66E7" w:rsidRPr="00AE2E50" w:rsidRDefault="007E66E7" w:rsidP="0082658F">
      <w:pPr>
        <w:pStyle w:val="Textonotapie"/>
        <w:jc w:val="both"/>
        <w:rPr>
          <w:rFonts w:ascii="Calibri" w:hAnsi="Calibri"/>
          <w:i/>
        </w:rPr>
      </w:pPr>
      <w:r w:rsidRPr="00AE2E50">
        <w:rPr>
          <w:rStyle w:val="Refdenotaalpie"/>
          <w:rFonts w:ascii="Calibri" w:hAnsi="Calibri"/>
        </w:rPr>
        <w:footnoteRef/>
      </w:r>
      <w:r w:rsidRPr="00AE2E50">
        <w:rPr>
          <w:rFonts w:ascii="Calibri" w:hAnsi="Calibri"/>
        </w:rPr>
        <w:t xml:space="preserve"> “21. El derecho de acceso a la información recae sobre la información que está bajo custodia, administración o tenencia del Estado; la información que el Estado produce o que está obligado a producir; la información que está bajo poder de quienes administran los servicios y los fondos públicos, únicamente respecto de dichos servicios o fondos; y la información que el Estado capta, y la que está obligado a recolectar en cumplimiento de sus funciones”. Relatoría Especial para la Libertad de Expresión. </w:t>
      </w:r>
      <w:r w:rsidRPr="00AE2E50">
        <w:rPr>
          <w:rFonts w:ascii="Calibri" w:hAnsi="Calibri"/>
          <w:i/>
        </w:rPr>
        <w:t>El derecho de acceso a la información en el marco jurídico interamericano.</w:t>
      </w:r>
      <w:r w:rsidRPr="00AE2E50">
        <w:rPr>
          <w:rFonts w:ascii="Calibri" w:hAnsi="Calibri"/>
        </w:rPr>
        <w:t xml:space="preserve"> 2ª edición, Comisión Interamericana de Derechos Humanos, 2012. Párr. 21.</w:t>
      </w:r>
    </w:p>
  </w:footnote>
  <w:footnote w:id="10">
    <w:p w14:paraId="38929003" w14:textId="77777777" w:rsidR="007E66E7" w:rsidRPr="002E1201" w:rsidRDefault="007E66E7" w:rsidP="008C27CC">
      <w:pPr>
        <w:pStyle w:val="Textonotapie"/>
        <w:jc w:val="both"/>
        <w:rPr>
          <w:rFonts w:ascii="Palatino Linotype" w:hAnsi="Palatino Linotype"/>
          <w:sz w:val="18"/>
          <w:szCs w:val="18"/>
        </w:rPr>
      </w:pPr>
      <w:r w:rsidRPr="00AF0D91">
        <w:rPr>
          <w:rStyle w:val="Refdenotaalpie"/>
          <w:rFonts w:ascii="Palatino Linotype" w:hAnsi="Palatino Linotype"/>
        </w:rPr>
        <w:footnoteRef/>
      </w:r>
      <w:r w:rsidRPr="00AF0D91">
        <w:rPr>
          <w:rFonts w:ascii="Palatino Linotype" w:hAnsi="Palatino Linotype"/>
          <w:sz w:val="16"/>
          <w:szCs w:val="16"/>
        </w:rPr>
        <w:t xml:space="preserve"> </w:t>
      </w:r>
      <w:r w:rsidRPr="00E640BF">
        <w:rPr>
          <w:rFonts w:ascii="Palatino Linotype" w:hAnsi="Palatino Linotype"/>
          <w:sz w:val="18"/>
          <w:szCs w:val="18"/>
        </w:rPr>
        <w:t>Publicados el 04 de diciembre de 2013, son a</w:t>
      </w:r>
      <w:r w:rsidRPr="002E1201">
        <w:rPr>
          <w:rFonts w:ascii="Palatino Linotype" w:hAnsi="Palatino Linotype"/>
          <w:sz w:val="18"/>
          <w:szCs w:val="18"/>
        </w:rPr>
        <w:t>plicable al Sujeto Obligado, ya que su artículo 2 indica que son de observancia obligatoria para e</w:t>
      </w:r>
      <w:r>
        <w:rPr>
          <w:rFonts w:ascii="Palatino Linotype" w:hAnsi="Palatino Linotype"/>
          <w:sz w:val="18"/>
          <w:szCs w:val="18"/>
        </w:rPr>
        <w:t xml:space="preserve">l Poder Ejecutivo del </w:t>
      </w:r>
      <w:r w:rsidRPr="002E1201">
        <w:rPr>
          <w:rFonts w:ascii="Palatino Linotype" w:hAnsi="Palatino Linotype"/>
          <w:sz w:val="18"/>
          <w:szCs w:val="18"/>
        </w:rPr>
        <w:t>Estado de México, las Dependencias y Organismos Auxiliares, los Fideicomisos Públicos y la P</w:t>
      </w:r>
      <w:r>
        <w:rPr>
          <w:rFonts w:ascii="Palatino Linotype" w:hAnsi="Palatino Linotype"/>
          <w:sz w:val="18"/>
          <w:szCs w:val="18"/>
        </w:rPr>
        <w:t>rocuraduría General de Justicia.</w:t>
      </w:r>
    </w:p>
  </w:footnote>
  <w:footnote w:id="11">
    <w:p w14:paraId="69AB82C7" w14:textId="77777777" w:rsidR="007E66E7" w:rsidRDefault="007E66E7" w:rsidP="008C27CC">
      <w:pPr>
        <w:pStyle w:val="Textonotapie"/>
      </w:pPr>
      <w:r>
        <w:rPr>
          <w:rStyle w:val="Refdenotaalpie"/>
        </w:rPr>
        <w:footnoteRef/>
      </w:r>
      <w:r>
        <w:t xml:space="preserve"> Consultable en: </w:t>
      </w:r>
      <w:r w:rsidRPr="00D52AC4">
        <w:t>http://edomex.gob.mx/sites/edomex.gob.mx/files/files/LINEAMIENTOS_ADMINISTRACION_DOCUMENTOS_2015.pdf</w:t>
      </w:r>
    </w:p>
  </w:footnote>
  <w:footnote w:id="12">
    <w:p w14:paraId="73C4F544" w14:textId="77777777" w:rsidR="007E66E7" w:rsidRDefault="007E66E7" w:rsidP="008C27CC">
      <w:pPr>
        <w:pStyle w:val="Textonotapie"/>
        <w:jc w:val="both"/>
        <w:rPr>
          <w:rFonts w:ascii="Arial" w:hAnsi="Arial" w:cs="Arial"/>
          <w:color w:val="2F2F2F"/>
          <w:sz w:val="18"/>
          <w:szCs w:val="18"/>
          <w:shd w:val="clear" w:color="auto" w:fill="FFFFFF"/>
        </w:rPr>
      </w:pPr>
      <w:r>
        <w:rPr>
          <w:rStyle w:val="Refdenotaalpie"/>
        </w:rPr>
        <w:footnoteRef/>
      </w:r>
      <w:r>
        <w:t>L</w:t>
      </w:r>
      <w:r>
        <w:rPr>
          <w:rFonts w:ascii="Palatino Linotype" w:eastAsia="Times New Roman" w:hAnsi="Palatino Linotype" w:cs="Arial"/>
          <w:color w:val="000000"/>
        </w:rPr>
        <w:t xml:space="preserve">ineamientos para la Organización y Conservación de Archivos. Numeral Primero. </w:t>
      </w:r>
      <w:r>
        <w:rPr>
          <w:rFonts w:ascii="Arial" w:hAnsi="Arial" w:cs="Arial"/>
          <w:b/>
          <w:bCs/>
          <w:color w:val="2F2F2F"/>
          <w:sz w:val="18"/>
          <w:szCs w:val="18"/>
          <w:shd w:val="clear" w:color="auto" w:fill="FFFFFF"/>
        </w:rPr>
        <w:t>Primero.</w:t>
      </w:r>
      <w:r>
        <w:rPr>
          <w:rFonts w:ascii="Arial" w:hAnsi="Arial" w:cs="Arial"/>
          <w:color w:val="2F2F2F"/>
          <w:sz w:val="18"/>
          <w:szCs w:val="18"/>
          <w:shd w:val="clear" w:color="auto" w:fill="FFFFFF"/>
        </w:rPr>
        <w:t> </w:t>
      </w:r>
      <w:r w:rsidRPr="00B57C26">
        <w:rPr>
          <w:rFonts w:cs="Arial"/>
          <w:color w:val="2F2F2F"/>
          <w:szCs w:val="18"/>
          <w:shd w:val="clear" w:color="auto" w:fill="FFFFFF"/>
        </w:rPr>
        <w:t xml:space="preserve">Los presentes lineamientos tienen por objeto establecer las políticas y criterios para la sistematización y digitalización, así como para la custodia y conservación de los archivos en posesión de los sujetos obligados, con la finalidad de garantizar la disponibilidad, la localización eficiente de la información generada, obtenida, </w:t>
      </w:r>
      <w:r>
        <w:rPr>
          <w:rFonts w:ascii="Arial" w:hAnsi="Arial" w:cs="Arial"/>
          <w:color w:val="2F2F2F"/>
          <w:sz w:val="18"/>
          <w:szCs w:val="18"/>
          <w:shd w:val="clear" w:color="auto" w:fill="FFFFFF"/>
        </w:rPr>
        <w:t>adquirida, transformada y contar con sistemas de información, ágiles y eficientes.</w:t>
      </w:r>
    </w:p>
    <w:p w14:paraId="66021DE6" w14:textId="77777777" w:rsidR="007E66E7" w:rsidRPr="00B57C26" w:rsidRDefault="007E66E7" w:rsidP="008C27CC">
      <w:pPr>
        <w:pStyle w:val="Textonotapie"/>
        <w:jc w:val="both"/>
        <w:rPr>
          <w:rFonts w:eastAsia="Times New Roman" w:cs="Arial"/>
          <w:color w:val="000000"/>
        </w:rPr>
      </w:pPr>
      <w:r w:rsidRPr="00B57C26">
        <w:rPr>
          <w:rFonts w:eastAsia="Times New Roman" w:cs="Arial"/>
          <w:color w:val="000000"/>
        </w:rPr>
        <w:t xml:space="preserve">Disponible en </w:t>
      </w:r>
      <w:hyperlink r:id="rId1" w:history="1">
        <w:r w:rsidRPr="00B57C26">
          <w:rPr>
            <w:rStyle w:val="Hipervnculo"/>
            <w:rFonts w:eastAsia="Times New Roman" w:cs="Arial"/>
          </w:rPr>
          <w:t>http://www.dof.gob.mx/nota_detalle.php?codigo=5436056&amp;fecha=04/05/2016</w:t>
        </w:r>
      </w:hyperlink>
    </w:p>
    <w:p w14:paraId="7A41E57B" w14:textId="77777777" w:rsidR="007E66E7" w:rsidRDefault="007E66E7" w:rsidP="008C27CC">
      <w:pPr>
        <w:pStyle w:val="Textonotapie"/>
      </w:pPr>
    </w:p>
  </w:footnote>
  <w:footnote w:id="13">
    <w:p w14:paraId="4D0D9339" w14:textId="77777777" w:rsidR="007E66E7" w:rsidRPr="002E1201" w:rsidRDefault="007E66E7" w:rsidP="008C27CC">
      <w:pPr>
        <w:pStyle w:val="Textonotapie"/>
        <w:jc w:val="both"/>
        <w:rPr>
          <w:rFonts w:ascii="Palatino Linotype" w:hAnsi="Palatino Linotype"/>
          <w:sz w:val="18"/>
          <w:szCs w:val="18"/>
        </w:rPr>
      </w:pPr>
      <w:r w:rsidRPr="00AF0D91">
        <w:rPr>
          <w:rStyle w:val="Refdenotaalpie"/>
          <w:rFonts w:ascii="Palatino Linotype" w:hAnsi="Palatino Linotype"/>
        </w:rPr>
        <w:footnoteRef/>
      </w:r>
      <w:r w:rsidRPr="00AF0D91">
        <w:rPr>
          <w:rFonts w:ascii="Palatino Linotype" w:hAnsi="Palatino Linotype"/>
          <w:sz w:val="16"/>
          <w:szCs w:val="16"/>
        </w:rPr>
        <w:t xml:space="preserve"> </w:t>
      </w:r>
      <w:r w:rsidRPr="00E640BF">
        <w:rPr>
          <w:rFonts w:ascii="Palatino Linotype" w:hAnsi="Palatino Linotype"/>
          <w:sz w:val="18"/>
          <w:szCs w:val="18"/>
        </w:rPr>
        <w:t>Publicados el 04 de diciembre de 2013, son a</w:t>
      </w:r>
      <w:r w:rsidRPr="002E1201">
        <w:rPr>
          <w:rFonts w:ascii="Palatino Linotype" w:hAnsi="Palatino Linotype"/>
          <w:sz w:val="18"/>
          <w:szCs w:val="18"/>
        </w:rPr>
        <w:t>plicable al Sujeto Obligado, ya que su artículo 2 indica que son de observancia obligatoria para e</w:t>
      </w:r>
      <w:r>
        <w:rPr>
          <w:rFonts w:ascii="Palatino Linotype" w:hAnsi="Palatino Linotype"/>
          <w:sz w:val="18"/>
          <w:szCs w:val="18"/>
        </w:rPr>
        <w:t xml:space="preserve">l Poder Ejecutivo del </w:t>
      </w:r>
      <w:r w:rsidRPr="002E1201">
        <w:rPr>
          <w:rFonts w:ascii="Palatino Linotype" w:hAnsi="Palatino Linotype"/>
          <w:sz w:val="18"/>
          <w:szCs w:val="18"/>
        </w:rPr>
        <w:t>Estado de México, las Dependencias y Organismos Auxiliares, los Fideicomisos Públicos y la P</w:t>
      </w:r>
      <w:r>
        <w:rPr>
          <w:rFonts w:ascii="Palatino Linotype" w:hAnsi="Palatino Linotype"/>
          <w:sz w:val="18"/>
          <w:szCs w:val="18"/>
        </w:rPr>
        <w:t>rocuraduría General de Justicia.</w:t>
      </w:r>
    </w:p>
  </w:footnote>
  <w:footnote w:id="14">
    <w:p w14:paraId="3E08C5DB" w14:textId="77777777" w:rsidR="007E66E7" w:rsidRPr="00DE395A" w:rsidRDefault="007E66E7" w:rsidP="007E66E7">
      <w:pPr>
        <w:autoSpaceDE w:val="0"/>
        <w:autoSpaceDN w:val="0"/>
        <w:adjustRightInd w:val="0"/>
        <w:spacing w:line="276" w:lineRule="auto"/>
        <w:jc w:val="both"/>
        <w:rPr>
          <w:rFonts w:cs="Arial"/>
          <w:sz w:val="20"/>
          <w:szCs w:val="20"/>
          <w:lang w:val="es-MX"/>
        </w:rPr>
      </w:pPr>
      <w:r>
        <w:rPr>
          <w:rStyle w:val="Refdenotaalpie"/>
        </w:rPr>
        <w:footnoteRef/>
      </w:r>
      <w:r w:rsidRPr="00DE395A">
        <w:rPr>
          <w:lang w:val="es-MX"/>
        </w:rPr>
        <w:t xml:space="preserve"> </w:t>
      </w:r>
      <w:r w:rsidRPr="00DE395A">
        <w:rPr>
          <w:rFonts w:cs="Arial"/>
          <w:b/>
          <w:bCs/>
          <w:sz w:val="20"/>
          <w:szCs w:val="20"/>
          <w:lang w:val="es-MX"/>
        </w:rPr>
        <w:t xml:space="preserve">Artículo 122. </w:t>
      </w:r>
      <w:r w:rsidRPr="00DE395A">
        <w:rPr>
          <w:rFonts w:cs="Arial"/>
          <w:sz w:val="20"/>
          <w:szCs w:val="20"/>
          <w:lang w:val="es-MX"/>
        </w:rPr>
        <w:t>La clasificación es el proceso mediante el cual el sujeto obligado determina que la información en su poder actualiza alguno de los supuestos de reserva o confidencialidad, de conformidad con lo dispuesto en el presente título.</w:t>
      </w:r>
    </w:p>
    <w:p w14:paraId="719B471C" w14:textId="77777777" w:rsidR="007E66E7" w:rsidRPr="00DE395A" w:rsidRDefault="007E66E7" w:rsidP="007E66E7">
      <w:pPr>
        <w:autoSpaceDE w:val="0"/>
        <w:autoSpaceDN w:val="0"/>
        <w:adjustRightInd w:val="0"/>
        <w:spacing w:line="276" w:lineRule="auto"/>
        <w:jc w:val="both"/>
        <w:rPr>
          <w:rFonts w:cs="Arial"/>
          <w:sz w:val="20"/>
          <w:szCs w:val="20"/>
          <w:lang w:val="es-MX"/>
        </w:rPr>
      </w:pPr>
      <w:r w:rsidRPr="00DE395A">
        <w:rPr>
          <w:rFonts w:cs="Arial"/>
          <w:sz w:val="20"/>
          <w:szCs w:val="20"/>
          <w:lang w:val="es-MX"/>
        </w:rPr>
        <w:t>Los supuestos de reserva o confidencialidad previstos en las leyes deberán ser acordes con las bases, principios y disposiciones establecidos en la Ley General y, en ningún caso, podrán contravenirla.</w:t>
      </w:r>
    </w:p>
    <w:p w14:paraId="6D03F43B" w14:textId="77777777" w:rsidR="007E66E7" w:rsidRPr="00DE395A" w:rsidRDefault="007E66E7" w:rsidP="007E66E7">
      <w:pPr>
        <w:autoSpaceDE w:val="0"/>
        <w:autoSpaceDN w:val="0"/>
        <w:adjustRightInd w:val="0"/>
        <w:spacing w:line="276" w:lineRule="auto"/>
        <w:jc w:val="both"/>
        <w:rPr>
          <w:rFonts w:cs="Arial"/>
          <w:sz w:val="20"/>
          <w:szCs w:val="20"/>
          <w:lang w:val="es-MX"/>
        </w:rPr>
      </w:pPr>
      <w:r w:rsidRPr="00DE395A">
        <w:rPr>
          <w:rFonts w:cs="Arial"/>
          <w:sz w:val="20"/>
          <w:szCs w:val="20"/>
          <w:lang w:val="es-MX"/>
        </w:rPr>
        <w:t>Los titulares de las áreas de los sujetos obligados serán los responsables de clasificar la información, de conformidad con lo dispuesto en la presente Ley y demás disposiciones jurídicas aplicables.</w:t>
      </w:r>
    </w:p>
  </w:footnote>
  <w:footnote w:id="15">
    <w:p w14:paraId="4BBD6D66" w14:textId="77777777" w:rsidR="007E66E7" w:rsidRPr="00DE395A" w:rsidRDefault="007E66E7" w:rsidP="007E66E7">
      <w:pPr>
        <w:autoSpaceDE w:val="0"/>
        <w:autoSpaceDN w:val="0"/>
        <w:adjustRightInd w:val="0"/>
        <w:spacing w:line="276" w:lineRule="auto"/>
        <w:jc w:val="both"/>
        <w:rPr>
          <w:rFonts w:cs="Arial"/>
          <w:sz w:val="20"/>
          <w:szCs w:val="20"/>
          <w:lang w:val="es-MX"/>
        </w:rPr>
      </w:pPr>
      <w:r w:rsidRPr="00985DD4">
        <w:rPr>
          <w:rStyle w:val="Refdenotaalpie"/>
        </w:rPr>
        <w:footnoteRef/>
      </w:r>
      <w:r w:rsidRPr="00DE395A">
        <w:rPr>
          <w:sz w:val="20"/>
          <w:szCs w:val="20"/>
          <w:lang w:val="es-MX"/>
        </w:rPr>
        <w:t xml:space="preserve"> </w:t>
      </w:r>
      <w:r w:rsidRPr="00DE395A">
        <w:rPr>
          <w:rFonts w:cs="Arial"/>
          <w:b/>
          <w:sz w:val="20"/>
          <w:szCs w:val="20"/>
          <w:lang w:val="es-MX"/>
        </w:rPr>
        <w:t>Artículo 135.</w:t>
      </w:r>
      <w:r w:rsidRPr="00DE395A">
        <w:rPr>
          <w:rFonts w:cs="Arial"/>
          <w:sz w:val="20"/>
          <w:szCs w:val="20"/>
          <w:lang w:val="es-MX"/>
        </w:rPr>
        <w:t xml:space="preserve"> Los lineamientos generales que se emitan al respecto en materia de clasificación de la información reservada y confidencial y, para la elaboración de versiones públicas, serán de observancia obligatoria para los sujetos obligados.</w:t>
      </w:r>
    </w:p>
  </w:footnote>
  <w:footnote w:id="16">
    <w:p w14:paraId="3D1AC689" w14:textId="77777777" w:rsidR="007E66E7" w:rsidRPr="009F19BE" w:rsidRDefault="007E66E7" w:rsidP="007E66E7">
      <w:pPr>
        <w:pStyle w:val="ADB1"/>
        <w:jc w:val="both"/>
        <w:rPr>
          <w:rFonts w:ascii="Palatino Linotype" w:hAnsi="Palatino Linotype"/>
          <w:sz w:val="18"/>
        </w:rPr>
      </w:pPr>
      <w:r w:rsidRPr="009F19BE">
        <w:rPr>
          <w:rStyle w:val="Refdenotaalpie"/>
          <w:rFonts w:ascii="Palatino Linotype" w:hAnsi="Palatino Linotype"/>
          <w:sz w:val="16"/>
        </w:rPr>
        <w:footnoteRef/>
      </w:r>
      <w:r w:rsidRPr="009F19BE">
        <w:rPr>
          <w:rFonts w:ascii="Palatino Linotype" w:hAnsi="Palatino Linotype"/>
          <w:sz w:val="16"/>
          <w:lang w:val="es-ES"/>
        </w:rPr>
        <w:t xml:space="preserve"> </w:t>
      </w:r>
      <w:r w:rsidRPr="009F19BE">
        <w:rPr>
          <w:rFonts w:ascii="Palatino Linotype" w:hAnsi="Palatino Linotype"/>
          <w:b/>
          <w:sz w:val="16"/>
        </w:rPr>
        <w:t>RESTRICCIONES A LOS DERECHOS FUNDAMENTALES. ELEMENTOS QUE EL JUEZ CONSTITUCIONAL DEBE TOMAR EN CUENTA PARA CONSIDERARLAS VÁLIDAS.</w:t>
      </w:r>
      <w:r w:rsidRPr="009F19BE">
        <w:rPr>
          <w:rFonts w:ascii="Palatino Linotype" w:hAnsi="Palatino Linotype"/>
          <w:sz w:val="16"/>
        </w:rPr>
        <w:t xml:space="preserve"> Ningún derecho fundamental es absoluto y en esa medida todos admiten restricciones. Sin embargo, la regulación de dichas restricciones no puede ser arbitraria. Para que las medidas emitidas por el legislador ordinario con el propósito de restringir los derechos fundamentales sean válidas, deben satisfacer al menos los siguientes requisitos: a) ser admisibles dentro del ámbito constitucional, esto es, el legislador ordinario sólo puede restringir o suspender el ejercicio de las garantías individuales con objetivos que puedan enmarcarse dentro de las previsiones de la Carta Magna; b) ser necesarias para asegurar la obtención de los fines que fundamentan la restricción constitucional, es decir, no basta que la restricción sea en términos amplios útil para la obtención de esos objetivos, sino que debe ser la idónea para su realización, lo que significa que el fin buscado por el legislador no se pueda alcanzar razonablemente por otros medios menos restrictivos de derechos fundamentales; y, c) ser proporcional, esto es, la medida legislativa debe respetar una correspondencia entre la </w:t>
      </w:r>
      <w:r w:rsidRPr="009F19BE">
        <w:rPr>
          <w:rFonts w:ascii="Palatino Linotype" w:hAnsi="Palatino Linotype"/>
          <w:sz w:val="18"/>
        </w:rPr>
        <w:t xml:space="preserve">importancia del fin buscado por la ley, y los efectos perjudiciales que produce en otros derechos e intereses constitucionales, en el entendido de que la persecución de un objetivo constitucional no puede hacerse a costa de una afectación innecesaria o desmedida a otros bienes y derechos constitucionalmente protegidos. Así, el juzgador debe determinar en cada caso si la restricción legislativa a un derecho fundamental es, en primer lugar, admisible dadas las previsiones constitucionales, en segundo lugar, si es el medio necesario para proteger esos fines o intereses constitucionalmente amparados, al no existir opciones menos restrictivas que permitan alcanzarlos; y en tercer lugar, si la distinción legislativa se encuentra dentro de las opciones de tratamiento que pueden considerarse proporcionales. De igual manera, las restricciones deberán estar en consonancia con la ley, incluidas las normas internacionales de derechos humanos, y ser compatibles con la naturaleza de los derechos amparados por la Constitución, en aras de la consecución de los objetivos legítimos perseguidos, y ser estrictamente necesarias para promover el bienestar general en una sociedad democrática. </w:t>
      </w:r>
    </w:p>
    <w:p w14:paraId="473F3F80" w14:textId="77777777" w:rsidR="007E66E7" w:rsidRPr="009F19BE" w:rsidRDefault="007E66E7" w:rsidP="007E66E7">
      <w:pPr>
        <w:pStyle w:val="ADB1"/>
        <w:jc w:val="both"/>
        <w:rPr>
          <w:rFonts w:ascii="Palatino Linotype" w:hAnsi="Palatino Linotype"/>
          <w:sz w:val="18"/>
        </w:rPr>
      </w:pPr>
      <w:r w:rsidRPr="009F19BE">
        <w:rPr>
          <w:rFonts w:ascii="Palatino Linotype" w:hAnsi="Palatino Linotype"/>
          <w:sz w:val="18"/>
        </w:rPr>
        <w:t xml:space="preserve">1a./J. 2/2012 (9a.). Primera Sala. Décima Época. Semanario Judicial de la Federación y su Gaceta. Libro V, Febrero de 2012, Pág. 533.  </w:t>
      </w:r>
    </w:p>
  </w:footnote>
  <w:footnote w:id="17">
    <w:p w14:paraId="6073E126" w14:textId="77777777" w:rsidR="007E66E7" w:rsidRPr="009F19BE" w:rsidRDefault="007E66E7" w:rsidP="007E66E7">
      <w:pPr>
        <w:pStyle w:val="ADB1"/>
        <w:jc w:val="both"/>
        <w:rPr>
          <w:rFonts w:ascii="Palatino Linotype" w:hAnsi="Palatino Linotype"/>
          <w:sz w:val="16"/>
          <w:lang w:val="es-ES"/>
        </w:rPr>
      </w:pPr>
      <w:r w:rsidRPr="009F19BE">
        <w:rPr>
          <w:rStyle w:val="Refdenotaalpie"/>
          <w:rFonts w:ascii="Palatino Linotype" w:hAnsi="Palatino Linotype"/>
          <w:sz w:val="18"/>
        </w:rPr>
        <w:footnoteRef/>
      </w:r>
      <w:r w:rsidRPr="009F19BE">
        <w:rPr>
          <w:rFonts w:ascii="Palatino Linotype" w:hAnsi="Palatino Linotype"/>
          <w:sz w:val="18"/>
        </w:rPr>
        <w:t xml:space="preserve"> “67. Según se ha interpretado por la jurisprudencia interamericana, el artículo 13.2 de la Convención Americana exige el cumplimiento de las siguientes tres condiciones básicas para que una limitación al derecho a la libertad de expresión sea admisible: (1) la limitación debe haber sido definida en forma precisa y clara a través de una ley formal y material, (2) la limitación debe estar orientada al logro de objetivos imperiosos autorizados por la Convención Americana, y (3) la limitación debe ser necesaria en una sociedad democrática para el logro de los fines imperiosos que se buscan; estrictamente proporcionada a la finalidad perseguida; e idónea para lograr el objetivo imperioso que pretende lograr”. Relatoría Especial para la Libertad de Expresión, Comisión Interamericana de Derechos Humanos. </w:t>
      </w:r>
      <w:r w:rsidRPr="009F19BE">
        <w:rPr>
          <w:rFonts w:ascii="Palatino Linotype" w:hAnsi="Palatino Linotype"/>
          <w:i/>
          <w:sz w:val="18"/>
        </w:rPr>
        <w:t>Marco jurídico interamericano sobre el derecho a la libertad de expresión</w:t>
      </w:r>
      <w:r w:rsidRPr="009F19BE">
        <w:rPr>
          <w:rFonts w:ascii="Palatino Linotype" w:hAnsi="Palatino Linotype"/>
          <w:sz w:val="18"/>
        </w:rPr>
        <w:t xml:space="preserve">. Párr. 67. </w:t>
      </w:r>
    </w:p>
  </w:footnote>
  <w:footnote w:id="18">
    <w:p w14:paraId="58914BDD" w14:textId="77777777" w:rsidR="007E66E7" w:rsidRPr="00034B44" w:rsidRDefault="007E66E7" w:rsidP="007E66E7">
      <w:pPr>
        <w:pStyle w:val="ADB1"/>
        <w:jc w:val="both"/>
        <w:rPr>
          <w:rFonts w:ascii="Palatino Linotype" w:hAnsi="Palatino Linotype"/>
          <w:sz w:val="18"/>
          <w:lang w:val="es-ES"/>
        </w:rPr>
      </w:pPr>
      <w:r w:rsidRPr="00034B44">
        <w:rPr>
          <w:rStyle w:val="Refdenotaalpie"/>
          <w:rFonts w:ascii="Palatino Linotype" w:hAnsi="Palatino Linotype"/>
          <w:sz w:val="18"/>
        </w:rPr>
        <w:footnoteRef/>
      </w:r>
      <w:r w:rsidRPr="00034B44">
        <w:rPr>
          <w:rFonts w:ascii="Palatino Linotype" w:hAnsi="Palatino Linotype"/>
          <w:sz w:val="18"/>
        </w:rPr>
        <w:t xml:space="preserve"> </w:t>
      </w:r>
      <w:r w:rsidRPr="00034B44">
        <w:rPr>
          <w:rFonts w:ascii="Palatino Linotype" w:hAnsi="Palatino Linotype"/>
          <w:sz w:val="18"/>
          <w:lang w:val="es-ES"/>
        </w:rPr>
        <w:t>Tribunales Colegiados de Circuito. Novena Epoca. Semanario Judicial de la Federación y su Gaceta. Tomo III, marzo de 1996. Pág 769. Consultado en http://sjf.scjn.gob.mx/sjfsist/Documentos/Tesis/203/203143.pdf  el viernes 16 de junio de 2017.</w:t>
      </w:r>
    </w:p>
  </w:footnote>
  <w:footnote w:id="19">
    <w:p w14:paraId="59184E0D" w14:textId="77777777" w:rsidR="007E66E7" w:rsidRPr="00034B44" w:rsidRDefault="007E66E7" w:rsidP="007E66E7">
      <w:pPr>
        <w:pStyle w:val="ADB1"/>
        <w:jc w:val="both"/>
        <w:rPr>
          <w:rFonts w:ascii="Palatino Linotype" w:hAnsi="Palatino Linotype"/>
          <w:sz w:val="18"/>
          <w:lang w:val="es-ES"/>
        </w:rPr>
      </w:pPr>
      <w:r w:rsidRPr="00034B44">
        <w:rPr>
          <w:rStyle w:val="Refdenotaalpie"/>
          <w:rFonts w:ascii="Palatino Linotype" w:hAnsi="Palatino Linotype"/>
          <w:sz w:val="18"/>
        </w:rPr>
        <w:footnoteRef/>
      </w:r>
      <w:r w:rsidRPr="00034B44">
        <w:rPr>
          <w:rFonts w:ascii="Palatino Linotype" w:hAnsi="Palatino Linotype"/>
          <w:sz w:val="18"/>
        </w:rPr>
        <w:t xml:space="preserve"> </w:t>
      </w:r>
      <w:r w:rsidRPr="00034B44">
        <w:rPr>
          <w:rFonts w:ascii="Palatino Linotype" w:hAnsi="Palatino Linotype"/>
          <w:sz w:val="18"/>
          <w:lang w:val="es-ES"/>
        </w:rPr>
        <w:t>“De continuo hacemos un tipo de juicios que podemos llamar de encaje, y que dan lugar a enunciados del tipo ‘x es un Y’. Si sabemos o asumimos que todos los objetos o seres que reúnen las propiedades a, b y c pertenecen al conjunto de los J, cada vez que encontramos uno que tiene esas tres propiedades decimos que es un J. Y también incorporamos excepciones, como cuando asumimos que no pertenece a la categoría de los J el ser que tiene la propiedad d, aunque tenga cualesquiera otras. Entonces, de un x que tenga las propiedades  a, b, c y d diremos que no es un J. Todo esto, en verdad, son obviedades, casi perogrulladas, pero veremos que conviene aquí explicitarlas e ir paso a paso.</w:t>
      </w:r>
    </w:p>
    <w:p w14:paraId="147730BA" w14:textId="77777777" w:rsidR="007E66E7" w:rsidRPr="00034B44" w:rsidRDefault="007E66E7" w:rsidP="007E66E7">
      <w:pPr>
        <w:pStyle w:val="ADB1"/>
        <w:jc w:val="both"/>
        <w:rPr>
          <w:rFonts w:ascii="Palatino Linotype" w:hAnsi="Palatino Linotype"/>
          <w:sz w:val="18"/>
          <w:lang w:val="es-ES"/>
        </w:rPr>
      </w:pPr>
      <w:r w:rsidRPr="00034B44">
        <w:rPr>
          <w:rFonts w:ascii="Palatino Linotype" w:hAnsi="Palatino Linotype"/>
          <w:sz w:val="18"/>
          <w:lang w:val="es-ES"/>
        </w:rPr>
        <w:t>“También en el campo general de lo normativo realizamos, todo el rato, juicios de encaje, sea respecto de acciones, de estados de cosas o de sujetos. Si en el sistema normativo de referencia asumimos que el homicidio es una acción consistente en matar a otro de modo intencional o imprudente, calificaremos como homicidio la acción por la que A mató a B intencional o imprudentemente…</w:t>
      </w:r>
    </w:p>
    <w:p w14:paraId="3B95078B" w14:textId="77777777" w:rsidR="007E66E7" w:rsidRPr="00073E3B" w:rsidRDefault="007E66E7" w:rsidP="007E66E7">
      <w:pPr>
        <w:pStyle w:val="ADB1"/>
        <w:jc w:val="both"/>
        <w:rPr>
          <w:rFonts w:ascii="Palatino Linotype" w:hAnsi="Palatino Linotype"/>
          <w:sz w:val="18"/>
          <w:lang w:val="en-US"/>
        </w:rPr>
      </w:pPr>
      <w:r w:rsidRPr="00034B44">
        <w:rPr>
          <w:rFonts w:ascii="Palatino Linotype" w:hAnsi="Palatino Linotype"/>
          <w:sz w:val="18"/>
          <w:lang w:val="es-ES"/>
        </w:rPr>
        <w:t xml:space="preserve"> “En la teoría jurídica más tradicional, a esos que he llamado juicios de encaje se les llama subsunciones o juicios de subsunción. Subsunciones o juicios de encaje de ese tipo, positivos o negativos, los hacemos sin parar en todo el ámbito de lo normativo, no sólo en el del derecho” GARCÍA AMADO, Juan Antonio. “¿Qué es ponderar? Sobre implicaciones y riesgos de la ponderación” en Revista Iberoamericana de Argumentación, No. 13, 2016. </w:t>
      </w:r>
      <w:r w:rsidRPr="00073E3B">
        <w:rPr>
          <w:rFonts w:ascii="Palatino Linotype" w:hAnsi="Palatino Linotype"/>
          <w:sz w:val="18"/>
          <w:lang w:val="en-US"/>
        </w:rPr>
        <w:t xml:space="preserve">Pp 1-19.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6447" w:type="dxa"/>
      <w:tblInd w:w="2964" w:type="dxa"/>
      <w:tblLayout w:type="fixed"/>
      <w:tblLook w:val="04A0" w:firstRow="1" w:lastRow="0" w:firstColumn="1" w:lastColumn="0" w:noHBand="0" w:noVBand="1"/>
    </w:tblPr>
    <w:tblGrid>
      <w:gridCol w:w="2701"/>
      <w:gridCol w:w="3746"/>
    </w:tblGrid>
    <w:tr w:rsidR="007E66E7" w14:paraId="6B4E3B81" w14:textId="77777777" w:rsidTr="00B4299A">
      <w:tc>
        <w:tcPr>
          <w:tcW w:w="2701" w:type="dxa"/>
          <w:vAlign w:val="center"/>
          <w:hideMark/>
        </w:tcPr>
        <w:p w14:paraId="0ABBC6C0" w14:textId="1226DAAF" w:rsidR="007E66E7" w:rsidRPr="00B4299A" w:rsidRDefault="007E66E7" w:rsidP="009D4854">
          <w:pPr>
            <w:rPr>
              <w:rFonts w:ascii="Palatino Linotype" w:hAnsi="Palatino Linotype"/>
              <w:b/>
              <w:szCs w:val="22"/>
              <w:lang w:val="es-ES_tradnl"/>
            </w:rPr>
          </w:pPr>
          <w:r w:rsidRPr="00B4299A">
            <w:rPr>
              <w:rFonts w:ascii="Palatino Linotype" w:hAnsi="Palatino Linotype"/>
              <w:b/>
              <w:szCs w:val="22"/>
              <w:lang w:val="es-ES_tradnl"/>
            </w:rPr>
            <w:t>Recurso de Revisión:</w:t>
          </w:r>
        </w:p>
      </w:tc>
      <w:tc>
        <w:tcPr>
          <w:tcW w:w="3746" w:type="dxa"/>
          <w:vAlign w:val="center"/>
          <w:hideMark/>
        </w:tcPr>
        <w:p w14:paraId="60C471CA" w14:textId="42C92022" w:rsidR="007E66E7" w:rsidRPr="00B4299A" w:rsidRDefault="007E66E7" w:rsidP="004D3F79">
          <w:pPr>
            <w:rPr>
              <w:rFonts w:ascii="Palatino Linotype" w:hAnsi="Palatino Linotype"/>
              <w:b/>
              <w:szCs w:val="22"/>
              <w:lang w:val="es-ES_tradnl"/>
            </w:rPr>
          </w:pPr>
          <w:r w:rsidRPr="009864C2">
            <w:rPr>
              <w:rFonts w:ascii="Palatino Linotype" w:hAnsi="Palatino Linotype"/>
              <w:b/>
              <w:bCs/>
              <w:szCs w:val="22"/>
            </w:rPr>
            <w:t>05168/INFOEM/IP/RR/2022</w:t>
          </w:r>
        </w:p>
      </w:tc>
    </w:tr>
    <w:tr w:rsidR="007E66E7" w14:paraId="31CB780F" w14:textId="77777777" w:rsidTr="00B4299A">
      <w:trPr>
        <w:trHeight w:val="228"/>
      </w:trPr>
      <w:tc>
        <w:tcPr>
          <w:tcW w:w="2701" w:type="dxa"/>
          <w:vAlign w:val="center"/>
          <w:hideMark/>
        </w:tcPr>
        <w:p w14:paraId="4F49CB4A" w14:textId="6966D32E" w:rsidR="007E66E7" w:rsidRPr="00B4299A" w:rsidRDefault="007E66E7" w:rsidP="009D4854">
          <w:pPr>
            <w:rPr>
              <w:rFonts w:ascii="Palatino Linotype" w:hAnsi="Palatino Linotype"/>
              <w:b/>
              <w:szCs w:val="22"/>
              <w:lang w:val="es-ES_tradnl"/>
            </w:rPr>
          </w:pPr>
          <w:r w:rsidRPr="00B4299A">
            <w:rPr>
              <w:rFonts w:ascii="Palatino Linotype" w:hAnsi="Palatino Linotype"/>
              <w:b/>
              <w:szCs w:val="22"/>
              <w:lang w:val="es-ES_tradnl"/>
            </w:rPr>
            <w:t>Sujeto Obligado:</w:t>
          </w:r>
        </w:p>
      </w:tc>
      <w:tc>
        <w:tcPr>
          <w:tcW w:w="3746" w:type="dxa"/>
          <w:vAlign w:val="center"/>
          <w:hideMark/>
        </w:tcPr>
        <w:p w14:paraId="5D08B318" w14:textId="6C36BD82" w:rsidR="007E66E7" w:rsidRPr="00B4299A" w:rsidRDefault="007E66E7" w:rsidP="00850F99">
          <w:pPr>
            <w:jc w:val="both"/>
            <w:rPr>
              <w:rFonts w:ascii="Palatino Linotype" w:hAnsi="Palatino Linotype"/>
              <w:b/>
              <w:szCs w:val="22"/>
              <w:lang w:val="es-ES_tradnl"/>
            </w:rPr>
          </w:pPr>
          <w:r w:rsidRPr="009864C2">
            <w:rPr>
              <w:rFonts w:ascii="Palatino Linotype" w:hAnsi="Palatino Linotype"/>
              <w:b/>
              <w:bCs/>
              <w:szCs w:val="22"/>
            </w:rPr>
            <w:t>Ayuntamiento de Texcaltitlán</w:t>
          </w:r>
        </w:p>
      </w:tc>
    </w:tr>
    <w:tr w:rsidR="007E66E7" w14:paraId="69050F56" w14:textId="77777777" w:rsidTr="00B4299A">
      <w:tc>
        <w:tcPr>
          <w:tcW w:w="2701" w:type="dxa"/>
          <w:vAlign w:val="center"/>
          <w:hideMark/>
        </w:tcPr>
        <w:p w14:paraId="65C9B735" w14:textId="75C78F81" w:rsidR="007E66E7" w:rsidRPr="00B4299A" w:rsidRDefault="007E66E7" w:rsidP="009D4854">
          <w:pPr>
            <w:rPr>
              <w:rFonts w:ascii="Palatino Linotype" w:hAnsi="Palatino Linotype"/>
              <w:b/>
              <w:szCs w:val="22"/>
              <w:lang w:val="es-ES_tradnl"/>
            </w:rPr>
          </w:pPr>
          <w:r>
            <w:rPr>
              <w:rFonts w:ascii="Palatino Linotype" w:hAnsi="Palatino Linotype"/>
              <w:b/>
              <w:szCs w:val="22"/>
              <w:lang w:val="es-ES_tradnl"/>
            </w:rPr>
            <w:t>Comisionada</w:t>
          </w:r>
          <w:r w:rsidRPr="00B4299A">
            <w:rPr>
              <w:rFonts w:ascii="Palatino Linotype" w:hAnsi="Palatino Linotype"/>
              <w:b/>
              <w:szCs w:val="22"/>
              <w:lang w:val="es-ES_tradnl"/>
            </w:rPr>
            <w:t xml:space="preserve"> ponente:</w:t>
          </w:r>
        </w:p>
      </w:tc>
      <w:tc>
        <w:tcPr>
          <w:tcW w:w="3746" w:type="dxa"/>
          <w:vAlign w:val="center"/>
          <w:hideMark/>
        </w:tcPr>
        <w:p w14:paraId="06864B57" w14:textId="38CF125F" w:rsidR="007E66E7" w:rsidRPr="00B4299A" w:rsidRDefault="007E66E7" w:rsidP="00EA0165">
          <w:pPr>
            <w:ind w:right="-533"/>
            <w:rPr>
              <w:rFonts w:ascii="Palatino Linotype" w:hAnsi="Palatino Linotype"/>
              <w:b/>
              <w:szCs w:val="22"/>
              <w:lang w:val="es-ES_tradnl"/>
            </w:rPr>
          </w:pPr>
          <w:r w:rsidRPr="00B4299A">
            <w:rPr>
              <w:rFonts w:ascii="Palatino Linotype" w:hAnsi="Palatino Linotype"/>
              <w:b/>
              <w:szCs w:val="22"/>
            </w:rPr>
            <w:t xml:space="preserve">María del Rosario Mejía Ayala  </w:t>
          </w:r>
        </w:p>
      </w:tc>
    </w:tr>
  </w:tbl>
  <w:p w14:paraId="0F9141D0" w14:textId="72CC8652" w:rsidR="007E66E7" w:rsidRDefault="007E66E7" w:rsidP="006F30F8">
    <w:pPr>
      <w:pStyle w:val="Encabezado"/>
      <w:tabs>
        <w:tab w:val="clear" w:pos="4252"/>
        <w:tab w:val="clear" w:pos="8504"/>
        <w:tab w:val="left" w:pos="2326"/>
      </w:tabs>
    </w:pPr>
    <w:r>
      <w:rPr>
        <w:noProof/>
        <w:lang w:val="es-MX" w:eastAsia="es-MX"/>
      </w:rPr>
      <w:drawing>
        <wp:anchor distT="0" distB="0" distL="114300" distR="114300" simplePos="0" relativeHeight="251661312" behindDoc="1" locked="0" layoutInCell="1" allowOverlap="1" wp14:anchorId="0F9EF6C9" wp14:editId="102B8752">
          <wp:simplePos x="0" y="0"/>
          <wp:positionH relativeFrom="page">
            <wp:posOffset>76200</wp:posOffset>
          </wp:positionH>
          <wp:positionV relativeFrom="paragraph">
            <wp:posOffset>-1132205</wp:posOffset>
          </wp:positionV>
          <wp:extent cx="7635875" cy="9943465"/>
          <wp:effectExtent l="0" t="0" r="3175" b="635"/>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35875" cy="9943465"/>
                  </a:xfrm>
                  <a:prstGeom prst="rect">
                    <a:avLst/>
                  </a:prstGeom>
                  <a:noFill/>
                </pic:spPr>
              </pic:pic>
            </a:graphicData>
          </a:graphic>
          <wp14:sizeRelH relativeFrom="page">
            <wp14:pctWidth>0</wp14:pctWidth>
          </wp14:sizeRelH>
          <wp14:sizeRelV relativeFrom="page">
            <wp14:pctHeight>0</wp14:pctHeight>
          </wp14:sizeRelV>
        </wp:anchor>
      </w:drawing>
    </w:r>
    <w:r>
      <w:tab/>
    </w:r>
  </w:p>
  <w:p w14:paraId="23403E59" w14:textId="77777777" w:rsidR="007E66E7" w:rsidRDefault="007E66E7" w:rsidP="006F30F8">
    <w:pPr>
      <w:pStyle w:val="Encabezado"/>
      <w:tabs>
        <w:tab w:val="clear" w:pos="4252"/>
        <w:tab w:val="clear" w:pos="8504"/>
        <w:tab w:val="left" w:pos="2326"/>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4E970C" w14:textId="786D2B05" w:rsidR="007E66E7" w:rsidRDefault="007E66E7" w:rsidP="00C47D1B">
    <w:pPr>
      <w:pStyle w:val="Encabezado"/>
      <w:jc w:val="both"/>
    </w:pPr>
    <w:r>
      <w:rPr>
        <w:noProof/>
        <w:lang w:val="es-MX" w:eastAsia="es-MX"/>
      </w:rPr>
      <w:drawing>
        <wp:anchor distT="0" distB="0" distL="114300" distR="114300" simplePos="0" relativeHeight="251659264" behindDoc="1" locked="0" layoutInCell="1" allowOverlap="1" wp14:anchorId="0F18532F" wp14:editId="50AB2CCF">
          <wp:simplePos x="0" y="0"/>
          <wp:positionH relativeFrom="page">
            <wp:align>left</wp:align>
          </wp:positionH>
          <wp:positionV relativeFrom="paragraph">
            <wp:posOffset>-353060</wp:posOffset>
          </wp:positionV>
          <wp:extent cx="7635875" cy="9943465"/>
          <wp:effectExtent l="0" t="0" r="3175" b="635"/>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35875" cy="9943465"/>
                  </a:xfrm>
                  <a:prstGeom prst="rect">
                    <a:avLst/>
                  </a:prstGeom>
                  <a:noFill/>
                </pic:spPr>
              </pic:pic>
            </a:graphicData>
          </a:graphic>
          <wp14:sizeRelH relativeFrom="page">
            <wp14:pctWidth>0</wp14:pctWidth>
          </wp14:sizeRelH>
          <wp14:sizeRelV relativeFrom="page">
            <wp14:pctHeight>0</wp14:pctHeight>
          </wp14:sizeRelV>
        </wp:anchor>
      </w:drawing>
    </w:r>
    <w:r>
      <w:t xml:space="preserve">                                  </w:t>
    </w:r>
  </w:p>
  <w:tbl>
    <w:tblPr>
      <w:tblW w:w="6669" w:type="dxa"/>
      <w:tblInd w:w="3256" w:type="dxa"/>
      <w:tblLayout w:type="fixed"/>
      <w:tblLook w:val="04A0" w:firstRow="1" w:lastRow="0" w:firstColumn="1" w:lastColumn="0" w:noHBand="0" w:noVBand="1"/>
    </w:tblPr>
    <w:tblGrid>
      <w:gridCol w:w="2693"/>
      <w:gridCol w:w="3976"/>
    </w:tblGrid>
    <w:tr w:rsidR="007E66E7" w14:paraId="477E149B" w14:textId="77777777" w:rsidTr="00CB57FD">
      <w:trPr>
        <w:trHeight w:val="277"/>
      </w:trPr>
      <w:tc>
        <w:tcPr>
          <w:tcW w:w="2693" w:type="dxa"/>
          <w:vAlign w:val="center"/>
          <w:hideMark/>
        </w:tcPr>
        <w:p w14:paraId="5C0586E4" w14:textId="77777777" w:rsidR="007E66E7" w:rsidRPr="009B3353" w:rsidRDefault="007E66E7" w:rsidP="00C47D1B">
          <w:pPr>
            <w:rPr>
              <w:rFonts w:ascii="Palatino Linotype" w:hAnsi="Palatino Linotype"/>
              <w:b/>
              <w:szCs w:val="22"/>
              <w:lang w:val="es-ES_tradnl"/>
            </w:rPr>
          </w:pPr>
          <w:r w:rsidRPr="009B3353">
            <w:rPr>
              <w:rFonts w:ascii="Palatino Linotype" w:hAnsi="Palatino Linotype"/>
              <w:b/>
              <w:szCs w:val="22"/>
              <w:lang w:val="es-ES_tradnl"/>
            </w:rPr>
            <w:t>Recurso de Revisión:</w:t>
          </w:r>
        </w:p>
      </w:tc>
      <w:tc>
        <w:tcPr>
          <w:tcW w:w="3976" w:type="dxa"/>
          <w:vAlign w:val="center"/>
          <w:hideMark/>
        </w:tcPr>
        <w:p w14:paraId="5B14C95E" w14:textId="519DF386" w:rsidR="007E66E7" w:rsidRPr="009B3353" w:rsidRDefault="007E66E7" w:rsidP="00761460">
          <w:pPr>
            <w:rPr>
              <w:rFonts w:ascii="Palatino Linotype" w:hAnsi="Palatino Linotype"/>
              <w:b/>
              <w:szCs w:val="22"/>
              <w:lang w:val="es-ES_tradnl"/>
            </w:rPr>
          </w:pPr>
          <w:r w:rsidRPr="009864C2">
            <w:rPr>
              <w:rFonts w:ascii="Palatino Linotype" w:hAnsi="Palatino Linotype"/>
              <w:b/>
              <w:bCs/>
              <w:szCs w:val="22"/>
            </w:rPr>
            <w:t>05168/INFOEM/IP/RR/2022</w:t>
          </w:r>
        </w:p>
      </w:tc>
    </w:tr>
    <w:tr w:rsidR="007E66E7" w14:paraId="5B5BE21C" w14:textId="77777777" w:rsidTr="00CB57FD">
      <w:tc>
        <w:tcPr>
          <w:tcW w:w="2693" w:type="dxa"/>
          <w:vAlign w:val="center"/>
          <w:hideMark/>
        </w:tcPr>
        <w:p w14:paraId="4AE96902" w14:textId="4E063913" w:rsidR="007E66E7" w:rsidRPr="009B3353" w:rsidRDefault="007E66E7" w:rsidP="00C47D1B">
          <w:pPr>
            <w:rPr>
              <w:rFonts w:ascii="Palatino Linotype" w:hAnsi="Palatino Linotype"/>
              <w:b/>
              <w:szCs w:val="22"/>
              <w:lang w:val="es-ES_tradnl"/>
            </w:rPr>
          </w:pPr>
          <w:r w:rsidRPr="009B3353">
            <w:rPr>
              <w:rFonts w:ascii="Palatino Linotype" w:hAnsi="Palatino Linotype"/>
              <w:b/>
              <w:szCs w:val="22"/>
              <w:lang w:val="es-ES_tradnl"/>
            </w:rPr>
            <w:t>Recurrente:</w:t>
          </w:r>
        </w:p>
      </w:tc>
      <w:tc>
        <w:tcPr>
          <w:tcW w:w="3976" w:type="dxa"/>
          <w:vAlign w:val="center"/>
          <w:hideMark/>
        </w:tcPr>
        <w:p w14:paraId="776E3E60" w14:textId="562C073D" w:rsidR="007E66E7" w:rsidRPr="009B3353" w:rsidRDefault="007E66E7" w:rsidP="002B7BCC">
          <w:pPr>
            <w:rPr>
              <w:rFonts w:ascii="Palatino Linotype" w:hAnsi="Palatino Linotype"/>
              <w:b/>
              <w:szCs w:val="22"/>
              <w:lang w:val="es-ES_tradnl"/>
            </w:rPr>
          </w:pPr>
          <w:r>
            <w:rPr>
              <w:rFonts w:ascii="Palatino Linotype" w:hAnsi="Palatino Linotype"/>
              <w:b/>
              <w:szCs w:val="22"/>
              <w:lang w:val="es-ES_tradnl"/>
            </w:rPr>
            <w:t>Sin Especificar</w:t>
          </w:r>
        </w:p>
      </w:tc>
    </w:tr>
    <w:tr w:rsidR="007E66E7" w14:paraId="22601A11" w14:textId="77777777" w:rsidTr="00CB57FD">
      <w:trPr>
        <w:trHeight w:val="228"/>
      </w:trPr>
      <w:tc>
        <w:tcPr>
          <w:tcW w:w="2693" w:type="dxa"/>
          <w:vAlign w:val="center"/>
          <w:hideMark/>
        </w:tcPr>
        <w:p w14:paraId="6EFE221D" w14:textId="49C5F800" w:rsidR="007E66E7" w:rsidRPr="009B3353" w:rsidRDefault="007E66E7" w:rsidP="00C47D1B">
          <w:pPr>
            <w:rPr>
              <w:rFonts w:ascii="Palatino Linotype" w:hAnsi="Palatino Linotype"/>
              <w:b/>
              <w:szCs w:val="22"/>
              <w:lang w:val="es-ES_tradnl"/>
            </w:rPr>
          </w:pPr>
          <w:r w:rsidRPr="009B3353">
            <w:rPr>
              <w:rFonts w:ascii="Palatino Linotype" w:hAnsi="Palatino Linotype"/>
              <w:b/>
              <w:szCs w:val="22"/>
              <w:lang w:val="es-ES_tradnl"/>
            </w:rPr>
            <w:t>Sujeto Obligado:</w:t>
          </w:r>
        </w:p>
      </w:tc>
      <w:tc>
        <w:tcPr>
          <w:tcW w:w="3976" w:type="dxa"/>
          <w:vAlign w:val="center"/>
          <w:hideMark/>
        </w:tcPr>
        <w:p w14:paraId="266F997D" w14:textId="344182FE" w:rsidR="007E66E7" w:rsidRPr="009B3353" w:rsidRDefault="007E66E7" w:rsidP="003D473A">
          <w:pPr>
            <w:jc w:val="both"/>
            <w:rPr>
              <w:rFonts w:ascii="Palatino Linotype" w:eastAsia="Calibri" w:hAnsi="Palatino Linotype"/>
              <w:b/>
              <w:szCs w:val="22"/>
              <w:lang w:val="es-MX" w:eastAsia="en-US"/>
            </w:rPr>
          </w:pPr>
          <w:r w:rsidRPr="009864C2">
            <w:rPr>
              <w:rFonts w:ascii="Palatino Linotype" w:eastAsia="Calibri" w:hAnsi="Palatino Linotype"/>
              <w:b/>
              <w:bCs/>
              <w:szCs w:val="22"/>
              <w:lang w:eastAsia="en-US"/>
            </w:rPr>
            <w:t>Ayuntamiento de Texcaltitlán</w:t>
          </w:r>
        </w:p>
      </w:tc>
    </w:tr>
    <w:tr w:rsidR="007E66E7" w14:paraId="2D6C630E" w14:textId="77777777" w:rsidTr="00CB57FD">
      <w:tc>
        <w:tcPr>
          <w:tcW w:w="2693" w:type="dxa"/>
          <w:vAlign w:val="center"/>
          <w:hideMark/>
        </w:tcPr>
        <w:p w14:paraId="5BD4C6DB" w14:textId="7CF21504" w:rsidR="007E66E7" w:rsidRPr="009B3353" w:rsidRDefault="007E66E7" w:rsidP="00C47D1B">
          <w:pPr>
            <w:rPr>
              <w:rFonts w:ascii="Palatino Linotype" w:hAnsi="Palatino Linotype"/>
              <w:b/>
              <w:szCs w:val="22"/>
              <w:lang w:val="es-ES_tradnl"/>
            </w:rPr>
          </w:pPr>
          <w:r>
            <w:rPr>
              <w:rFonts w:ascii="Palatino Linotype" w:hAnsi="Palatino Linotype"/>
              <w:b/>
              <w:szCs w:val="22"/>
              <w:lang w:val="es-ES_tradnl"/>
            </w:rPr>
            <w:t>Comisionada P</w:t>
          </w:r>
          <w:r w:rsidRPr="009B3353">
            <w:rPr>
              <w:rFonts w:ascii="Palatino Linotype" w:hAnsi="Palatino Linotype"/>
              <w:b/>
              <w:szCs w:val="22"/>
              <w:lang w:val="es-ES_tradnl"/>
            </w:rPr>
            <w:t>onente:</w:t>
          </w:r>
        </w:p>
      </w:tc>
      <w:tc>
        <w:tcPr>
          <w:tcW w:w="3976" w:type="dxa"/>
          <w:vAlign w:val="center"/>
          <w:hideMark/>
        </w:tcPr>
        <w:p w14:paraId="0CDDA0BE" w14:textId="7A79F24D" w:rsidR="007E66E7" w:rsidRPr="009B3353" w:rsidRDefault="007E66E7" w:rsidP="00C47D1B">
          <w:pPr>
            <w:ind w:right="-533"/>
            <w:rPr>
              <w:rFonts w:ascii="Palatino Linotype" w:hAnsi="Palatino Linotype"/>
              <w:b/>
              <w:szCs w:val="22"/>
              <w:lang w:val="es-ES_tradnl"/>
            </w:rPr>
          </w:pPr>
          <w:r>
            <w:rPr>
              <w:rFonts w:ascii="Palatino Linotype" w:hAnsi="Palatino Linotype"/>
              <w:b/>
              <w:szCs w:val="22"/>
            </w:rPr>
            <w:t>María del Rosario Mejía Ayala</w:t>
          </w:r>
        </w:p>
      </w:tc>
    </w:tr>
  </w:tbl>
  <w:p w14:paraId="59DE3767" w14:textId="6FD10F8D" w:rsidR="007E66E7" w:rsidRDefault="007E66E7" w:rsidP="00C47D1B">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0D312A"/>
    <w:multiLevelType w:val="hybridMultilevel"/>
    <w:tmpl w:val="87C4DA9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nsid w:val="0BB71DF8"/>
    <w:multiLevelType w:val="hybridMultilevel"/>
    <w:tmpl w:val="ED5C8F58"/>
    <w:lvl w:ilvl="0" w:tplc="7AA0B6C0">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nsid w:val="16B31864"/>
    <w:multiLevelType w:val="hybridMultilevel"/>
    <w:tmpl w:val="782E1EEA"/>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nsid w:val="17AC60BB"/>
    <w:multiLevelType w:val="hybridMultilevel"/>
    <w:tmpl w:val="DD8CC41A"/>
    <w:lvl w:ilvl="0" w:tplc="080A0001">
      <w:start w:val="1"/>
      <w:numFmt w:val="bullet"/>
      <w:lvlText w:val=""/>
      <w:lvlJc w:val="left"/>
      <w:pPr>
        <w:ind w:left="1260" w:hanging="360"/>
      </w:pPr>
      <w:rPr>
        <w:rFonts w:ascii="Symbol" w:hAnsi="Symbol" w:hint="default"/>
      </w:rPr>
    </w:lvl>
    <w:lvl w:ilvl="1" w:tplc="080A0003" w:tentative="1">
      <w:start w:val="1"/>
      <w:numFmt w:val="bullet"/>
      <w:lvlText w:val="o"/>
      <w:lvlJc w:val="left"/>
      <w:pPr>
        <w:ind w:left="1980" w:hanging="360"/>
      </w:pPr>
      <w:rPr>
        <w:rFonts w:ascii="Courier New" w:hAnsi="Courier New" w:cs="Courier New" w:hint="default"/>
      </w:rPr>
    </w:lvl>
    <w:lvl w:ilvl="2" w:tplc="080A0005" w:tentative="1">
      <w:start w:val="1"/>
      <w:numFmt w:val="bullet"/>
      <w:lvlText w:val=""/>
      <w:lvlJc w:val="left"/>
      <w:pPr>
        <w:ind w:left="2700" w:hanging="360"/>
      </w:pPr>
      <w:rPr>
        <w:rFonts w:ascii="Wingdings" w:hAnsi="Wingdings" w:hint="default"/>
      </w:rPr>
    </w:lvl>
    <w:lvl w:ilvl="3" w:tplc="080A0001" w:tentative="1">
      <w:start w:val="1"/>
      <w:numFmt w:val="bullet"/>
      <w:lvlText w:val=""/>
      <w:lvlJc w:val="left"/>
      <w:pPr>
        <w:ind w:left="3420" w:hanging="360"/>
      </w:pPr>
      <w:rPr>
        <w:rFonts w:ascii="Symbol" w:hAnsi="Symbol" w:hint="default"/>
      </w:rPr>
    </w:lvl>
    <w:lvl w:ilvl="4" w:tplc="080A0003" w:tentative="1">
      <w:start w:val="1"/>
      <w:numFmt w:val="bullet"/>
      <w:lvlText w:val="o"/>
      <w:lvlJc w:val="left"/>
      <w:pPr>
        <w:ind w:left="4140" w:hanging="360"/>
      </w:pPr>
      <w:rPr>
        <w:rFonts w:ascii="Courier New" w:hAnsi="Courier New" w:cs="Courier New" w:hint="default"/>
      </w:rPr>
    </w:lvl>
    <w:lvl w:ilvl="5" w:tplc="080A0005" w:tentative="1">
      <w:start w:val="1"/>
      <w:numFmt w:val="bullet"/>
      <w:lvlText w:val=""/>
      <w:lvlJc w:val="left"/>
      <w:pPr>
        <w:ind w:left="4860" w:hanging="360"/>
      </w:pPr>
      <w:rPr>
        <w:rFonts w:ascii="Wingdings" w:hAnsi="Wingdings" w:hint="default"/>
      </w:rPr>
    </w:lvl>
    <w:lvl w:ilvl="6" w:tplc="080A0001" w:tentative="1">
      <w:start w:val="1"/>
      <w:numFmt w:val="bullet"/>
      <w:lvlText w:val=""/>
      <w:lvlJc w:val="left"/>
      <w:pPr>
        <w:ind w:left="5580" w:hanging="360"/>
      </w:pPr>
      <w:rPr>
        <w:rFonts w:ascii="Symbol" w:hAnsi="Symbol" w:hint="default"/>
      </w:rPr>
    </w:lvl>
    <w:lvl w:ilvl="7" w:tplc="080A0003" w:tentative="1">
      <w:start w:val="1"/>
      <w:numFmt w:val="bullet"/>
      <w:lvlText w:val="o"/>
      <w:lvlJc w:val="left"/>
      <w:pPr>
        <w:ind w:left="6300" w:hanging="360"/>
      </w:pPr>
      <w:rPr>
        <w:rFonts w:ascii="Courier New" w:hAnsi="Courier New" w:cs="Courier New" w:hint="default"/>
      </w:rPr>
    </w:lvl>
    <w:lvl w:ilvl="8" w:tplc="080A0005" w:tentative="1">
      <w:start w:val="1"/>
      <w:numFmt w:val="bullet"/>
      <w:lvlText w:val=""/>
      <w:lvlJc w:val="left"/>
      <w:pPr>
        <w:ind w:left="7020" w:hanging="360"/>
      </w:pPr>
      <w:rPr>
        <w:rFonts w:ascii="Wingdings" w:hAnsi="Wingdings" w:hint="default"/>
      </w:rPr>
    </w:lvl>
  </w:abstractNum>
  <w:abstractNum w:abstractNumId="4">
    <w:nsid w:val="1B5A11A6"/>
    <w:multiLevelType w:val="hybridMultilevel"/>
    <w:tmpl w:val="E4308288"/>
    <w:lvl w:ilvl="0" w:tplc="080A0001">
      <w:start w:val="1"/>
      <w:numFmt w:val="bullet"/>
      <w:lvlText w:val=""/>
      <w:lvlJc w:val="left"/>
      <w:pPr>
        <w:ind w:left="1429" w:hanging="360"/>
      </w:pPr>
      <w:rPr>
        <w:rFonts w:ascii="Symbol" w:hAnsi="Symbol" w:hint="default"/>
      </w:rPr>
    </w:lvl>
    <w:lvl w:ilvl="1" w:tplc="080A0003" w:tentative="1">
      <w:start w:val="1"/>
      <w:numFmt w:val="bullet"/>
      <w:lvlText w:val="o"/>
      <w:lvlJc w:val="left"/>
      <w:pPr>
        <w:ind w:left="2149" w:hanging="360"/>
      </w:pPr>
      <w:rPr>
        <w:rFonts w:ascii="Courier New" w:hAnsi="Courier New" w:cs="Courier New"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5">
    <w:nsid w:val="1DC722D3"/>
    <w:multiLevelType w:val="hybridMultilevel"/>
    <w:tmpl w:val="21E6C992"/>
    <w:lvl w:ilvl="0" w:tplc="A52C2E22">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nsid w:val="1F536658"/>
    <w:multiLevelType w:val="hybridMultilevel"/>
    <w:tmpl w:val="ED4C3122"/>
    <w:lvl w:ilvl="0" w:tplc="3A646C4A">
      <w:start w:val="10"/>
      <w:numFmt w:val="decimal"/>
      <w:lvlText w:val="%1."/>
      <w:lvlJc w:val="left"/>
      <w:pPr>
        <w:ind w:left="720" w:hanging="360"/>
      </w:pPr>
      <w:rPr>
        <w:rFonts w:hint="default"/>
        <w:b/>
        <w:i w:val="0"/>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nsid w:val="1FBA60E1"/>
    <w:multiLevelType w:val="hybridMultilevel"/>
    <w:tmpl w:val="2A62481A"/>
    <w:lvl w:ilvl="0" w:tplc="087AAEF6">
      <w:numFmt w:val="bullet"/>
      <w:lvlText w:val="-"/>
      <w:lvlJc w:val="left"/>
      <w:pPr>
        <w:ind w:left="720" w:hanging="360"/>
      </w:pPr>
      <w:rPr>
        <w:rFonts w:ascii="Palatino Linotype" w:eastAsia="Times New Roman" w:hAnsi="Palatino Linotype" w:cs="Tahoma"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nsid w:val="28364FF8"/>
    <w:multiLevelType w:val="hybridMultilevel"/>
    <w:tmpl w:val="9012A50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nsid w:val="2D927D1D"/>
    <w:multiLevelType w:val="hybridMultilevel"/>
    <w:tmpl w:val="68FACC66"/>
    <w:lvl w:ilvl="0" w:tplc="3A646C4A">
      <w:start w:val="9"/>
      <w:numFmt w:val="decimal"/>
      <w:lvlText w:val="%1."/>
      <w:lvlJc w:val="left"/>
      <w:pPr>
        <w:ind w:left="720" w:hanging="360"/>
      </w:pPr>
      <w:rPr>
        <w:rFonts w:hint="default"/>
        <w:b/>
        <w:i w:val="0"/>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nsid w:val="2F2D0CBB"/>
    <w:multiLevelType w:val="hybridMultilevel"/>
    <w:tmpl w:val="1C7E7F2C"/>
    <w:lvl w:ilvl="0" w:tplc="080A0015">
      <w:start w:val="1"/>
      <w:numFmt w:val="upp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nsid w:val="2FD258E3"/>
    <w:multiLevelType w:val="hybridMultilevel"/>
    <w:tmpl w:val="755A9056"/>
    <w:lvl w:ilvl="0" w:tplc="4A029FF2">
      <w:start w:val="1"/>
      <w:numFmt w:val="decimal"/>
      <w:lvlText w:val="%1."/>
      <w:lvlJc w:val="left"/>
      <w:pPr>
        <w:ind w:left="720" w:hanging="360"/>
      </w:pPr>
      <w:rPr>
        <w:rFonts w:hint="default"/>
        <w:b/>
        <w:i w:val="0"/>
      </w:rPr>
    </w:lvl>
    <w:lvl w:ilvl="1" w:tplc="080A0019">
      <w:start w:val="1"/>
      <w:numFmt w:val="lowerLetter"/>
      <w:lvlText w:val="%2."/>
      <w:lvlJc w:val="left"/>
      <w:pPr>
        <w:ind w:left="1440" w:hanging="360"/>
      </w:pPr>
    </w:lvl>
    <w:lvl w:ilvl="2" w:tplc="6B3E8456">
      <w:start w:val="1"/>
      <w:numFmt w:val="lowerLetter"/>
      <w:lvlText w:val="%3)"/>
      <w:lvlJc w:val="left"/>
      <w:pPr>
        <w:ind w:left="2340" w:hanging="360"/>
      </w:pPr>
      <w:rPr>
        <w:rFonts w:hint="default"/>
      </w:rPr>
    </w:lvl>
    <w:lvl w:ilvl="3" w:tplc="B3C41AD2">
      <w:start w:val="1"/>
      <w:numFmt w:val="upperRoman"/>
      <w:lvlText w:val="%4."/>
      <w:lvlJc w:val="left"/>
      <w:pPr>
        <w:ind w:left="3240" w:hanging="720"/>
      </w:pPr>
      <w:rPr>
        <w:rFonts w:hint="default"/>
      </w:r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nsid w:val="4BDF5C9C"/>
    <w:multiLevelType w:val="hybridMultilevel"/>
    <w:tmpl w:val="60C6E0EA"/>
    <w:lvl w:ilvl="0" w:tplc="3A646C4A">
      <w:start w:val="9"/>
      <w:numFmt w:val="decimal"/>
      <w:lvlText w:val="%1."/>
      <w:lvlJc w:val="left"/>
      <w:pPr>
        <w:ind w:left="720" w:hanging="360"/>
      </w:pPr>
      <w:rPr>
        <w:rFonts w:hint="default"/>
        <w:b/>
        <w:i w:val="0"/>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nsid w:val="4C7A18D0"/>
    <w:multiLevelType w:val="hybridMultilevel"/>
    <w:tmpl w:val="68B20488"/>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nsid w:val="4F96773D"/>
    <w:multiLevelType w:val="hybridMultilevel"/>
    <w:tmpl w:val="B1861432"/>
    <w:lvl w:ilvl="0" w:tplc="FF6C8E18">
      <w:numFmt w:val="bullet"/>
      <w:lvlText w:val="-"/>
      <w:lvlJc w:val="left"/>
      <w:pPr>
        <w:ind w:left="927" w:hanging="360"/>
      </w:pPr>
      <w:rPr>
        <w:rFonts w:ascii="Palatino Linotype" w:eastAsiaTheme="minorEastAsia" w:hAnsi="Palatino Linotype" w:cstheme="minorBid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5">
    <w:nsid w:val="519A3C11"/>
    <w:multiLevelType w:val="hybridMultilevel"/>
    <w:tmpl w:val="191E1BC6"/>
    <w:lvl w:ilvl="0" w:tplc="F2A2EEAA">
      <w:start w:val="13"/>
      <w:numFmt w:val="decimal"/>
      <w:lvlText w:val="%1."/>
      <w:lvlJc w:val="left"/>
      <w:pPr>
        <w:ind w:left="720" w:hanging="360"/>
      </w:pPr>
      <w:rPr>
        <w:rFonts w:hint="default"/>
        <w:b/>
        <w:i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nsid w:val="68374AB5"/>
    <w:multiLevelType w:val="hybridMultilevel"/>
    <w:tmpl w:val="60C6E0EA"/>
    <w:lvl w:ilvl="0" w:tplc="3A646C4A">
      <w:start w:val="9"/>
      <w:numFmt w:val="decimal"/>
      <w:lvlText w:val="%1."/>
      <w:lvlJc w:val="left"/>
      <w:pPr>
        <w:ind w:left="720" w:hanging="360"/>
      </w:pPr>
      <w:rPr>
        <w:rFonts w:hint="default"/>
        <w:b/>
        <w:i w:val="0"/>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nsid w:val="6F875C07"/>
    <w:multiLevelType w:val="hybridMultilevel"/>
    <w:tmpl w:val="A83C78D4"/>
    <w:lvl w:ilvl="0" w:tplc="D3EE106C">
      <w:start w:val="1"/>
      <w:numFmt w:val="decimal"/>
      <w:lvlText w:val="%1."/>
      <w:lvlJc w:val="left"/>
      <w:pPr>
        <w:ind w:left="2487" w:hanging="360"/>
      </w:pPr>
      <w:rPr>
        <w:rFonts w:ascii="Palatino Linotype" w:hAnsi="Palatino Linotype" w:hint="default"/>
        <w:b/>
        <w:i w:val="0"/>
        <w:color w:val="000000" w:themeColor="text1"/>
        <w:sz w:val="24"/>
      </w:rPr>
    </w:lvl>
    <w:lvl w:ilvl="1" w:tplc="080A0001">
      <w:start w:val="1"/>
      <w:numFmt w:val="bullet"/>
      <w:lvlText w:val=""/>
      <w:lvlJc w:val="left"/>
      <w:pPr>
        <w:ind w:left="1080" w:hanging="360"/>
      </w:pPr>
      <w:rPr>
        <w:rFonts w:ascii="Symbol" w:hAnsi="Symbol" w:hint="default"/>
      </w:r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8">
    <w:nsid w:val="72270B05"/>
    <w:multiLevelType w:val="hybridMultilevel"/>
    <w:tmpl w:val="0BE82DC2"/>
    <w:lvl w:ilvl="0" w:tplc="F3743484">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nsid w:val="743204EE"/>
    <w:multiLevelType w:val="hybridMultilevel"/>
    <w:tmpl w:val="E476079C"/>
    <w:lvl w:ilvl="0" w:tplc="AAE0F64C">
      <w:start w:val="1"/>
      <w:numFmt w:val="decimal"/>
      <w:lvlText w:val="%1."/>
      <w:lvlJc w:val="left"/>
      <w:pPr>
        <w:ind w:left="720" w:hanging="360"/>
      </w:pPr>
      <w:rPr>
        <w:rFonts w:ascii="Palatino Linotype" w:hAnsi="Palatino Linotype" w:hint="default"/>
        <w:b/>
        <w:i w:val="0"/>
        <w:sz w:val="24"/>
        <w:szCs w:val="24"/>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nsid w:val="74A94E56"/>
    <w:multiLevelType w:val="hybridMultilevel"/>
    <w:tmpl w:val="3D6CE05E"/>
    <w:lvl w:ilvl="0" w:tplc="39AE2CC2">
      <w:start w:val="1"/>
      <w:numFmt w:val="lowerLetter"/>
      <w:lvlText w:val="%1)"/>
      <w:lvlJc w:val="left"/>
      <w:pPr>
        <w:ind w:left="720" w:hanging="360"/>
      </w:pPr>
      <w:rPr>
        <w:rFonts w:hint="default"/>
        <w:sz w:val="24"/>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nsid w:val="785475B5"/>
    <w:multiLevelType w:val="hybridMultilevel"/>
    <w:tmpl w:val="DD2C9D30"/>
    <w:lvl w:ilvl="0" w:tplc="B452440C">
      <w:start w:val="18"/>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ADA5C0F"/>
    <w:multiLevelType w:val="hybridMultilevel"/>
    <w:tmpl w:val="9314F3EA"/>
    <w:lvl w:ilvl="0" w:tplc="2646AC74">
      <w:start w:val="1"/>
      <w:numFmt w:val="lowerLetter"/>
      <w:lvlText w:val="%1)"/>
      <w:lvlJc w:val="left"/>
      <w:pPr>
        <w:ind w:left="450" w:hanging="360"/>
      </w:pPr>
      <w:rPr>
        <w:rFonts w:hint="default"/>
      </w:rPr>
    </w:lvl>
    <w:lvl w:ilvl="1" w:tplc="080A0019" w:tentative="1">
      <w:start w:val="1"/>
      <w:numFmt w:val="lowerLetter"/>
      <w:lvlText w:val="%2."/>
      <w:lvlJc w:val="left"/>
      <w:pPr>
        <w:ind w:left="1170" w:hanging="360"/>
      </w:pPr>
    </w:lvl>
    <w:lvl w:ilvl="2" w:tplc="080A001B" w:tentative="1">
      <w:start w:val="1"/>
      <w:numFmt w:val="lowerRoman"/>
      <w:lvlText w:val="%3."/>
      <w:lvlJc w:val="right"/>
      <w:pPr>
        <w:ind w:left="1890" w:hanging="180"/>
      </w:pPr>
    </w:lvl>
    <w:lvl w:ilvl="3" w:tplc="080A000F" w:tentative="1">
      <w:start w:val="1"/>
      <w:numFmt w:val="decimal"/>
      <w:lvlText w:val="%4."/>
      <w:lvlJc w:val="left"/>
      <w:pPr>
        <w:ind w:left="2610" w:hanging="360"/>
      </w:pPr>
    </w:lvl>
    <w:lvl w:ilvl="4" w:tplc="080A0019" w:tentative="1">
      <w:start w:val="1"/>
      <w:numFmt w:val="lowerLetter"/>
      <w:lvlText w:val="%5."/>
      <w:lvlJc w:val="left"/>
      <w:pPr>
        <w:ind w:left="3330" w:hanging="360"/>
      </w:pPr>
    </w:lvl>
    <w:lvl w:ilvl="5" w:tplc="080A001B" w:tentative="1">
      <w:start w:val="1"/>
      <w:numFmt w:val="lowerRoman"/>
      <w:lvlText w:val="%6."/>
      <w:lvlJc w:val="right"/>
      <w:pPr>
        <w:ind w:left="4050" w:hanging="180"/>
      </w:pPr>
    </w:lvl>
    <w:lvl w:ilvl="6" w:tplc="080A000F" w:tentative="1">
      <w:start w:val="1"/>
      <w:numFmt w:val="decimal"/>
      <w:lvlText w:val="%7."/>
      <w:lvlJc w:val="left"/>
      <w:pPr>
        <w:ind w:left="4770" w:hanging="360"/>
      </w:pPr>
    </w:lvl>
    <w:lvl w:ilvl="7" w:tplc="080A0019" w:tentative="1">
      <w:start w:val="1"/>
      <w:numFmt w:val="lowerLetter"/>
      <w:lvlText w:val="%8."/>
      <w:lvlJc w:val="left"/>
      <w:pPr>
        <w:ind w:left="5490" w:hanging="360"/>
      </w:pPr>
    </w:lvl>
    <w:lvl w:ilvl="8" w:tplc="080A001B" w:tentative="1">
      <w:start w:val="1"/>
      <w:numFmt w:val="lowerRoman"/>
      <w:lvlText w:val="%9."/>
      <w:lvlJc w:val="right"/>
      <w:pPr>
        <w:ind w:left="6210" w:hanging="180"/>
      </w:pPr>
    </w:lvl>
  </w:abstractNum>
  <w:num w:numId="1">
    <w:abstractNumId w:val="4"/>
  </w:num>
  <w:num w:numId="2">
    <w:abstractNumId w:val="19"/>
  </w:num>
  <w:num w:numId="3">
    <w:abstractNumId w:val="9"/>
  </w:num>
  <w:num w:numId="4">
    <w:abstractNumId w:val="5"/>
  </w:num>
  <w:num w:numId="5">
    <w:abstractNumId w:val="8"/>
  </w:num>
  <w:num w:numId="6">
    <w:abstractNumId w:val="2"/>
  </w:num>
  <w:num w:numId="7">
    <w:abstractNumId w:val="20"/>
  </w:num>
  <w:num w:numId="8">
    <w:abstractNumId w:val="18"/>
  </w:num>
  <w:num w:numId="9">
    <w:abstractNumId w:val="16"/>
  </w:num>
  <w:num w:numId="10">
    <w:abstractNumId w:val="21"/>
  </w:num>
  <w:num w:numId="11">
    <w:abstractNumId w:val="15"/>
  </w:num>
  <w:num w:numId="12">
    <w:abstractNumId w:val="3"/>
  </w:num>
  <w:num w:numId="13">
    <w:abstractNumId w:val="22"/>
  </w:num>
  <w:num w:numId="14">
    <w:abstractNumId w:val="13"/>
  </w:num>
  <w:num w:numId="15">
    <w:abstractNumId w:val="11"/>
  </w:num>
  <w:num w:numId="16">
    <w:abstractNumId w:val="14"/>
  </w:num>
  <w:num w:numId="17">
    <w:abstractNumId w:val="12"/>
  </w:num>
  <w:num w:numId="18">
    <w:abstractNumId w:val="17"/>
  </w:num>
  <w:num w:numId="19">
    <w:abstractNumId w:val="10"/>
  </w:num>
  <w:num w:numId="20">
    <w:abstractNumId w:val="7"/>
  </w:num>
  <w:num w:numId="21">
    <w:abstractNumId w:val="0"/>
  </w:num>
  <w:num w:numId="22">
    <w:abstractNumId w:val="1"/>
  </w:num>
  <w:num w:numId="23">
    <w:abstractNumId w:val="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MX" w:vendorID="64" w:dllVersion="6" w:nlCheck="1" w:checkStyle="0"/>
  <w:activeWritingStyle w:appName="MSWord" w:lang="es-AR" w:vendorID="64" w:dllVersion="6" w:nlCheck="1" w:checkStyle="1"/>
  <w:activeWritingStyle w:appName="MSWord" w:lang="es-ES" w:vendorID="64" w:dllVersion="0" w:nlCheck="1" w:checkStyle="0"/>
  <w:activeWritingStyle w:appName="MSWord" w:lang="es-MX" w:vendorID="64" w:dllVersion="0" w:nlCheck="1" w:checkStyle="0"/>
  <w:activeWritingStyle w:appName="MSWord" w:lang="es-ES_tradnl" w:vendorID="64" w:dllVersion="0" w:nlCheck="1" w:checkStyle="0"/>
  <w:activeWritingStyle w:appName="MSWord" w:lang="en-US" w:vendorID="64" w:dllVersion="6" w:nlCheck="1" w:checkStyle="1"/>
  <w:activeWritingStyle w:appName="MSWord" w:lang="es-ES_tradnl" w:vendorID="64" w:dllVersion="131078" w:nlCheck="1" w:checkStyle="1"/>
  <w:activeWritingStyle w:appName="MSWord" w:lang="es-MX" w:vendorID="64" w:dllVersion="131078" w:nlCheck="1" w:checkStyle="1"/>
  <w:activeWritingStyle w:appName="MSWord" w:lang="es-ES" w:vendorID="64" w:dllVersion="131078" w:nlCheck="1" w:checkStyle="1"/>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0F8C"/>
    <w:rsid w:val="00000938"/>
    <w:rsid w:val="000035AE"/>
    <w:rsid w:val="00003CF3"/>
    <w:rsid w:val="000045A8"/>
    <w:rsid w:val="000059CF"/>
    <w:rsid w:val="000061F4"/>
    <w:rsid w:val="0000625E"/>
    <w:rsid w:val="000064FC"/>
    <w:rsid w:val="0000746A"/>
    <w:rsid w:val="000115F7"/>
    <w:rsid w:val="00012A5F"/>
    <w:rsid w:val="00012D1B"/>
    <w:rsid w:val="00012DD5"/>
    <w:rsid w:val="000134A7"/>
    <w:rsid w:val="000147FB"/>
    <w:rsid w:val="00014A65"/>
    <w:rsid w:val="000151A7"/>
    <w:rsid w:val="000151E0"/>
    <w:rsid w:val="000155EF"/>
    <w:rsid w:val="000163E2"/>
    <w:rsid w:val="00017BE1"/>
    <w:rsid w:val="000200EF"/>
    <w:rsid w:val="00020869"/>
    <w:rsid w:val="00020A18"/>
    <w:rsid w:val="00021E8D"/>
    <w:rsid w:val="000239D7"/>
    <w:rsid w:val="00023C79"/>
    <w:rsid w:val="00024227"/>
    <w:rsid w:val="0002434A"/>
    <w:rsid w:val="00024AE6"/>
    <w:rsid w:val="00024BA6"/>
    <w:rsid w:val="000252E9"/>
    <w:rsid w:val="00025532"/>
    <w:rsid w:val="000260E9"/>
    <w:rsid w:val="0002611C"/>
    <w:rsid w:val="00026705"/>
    <w:rsid w:val="00026D94"/>
    <w:rsid w:val="00026F9C"/>
    <w:rsid w:val="00027E08"/>
    <w:rsid w:val="0003080E"/>
    <w:rsid w:val="00030E35"/>
    <w:rsid w:val="000313AF"/>
    <w:rsid w:val="000314E8"/>
    <w:rsid w:val="00031A49"/>
    <w:rsid w:val="00033629"/>
    <w:rsid w:val="0003385D"/>
    <w:rsid w:val="00034D7D"/>
    <w:rsid w:val="00035413"/>
    <w:rsid w:val="000354B7"/>
    <w:rsid w:val="000359D8"/>
    <w:rsid w:val="00035B1B"/>
    <w:rsid w:val="00035F2E"/>
    <w:rsid w:val="00036575"/>
    <w:rsid w:val="00036B8A"/>
    <w:rsid w:val="00040383"/>
    <w:rsid w:val="000403FB"/>
    <w:rsid w:val="00041464"/>
    <w:rsid w:val="00041731"/>
    <w:rsid w:val="00041BCD"/>
    <w:rsid w:val="000423C7"/>
    <w:rsid w:val="0004471E"/>
    <w:rsid w:val="00045165"/>
    <w:rsid w:val="00045FD8"/>
    <w:rsid w:val="00047F41"/>
    <w:rsid w:val="00051773"/>
    <w:rsid w:val="0005205E"/>
    <w:rsid w:val="000535B0"/>
    <w:rsid w:val="00053D74"/>
    <w:rsid w:val="00054EFE"/>
    <w:rsid w:val="00054F89"/>
    <w:rsid w:val="00055938"/>
    <w:rsid w:val="00055F7A"/>
    <w:rsid w:val="00057073"/>
    <w:rsid w:val="00060CD1"/>
    <w:rsid w:val="0006184D"/>
    <w:rsid w:val="000646E3"/>
    <w:rsid w:val="00066610"/>
    <w:rsid w:val="000667E0"/>
    <w:rsid w:val="00070A81"/>
    <w:rsid w:val="00071462"/>
    <w:rsid w:val="00071A99"/>
    <w:rsid w:val="00072BEF"/>
    <w:rsid w:val="00072D06"/>
    <w:rsid w:val="00074010"/>
    <w:rsid w:val="000752EF"/>
    <w:rsid w:val="00075D7A"/>
    <w:rsid w:val="00076CAF"/>
    <w:rsid w:val="0007730D"/>
    <w:rsid w:val="00077347"/>
    <w:rsid w:val="00077788"/>
    <w:rsid w:val="00077C21"/>
    <w:rsid w:val="00080FA4"/>
    <w:rsid w:val="0008195D"/>
    <w:rsid w:val="00081E7A"/>
    <w:rsid w:val="000824DB"/>
    <w:rsid w:val="00083058"/>
    <w:rsid w:val="0008337E"/>
    <w:rsid w:val="00084105"/>
    <w:rsid w:val="00085359"/>
    <w:rsid w:val="0008542A"/>
    <w:rsid w:val="00085C91"/>
    <w:rsid w:val="00086E2B"/>
    <w:rsid w:val="00086EAA"/>
    <w:rsid w:val="00087498"/>
    <w:rsid w:val="00087514"/>
    <w:rsid w:val="00087DC9"/>
    <w:rsid w:val="00090DE6"/>
    <w:rsid w:val="00090EBA"/>
    <w:rsid w:val="00091682"/>
    <w:rsid w:val="0009456A"/>
    <w:rsid w:val="00094E67"/>
    <w:rsid w:val="0009719D"/>
    <w:rsid w:val="00097C05"/>
    <w:rsid w:val="00097EF0"/>
    <w:rsid w:val="000A05A2"/>
    <w:rsid w:val="000A0D0B"/>
    <w:rsid w:val="000A1C9A"/>
    <w:rsid w:val="000A1E1F"/>
    <w:rsid w:val="000A261A"/>
    <w:rsid w:val="000A351A"/>
    <w:rsid w:val="000A3A51"/>
    <w:rsid w:val="000A4EC4"/>
    <w:rsid w:val="000A515A"/>
    <w:rsid w:val="000A577A"/>
    <w:rsid w:val="000A5B28"/>
    <w:rsid w:val="000A6205"/>
    <w:rsid w:val="000A63B9"/>
    <w:rsid w:val="000A6651"/>
    <w:rsid w:val="000A7C0E"/>
    <w:rsid w:val="000B07E5"/>
    <w:rsid w:val="000B0BF3"/>
    <w:rsid w:val="000B1236"/>
    <w:rsid w:val="000B1437"/>
    <w:rsid w:val="000B1693"/>
    <w:rsid w:val="000B2B61"/>
    <w:rsid w:val="000B2CE3"/>
    <w:rsid w:val="000B2FE2"/>
    <w:rsid w:val="000B3FFD"/>
    <w:rsid w:val="000B4571"/>
    <w:rsid w:val="000B495A"/>
    <w:rsid w:val="000B4E3D"/>
    <w:rsid w:val="000B5351"/>
    <w:rsid w:val="000B57CE"/>
    <w:rsid w:val="000B69A8"/>
    <w:rsid w:val="000B7101"/>
    <w:rsid w:val="000B7318"/>
    <w:rsid w:val="000B7332"/>
    <w:rsid w:val="000B77BE"/>
    <w:rsid w:val="000B7B5A"/>
    <w:rsid w:val="000C1184"/>
    <w:rsid w:val="000C11BE"/>
    <w:rsid w:val="000C16AF"/>
    <w:rsid w:val="000C1B34"/>
    <w:rsid w:val="000C1CF8"/>
    <w:rsid w:val="000C3D4F"/>
    <w:rsid w:val="000C4453"/>
    <w:rsid w:val="000C485E"/>
    <w:rsid w:val="000C54A3"/>
    <w:rsid w:val="000C5528"/>
    <w:rsid w:val="000C59F1"/>
    <w:rsid w:val="000C6204"/>
    <w:rsid w:val="000C72EB"/>
    <w:rsid w:val="000C7714"/>
    <w:rsid w:val="000C77C6"/>
    <w:rsid w:val="000C7C04"/>
    <w:rsid w:val="000D0395"/>
    <w:rsid w:val="000D07EC"/>
    <w:rsid w:val="000D29F9"/>
    <w:rsid w:val="000D4710"/>
    <w:rsid w:val="000D4D96"/>
    <w:rsid w:val="000D6B27"/>
    <w:rsid w:val="000D7676"/>
    <w:rsid w:val="000D7CBE"/>
    <w:rsid w:val="000D7F38"/>
    <w:rsid w:val="000D7F6F"/>
    <w:rsid w:val="000E08B8"/>
    <w:rsid w:val="000E1259"/>
    <w:rsid w:val="000E1C85"/>
    <w:rsid w:val="000E1CA1"/>
    <w:rsid w:val="000E44E3"/>
    <w:rsid w:val="000E462D"/>
    <w:rsid w:val="000E48C2"/>
    <w:rsid w:val="000E5560"/>
    <w:rsid w:val="000E59A1"/>
    <w:rsid w:val="000E5D65"/>
    <w:rsid w:val="000E693E"/>
    <w:rsid w:val="000F1BBF"/>
    <w:rsid w:val="000F219C"/>
    <w:rsid w:val="000F2EB3"/>
    <w:rsid w:val="000F4598"/>
    <w:rsid w:val="000F71B5"/>
    <w:rsid w:val="000F7FE2"/>
    <w:rsid w:val="001002A8"/>
    <w:rsid w:val="0010152C"/>
    <w:rsid w:val="00101832"/>
    <w:rsid w:val="00103E4C"/>
    <w:rsid w:val="0010451F"/>
    <w:rsid w:val="00104E08"/>
    <w:rsid w:val="00104ECA"/>
    <w:rsid w:val="00106146"/>
    <w:rsid w:val="00106B32"/>
    <w:rsid w:val="00107249"/>
    <w:rsid w:val="001073CC"/>
    <w:rsid w:val="00107584"/>
    <w:rsid w:val="00107A49"/>
    <w:rsid w:val="00107BBC"/>
    <w:rsid w:val="00107FC5"/>
    <w:rsid w:val="00110202"/>
    <w:rsid w:val="0011033C"/>
    <w:rsid w:val="00110507"/>
    <w:rsid w:val="001110FC"/>
    <w:rsid w:val="00111A41"/>
    <w:rsid w:val="00111D7F"/>
    <w:rsid w:val="00112892"/>
    <w:rsid w:val="00112B9F"/>
    <w:rsid w:val="00114D4B"/>
    <w:rsid w:val="00114DDF"/>
    <w:rsid w:val="00115AAD"/>
    <w:rsid w:val="00116064"/>
    <w:rsid w:val="00117030"/>
    <w:rsid w:val="0012062D"/>
    <w:rsid w:val="00120D7C"/>
    <w:rsid w:val="001210A4"/>
    <w:rsid w:val="001219E7"/>
    <w:rsid w:val="001227CA"/>
    <w:rsid w:val="00124762"/>
    <w:rsid w:val="00124D16"/>
    <w:rsid w:val="00124EA4"/>
    <w:rsid w:val="00126994"/>
    <w:rsid w:val="00126F04"/>
    <w:rsid w:val="00127CCA"/>
    <w:rsid w:val="00130642"/>
    <w:rsid w:val="001306E4"/>
    <w:rsid w:val="00130AA5"/>
    <w:rsid w:val="00130BA7"/>
    <w:rsid w:val="00135D98"/>
    <w:rsid w:val="00136083"/>
    <w:rsid w:val="001362C2"/>
    <w:rsid w:val="00137C1F"/>
    <w:rsid w:val="00141F78"/>
    <w:rsid w:val="00143012"/>
    <w:rsid w:val="00143967"/>
    <w:rsid w:val="001445AB"/>
    <w:rsid w:val="0014506E"/>
    <w:rsid w:val="00147E1D"/>
    <w:rsid w:val="00150789"/>
    <w:rsid w:val="00150C0D"/>
    <w:rsid w:val="00151A0D"/>
    <w:rsid w:val="00151D19"/>
    <w:rsid w:val="00152866"/>
    <w:rsid w:val="0015311F"/>
    <w:rsid w:val="001539B3"/>
    <w:rsid w:val="00153F8E"/>
    <w:rsid w:val="001543BC"/>
    <w:rsid w:val="0015502B"/>
    <w:rsid w:val="0015554A"/>
    <w:rsid w:val="0015575F"/>
    <w:rsid w:val="00155BCB"/>
    <w:rsid w:val="00155D53"/>
    <w:rsid w:val="00160E43"/>
    <w:rsid w:val="00161160"/>
    <w:rsid w:val="00161B66"/>
    <w:rsid w:val="00161FC4"/>
    <w:rsid w:val="00162CA1"/>
    <w:rsid w:val="00163B98"/>
    <w:rsid w:val="001643F3"/>
    <w:rsid w:val="00164952"/>
    <w:rsid w:val="00164BD1"/>
    <w:rsid w:val="00165138"/>
    <w:rsid w:val="00166139"/>
    <w:rsid w:val="001667F0"/>
    <w:rsid w:val="00167F89"/>
    <w:rsid w:val="00167F8F"/>
    <w:rsid w:val="001701C4"/>
    <w:rsid w:val="001705A5"/>
    <w:rsid w:val="00170979"/>
    <w:rsid w:val="00170D88"/>
    <w:rsid w:val="00170E0A"/>
    <w:rsid w:val="00170E97"/>
    <w:rsid w:val="00171D47"/>
    <w:rsid w:val="00171F21"/>
    <w:rsid w:val="00172089"/>
    <w:rsid w:val="001723BF"/>
    <w:rsid w:val="00173627"/>
    <w:rsid w:val="00174E15"/>
    <w:rsid w:val="0017530C"/>
    <w:rsid w:val="0017555E"/>
    <w:rsid w:val="00175974"/>
    <w:rsid w:val="00175A2B"/>
    <w:rsid w:val="00176F55"/>
    <w:rsid w:val="00177A27"/>
    <w:rsid w:val="00177B7E"/>
    <w:rsid w:val="00181594"/>
    <w:rsid w:val="00181791"/>
    <w:rsid w:val="00182E55"/>
    <w:rsid w:val="00183275"/>
    <w:rsid w:val="00184BC3"/>
    <w:rsid w:val="00184FBA"/>
    <w:rsid w:val="0018512D"/>
    <w:rsid w:val="001852E0"/>
    <w:rsid w:val="0018689B"/>
    <w:rsid w:val="00186B63"/>
    <w:rsid w:val="00186C88"/>
    <w:rsid w:val="001871B2"/>
    <w:rsid w:val="00190A74"/>
    <w:rsid w:val="001911CC"/>
    <w:rsid w:val="00191ACE"/>
    <w:rsid w:val="00192861"/>
    <w:rsid w:val="00193909"/>
    <w:rsid w:val="00196141"/>
    <w:rsid w:val="00196EF5"/>
    <w:rsid w:val="00197DA4"/>
    <w:rsid w:val="001A0542"/>
    <w:rsid w:val="001A0598"/>
    <w:rsid w:val="001A05BA"/>
    <w:rsid w:val="001A0F86"/>
    <w:rsid w:val="001A1125"/>
    <w:rsid w:val="001A1810"/>
    <w:rsid w:val="001A2131"/>
    <w:rsid w:val="001A25D5"/>
    <w:rsid w:val="001A2A37"/>
    <w:rsid w:val="001A2FF3"/>
    <w:rsid w:val="001A373A"/>
    <w:rsid w:val="001A466C"/>
    <w:rsid w:val="001A4E38"/>
    <w:rsid w:val="001A4F68"/>
    <w:rsid w:val="001A78F5"/>
    <w:rsid w:val="001A7913"/>
    <w:rsid w:val="001B0C32"/>
    <w:rsid w:val="001B234C"/>
    <w:rsid w:val="001B2379"/>
    <w:rsid w:val="001B3256"/>
    <w:rsid w:val="001B3C02"/>
    <w:rsid w:val="001B5099"/>
    <w:rsid w:val="001B6BDC"/>
    <w:rsid w:val="001B6E23"/>
    <w:rsid w:val="001C085B"/>
    <w:rsid w:val="001C0C3F"/>
    <w:rsid w:val="001C19C4"/>
    <w:rsid w:val="001C1CAE"/>
    <w:rsid w:val="001C1DC2"/>
    <w:rsid w:val="001C2C24"/>
    <w:rsid w:val="001C304B"/>
    <w:rsid w:val="001C51A0"/>
    <w:rsid w:val="001C54E5"/>
    <w:rsid w:val="001C592C"/>
    <w:rsid w:val="001C5CD3"/>
    <w:rsid w:val="001D0631"/>
    <w:rsid w:val="001D064E"/>
    <w:rsid w:val="001D19AB"/>
    <w:rsid w:val="001D2EB5"/>
    <w:rsid w:val="001D54C7"/>
    <w:rsid w:val="001D6064"/>
    <w:rsid w:val="001D60A4"/>
    <w:rsid w:val="001D63C6"/>
    <w:rsid w:val="001D6A83"/>
    <w:rsid w:val="001E0ACB"/>
    <w:rsid w:val="001E1C02"/>
    <w:rsid w:val="001E39C4"/>
    <w:rsid w:val="001E3CA0"/>
    <w:rsid w:val="001E5309"/>
    <w:rsid w:val="001E54C9"/>
    <w:rsid w:val="001E64BE"/>
    <w:rsid w:val="001E766B"/>
    <w:rsid w:val="001F05C9"/>
    <w:rsid w:val="001F07FA"/>
    <w:rsid w:val="001F174A"/>
    <w:rsid w:val="001F1B46"/>
    <w:rsid w:val="001F1F7D"/>
    <w:rsid w:val="001F20AB"/>
    <w:rsid w:val="001F21C4"/>
    <w:rsid w:val="001F2CA8"/>
    <w:rsid w:val="001F41FB"/>
    <w:rsid w:val="001F465A"/>
    <w:rsid w:val="001F4E10"/>
    <w:rsid w:val="001F501F"/>
    <w:rsid w:val="001F6D50"/>
    <w:rsid w:val="0020054B"/>
    <w:rsid w:val="00201E21"/>
    <w:rsid w:val="00203E4E"/>
    <w:rsid w:val="00204C2A"/>
    <w:rsid w:val="00205361"/>
    <w:rsid w:val="00205ADF"/>
    <w:rsid w:val="0020602B"/>
    <w:rsid w:val="002066DF"/>
    <w:rsid w:val="002070E6"/>
    <w:rsid w:val="00212FE4"/>
    <w:rsid w:val="00213228"/>
    <w:rsid w:val="0021442C"/>
    <w:rsid w:val="002155B0"/>
    <w:rsid w:val="002158CB"/>
    <w:rsid w:val="00215922"/>
    <w:rsid w:val="00220958"/>
    <w:rsid w:val="00221545"/>
    <w:rsid w:val="00221D2C"/>
    <w:rsid w:val="0022285B"/>
    <w:rsid w:val="00222F65"/>
    <w:rsid w:val="00223869"/>
    <w:rsid w:val="00223D0B"/>
    <w:rsid w:val="00224DEB"/>
    <w:rsid w:val="00225FCB"/>
    <w:rsid w:val="002271AA"/>
    <w:rsid w:val="002278E9"/>
    <w:rsid w:val="00231269"/>
    <w:rsid w:val="0023264F"/>
    <w:rsid w:val="00233285"/>
    <w:rsid w:val="00233748"/>
    <w:rsid w:val="0023380E"/>
    <w:rsid w:val="002339A2"/>
    <w:rsid w:val="00233D1C"/>
    <w:rsid w:val="00233F88"/>
    <w:rsid w:val="002347E0"/>
    <w:rsid w:val="00234DEF"/>
    <w:rsid w:val="00235FB4"/>
    <w:rsid w:val="00236540"/>
    <w:rsid w:val="00236E44"/>
    <w:rsid w:val="00237482"/>
    <w:rsid w:val="002423FE"/>
    <w:rsid w:val="00242C4A"/>
    <w:rsid w:val="0024380A"/>
    <w:rsid w:val="0024404E"/>
    <w:rsid w:val="002440EB"/>
    <w:rsid w:val="002441D0"/>
    <w:rsid w:val="00244265"/>
    <w:rsid w:val="00244EEF"/>
    <w:rsid w:val="002464E7"/>
    <w:rsid w:val="002500C8"/>
    <w:rsid w:val="00251066"/>
    <w:rsid w:val="00251C63"/>
    <w:rsid w:val="002529ED"/>
    <w:rsid w:val="0025386B"/>
    <w:rsid w:val="00253F03"/>
    <w:rsid w:val="002556CA"/>
    <w:rsid w:val="00255E4E"/>
    <w:rsid w:val="00256193"/>
    <w:rsid w:val="00256BFD"/>
    <w:rsid w:val="00257AA8"/>
    <w:rsid w:val="002606A7"/>
    <w:rsid w:val="0026164E"/>
    <w:rsid w:val="0026271B"/>
    <w:rsid w:val="002629E7"/>
    <w:rsid w:val="00265366"/>
    <w:rsid w:val="002657BB"/>
    <w:rsid w:val="00266490"/>
    <w:rsid w:val="0026683E"/>
    <w:rsid w:val="00266A60"/>
    <w:rsid w:val="002677C1"/>
    <w:rsid w:val="00267A6D"/>
    <w:rsid w:val="00270883"/>
    <w:rsid w:val="00271446"/>
    <w:rsid w:val="00271FC2"/>
    <w:rsid w:val="00273204"/>
    <w:rsid w:val="00275423"/>
    <w:rsid w:val="00275AD6"/>
    <w:rsid w:val="00276D8F"/>
    <w:rsid w:val="00276F2E"/>
    <w:rsid w:val="00276FDC"/>
    <w:rsid w:val="0027702B"/>
    <w:rsid w:val="00277F70"/>
    <w:rsid w:val="00280FF5"/>
    <w:rsid w:val="002817BA"/>
    <w:rsid w:val="00281EF2"/>
    <w:rsid w:val="00282135"/>
    <w:rsid w:val="00283308"/>
    <w:rsid w:val="00284224"/>
    <w:rsid w:val="002856CF"/>
    <w:rsid w:val="002856DC"/>
    <w:rsid w:val="0028632C"/>
    <w:rsid w:val="002864D4"/>
    <w:rsid w:val="0028674A"/>
    <w:rsid w:val="00286C23"/>
    <w:rsid w:val="00286DC8"/>
    <w:rsid w:val="00290C42"/>
    <w:rsid w:val="00291435"/>
    <w:rsid w:val="00291A1A"/>
    <w:rsid w:val="00292786"/>
    <w:rsid w:val="002937C6"/>
    <w:rsid w:val="00293DE5"/>
    <w:rsid w:val="00293E07"/>
    <w:rsid w:val="00295078"/>
    <w:rsid w:val="00295960"/>
    <w:rsid w:val="00295C72"/>
    <w:rsid w:val="00295D44"/>
    <w:rsid w:val="00295DE7"/>
    <w:rsid w:val="0029609C"/>
    <w:rsid w:val="0029670A"/>
    <w:rsid w:val="0029745A"/>
    <w:rsid w:val="00297AB0"/>
    <w:rsid w:val="002A0448"/>
    <w:rsid w:val="002A28FE"/>
    <w:rsid w:val="002A3A7A"/>
    <w:rsid w:val="002A43B0"/>
    <w:rsid w:val="002A5EA5"/>
    <w:rsid w:val="002A6A41"/>
    <w:rsid w:val="002A6CC7"/>
    <w:rsid w:val="002B0A1D"/>
    <w:rsid w:val="002B0EF8"/>
    <w:rsid w:val="002B1708"/>
    <w:rsid w:val="002B1960"/>
    <w:rsid w:val="002B2467"/>
    <w:rsid w:val="002B27E7"/>
    <w:rsid w:val="002B2B24"/>
    <w:rsid w:val="002B393B"/>
    <w:rsid w:val="002B3A2C"/>
    <w:rsid w:val="002B3E09"/>
    <w:rsid w:val="002B45EF"/>
    <w:rsid w:val="002B45F2"/>
    <w:rsid w:val="002B4950"/>
    <w:rsid w:val="002B62AF"/>
    <w:rsid w:val="002B7622"/>
    <w:rsid w:val="002B79FC"/>
    <w:rsid w:val="002B7BCC"/>
    <w:rsid w:val="002B7C06"/>
    <w:rsid w:val="002C053B"/>
    <w:rsid w:val="002C0C63"/>
    <w:rsid w:val="002C0F55"/>
    <w:rsid w:val="002C0F5C"/>
    <w:rsid w:val="002C1824"/>
    <w:rsid w:val="002C2743"/>
    <w:rsid w:val="002C4011"/>
    <w:rsid w:val="002C4537"/>
    <w:rsid w:val="002C4BC2"/>
    <w:rsid w:val="002C4CA2"/>
    <w:rsid w:val="002C4EBB"/>
    <w:rsid w:val="002C4F45"/>
    <w:rsid w:val="002C6154"/>
    <w:rsid w:val="002C6432"/>
    <w:rsid w:val="002C75F2"/>
    <w:rsid w:val="002C77E4"/>
    <w:rsid w:val="002C7992"/>
    <w:rsid w:val="002C7E93"/>
    <w:rsid w:val="002D02DC"/>
    <w:rsid w:val="002D07B6"/>
    <w:rsid w:val="002D0878"/>
    <w:rsid w:val="002D21B3"/>
    <w:rsid w:val="002D2486"/>
    <w:rsid w:val="002D46BF"/>
    <w:rsid w:val="002D4C95"/>
    <w:rsid w:val="002D508B"/>
    <w:rsid w:val="002D678A"/>
    <w:rsid w:val="002D6AD2"/>
    <w:rsid w:val="002E03BC"/>
    <w:rsid w:val="002E1D63"/>
    <w:rsid w:val="002E2669"/>
    <w:rsid w:val="002E4EC0"/>
    <w:rsid w:val="002E5744"/>
    <w:rsid w:val="002E578A"/>
    <w:rsid w:val="002E6172"/>
    <w:rsid w:val="002E6B74"/>
    <w:rsid w:val="002E76D5"/>
    <w:rsid w:val="002F1C4D"/>
    <w:rsid w:val="002F2653"/>
    <w:rsid w:val="002F2FB4"/>
    <w:rsid w:val="002F345E"/>
    <w:rsid w:val="002F3910"/>
    <w:rsid w:val="002F3A84"/>
    <w:rsid w:val="002F4040"/>
    <w:rsid w:val="002F411A"/>
    <w:rsid w:val="002F54A4"/>
    <w:rsid w:val="002F5A90"/>
    <w:rsid w:val="002F6977"/>
    <w:rsid w:val="002F700E"/>
    <w:rsid w:val="002F750C"/>
    <w:rsid w:val="002F772C"/>
    <w:rsid w:val="002F78E8"/>
    <w:rsid w:val="003002F7"/>
    <w:rsid w:val="00302787"/>
    <w:rsid w:val="00302C06"/>
    <w:rsid w:val="00302C33"/>
    <w:rsid w:val="00302FBC"/>
    <w:rsid w:val="00303364"/>
    <w:rsid w:val="00303BC7"/>
    <w:rsid w:val="00303BDC"/>
    <w:rsid w:val="00304058"/>
    <w:rsid w:val="0030529D"/>
    <w:rsid w:val="00305480"/>
    <w:rsid w:val="00306589"/>
    <w:rsid w:val="00306B09"/>
    <w:rsid w:val="00306D3D"/>
    <w:rsid w:val="0030711C"/>
    <w:rsid w:val="00307186"/>
    <w:rsid w:val="00307275"/>
    <w:rsid w:val="0031046F"/>
    <w:rsid w:val="0031090D"/>
    <w:rsid w:val="003129F4"/>
    <w:rsid w:val="0031395E"/>
    <w:rsid w:val="00313AFB"/>
    <w:rsid w:val="00314023"/>
    <w:rsid w:val="00314587"/>
    <w:rsid w:val="003156AE"/>
    <w:rsid w:val="00315780"/>
    <w:rsid w:val="00315891"/>
    <w:rsid w:val="00316240"/>
    <w:rsid w:val="0031687C"/>
    <w:rsid w:val="003172C3"/>
    <w:rsid w:val="00320B63"/>
    <w:rsid w:val="0032180D"/>
    <w:rsid w:val="00321D72"/>
    <w:rsid w:val="00321DF2"/>
    <w:rsid w:val="003227E4"/>
    <w:rsid w:val="00322AE2"/>
    <w:rsid w:val="003231A8"/>
    <w:rsid w:val="00323623"/>
    <w:rsid w:val="00323995"/>
    <w:rsid w:val="00323CFF"/>
    <w:rsid w:val="00325874"/>
    <w:rsid w:val="00326AE6"/>
    <w:rsid w:val="00326DF2"/>
    <w:rsid w:val="00327357"/>
    <w:rsid w:val="0033030C"/>
    <w:rsid w:val="003324DF"/>
    <w:rsid w:val="00333422"/>
    <w:rsid w:val="003339C3"/>
    <w:rsid w:val="00333C7C"/>
    <w:rsid w:val="003349F4"/>
    <w:rsid w:val="00335047"/>
    <w:rsid w:val="0033544E"/>
    <w:rsid w:val="003374EB"/>
    <w:rsid w:val="003404F0"/>
    <w:rsid w:val="00340732"/>
    <w:rsid w:val="0034094E"/>
    <w:rsid w:val="00340B86"/>
    <w:rsid w:val="0034164E"/>
    <w:rsid w:val="00342AE7"/>
    <w:rsid w:val="00343A82"/>
    <w:rsid w:val="00345D3E"/>
    <w:rsid w:val="00346090"/>
    <w:rsid w:val="00347274"/>
    <w:rsid w:val="0034736C"/>
    <w:rsid w:val="00347F1F"/>
    <w:rsid w:val="00351568"/>
    <w:rsid w:val="00351CB7"/>
    <w:rsid w:val="003523DE"/>
    <w:rsid w:val="00352703"/>
    <w:rsid w:val="00352FCD"/>
    <w:rsid w:val="003537DE"/>
    <w:rsid w:val="00353940"/>
    <w:rsid w:val="003541CA"/>
    <w:rsid w:val="003543B2"/>
    <w:rsid w:val="003555AA"/>
    <w:rsid w:val="003557C1"/>
    <w:rsid w:val="00355B75"/>
    <w:rsid w:val="00356202"/>
    <w:rsid w:val="0035716F"/>
    <w:rsid w:val="003579BC"/>
    <w:rsid w:val="0036086E"/>
    <w:rsid w:val="00360A55"/>
    <w:rsid w:val="00361B13"/>
    <w:rsid w:val="0036269D"/>
    <w:rsid w:val="00363278"/>
    <w:rsid w:val="003633DD"/>
    <w:rsid w:val="00363ED0"/>
    <w:rsid w:val="003655C3"/>
    <w:rsid w:val="003669E8"/>
    <w:rsid w:val="00366C6B"/>
    <w:rsid w:val="00367026"/>
    <w:rsid w:val="003676B6"/>
    <w:rsid w:val="00367BBB"/>
    <w:rsid w:val="00367CE5"/>
    <w:rsid w:val="0037225D"/>
    <w:rsid w:val="003729E8"/>
    <w:rsid w:val="00373299"/>
    <w:rsid w:val="00373579"/>
    <w:rsid w:val="00374C7D"/>
    <w:rsid w:val="00374F4D"/>
    <w:rsid w:val="00375241"/>
    <w:rsid w:val="003756E8"/>
    <w:rsid w:val="00375BB0"/>
    <w:rsid w:val="00376142"/>
    <w:rsid w:val="0037663F"/>
    <w:rsid w:val="003771DD"/>
    <w:rsid w:val="00377B34"/>
    <w:rsid w:val="00382014"/>
    <w:rsid w:val="00384CD8"/>
    <w:rsid w:val="00387128"/>
    <w:rsid w:val="003915BA"/>
    <w:rsid w:val="00392E2B"/>
    <w:rsid w:val="00394605"/>
    <w:rsid w:val="00397B04"/>
    <w:rsid w:val="003A0C73"/>
    <w:rsid w:val="003A11DD"/>
    <w:rsid w:val="003A19EE"/>
    <w:rsid w:val="003A2B96"/>
    <w:rsid w:val="003A2E5E"/>
    <w:rsid w:val="003A3518"/>
    <w:rsid w:val="003A3683"/>
    <w:rsid w:val="003A4ABA"/>
    <w:rsid w:val="003A5891"/>
    <w:rsid w:val="003A5A6E"/>
    <w:rsid w:val="003A5E0F"/>
    <w:rsid w:val="003A6186"/>
    <w:rsid w:val="003A6534"/>
    <w:rsid w:val="003A78A7"/>
    <w:rsid w:val="003A7A6D"/>
    <w:rsid w:val="003A7E31"/>
    <w:rsid w:val="003A7F01"/>
    <w:rsid w:val="003B5CA9"/>
    <w:rsid w:val="003B62A2"/>
    <w:rsid w:val="003B6A7C"/>
    <w:rsid w:val="003B72E9"/>
    <w:rsid w:val="003B7A17"/>
    <w:rsid w:val="003C281B"/>
    <w:rsid w:val="003C375A"/>
    <w:rsid w:val="003C4A72"/>
    <w:rsid w:val="003C4A79"/>
    <w:rsid w:val="003C4C4B"/>
    <w:rsid w:val="003C5222"/>
    <w:rsid w:val="003C5460"/>
    <w:rsid w:val="003C55F5"/>
    <w:rsid w:val="003C58B8"/>
    <w:rsid w:val="003C5A54"/>
    <w:rsid w:val="003C5B34"/>
    <w:rsid w:val="003C5BCA"/>
    <w:rsid w:val="003C689A"/>
    <w:rsid w:val="003C741C"/>
    <w:rsid w:val="003D0889"/>
    <w:rsid w:val="003D1883"/>
    <w:rsid w:val="003D18A4"/>
    <w:rsid w:val="003D1A39"/>
    <w:rsid w:val="003D1DF9"/>
    <w:rsid w:val="003D1E19"/>
    <w:rsid w:val="003D1ED1"/>
    <w:rsid w:val="003D25A4"/>
    <w:rsid w:val="003D30A5"/>
    <w:rsid w:val="003D473A"/>
    <w:rsid w:val="003D489B"/>
    <w:rsid w:val="003D48A3"/>
    <w:rsid w:val="003D5101"/>
    <w:rsid w:val="003D61B0"/>
    <w:rsid w:val="003E0A67"/>
    <w:rsid w:val="003E0BFB"/>
    <w:rsid w:val="003E132A"/>
    <w:rsid w:val="003E14B1"/>
    <w:rsid w:val="003E1576"/>
    <w:rsid w:val="003E1BBE"/>
    <w:rsid w:val="003E1CFE"/>
    <w:rsid w:val="003E5DB7"/>
    <w:rsid w:val="003E5F18"/>
    <w:rsid w:val="003E6A2E"/>
    <w:rsid w:val="003E6D0E"/>
    <w:rsid w:val="003F09F0"/>
    <w:rsid w:val="003F0CD4"/>
    <w:rsid w:val="003F2BA9"/>
    <w:rsid w:val="003F3041"/>
    <w:rsid w:val="003F3A6C"/>
    <w:rsid w:val="003F52C2"/>
    <w:rsid w:val="003F58C3"/>
    <w:rsid w:val="003F5CBA"/>
    <w:rsid w:val="003F61FF"/>
    <w:rsid w:val="003F6A1E"/>
    <w:rsid w:val="003F733C"/>
    <w:rsid w:val="003F7346"/>
    <w:rsid w:val="0040233B"/>
    <w:rsid w:val="00402A30"/>
    <w:rsid w:val="004030E3"/>
    <w:rsid w:val="00403FAA"/>
    <w:rsid w:val="00404666"/>
    <w:rsid w:val="004053FB"/>
    <w:rsid w:val="004058AB"/>
    <w:rsid w:val="0040596D"/>
    <w:rsid w:val="00405A99"/>
    <w:rsid w:val="00410650"/>
    <w:rsid w:val="004106C1"/>
    <w:rsid w:val="004126F7"/>
    <w:rsid w:val="00412A01"/>
    <w:rsid w:val="00413FC2"/>
    <w:rsid w:val="004140B9"/>
    <w:rsid w:val="00414AE6"/>
    <w:rsid w:val="00414EE8"/>
    <w:rsid w:val="00416CFB"/>
    <w:rsid w:val="00416E00"/>
    <w:rsid w:val="00417006"/>
    <w:rsid w:val="00417703"/>
    <w:rsid w:val="0042006D"/>
    <w:rsid w:val="0042021B"/>
    <w:rsid w:val="00422A60"/>
    <w:rsid w:val="00422DF8"/>
    <w:rsid w:val="00422FA0"/>
    <w:rsid w:val="0042327C"/>
    <w:rsid w:val="004235DA"/>
    <w:rsid w:val="00423786"/>
    <w:rsid w:val="00423D1D"/>
    <w:rsid w:val="00423FC1"/>
    <w:rsid w:val="00424241"/>
    <w:rsid w:val="00425620"/>
    <w:rsid w:val="00425AD4"/>
    <w:rsid w:val="004315B7"/>
    <w:rsid w:val="00431E02"/>
    <w:rsid w:val="0043317E"/>
    <w:rsid w:val="00433345"/>
    <w:rsid w:val="00433382"/>
    <w:rsid w:val="0043373A"/>
    <w:rsid w:val="0043397D"/>
    <w:rsid w:val="00434033"/>
    <w:rsid w:val="00434264"/>
    <w:rsid w:val="0043442A"/>
    <w:rsid w:val="00434D26"/>
    <w:rsid w:val="00435FB9"/>
    <w:rsid w:val="00436503"/>
    <w:rsid w:val="0043669C"/>
    <w:rsid w:val="0043670A"/>
    <w:rsid w:val="00436897"/>
    <w:rsid w:val="0043700B"/>
    <w:rsid w:val="00437337"/>
    <w:rsid w:val="00437D10"/>
    <w:rsid w:val="00440454"/>
    <w:rsid w:val="00440BFF"/>
    <w:rsid w:val="00441BF3"/>
    <w:rsid w:val="004436A9"/>
    <w:rsid w:val="004436ED"/>
    <w:rsid w:val="00443FE0"/>
    <w:rsid w:val="004440AC"/>
    <w:rsid w:val="004443A2"/>
    <w:rsid w:val="00444919"/>
    <w:rsid w:val="00445454"/>
    <w:rsid w:val="0044547C"/>
    <w:rsid w:val="00446BB3"/>
    <w:rsid w:val="00446C36"/>
    <w:rsid w:val="004471D2"/>
    <w:rsid w:val="00450182"/>
    <w:rsid w:val="00450869"/>
    <w:rsid w:val="00450C33"/>
    <w:rsid w:val="00450F57"/>
    <w:rsid w:val="00451E4C"/>
    <w:rsid w:val="00451F5B"/>
    <w:rsid w:val="00452122"/>
    <w:rsid w:val="00452AF2"/>
    <w:rsid w:val="00453028"/>
    <w:rsid w:val="00453918"/>
    <w:rsid w:val="004548F3"/>
    <w:rsid w:val="004553D4"/>
    <w:rsid w:val="004555FD"/>
    <w:rsid w:val="00455768"/>
    <w:rsid w:val="00456E2C"/>
    <w:rsid w:val="00456F5D"/>
    <w:rsid w:val="00457077"/>
    <w:rsid w:val="00457FC7"/>
    <w:rsid w:val="00461796"/>
    <w:rsid w:val="00461A0A"/>
    <w:rsid w:val="00461B3D"/>
    <w:rsid w:val="00462197"/>
    <w:rsid w:val="00462417"/>
    <w:rsid w:val="00463BD3"/>
    <w:rsid w:val="004645F5"/>
    <w:rsid w:val="00464624"/>
    <w:rsid w:val="00464C89"/>
    <w:rsid w:val="00464EB1"/>
    <w:rsid w:val="0046570E"/>
    <w:rsid w:val="00465E62"/>
    <w:rsid w:val="004669A4"/>
    <w:rsid w:val="00467700"/>
    <w:rsid w:val="004677F9"/>
    <w:rsid w:val="00467874"/>
    <w:rsid w:val="00467C85"/>
    <w:rsid w:val="004716B0"/>
    <w:rsid w:val="004716C4"/>
    <w:rsid w:val="004723A9"/>
    <w:rsid w:val="00472460"/>
    <w:rsid w:val="004754E1"/>
    <w:rsid w:val="004763B5"/>
    <w:rsid w:val="00476A24"/>
    <w:rsid w:val="0047775E"/>
    <w:rsid w:val="00481ABD"/>
    <w:rsid w:val="00482683"/>
    <w:rsid w:val="00482731"/>
    <w:rsid w:val="0048286C"/>
    <w:rsid w:val="00483A0F"/>
    <w:rsid w:val="00484625"/>
    <w:rsid w:val="0048589D"/>
    <w:rsid w:val="00487218"/>
    <w:rsid w:val="004879E2"/>
    <w:rsid w:val="00487F15"/>
    <w:rsid w:val="0049105B"/>
    <w:rsid w:val="004912A0"/>
    <w:rsid w:val="00491F00"/>
    <w:rsid w:val="0049206E"/>
    <w:rsid w:val="004928DE"/>
    <w:rsid w:val="0049380B"/>
    <w:rsid w:val="00493E2F"/>
    <w:rsid w:val="004942B1"/>
    <w:rsid w:val="00494CB5"/>
    <w:rsid w:val="004954D8"/>
    <w:rsid w:val="0049576C"/>
    <w:rsid w:val="00495836"/>
    <w:rsid w:val="004967E8"/>
    <w:rsid w:val="004A0812"/>
    <w:rsid w:val="004A0A18"/>
    <w:rsid w:val="004A0EA8"/>
    <w:rsid w:val="004A14D9"/>
    <w:rsid w:val="004A21F6"/>
    <w:rsid w:val="004A2680"/>
    <w:rsid w:val="004A4608"/>
    <w:rsid w:val="004A4B61"/>
    <w:rsid w:val="004A5E2D"/>
    <w:rsid w:val="004A6E0B"/>
    <w:rsid w:val="004A6EFE"/>
    <w:rsid w:val="004A70A0"/>
    <w:rsid w:val="004A755A"/>
    <w:rsid w:val="004A77BA"/>
    <w:rsid w:val="004A79C5"/>
    <w:rsid w:val="004B1858"/>
    <w:rsid w:val="004B1A4B"/>
    <w:rsid w:val="004B2540"/>
    <w:rsid w:val="004B3D11"/>
    <w:rsid w:val="004B455B"/>
    <w:rsid w:val="004B4987"/>
    <w:rsid w:val="004B4A83"/>
    <w:rsid w:val="004B4DC3"/>
    <w:rsid w:val="004B58C3"/>
    <w:rsid w:val="004B675F"/>
    <w:rsid w:val="004B72C5"/>
    <w:rsid w:val="004B7A1B"/>
    <w:rsid w:val="004C08BF"/>
    <w:rsid w:val="004C223B"/>
    <w:rsid w:val="004C2635"/>
    <w:rsid w:val="004C3804"/>
    <w:rsid w:val="004C3F96"/>
    <w:rsid w:val="004C41D8"/>
    <w:rsid w:val="004C44B6"/>
    <w:rsid w:val="004C45A2"/>
    <w:rsid w:val="004C56DE"/>
    <w:rsid w:val="004C60E6"/>
    <w:rsid w:val="004C6611"/>
    <w:rsid w:val="004C6CFE"/>
    <w:rsid w:val="004C7629"/>
    <w:rsid w:val="004C7701"/>
    <w:rsid w:val="004D088F"/>
    <w:rsid w:val="004D0A26"/>
    <w:rsid w:val="004D0EE4"/>
    <w:rsid w:val="004D30E1"/>
    <w:rsid w:val="004D35FC"/>
    <w:rsid w:val="004D3F79"/>
    <w:rsid w:val="004D482C"/>
    <w:rsid w:val="004D5AC0"/>
    <w:rsid w:val="004D5FEF"/>
    <w:rsid w:val="004D680A"/>
    <w:rsid w:val="004D764F"/>
    <w:rsid w:val="004D7D33"/>
    <w:rsid w:val="004E1EBF"/>
    <w:rsid w:val="004E27AD"/>
    <w:rsid w:val="004E2D51"/>
    <w:rsid w:val="004E37B6"/>
    <w:rsid w:val="004E3AFD"/>
    <w:rsid w:val="004E44D0"/>
    <w:rsid w:val="004E4987"/>
    <w:rsid w:val="004E52D1"/>
    <w:rsid w:val="004E585B"/>
    <w:rsid w:val="004F0A75"/>
    <w:rsid w:val="004F0CC9"/>
    <w:rsid w:val="004F1841"/>
    <w:rsid w:val="004F227C"/>
    <w:rsid w:val="004F2CC0"/>
    <w:rsid w:val="004F3B64"/>
    <w:rsid w:val="004F4992"/>
    <w:rsid w:val="004F5243"/>
    <w:rsid w:val="004F6394"/>
    <w:rsid w:val="004F64AD"/>
    <w:rsid w:val="004F759E"/>
    <w:rsid w:val="004F7AC2"/>
    <w:rsid w:val="00501721"/>
    <w:rsid w:val="00503053"/>
    <w:rsid w:val="00503E5E"/>
    <w:rsid w:val="005042BC"/>
    <w:rsid w:val="0050583D"/>
    <w:rsid w:val="00505B26"/>
    <w:rsid w:val="0050606E"/>
    <w:rsid w:val="00506258"/>
    <w:rsid w:val="00506578"/>
    <w:rsid w:val="00507449"/>
    <w:rsid w:val="005079B9"/>
    <w:rsid w:val="00510866"/>
    <w:rsid w:val="00511092"/>
    <w:rsid w:val="00511602"/>
    <w:rsid w:val="005119CD"/>
    <w:rsid w:val="00513EAE"/>
    <w:rsid w:val="00514166"/>
    <w:rsid w:val="005164B6"/>
    <w:rsid w:val="00516E6A"/>
    <w:rsid w:val="005171DE"/>
    <w:rsid w:val="005206C8"/>
    <w:rsid w:val="005218EA"/>
    <w:rsid w:val="00521EE1"/>
    <w:rsid w:val="00523390"/>
    <w:rsid w:val="00523435"/>
    <w:rsid w:val="0052414D"/>
    <w:rsid w:val="00525A5B"/>
    <w:rsid w:val="0052638D"/>
    <w:rsid w:val="0053002A"/>
    <w:rsid w:val="0053153A"/>
    <w:rsid w:val="00531ABD"/>
    <w:rsid w:val="00535560"/>
    <w:rsid w:val="005356D8"/>
    <w:rsid w:val="00537427"/>
    <w:rsid w:val="005379E3"/>
    <w:rsid w:val="00541397"/>
    <w:rsid w:val="005413A9"/>
    <w:rsid w:val="00541C7E"/>
    <w:rsid w:val="00542386"/>
    <w:rsid w:val="00542D8A"/>
    <w:rsid w:val="00543427"/>
    <w:rsid w:val="00543BF9"/>
    <w:rsid w:val="00544117"/>
    <w:rsid w:val="00544E0A"/>
    <w:rsid w:val="00545A06"/>
    <w:rsid w:val="00550CA5"/>
    <w:rsid w:val="00551BA4"/>
    <w:rsid w:val="00552D59"/>
    <w:rsid w:val="00553835"/>
    <w:rsid w:val="00555349"/>
    <w:rsid w:val="005553D7"/>
    <w:rsid w:val="00555595"/>
    <w:rsid w:val="005556E4"/>
    <w:rsid w:val="0055571F"/>
    <w:rsid w:val="0055597D"/>
    <w:rsid w:val="00556E99"/>
    <w:rsid w:val="00557314"/>
    <w:rsid w:val="005603D9"/>
    <w:rsid w:val="0056136A"/>
    <w:rsid w:val="00561A82"/>
    <w:rsid w:val="00561B6E"/>
    <w:rsid w:val="005624EC"/>
    <w:rsid w:val="00562ACE"/>
    <w:rsid w:val="0056316F"/>
    <w:rsid w:val="00563803"/>
    <w:rsid w:val="00564711"/>
    <w:rsid w:val="00565483"/>
    <w:rsid w:val="0056588E"/>
    <w:rsid w:val="00567EF2"/>
    <w:rsid w:val="00571391"/>
    <w:rsid w:val="005714AD"/>
    <w:rsid w:val="005726F4"/>
    <w:rsid w:val="00572DA9"/>
    <w:rsid w:val="00573157"/>
    <w:rsid w:val="00573949"/>
    <w:rsid w:val="00573ECF"/>
    <w:rsid w:val="00574A4F"/>
    <w:rsid w:val="00575053"/>
    <w:rsid w:val="00576107"/>
    <w:rsid w:val="00576A50"/>
    <w:rsid w:val="00577287"/>
    <w:rsid w:val="00577553"/>
    <w:rsid w:val="005777E0"/>
    <w:rsid w:val="00581562"/>
    <w:rsid w:val="0058269D"/>
    <w:rsid w:val="00583795"/>
    <w:rsid w:val="0058439D"/>
    <w:rsid w:val="00585149"/>
    <w:rsid w:val="00585C24"/>
    <w:rsid w:val="00585F8F"/>
    <w:rsid w:val="00586C7B"/>
    <w:rsid w:val="0058743A"/>
    <w:rsid w:val="005875A9"/>
    <w:rsid w:val="00590D33"/>
    <w:rsid w:val="005921E5"/>
    <w:rsid w:val="00592755"/>
    <w:rsid w:val="00593401"/>
    <w:rsid w:val="00593DB7"/>
    <w:rsid w:val="00594366"/>
    <w:rsid w:val="00594BC5"/>
    <w:rsid w:val="005954A5"/>
    <w:rsid w:val="005954E9"/>
    <w:rsid w:val="005A0040"/>
    <w:rsid w:val="005A119B"/>
    <w:rsid w:val="005A1564"/>
    <w:rsid w:val="005A232E"/>
    <w:rsid w:val="005A2689"/>
    <w:rsid w:val="005A3328"/>
    <w:rsid w:val="005A52D3"/>
    <w:rsid w:val="005A6845"/>
    <w:rsid w:val="005A7138"/>
    <w:rsid w:val="005A71F3"/>
    <w:rsid w:val="005A7C3F"/>
    <w:rsid w:val="005B00B6"/>
    <w:rsid w:val="005B087C"/>
    <w:rsid w:val="005B112F"/>
    <w:rsid w:val="005B1FED"/>
    <w:rsid w:val="005B2F33"/>
    <w:rsid w:val="005B3671"/>
    <w:rsid w:val="005B3B62"/>
    <w:rsid w:val="005B3D93"/>
    <w:rsid w:val="005B6938"/>
    <w:rsid w:val="005B6F32"/>
    <w:rsid w:val="005B7350"/>
    <w:rsid w:val="005C222C"/>
    <w:rsid w:val="005C299A"/>
    <w:rsid w:val="005C2D60"/>
    <w:rsid w:val="005C3943"/>
    <w:rsid w:val="005C3D2C"/>
    <w:rsid w:val="005C5799"/>
    <w:rsid w:val="005C5929"/>
    <w:rsid w:val="005C637B"/>
    <w:rsid w:val="005C6A82"/>
    <w:rsid w:val="005C6B17"/>
    <w:rsid w:val="005D19E4"/>
    <w:rsid w:val="005D1DF5"/>
    <w:rsid w:val="005D434A"/>
    <w:rsid w:val="005D45A0"/>
    <w:rsid w:val="005D5A52"/>
    <w:rsid w:val="005D6415"/>
    <w:rsid w:val="005D6831"/>
    <w:rsid w:val="005D7248"/>
    <w:rsid w:val="005D7B7C"/>
    <w:rsid w:val="005E0300"/>
    <w:rsid w:val="005E0424"/>
    <w:rsid w:val="005E1009"/>
    <w:rsid w:val="005E15A3"/>
    <w:rsid w:val="005E35A0"/>
    <w:rsid w:val="005E3C0B"/>
    <w:rsid w:val="005E3CD0"/>
    <w:rsid w:val="005E4975"/>
    <w:rsid w:val="005E4A3D"/>
    <w:rsid w:val="005E4F05"/>
    <w:rsid w:val="005E5502"/>
    <w:rsid w:val="005E5859"/>
    <w:rsid w:val="005E5DC1"/>
    <w:rsid w:val="005E5FD3"/>
    <w:rsid w:val="005E6282"/>
    <w:rsid w:val="005E67EC"/>
    <w:rsid w:val="005F15E7"/>
    <w:rsid w:val="005F178D"/>
    <w:rsid w:val="005F1E2A"/>
    <w:rsid w:val="005F1FCF"/>
    <w:rsid w:val="005F2060"/>
    <w:rsid w:val="005F2E9B"/>
    <w:rsid w:val="005F4281"/>
    <w:rsid w:val="005F4C5D"/>
    <w:rsid w:val="005F4DCE"/>
    <w:rsid w:val="005F557E"/>
    <w:rsid w:val="005F5725"/>
    <w:rsid w:val="005F666A"/>
    <w:rsid w:val="005F684F"/>
    <w:rsid w:val="005F7AD4"/>
    <w:rsid w:val="00600000"/>
    <w:rsid w:val="0060026F"/>
    <w:rsid w:val="00600733"/>
    <w:rsid w:val="006010BF"/>
    <w:rsid w:val="00601222"/>
    <w:rsid w:val="0060127F"/>
    <w:rsid w:val="00601296"/>
    <w:rsid w:val="00601A09"/>
    <w:rsid w:val="00601B42"/>
    <w:rsid w:val="006031FE"/>
    <w:rsid w:val="00603E10"/>
    <w:rsid w:val="006047FC"/>
    <w:rsid w:val="006048D2"/>
    <w:rsid w:val="00605233"/>
    <w:rsid w:val="006056EF"/>
    <w:rsid w:val="00605A1F"/>
    <w:rsid w:val="00607550"/>
    <w:rsid w:val="00607726"/>
    <w:rsid w:val="006077EB"/>
    <w:rsid w:val="006079C9"/>
    <w:rsid w:val="006100A1"/>
    <w:rsid w:val="006104BE"/>
    <w:rsid w:val="0061110A"/>
    <w:rsid w:val="006112E3"/>
    <w:rsid w:val="00611F9E"/>
    <w:rsid w:val="00613D29"/>
    <w:rsid w:val="0061488D"/>
    <w:rsid w:val="0061663A"/>
    <w:rsid w:val="00617FEB"/>
    <w:rsid w:val="0062111F"/>
    <w:rsid w:val="00621380"/>
    <w:rsid w:val="00621BE7"/>
    <w:rsid w:val="00621D3A"/>
    <w:rsid w:val="00622C25"/>
    <w:rsid w:val="00623DDC"/>
    <w:rsid w:val="00623EA3"/>
    <w:rsid w:val="00623F42"/>
    <w:rsid w:val="00624BDB"/>
    <w:rsid w:val="00625AFD"/>
    <w:rsid w:val="00625E1B"/>
    <w:rsid w:val="006274A1"/>
    <w:rsid w:val="00627B5D"/>
    <w:rsid w:val="006302FD"/>
    <w:rsid w:val="00631490"/>
    <w:rsid w:val="00631C13"/>
    <w:rsid w:val="00631E44"/>
    <w:rsid w:val="00632401"/>
    <w:rsid w:val="006325BF"/>
    <w:rsid w:val="00632AF8"/>
    <w:rsid w:val="00633134"/>
    <w:rsid w:val="0063373B"/>
    <w:rsid w:val="00633AB7"/>
    <w:rsid w:val="00634485"/>
    <w:rsid w:val="006345A0"/>
    <w:rsid w:val="00634EDF"/>
    <w:rsid w:val="006354DC"/>
    <w:rsid w:val="00635EAF"/>
    <w:rsid w:val="00636313"/>
    <w:rsid w:val="00637407"/>
    <w:rsid w:val="00637C16"/>
    <w:rsid w:val="00637FDB"/>
    <w:rsid w:val="00640D71"/>
    <w:rsid w:val="00640FB3"/>
    <w:rsid w:val="00641BB7"/>
    <w:rsid w:val="00643D6C"/>
    <w:rsid w:val="006443ED"/>
    <w:rsid w:val="006445D2"/>
    <w:rsid w:val="00645887"/>
    <w:rsid w:val="0064661F"/>
    <w:rsid w:val="00647094"/>
    <w:rsid w:val="006505D9"/>
    <w:rsid w:val="00650880"/>
    <w:rsid w:val="00650D78"/>
    <w:rsid w:val="00653030"/>
    <w:rsid w:val="0065578F"/>
    <w:rsid w:val="00655A5C"/>
    <w:rsid w:val="00655A8C"/>
    <w:rsid w:val="00655B83"/>
    <w:rsid w:val="00655F33"/>
    <w:rsid w:val="00656AB0"/>
    <w:rsid w:val="00656C59"/>
    <w:rsid w:val="006578C2"/>
    <w:rsid w:val="00661AC2"/>
    <w:rsid w:val="00661B36"/>
    <w:rsid w:val="00663207"/>
    <w:rsid w:val="00663F26"/>
    <w:rsid w:val="00666655"/>
    <w:rsid w:val="00666C54"/>
    <w:rsid w:val="00667C8B"/>
    <w:rsid w:val="00667D3E"/>
    <w:rsid w:val="00672C9C"/>
    <w:rsid w:val="006742F8"/>
    <w:rsid w:val="006747B5"/>
    <w:rsid w:val="00675974"/>
    <w:rsid w:val="00676566"/>
    <w:rsid w:val="00680270"/>
    <w:rsid w:val="006803E8"/>
    <w:rsid w:val="006804B2"/>
    <w:rsid w:val="006808AD"/>
    <w:rsid w:val="00681481"/>
    <w:rsid w:val="00682656"/>
    <w:rsid w:val="00683617"/>
    <w:rsid w:val="00683EAC"/>
    <w:rsid w:val="00684313"/>
    <w:rsid w:val="00684348"/>
    <w:rsid w:val="006843DA"/>
    <w:rsid w:val="00684EF6"/>
    <w:rsid w:val="00686279"/>
    <w:rsid w:val="00686A8A"/>
    <w:rsid w:val="006870C8"/>
    <w:rsid w:val="006871B3"/>
    <w:rsid w:val="006878A4"/>
    <w:rsid w:val="00690415"/>
    <w:rsid w:val="00691811"/>
    <w:rsid w:val="0069195B"/>
    <w:rsid w:val="0069305F"/>
    <w:rsid w:val="006937F3"/>
    <w:rsid w:val="00694CB5"/>
    <w:rsid w:val="006954F2"/>
    <w:rsid w:val="006957B8"/>
    <w:rsid w:val="00697E9E"/>
    <w:rsid w:val="006A03CD"/>
    <w:rsid w:val="006A06FE"/>
    <w:rsid w:val="006A3BCF"/>
    <w:rsid w:val="006A42D4"/>
    <w:rsid w:val="006A48CE"/>
    <w:rsid w:val="006A4E98"/>
    <w:rsid w:val="006A505E"/>
    <w:rsid w:val="006A737B"/>
    <w:rsid w:val="006A74E5"/>
    <w:rsid w:val="006A77F3"/>
    <w:rsid w:val="006A7829"/>
    <w:rsid w:val="006A7D53"/>
    <w:rsid w:val="006B1BF1"/>
    <w:rsid w:val="006B2A9B"/>
    <w:rsid w:val="006B2BA6"/>
    <w:rsid w:val="006B3762"/>
    <w:rsid w:val="006B3E26"/>
    <w:rsid w:val="006B432D"/>
    <w:rsid w:val="006B4844"/>
    <w:rsid w:val="006B497B"/>
    <w:rsid w:val="006B4A50"/>
    <w:rsid w:val="006B4B65"/>
    <w:rsid w:val="006B537E"/>
    <w:rsid w:val="006B7AA1"/>
    <w:rsid w:val="006C1330"/>
    <w:rsid w:val="006C1711"/>
    <w:rsid w:val="006C24A5"/>
    <w:rsid w:val="006C24CD"/>
    <w:rsid w:val="006C3292"/>
    <w:rsid w:val="006C5263"/>
    <w:rsid w:val="006C5282"/>
    <w:rsid w:val="006C5507"/>
    <w:rsid w:val="006C60B5"/>
    <w:rsid w:val="006C693D"/>
    <w:rsid w:val="006C7D68"/>
    <w:rsid w:val="006D07EA"/>
    <w:rsid w:val="006D153C"/>
    <w:rsid w:val="006D16CB"/>
    <w:rsid w:val="006D1A5E"/>
    <w:rsid w:val="006D25FC"/>
    <w:rsid w:val="006D396A"/>
    <w:rsid w:val="006D3F2C"/>
    <w:rsid w:val="006D4834"/>
    <w:rsid w:val="006D64F9"/>
    <w:rsid w:val="006D6E15"/>
    <w:rsid w:val="006D7A2C"/>
    <w:rsid w:val="006E011A"/>
    <w:rsid w:val="006E13E8"/>
    <w:rsid w:val="006E1421"/>
    <w:rsid w:val="006E2585"/>
    <w:rsid w:val="006E2EDE"/>
    <w:rsid w:val="006E307D"/>
    <w:rsid w:val="006E34B6"/>
    <w:rsid w:val="006E3ED4"/>
    <w:rsid w:val="006E5B3F"/>
    <w:rsid w:val="006E5FB5"/>
    <w:rsid w:val="006E60D7"/>
    <w:rsid w:val="006E6278"/>
    <w:rsid w:val="006E6389"/>
    <w:rsid w:val="006E65F1"/>
    <w:rsid w:val="006E662E"/>
    <w:rsid w:val="006E682E"/>
    <w:rsid w:val="006E69AA"/>
    <w:rsid w:val="006E6EAC"/>
    <w:rsid w:val="006F1806"/>
    <w:rsid w:val="006F180C"/>
    <w:rsid w:val="006F1C74"/>
    <w:rsid w:val="006F1E16"/>
    <w:rsid w:val="006F29C3"/>
    <w:rsid w:val="006F2C9D"/>
    <w:rsid w:val="006F30F8"/>
    <w:rsid w:val="006F3131"/>
    <w:rsid w:val="006F3144"/>
    <w:rsid w:val="006F363E"/>
    <w:rsid w:val="006F3CA9"/>
    <w:rsid w:val="006F48B0"/>
    <w:rsid w:val="006F5B9E"/>
    <w:rsid w:val="006F6E1B"/>
    <w:rsid w:val="006F733F"/>
    <w:rsid w:val="00700C41"/>
    <w:rsid w:val="00700D26"/>
    <w:rsid w:val="007020A1"/>
    <w:rsid w:val="00702B26"/>
    <w:rsid w:val="00702CB3"/>
    <w:rsid w:val="00703E92"/>
    <w:rsid w:val="00705222"/>
    <w:rsid w:val="0070581D"/>
    <w:rsid w:val="007061DF"/>
    <w:rsid w:val="00707416"/>
    <w:rsid w:val="00707E75"/>
    <w:rsid w:val="007112A9"/>
    <w:rsid w:val="00711B09"/>
    <w:rsid w:val="00711C22"/>
    <w:rsid w:val="00711D4D"/>
    <w:rsid w:val="00711E97"/>
    <w:rsid w:val="00712137"/>
    <w:rsid w:val="00712516"/>
    <w:rsid w:val="00713A6B"/>
    <w:rsid w:val="0071427E"/>
    <w:rsid w:val="0071646D"/>
    <w:rsid w:val="00716CE1"/>
    <w:rsid w:val="0071764B"/>
    <w:rsid w:val="0072562F"/>
    <w:rsid w:val="00725913"/>
    <w:rsid w:val="0072655F"/>
    <w:rsid w:val="00726DD1"/>
    <w:rsid w:val="00726FA5"/>
    <w:rsid w:val="007300F7"/>
    <w:rsid w:val="00730313"/>
    <w:rsid w:val="00730BC4"/>
    <w:rsid w:val="00731D9B"/>
    <w:rsid w:val="00731DAB"/>
    <w:rsid w:val="00731F23"/>
    <w:rsid w:val="00732AE5"/>
    <w:rsid w:val="00732D43"/>
    <w:rsid w:val="0073352D"/>
    <w:rsid w:val="00733CB7"/>
    <w:rsid w:val="00734371"/>
    <w:rsid w:val="007347B0"/>
    <w:rsid w:val="00734A8B"/>
    <w:rsid w:val="00735210"/>
    <w:rsid w:val="00735B0D"/>
    <w:rsid w:val="00735DCB"/>
    <w:rsid w:val="00736C06"/>
    <w:rsid w:val="007401BB"/>
    <w:rsid w:val="00740BCB"/>
    <w:rsid w:val="00740E5C"/>
    <w:rsid w:val="0074195B"/>
    <w:rsid w:val="00741FEA"/>
    <w:rsid w:val="0074244D"/>
    <w:rsid w:val="007446D8"/>
    <w:rsid w:val="00744736"/>
    <w:rsid w:val="00745E5B"/>
    <w:rsid w:val="00747AD7"/>
    <w:rsid w:val="00747F78"/>
    <w:rsid w:val="00750F05"/>
    <w:rsid w:val="00751311"/>
    <w:rsid w:val="00751330"/>
    <w:rsid w:val="00751627"/>
    <w:rsid w:val="00751E19"/>
    <w:rsid w:val="0075239A"/>
    <w:rsid w:val="00754866"/>
    <w:rsid w:val="00755299"/>
    <w:rsid w:val="00755944"/>
    <w:rsid w:val="00757444"/>
    <w:rsid w:val="00757D2A"/>
    <w:rsid w:val="00757F23"/>
    <w:rsid w:val="00761460"/>
    <w:rsid w:val="007624E7"/>
    <w:rsid w:val="00764B6A"/>
    <w:rsid w:val="00766B6B"/>
    <w:rsid w:val="00766D4A"/>
    <w:rsid w:val="00766D7A"/>
    <w:rsid w:val="00767857"/>
    <w:rsid w:val="00767912"/>
    <w:rsid w:val="00770E29"/>
    <w:rsid w:val="0077107A"/>
    <w:rsid w:val="007710A6"/>
    <w:rsid w:val="007714A8"/>
    <w:rsid w:val="00771B98"/>
    <w:rsid w:val="00771F5E"/>
    <w:rsid w:val="0077203A"/>
    <w:rsid w:val="0077266E"/>
    <w:rsid w:val="00773156"/>
    <w:rsid w:val="00773601"/>
    <w:rsid w:val="007738EC"/>
    <w:rsid w:val="00773EA1"/>
    <w:rsid w:val="007753ED"/>
    <w:rsid w:val="00775414"/>
    <w:rsid w:val="00775CB2"/>
    <w:rsid w:val="0077600B"/>
    <w:rsid w:val="0077689F"/>
    <w:rsid w:val="0078030F"/>
    <w:rsid w:val="00780906"/>
    <w:rsid w:val="00780D17"/>
    <w:rsid w:val="00782370"/>
    <w:rsid w:val="00782DD9"/>
    <w:rsid w:val="007830E3"/>
    <w:rsid w:val="0078775D"/>
    <w:rsid w:val="00787DB5"/>
    <w:rsid w:val="0079039F"/>
    <w:rsid w:val="0079298A"/>
    <w:rsid w:val="00793368"/>
    <w:rsid w:val="0079361A"/>
    <w:rsid w:val="00793A7B"/>
    <w:rsid w:val="00794261"/>
    <w:rsid w:val="00794305"/>
    <w:rsid w:val="00794323"/>
    <w:rsid w:val="007966AC"/>
    <w:rsid w:val="007A02EB"/>
    <w:rsid w:val="007A0327"/>
    <w:rsid w:val="007A1080"/>
    <w:rsid w:val="007A1177"/>
    <w:rsid w:val="007A11F1"/>
    <w:rsid w:val="007A1A5F"/>
    <w:rsid w:val="007A2132"/>
    <w:rsid w:val="007A237F"/>
    <w:rsid w:val="007A29CA"/>
    <w:rsid w:val="007A32BE"/>
    <w:rsid w:val="007A33E2"/>
    <w:rsid w:val="007A35F6"/>
    <w:rsid w:val="007A49CE"/>
    <w:rsid w:val="007A4E83"/>
    <w:rsid w:val="007A583C"/>
    <w:rsid w:val="007A5F1A"/>
    <w:rsid w:val="007A7693"/>
    <w:rsid w:val="007B15EA"/>
    <w:rsid w:val="007B33CC"/>
    <w:rsid w:val="007B5B76"/>
    <w:rsid w:val="007B6CA0"/>
    <w:rsid w:val="007B70B3"/>
    <w:rsid w:val="007B7166"/>
    <w:rsid w:val="007B755C"/>
    <w:rsid w:val="007C025F"/>
    <w:rsid w:val="007C09AA"/>
    <w:rsid w:val="007C0AFD"/>
    <w:rsid w:val="007C20AF"/>
    <w:rsid w:val="007C37F3"/>
    <w:rsid w:val="007C3D29"/>
    <w:rsid w:val="007C3E67"/>
    <w:rsid w:val="007C46DC"/>
    <w:rsid w:val="007C4965"/>
    <w:rsid w:val="007C52B5"/>
    <w:rsid w:val="007C6783"/>
    <w:rsid w:val="007C68C7"/>
    <w:rsid w:val="007C6937"/>
    <w:rsid w:val="007C6CAB"/>
    <w:rsid w:val="007C78A6"/>
    <w:rsid w:val="007C7C3E"/>
    <w:rsid w:val="007C7E5A"/>
    <w:rsid w:val="007D0C6E"/>
    <w:rsid w:val="007D0DD5"/>
    <w:rsid w:val="007D112D"/>
    <w:rsid w:val="007D1598"/>
    <w:rsid w:val="007D1AB2"/>
    <w:rsid w:val="007D210F"/>
    <w:rsid w:val="007D336B"/>
    <w:rsid w:val="007D5575"/>
    <w:rsid w:val="007D5B23"/>
    <w:rsid w:val="007D71E1"/>
    <w:rsid w:val="007D7334"/>
    <w:rsid w:val="007D7513"/>
    <w:rsid w:val="007D7BC8"/>
    <w:rsid w:val="007E07A7"/>
    <w:rsid w:val="007E16B7"/>
    <w:rsid w:val="007E24F8"/>
    <w:rsid w:val="007E2D8C"/>
    <w:rsid w:val="007E3963"/>
    <w:rsid w:val="007E5467"/>
    <w:rsid w:val="007E5CB2"/>
    <w:rsid w:val="007E64E0"/>
    <w:rsid w:val="007E66E7"/>
    <w:rsid w:val="007E6704"/>
    <w:rsid w:val="007E6A21"/>
    <w:rsid w:val="007E75D0"/>
    <w:rsid w:val="007F0999"/>
    <w:rsid w:val="007F18A3"/>
    <w:rsid w:val="007F18DF"/>
    <w:rsid w:val="007F2DB5"/>
    <w:rsid w:val="007F36DE"/>
    <w:rsid w:val="007F4FC6"/>
    <w:rsid w:val="007F528B"/>
    <w:rsid w:val="007F53E3"/>
    <w:rsid w:val="007F5901"/>
    <w:rsid w:val="007F5936"/>
    <w:rsid w:val="007F5E7A"/>
    <w:rsid w:val="007F60E9"/>
    <w:rsid w:val="007F61DA"/>
    <w:rsid w:val="007F62D5"/>
    <w:rsid w:val="007F6BF7"/>
    <w:rsid w:val="007F7203"/>
    <w:rsid w:val="007F76E4"/>
    <w:rsid w:val="007F7CB2"/>
    <w:rsid w:val="00800061"/>
    <w:rsid w:val="00800475"/>
    <w:rsid w:val="00800DDC"/>
    <w:rsid w:val="0080152B"/>
    <w:rsid w:val="0080157D"/>
    <w:rsid w:val="00801983"/>
    <w:rsid w:val="00801D34"/>
    <w:rsid w:val="008026F6"/>
    <w:rsid w:val="0080388F"/>
    <w:rsid w:val="00804137"/>
    <w:rsid w:val="00805A48"/>
    <w:rsid w:val="008063E2"/>
    <w:rsid w:val="00806829"/>
    <w:rsid w:val="00806A83"/>
    <w:rsid w:val="00807739"/>
    <w:rsid w:val="0080791A"/>
    <w:rsid w:val="008100C2"/>
    <w:rsid w:val="00810A48"/>
    <w:rsid w:val="00811637"/>
    <w:rsid w:val="0081381E"/>
    <w:rsid w:val="008139B9"/>
    <w:rsid w:val="00814930"/>
    <w:rsid w:val="00815752"/>
    <w:rsid w:val="00817AAB"/>
    <w:rsid w:val="008207CA"/>
    <w:rsid w:val="008223A5"/>
    <w:rsid w:val="008225FA"/>
    <w:rsid w:val="008228A2"/>
    <w:rsid w:val="008235DE"/>
    <w:rsid w:val="008246C9"/>
    <w:rsid w:val="00824873"/>
    <w:rsid w:val="008254D3"/>
    <w:rsid w:val="00825CA4"/>
    <w:rsid w:val="00826018"/>
    <w:rsid w:val="0082641D"/>
    <w:rsid w:val="0082658F"/>
    <w:rsid w:val="008266BC"/>
    <w:rsid w:val="00832DF8"/>
    <w:rsid w:val="00833014"/>
    <w:rsid w:val="008331EF"/>
    <w:rsid w:val="00833271"/>
    <w:rsid w:val="0083379F"/>
    <w:rsid w:val="0083402A"/>
    <w:rsid w:val="00834C20"/>
    <w:rsid w:val="00835546"/>
    <w:rsid w:val="00835741"/>
    <w:rsid w:val="00836326"/>
    <w:rsid w:val="008367D9"/>
    <w:rsid w:val="00836AD8"/>
    <w:rsid w:val="00836EA1"/>
    <w:rsid w:val="00837520"/>
    <w:rsid w:val="00840982"/>
    <w:rsid w:val="00841B13"/>
    <w:rsid w:val="00842100"/>
    <w:rsid w:val="008422A0"/>
    <w:rsid w:val="008426D8"/>
    <w:rsid w:val="0084270E"/>
    <w:rsid w:val="00842C37"/>
    <w:rsid w:val="008437F2"/>
    <w:rsid w:val="00843AB9"/>
    <w:rsid w:val="00843C46"/>
    <w:rsid w:val="008442E6"/>
    <w:rsid w:val="00845136"/>
    <w:rsid w:val="00845A90"/>
    <w:rsid w:val="00846339"/>
    <w:rsid w:val="00846E76"/>
    <w:rsid w:val="0085032B"/>
    <w:rsid w:val="00850422"/>
    <w:rsid w:val="00850491"/>
    <w:rsid w:val="00850F99"/>
    <w:rsid w:val="00851F8C"/>
    <w:rsid w:val="008531B2"/>
    <w:rsid w:val="0085526B"/>
    <w:rsid w:val="00856585"/>
    <w:rsid w:val="00856E3C"/>
    <w:rsid w:val="00856F7A"/>
    <w:rsid w:val="00857279"/>
    <w:rsid w:val="0085736B"/>
    <w:rsid w:val="0085795F"/>
    <w:rsid w:val="00857B52"/>
    <w:rsid w:val="00860265"/>
    <w:rsid w:val="00861B32"/>
    <w:rsid w:val="00861CF9"/>
    <w:rsid w:val="00861DD8"/>
    <w:rsid w:val="008665F8"/>
    <w:rsid w:val="00867111"/>
    <w:rsid w:val="00867C9A"/>
    <w:rsid w:val="008701A1"/>
    <w:rsid w:val="008712EF"/>
    <w:rsid w:val="008712F9"/>
    <w:rsid w:val="0087173E"/>
    <w:rsid w:val="008718F3"/>
    <w:rsid w:val="0087246B"/>
    <w:rsid w:val="00872487"/>
    <w:rsid w:val="00872D3B"/>
    <w:rsid w:val="008735BF"/>
    <w:rsid w:val="00873B3E"/>
    <w:rsid w:val="00874685"/>
    <w:rsid w:val="00874DC9"/>
    <w:rsid w:val="0087561C"/>
    <w:rsid w:val="00876615"/>
    <w:rsid w:val="00876F20"/>
    <w:rsid w:val="00877094"/>
    <w:rsid w:val="0088137B"/>
    <w:rsid w:val="008813ED"/>
    <w:rsid w:val="00882131"/>
    <w:rsid w:val="0088217A"/>
    <w:rsid w:val="008846F1"/>
    <w:rsid w:val="00884E7E"/>
    <w:rsid w:val="0088510A"/>
    <w:rsid w:val="0088524F"/>
    <w:rsid w:val="00885CAF"/>
    <w:rsid w:val="00885CB3"/>
    <w:rsid w:val="008860BB"/>
    <w:rsid w:val="00886BFC"/>
    <w:rsid w:val="00887493"/>
    <w:rsid w:val="008900BC"/>
    <w:rsid w:val="0089164B"/>
    <w:rsid w:val="00891989"/>
    <w:rsid w:val="00891BF9"/>
    <w:rsid w:val="0089236D"/>
    <w:rsid w:val="00892AF9"/>
    <w:rsid w:val="00892AFC"/>
    <w:rsid w:val="00892BC4"/>
    <w:rsid w:val="00893CC5"/>
    <w:rsid w:val="00893DB2"/>
    <w:rsid w:val="0089436A"/>
    <w:rsid w:val="00894491"/>
    <w:rsid w:val="0089482C"/>
    <w:rsid w:val="00895379"/>
    <w:rsid w:val="008956BD"/>
    <w:rsid w:val="00895C62"/>
    <w:rsid w:val="008A0C05"/>
    <w:rsid w:val="008A0CFD"/>
    <w:rsid w:val="008A1F9B"/>
    <w:rsid w:val="008A2018"/>
    <w:rsid w:val="008A37D4"/>
    <w:rsid w:val="008A42B0"/>
    <w:rsid w:val="008A4982"/>
    <w:rsid w:val="008A6085"/>
    <w:rsid w:val="008A663F"/>
    <w:rsid w:val="008A734C"/>
    <w:rsid w:val="008A7C97"/>
    <w:rsid w:val="008A7EBE"/>
    <w:rsid w:val="008B0803"/>
    <w:rsid w:val="008B1154"/>
    <w:rsid w:val="008B1273"/>
    <w:rsid w:val="008B18BC"/>
    <w:rsid w:val="008B1D10"/>
    <w:rsid w:val="008B2258"/>
    <w:rsid w:val="008B36C5"/>
    <w:rsid w:val="008B542E"/>
    <w:rsid w:val="008B590E"/>
    <w:rsid w:val="008B5BE2"/>
    <w:rsid w:val="008B5C38"/>
    <w:rsid w:val="008B6E93"/>
    <w:rsid w:val="008B7691"/>
    <w:rsid w:val="008C04B3"/>
    <w:rsid w:val="008C0694"/>
    <w:rsid w:val="008C06D5"/>
    <w:rsid w:val="008C1208"/>
    <w:rsid w:val="008C27CC"/>
    <w:rsid w:val="008C3158"/>
    <w:rsid w:val="008C3963"/>
    <w:rsid w:val="008C4415"/>
    <w:rsid w:val="008C48D5"/>
    <w:rsid w:val="008C4CFE"/>
    <w:rsid w:val="008D033C"/>
    <w:rsid w:val="008D0725"/>
    <w:rsid w:val="008D0B33"/>
    <w:rsid w:val="008D0B48"/>
    <w:rsid w:val="008D0D25"/>
    <w:rsid w:val="008D1526"/>
    <w:rsid w:val="008D2273"/>
    <w:rsid w:val="008D38EE"/>
    <w:rsid w:val="008D4B2A"/>
    <w:rsid w:val="008D70C5"/>
    <w:rsid w:val="008D75E7"/>
    <w:rsid w:val="008D7BFC"/>
    <w:rsid w:val="008E0791"/>
    <w:rsid w:val="008E094D"/>
    <w:rsid w:val="008E0D06"/>
    <w:rsid w:val="008E152A"/>
    <w:rsid w:val="008E176A"/>
    <w:rsid w:val="008E1A76"/>
    <w:rsid w:val="008E2822"/>
    <w:rsid w:val="008E2982"/>
    <w:rsid w:val="008E3357"/>
    <w:rsid w:val="008E4713"/>
    <w:rsid w:val="008E4F15"/>
    <w:rsid w:val="008E537E"/>
    <w:rsid w:val="008E5BC1"/>
    <w:rsid w:val="008E6572"/>
    <w:rsid w:val="008E72F5"/>
    <w:rsid w:val="008E7698"/>
    <w:rsid w:val="008E7709"/>
    <w:rsid w:val="008E7D11"/>
    <w:rsid w:val="008E7D60"/>
    <w:rsid w:val="008F07D2"/>
    <w:rsid w:val="008F0A0A"/>
    <w:rsid w:val="008F0F17"/>
    <w:rsid w:val="008F1049"/>
    <w:rsid w:val="008F10DA"/>
    <w:rsid w:val="008F148D"/>
    <w:rsid w:val="008F1ADF"/>
    <w:rsid w:val="008F355E"/>
    <w:rsid w:val="008F3F44"/>
    <w:rsid w:val="008F4C62"/>
    <w:rsid w:val="008F5E3B"/>
    <w:rsid w:val="008F6B38"/>
    <w:rsid w:val="008F72A6"/>
    <w:rsid w:val="008F7CEB"/>
    <w:rsid w:val="008F7D25"/>
    <w:rsid w:val="00900226"/>
    <w:rsid w:val="00900C8D"/>
    <w:rsid w:val="009012C6"/>
    <w:rsid w:val="009015DD"/>
    <w:rsid w:val="009028DF"/>
    <w:rsid w:val="00902A1D"/>
    <w:rsid w:val="00903064"/>
    <w:rsid w:val="0090362D"/>
    <w:rsid w:val="00903ED1"/>
    <w:rsid w:val="009052E1"/>
    <w:rsid w:val="00905508"/>
    <w:rsid w:val="0090585F"/>
    <w:rsid w:val="00905A0D"/>
    <w:rsid w:val="0090665D"/>
    <w:rsid w:val="00911559"/>
    <w:rsid w:val="00912A8A"/>
    <w:rsid w:val="00913103"/>
    <w:rsid w:val="0091329D"/>
    <w:rsid w:val="00914FCF"/>
    <w:rsid w:val="00914FDF"/>
    <w:rsid w:val="0091599A"/>
    <w:rsid w:val="00916B08"/>
    <w:rsid w:val="00917444"/>
    <w:rsid w:val="00917B8D"/>
    <w:rsid w:val="00917EB1"/>
    <w:rsid w:val="00921109"/>
    <w:rsid w:val="00921436"/>
    <w:rsid w:val="009224C5"/>
    <w:rsid w:val="009233BF"/>
    <w:rsid w:val="00923433"/>
    <w:rsid w:val="00923961"/>
    <w:rsid w:val="009239BB"/>
    <w:rsid w:val="00923BD9"/>
    <w:rsid w:val="0092433B"/>
    <w:rsid w:val="00925C1B"/>
    <w:rsid w:val="00925CD5"/>
    <w:rsid w:val="00926B57"/>
    <w:rsid w:val="009305F2"/>
    <w:rsid w:val="00930F79"/>
    <w:rsid w:val="0093143C"/>
    <w:rsid w:val="00931559"/>
    <w:rsid w:val="00931A26"/>
    <w:rsid w:val="00931EE5"/>
    <w:rsid w:val="00931EF0"/>
    <w:rsid w:val="00932CFF"/>
    <w:rsid w:val="00932F08"/>
    <w:rsid w:val="00932FB2"/>
    <w:rsid w:val="009346F9"/>
    <w:rsid w:val="00934A24"/>
    <w:rsid w:val="009354B9"/>
    <w:rsid w:val="00935A0D"/>
    <w:rsid w:val="00936419"/>
    <w:rsid w:val="00936BED"/>
    <w:rsid w:val="00936E01"/>
    <w:rsid w:val="00937737"/>
    <w:rsid w:val="00940803"/>
    <w:rsid w:val="00940FFE"/>
    <w:rsid w:val="009411A0"/>
    <w:rsid w:val="00942B6C"/>
    <w:rsid w:val="00943B74"/>
    <w:rsid w:val="0094486F"/>
    <w:rsid w:val="00944A83"/>
    <w:rsid w:val="00944CA2"/>
    <w:rsid w:val="009458C7"/>
    <w:rsid w:val="0094714C"/>
    <w:rsid w:val="009472B3"/>
    <w:rsid w:val="00947905"/>
    <w:rsid w:val="00947F35"/>
    <w:rsid w:val="009500DD"/>
    <w:rsid w:val="00951598"/>
    <w:rsid w:val="00952919"/>
    <w:rsid w:val="009542AC"/>
    <w:rsid w:val="00954A59"/>
    <w:rsid w:val="00955ADE"/>
    <w:rsid w:val="009573BD"/>
    <w:rsid w:val="0095790B"/>
    <w:rsid w:val="0096079C"/>
    <w:rsid w:val="0096089C"/>
    <w:rsid w:val="0096146C"/>
    <w:rsid w:val="00962E4E"/>
    <w:rsid w:val="00964C60"/>
    <w:rsid w:val="00964E79"/>
    <w:rsid w:val="00964F37"/>
    <w:rsid w:val="0096576D"/>
    <w:rsid w:val="00966926"/>
    <w:rsid w:val="00966C2B"/>
    <w:rsid w:val="00966FEC"/>
    <w:rsid w:val="00967C2E"/>
    <w:rsid w:val="00971134"/>
    <w:rsid w:val="00971434"/>
    <w:rsid w:val="009737A5"/>
    <w:rsid w:val="00974437"/>
    <w:rsid w:val="00974C3A"/>
    <w:rsid w:val="009752BA"/>
    <w:rsid w:val="00975A2A"/>
    <w:rsid w:val="00975D23"/>
    <w:rsid w:val="00975EB9"/>
    <w:rsid w:val="009763B8"/>
    <w:rsid w:val="00976A12"/>
    <w:rsid w:val="00977454"/>
    <w:rsid w:val="009816F9"/>
    <w:rsid w:val="00981F51"/>
    <w:rsid w:val="0098269C"/>
    <w:rsid w:val="0098294D"/>
    <w:rsid w:val="009837CB"/>
    <w:rsid w:val="00985240"/>
    <w:rsid w:val="009858EF"/>
    <w:rsid w:val="00985D90"/>
    <w:rsid w:val="009864C2"/>
    <w:rsid w:val="009865A8"/>
    <w:rsid w:val="00986B3C"/>
    <w:rsid w:val="009872E2"/>
    <w:rsid w:val="0099065F"/>
    <w:rsid w:val="0099075B"/>
    <w:rsid w:val="00990860"/>
    <w:rsid w:val="00990E7A"/>
    <w:rsid w:val="0099195F"/>
    <w:rsid w:val="00991EC7"/>
    <w:rsid w:val="00992009"/>
    <w:rsid w:val="009925EC"/>
    <w:rsid w:val="00992BC7"/>
    <w:rsid w:val="00993AD0"/>
    <w:rsid w:val="00994602"/>
    <w:rsid w:val="00995953"/>
    <w:rsid w:val="009969DF"/>
    <w:rsid w:val="009A00BC"/>
    <w:rsid w:val="009A0386"/>
    <w:rsid w:val="009A07EA"/>
    <w:rsid w:val="009A0F6D"/>
    <w:rsid w:val="009A13F2"/>
    <w:rsid w:val="009A1902"/>
    <w:rsid w:val="009A1A3F"/>
    <w:rsid w:val="009A1E3F"/>
    <w:rsid w:val="009A34EE"/>
    <w:rsid w:val="009A3ADA"/>
    <w:rsid w:val="009A4BD3"/>
    <w:rsid w:val="009A52D1"/>
    <w:rsid w:val="009A6863"/>
    <w:rsid w:val="009A6A8A"/>
    <w:rsid w:val="009A78A9"/>
    <w:rsid w:val="009A78F0"/>
    <w:rsid w:val="009A7C52"/>
    <w:rsid w:val="009B08DD"/>
    <w:rsid w:val="009B299F"/>
    <w:rsid w:val="009B29BB"/>
    <w:rsid w:val="009B3353"/>
    <w:rsid w:val="009B3BD2"/>
    <w:rsid w:val="009B40B2"/>
    <w:rsid w:val="009B498E"/>
    <w:rsid w:val="009B5319"/>
    <w:rsid w:val="009B55C4"/>
    <w:rsid w:val="009B5F4C"/>
    <w:rsid w:val="009B6C33"/>
    <w:rsid w:val="009B6C5A"/>
    <w:rsid w:val="009B6EF8"/>
    <w:rsid w:val="009B7B7A"/>
    <w:rsid w:val="009C08D5"/>
    <w:rsid w:val="009C16A5"/>
    <w:rsid w:val="009C2C5F"/>
    <w:rsid w:val="009C3731"/>
    <w:rsid w:val="009C4F62"/>
    <w:rsid w:val="009C4FE0"/>
    <w:rsid w:val="009C5252"/>
    <w:rsid w:val="009C5D0E"/>
    <w:rsid w:val="009C6175"/>
    <w:rsid w:val="009C61F1"/>
    <w:rsid w:val="009C64B7"/>
    <w:rsid w:val="009C6A35"/>
    <w:rsid w:val="009C7B11"/>
    <w:rsid w:val="009D00FC"/>
    <w:rsid w:val="009D0123"/>
    <w:rsid w:val="009D023A"/>
    <w:rsid w:val="009D1C6B"/>
    <w:rsid w:val="009D21FF"/>
    <w:rsid w:val="009D2860"/>
    <w:rsid w:val="009D3D61"/>
    <w:rsid w:val="009D4854"/>
    <w:rsid w:val="009D502B"/>
    <w:rsid w:val="009D5847"/>
    <w:rsid w:val="009D605C"/>
    <w:rsid w:val="009D674D"/>
    <w:rsid w:val="009D6900"/>
    <w:rsid w:val="009D7015"/>
    <w:rsid w:val="009D7497"/>
    <w:rsid w:val="009E03BE"/>
    <w:rsid w:val="009E0480"/>
    <w:rsid w:val="009E0526"/>
    <w:rsid w:val="009E05A5"/>
    <w:rsid w:val="009E108B"/>
    <w:rsid w:val="009E11BB"/>
    <w:rsid w:val="009E1E5F"/>
    <w:rsid w:val="009E2222"/>
    <w:rsid w:val="009E2235"/>
    <w:rsid w:val="009E240F"/>
    <w:rsid w:val="009E25E5"/>
    <w:rsid w:val="009E2747"/>
    <w:rsid w:val="009E2EEE"/>
    <w:rsid w:val="009E30D5"/>
    <w:rsid w:val="009E32EE"/>
    <w:rsid w:val="009E4D74"/>
    <w:rsid w:val="009E5076"/>
    <w:rsid w:val="009E55C6"/>
    <w:rsid w:val="009E68BB"/>
    <w:rsid w:val="009E7036"/>
    <w:rsid w:val="009E7593"/>
    <w:rsid w:val="009F07F4"/>
    <w:rsid w:val="009F11E8"/>
    <w:rsid w:val="009F19E6"/>
    <w:rsid w:val="009F1F2E"/>
    <w:rsid w:val="009F1F62"/>
    <w:rsid w:val="009F3947"/>
    <w:rsid w:val="009F4D23"/>
    <w:rsid w:val="009F5C19"/>
    <w:rsid w:val="009F69BA"/>
    <w:rsid w:val="009F6E82"/>
    <w:rsid w:val="009F704F"/>
    <w:rsid w:val="00A00110"/>
    <w:rsid w:val="00A00BC6"/>
    <w:rsid w:val="00A014EE"/>
    <w:rsid w:val="00A01821"/>
    <w:rsid w:val="00A0225D"/>
    <w:rsid w:val="00A037CB"/>
    <w:rsid w:val="00A0469A"/>
    <w:rsid w:val="00A04B89"/>
    <w:rsid w:val="00A04EB0"/>
    <w:rsid w:val="00A05063"/>
    <w:rsid w:val="00A075F7"/>
    <w:rsid w:val="00A076B7"/>
    <w:rsid w:val="00A11324"/>
    <w:rsid w:val="00A13008"/>
    <w:rsid w:val="00A138DC"/>
    <w:rsid w:val="00A14237"/>
    <w:rsid w:val="00A1430D"/>
    <w:rsid w:val="00A14429"/>
    <w:rsid w:val="00A15125"/>
    <w:rsid w:val="00A15FFD"/>
    <w:rsid w:val="00A16207"/>
    <w:rsid w:val="00A17823"/>
    <w:rsid w:val="00A17875"/>
    <w:rsid w:val="00A17D0D"/>
    <w:rsid w:val="00A2042B"/>
    <w:rsid w:val="00A20C97"/>
    <w:rsid w:val="00A20F7B"/>
    <w:rsid w:val="00A22365"/>
    <w:rsid w:val="00A2300C"/>
    <w:rsid w:val="00A2340B"/>
    <w:rsid w:val="00A234AD"/>
    <w:rsid w:val="00A25070"/>
    <w:rsid w:val="00A25AF8"/>
    <w:rsid w:val="00A27150"/>
    <w:rsid w:val="00A272BC"/>
    <w:rsid w:val="00A27728"/>
    <w:rsid w:val="00A31EDE"/>
    <w:rsid w:val="00A31F2A"/>
    <w:rsid w:val="00A32A88"/>
    <w:rsid w:val="00A32DE9"/>
    <w:rsid w:val="00A3314E"/>
    <w:rsid w:val="00A344AD"/>
    <w:rsid w:val="00A35622"/>
    <w:rsid w:val="00A36ED5"/>
    <w:rsid w:val="00A376FD"/>
    <w:rsid w:val="00A41054"/>
    <w:rsid w:val="00A415DB"/>
    <w:rsid w:val="00A4197A"/>
    <w:rsid w:val="00A41E44"/>
    <w:rsid w:val="00A42D27"/>
    <w:rsid w:val="00A43472"/>
    <w:rsid w:val="00A43B64"/>
    <w:rsid w:val="00A4679F"/>
    <w:rsid w:val="00A47246"/>
    <w:rsid w:val="00A47AE2"/>
    <w:rsid w:val="00A47C9E"/>
    <w:rsid w:val="00A50C74"/>
    <w:rsid w:val="00A51357"/>
    <w:rsid w:val="00A51D2C"/>
    <w:rsid w:val="00A52589"/>
    <w:rsid w:val="00A52C18"/>
    <w:rsid w:val="00A536A0"/>
    <w:rsid w:val="00A53CB1"/>
    <w:rsid w:val="00A5404F"/>
    <w:rsid w:val="00A55D42"/>
    <w:rsid w:val="00A55E21"/>
    <w:rsid w:val="00A57AFC"/>
    <w:rsid w:val="00A6004F"/>
    <w:rsid w:val="00A6220A"/>
    <w:rsid w:val="00A64A07"/>
    <w:rsid w:val="00A650DC"/>
    <w:rsid w:val="00A654F7"/>
    <w:rsid w:val="00A66299"/>
    <w:rsid w:val="00A67754"/>
    <w:rsid w:val="00A67ED9"/>
    <w:rsid w:val="00A717E4"/>
    <w:rsid w:val="00A72EE6"/>
    <w:rsid w:val="00A744CF"/>
    <w:rsid w:val="00A757D4"/>
    <w:rsid w:val="00A7641B"/>
    <w:rsid w:val="00A767EF"/>
    <w:rsid w:val="00A76FB1"/>
    <w:rsid w:val="00A77111"/>
    <w:rsid w:val="00A81037"/>
    <w:rsid w:val="00A81140"/>
    <w:rsid w:val="00A81C19"/>
    <w:rsid w:val="00A82448"/>
    <w:rsid w:val="00A8620C"/>
    <w:rsid w:val="00A8711C"/>
    <w:rsid w:val="00A900E2"/>
    <w:rsid w:val="00A90703"/>
    <w:rsid w:val="00A917E6"/>
    <w:rsid w:val="00A92027"/>
    <w:rsid w:val="00A930E9"/>
    <w:rsid w:val="00A933EF"/>
    <w:rsid w:val="00A93B3D"/>
    <w:rsid w:val="00A94713"/>
    <w:rsid w:val="00A949F0"/>
    <w:rsid w:val="00A95947"/>
    <w:rsid w:val="00A96BC3"/>
    <w:rsid w:val="00A96EE6"/>
    <w:rsid w:val="00A96FD2"/>
    <w:rsid w:val="00A97959"/>
    <w:rsid w:val="00A97EAD"/>
    <w:rsid w:val="00AA09B3"/>
    <w:rsid w:val="00AA1733"/>
    <w:rsid w:val="00AA19A7"/>
    <w:rsid w:val="00AA2C2B"/>
    <w:rsid w:val="00AA37FC"/>
    <w:rsid w:val="00AA44B0"/>
    <w:rsid w:val="00AA4B65"/>
    <w:rsid w:val="00AA57EF"/>
    <w:rsid w:val="00AA5F5D"/>
    <w:rsid w:val="00AB1362"/>
    <w:rsid w:val="00AB34DB"/>
    <w:rsid w:val="00AB3F5E"/>
    <w:rsid w:val="00AB4396"/>
    <w:rsid w:val="00AB6036"/>
    <w:rsid w:val="00AB61CC"/>
    <w:rsid w:val="00AB66F0"/>
    <w:rsid w:val="00AB7491"/>
    <w:rsid w:val="00AB7DB9"/>
    <w:rsid w:val="00AC161D"/>
    <w:rsid w:val="00AC17F2"/>
    <w:rsid w:val="00AC20D8"/>
    <w:rsid w:val="00AC2D4B"/>
    <w:rsid w:val="00AC3EA4"/>
    <w:rsid w:val="00AC3EC5"/>
    <w:rsid w:val="00AC46E5"/>
    <w:rsid w:val="00AC5B93"/>
    <w:rsid w:val="00AC6E31"/>
    <w:rsid w:val="00AC6FA3"/>
    <w:rsid w:val="00AC74AC"/>
    <w:rsid w:val="00AC7ABC"/>
    <w:rsid w:val="00AD1C3D"/>
    <w:rsid w:val="00AD1D3D"/>
    <w:rsid w:val="00AD2277"/>
    <w:rsid w:val="00AD5C04"/>
    <w:rsid w:val="00AE013D"/>
    <w:rsid w:val="00AE125E"/>
    <w:rsid w:val="00AE1D9E"/>
    <w:rsid w:val="00AE27DE"/>
    <w:rsid w:val="00AE34E5"/>
    <w:rsid w:val="00AE4286"/>
    <w:rsid w:val="00AE45EA"/>
    <w:rsid w:val="00AE5719"/>
    <w:rsid w:val="00AE5953"/>
    <w:rsid w:val="00AE5B7C"/>
    <w:rsid w:val="00AE6B73"/>
    <w:rsid w:val="00AE6EC3"/>
    <w:rsid w:val="00AE73E2"/>
    <w:rsid w:val="00AF02C2"/>
    <w:rsid w:val="00AF0927"/>
    <w:rsid w:val="00AF16F8"/>
    <w:rsid w:val="00AF1B2B"/>
    <w:rsid w:val="00AF200E"/>
    <w:rsid w:val="00AF203D"/>
    <w:rsid w:val="00AF299E"/>
    <w:rsid w:val="00AF2AD6"/>
    <w:rsid w:val="00AF2ADD"/>
    <w:rsid w:val="00AF3B9F"/>
    <w:rsid w:val="00AF4BD7"/>
    <w:rsid w:val="00AF55A6"/>
    <w:rsid w:val="00AF621D"/>
    <w:rsid w:val="00AF65A0"/>
    <w:rsid w:val="00AF73E2"/>
    <w:rsid w:val="00B0049C"/>
    <w:rsid w:val="00B0060F"/>
    <w:rsid w:val="00B0148A"/>
    <w:rsid w:val="00B01E0D"/>
    <w:rsid w:val="00B03459"/>
    <w:rsid w:val="00B03CE2"/>
    <w:rsid w:val="00B04842"/>
    <w:rsid w:val="00B05E33"/>
    <w:rsid w:val="00B06BA1"/>
    <w:rsid w:val="00B10802"/>
    <w:rsid w:val="00B11A30"/>
    <w:rsid w:val="00B11E6A"/>
    <w:rsid w:val="00B125CC"/>
    <w:rsid w:val="00B13EF8"/>
    <w:rsid w:val="00B13F95"/>
    <w:rsid w:val="00B14987"/>
    <w:rsid w:val="00B1522A"/>
    <w:rsid w:val="00B153AD"/>
    <w:rsid w:val="00B1569A"/>
    <w:rsid w:val="00B158C6"/>
    <w:rsid w:val="00B15C4F"/>
    <w:rsid w:val="00B169F5"/>
    <w:rsid w:val="00B16FF2"/>
    <w:rsid w:val="00B172A1"/>
    <w:rsid w:val="00B17A5B"/>
    <w:rsid w:val="00B21982"/>
    <w:rsid w:val="00B21F2B"/>
    <w:rsid w:val="00B2362A"/>
    <w:rsid w:val="00B25866"/>
    <w:rsid w:val="00B25A6F"/>
    <w:rsid w:val="00B25BC6"/>
    <w:rsid w:val="00B270F3"/>
    <w:rsid w:val="00B30948"/>
    <w:rsid w:val="00B316E2"/>
    <w:rsid w:val="00B322FC"/>
    <w:rsid w:val="00B33A9A"/>
    <w:rsid w:val="00B33C2F"/>
    <w:rsid w:val="00B34D6D"/>
    <w:rsid w:val="00B35432"/>
    <w:rsid w:val="00B373AD"/>
    <w:rsid w:val="00B41343"/>
    <w:rsid w:val="00B4134E"/>
    <w:rsid w:val="00B4137E"/>
    <w:rsid w:val="00B41BE7"/>
    <w:rsid w:val="00B42775"/>
    <w:rsid w:val="00B4299A"/>
    <w:rsid w:val="00B42B2D"/>
    <w:rsid w:val="00B441CE"/>
    <w:rsid w:val="00B44DA3"/>
    <w:rsid w:val="00B461C1"/>
    <w:rsid w:val="00B46853"/>
    <w:rsid w:val="00B5061D"/>
    <w:rsid w:val="00B5114C"/>
    <w:rsid w:val="00B518F7"/>
    <w:rsid w:val="00B51A2C"/>
    <w:rsid w:val="00B52026"/>
    <w:rsid w:val="00B5328A"/>
    <w:rsid w:val="00B5510F"/>
    <w:rsid w:val="00B566EA"/>
    <w:rsid w:val="00B57587"/>
    <w:rsid w:val="00B61DD1"/>
    <w:rsid w:val="00B623CE"/>
    <w:rsid w:val="00B62B91"/>
    <w:rsid w:val="00B62CE7"/>
    <w:rsid w:val="00B63188"/>
    <w:rsid w:val="00B64BF6"/>
    <w:rsid w:val="00B662AD"/>
    <w:rsid w:val="00B67E89"/>
    <w:rsid w:val="00B70AD5"/>
    <w:rsid w:val="00B71DAA"/>
    <w:rsid w:val="00B722A7"/>
    <w:rsid w:val="00B728D6"/>
    <w:rsid w:val="00B72ACE"/>
    <w:rsid w:val="00B7332C"/>
    <w:rsid w:val="00B73BC0"/>
    <w:rsid w:val="00B74573"/>
    <w:rsid w:val="00B75466"/>
    <w:rsid w:val="00B76233"/>
    <w:rsid w:val="00B76358"/>
    <w:rsid w:val="00B778AA"/>
    <w:rsid w:val="00B81C55"/>
    <w:rsid w:val="00B82000"/>
    <w:rsid w:val="00B82E36"/>
    <w:rsid w:val="00B837F7"/>
    <w:rsid w:val="00B84265"/>
    <w:rsid w:val="00B8497B"/>
    <w:rsid w:val="00B85D36"/>
    <w:rsid w:val="00B86A4A"/>
    <w:rsid w:val="00B86DC2"/>
    <w:rsid w:val="00B86E05"/>
    <w:rsid w:val="00B90397"/>
    <w:rsid w:val="00B90CBE"/>
    <w:rsid w:val="00B91560"/>
    <w:rsid w:val="00B91A02"/>
    <w:rsid w:val="00B91C28"/>
    <w:rsid w:val="00B91F2F"/>
    <w:rsid w:val="00B92B46"/>
    <w:rsid w:val="00B92E1C"/>
    <w:rsid w:val="00B95A00"/>
    <w:rsid w:val="00B95CDD"/>
    <w:rsid w:val="00B96729"/>
    <w:rsid w:val="00B96D41"/>
    <w:rsid w:val="00BA00A9"/>
    <w:rsid w:val="00BA0426"/>
    <w:rsid w:val="00BA1854"/>
    <w:rsid w:val="00BA1B7A"/>
    <w:rsid w:val="00BA2EE9"/>
    <w:rsid w:val="00BA363C"/>
    <w:rsid w:val="00BA3674"/>
    <w:rsid w:val="00BA36A5"/>
    <w:rsid w:val="00BA3CDE"/>
    <w:rsid w:val="00BA4B2C"/>
    <w:rsid w:val="00BA56BB"/>
    <w:rsid w:val="00BA69F4"/>
    <w:rsid w:val="00BA7F80"/>
    <w:rsid w:val="00BB0CC2"/>
    <w:rsid w:val="00BB107D"/>
    <w:rsid w:val="00BB1A72"/>
    <w:rsid w:val="00BB1C5D"/>
    <w:rsid w:val="00BB2701"/>
    <w:rsid w:val="00BB2E4E"/>
    <w:rsid w:val="00BB3344"/>
    <w:rsid w:val="00BB37FC"/>
    <w:rsid w:val="00BB4B26"/>
    <w:rsid w:val="00BB4D28"/>
    <w:rsid w:val="00BB50A5"/>
    <w:rsid w:val="00BB6202"/>
    <w:rsid w:val="00BB7698"/>
    <w:rsid w:val="00BB78FC"/>
    <w:rsid w:val="00BB7C68"/>
    <w:rsid w:val="00BC15AB"/>
    <w:rsid w:val="00BC1BAD"/>
    <w:rsid w:val="00BC250E"/>
    <w:rsid w:val="00BC30AA"/>
    <w:rsid w:val="00BC3FE1"/>
    <w:rsid w:val="00BC5040"/>
    <w:rsid w:val="00BC63BC"/>
    <w:rsid w:val="00BC6602"/>
    <w:rsid w:val="00BC6991"/>
    <w:rsid w:val="00BC704A"/>
    <w:rsid w:val="00BC7267"/>
    <w:rsid w:val="00BD000E"/>
    <w:rsid w:val="00BD0477"/>
    <w:rsid w:val="00BD0947"/>
    <w:rsid w:val="00BD1191"/>
    <w:rsid w:val="00BD1625"/>
    <w:rsid w:val="00BD1943"/>
    <w:rsid w:val="00BD1BDB"/>
    <w:rsid w:val="00BD24F0"/>
    <w:rsid w:val="00BD2E7D"/>
    <w:rsid w:val="00BD3667"/>
    <w:rsid w:val="00BD3AD2"/>
    <w:rsid w:val="00BD428D"/>
    <w:rsid w:val="00BD4B1F"/>
    <w:rsid w:val="00BD5EA7"/>
    <w:rsid w:val="00BD6857"/>
    <w:rsid w:val="00BD6BED"/>
    <w:rsid w:val="00BD71EB"/>
    <w:rsid w:val="00BD7483"/>
    <w:rsid w:val="00BE097D"/>
    <w:rsid w:val="00BE0E74"/>
    <w:rsid w:val="00BE1DBF"/>
    <w:rsid w:val="00BE226E"/>
    <w:rsid w:val="00BE3B2F"/>
    <w:rsid w:val="00BE421A"/>
    <w:rsid w:val="00BE66D6"/>
    <w:rsid w:val="00BE67A1"/>
    <w:rsid w:val="00BE732D"/>
    <w:rsid w:val="00BF0540"/>
    <w:rsid w:val="00BF0748"/>
    <w:rsid w:val="00BF0B64"/>
    <w:rsid w:val="00BF212E"/>
    <w:rsid w:val="00BF330A"/>
    <w:rsid w:val="00BF3A9D"/>
    <w:rsid w:val="00BF42CF"/>
    <w:rsid w:val="00BF469C"/>
    <w:rsid w:val="00BF558C"/>
    <w:rsid w:val="00BF685A"/>
    <w:rsid w:val="00BF6B39"/>
    <w:rsid w:val="00C0076A"/>
    <w:rsid w:val="00C0130F"/>
    <w:rsid w:val="00C05029"/>
    <w:rsid w:val="00C0590E"/>
    <w:rsid w:val="00C05950"/>
    <w:rsid w:val="00C06929"/>
    <w:rsid w:val="00C06EF4"/>
    <w:rsid w:val="00C07899"/>
    <w:rsid w:val="00C07FA9"/>
    <w:rsid w:val="00C10AEE"/>
    <w:rsid w:val="00C10DD6"/>
    <w:rsid w:val="00C10DEC"/>
    <w:rsid w:val="00C1122F"/>
    <w:rsid w:val="00C11F89"/>
    <w:rsid w:val="00C120C6"/>
    <w:rsid w:val="00C12C0F"/>
    <w:rsid w:val="00C134E5"/>
    <w:rsid w:val="00C13832"/>
    <w:rsid w:val="00C1424D"/>
    <w:rsid w:val="00C143AE"/>
    <w:rsid w:val="00C15931"/>
    <w:rsid w:val="00C16490"/>
    <w:rsid w:val="00C16ECF"/>
    <w:rsid w:val="00C17535"/>
    <w:rsid w:val="00C1778D"/>
    <w:rsid w:val="00C20E42"/>
    <w:rsid w:val="00C22635"/>
    <w:rsid w:val="00C22842"/>
    <w:rsid w:val="00C22DAC"/>
    <w:rsid w:val="00C23048"/>
    <w:rsid w:val="00C23621"/>
    <w:rsid w:val="00C23792"/>
    <w:rsid w:val="00C24F5E"/>
    <w:rsid w:val="00C255BC"/>
    <w:rsid w:val="00C265CC"/>
    <w:rsid w:val="00C265FB"/>
    <w:rsid w:val="00C26817"/>
    <w:rsid w:val="00C26973"/>
    <w:rsid w:val="00C273AE"/>
    <w:rsid w:val="00C27C1C"/>
    <w:rsid w:val="00C27C61"/>
    <w:rsid w:val="00C3109F"/>
    <w:rsid w:val="00C32280"/>
    <w:rsid w:val="00C330CA"/>
    <w:rsid w:val="00C3479E"/>
    <w:rsid w:val="00C34A6D"/>
    <w:rsid w:val="00C3500A"/>
    <w:rsid w:val="00C36DF2"/>
    <w:rsid w:val="00C400E5"/>
    <w:rsid w:val="00C405DD"/>
    <w:rsid w:val="00C4201F"/>
    <w:rsid w:val="00C420DF"/>
    <w:rsid w:val="00C4284F"/>
    <w:rsid w:val="00C42ACD"/>
    <w:rsid w:val="00C4317A"/>
    <w:rsid w:val="00C45222"/>
    <w:rsid w:val="00C4591F"/>
    <w:rsid w:val="00C459AC"/>
    <w:rsid w:val="00C4622D"/>
    <w:rsid w:val="00C46263"/>
    <w:rsid w:val="00C46981"/>
    <w:rsid w:val="00C470AF"/>
    <w:rsid w:val="00C472F7"/>
    <w:rsid w:val="00C47D1B"/>
    <w:rsid w:val="00C503FF"/>
    <w:rsid w:val="00C505E8"/>
    <w:rsid w:val="00C51140"/>
    <w:rsid w:val="00C51346"/>
    <w:rsid w:val="00C515D8"/>
    <w:rsid w:val="00C51B23"/>
    <w:rsid w:val="00C51E4F"/>
    <w:rsid w:val="00C53782"/>
    <w:rsid w:val="00C53985"/>
    <w:rsid w:val="00C53E72"/>
    <w:rsid w:val="00C546A6"/>
    <w:rsid w:val="00C548CF"/>
    <w:rsid w:val="00C54BE5"/>
    <w:rsid w:val="00C558F9"/>
    <w:rsid w:val="00C56625"/>
    <w:rsid w:val="00C56912"/>
    <w:rsid w:val="00C56A45"/>
    <w:rsid w:val="00C57553"/>
    <w:rsid w:val="00C57670"/>
    <w:rsid w:val="00C579F0"/>
    <w:rsid w:val="00C6012D"/>
    <w:rsid w:val="00C61018"/>
    <w:rsid w:val="00C61355"/>
    <w:rsid w:val="00C61471"/>
    <w:rsid w:val="00C63269"/>
    <w:rsid w:val="00C636D0"/>
    <w:rsid w:val="00C66549"/>
    <w:rsid w:val="00C66C9E"/>
    <w:rsid w:val="00C66CFB"/>
    <w:rsid w:val="00C673D1"/>
    <w:rsid w:val="00C71059"/>
    <w:rsid w:val="00C716E5"/>
    <w:rsid w:val="00C7186E"/>
    <w:rsid w:val="00C71A66"/>
    <w:rsid w:val="00C71FD4"/>
    <w:rsid w:val="00C731DC"/>
    <w:rsid w:val="00C7372B"/>
    <w:rsid w:val="00C73907"/>
    <w:rsid w:val="00C748A4"/>
    <w:rsid w:val="00C74C5A"/>
    <w:rsid w:val="00C76800"/>
    <w:rsid w:val="00C77CD0"/>
    <w:rsid w:val="00C77FCC"/>
    <w:rsid w:val="00C80153"/>
    <w:rsid w:val="00C8083C"/>
    <w:rsid w:val="00C80D46"/>
    <w:rsid w:val="00C80F64"/>
    <w:rsid w:val="00C80F8C"/>
    <w:rsid w:val="00C8162E"/>
    <w:rsid w:val="00C81D68"/>
    <w:rsid w:val="00C828BE"/>
    <w:rsid w:val="00C82C57"/>
    <w:rsid w:val="00C82F6C"/>
    <w:rsid w:val="00C8343C"/>
    <w:rsid w:val="00C83B36"/>
    <w:rsid w:val="00C84585"/>
    <w:rsid w:val="00C8497C"/>
    <w:rsid w:val="00C84A04"/>
    <w:rsid w:val="00C866A8"/>
    <w:rsid w:val="00C87926"/>
    <w:rsid w:val="00C90A72"/>
    <w:rsid w:val="00C91A3F"/>
    <w:rsid w:val="00C92091"/>
    <w:rsid w:val="00C92FA3"/>
    <w:rsid w:val="00C9414E"/>
    <w:rsid w:val="00C94EA7"/>
    <w:rsid w:val="00C95E47"/>
    <w:rsid w:val="00C963A0"/>
    <w:rsid w:val="00C9699D"/>
    <w:rsid w:val="00C9775A"/>
    <w:rsid w:val="00C97E22"/>
    <w:rsid w:val="00CA07FF"/>
    <w:rsid w:val="00CA0F7D"/>
    <w:rsid w:val="00CA30DF"/>
    <w:rsid w:val="00CA456C"/>
    <w:rsid w:val="00CA460D"/>
    <w:rsid w:val="00CA666E"/>
    <w:rsid w:val="00CA66DF"/>
    <w:rsid w:val="00CA7476"/>
    <w:rsid w:val="00CA7C1E"/>
    <w:rsid w:val="00CA7FE3"/>
    <w:rsid w:val="00CB0565"/>
    <w:rsid w:val="00CB1D5A"/>
    <w:rsid w:val="00CB2A57"/>
    <w:rsid w:val="00CB2B65"/>
    <w:rsid w:val="00CB57FD"/>
    <w:rsid w:val="00CB63FB"/>
    <w:rsid w:val="00CB6D69"/>
    <w:rsid w:val="00CB6E8B"/>
    <w:rsid w:val="00CB703A"/>
    <w:rsid w:val="00CB7E67"/>
    <w:rsid w:val="00CC0C5D"/>
    <w:rsid w:val="00CC0EE1"/>
    <w:rsid w:val="00CC18AB"/>
    <w:rsid w:val="00CC22DD"/>
    <w:rsid w:val="00CC2BF2"/>
    <w:rsid w:val="00CC30A8"/>
    <w:rsid w:val="00CC3C9F"/>
    <w:rsid w:val="00CC4A8B"/>
    <w:rsid w:val="00CC5E23"/>
    <w:rsid w:val="00CC77E3"/>
    <w:rsid w:val="00CD04A8"/>
    <w:rsid w:val="00CD0985"/>
    <w:rsid w:val="00CD2AE3"/>
    <w:rsid w:val="00CD4A97"/>
    <w:rsid w:val="00CD4D23"/>
    <w:rsid w:val="00CD50FB"/>
    <w:rsid w:val="00CD55AE"/>
    <w:rsid w:val="00CD57CA"/>
    <w:rsid w:val="00CD6519"/>
    <w:rsid w:val="00CD707C"/>
    <w:rsid w:val="00CD737C"/>
    <w:rsid w:val="00CD7BC3"/>
    <w:rsid w:val="00CD7C46"/>
    <w:rsid w:val="00CD7DA9"/>
    <w:rsid w:val="00CD7E25"/>
    <w:rsid w:val="00CE05D4"/>
    <w:rsid w:val="00CE0EE6"/>
    <w:rsid w:val="00CE1503"/>
    <w:rsid w:val="00CE1592"/>
    <w:rsid w:val="00CE234D"/>
    <w:rsid w:val="00CE40D0"/>
    <w:rsid w:val="00CE4301"/>
    <w:rsid w:val="00CE468E"/>
    <w:rsid w:val="00CE46FC"/>
    <w:rsid w:val="00CE481E"/>
    <w:rsid w:val="00CE4AA8"/>
    <w:rsid w:val="00CE515F"/>
    <w:rsid w:val="00CE657B"/>
    <w:rsid w:val="00CF214D"/>
    <w:rsid w:val="00CF3292"/>
    <w:rsid w:val="00CF3A3D"/>
    <w:rsid w:val="00CF3E37"/>
    <w:rsid w:val="00CF58CF"/>
    <w:rsid w:val="00CF67F8"/>
    <w:rsid w:val="00CF6971"/>
    <w:rsid w:val="00CF6B0F"/>
    <w:rsid w:val="00CF78DB"/>
    <w:rsid w:val="00CF7D1F"/>
    <w:rsid w:val="00D01CEF"/>
    <w:rsid w:val="00D01EDC"/>
    <w:rsid w:val="00D0248E"/>
    <w:rsid w:val="00D027E3"/>
    <w:rsid w:val="00D035FA"/>
    <w:rsid w:val="00D03E56"/>
    <w:rsid w:val="00D049A0"/>
    <w:rsid w:val="00D07F0D"/>
    <w:rsid w:val="00D11533"/>
    <w:rsid w:val="00D11F5B"/>
    <w:rsid w:val="00D12E08"/>
    <w:rsid w:val="00D14D6E"/>
    <w:rsid w:val="00D15398"/>
    <w:rsid w:val="00D1585E"/>
    <w:rsid w:val="00D15EDB"/>
    <w:rsid w:val="00D16EAC"/>
    <w:rsid w:val="00D17381"/>
    <w:rsid w:val="00D17DCA"/>
    <w:rsid w:val="00D21482"/>
    <w:rsid w:val="00D217A4"/>
    <w:rsid w:val="00D236C3"/>
    <w:rsid w:val="00D24764"/>
    <w:rsid w:val="00D24A5F"/>
    <w:rsid w:val="00D25ADE"/>
    <w:rsid w:val="00D269B7"/>
    <w:rsid w:val="00D2728D"/>
    <w:rsid w:val="00D27298"/>
    <w:rsid w:val="00D278A7"/>
    <w:rsid w:val="00D30441"/>
    <w:rsid w:val="00D31B06"/>
    <w:rsid w:val="00D31BFC"/>
    <w:rsid w:val="00D31F2E"/>
    <w:rsid w:val="00D32B38"/>
    <w:rsid w:val="00D33B5C"/>
    <w:rsid w:val="00D35280"/>
    <w:rsid w:val="00D35C16"/>
    <w:rsid w:val="00D36C80"/>
    <w:rsid w:val="00D371C6"/>
    <w:rsid w:val="00D372B2"/>
    <w:rsid w:val="00D407D5"/>
    <w:rsid w:val="00D4136B"/>
    <w:rsid w:val="00D41D70"/>
    <w:rsid w:val="00D42123"/>
    <w:rsid w:val="00D42175"/>
    <w:rsid w:val="00D42497"/>
    <w:rsid w:val="00D443AF"/>
    <w:rsid w:val="00D47351"/>
    <w:rsid w:val="00D473CC"/>
    <w:rsid w:val="00D47643"/>
    <w:rsid w:val="00D47A9E"/>
    <w:rsid w:val="00D50580"/>
    <w:rsid w:val="00D50CDF"/>
    <w:rsid w:val="00D518E8"/>
    <w:rsid w:val="00D5257F"/>
    <w:rsid w:val="00D5288E"/>
    <w:rsid w:val="00D53378"/>
    <w:rsid w:val="00D53645"/>
    <w:rsid w:val="00D53E41"/>
    <w:rsid w:val="00D547F7"/>
    <w:rsid w:val="00D553E6"/>
    <w:rsid w:val="00D562E7"/>
    <w:rsid w:val="00D567B8"/>
    <w:rsid w:val="00D5723A"/>
    <w:rsid w:val="00D61B15"/>
    <w:rsid w:val="00D63904"/>
    <w:rsid w:val="00D64514"/>
    <w:rsid w:val="00D649B8"/>
    <w:rsid w:val="00D64A87"/>
    <w:rsid w:val="00D65DA3"/>
    <w:rsid w:val="00D666F3"/>
    <w:rsid w:val="00D66740"/>
    <w:rsid w:val="00D66BAE"/>
    <w:rsid w:val="00D66BD4"/>
    <w:rsid w:val="00D66FEB"/>
    <w:rsid w:val="00D7015C"/>
    <w:rsid w:val="00D70B6F"/>
    <w:rsid w:val="00D71102"/>
    <w:rsid w:val="00D71585"/>
    <w:rsid w:val="00D72B26"/>
    <w:rsid w:val="00D7492A"/>
    <w:rsid w:val="00D75214"/>
    <w:rsid w:val="00D756D5"/>
    <w:rsid w:val="00D75922"/>
    <w:rsid w:val="00D77B71"/>
    <w:rsid w:val="00D804E1"/>
    <w:rsid w:val="00D83994"/>
    <w:rsid w:val="00D83CE5"/>
    <w:rsid w:val="00D8465C"/>
    <w:rsid w:val="00D85008"/>
    <w:rsid w:val="00D87A49"/>
    <w:rsid w:val="00D90475"/>
    <w:rsid w:val="00D90BBF"/>
    <w:rsid w:val="00D9148A"/>
    <w:rsid w:val="00D91C33"/>
    <w:rsid w:val="00D91FB9"/>
    <w:rsid w:val="00D922F3"/>
    <w:rsid w:val="00D92D94"/>
    <w:rsid w:val="00D943C5"/>
    <w:rsid w:val="00D94DEE"/>
    <w:rsid w:val="00D950A6"/>
    <w:rsid w:val="00D950EC"/>
    <w:rsid w:val="00D956AA"/>
    <w:rsid w:val="00D95EF8"/>
    <w:rsid w:val="00D970FD"/>
    <w:rsid w:val="00D971F3"/>
    <w:rsid w:val="00DA0B14"/>
    <w:rsid w:val="00DA0B77"/>
    <w:rsid w:val="00DA1064"/>
    <w:rsid w:val="00DA120B"/>
    <w:rsid w:val="00DA13FD"/>
    <w:rsid w:val="00DA1851"/>
    <w:rsid w:val="00DA205C"/>
    <w:rsid w:val="00DA2450"/>
    <w:rsid w:val="00DA299A"/>
    <w:rsid w:val="00DA31C0"/>
    <w:rsid w:val="00DA3DBD"/>
    <w:rsid w:val="00DA4C11"/>
    <w:rsid w:val="00DA5781"/>
    <w:rsid w:val="00DA63C9"/>
    <w:rsid w:val="00DA6B83"/>
    <w:rsid w:val="00DA6E68"/>
    <w:rsid w:val="00DB143B"/>
    <w:rsid w:val="00DB19E6"/>
    <w:rsid w:val="00DB25BC"/>
    <w:rsid w:val="00DB2606"/>
    <w:rsid w:val="00DB26C3"/>
    <w:rsid w:val="00DB5812"/>
    <w:rsid w:val="00DB5868"/>
    <w:rsid w:val="00DB63A2"/>
    <w:rsid w:val="00DB7452"/>
    <w:rsid w:val="00DB7C2A"/>
    <w:rsid w:val="00DC0197"/>
    <w:rsid w:val="00DC057B"/>
    <w:rsid w:val="00DC0595"/>
    <w:rsid w:val="00DC10E2"/>
    <w:rsid w:val="00DC215D"/>
    <w:rsid w:val="00DC241A"/>
    <w:rsid w:val="00DC2975"/>
    <w:rsid w:val="00DC36DB"/>
    <w:rsid w:val="00DC3E83"/>
    <w:rsid w:val="00DC3FBF"/>
    <w:rsid w:val="00DC4A66"/>
    <w:rsid w:val="00DC4AFD"/>
    <w:rsid w:val="00DC5B57"/>
    <w:rsid w:val="00DC60C7"/>
    <w:rsid w:val="00DC6415"/>
    <w:rsid w:val="00DC6829"/>
    <w:rsid w:val="00DC7022"/>
    <w:rsid w:val="00DC752F"/>
    <w:rsid w:val="00DC7568"/>
    <w:rsid w:val="00DC7C00"/>
    <w:rsid w:val="00DD0174"/>
    <w:rsid w:val="00DD02B8"/>
    <w:rsid w:val="00DD0B9B"/>
    <w:rsid w:val="00DD0DA2"/>
    <w:rsid w:val="00DD0FEA"/>
    <w:rsid w:val="00DD1B85"/>
    <w:rsid w:val="00DD238A"/>
    <w:rsid w:val="00DD2460"/>
    <w:rsid w:val="00DD24BD"/>
    <w:rsid w:val="00DD295D"/>
    <w:rsid w:val="00DD324F"/>
    <w:rsid w:val="00DD36E9"/>
    <w:rsid w:val="00DD4235"/>
    <w:rsid w:val="00DD43B7"/>
    <w:rsid w:val="00DD4779"/>
    <w:rsid w:val="00DD4EA2"/>
    <w:rsid w:val="00DD625F"/>
    <w:rsid w:val="00DD65CC"/>
    <w:rsid w:val="00DD6C50"/>
    <w:rsid w:val="00DD747F"/>
    <w:rsid w:val="00DE015D"/>
    <w:rsid w:val="00DE03DC"/>
    <w:rsid w:val="00DE0BC1"/>
    <w:rsid w:val="00DE1D18"/>
    <w:rsid w:val="00DE23D2"/>
    <w:rsid w:val="00DE37CF"/>
    <w:rsid w:val="00DE3D5F"/>
    <w:rsid w:val="00DE3FBD"/>
    <w:rsid w:val="00DE43AE"/>
    <w:rsid w:val="00DE4508"/>
    <w:rsid w:val="00DE5725"/>
    <w:rsid w:val="00DE66BA"/>
    <w:rsid w:val="00DE71E4"/>
    <w:rsid w:val="00DE74D7"/>
    <w:rsid w:val="00DE7834"/>
    <w:rsid w:val="00DE7F9A"/>
    <w:rsid w:val="00DF0690"/>
    <w:rsid w:val="00DF0AB0"/>
    <w:rsid w:val="00DF0B40"/>
    <w:rsid w:val="00DF0B8A"/>
    <w:rsid w:val="00DF0C2C"/>
    <w:rsid w:val="00DF0D44"/>
    <w:rsid w:val="00DF10AC"/>
    <w:rsid w:val="00DF10C0"/>
    <w:rsid w:val="00DF1223"/>
    <w:rsid w:val="00DF134A"/>
    <w:rsid w:val="00DF13C0"/>
    <w:rsid w:val="00DF1658"/>
    <w:rsid w:val="00DF20A4"/>
    <w:rsid w:val="00DF20D1"/>
    <w:rsid w:val="00DF29FB"/>
    <w:rsid w:val="00DF3014"/>
    <w:rsid w:val="00DF3CE0"/>
    <w:rsid w:val="00DF578F"/>
    <w:rsid w:val="00DF6D29"/>
    <w:rsid w:val="00E00BFD"/>
    <w:rsid w:val="00E01862"/>
    <w:rsid w:val="00E0197E"/>
    <w:rsid w:val="00E020A1"/>
    <w:rsid w:val="00E023C9"/>
    <w:rsid w:val="00E02A38"/>
    <w:rsid w:val="00E02B90"/>
    <w:rsid w:val="00E02C5A"/>
    <w:rsid w:val="00E03758"/>
    <w:rsid w:val="00E04B3C"/>
    <w:rsid w:val="00E05C70"/>
    <w:rsid w:val="00E05C8E"/>
    <w:rsid w:val="00E05DED"/>
    <w:rsid w:val="00E06941"/>
    <w:rsid w:val="00E06C29"/>
    <w:rsid w:val="00E07911"/>
    <w:rsid w:val="00E10D95"/>
    <w:rsid w:val="00E1303E"/>
    <w:rsid w:val="00E136DD"/>
    <w:rsid w:val="00E13E29"/>
    <w:rsid w:val="00E143B4"/>
    <w:rsid w:val="00E16244"/>
    <w:rsid w:val="00E162C7"/>
    <w:rsid w:val="00E16369"/>
    <w:rsid w:val="00E16AC1"/>
    <w:rsid w:val="00E2007F"/>
    <w:rsid w:val="00E20329"/>
    <w:rsid w:val="00E207FE"/>
    <w:rsid w:val="00E209C5"/>
    <w:rsid w:val="00E20B6F"/>
    <w:rsid w:val="00E21052"/>
    <w:rsid w:val="00E21313"/>
    <w:rsid w:val="00E2306B"/>
    <w:rsid w:val="00E24F10"/>
    <w:rsid w:val="00E2538E"/>
    <w:rsid w:val="00E30119"/>
    <w:rsid w:val="00E3070E"/>
    <w:rsid w:val="00E3149E"/>
    <w:rsid w:val="00E31DB5"/>
    <w:rsid w:val="00E31FC0"/>
    <w:rsid w:val="00E324A7"/>
    <w:rsid w:val="00E32EF4"/>
    <w:rsid w:val="00E33369"/>
    <w:rsid w:val="00E3370D"/>
    <w:rsid w:val="00E34890"/>
    <w:rsid w:val="00E35635"/>
    <w:rsid w:val="00E36E31"/>
    <w:rsid w:val="00E36F5E"/>
    <w:rsid w:val="00E372AC"/>
    <w:rsid w:val="00E40160"/>
    <w:rsid w:val="00E4041D"/>
    <w:rsid w:val="00E41A85"/>
    <w:rsid w:val="00E423B1"/>
    <w:rsid w:val="00E42620"/>
    <w:rsid w:val="00E42EB2"/>
    <w:rsid w:val="00E42F9F"/>
    <w:rsid w:val="00E430A9"/>
    <w:rsid w:val="00E43B4A"/>
    <w:rsid w:val="00E45F6B"/>
    <w:rsid w:val="00E468BA"/>
    <w:rsid w:val="00E46FEC"/>
    <w:rsid w:val="00E47425"/>
    <w:rsid w:val="00E50233"/>
    <w:rsid w:val="00E52878"/>
    <w:rsid w:val="00E5288E"/>
    <w:rsid w:val="00E52A5F"/>
    <w:rsid w:val="00E53A19"/>
    <w:rsid w:val="00E5452C"/>
    <w:rsid w:val="00E54E16"/>
    <w:rsid w:val="00E54F16"/>
    <w:rsid w:val="00E5532F"/>
    <w:rsid w:val="00E55E95"/>
    <w:rsid w:val="00E56BC5"/>
    <w:rsid w:val="00E56D08"/>
    <w:rsid w:val="00E56D19"/>
    <w:rsid w:val="00E572BA"/>
    <w:rsid w:val="00E57C06"/>
    <w:rsid w:val="00E619AC"/>
    <w:rsid w:val="00E61E9D"/>
    <w:rsid w:val="00E625A0"/>
    <w:rsid w:val="00E62DB9"/>
    <w:rsid w:val="00E62DC6"/>
    <w:rsid w:val="00E640ED"/>
    <w:rsid w:val="00E64143"/>
    <w:rsid w:val="00E64976"/>
    <w:rsid w:val="00E6514E"/>
    <w:rsid w:val="00E65A1F"/>
    <w:rsid w:val="00E65C80"/>
    <w:rsid w:val="00E66AC9"/>
    <w:rsid w:val="00E66CA0"/>
    <w:rsid w:val="00E70E38"/>
    <w:rsid w:val="00E70F66"/>
    <w:rsid w:val="00E71476"/>
    <w:rsid w:val="00E733A6"/>
    <w:rsid w:val="00E7373D"/>
    <w:rsid w:val="00E742B9"/>
    <w:rsid w:val="00E747D5"/>
    <w:rsid w:val="00E74EB3"/>
    <w:rsid w:val="00E75D14"/>
    <w:rsid w:val="00E8003A"/>
    <w:rsid w:val="00E805C5"/>
    <w:rsid w:val="00E8080E"/>
    <w:rsid w:val="00E81221"/>
    <w:rsid w:val="00E8169E"/>
    <w:rsid w:val="00E81DB5"/>
    <w:rsid w:val="00E82030"/>
    <w:rsid w:val="00E82A53"/>
    <w:rsid w:val="00E8397B"/>
    <w:rsid w:val="00E83AF0"/>
    <w:rsid w:val="00E85072"/>
    <w:rsid w:val="00E85228"/>
    <w:rsid w:val="00E856D8"/>
    <w:rsid w:val="00E85BA8"/>
    <w:rsid w:val="00E86E4F"/>
    <w:rsid w:val="00E86EA4"/>
    <w:rsid w:val="00E87ACA"/>
    <w:rsid w:val="00E905A0"/>
    <w:rsid w:val="00E906D5"/>
    <w:rsid w:val="00E92E98"/>
    <w:rsid w:val="00E94560"/>
    <w:rsid w:val="00E94E45"/>
    <w:rsid w:val="00E954B7"/>
    <w:rsid w:val="00E9550C"/>
    <w:rsid w:val="00E95D22"/>
    <w:rsid w:val="00E96435"/>
    <w:rsid w:val="00E97A91"/>
    <w:rsid w:val="00EA0165"/>
    <w:rsid w:val="00EA0DF8"/>
    <w:rsid w:val="00EA3987"/>
    <w:rsid w:val="00EA4173"/>
    <w:rsid w:val="00EA4CD3"/>
    <w:rsid w:val="00EA56D6"/>
    <w:rsid w:val="00EA5FD5"/>
    <w:rsid w:val="00EA6925"/>
    <w:rsid w:val="00EA6D71"/>
    <w:rsid w:val="00EA713A"/>
    <w:rsid w:val="00EB1551"/>
    <w:rsid w:val="00EB1938"/>
    <w:rsid w:val="00EB1965"/>
    <w:rsid w:val="00EB1A69"/>
    <w:rsid w:val="00EB23EF"/>
    <w:rsid w:val="00EB24A0"/>
    <w:rsid w:val="00EB29D3"/>
    <w:rsid w:val="00EB32A5"/>
    <w:rsid w:val="00EB39EF"/>
    <w:rsid w:val="00EB3E96"/>
    <w:rsid w:val="00EB4AF6"/>
    <w:rsid w:val="00EB4B80"/>
    <w:rsid w:val="00EB57EC"/>
    <w:rsid w:val="00EB5BD5"/>
    <w:rsid w:val="00EB648C"/>
    <w:rsid w:val="00EC0103"/>
    <w:rsid w:val="00EC088B"/>
    <w:rsid w:val="00EC35B4"/>
    <w:rsid w:val="00EC3643"/>
    <w:rsid w:val="00EC5949"/>
    <w:rsid w:val="00EC6134"/>
    <w:rsid w:val="00EC692E"/>
    <w:rsid w:val="00EC75E9"/>
    <w:rsid w:val="00ED05A8"/>
    <w:rsid w:val="00ED12AE"/>
    <w:rsid w:val="00ED3020"/>
    <w:rsid w:val="00ED34BE"/>
    <w:rsid w:val="00ED4629"/>
    <w:rsid w:val="00ED4E84"/>
    <w:rsid w:val="00ED6699"/>
    <w:rsid w:val="00ED6A67"/>
    <w:rsid w:val="00ED72EE"/>
    <w:rsid w:val="00ED7CAF"/>
    <w:rsid w:val="00ED7D9E"/>
    <w:rsid w:val="00ED7FAB"/>
    <w:rsid w:val="00EE03B1"/>
    <w:rsid w:val="00EE16E2"/>
    <w:rsid w:val="00EE2C63"/>
    <w:rsid w:val="00EE3DDA"/>
    <w:rsid w:val="00EE4D23"/>
    <w:rsid w:val="00EE5B01"/>
    <w:rsid w:val="00EE5DF3"/>
    <w:rsid w:val="00EE6B49"/>
    <w:rsid w:val="00EF00D9"/>
    <w:rsid w:val="00EF079E"/>
    <w:rsid w:val="00EF07E6"/>
    <w:rsid w:val="00EF0E89"/>
    <w:rsid w:val="00EF35FA"/>
    <w:rsid w:val="00EF3FA7"/>
    <w:rsid w:val="00EF4435"/>
    <w:rsid w:val="00EF507D"/>
    <w:rsid w:val="00EF6D71"/>
    <w:rsid w:val="00F00AB6"/>
    <w:rsid w:val="00F00CD5"/>
    <w:rsid w:val="00F00D29"/>
    <w:rsid w:val="00F00FF2"/>
    <w:rsid w:val="00F01081"/>
    <w:rsid w:val="00F01C7E"/>
    <w:rsid w:val="00F02049"/>
    <w:rsid w:val="00F0338A"/>
    <w:rsid w:val="00F0358A"/>
    <w:rsid w:val="00F0373D"/>
    <w:rsid w:val="00F03747"/>
    <w:rsid w:val="00F03AFC"/>
    <w:rsid w:val="00F041CF"/>
    <w:rsid w:val="00F04F66"/>
    <w:rsid w:val="00F05283"/>
    <w:rsid w:val="00F05DBF"/>
    <w:rsid w:val="00F05E09"/>
    <w:rsid w:val="00F06568"/>
    <w:rsid w:val="00F069F1"/>
    <w:rsid w:val="00F07D38"/>
    <w:rsid w:val="00F11950"/>
    <w:rsid w:val="00F11AAF"/>
    <w:rsid w:val="00F12A0E"/>
    <w:rsid w:val="00F134AC"/>
    <w:rsid w:val="00F13EA4"/>
    <w:rsid w:val="00F16720"/>
    <w:rsid w:val="00F167DA"/>
    <w:rsid w:val="00F172EE"/>
    <w:rsid w:val="00F179D8"/>
    <w:rsid w:val="00F17D6C"/>
    <w:rsid w:val="00F20045"/>
    <w:rsid w:val="00F20655"/>
    <w:rsid w:val="00F2098F"/>
    <w:rsid w:val="00F216D7"/>
    <w:rsid w:val="00F21EBC"/>
    <w:rsid w:val="00F22397"/>
    <w:rsid w:val="00F23DD7"/>
    <w:rsid w:val="00F240EA"/>
    <w:rsid w:val="00F2496F"/>
    <w:rsid w:val="00F252AC"/>
    <w:rsid w:val="00F25D1F"/>
    <w:rsid w:val="00F25EC1"/>
    <w:rsid w:val="00F26185"/>
    <w:rsid w:val="00F26DC3"/>
    <w:rsid w:val="00F300EF"/>
    <w:rsid w:val="00F301C6"/>
    <w:rsid w:val="00F30A35"/>
    <w:rsid w:val="00F30F7B"/>
    <w:rsid w:val="00F322EA"/>
    <w:rsid w:val="00F32BCB"/>
    <w:rsid w:val="00F3329C"/>
    <w:rsid w:val="00F35F1D"/>
    <w:rsid w:val="00F36631"/>
    <w:rsid w:val="00F3676C"/>
    <w:rsid w:val="00F37C44"/>
    <w:rsid w:val="00F37F40"/>
    <w:rsid w:val="00F403FD"/>
    <w:rsid w:val="00F41380"/>
    <w:rsid w:val="00F414B3"/>
    <w:rsid w:val="00F4347B"/>
    <w:rsid w:val="00F43FEC"/>
    <w:rsid w:val="00F45839"/>
    <w:rsid w:val="00F4715B"/>
    <w:rsid w:val="00F47385"/>
    <w:rsid w:val="00F47EF8"/>
    <w:rsid w:val="00F5164C"/>
    <w:rsid w:val="00F533A1"/>
    <w:rsid w:val="00F552FA"/>
    <w:rsid w:val="00F555BE"/>
    <w:rsid w:val="00F567A8"/>
    <w:rsid w:val="00F574F8"/>
    <w:rsid w:val="00F576E4"/>
    <w:rsid w:val="00F600F2"/>
    <w:rsid w:val="00F6065B"/>
    <w:rsid w:val="00F62E09"/>
    <w:rsid w:val="00F63C1F"/>
    <w:rsid w:val="00F6662F"/>
    <w:rsid w:val="00F70118"/>
    <w:rsid w:val="00F702B4"/>
    <w:rsid w:val="00F706F1"/>
    <w:rsid w:val="00F70E4A"/>
    <w:rsid w:val="00F743AF"/>
    <w:rsid w:val="00F75810"/>
    <w:rsid w:val="00F76A55"/>
    <w:rsid w:val="00F77FF2"/>
    <w:rsid w:val="00F80496"/>
    <w:rsid w:val="00F80729"/>
    <w:rsid w:val="00F80996"/>
    <w:rsid w:val="00F81DCD"/>
    <w:rsid w:val="00F82380"/>
    <w:rsid w:val="00F83A74"/>
    <w:rsid w:val="00F84BAA"/>
    <w:rsid w:val="00F84D35"/>
    <w:rsid w:val="00F85D73"/>
    <w:rsid w:val="00F86921"/>
    <w:rsid w:val="00F86E48"/>
    <w:rsid w:val="00F8725D"/>
    <w:rsid w:val="00F87384"/>
    <w:rsid w:val="00F87F8D"/>
    <w:rsid w:val="00F904F7"/>
    <w:rsid w:val="00F907B2"/>
    <w:rsid w:val="00F90BD9"/>
    <w:rsid w:val="00F90DE0"/>
    <w:rsid w:val="00F91EB7"/>
    <w:rsid w:val="00F92058"/>
    <w:rsid w:val="00F923A7"/>
    <w:rsid w:val="00F93A92"/>
    <w:rsid w:val="00F944D7"/>
    <w:rsid w:val="00F95F47"/>
    <w:rsid w:val="00F97F78"/>
    <w:rsid w:val="00FA17C7"/>
    <w:rsid w:val="00FA2526"/>
    <w:rsid w:val="00FA43A4"/>
    <w:rsid w:val="00FA499D"/>
    <w:rsid w:val="00FA5129"/>
    <w:rsid w:val="00FA62D8"/>
    <w:rsid w:val="00FA6732"/>
    <w:rsid w:val="00FA7275"/>
    <w:rsid w:val="00FA7B5A"/>
    <w:rsid w:val="00FA7FCA"/>
    <w:rsid w:val="00FA7FF8"/>
    <w:rsid w:val="00FB1D01"/>
    <w:rsid w:val="00FB1D39"/>
    <w:rsid w:val="00FB3A38"/>
    <w:rsid w:val="00FB48D6"/>
    <w:rsid w:val="00FB52E0"/>
    <w:rsid w:val="00FB53E4"/>
    <w:rsid w:val="00FB59B6"/>
    <w:rsid w:val="00FB75C0"/>
    <w:rsid w:val="00FC02EA"/>
    <w:rsid w:val="00FC12AD"/>
    <w:rsid w:val="00FC17E0"/>
    <w:rsid w:val="00FC21B4"/>
    <w:rsid w:val="00FC3122"/>
    <w:rsid w:val="00FC3695"/>
    <w:rsid w:val="00FC43ED"/>
    <w:rsid w:val="00FC5F9B"/>
    <w:rsid w:val="00FC687B"/>
    <w:rsid w:val="00FC698F"/>
    <w:rsid w:val="00FC6B59"/>
    <w:rsid w:val="00FC7BA9"/>
    <w:rsid w:val="00FD0471"/>
    <w:rsid w:val="00FD0A75"/>
    <w:rsid w:val="00FD15F2"/>
    <w:rsid w:val="00FD168C"/>
    <w:rsid w:val="00FD1A19"/>
    <w:rsid w:val="00FD1A93"/>
    <w:rsid w:val="00FD1DE6"/>
    <w:rsid w:val="00FD2092"/>
    <w:rsid w:val="00FD2A22"/>
    <w:rsid w:val="00FD344E"/>
    <w:rsid w:val="00FD34DD"/>
    <w:rsid w:val="00FD45A6"/>
    <w:rsid w:val="00FD4D50"/>
    <w:rsid w:val="00FD6480"/>
    <w:rsid w:val="00FD66EF"/>
    <w:rsid w:val="00FD6ADE"/>
    <w:rsid w:val="00FD6EAB"/>
    <w:rsid w:val="00FD7CD2"/>
    <w:rsid w:val="00FE021A"/>
    <w:rsid w:val="00FE1A69"/>
    <w:rsid w:val="00FE1B57"/>
    <w:rsid w:val="00FE1F79"/>
    <w:rsid w:val="00FE2DB0"/>
    <w:rsid w:val="00FE43BA"/>
    <w:rsid w:val="00FE5006"/>
    <w:rsid w:val="00FE517E"/>
    <w:rsid w:val="00FE5219"/>
    <w:rsid w:val="00FE5747"/>
    <w:rsid w:val="00FE612F"/>
    <w:rsid w:val="00FE6C02"/>
    <w:rsid w:val="00FE71F9"/>
    <w:rsid w:val="00FE7FBB"/>
    <w:rsid w:val="00FF0383"/>
    <w:rsid w:val="00FF0FB1"/>
    <w:rsid w:val="00FF4376"/>
    <w:rsid w:val="00FF49E6"/>
    <w:rsid w:val="00FF5669"/>
    <w:rsid w:val="00FF5688"/>
    <w:rsid w:val="00FF607A"/>
    <w:rsid w:val="00FF64F7"/>
    <w:rsid w:val="00FF744A"/>
    <w:rsid w:val="00FF7BFF"/>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E8CC70D"/>
  <w15:docId w15:val="{CB210029-7B35-42AA-A223-C90757F41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58F9"/>
    <w:rPr>
      <w:rFonts w:ascii="Times New Roman" w:eastAsia="Times New Roman" w:hAnsi="Times New Roman" w:cs="Times New Roman"/>
      <w:lang w:val="es-ES"/>
    </w:rPr>
  </w:style>
  <w:style w:type="paragraph" w:styleId="Ttulo1">
    <w:name w:val="heading 1"/>
    <w:basedOn w:val="Normal"/>
    <w:next w:val="Normal"/>
    <w:link w:val="Ttulo1Car"/>
    <w:uiPriority w:val="9"/>
    <w:qFormat/>
    <w:rsid w:val="007F61D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iPriority w:val="9"/>
    <w:unhideWhenUsed/>
    <w:qFormat/>
    <w:rsid w:val="004A6EFE"/>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80F8C"/>
    <w:pPr>
      <w:tabs>
        <w:tab w:val="center" w:pos="4252"/>
        <w:tab w:val="right" w:pos="8504"/>
      </w:tabs>
    </w:pPr>
    <w:rPr>
      <w:rFonts w:asciiTheme="minorHAnsi" w:eastAsiaTheme="minorEastAsia" w:hAnsiTheme="minorHAnsi" w:cstheme="minorBidi"/>
      <w:lang w:val="es-ES_tradnl"/>
    </w:rPr>
  </w:style>
  <w:style w:type="character" w:customStyle="1" w:styleId="EncabezadoCar">
    <w:name w:val="Encabezado Car"/>
    <w:basedOn w:val="Fuentedeprrafopredeter"/>
    <w:link w:val="Encabezado"/>
    <w:uiPriority w:val="99"/>
    <w:rsid w:val="00C80F8C"/>
  </w:style>
  <w:style w:type="paragraph" w:styleId="Piedepgina">
    <w:name w:val="footer"/>
    <w:basedOn w:val="Normal"/>
    <w:link w:val="PiedepginaCar"/>
    <w:uiPriority w:val="99"/>
    <w:unhideWhenUsed/>
    <w:rsid w:val="00C80F8C"/>
    <w:pPr>
      <w:tabs>
        <w:tab w:val="center" w:pos="4252"/>
        <w:tab w:val="right" w:pos="8504"/>
      </w:tabs>
    </w:pPr>
    <w:rPr>
      <w:rFonts w:asciiTheme="minorHAnsi" w:eastAsiaTheme="minorEastAsia" w:hAnsiTheme="minorHAnsi" w:cstheme="minorBidi"/>
      <w:lang w:val="es-ES_tradnl"/>
    </w:rPr>
  </w:style>
  <w:style w:type="character" w:customStyle="1" w:styleId="PiedepginaCar">
    <w:name w:val="Pie de página Car"/>
    <w:basedOn w:val="Fuentedeprrafopredeter"/>
    <w:link w:val="Piedepgina"/>
    <w:uiPriority w:val="99"/>
    <w:rsid w:val="00C80F8C"/>
  </w:style>
  <w:style w:type="paragraph" w:styleId="Textodeglobo">
    <w:name w:val="Balloon Text"/>
    <w:basedOn w:val="Normal"/>
    <w:link w:val="TextodegloboCar"/>
    <w:uiPriority w:val="99"/>
    <w:semiHidden/>
    <w:unhideWhenUsed/>
    <w:rsid w:val="00C80F8C"/>
    <w:rPr>
      <w:rFonts w:ascii="Lucida Grande" w:eastAsiaTheme="minorEastAsia" w:hAnsi="Lucida Grande" w:cs="Lucida Grande"/>
      <w:sz w:val="18"/>
      <w:szCs w:val="18"/>
      <w:lang w:val="es-ES_tradnl"/>
    </w:rPr>
  </w:style>
  <w:style w:type="character" w:customStyle="1" w:styleId="TextodegloboCar">
    <w:name w:val="Texto de globo Car"/>
    <w:basedOn w:val="Fuentedeprrafopredeter"/>
    <w:link w:val="Textodeglobo"/>
    <w:uiPriority w:val="99"/>
    <w:semiHidden/>
    <w:rsid w:val="00C80F8C"/>
    <w:rPr>
      <w:rFonts w:ascii="Lucida Grande" w:hAnsi="Lucida Grande" w:cs="Lucida Grande"/>
      <w:sz w:val="18"/>
      <w:szCs w:val="18"/>
    </w:rPr>
  </w:style>
  <w:style w:type="character" w:customStyle="1" w:styleId="PrrafodelistaCar">
    <w:name w:val="Párrafo de lista Car"/>
    <w:aliases w:val="lp1 Car,List Paragraph1 Car,Lista de nivel 1 Car,4 Párrafo de lista Car,Figuras Car,Dot pt Car,No Spacing1 Car,List Paragraph Char Char Char Car,Indicator Text Car,Numbered Para 1 Car,DH1 Car,Listas Car,Light Grid - Accent 31 Car"/>
    <w:link w:val="Prrafodelista"/>
    <w:uiPriority w:val="34"/>
    <w:qFormat/>
    <w:locked/>
    <w:rsid w:val="009D4854"/>
    <w:rPr>
      <w:rFonts w:ascii="Times New Roman" w:eastAsia="Times New Roman" w:hAnsi="Times New Roman" w:cs="Times New Roman"/>
      <w:lang w:val="es-ES"/>
    </w:rPr>
  </w:style>
  <w:style w:type="paragraph" w:styleId="Prrafodelista">
    <w:name w:val="List Paragraph"/>
    <w:aliases w:val="lp1,List Paragraph1,Lista de nivel 1,4 Párrafo de lista,Figuras,Dot pt,No Spacing1,List Paragraph Char Char Char,Indicator Text,Numbered Para 1,DH1,Listas,Light Grid - Accent 31,Colorful List - Accent 11,Bullet 1,F5 List Paragraph,5.9.1"/>
    <w:basedOn w:val="Normal"/>
    <w:link w:val="PrrafodelistaCar"/>
    <w:uiPriority w:val="34"/>
    <w:qFormat/>
    <w:rsid w:val="009D4854"/>
    <w:pPr>
      <w:ind w:left="708"/>
    </w:pPr>
  </w:style>
  <w:style w:type="table" w:styleId="Tablaconcuadrcula">
    <w:name w:val="Table Grid"/>
    <w:basedOn w:val="Tablanormal"/>
    <w:uiPriority w:val="59"/>
    <w:rsid w:val="00AB3F5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notapie">
    <w:name w:val="footnote text"/>
    <w:aliases w:val="Footnote Text Char Char Char Char Char,Footnote Text Char Char Char Char,Footnote reference,FA Fu,Footnote Text Char Char Char,Footnote Text Cha,FA Fußnotentext,FA Fu?notentext,Footnote Text Char Char,FA Fuﬂnotentext,Ca,FA Fu?notente,ADB"/>
    <w:basedOn w:val="Normal"/>
    <w:link w:val="TextonotapieCar"/>
    <w:unhideWhenUsed/>
    <w:qFormat/>
    <w:rsid w:val="00AB3F5E"/>
    <w:rPr>
      <w:rFonts w:asciiTheme="minorHAnsi" w:eastAsiaTheme="minorHAnsi" w:hAnsiTheme="minorHAnsi" w:cstheme="minorBidi"/>
      <w:sz w:val="20"/>
      <w:szCs w:val="20"/>
      <w:lang w:val="es-MX" w:eastAsia="en-US"/>
    </w:rPr>
  </w:style>
  <w:style w:type="character" w:customStyle="1" w:styleId="TextonotapieCar">
    <w:name w:val="Texto nota pie Car"/>
    <w:aliases w:val="Footnote Text Char Char Char Char Char Car,Footnote Text Char Char Char Char Car,Footnote reference Car,FA Fu Car,Footnote Text Char Char Char Car,Footnote Text Cha Car,FA Fußnotentext Car,FA Fu?notentext Car,FA Fuﬂnotentext Car"/>
    <w:basedOn w:val="Fuentedeprrafopredeter"/>
    <w:link w:val="Textonotapie"/>
    <w:qFormat/>
    <w:rsid w:val="00AB3F5E"/>
    <w:rPr>
      <w:rFonts w:eastAsiaTheme="minorHAnsi"/>
      <w:sz w:val="20"/>
      <w:szCs w:val="20"/>
      <w:lang w:val="es-MX" w:eastAsia="en-US"/>
    </w:rPr>
  </w:style>
  <w:style w:type="character" w:styleId="Refdenotaalpie">
    <w:name w:val="footnote reference"/>
    <w:aliases w:val="Footnotes refss,Texto de nota al pie,Ref. de nota al pie 2,Appel note de bas de page,referencia nota al pie,BVI fnr,Footnote number,f,4_G,16 Point,Superscript 6 Point,Texto nota al pie,Footnote Reference Char3,Ref,de nota al pie,註腳內容"/>
    <w:basedOn w:val="Fuentedeprrafopredeter"/>
    <w:uiPriority w:val="99"/>
    <w:unhideWhenUsed/>
    <w:qFormat/>
    <w:rsid w:val="00AB3F5E"/>
    <w:rPr>
      <w:vertAlign w:val="superscript"/>
    </w:rPr>
  </w:style>
  <w:style w:type="character" w:customStyle="1" w:styleId="Ttulo2Car">
    <w:name w:val="Título 2 Car"/>
    <w:basedOn w:val="Fuentedeprrafopredeter"/>
    <w:link w:val="Ttulo2"/>
    <w:uiPriority w:val="9"/>
    <w:rsid w:val="004A6EFE"/>
    <w:rPr>
      <w:rFonts w:asciiTheme="majorHAnsi" w:eastAsiaTheme="majorEastAsia" w:hAnsiTheme="majorHAnsi" w:cstheme="majorBidi"/>
      <w:color w:val="365F91" w:themeColor="accent1" w:themeShade="BF"/>
      <w:sz w:val="26"/>
      <w:szCs w:val="26"/>
      <w:lang w:val="es-ES"/>
    </w:rPr>
  </w:style>
  <w:style w:type="character" w:customStyle="1" w:styleId="apple-converted-space">
    <w:name w:val="apple-converted-space"/>
    <w:basedOn w:val="Fuentedeprrafopredeter"/>
    <w:rsid w:val="00A5404F"/>
  </w:style>
  <w:style w:type="character" w:customStyle="1" w:styleId="normaltextrun">
    <w:name w:val="normaltextrun"/>
    <w:basedOn w:val="Fuentedeprrafopredeter"/>
    <w:rsid w:val="00355B75"/>
  </w:style>
  <w:style w:type="paragraph" w:customStyle="1" w:styleId="paragraph">
    <w:name w:val="paragraph"/>
    <w:basedOn w:val="Normal"/>
    <w:rsid w:val="00355B75"/>
    <w:pPr>
      <w:spacing w:before="100" w:beforeAutospacing="1" w:after="100" w:afterAutospacing="1"/>
    </w:pPr>
    <w:rPr>
      <w:lang w:val="es-MX" w:eastAsia="es-MX"/>
    </w:rPr>
  </w:style>
  <w:style w:type="character" w:customStyle="1" w:styleId="eop">
    <w:name w:val="eop"/>
    <w:basedOn w:val="Fuentedeprrafopredeter"/>
    <w:rsid w:val="00355B75"/>
  </w:style>
  <w:style w:type="character" w:styleId="Hipervnculo">
    <w:name w:val="Hyperlink"/>
    <w:aliases w:val="Hipervínculo1,Hipervínculo11,Hipervínculo12,Hipervínculo13,Hipervínculo14,Hipervínculo15"/>
    <w:basedOn w:val="Fuentedeprrafopredeter"/>
    <w:uiPriority w:val="99"/>
    <w:unhideWhenUsed/>
    <w:rsid w:val="00623EA3"/>
    <w:rPr>
      <w:color w:val="0000FF" w:themeColor="hyperlink"/>
      <w:u w:val="single"/>
    </w:rPr>
  </w:style>
  <w:style w:type="character" w:customStyle="1" w:styleId="nacep">
    <w:name w:val="n_acep"/>
    <w:basedOn w:val="Fuentedeprrafopredeter"/>
    <w:rsid w:val="00585C24"/>
  </w:style>
  <w:style w:type="paragraph" w:customStyle="1" w:styleId="Texto">
    <w:name w:val="Texto"/>
    <w:basedOn w:val="Normal"/>
    <w:link w:val="TextoCar"/>
    <w:qFormat/>
    <w:rsid w:val="009573BD"/>
    <w:pPr>
      <w:spacing w:after="101" w:line="216" w:lineRule="exact"/>
      <w:ind w:firstLine="288"/>
      <w:jc w:val="both"/>
    </w:pPr>
    <w:rPr>
      <w:rFonts w:ascii="Arial" w:hAnsi="Arial" w:cs="Arial"/>
      <w:sz w:val="18"/>
      <w:szCs w:val="20"/>
    </w:rPr>
  </w:style>
  <w:style w:type="character" w:customStyle="1" w:styleId="TextoCar">
    <w:name w:val="Texto Car"/>
    <w:link w:val="Texto"/>
    <w:locked/>
    <w:rsid w:val="009573BD"/>
    <w:rPr>
      <w:rFonts w:ascii="Arial" w:eastAsia="Times New Roman" w:hAnsi="Arial" w:cs="Arial"/>
      <w:sz w:val="18"/>
      <w:szCs w:val="20"/>
      <w:lang w:val="es-ES"/>
    </w:rPr>
  </w:style>
  <w:style w:type="character" w:customStyle="1" w:styleId="Ttulo1Car">
    <w:name w:val="Título 1 Car"/>
    <w:basedOn w:val="Fuentedeprrafopredeter"/>
    <w:link w:val="Ttulo1"/>
    <w:uiPriority w:val="9"/>
    <w:rsid w:val="007F61DA"/>
    <w:rPr>
      <w:rFonts w:asciiTheme="majorHAnsi" w:eastAsiaTheme="majorEastAsia" w:hAnsiTheme="majorHAnsi" w:cstheme="majorBidi"/>
      <w:color w:val="365F91" w:themeColor="accent1" w:themeShade="BF"/>
      <w:sz w:val="32"/>
      <w:szCs w:val="32"/>
      <w:lang w:val="es-ES"/>
    </w:rPr>
  </w:style>
  <w:style w:type="paragraph" w:customStyle="1" w:styleId="Default">
    <w:name w:val="Default"/>
    <w:rsid w:val="00DF0D44"/>
    <w:pPr>
      <w:autoSpaceDE w:val="0"/>
      <w:autoSpaceDN w:val="0"/>
      <w:adjustRightInd w:val="0"/>
    </w:pPr>
    <w:rPr>
      <w:rFonts w:ascii="Arial" w:hAnsi="Arial" w:cs="Arial"/>
      <w:color w:val="000000"/>
      <w:lang w:val="es-MX"/>
    </w:rPr>
  </w:style>
  <w:style w:type="paragraph" w:styleId="Sinespaciado">
    <w:name w:val="No Spacing"/>
    <w:aliases w:val="Francesa"/>
    <w:link w:val="SinespaciadoCar"/>
    <w:uiPriority w:val="1"/>
    <w:qFormat/>
    <w:rsid w:val="00932CFF"/>
    <w:rPr>
      <w:rFonts w:ascii="Times New Roman" w:eastAsia="Times New Roman" w:hAnsi="Times New Roman" w:cs="Times New Roman"/>
      <w:lang w:val="es-MX"/>
    </w:rPr>
  </w:style>
  <w:style w:type="character" w:styleId="Textoennegrita">
    <w:name w:val="Strong"/>
    <w:uiPriority w:val="22"/>
    <w:qFormat/>
    <w:rsid w:val="00932CFF"/>
    <w:rPr>
      <w:b/>
      <w:bCs/>
    </w:rPr>
  </w:style>
  <w:style w:type="character" w:customStyle="1" w:styleId="SinespaciadoCar">
    <w:name w:val="Sin espaciado Car"/>
    <w:aliases w:val="Francesa Car"/>
    <w:link w:val="Sinespaciado"/>
    <w:uiPriority w:val="1"/>
    <w:locked/>
    <w:rsid w:val="00932CFF"/>
    <w:rPr>
      <w:rFonts w:ascii="Times New Roman" w:eastAsia="Times New Roman" w:hAnsi="Times New Roman" w:cs="Times New Roman"/>
      <w:lang w:val="es-MX"/>
    </w:rPr>
  </w:style>
  <w:style w:type="paragraph" w:styleId="NormalWeb">
    <w:name w:val="Normal (Web)"/>
    <w:basedOn w:val="Normal"/>
    <w:uiPriority w:val="99"/>
    <w:semiHidden/>
    <w:unhideWhenUsed/>
    <w:rsid w:val="00444919"/>
    <w:pPr>
      <w:spacing w:before="100" w:beforeAutospacing="1" w:after="100" w:afterAutospacing="1"/>
    </w:pPr>
    <w:rPr>
      <w:lang w:val="es-MX" w:eastAsia="es-MX"/>
    </w:rPr>
  </w:style>
  <w:style w:type="paragraph" w:styleId="Textoindependiente">
    <w:name w:val="Body Text"/>
    <w:basedOn w:val="Normal"/>
    <w:link w:val="TextoindependienteCar"/>
    <w:uiPriority w:val="1"/>
    <w:qFormat/>
    <w:rsid w:val="00446C36"/>
    <w:pPr>
      <w:widowControl w:val="0"/>
      <w:autoSpaceDE w:val="0"/>
      <w:autoSpaceDN w:val="0"/>
      <w:adjustRightInd w:val="0"/>
      <w:ind w:left="112"/>
    </w:pPr>
    <w:rPr>
      <w:rFonts w:eastAsiaTheme="minorEastAsia"/>
      <w:sz w:val="25"/>
      <w:szCs w:val="25"/>
      <w:lang w:val="es-MX" w:eastAsia="es-MX"/>
    </w:rPr>
  </w:style>
  <w:style w:type="character" w:customStyle="1" w:styleId="TextoindependienteCar">
    <w:name w:val="Texto independiente Car"/>
    <w:basedOn w:val="Fuentedeprrafopredeter"/>
    <w:link w:val="Textoindependiente"/>
    <w:uiPriority w:val="1"/>
    <w:rsid w:val="00446C36"/>
    <w:rPr>
      <w:rFonts w:ascii="Times New Roman" w:hAnsi="Times New Roman" w:cs="Times New Roman"/>
      <w:sz w:val="25"/>
      <w:szCs w:val="25"/>
      <w:lang w:val="es-MX" w:eastAsia="es-MX"/>
    </w:rPr>
  </w:style>
  <w:style w:type="paragraph" w:styleId="Textosinformato">
    <w:name w:val="Plain Text"/>
    <w:basedOn w:val="Normal"/>
    <w:link w:val="TextosinformatoCar"/>
    <w:unhideWhenUsed/>
    <w:rsid w:val="006F1806"/>
    <w:rPr>
      <w:rFonts w:ascii="Courier New" w:hAnsi="Courier New"/>
      <w:sz w:val="20"/>
      <w:szCs w:val="20"/>
    </w:rPr>
  </w:style>
  <w:style w:type="character" w:customStyle="1" w:styleId="TextosinformatoCar">
    <w:name w:val="Texto sin formato Car"/>
    <w:basedOn w:val="Fuentedeprrafopredeter"/>
    <w:link w:val="Textosinformato"/>
    <w:rsid w:val="006F1806"/>
    <w:rPr>
      <w:rFonts w:ascii="Courier New" w:eastAsia="Times New Roman" w:hAnsi="Courier New" w:cs="Times New Roman"/>
      <w:sz w:val="20"/>
      <w:szCs w:val="20"/>
      <w:lang w:val="es-ES"/>
    </w:rPr>
  </w:style>
  <w:style w:type="table" w:styleId="Tabladelista1clara-nfasis1">
    <w:name w:val="List Table 1 Light Accent 1"/>
    <w:basedOn w:val="Tablanormal"/>
    <w:uiPriority w:val="46"/>
    <w:rsid w:val="007B70B3"/>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95B3D7" w:themeColor="accent1" w:themeTint="99"/>
        </w:tcBorders>
      </w:tcPr>
    </w:tblStylePr>
    <w:tblStylePr w:type="lastRow">
      <w:rPr>
        <w:b/>
        <w:bCs/>
      </w:rPr>
      <w:tblPr/>
      <w:tcPr>
        <w:tcBorders>
          <w:top w:val="sing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aconcuadrcula211">
    <w:name w:val="Tabla con cuadrícula211"/>
    <w:basedOn w:val="Tablanormal"/>
    <w:next w:val="Tablaconcuadrcula"/>
    <w:uiPriority w:val="39"/>
    <w:rsid w:val="006E011A"/>
    <w:rPr>
      <w:rFonts w:eastAsia="Calibri"/>
      <w:sz w:val="22"/>
      <w:szCs w:val="22"/>
      <w:lang w:val="es-MX"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fasis">
    <w:name w:val="Emphasis"/>
    <w:basedOn w:val="Fuentedeprrafopredeter"/>
    <w:uiPriority w:val="20"/>
    <w:qFormat/>
    <w:rsid w:val="00CB703A"/>
    <w:rPr>
      <w:i/>
      <w:iCs/>
    </w:rPr>
  </w:style>
  <w:style w:type="table" w:customStyle="1" w:styleId="Tablaconcuadrcula2111">
    <w:name w:val="Tabla con cuadrícula2111"/>
    <w:basedOn w:val="Tablanormal"/>
    <w:next w:val="Tablaconcuadrcula"/>
    <w:uiPriority w:val="39"/>
    <w:rsid w:val="00EA0165"/>
    <w:rPr>
      <w:rFonts w:eastAsia="Calibri"/>
      <w:sz w:val="22"/>
      <w:szCs w:val="22"/>
      <w:lang w:val="es-MX"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1">
    <w:name w:val="Tabla con cuadrícula111"/>
    <w:basedOn w:val="Tablanormal"/>
    <w:next w:val="Tablaconcuadrcula"/>
    <w:uiPriority w:val="59"/>
    <w:rsid w:val="00EA0165"/>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DC1">
    <w:name w:val="toc 1"/>
    <w:basedOn w:val="Normal"/>
    <w:next w:val="Normal"/>
    <w:autoRedefine/>
    <w:uiPriority w:val="39"/>
    <w:unhideWhenUsed/>
    <w:rsid w:val="0046570E"/>
    <w:pPr>
      <w:tabs>
        <w:tab w:val="left" w:pos="426"/>
        <w:tab w:val="right" w:leader="dot" w:pos="8828"/>
      </w:tabs>
      <w:spacing w:after="100"/>
    </w:pPr>
  </w:style>
  <w:style w:type="paragraph" w:styleId="TDC2">
    <w:name w:val="toc 2"/>
    <w:basedOn w:val="Normal"/>
    <w:next w:val="Normal"/>
    <w:autoRedefine/>
    <w:uiPriority w:val="39"/>
    <w:unhideWhenUsed/>
    <w:rsid w:val="00EB23EF"/>
    <w:pPr>
      <w:spacing w:after="100"/>
      <w:ind w:left="240"/>
    </w:pPr>
  </w:style>
  <w:style w:type="paragraph" w:styleId="TDC3">
    <w:name w:val="toc 3"/>
    <w:basedOn w:val="Normal"/>
    <w:next w:val="Normal"/>
    <w:autoRedefine/>
    <w:uiPriority w:val="39"/>
    <w:unhideWhenUsed/>
    <w:rsid w:val="0046570E"/>
    <w:pPr>
      <w:tabs>
        <w:tab w:val="left" w:pos="426"/>
        <w:tab w:val="right" w:leader="dot" w:pos="8828"/>
      </w:tabs>
      <w:spacing w:after="100"/>
    </w:pPr>
  </w:style>
  <w:style w:type="table" w:customStyle="1" w:styleId="Tablaconcuadrcula7">
    <w:name w:val="Tabla con cuadrícula7"/>
    <w:basedOn w:val="Tablanormal"/>
    <w:next w:val="Tablaconcuadrcula"/>
    <w:uiPriority w:val="39"/>
    <w:rsid w:val="00F86921"/>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B1">
    <w:name w:val="ADB1"/>
    <w:basedOn w:val="Normal"/>
    <w:next w:val="Textonotapie"/>
    <w:uiPriority w:val="99"/>
    <w:unhideWhenUsed/>
    <w:qFormat/>
    <w:rsid w:val="00DC7568"/>
    <w:rPr>
      <w:rFonts w:ascii="Calibri" w:eastAsia="Cambria" w:hAnsi="Calibri"/>
      <w:sz w:val="20"/>
      <w:szCs w:val="20"/>
      <w:lang w:val="es-MX" w:eastAsia="en-US"/>
    </w:rPr>
  </w:style>
  <w:style w:type="character" w:customStyle="1" w:styleId="Hipervnculo151">
    <w:name w:val="Hipervínculo151"/>
    <w:basedOn w:val="Fuentedeprrafopredeter"/>
    <w:uiPriority w:val="99"/>
    <w:unhideWhenUsed/>
    <w:rsid w:val="008735BF"/>
    <w:rPr>
      <w:color w:val="0000FF"/>
      <w:u w:val="single"/>
    </w:rPr>
  </w:style>
  <w:style w:type="character" w:customStyle="1" w:styleId="UnresolvedMention">
    <w:name w:val="Unresolved Mention"/>
    <w:basedOn w:val="Fuentedeprrafopredeter"/>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28509">
      <w:bodyDiv w:val="1"/>
      <w:marLeft w:val="0"/>
      <w:marRight w:val="0"/>
      <w:marTop w:val="0"/>
      <w:marBottom w:val="0"/>
      <w:divBdr>
        <w:top w:val="none" w:sz="0" w:space="0" w:color="auto"/>
        <w:left w:val="none" w:sz="0" w:space="0" w:color="auto"/>
        <w:bottom w:val="none" w:sz="0" w:space="0" w:color="auto"/>
        <w:right w:val="none" w:sz="0" w:space="0" w:color="auto"/>
      </w:divBdr>
    </w:div>
    <w:div w:id="71662724">
      <w:bodyDiv w:val="1"/>
      <w:marLeft w:val="0"/>
      <w:marRight w:val="0"/>
      <w:marTop w:val="0"/>
      <w:marBottom w:val="0"/>
      <w:divBdr>
        <w:top w:val="none" w:sz="0" w:space="0" w:color="auto"/>
        <w:left w:val="none" w:sz="0" w:space="0" w:color="auto"/>
        <w:bottom w:val="none" w:sz="0" w:space="0" w:color="auto"/>
        <w:right w:val="none" w:sz="0" w:space="0" w:color="auto"/>
      </w:divBdr>
    </w:div>
    <w:div w:id="113183635">
      <w:bodyDiv w:val="1"/>
      <w:marLeft w:val="0"/>
      <w:marRight w:val="0"/>
      <w:marTop w:val="0"/>
      <w:marBottom w:val="0"/>
      <w:divBdr>
        <w:top w:val="none" w:sz="0" w:space="0" w:color="auto"/>
        <w:left w:val="none" w:sz="0" w:space="0" w:color="auto"/>
        <w:bottom w:val="none" w:sz="0" w:space="0" w:color="auto"/>
        <w:right w:val="none" w:sz="0" w:space="0" w:color="auto"/>
      </w:divBdr>
    </w:div>
    <w:div w:id="120923337">
      <w:bodyDiv w:val="1"/>
      <w:marLeft w:val="0"/>
      <w:marRight w:val="0"/>
      <w:marTop w:val="0"/>
      <w:marBottom w:val="0"/>
      <w:divBdr>
        <w:top w:val="none" w:sz="0" w:space="0" w:color="auto"/>
        <w:left w:val="none" w:sz="0" w:space="0" w:color="auto"/>
        <w:bottom w:val="none" w:sz="0" w:space="0" w:color="auto"/>
        <w:right w:val="none" w:sz="0" w:space="0" w:color="auto"/>
      </w:divBdr>
    </w:div>
    <w:div w:id="132522224">
      <w:bodyDiv w:val="1"/>
      <w:marLeft w:val="0"/>
      <w:marRight w:val="0"/>
      <w:marTop w:val="0"/>
      <w:marBottom w:val="0"/>
      <w:divBdr>
        <w:top w:val="none" w:sz="0" w:space="0" w:color="auto"/>
        <w:left w:val="none" w:sz="0" w:space="0" w:color="auto"/>
        <w:bottom w:val="none" w:sz="0" w:space="0" w:color="auto"/>
        <w:right w:val="none" w:sz="0" w:space="0" w:color="auto"/>
      </w:divBdr>
    </w:div>
    <w:div w:id="136607946">
      <w:bodyDiv w:val="1"/>
      <w:marLeft w:val="0"/>
      <w:marRight w:val="0"/>
      <w:marTop w:val="0"/>
      <w:marBottom w:val="0"/>
      <w:divBdr>
        <w:top w:val="none" w:sz="0" w:space="0" w:color="auto"/>
        <w:left w:val="none" w:sz="0" w:space="0" w:color="auto"/>
        <w:bottom w:val="none" w:sz="0" w:space="0" w:color="auto"/>
        <w:right w:val="none" w:sz="0" w:space="0" w:color="auto"/>
      </w:divBdr>
    </w:div>
    <w:div w:id="160198089">
      <w:bodyDiv w:val="1"/>
      <w:marLeft w:val="0"/>
      <w:marRight w:val="0"/>
      <w:marTop w:val="0"/>
      <w:marBottom w:val="0"/>
      <w:divBdr>
        <w:top w:val="none" w:sz="0" w:space="0" w:color="auto"/>
        <w:left w:val="none" w:sz="0" w:space="0" w:color="auto"/>
        <w:bottom w:val="none" w:sz="0" w:space="0" w:color="auto"/>
        <w:right w:val="none" w:sz="0" w:space="0" w:color="auto"/>
      </w:divBdr>
    </w:div>
    <w:div w:id="188758197">
      <w:bodyDiv w:val="1"/>
      <w:marLeft w:val="0"/>
      <w:marRight w:val="0"/>
      <w:marTop w:val="0"/>
      <w:marBottom w:val="0"/>
      <w:divBdr>
        <w:top w:val="none" w:sz="0" w:space="0" w:color="auto"/>
        <w:left w:val="none" w:sz="0" w:space="0" w:color="auto"/>
        <w:bottom w:val="none" w:sz="0" w:space="0" w:color="auto"/>
        <w:right w:val="none" w:sz="0" w:space="0" w:color="auto"/>
      </w:divBdr>
    </w:div>
    <w:div w:id="271325150">
      <w:bodyDiv w:val="1"/>
      <w:marLeft w:val="0"/>
      <w:marRight w:val="0"/>
      <w:marTop w:val="0"/>
      <w:marBottom w:val="0"/>
      <w:divBdr>
        <w:top w:val="none" w:sz="0" w:space="0" w:color="auto"/>
        <w:left w:val="none" w:sz="0" w:space="0" w:color="auto"/>
        <w:bottom w:val="none" w:sz="0" w:space="0" w:color="auto"/>
        <w:right w:val="none" w:sz="0" w:space="0" w:color="auto"/>
      </w:divBdr>
    </w:div>
    <w:div w:id="275063855">
      <w:bodyDiv w:val="1"/>
      <w:marLeft w:val="0"/>
      <w:marRight w:val="0"/>
      <w:marTop w:val="0"/>
      <w:marBottom w:val="0"/>
      <w:divBdr>
        <w:top w:val="none" w:sz="0" w:space="0" w:color="auto"/>
        <w:left w:val="none" w:sz="0" w:space="0" w:color="auto"/>
        <w:bottom w:val="none" w:sz="0" w:space="0" w:color="auto"/>
        <w:right w:val="none" w:sz="0" w:space="0" w:color="auto"/>
      </w:divBdr>
    </w:div>
    <w:div w:id="283535765">
      <w:bodyDiv w:val="1"/>
      <w:marLeft w:val="0"/>
      <w:marRight w:val="0"/>
      <w:marTop w:val="0"/>
      <w:marBottom w:val="0"/>
      <w:divBdr>
        <w:top w:val="none" w:sz="0" w:space="0" w:color="auto"/>
        <w:left w:val="none" w:sz="0" w:space="0" w:color="auto"/>
        <w:bottom w:val="none" w:sz="0" w:space="0" w:color="auto"/>
        <w:right w:val="none" w:sz="0" w:space="0" w:color="auto"/>
      </w:divBdr>
    </w:div>
    <w:div w:id="285504980">
      <w:bodyDiv w:val="1"/>
      <w:marLeft w:val="0"/>
      <w:marRight w:val="0"/>
      <w:marTop w:val="0"/>
      <w:marBottom w:val="0"/>
      <w:divBdr>
        <w:top w:val="none" w:sz="0" w:space="0" w:color="auto"/>
        <w:left w:val="none" w:sz="0" w:space="0" w:color="auto"/>
        <w:bottom w:val="none" w:sz="0" w:space="0" w:color="auto"/>
        <w:right w:val="none" w:sz="0" w:space="0" w:color="auto"/>
      </w:divBdr>
    </w:div>
    <w:div w:id="315035529">
      <w:bodyDiv w:val="1"/>
      <w:marLeft w:val="0"/>
      <w:marRight w:val="0"/>
      <w:marTop w:val="0"/>
      <w:marBottom w:val="0"/>
      <w:divBdr>
        <w:top w:val="none" w:sz="0" w:space="0" w:color="auto"/>
        <w:left w:val="none" w:sz="0" w:space="0" w:color="auto"/>
        <w:bottom w:val="none" w:sz="0" w:space="0" w:color="auto"/>
        <w:right w:val="none" w:sz="0" w:space="0" w:color="auto"/>
      </w:divBdr>
    </w:div>
    <w:div w:id="319770551">
      <w:bodyDiv w:val="1"/>
      <w:marLeft w:val="0"/>
      <w:marRight w:val="0"/>
      <w:marTop w:val="0"/>
      <w:marBottom w:val="0"/>
      <w:divBdr>
        <w:top w:val="none" w:sz="0" w:space="0" w:color="auto"/>
        <w:left w:val="none" w:sz="0" w:space="0" w:color="auto"/>
        <w:bottom w:val="none" w:sz="0" w:space="0" w:color="auto"/>
        <w:right w:val="none" w:sz="0" w:space="0" w:color="auto"/>
      </w:divBdr>
    </w:div>
    <w:div w:id="320738556">
      <w:bodyDiv w:val="1"/>
      <w:marLeft w:val="0"/>
      <w:marRight w:val="0"/>
      <w:marTop w:val="0"/>
      <w:marBottom w:val="0"/>
      <w:divBdr>
        <w:top w:val="none" w:sz="0" w:space="0" w:color="auto"/>
        <w:left w:val="none" w:sz="0" w:space="0" w:color="auto"/>
        <w:bottom w:val="none" w:sz="0" w:space="0" w:color="auto"/>
        <w:right w:val="none" w:sz="0" w:space="0" w:color="auto"/>
      </w:divBdr>
    </w:div>
    <w:div w:id="358093108">
      <w:bodyDiv w:val="1"/>
      <w:marLeft w:val="0"/>
      <w:marRight w:val="0"/>
      <w:marTop w:val="0"/>
      <w:marBottom w:val="0"/>
      <w:divBdr>
        <w:top w:val="none" w:sz="0" w:space="0" w:color="auto"/>
        <w:left w:val="none" w:sz="0" w:space="0" w:color="auto"/>
        <w:bottom w:val="none" w:sz="0" w:space="0" w:color="auto"/>
        <w:right w:val="none" w:sz="0" w:space="0" w:color="auto"/>
      </w:divBdr>
    </w:div>
    <w:div w:id="361248420">
      <w:bodyDiv w:val="1"/>
      <w:marLeft w:val="0"/>
      <w:marRight w:val="0"/>
      <w:marTop w:val="0"/>
      <w:marBottom w:val="0"/>
      <w:divBdr>
        <w:top w:val="none" w:sz="0" w:space="0" w:color="auto"/>
        <w:left w:val="none" w:sz="0" w:space="0" w:color="auto"/>
        <w:bottom w:val="none" w:sz="0" w:space="0" w:color="auto"/>
        <w:right w:val="none" w:sz="0" w:space="0" w:color="auto"/>
      </w:divBdr>
    </w:div>
    <w:div w:id="381246491">
      <w:bodyDiv w:val="1"/>
      <w:marLeft w:val="0"/>
      <w:marRight w:val="0"/>
      <w:marTop w:val="0"/>
      <w:marBottom w:val="0"/>
      <w:divBdr>
        <w:top w:val="none" w:sz="0" w:space="0" w:color="auto"/>
        <w:left w:val="none" w:sz="0" w:space="0" w:color="auto"/>
        <w:bottom w:val="none" w:sz="0" w:space="0" w:color="auto"/>
        <w:right w:val="none" w:sz="0" w:space="0" w:color="auto"/>
      </w:divBdr>
    </w:div>
    <w:div w:id="451486402">
      <w:bodyDiv w:val="1"/>
      <w:marLeft w:val="0"/>
      <w:marRight w:val="0"/>
      <w:marTop w:val="0"/>
      <w:marBottom w:val="0"/>
      <w:divBdr>
        <w:top w:val="none" w:sz="0" w:space="0" w:color="auto"/>
        <w:left w:val="none" w:sz="0" w:space="0" w:color="auto"/>
        <w:bottom w:val="none" w:sz="0" w:space="0" w:color="auto"/>
        <w:right w:val="none" w:sz="0" w:space="0" w:color="auto"/>
      </w:divBdr>
    </w:div>
    <w:div w:id="454755402">
      <w:bodyDiv w:val="1"/>
      <w:marLeft w:val="0"/>
      <w:marRight w:val="0"/>
      <w:marTop w:val="0"/>
      <w:marBottom w:val="0"/>
      <w:divBdr>
        <w:top w:val="none" w:sz="0" w:space="0" w:color="auto"/>
        <w:left w:val="none" w:sz="0" w:space="0" w:color="auto"/>
        <w:bottom w:val="none" w:sz="0" w:space="0" w:color="auto"/>
        <w:right w:val="none" w:sz="0" w:space="0" w:color="auto"/>
      </w:divBdr>
    </w:div>
    <w:div w:id="496698662">
      <w:bodyDiv w:val="1"/>
      <w:marLeft w:val="0"/>
      <w:marRight w:val="0"/>
      <w:marTop w:val="0"/>
      <w:marBottom w:val="0"/>
      <w:divBdr>
        <w:top w:val="none" w:sz="0" w:space="0" w:color="auto"/>
        <w:left w:val="none" w:sz="0" w:space="0" w:color="auto"/>
        <w:bottom w:val="none" w:sz="0" w:space="0" w:color="auto"/>
        <w:right w:val="none" w:sz="0" w:space="0" w:color="auto"/>
      </w:divBdr>
    </w:div>
    <w:div w:id="526140367">
      <w:bodyDiv w:val="1"/>
      <w:marLeft w:val="0"/>
      <w:marRight w:val="0"/>
      <w:marTop w:val="0"/>
      <w:marBottom w:val="0"/>
      <w:divBdr>
        <w:top w:val="none" w:sz="0" w:space="0" w:color="auto"/>
        <w:left w:val="none" w:sz="0" w:space="0" w:color="auto"/>
        <w:bottom w:val="none" w:sz="0" w:space="0" w:color="auto"/>
        <w:right w:val="none" w:sz="0" w:space="0" w:color="auto"/>
      </w:divBdr>
      <w:divsChild>
        <w:div w:id="72239116">
          <w:marLeft w:val="0"/>
          <w:marRight w:val="0"/>
          <w:marTop w:val="0"/>
          <w:marBottom w:val="0"/>
          <w:divBdr>
            <w:top w:val="none" w:sz="0" w:space="0" w:color="auto"/>
            <w:left w:val="none" w:sz="0" w:space="0" w:color="auto"/>
            <w:bottom w:val="none" w:sz="0" w:space="0" w:color="auto"/>
            <w:right w:val="none" w:sz="0" w:space="0" w:color="auto"/>
          </w:divBdr>
          <w:divsChild>
            <w:div w:id="875191895">
              <w:marLeft w:val="0"/>
              <w:marRight w:val="0"/>
              <w:marTop w:val="0"/>
              <w:marBottom w:val="0"/>
              <w:divBdr>
                <w:top w:val="none" w:sz="0" w:space="0" w:color="auto"/>
                <w:left w:val="none" w:sz="0" w:space="0" w:color="auto"/>
                <w:bottom w:val="none" w:sz="0" w:space="0" w:color="auto"/>
                <w:right w:val="none" w:sz="0" w:space="0" w:color="auto"/>
              </w:divBdr>
            </w:div>
            <w:div w:id="1282036551">
              <w:marLeft w:val="0"/>
              <w:marRight w:val="0"/>
              <w:marTop w:val="0"/>
              <w:marBottom w:val="0"/>
              <w:divBdr>
                <w:top w:val="none" w:sz="0" w:space="0" w:color="auto"/>
                <w:left w:val="none" w:sz="0" w:space="0" w:color="auto"/>
                <w:bottom w:val="none" w:sz="0" w:space="0" w:color="auto"/>
                <w:right w:val="none" w:sz="0" w:space="0" w:color="auto"/>
              </w:divBdr>
            </w:div>
            <w:div w:id="1621567824">
              <w:marLeft w:val="0"/>
              <w:marRight w:val="0"/>
              <w:marTop w:val="0"/>
              <w:marBottom w:val="0"/>
              <w:divBdr>
                <w:top w:val="none" w:sz="0" w:space="0" w:color="auto"/>
                <w:left w:val="none" w:sz="0" w:space="0" w:color="auto"/>
                <w:bottom w:val="none" w:sz="0" w:space="0" w:color="auto"/>
                <w:right w:val="none" w:sz="0" w:space="0" w:color="auto"/>
              </w:divBdr>
            </w:div>
            <w:div w:id="1913348112">
              <w:marLeft w:val="0"/>
              <w:marRight w:val="0"/>
              <w:marTop w:val="0"/>
              <w:marBottom w:val="0"/>
              <w:divBdr>
                <w:top w:val="none" w:sz="0" w:space="0" w:color="auto"/>
                <w:left w:val="none" w:sz="0" w:space="0" w:color="auto"/>
                <w:bottom w:val="none" w:sz="0" w:space="0" w:color="auto"/>
                <w:right w:val="none" w:sz="0" w:space="0" w:color="auto"/>
              </w:divBdr>
            </w:div>
            <w:div w:id="2071806496">
              <w:marLeft w:val="0"/>
              <w:marRight w:val="0"/>
              <w:marTop w:val="0"/>
              <w:marBottom w:val="0"/>
              <w:divBdr>
                <w:top w:val="none" w:sz="0" w:space="0" w:color="auto"/>
                <w:left w:val="none" w:sz="0" w:space="0" w:color="auto"/>
                <w:bottom w:val="none" w:sz="0" w:space="0" w:color="auto"/>
                <w:right w:val="none" w:sz="0" w:space="0" w:color="auto"/>
              </w:divBdr>
            </w:div>
          </w:divsChild>
        </w:div>
        <w:div w:id="373502370">
          <w:marLeft w:val="0"/>
          <w:marRight w:val="0"/>
          <w:marTop w:val="0"/>
          <w:marBottom w:val="0"/>
          <w:divBdr>
            <w:top w:val="none" w:sz="0" w:space="0" w:color="auto"/>
            <w:left w:val="none" w:sz="0" w:space="0" w:color="auto"/>
            <w:bottom w:val="none" w:sz="0" w:space="0" w:color="auto"/>
            <w:right w:val="none" w:sz="0" w:space="0" w:color="auto"/>
          </w:divBdr>
        </w:div>
        <w:div w:id="1896617816">
          <w:marLeft w:val="0"/>
          <w:marRight w:val="0"/>
          <w:marTop w:val="0"/>
          <w:marBottom w:val="0"/>
          <w:divBdr>
            <w:top w:val="none" w:sz="0" w:space="0" w:color="auto"/>
            <w:left w:val="none" w:sz="0" w:space="0" w:color="auto"/>
            <w:bottom w:val="none" w:sz="0" w:space="0" w:color="auto"/>
            <w:right w:val="none" w:sz="0" w:space="0" w:color="auto"/>
          </w:divBdr>
        </w:div>
      </w:divsChild>
    </w:div>
    <w:div w:id="527260290">
      <w:bodyDiv w:val="1"/>
      <w:marLeft w:val="0"/>
      <w:marRight w:val="0"/>
      <w:marTop w:val="0"/>
      <w:marBottom w:val="0"/>
      <w:divBdr>
        <w:top w:val="none" w:sz="0" w:space="0" w:color="auto"/>
        <w:left w:val="none" w:sz="0" w:space="0" w:color="auto"/>
        <w:bottom w:val="none" w:sz="0" w:space="0" w:color="auto"/>
        <w:right w:val="none" w:sz="0" w:space="0" w:color="auto"/>
      </w:divBdr>
    </w:div>
    <w:div w:id="557132270">
      <w:bodyDiv w:val="1"/>
      <w:marLeft w:val="0"/>
      <w:marRight w:val="0"/>
      <w:marTop w:val="0"/>
      <w:marBottom w:val="0"/>
      <w:divBdr>
        <w:top w:val="none" w:sz="0" w:space="0" w:color="auto"/>
        <w:left w:val="none" w:sz="0" w:space="0" w:color="auto"/>
        <w:bottom w:val="none" w:sz="0" w:space="0" w:color="auto"/>
        <w:right w:val="none" w:sz="0" w:space="0" w:color="auto"/>
      </w:divBdr>
    </w:div>
    <w:div w:id="569273065">
      <w:bodyDiv w:val="1"/>
      <w:marLeft w:val="0"/>
      <w:marRight w:val="0"/>
      <w:marTop w:val="0"/>
      <w:marBottom w:val="0"/>
      <w:divBdr>
        <w:top w:val="none" w:sz="0" w:space="0" w:color="auto"/>
        <w:left w:val="none" w:sz="0" w:space="0" w:color="auto"/>
        <w:bottom w:val="none" w:sz="0" w:space="0" w:color="auto"/>
        <w:right w:val="none" w:sz="0" w:space="0" w:color="auto"/>
      </w:divBdr>
    </w:div>
    <w:div w:id="572279491">
      <w:bodyDiv w:val="1"/>
      <w:marLeft w:val="0"/>
      <w:marRight w:val="0"/>
      <w:marTop w:val="0"/>
      <w:marBottom w:val="0"/>
      <w:divBdr>
        <w:top w:val="none" w:sz="0" w:space="0" w:color="auto"/>
        <w:left w:val="none" w:sz="0" w:space="0" w:color="auto"/>
        <w:bottom w:val="none" w:sz="0" w:space="0" w:color="auto"/>
        <w:right w:val="none" w:sz="0" w:space="0" w:color="auto"/>
      </w:divBdr>
    </w:div>
    <w:div w:id="660550014">
      <w:bodyDiv w:val="1"/>
      <w:marLeft w:val="0"/>
      <w:marRight w:val="0"/>
      <w:marTop w:val="0"/>
      <w:marBottom w:val="0"/>
      <w:divBdr>
        <w:top w:val="none" w:sz="0" w:space="0" w:color="auto"/>
        <w:left w:val="none" w:sz="0" w:space="0" w:color="auto"/>
        <w:bottom w:val="none" w:sz="0" w:space="0" w:color="auto"/>
        <w:right w:val="none" w:sz="0" w:space="0" w:color="auto"/>
      </w:divBdr>
    </w:div>
    <w:div w:id="682978220">
      <w:bodyDiv w:val="1"/>
      <w:marLeft w:val="0"/>
      <w:marRight w:val="0"/>
      <w:marTop w:val="0"/>
      <w:marBottom w:val="0"/>
      <w:divBdr>
        <w:top w:val="none" w:sz="0" w:space="0" w:color="auto"/>
        <w:left w:val="none" w:sz="0" w:space="0" w:color="auto"/>
        <w:bottom w:val="none" w:sz="0" w:space="0" w:color="auto"/>
        <w:right w:val="none" w:sz="0" w:space="0" w:color="auto"/>
      </w:divBdr>
    </w:div>
    <w:div w:id="694577908">
      <w:bodyDiv w:val="1"/>
      <w:marLeft w:val="0"/>
      <w:marRight w:val="0"/>
      <w:marTop w:val="0"/>
      <w:marBottom w:val="0"/>
      <w:divBdr>
        <w:top w:val="none" w:sz="0" w:space="0" w:color="auto"/>
        <w:left w:val="none" w:sz="0" w:space="0" w:color="auto"/>
        <w:bottom w:val="none" w:sz="0" w:space="0" w:color="auto"/>
        <w:right w:val="none" w:sz="0" w:space="0" w:color="auto"/>
      </w:divBdr>
    </w:div>
    <w:div w:id="707724880">
      <w:bodyDiv w:val="1"/>
      <w:marLeft w:val="0"/>
      <w:marRight w:val="0"/>
      <w:marTop w:val="0"/>
      <w:marBottom w:val="0"/>
      <w:divBdr>
        <w:top w:val="none" w:sz="0" w:space="0" w:color="auto"/>
        <w:left w:val="none" w:sz="0" w:space="0" w:color="auto"/>
        <w:bottom w:val="none" w:sz="0" w:space="0" w:color="auto"/>
        <w:right w:val="none" w:sz="0" w:space="0" w:color="auto"/>
      </w:divBdr>
    </w:div>
    <w:div w:id="725950946">
      <w:bodyDiv w:val="1"/>
      <w:marLeft w:val="0"/>
      <w:marRight w:val="0"/>
      <w:marTop w:val="0"/>
      <w:marBottom w:val="0"/>
      <w:divBdr>
        <w:top w:val="none" w:sz="0" w:space="0" w:color="auto"/>
        <w:left w:val="none" w:sz="0" w:space="0" w:color="auto"/>
        <w:bottom w:val="none" w:sz="0" w:space="0" w:color="auto"/>
        <w:right w:val="none" w:sz="0" w:space="0" w:color="auto"/>
      </w:divBdr>
    </w:div>
    <w:div w:id="739795668">
      <w:bodyDiv w:val="1"/>
      <w:marLeft w:val="0"/>
      <w:marRight w:val="0"/>
      <w:marTop w:val="0"/>
      <w:marBottom w:val="0"/>
      <w:divBdr>
        <w:top w:val="none" w:sz="0" w:space="0" w:color="auto"/>
        <w:left w:val="none" w:sz="0" w:space="0" w:color="auto"/>
        <w:bottom w:val="none" w:sz="0" w:space="0" w:color="auto"/>
        <w:right w:val="none" w:sz="0" w:space="0" w:color="auto"/>
      </w:divBdr>
    </w:div>
    <w:div w:id="782652029">
      <w:bodyDiv w:val="1"/>
      <w:marLeft w:val="0"/>
      <w:marRight w:val="0"/>
      <w:marTop w:val="0"/>
      <w:marBottom w:val="0"/>
      <w:divBdr>
        <w:top w:val="none" w:sz="0" w:space="0" w:color="auto"/>
        <w:left w:val="none" w:sz="0" w:space="0" w:color="auto"/>
        <w:bottom w:val="none" w:sz="0" w:space="0" w:color="auto"/>
        <w:right w:val="none" w:sz="0" w:space="0" w:color="auto"/>
      </w:divBdr>
    </w:div>
    <w:div w:id="800340666">
      <w:bodyDiv w:val="1"/>
      <w:marLeft w:val="0"/>
      <w:marRight w:val="0"/>
      <w:marTop w:val="0"/>
      <w:marBottom w:val="0"/>
      <w:divBdr>
        <w:top w:val="none" w:sz="0" w:space="0" w:color="auto"/>
        <w:left w:val="none" w:sz="0" w:space="0" w:color="auto"/>
        <w:bottom w:val="none" w:sz="0" w:space="0" w:color="auto"/>
        <w:right w:val="none" w:sz="0" w:space="0" w:color="auto"/>
      </w:divBdr>
    </w:div>
    <w:div w:id="834762471">
      <w:bodyDiv w:val="1"/>
      <w:marLeft w:val="0"/>
      <w:marRight w:val="0"/>
      <w:marTop w:val="0"/>
      <w:marBottom w:val="0"/>
      <w:divBdr>
        <w:top w:val="none" w:sz="0" w:space="0" w:color="auto"/>
        <w:left w:val="none" w:sz="0" w:space="0" w:color="auto"/>
        <w:bottom w:val="none" w:sz="0" w:space="0" w:color="auto"/>
        <w:right w:val="none" w:sz="0" w:space="0" w:color="auto"/>
      </w:divBdr>
    </w:div>
    <w:div w:id="874348528">
      <w:bodyDiv w:val="1"/>
      <w:marLeft w:val="0"/>
      <w:marRight w:val="0"/>
      <w:marTop w:val="0"/>
      <w:marBottom w:val="0"/>
      <w:divBdr>
        <w:top w:val="none" w:sz="0" w:space="0" w:color="auto"/>
        <w:left w:val="none" w:sz="0" w:space="0" w:color="auto"/>
        <w:bottom w:val="none" w:sz="0" w:space="0" w:color="auto"/>
        <w:right w:val="none" w:sz="0" w:space="0" w:color="auto"/>
      </w:divBdr>
    </w:div>
    <w:div w:id="885990257">
      <w:bodyDiv w:val="1"/>
      <w:marLeft w:val="0"/>
      <w:marRight w:val="0"/>
      <w:marTop w:val="0"/>
      <w:marBottom w:val="0"/>
      <w:divBdr>
        <w:top w:val="none" w:sz="0" w:space="0" w:color="auto"/>
        <w:left w:val="none" w:sz="0" w:space="0" w:color="auto"/>
        <w:bottom w:val="none" w:sz="0" w:space="0" w:color="auto"/>
        <w:right w:val="none" w:sz="0" w:space="0" w:color="auto"/>
      </w:divBdr>
    </w:div>
    <w:div w:id="886797973">
      <w:bodyDiv w:val="1"/>
      <w:marLeft w:val="0"/>
      <w:marRight w:val="0"/>
      <w:marTop w:val="0"/>
      <w:marBottom w:val="0"/>
      <w:divBdr>
        <w:top w:val="none" w:sz="0" w:space="0" w:color="auto"/>
        <w:left w:val="none" w:sz="0" w:space="0" w:color="auto"/>
        <w:bottom w:val="none" w:sz="0" w:space="0" w:color="auto"/>
        <w:right w:val="none" w:sz="0" w:space="0" w:color="auto"/>
      </w:divBdr>
    </w:div>
    <w:div w:id="921719530">
      <w:bodyDiv w:val="1"/>
      <w:marLeft w:val="0"/>
      <w:marRight w:val="0"/>
      <w:marTop w:val="0"/>
      <w:marBottom w:val="0"/>
      <w:divBdr>
        <w:top w:val="none" w:sz="0" w:space="0" w:color="auto"/>
        <w:left w:val="none" w:sz="0" w:space="0" w:color="auto"/>
        <w:bottom w:val="none" w:sz="0" w:space="0" w:color="auto"/>
        <w:right w:val="none" w:sz="0" w:space="0" w:color="auto"/>
      </w:divBdr>
    </w:div>
    <w:div w:id="928587711">
      <w:bodyDiv w:val="1"/>
      <w:marLeft w:val="0"/>
      <w:marRight w:val="0"/>
      <w:marTop w:val="0"/>
      <w:marBottom w:val="0"/>
      <w:divBdr>
        <w:top w:val="none" w:sz="0" w:space="0" w:color="auto"/>
        <w:left w:val="none" w:sz="0" w:space="0" w:color="auto"/>
        <w:bottom w:val="none" w:sz="0" w:space="0" w:color="auto"/>
        <w:right w:val="none" w:sz="0" w:space="0" w:color="auto"/>
      </w:divBdr>
    </w:div>
    <w:div w:id="960265669">
      <w:bodyDiv w:val="1"/>
      <w:marLeft w:val="0"/>
      <w:marRight w:val="0"/>
      <w:marTop w:val="0"/>
      <w:marBottom w:val="0"/>
      <w:divBdr>
        <w:top w:val="none" w:sz="0" w:space="0" w:color="auto"/>
        <w:left w:val="none" w:sz="0" w:space="0" w:color="auto"/>
        <w:bottom w:val="none" w:sz="0" w:space="0" w:color="auto"/>
        <w:right w:val="none" w:sz="0" w:space="0" w:color="auto"/>
      </w:divBdr>
      <w:divsChild>
        <w:div w:id="157699650">
          <w:marLeft w:val="0"/>
          <w:marRight w:val="0"/>
          <w:marTop w:val="0"/>
          <w:marBottom w:val="0"/>
          <w:divBdr>
            <w:top w:val="none" w:sz="0" w:space="0" w:color="auto"/>
            <w:left w:val="none" w:sz="0" w:space="0" w:color="auto"/>
            <w:bottom w:val="none" w:sz="0" w:space="0" w:color="auto"/>
            <w:right w:val="none" w:sz="0" w:space="0" w:color="auto"/>
          </w:divBdr>
          <w:divsChild>
            <w:div w:id="1437946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2615117">
      <w:bodyDiv w:val="1"/>
      <w:marLeft w:val="0"/>
      <w:marRight w:val="0"/>
      <w:marTop w:val="0"/>
      <w:marBottom w:val="0"/>
      <w:divBdr>
        <w:top w:val="none" w:sz="0" w:space="0" w:color="auto"/>
        <w:left w:val="none" w:sz="0" w:space="0" w:color="auto"/>
        <w:bottom w:val="none" w:sz="0" w:space="0" w:color="auto"/>
        <w:right w:val="none" w:sz="0" w:space="0" w:color="auto"/>
      </w:divBdr>
    </w:div>
    <w:div w:id="967391089">
      <w:bodyDiv w:val="1"/>
      <w:marLeft w:val="0"/>
      <w:marRight w:val="0"/>
      <w:marTop w:val="0"/>
      <w:marBottom w:val="0"/>
      <w:divBdr>
        <w:top w:val="none" w:sz="0" w:space="0" w:color="auto"/>
        <w:left w:val="none" w:sz="0" w:space="0" w:color="auto"/>
        <w:bottom w:val="none" w:sz="0" w:space="0" w:color="auto"/>
        <w:right w:val="none" w:sz="0" w:space="0" w:color="auto"/>
      </w:divBdr>
    </w:div>
    <w:div w:id="1008599725">
      <w:bodyDiv w:val="1"/>
      <w:marLeft w:val="0"/>
      <w:marRight w:val="0"/>
      <w:marTop w:val="0"/>
      <w:marBottom w:val="0"/>
      <w:divBdr>
        <w:top w:val="none" w:sz="0" w:space="0" w:color="auto"/>
        <w:left w:val="none" w:sz="0" w:space="0" w:color="auto"/>
        <w:bottom w:val="none" w:sz="0" w:space="0" w:color="auto"/>
        <w:right w:val="none" w:sz="0" w:space="0" w:color="auto"/>
      </w:divBdr>
    </w:div>
    <w:div w:id="1039889826">
      <w:bodyDiv w:val="1"/>
      <w:marLeft w:val="0"/>
      <w:marRight w:val="0"/>
      <w:marTop w:val="0"/>
      <w:marBottom w:val="0"/>
      <w:divBdr>
        <w:top w:val="none" w:sz="0" w:space="0" w:color="auto"/>
        <w:left w:val="none" w:sz="0" w:space="0" w:color="auto"/>
        <w:bottom w:val="none" w:sz="0" w:space="0" w:color="auto"/>
        <w:right w:val="none" w:sz="0" w:space="0" w:color="auto"/>
      </w:divBdr>
    </w:div>
    <w:div w:id="1044906637">
      <w:bodyDiv w:val="1"/>
      <w:marLeft w:val="0"/>
      <w:marRight w:val="0"/>
      <w:marTop w:val="0"/>
      <w:marBottom w:val="0"/>
      <w:divBdr>
        <w:top w:val="none" w:sz="0" w:space="0" w:color="auto"/>
        <w:left w:val="none" w:sz="0" w:space="0" w:color="auto"/>
        <w:bottom w:val="none" w:sz="0" w:space="0" w:color="auto"/>
        <w:right w:val="none" w:sz="0" w:space="0" w:color="auto"/>
      </w:divBdr>
    </w:div>
    <w:div w:id="1047993166">
      <w:bodyDiv w:val="1"/>
      <w:marLeft w:val="0"/>
      <w:marRight w:val="0"/>
      <w:marTop w:val="0"/>
      <w:marBottom w:val="0"/>
      <w:divBdr>
        <w:top w:val="none" w:sz="0" w:space="0" w:color="auto"/>
        <w:left w:val="none" w:sz="0" w:space="0" w:color="auto"/>
        <w:bottom w:val="none" w:sz="0" w:space="0" w:color="auto"/>
        <w:right w:val="none" w:sz="0" w:space="0" w:color="auto"/>
      </w:divBdr>
    </w:div>
    <w:div w:id="1050612787">
      <w:bodyDiv w:val="1"/>
      <w:marLeft w:val="0"/>
      <w:marRight w:val="0"/>
      <w:marTop w:val="0"/>
      <w:marBottom w:val="0"/>
      <w:divBdr>
        <w:top w:val="none" w:sz="0" w:space="0" w:color="auto"/>
        <w:left w:val="none" w:sz="0" w:space="0" w:color="auto"/>
        <w:bottom w:val="none" w:sz="0" w:space="0" w:color="auto"/>
        <w:right w:val="none" w:sz="0" w:space="0" w:color="auto"/>
      </w:divBdr>
    </w:div>
    <w:div w:id="1064327722">
      <w:bodyDiv w:val="1"/>
      <w:marLeft w:val="0"/>
      <w:marRight w:val="0"/>
      <w:marTop w:val="0"/>
      <w:marBottom w:val="0"/>
      <w:divBdr>
        <w:top w:val="none" w:sz="0" w:space="0" w:color="auto"/>
        <w:left w:val="none" w:sz="0" w:space="0" w:color="auto"/>
        <w:bottom w:val="none" w:sz="0" w:space="0" w:color="auto"/>
        <w:right w:val="none" w:sz="0" w:space="0" w:color="auto"/>
      </w:divBdr>
    </w:div>
    <w:div w:id="1077824684">
      <w:bodyDiv w:val="1"/>
      <w:marLeft w:val="0"/>
      <w:marRight w:val="0"/>
      <w:marTop w:val="0"/>
      <w:marBottom w:val="0"/>
      <w:divBdr>
        <w:top w:val="none" w:sz="0" w:space="0" w:color="auto"/>
        <w:left w:val="none" w:sz="0" w:space="0" w:color="auto"/>
        <w:bottom w:val="none" w:sz="0" w:space="0" w:color="auto"/>
        <w:right w:val="none" w:sz="0" w:space="0" w:color="auto"/>
      </w:divBdr>
    </w:div>
    <w:div w:id="1090662348">
      <w:bodyDiv w:val="1"/>
      <w:marLeft w:val="0"/>
      <w:marRight w:val="0"/>
      <w:marTop w:val="0"/>
      <w:marBottom w:val="0"/>
      <w:divBdr>
        <w:top w:val="none" w:sz="0" w:space="0" w:color="auto"/>
        <w:left w:val="none" w:sz="0" w:space="0" w:color="auto"/>
        <w:bottom w:val="none" w:sz="0" w:space="0" w:color="auto"/>
        <w:right w:val="none" w:sz="0" w:space="0" w:color="auto"/>
      </w:divBdr>
    </w:div>
    <w:div w:id="1129739555">
      <w:bodyDiv w:val="1"/>
      <w:marLeft w:val="0"/>
      <w:marRight w:val="0"/>
      <w:marTop w:val="0"/>
      <w:marBottom w:val="0"/>
      <w:divBdr>
        <w:top w:val="none" w:sz="0" w:space="0" w:color="auto"/>
        <w:left w:val="none" w:sz="0" w:space="0" w:color="auto"/>
        <w:bottom w:val="none" w:sz="0" w:space="0" w:color="auto"/>
        <w:right w:val="none" w:sz="0" w:space="0" w:color="auto"/>
      </w:divBdr>
    </w:div>
    <w:div w:id="1155997180">
      <w:bodyDiv w:val="1"/>
      <w:marLeft w:val="0"/>
      <w:marRight w:val="0"/>
      <w:marTop w:val="0"/>
      <w:marBottom w:val="0"/>
      <w:divBdr>
        <w:top w:val="none" w:sz="0" w:space="0" w:color="auto"/>
        <w:left w:val="none" w:sz="0" w:space="0" w:color="auto"/>
        <w:bottom w:val="none" w:sz="0" w:space="0" w:color="auto"/>
        <w:right w:val="none" w:sz="0" w:space="0" w:color="auto"/>
      </w:divBdr>
    </w:div>
    <w:div w:id="1193956612">
      <w:bodyDiv w:val="1"/>
      <w:marLeft w:val="0"/>
      <w:marRight w:val="0"/>
      <w:marTop w:val="0"/>
      <w:marBottom w:val="0"/>
      <w:divBdr>
        <w:top w:val="none" w:sz="0" w:space="0" w:color="auto"/>
        <w:left w:val="none" w:sz="0" w:space="0" w:color="auto"/>
        <w:bottom w:val="none" w:sz="0" w:space="0" w:color="auto"/>
        <w:right w:val="none" w:sz="0" w:space="0" w:color="auto"/>
      </w:divBdr>
    </w:div>
    <w:div w:id="1194808878">
      <w:bodyDiv w:val="1"/>
      <w:marLeft w:val="0"/>
      <w:marRight w:val="0"/>
      <w:marTop w:val="0"/>
      <w:marBottom w:val="0"/>
      <w:divBdr>
        <w:top w:val="none" w:sz="0" w:space="0" w:color="auto"/>
        <w:left w:val="none" w:sz="0" w:space="0" w:color="auto"/>
        <w:bottom w:val="none" w:sz="0" w:space="0" w:color="auto"/>
        <w:right w:val="none" w:sz="0" w:space="0" w:color="auto"/>
      </w:divBdr>
    </w:div>
    <w:div w:id="1222250180">
      <w:bodyDiv w:val="1"/>
      <w:marLeft w:val="0"/>
      <w:marRight w:val="0"/>
      <w:marTop w:val="0"/>
      <w:marBottom w:val="0"/>
      <w:divBdr>
        <w:top w:val="none" w:sz="0" w:space="0" w:color="auto"/>
        <w:left w:val="none" w:sz="0" w:space="0" w:color="auto"/>
        <w:bottom w:val="none" w:sz="0" w:space="0" w:color="auto"/>
        <w:right w:val="none" w:sz="0" w:space="0" w:color="auto"/>
      </w:divBdr>
    </w:div>
    <w:div w:id="1229803364">
      <w:bodyDiv w:val="1"/>
      <w:marLeft w:val="0"/>
      <w:marRight w:val="0"/>
      <w:marTop w:val="0"/>
      <w:marBottom w:val="0"/>
      <w:divBdr>
        <w:top w:val="none" w:sz="0" w:space="0" w:color="auto"/>
        <w:left w:val="none" w:sz="0" w:space="0" w:color="auto"/>
        <w:bottom w:val="none" w:sz="0" w:space="0" w:color="auto"/>
        <w:right w:val="none" w:sz="0" w:space="0" w:color="auto"/>
      </w:divBdr>
    </w:div>
    <w:div w:id="1256551066">
      <w:bodyDiv w:val="1"/>
      <w:marLeft w:val="0"/>
      <w:marRight w:val="0"/>
      <w:marTop w:val="0"/>
      <w:marBottom w:val="0"/>
      <w:divBdr>
        <w:top w:val="none" w:sz="0" w:space="0" w:color="auto"/>
        <w:left w:val="none" w:sz="0" w:space="0" w:color="auto"/>
        <w:bottom w:val="none" w:sz="0" w:space="0" w:color="auto"/>
        <w:right w:val="none" w:sz="0" w:space="0" w:color="auto"/>
      </w:divBdr>
    </w:div>
    <w:div w:id="1273394555">
      <w:bodyDiv w:val="1"/>
      <w:marLeft w:val="0"/>
      <w:marRight w:val="0"/>
      <w:marTop w:val="0"/>
      <w:marBottom w:val="0"/>
      <w:divBdr>
        <w:top w:val="none" w:sz="0" w:space="0" w:color="auto"/>
        <w:left w:val="none" w:sz="0" w:space="0" w:color="auto"/>
        <w:bottom w:val="none" w:sz="0" w:space="0" w:color="auto"/>
        <w:right w:val="none" w:sz="0" w:space="0" w:color="auto"/>
      </w:divBdr>
    </w:div>
    <w:div w:id="1309941774">
      <w:bodyDiv w:val="1"/>
      <w:marLeft w:val="0"/>
      <w:marRight w:val="0"/>
      <w:marTop w:val="0"/>
      <w:marBottom w:val="0"/>
      <w:divBdr>
        <w:top w:val="none" w:sz="0" w:space="0" w:color="auto"/>
        <w:left w:val="none" w:sz="0" w:space="0" w:color="auto"/>
        <w:bottom w:val="none" w:sz="0" w:space="0" w:color="auto"/>
        <w:right w:val="none" w:sz="0" w:space="0" w:color="auto"/>
      </w:divBdr>
    </w:div>
    <w:div w:id="1313215921">
      <w:bodyDiv w:val="1"/>
      <w:marLeft w:val="0"/>
      <w:marRight w:val="0"/>
      <w:marTop w:val="0"/>
      <w:marBottom w:val="0"/>
      <w:divBdr>
        <w:top w:val="none" w:sz="0" w:space="0" w:color="auto"/>
        <w:left w:val="none" w:sz="0" w:space="0" w:color="auto"/>
        <w:bottom w:val="none" w:sz="0" w:space="0" w:color="auto"/>
        <w:right w:val="none" w:sz="0" w:space="0" w:color="auto"/>
      </w:divBdr>
    </w:div>
    <w:div w:id="1315716523">
      <w:bodyDiv w:val="1"/>
      <w:marLeft w:val="0"/>
      <w:marRight w:val="0"/>
      <w:marTop w:val="0"/>
      <w:marBottom w:val="0"/>
      <w:divBdr>
        <w:top w:val="none" w:sz="0" w:space="0" w:color="auto"/>
        <w:left w:val="none" w:sz="0" w:space="0" w:color="auto"/>
        <w:bottom w:val="none" w:sz="0" w:space="0" w:color="auto"/>
        <w:right w:val="none" w:sz="0" w:space="0" w:color="auto"/>
      </w:divBdr>
    </w:div>
    <w:div w:id="1319069367">
      <w:bodyDiv w:val="1"/>
      <w:marLeft w:val="0"/>
      <w:marRight w:val="0"/>
      <w:marTop w:val="0"/>
      <w:marBottom w:val="0"/>
      <w:divBdr>
        <w:top w:val="none" w:sz="0" w:space="0" w:color="auto"/>
        <w:left w:val="none" w:sz="0" w:space="0" w:color="auto"/>
        <w:bottom w:val="none" w:sz="0" w:space="0" w:color="auto"/>
        <w:right w:val="none" w:sz="0" w:space="0" w:color="auto"/>
      </w:divBdr>
    </w:div>
    <w:div w:id="1336497469">
      <w:bodyDiv w:val="1"/>
      <w:marLeft w:val="0"/>
      <w:marRight w:val="0"/>
      <w:marTop w:val="0"/>
      <w:marBottom w:val="0"/>
      <w:divBdr>
        <w:top w:val="none" w:sz="0" w:space="0" w:color="auto"/>
        <w:left w:val="none" w:sz="0" w:space="0" w:color="auto"/>
        <w:bottom w:val="none" w:sz="0" w:space="0" w:color="auto"/>
        <w:right w:val="none" w:sz="0" w:space="0" w:color="auto"/>
      </w:divBdr>
    </w:div>
    <w:div w:id="1352028698">
      <w:bodyDiv w:val="1"/>
      <w:marLeft w:val="0"/>
      <w:marRight w:val="0"/>
      <w:marTop w:val="0"/>
      <w:marBottom w:val="0"/>
      <w:divBdr>
        <w:top w:val="none" w:sz="0" w:space="0" w:color="auto"/>
        <w:left w:val="none" w:sz="0" w:space="0" w:color="auto"/>
        <w:bottom w:val="none" w:sz="0" w:space="0" w:color="auto"/>
        <w:right w:val="none" w:sz="0" w:space="0" w:color="auto"/>
      </w:divBdr>
    </w:div>
    <w:div w:id="1367605553">
      <w:bodyDiv w:val="1"/>
      <w:marLeft w:val="0"/>
      <w:marRight w:val="0"/>
      <w:marTop w:val="0"/>
      <w:marBottom w:val="0"/>
      <w:divBdr>
        <w:top w:val="none" w:sz="0" w:space="0" w:color="auto"/>
        <w:left w:val="none" w:sz="0" w:space="0" w:color="auto"/>
        <w:bottom w:val="none" w:sz="0" w:space="0" w:color="auto"/>
        <w:right w:val="none" w:sz="0" w:space="0" w:color="auto"/>
      </w:divBdr>
    </w:div>
    <w:div w:id="1377698766">
      <w:bodyDiv w:val="1"/>
      <w:marLeft w:val="0"/>
      <w:marRight w:val="0"/>
      <w:marTop w:val="0"/>
      <w:marBottom w:val="0"/>
      <w:divBdr>
        <w:top w:val="none" w:sz="0" w:space="0" w:color="auto"/>
        <w:left w:val="none" w:sz="0" w:space="0" w:color="auto"/>
        <w:bottom w:val="none" w:sz="0" w:space="0" w:color="auto"/>
        <w:right w:val="none" w:sz="0" w:space="0" w:color="auto"/>
      </w:divBdr>
    </w:div>
    <w:div w:id="1420177192">
      <w:bodyDiv w:val="1"/>
      <w:marLeft w:val="0"/>
      <w:marRight w:val="0"/>
      <w:marTop w:val="0"/>
      <w:marBottom w:val="0"/>
      <w:divBdr>
        <w:top w:val="none" w:sz="0" w:space="0" w:color="auto"/>
        <w:left w:val="none" w:sz="0" w:space="0" w:color="auto"/>
        <w:bottom w:val="none" w:sz="0" w:space="0" w:color="auto"/>
        <w:right w:val="none" w:sz="0" w:space="0" w:color="auto"/>
      </w:divBdr>
    </w:div>
    <w:div w:id="1466124211">
      <w:bodyDiv w:val="1"/>
      <w:marLeft w:val="0"/>
      <w:marRight w:val="0"/>
      <w:marTop w:val="0"/>
      <w:marBottom w:val="0"/>
      <w:divBdr>
        <w:top w:val="none" w:sz="0" w:space="0" w:color="auto"/>
        <w:left w:val="none" w:sz="0" w:space="0" w:color="auto"/>
        <w:bottom w:val="none" w:sz="0" w:space="0" w:color="auto"/>
        <w:right w:val="none" w:sz="0" w:space="0" w:color="auto"/>
      </w:divBdr>
    </w:div>
    <w:div w:id="1473446181">
      <w:bodyDiv w:val="1"/>
      <w:marLeft w:val="0"/>
      <w:marRight w:val="0"/>
      <w:marTop w:val="0"/>
      <w:marBottom w:val="0"/>
      <w:divBdr>
        <w:top w:val="none" w:sz="0" w:space="0" w:color="auto"/>
        <w:left w:val="none" w:sz="0" w:space="0" w:color="auto"/>
        <w:bottom w:val="none" w:sz="0" w:space="0" w:color="auto"/>
        <w:right w:val="none" w:sz="0" w:space="0" w:color="auto"/>
      </w:divBdr>
    </w:div>
    <w:div w:id="1499928079">
      <w:bodyDiv w:val="1"/>
      <w:marLeft w:val="0"/>
      <w:marRight w:val="0"/>
      <w:marTop w:val="0"/>
      <w:marBottom w:val="0"/>
      <w:divBdr>
        <w:top w:val="none" w:sz="0" w:space="0" w:color="auto"/>
        <w:left w:val="none" w:sz="0" w:space="0" w:color="auto"/>
        <w:bottom w:val="none" w:sz="0" w:space="0" w:color="auto"/>
        <w:right w:val="none" w:sz="0" w:space="0" w:color="auto"/>
      </w:divBdr>
    </w:div>
    <w:div w:id="1529442372">
      <w:bodyDiv w:val="1"/>
      <w:marLeft w:val="0"/>
      <w:marRight w:val="0"/>
      <w:marTop w:val="0"/>
      <w:marBottom w:val="0"/>
      <w:divBdr>
        <w:top w:val="none" w:sz="0" w:space="0" w:color="auto"/>
        <w:left w:val="none" w:sz="0" w:space="0" w:color="auto"/>
        <w:bottom w:val="none" w:sz="0" w:space="0" w:color="auto"/>
        <w:right w:val="none" w:sz="0" w:space="0" w:color="auto"/>
      </w:divBdr>
    </w:div>
    <w:div w:id="1537965943">
      <w:bodyDiv w:val="1"/>
      <w:marLeft w:val="0"/>
      <w:marRight w:val="0"/>
      <w:marTop w:val="0"/>
      <w:marBottom w:val="0"/>
      <w:divBdr>
        <w:top w:val="none" w:sz="0" w:space="0" w:color="auto"/>
        <w:left w:val="none" w:sz="0" w:space="0" w:color="auto"/>
        <w:bottom w:val="none" w:sz="0" w:space="0" w:color="auto"/>
        <w:right w:val="none" w:sz="0" w:space="0" w:color="auto"/>
      </w:divBdr>
    </w:div>
    <w:div w:id="1550218222">
      <w:bodyDiv w:val="1"/>
      <w:marLeft w:val="0"/>
      <w:marRight w:val="0"/>
      <w:marTop w:val="0"/>
      <w:marBottom w:val="0"/>
      <w:divBdr>
        <w:top w:val="none" w:sz="0" w:space="0" w:color="auto"/>
        <w:left w:val="none" w:sz="0" w:space="0" w:color="auto"/>
        <w:bottom w:val="none" w:sz="0" w:space="0" w:color="auto"/>
        <w:right w:val="none" w:sz="0" w:space="0" w:color="auto"/>
      </w:divBdr>
    </w:div>
    <w:div w:id="1556433658">
      <w:bodyDiv w:val="1"/>
      <w:marLeft w:val="0"/>
      <w:marRight w:val="0"/>
      <w:marTop w:val="0"/>
      <w:marBottom w:val="0"/>
      <w:divBdr>
        <w:top w:val="none" w:sz="0" w:space="0" w:color="auto"/>
        <w:left w:val="none" w:sz="0" w:space="0" w:color="auto"/>
        <w:bottom w:val="none" w:sz="0" w:space="0" w:color="auto"/>
        <w:right w:val="none" w:sz="0" w:space="0" w:color="auto"/>
      </w:divBdr>
    </w:div>
    <w:div w:id="1557204874">
      <w:bodyDiv w:val="1"/>
      <w:marLeft w:val="0"/>
      <w:marRight w:val="0"/>
      <w:marTop w:val="0"/>
      <w:marBottom w:val="0"/>
      <w:divBdr>
        <w:top w:val="none" w:sz="0" w:space="0" w:color="auto"/>
        <w:left w:val="none" w:sz="0" w:space="0" w:color="auto"/>
        <w:bottom w:val="none" w:sz="0" w:space="0" w:color="auto"/>
        <w:right w:val="none" w:sz="0" w:space="0" w:color="auto"/>
      </w:divBdr>
      <w:divsChild>
        <w:div w:id="1678078576">
          <w:marLeft w:val="0"/>
          <w:marRight w:val="0"/>
          <w:marTop w:val="0"/>
          <w:marBottom w:val="0"/>
          <w:divBdr>
            <w:top w:val="none" w:sz="0" w:space="0" w:color="auto"/>
            <w:left w:val="none" w:sz="0" w:space="0" w:color="auto"/>
            <w:bottom w:val="none" w:sz="0" w:space="0" w:color="auto"/>
            <w:right w:val="none" w:sz="0" w:space="0" w:color="auto"/>
          </w:divBdr>
        </w:div>
      </w:divsChild>
    </w:div>
    <w:div w:id="1597637457">
      <w:bodyDiv w:val="1"/>
      <w:marLeft w:val="0"/>
      <w:marRight w:val="0"/>
      <w:marTop w:val="0"/>
      <w:marBottom w:val="0"/>
      <w:divBdr>
        <w:top w:val="none" w:sz="0" w:space="0" w:color="auto"/>
        <w:left w:val="none" w:sz="0" w:space="0" w:color="auto"/>
        <w:bottom w:val="none" w:sz="0" w:space="0" w:color="auto"/>
        <w:right w:val="none" w:sz="0" w:space="0" w:color="auto"/>
      </w:divBdr>
    </w:div>
    <w:div w:id="1599175686">
      <w:bodyDiv w:val="1"/>
      <w:marLeft w:val="0"/>
      <w:marRight w:val="0"/>
      <w:marTop w:val="0"/>
      <w:marBottom w:val="0"/>
      <w:divBdr>
        <w:top w:val="none" w:sz="0" w:space="0" w:color="auto"/>
        <w:left w:val="none" w:sz="0" w:space="0" w:color="auto"/>
        <w:bottom w:val="none" w:sz="0" w:space="0" w:color="auto"/>
        <w:right w:val="none" w:sz="0" w:space="0" w:color="auto"/>
      </w:divBdr>
    </w:div>
    <w:div w:id="1623263445">
      <w:bodyDiv w:val="1"/>
      <w:marLeft w:val="0"/>
      <w:marRight w:val="0"/>
      <w:marTop w:val="0"/>
      <w:marBottom w:val="0"/>
      <w:divBdr>
        <w:top w:val="none" w:sz="0" w:space="0" w:color="auto"/>
        <w:left w:val="none" w:sz="0" w:space="0" w:color="auto"/>
        <w:bottom w:val="none" w:sz="0" w:space="0" w:color="auto"/>
        <w:right w:val="none" w:sz="0" w:space="0" w:color="auto"/>
      </w:divBdr>
    </w:div>
    <w:div w:id="1633560925">
      <w:bodyDiv w:val="1"/>
      <w:marLeft w:val="0"/>
      <w:marRight w:val="0"/>
      <w:marTop w:val="0"/>
      <w:marBottom w:val="0"/>
      <w:divBdr>
        <w:top w:val="none" w:sz="0" w:space="0" w:color="auto"/>
        <w:left w:val="none" w:sz="0" w:space="0" w:color="auto"/>
        <w:bottom w:val="none" w:sz="0" w:space="0" w:color="auto"/>
        <w:right w:val="none" w:sz="0" w:space="0" w:color="auto"/>
      </w:divBdr>
      <w:divsChild>
        <w:div w:id="35735610">
          <w:marLeft w:val="0"/>
          <w:marRight w:val="0"/>
          <w:marTop w:val="0"/>
          <w:marBottom w:val="0"/>
          <w:divBdr>
            <w:top w:val="none" w:sz="0" w:space="0" w:color="auto"/>
            <w:left w:val="none" w:sz="0" w:space="0" w:color="auto"/>
            <w:bottom w:val="none" w:sz="0" w:space="0" w:color="auto"/>
            <w:right w:val="none" w:sz="0" w:space="0" w:color="auto"/>
          </w:divBdr>
        </w:div>
        <w:div w:id="51000756">
          <w:marLeft w:val="0"/>
          <w:marRight w:val="0"/>
          <w:marTop w:val="0"/>
          <w:marBottom w:val="0"/>
          <w:divBdr>
            <w:top w:val="none" w:sz="0" w:space="0" w:color="auto"/>
            <w:left w:val="none" w:sz="0" w:space="0" w:color="auto"/>
            <w:bottom w:val="none" w:sz="0" w:space="0" w:color="auto"/>
            <w:right w:val="none" w:sz="0" w:space="0" w:color="auto"/>
          </w:divBdr>
        </w:div>
        <w:div w:id="52045169">
          <w:marLeft w:val="0"/>
          <w:marRight w:val="0"/>
          <w:marTop w:val="0"/>
          <w:marBottom w:val="0"/>
          <w:divBdr>
            <w:top w:val="none" w:sz="0" w:space="0" w:color="auto"/>
            <w:left w:val="none" w:sz="0" w:space="0" w:color="auto"/>
            <w:bottom w:val="none" w:sz="0" w:space="0" w:color="auto"/>
            <w:right w:val="none" w:sz="0" w:space="0" w:color="auto"/>
          </w:divBdr>
        </w:div>
        <w:div w:id="155001549">
          <w:marLeft w:val="0"/>
          <w:marRight w:val="0"/>
          <w:marTop w:val="0"/>
          <w:marBottom w:val="0"/>
          <w:divBdr>
            <w:top w:val="none" w:sz="0" w:space="0" w:color="auto"/>
            <w:left w:val="none" w:sz="0" w:space="0" w:color="auto"/>
            <w:bottom w:val="none" w:sz="0" w:space="0" w:color="auto"/>
            <w:right w:val="none" w:sz="0" w:space="0" w:color="auto"/>
          </w:divBdr>
        </w:div>
        <w:div w:id="162281827">
          <w:marLeft w:val="0"/>
          <w:marRight w:val="0"/>
          <w:marTop w:val="0"/>
          <w:marBottom w:val="0"/>
          <w:divBdr>
            <w:top w:val="none" w:sz="0" w:space="0" w:color="auto"/>
            <w:left w:val="none" w:sz="0" w:space="0" w:color="auto"/>
            <w:bottom w:val="none" w:sz="0" w:space="0" w:color="auto"/>
            <w:right w:val="none" w:sz="0" w:space="0" w:color="auto"/>
          </w:divBdr>
        </w:div>
        <w:div w:id="176700899">
          <w:marLeft w:val="0"/>
          <w:marRight w:val="0"/>
          <w:marTop w:val="0"/>
          <w:marBottom w:val="0"/>
          <w:divBdr>
            <w:top w:val="none" w:sz="0" w:space="0" w:color="auto"/>
            <w:left w:val="none" w:sz="0" w:space="0" w:color="auto"/>
            <w:bottom w:val="none" w:sz="0" w:space="0" w:color="auto"/>
            <w:right w:val="none" w:sz="0" w:space="0" w:color="auto"/>
          </w:divBdr>
        </w:div>
        <w:div w:id="278689046">
          <w:marLeft w:val="0"/>
          <w:marRight w:val="0"/>
          <w:marTop w:val="0"/>
          <w:marBottom w:val="0"/>
          <w:divBdr>
            <w:top w:val="none" w:sz="0" w:space="0" w:color="auto"/>
            <w:left w:val="none" w:sz="0" w:space="0" w:color="auto"/>
            <w:bottom w:val="none" w:sz="0" w:space="0" w:color="auto"/>
            <w:right w:val="none" w:sz="0" w:space="0" w:color="auto"/>
          </w:divBdr>
        </w:div>
        <w:div w:id="339084675">
          <w:marLeft w:val="0"/>
          <w:marRight w:val="0"/>
          <w:marTop w:val="0"/>
          <w:marBottom w:val="0"/>
          <w:divBdr>
            <w:top w:val="none" w:sz="0" w:space="0" w:color="auto"/>
            <w:left w:val="none" w:sz="0" w:space="0" w:color="auto"/>
            <w:bottom w:val="none" w:sz="0" w:space="0" w:color="auto"/>
            <w:right w:val="none" w:sz="0" w:space="0" w:color="auto"/>
          </w:divBdr>
        </w:div>
        <w:div w:id="426001545">
          <w:marLeft w:val="0"/>
          <w:marRight w:val="0"/>
          <w:marTop w:val="0"/>
          <w:marBottom w:val="0"/>
          <w:divBdr>
            <w:top w:val="none" w:sz="0" w:space="0" w:color="auto"/>
            <w:left w:val="none" w:sz="0" w:space="0" w:color="auto"/>
            <w:bottom w:val="none" w:sz="0" w:space="0" w:color="auto"/>
            <w:right w:val="none" w:sz="0" w:space="0" w:color="auto"/>
          </w:divBdr>
        </w:div>
        <w:div w:id="438913445">
          <w:marLeft w:val="0"/>
          <w:marRight w:val="0"/>
          <w:marTop w:val="0"/>
          <w:marBottom w:val="0"/>
          <w:divBdr>
            <w:top w:val="none" w:sz="0" w:space="0" w:color="auto"/>
            <w:left w:val="none" w:sz="0" w:space="0" w:color="auto"/>
            <w:bottom w:val="none" w:sz="0" w:space="0" w:color="auto"/>
            <w:right w:val="none" w:sz="0" w:space="0" w:color="auto"/>
          </w:divBdr>
        </w:div>
        <w:div w:id="468516918">
          <w:marLeft w:val="0"/>
          <w:marRight w:val="0"/>
          <w:marTop w:val="0"/>
          <w:marBottom w:val="0"/>
          <w:divBdr>
            <w:top w:val="none" w:sz="0" w:space="0" w:color="auto"/>
            <w:left w:val="none" w:sz="0" w:space="0" w:color="auto"/>
            <w:bottom w:val="none" w:sz="0" w:space="0" w:color="auto"/>
            <w:right w:val="none" w:sz="0" w:space="0" w:color="auto"/>
          </w:divBdr>
        </w:div>
        <w:div w:id="540021934">
          <w:marLeft w:val="0"/>
          <w:marRight w:val="0"/>
          <w:marTop w:val="0"/>
          <w:marBottom w:val="0"/>
          <w:divBdr>
            <w:top w:val="none" w:sz="0" w:space="0" w:color="auto"/>
            <w:left w:val="none" w:sz="0" w:space="0" w:color="auto"/>
            <w:bottom w:val="none" w:sz="0" w:space="0" w:color="auto"/>
            <w:right w:val="none" w:sz="0" w:space="0" w:color="auto"/>
          </w:divBdr>
        </w:div>
        <w:div w:id="567351727">
          <w:marLeft w:val="0"/>
          <w:marRight w:val="0"/>
          <w:marTop w:val="0"/>
          <w:marBottom w:val="0"/>
          <w:divBdr>
            <w:top w:val="none" w:sz="0" w:space="0" w:color="auto"/>
            <w:left w:val="none" w:sz="0" w:space="0" w:color="auto"/>
            <w:bottom w:val="none" w:sz="0" w:space="0" w:color="auto"/>
            <w:right w:val="none" w:sz="0" w:space="0" w:color="auto"/>
          </w:divBdr>
        </w:div>
        <w:div w:id="654070716">
          <w:marLeft w:val="0"/>
          <w:marRight w:val="0"/>
          <w:marTop w:val="0"/>
          <w:marBottom w:val="0"/>
          <w:divBdr>
            <w:top w:val="none" w:sz="0" w:space="0" w:color="auto"/>
            <w:left w:val="none" w:sz="0" w:space="0" w:color="auto"/>
            <w:bottom w:val="none" w:sz="0" w:space="0" w:color="auto"/>
            <w:right w:val="none" w:sz="0" w:space="0" w:color="auto"/>
          </w:divBdr>
        </w:div>
        <w:div w:id="692655151">
          <w:marLeft w:val="0"/>
          <w:marRight w:val="0"/>
          <w:marTop w:val="0"/>
          <w:marBottom w:val="0"/>
          <w:divBdr>
            <w:top w:val="none" w:sz="0" w:space="0" w:color="auto"/>
            <w:left w:val="none" w:sz="0" w:space="0" w:color="auto"/>
            <w:bottom w:val="none" w:sz="0" w:space="0" w:color="auto"/>
            <w:right w:val="none" w:sz="0" w:space="0" w:color="auto"/>
          </w:divBdr>
        </w:div>
        <w:div w:id="775831420">
          <w:marLeft w:val="0"/>
          <w:marRight w:val="0"/>
          <w:marTop w:val="0"/>
          <w:marBottom w:val="0"/>
          <w:divBdr>
            <w:top w:val="none" w:sz="0" w:space="0" w:color="auto"/>
            <w:left w:val="none" w:sz="0" w:space="0" w:color="auto"/>
            <w:bottom w:val="none" w:sz="0" w:space="0" w:color="auto"/>
            <w:right w:val="none" w:sz="0" w:space="0" w:color="auto"/>
          </w:divBdr>
        </w:div>
        <w:div w:id="1051802951">
          <w:marLeft w:val="0"/>
          <w:marRight w:val="0"/>
          <w:marTop w:val="0"/>
          <w:marBottom w:val="0"/>
          <w:divBdr>
            <w:top w:val="none" w:sz="0" w:space="0" w:color="auto"/>
            <w:left w:val="none" w:sz="0" w:space="0" w:color="auto"/>
            <w:bottom w:val="none" w:sz="0" w:space="0" w:color="auto"/>
            <w:right w:val="none" w:sz="0" w:space="0" w:color="auto"/>
          </w:divBdr>
        </w:div>
        <w:div w:id="1113861018">
          <w:marLeft w:val="0"/>
          <w:marRight w:val="0"/>
          <w:marTop w:val="0"/>
          <w:marBottom w:val="0"/>
          <w:divBdr>
            <w:top w:val="none" w:sz="0" w:space="0" w:color="auto"/>
            <w:left w:val="none" w:sz="0" w:space="0" w:color="auto"/>
            <w:bottom w:val="none" w:sz="0" w:space="0" w:color="auto"/>
            <w:right w:val="none" w:sz="0" w:space="0" w:color="auto"/>
          </w:divBdr>
        </w:div>
        <w:div w:id="1190874535">
          <w:marLeft w:val="0"/>
          <w:marRight w:val="0"/>
          <w:marTop w:val="0"/>
          <w:marBottom w:val="0"/>
          <w:divBdr>
            <w:top w:val="none" w:sz="0" w:space="0" w:color="auto"/>
            <w:left w:val="none" w:sz="0" w:space="0" w:color="auto"/>
            <w:bottom w:val="none" w:sz="0" w:space="0" w:color="auto"/>
            <w:right w:val="none" w:sz="0" w:space="0" w:color="auto"/>
          </w:divBdr>
        </w:div>
        <w:div w:id="1254826766">
          <w:marLeft w:val="0"/>
          <w:marRight w:val="0"/>
          <w:marTop w:val="0"/>
          <w:marBottom w:val="0"/>
          <w:divBdr>
            <w:top w:val="none" w:sz="0" w:space="0" w:color="auto"/>
            <w:left w:val="none" w:sz="0" w:space="0" w:color="auto"/>
            <w:bottom w:val="none" w:sz="0" w:space="0" w:color="auto"/>
            <w:right w:val="none" w:sz="0" w:space="0" w:color="auto"/>
          </w:divBdr>
        </w:div>
        <w:div w:id="1381319880">
          <w:marLeft w:val="0"/>
          <w:marRight w:val="0"/>
          <w:marTop w:val="0"/>
          <w:marBottom w:val="0"/>
          <w:divBdr>
            <w:top w:val="none" w:sz="0" w:space="0" w:color="auto"/>
            <w:left w:val="none" w:sz="0" w:space="0" w:color="auto"/>
            <w:bottom w:val="none" w:sz="0" w:space="0" w:color="auto"/>
            <w:right w:val="none" w:sz="0" w:space="0" w:color="auto"/>
          </w:divBdr>
        </w:div>
        <w:div w:id="1392575605">
          <w:marLeft w:val="0"/>
          <w:marRight w:val="0"/>
          <w:marTop w:val="0"/>
          <w:marBottom w:val="0"/>
          <w:divBdr>
            <w:top w:val="none" w:sz="0" w:space="0" w:color="auto"/>
            <w:left w:val="none" w:sz="0" w:space="0" w:color="auto"/>
            <w:bottom w:val="none" w:sz="0" w:space="0" w:color="auto"/>
            <w:right w:val="none" w:sz="0" w:space="0" w:color="auto"/>
          </w:divBdr>
        </w:div>
        <w:div w:id="1418596425">
          <w:marLeft w:val="0"/>
          <w:marRight w:val="0"/>
          <w:marTop w:val="0"/>
          <w:marBottom w:val="0"/>
          <w:divBdr>
            <w:top w:val="none" w:sz="0" w:space="0" w:color="auto"/>
            <w:left w:val="none" w:sz="0" w:space="0" w:color="auto"/>
            <w:bottom w:val="none" w:sz="0" w:space="0" w:color="auto"/>
            <w:right w:val="none" w:sz="0" w:space="0" w:color="auto"/>
          </w:divBdr>
        </w:div>
        <w:div w:id="1423376545">
          <w:marLeft w:val="0"/>
          <w:marRight w:val="0"/>
          <w:marTop w:val="0"/>
          <w:marBottom w:val="0"/>
          <w:divBdr>
            <w:top w:val="none" w:sz="0" w:space="0" w:color="auto"/>
            <w:left w:val="none" w:sz="0" w:space="0" w:color="auto"/>
            <w:bottom w:val="none" w:sz="0" w:space="0" w:color="auto"/>
            <w:right w:val="none" w:sz="0" w:space="0" w:color="auto"/>
          </w:divBdr>
        </w:div>
        <w:div w:id="1513179274">
          <w:marLeft w:val="0"/>
          <w:marRight w:val="0"/>
          <w:marTop w:val="0"/>
          <w:marBottom w:val="0"/>
          <w:divBdr>
            <w:top w:val="none" w:sz="0" w:space="0" w:color="auto"/>
            <w:left w:val="none" w:sz="0" w:space="0" w:color="auto"/>
            <w:bottom w:val="none" w:sz="0" w:space="0" w:color="auto"/>
            <w:right w:val="none" w:sz="0" w:space="0" w:color="auto"/>
          </w:divBdr>
        </w:div>
        <w:div w:id="1516925100">
          <w:marLeft w:val="0"/>
          <w:marRight w:val="0"/>
          <w:marTop w:val="0"/>
          <w:marBottom w:val="0"/>
          <w:divBdr>
            <w:top w:val="none" w:sz="0" w:space="0" w:color="auto"/>
            <w:left w:val="none" w:sz="0" w:space="0" w:color="auto"/>
            <w:bottom w:val="none" w:sz="0" w:space="0" w:color="auto"/>
            <w:right w:val="none" w:sz="0" w:space="0" w:color="auto"/>
          </w:divBdr>
        </w:div>
        <w:div w:id="1597246579">
          <w:marLeft w:val="0"/>
          <w:marRight w:val="0"/>
          <w:marTop w:val="0"/>
          <w:marBottom w:val="0"/>
          <w:divBdr>
            <w:top w:val="none" w:sz="0" w:space="0" w:color="auto"/>
            <w:left w:val="none" w:sz="0" w:space="0" w:color="auto"/>
            <w:bottom w:val="none" w:sz="0" w:space="0" w:color="auto"/>
            <w:right w:val="none" w:sz="0" w:space="0" w:color="auto"/>
          </w:divBdr>
        </w:div>
        <w:div w:id="1650087698">
          <w:marLeft w:val="0"/>
          <w:marRight w:val="0"/>
          <w:marTop w:val="0"/>
          <w:marBottom w:val="0"/>
          <w:divBdr>
            <w:top w:val="none" w:sz="0" w:space="0" w:color="auto"/>
            <w:left w:val="none" w:sz="0" w:space="0" w:color="auto"/>
            <w:bottom w:val="none" w:sz="0" w:space="0" w:color="auto"/>
            <w:right w:val="none" w:sz="0" w:space="0" w:color="auto"/>
          </w:divBdr>
        </w:div>
        <w:div w:id="1651640564">
          <w:marLeft w:val="0"/>
          <w:marRight w:val="0"/>
          <w:marTop w:val="0"/>
          <w:marBottom w:val="0"/>
          <w:divBdr>
            <w:top w:val="none" w:sz="0" w:space="0" w:color="auto"/>
            <w:left w:val="none" w:sz="0" w:space="0" w:color="auto"/>
            <w:bottom w:val="none" w:sz="0" w:space="0" w:color="auto"/>
            <w:right w:val="none" w:sz="0" w:space="0" w:color="auto"/>
          </w:divBdr>
        </w:div>
        <w:div w:id="1689213103">
          <w:marLeft w:val="0"/>
          <w:marRight w:val="0"/>
          <w:marTop w:val="0"/>
          <w:marBottom w:val="0"/>
          <w:divBdr>
            <w:top w:val="none" w:sz="0" w:space="0" w:color="auto"/>
            <w:left w:val="none" w:sz="0" w:space="0" w:color="auto"/>
            <w:bottom w:val="none" w:sz="0" w:space="0" w:color="auto"/>
            <w:right w:val="none" w:sz="0" w:space="0" w:color="auto"/>
          </w:divBdr>
        </w:div>
        <w:div w:id="1700817170">
          <w:marLeft w:val="0"/>
          <w:marRight w:val="0"/>
          <w:marTop w:val="0"/>
          <w:marBottom w:val="0"/>
          <w:divBdr>
            <w:top w:val="none" w:sz="0" w:space="0" w:color="auto"/>
            <w:left w:val="none" w:sz="0" w:space="0" w:color="auto"/>
            <w:bottom w:val="none" w:sz="0" w:space="0" w:color="auto"/>
            <w:right w:val="none" w:sz="0" w:space="0" w:color="auto"/>
          </w:divBdr>
        </w:div>
        <w:div w:id="1709915801">
          <w:marLeft w:val="0"/>
          <w:marRight w:val="0"/>
          <w:marTop w:val="0"/>
          <w:marBottom w:val="0"/>
          <w:divBdr>
            <w:top w:val="none" w:sz="0" w:space="0" w:color="auto"/>
            <w:left w:val="none" w:sz="0" w:space="0" w:color="auto"/>
            <w:bottom w:val="none" w:sz="0" w:space="0" w:color="auto"/>
            <w:right w:val="none" w:sz="0" w:space="0" w:color="auto"/>
          </w:divBdr>
        </w:div>
        <w:div w:id="1744601012">
          <w:marLeft w:val="0"/>
          <w:marRight w:val="0"/>
          <w:marTop w:val="0"/>
          <w:marBottom w:val="0"/>
          <w:divBdr>
            <w:top w:val="none" w:sz="0" w:space="0" w:color="auto"/>
            <w:left w:val="none" w:sz="0" w:space="0" w:color="auto"/>
            <w:bottom w:val="none" w:sz="0" w:space="0" w:color="auto"/>
            <w:right w:val="none" w:sz="0" w:space="0" w:color="auto"/>
          </w:divBdr>
        </w:div>
        <w:div w:id="1768769615">
          <w:marLeft w:val="0"/>
          <w:marRight w:val="0"/>
          <w:marTop w:val="0"/>
          <w:marBottom w:val="0"/>
          <w:divBdr>
            <w:top w:val="none" w:sz="0" w:space="0" w:color="auto"/>
            <w:left w:val="none" w:sz="0" w:space="0" w:color="auto"/>
            <w:bottom w:val="none" w:sz="0" w:space="0" w:color="auto"/>
            <w:right w:val="none" w:sz="0" w:space="0" w:color="auto"/>
          </w:divBdr>
        </w:div>
        <w:div w:id="1885020086">
          <w:marLeft w:val="0"/>
          <w:marRight w:val="0"/>
          <w:marTop w:val="0"/>
          <w:marBottom w:val="0"/>
          <w:divBdr>
            <w:top w:val="none" w:sz="0" w:space="0" w:color="auto"/>
            <w:left w:val="none" w:sz="0" w:space="0" w:color="auto"/>
            <w:bottom w:val="none" w:sz="0" w:space="0" w:color="auto"/>
            <w:right w:val="none" w:sz="0" w:space="0" w:color="auto"/>
          </w:divBdr>
        </w:div>
        <w:div w:id="2006322400">
          <w:marLeft w:val="0"/>
          <w:marRight w:val="0"/>
          <w:marTop w:val="0"/>
          <w:marBottom w:val="0"/>
          <w:divBdr>
            <w:top w:val="none" w:sz="0" w:space="0" w:color="auto"/>
            <w:left w:val="none" w:sz="0" w:space="0" w:color="auto"/>
            <w:bottom w:val="none" w:sz="0" w:space="0" w:color="auto"/>
            <w:right w:val="none" w:sz="0" w:space="0" w:color="auto"/>
          </w:divBdr>
        </w:div>
        <w:div w:id="2034576461">
          <w:marLeft w:val="0"/>
          <w:marRight w:val="0"/>
          <w:marTop w:val="0"/>
          <w:marBottom w:val="0"/>
          <w:divBdr>
            <w:top w:val="none" w:sz="0" w:space="0" w:color="auto"/>
            <w:left w:val="none" w:sz="0" w:space="0" w:color="auto"/>
            <w:bottom w:val="none" w:sz="0" w:space="0" w:color="auto"/>
            <w:right w:val="none" w:sz="0" w:space="0" w:color="auto"/>
          </w:divBdr>
        </w:div>
        <w:div w:id="2104840687">
          <w:marLeft w:val="0"/>
          <w:marRight w:val="0"/>
          <w:marTop w:val="0"/>
          <w:marBottom w:val="0"/>
          <w:divBdr>
            <w:top w:val="none" w:sz="0" w:space="0" w:color="auto"/>
            <w:left w:val="none" w:sz="0" w:space="0" w:color="auto"/>
            <w:bottom w:val="none" w:sz="0" w:space="0" w:color="auto"/>
            <w:right w:val="none" w:sz="0" w:space="0" w:color="auto"/>
          </w:divBdr>
        </w:div>
        <w:div w:id="2117940093">
          <w:marLeft w:val="0"/>
          <w:marRight w:val="0"/>
          <w:marTop w:val="0"/>
          <w:marBottom w:val="0"/>
          <w:divBdr>
            <w:top w:val="none" w:sz="0" w:space="0" w:color="auto"/>
            <w:left w:val="none" w:sz="0" w:space="0" w:color="auto"/>
            <w:bottom w:val="none" w:sz="0" w:space="0" w:color="auto"/>
            <w:right w:val="none" w:sz="0" w:space="0" w:color="auto"/>
          </w:divBdr>
        </w:div>
        <w:div w:id="2143231968">
          <w:marLeft w:val="0"/>
          <w:marRight w:val="0"/>
          <w:marTop w:val="0"/>
          <w:marBottom w:val="0"/>
          <w:divBdr>
            <w:top w:val="none" w:sz="0" w:space="0" w:color="auto"/>
            <w:left w:val="none" w:sz="0" w:space="0" w:color="auto"/>
            <w:bottom w:val="none" w:sz="0" w:space="0" w:color="auto"/>
            <w:right w:val="none" w:sz="0" w:space="0" w:color="auto"/>
          </w:divBdr>
        </w:div>
      </w:divsChild>
    </w:div>
    <w:div w:id="1641418176">
      <w:bodyDiv w:val="1"/>
      <w:marLeft w:val="0"/>
      <w:marRight w:val="0"/>
      <w:marTop w:val="0"/>
      <w:marBottom w:val="0"/>
      <w:divBdr>
        <w:top w:val="none" w:sz="0" w:space="0" w:color="auto"/>
        <w:left w:val="none" w:sz="0" w:space="0" w:color="auto"/>
        <w:bottom w:val="none" w:sz="0" w:space="0" w:color="auto"/>
        <w:right w:val="none" w:sz="0" w:space="0" w:color="auto"/>
      </w:divBdr>
    </w:div>
    <w:div w:id="1645426652">
      <w:bodyDiv w:val="1"/>
      <w:marLeft w:val="0"/>
      <w:marRight w:val="0"/>
      <w:marTop w:val="0"/>
      <w:marBottom w:val="0"/>
      <w:divBdr>
        <w:top w:val="none" w:sz="0" w:space="0" w:color="auto"/>
        <w:left w:val="none" w:sz="0" w:space="0" w:color="auto"/>
        <w:bottom w:val="none" w:sz="0" w:space="0" w:color="auto"/>
        <w:right w:val="none" w:sz="0" w:space="0" w:color="auto"/>
      </w:divBdr>
    </w:div>
    <w:div w:id="1654026568">
      <w:bodyDiv w:val="1"/>
      <w:marLeft w:val="0"/>
      <w:marRight w:val="0"/>
      <w:marTop w:val="0"/>
      <w:marBottom w:val="0"/>
      <w:divBdr>
        <w:top w:val="none" w:sz="0" w:space="0" w:color="auto"/>
        <w:left w:val="none" w:sz="0" w:space="0" w:color="auto"/>
        <w:bottom w:val="none" w:sz="0" w:space="0" w:color="auto"/>
        <w:right w:val="none" w:sz="0" w:space="0" w:color="auto"/>
      </w:divBdr>
    </w:div>
    <w:div w:id="1672833611">
      <w:bodyDiv w:val="1"/>
      <w:marLeft w:val="0"/>
      <w:marRight w:val="0"/>
      <w:marTop w:val="0"/>
      <w:marBottom w:val="0"/>
      <w:divBdr>
        <w:top w:val="none" w:sz="0" w:space="0" w:color="auto"/>
        <w:left w:val="none" w:sz="0" w:space="0" w:color="auto"/>
        <w:bottom w:val="none" w:sz="0" w:space="0" w:color="auto"/>
        <w:right w:val="none" w:sz="0" w:space="0" w:color="auto"/>
      </w:divBdr>
    </w:div>
    <w:div w:id="1688873419">
      <w:bodyDiv w:val="1"/>
      <w:marLeft w:val="0"/>
      <w:marRight w:val="0"/>
      <w:marTop w:val="0"/>
      <w:marBottom w:val="0"/>
      <w:divBdr>
        <w:top w:val="none" w:sz="0" w:space="0" w:color="auto"/>
        <w:left w:val="none" w:sz="0" w:space="0" w:color="auto"/>
        <w:bottom w:val="none" w:sz="0" w:space="0" w:color="auto"/>
        <w:right w:val="none" w:sz="0" w:space="0" w:color="auto"/>
      </w:divBdr>
    </w:div>
    <w:div w:id="1695692546">
      <w:bodyDiv w:val="1"/>
      <w:marLeft w:val="0"/>
      <w:marRight w:val="0"/>
      <w:marTop w:val="0"/>
      <w:marBottom w:val="0"/>
      <w:divBdr>
        <w:top w:val="none" w:sz="0" w:space="0" w:color="auto"/>
        <w:left w:val="none" w:sz="0" w:space="0" w:color="auto"/>
        <w:bottom w:val="none" w:sz="0" w:space="0" w:color="auto"/>
        <w:right w:val="none" w:sz="0" w:space="0" w:color="auto"/>
      </w:divBdr>
    </w:div>
    <w:div w:id="1701008147">
      <w:bodyDiv w:val="1"/>
      <w:marLeft w:val="0"/>
      <w:marRight w:val="0"/>
      <w:marTop w:val="0"/>
      <w:marBottom w:val="0"/>
      <w:divBdr>
        <w:top w:val="none" w:sz="0" w:space="0" w:color="auto"/>
        <w:left w:val="none" w:sz="0" w:space="0" w:color="auto"/>
        <w:bottom w:val="none" w:sz="0" w:space="0" w:color="auto"/>
        <w:right w:val="none" w:sz="0" w:space="0" w:color="auto"/>
      </w:divBdr>
    </w:div>
    <w:div w:id="1704012175">
      <w:bodyDiv w:val="1"/>
      <w:marLeft w:val="0"/>
      <w:marRight w:val="0"/>
      <w:marTop w:val="0"/>
      <w:marBottom w:val="0"/>
      <w:divBdr>
        <w:top w:val="none" w:sz="0" w:space="0" w:color="auto"/>
        <w:left w:val="none" w:sz="0" w:space="0" w:color="auto"/>
        <w:bottom w:val="none" w:sz="0" w:space="0" w:color="auto"/>
        <w:right w:val="none" w:sz="0" w:space="0" w:color="auto"/>
      </w:divBdr>
    </w:div>
    <w:div w:id="1721123801">
      <w:bodyDiv w:val="1"/>
      <w:marLeft w:val="0"/>
      <w:marRight w:val="0"/>
      <w:marTop w:val="0"/>
      <w:marBottom w:val="0"/>
      <w:divBdr>
        <w:top w:val="none" w:sz="0" w:space="0" w:color="auto"/>
        <w:left w:val="none" w:sz="0" w:space="0" w:color="auto"/>
        <w:bottom w:val="none" w:sz="0" w:space="0" w:color="auto"/>
        <w:right w:val="none" w:sz="0" w:space="0" w:color="auto"/>
      </w:divBdr>
    </w:div>
    <w:div w:id="1756241379">
      <w:bodyDiv w:val="1"/>
      <w:marLeft w:val="0"/>
      <w:marRight w:val="0"/>
      <w:marTop w:val="0"/>
      <w:marBottom w:val="0"/>
      <w:divBdr>
        <w:top w:val="none" w:sz="0" w:space="0" w:color="auto"/>
        <w:left w:val="none" w:sz="0" w:space="0" w:color="auto"/>
        <w:bottom w:val="none" w:sz="0" w:space="0" w:color="auto"/>
        <w:right w:val="none" w:sz="0" w:space="0" w:color="auto"/>
      </w:divBdr>
    </w:div>
    <w:div w:id="1762797160">
      <w:bodyDiv w:val="1"/>
      <w:marLeft w:val="0"/>
      <w:marRight w:val="0"/>
      <w:marTop w:val="0"/>
      <w:marBottom w:val="0"/>
      <w:divBdr>
        <w:top w:val="none" w:sz="0" w:space="0" w:color="auto"/>
        <w:left w:val="none" w:sz="0" w:space="0" w:color="auto"/>
        <w:bottom w:val="none" w:sz="0" w:space="0" w:color="auto"/>
        <w:right w:val="none" w:sz="0" w:space="0" w:color="auto"/>
      </w:divBdr>
    </w:div>
    <w:div w:id="1827017740">
      <w:bodyDiv w:val="1"/>
      <w:marLeft w:val="0"/>
      <w:marRight w:val="0"/>
      <w:marTop w:val="0"/>
      <w:marBottom w:val="0"/>
      <w:divBdr>
        <w:top w:val="none" w:sz="0" w:space="0" w:color="auto"/>
        <w:left w:val="none" w:sz="0" w:space="0" w:color="auto"/>
        <w:bottom w:val="none" w:sz="0" w:space="0" w:color="auto"/>
        <w:right w:val="none" w:sz="0" w:space="0" w:color="auto"/>
      </w:divBdr>
    </w:div>
    <w:div w:id="1884094926">
      <w:bodyDiv w:val="1"/>
      <w:marLeft w:val="0"/>
      <w:marRight w:val="0"/>
      <w:marTop w:val="0"/>
      <w:marBottom w:val="0"/>
      <w:divBdr>
        <w:top w:val="none" w:sz="0" w:space="0" w:color="auto"/>
        <w:left w:val="none" w:sz="0" w:space="0" w:color="auto"/>
        <w:bottom w:val="none" w:sz="0" w:space="0" w:color="auto"/>
        <w:right w:val="none" w:sz="0" w:space="0" w:color="auto"/>
      </w:divBdr>
    </w:div>
    <w:div w:id="1922716293">
      <w:bodyDiv w:val="1"/>
      <w:marLeft w:val="0"/>
      <w:marRight w:val="0"/>
      <w:marTop w:val="0"/>
      <w:marBottom w:val="0"/>
      <w:divBdr>
        <w:top w:val="none" w:sz="0" w:space="0" w:color="auto"/>
        <w:left w:val="none" w:sz="0" w:space="0" w:color="auto"/>
        <w:bottom w:val="none" w:sz="0" w:space="0" w:color="auto"/>
        <w:right w:val="none" w:sz="0" w:space="0" w:color="auto"/>
      </w:divBdr>
    </w:div>
    <w:div w:id="1957251488">
      <w:bodyDiv w:val="1"/>
      <w:marLeft w:val="0"/>
      <w:marRight w:val="0"/>
      <w:marTop w:val="0"/>
      <w:marBottom w:val="0"/>
      <w:divBdr>
        <w:top w:val="none" w:sz="0" w:space="0" w:color="auto"/>
        <w:left w:val="none" w:sz="0" w:space="0" w:color="auto"/>
        <w:bottom w:val="none" w:sz="0" w:space="0" w:color="auto"/>
        <w:right w:val="none" w:sz="0" w:space="0" w:color="auto"/>
      </w:divBdr>
    </w:div>
    <w:div w:id="1974165360">
      <w:bodyDiv w:val="1"/>
      <w:marLeft w:val="0"/>
      <w:marRight w:val="0"/>
      <w:marTop w:val="0"/>
      <w:marBottom w:val="0"/>
      <w:divBdr>
        <w:top w:val="none" w:sz="0" w:space="0" w:color="auto"/>
        <w:left w:val="none" w:sz="0" w:space="0" w:color="auto"/>
        <w:bottom w:val="none" w:sz="0" w:space="0" w:color="auto"/>
        <w:right w:val="none" w:sz="0" w:space="0" w:color="auto"/>
      </w:divBdr>
    </w:div>
    <w:div w:id="1989675273">
      <w:bodyDiv w:val="1"/>
      <w:marLeft w:val="0"/>
      <w:marRight w:val="0"/>
      <w:marTop w:val="0"/>
      <w:marBottom w:val="0"/>
      <w:divBdr>
        <w:top w:val="none" w:sz="0" w:space="0" w:color="auto"/>
        <w:left w:val="none" w:sz="0" w:space="0" w:color="auto"/>
        <w:bottom w:val="none" w:sz="0" w:space="0" w:color="auto"/>
        <w:right w:val="none" w:sz="0" w:space="0" w:color="auto"/>
      </w:divBdr>
    </w:div>
    <w:div w:id="2010791337">
      <w:bodyDiv w:val="1"/>
      <w:marLeft w:val="0"/>
      <w:marRight w:val="0"/>
      <w:marTop w:val="0"/>
      <w:marBottom w:val="0"/>
      <w:divBdr>
        <w:top w:val="none" w:sz="0" w:space="0" w:color="auto"/>
        <w:left w:val="none" w:sz="0" w:space="0" w:color="auto"/>
        <w:bottom w:val="none" w:sz="0" w:space="0" w:color="auto"/>
        <w:right w:val="none" w:sz="0" w:space="0" w:color="auto"/>
      </w:divBdr>
    </w:div>
    <w:div w:id="2033678109">
      <w:bodyDiv w:val="1"/>
      <w:marLeft w:val="0"/>
      <w:marRight w:val="0"/>
      <w:marTop w:val="0"/>
      <w:marBottom w:val="0"/>
      <w:divBdr>
        <w:top w:val="none" w:sz="0" w:space="0" w:color="auto"/>
        <w:left w:val="none" w:sz="0" w:space="0" w:color="auto"/>
        <w:bottom w:val="none" w:sz="0" w:space="0" w:color="auto"/>
        <w:right w:val="none" w:sz="0" w:space="0" w:color="auto"/>
      </w:divBdr>
    </w:div>
    <w:div w:id="2048680405">
      <w:bodyDiv w:val="1"/>
      <w:marLeft w:val="0"/>
      <w:marRight w:val="0"/>
      <w:marTop w:val="0"/>
      <w:marBottom w:val="0"/>
      <w:divBdr>
        <w:top w:val="none" w:sz="0" w:space="0" w:color="auto"/>
        <w:left w:val="none" w:sz="0" w:space="0" w:color="auto"/>
        <w:bottom w:val="none" w:sz="0" w:space="0" w:color="auto"/>
        <w:right w:val="none" w:sz="0" w:space="0" w:color="auto"/>
      </w:divBdr>
    </w:div>
    <w:div w:id="2075658601">
      <w:bodyDiv w:val="1"/>
      <w:marLeft w:val="0"/>
      <w:marRight w:val="0"/>
      <w:marTop w:val="0"/>
      <w:marBottom w:val="0"/>
      <w:divBdr>
        <w:top w:val="none" w:sz="0" w:space="0" w:color="auto"/>
        <w:left w:val="none" w:sz="0" w:space="0" w:color="auto"/>
        <w:bottom w:val="none" w:sz="0" w:space="0" w:color="auto"/>
        <w:right w:val="none" w:sz="0" w:space="0" w:color="auto"/>
      </w:divBdr>
    </w:div>
    <w:div w:id="2078239838">
      <w:bodyDiv w:val="1"/>
      <w:marLeft w:val="0"/>
      <w:marRight w:val="0"/>
      <w:marTop w:val="0"/>
      <w:marBottom w:val="0"/>
      <w:divBdr>
        <w:top w:val="none" w:sz="0" w:space="0" w:color="auto"/>
        <w:left w:val="none" w:sz="0" w:space="0" w:color="auto"/>
        <w:bottom w:val="none" w:sz="0" w:space="0" w:color="auto"/>
        <w:right w:val="none" w:sz="0" w:space="0" w:color="auto"/>
      </w:divBdr>
    </w:div>
    <w:div w:id="2080663896">
      <w:bodyDiv w:val="1"/>
      <w:marLeft w:val="0"/>
      <w:marRight w:val="0"/>
      <w:marTop w:val="0"/>
      <w:marBottom w:val="0"/>
      <w:divBdr>
        <w:top w:val="none" w:sz="0" w:space="0" w:color="auto"/>
        <w:left w:val="none" w:sz="0" w:space="0" w:color="auto"/>
        <w:bottom w:val="none" w:sz="0" w:space="0" w:color="auto"/>
        <w:right w:val="none" w:sz="0" w:space="0" w:color="auto"/>
      </w:divBdr>
    </w:div>
    <w:div w:id="2088184187">
      <w:bodyDiv w:val="1"/>
      <w:marLeft w:val="0"/>
      <w:marRight w:val="0"/>
      <w:marTop w:val="0"/>
      <w:marBottom w:val="0"/>
      <w:divBdr>
        <w:top w:val="none" w:sz="0" w:space="0" w:color="auto"/>
        <w:left w:val="none" w:sz="0" w:space="0" w:color="auto"/>
        <w:bottom w:val="none" w:sz="0" w:space="0" w:color="auto"/>
        <w:right w:val="none" w:sz="0" w:space="0" w:color="auto"/>
      </w:divBdr>
    </w:div>
    <w:div w:id="2095199972">
      <w:bodyDiv w:val="1"/>
      <w:marLeft w:val="0"/>
      <w:marRight w:val="0"/>
      <w:marTop w:val="0"/>
      <w:marBottom w:val="0"/>
      <w:divBdr>
        <w:top w:val="none" w:sz="0" w:space="0" w:color="auto"/>
        <w:left w:val="none" w:sz="0" w:space="0" w:color="auto"/>
        <w:bottom w:val="none" w:sz="0" w:space="0" w:color="auto"/>
        <w:right w:val="none" w:sz="0" w:space="0" w:color="auto"/>
      </w:divBdr>
    </w:div>
    <w:div w:id="2106606776">
      <w:bodyDiv w:val="1"/>
      <w:marLeft w:val="0"/>
      <w:marRight w:val="0"/>
      <w:marTop w:val="0"/>
      <w:marBottom w:val="0"/>
      <w:divBdr>
        <w:top w:val="none" w:sz="0" w:space="0" w:color="auto"/>
        <w:left w:val="none" w:sz="0" w:space="0" w:color="auto"/>
        <w:bottom w:val="none" w:sz="0" w:space="0" w:color="auto"/>
        <w:right w:val="none" w:sz="0" w:space="0" w:color="auto"/>
      </w:divBdr>
    </w:div>
    <w:div w:id="2111270922">
      <w:bodyDiv w:val="1"/>
      <w:marLeft w:val="0"/>
      <w:marRight w:val="0"/>
      <w:marTop w:val="0"/>
      <w:marBottom w:val="0"/>
      <w:divBdr>
        <w:top w:val="none" w:sz="0" w:space="0" w:color="auto"/>
        <w:left w:val="none" w:sz="0" w:space="0" w:color="auto"/>
        <w:bottom w:val="none" w:sz="0" w:space="0" w:color="auto"/>
        <w:right w:val="none" w:sz="0" w:space="0" w:color="auto"/>
      </w:divBdr>
    </w:div>
    <w:div w:id="2126777179">
      <w:bodyDiv w:val="1"/>
      <w:marLeft w:val="0"/>
      <w:marRight w:val="0"/>
      <w:marTop w:val="0"/>
      <w:marBottom w:val="0"/>
      <w:divBdr>
        <w:top w:val="none" w:sz="0" w:space="0" w:color="auto"/>
        <w:left w:val="none" w:sz="0" w:space="0" w:color="auto"/>
        <w:bottom w:val="none" w:sz="0" w:space="0" w:color="auto"/>
        <w:right w:val="none" w:sz="0" w:space="0" w:color="auto"/>
      </w:divBdr>
    </w:div>
    <w:div w:id="21337423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aimex.org.mx/saimex/solicitud/downloadAttach/1379477.page" TargetMode="External"/><Relationship Id="rId13" Type="http://schemas.openxmlformats.org/officeDocument/2006/relationships/image" Target="media/image4.png"/><Relationship Id="rId18" Type="http://schemas.openxmlformats.org/officeDocument/2006/relationships/hyperlink" Target="http://dof.gob.mx/nota_detalle.php?codigo=5492254&amp;fecha=28/07/2017"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www.gob.mx/segob/renapo/acciones-y-programas/clave-unica-de-registro-de-poblacion-curp-142226" TargetMode="External"/><Relationship Id="rId2" Type="http://schemas.openxmlformats.org/officeDocument/2006/relationships/numbering" Target="numbering.xml"/><Relationship Id="rId16" Type="http://schemas.openxmlformats.org/officeDocument/2006/relationships/hyperlink" Target="https://consultas.curp.gob.mx/CurpSP/html/informacionecurpPS.htm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saimex.org.mx/saimex/solicitud/downloadAttach/1356738.page" TargetMode="External"/><Relationship Id="rId14" Type="http://schemas.openxmlformats.org/officeDocument/2006/relationships/image" Target="media/image5.png"/><Relationship Id="rId22"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www.dof.gob.mx/nota_detalle.php?codigo=5436056&amp;fecha=04/05/2016"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7.jpeg"/></Relationships>
</file>

<file path=word/_rels/header2.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282845-140B-4B00-BBFF-C66F02BEA0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67</Pages>
  <Words>12288</Words>
  <Characters>67585</Characters>
  <Application>Microsoft Office Word</Application>
  <DocSecurity>0</DocSecurity>
  <Lines>563</Lines>
  <Paragraphs>159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79714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iMac</dc:creator>
  <cp:keywords/>
  <dc:description/>
  <cp:lastModifiedBy>Usuario</cp:lastModifiedBy>
  <cp:revision>6</cp:revision>
  <cp:lastPrinted>2021-11-30T23:45:00Z</cp:lastPrinted>
  <dcterms:created xsi:type="dcterms:W3CDTF">2022-05-20T04:54:00Z</dcterms:created>
  <dcterms:modified xsi:type="dcterms:W3CDTF">2022-05-24T23:46:00Z</dcterms:modified>
</cp:coreProperties>
</file>