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1B1" w:rsidRDefault="00D1307E">
      <w:pPr>
        <w:spacing w:before="240" w:after="240"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tres de marzo de dos mil veintidós.</w:t>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06079/INFOEM/IP/RR/2021</w:t>
      </w:r>
      <w:r>
        <w:rPr>
          <w:rFonts w:ascii="Palatino Linotype" w:eastAsia="Palatino Linotype" w:hAnsi="Palatino Linotype" w:cs="Palatino Linotype"/>
          <w:sz w:val="24"/>
          <w:szCs w:val="24"/>
        </w:rPr>
        <w:t xml:space="preserve">, interpuesto por </w:t>
      </w:r>
      <w:r>
        <w:rPr>
          <w:rFonts w:ascii="Palatino Linotype" w:eastAsia="Palatino Linotype" w:hAnsi="Palatino Linotype" w:cs="Palatino Linotype"/>
          <w:b/>
          <w:sz w:val="24"/>
          <w:szCs w:val="24"/>
        </w:rPr>
        <w:t>xxxx</w:t>
      </w:r>
      <w:bookmarkStart w:id="0" w:name="_GoBack"/>
      <w:bookmarkEnd w:id="0"/>
      <w:r>
        <w:rPr>
          <w:rFonts w:ascii="Palatino Linotype" w:eastAsia="Palatino Linotype" w:hAnsi="Palatino Linotype" w:cs="Palatino Linotype"/>
          <w:sz w:val="24"/>
          <w:szCs w:val="24"/>
        </w:rPr>
        <w:t xml:space="preserve"> al cual en lo sucesivo  se le denominara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color w:val="FF0000"/>
        </w:rPr>
        <w:t> </w:t>
      </w:r>
      <w:r>
        <w:rPr>
          <w:rFonts w:ascii="Palatino Linotype" w:eastAsia="Palatino Linotype" w:hAnsi="Palatino Linotype" w:cs="Palatino Linotype"/>
          <w:b/>
          <w:color w:val="000000"/>
          <w:sz w:val="24"/>
          <w:szCs w:val="24"/>
        </w:rPr>
        <w:t>00995/INFOEM/IP/2021</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por parte</w:t>
      </w:r>
      <w:r>
        <w:rPr>
          <w:rFonts w:ascii="Palatino Linotype" w:eastAsia="Palatino Linotype" w:hAnsi="Palatino Linotype" w:cs="Palatino Linotype"/>
          <w:sz w:val="24"/>
          <w:szCs w:val="24"/>
        </w:rPr>
        <w:t xml:space="preserve"> de</w:t>
      </w:r>
      <w:r>
        <w:rPr>
          <w:rFonts w:ascii="Palatino Linotype" w:eastAsia="Palatino Linotype" w:hAnsi="Palatino Linotype" w:cs="Palatino Linotype"/>
          <w:b/>
          <w:sz w:val="24"/>
          <w:szCs w:val="24"/>
        </w:rPr>
        <w:t>l Instituto de Transparencia, Acceso a la Información Pública y Protección de Datos Personales del Estado de México y Municipios</w:t>
      </w:r>
      <w:r>
        <w:rPr>
          <w:rFonts w:ascii="Palatino Linotype" w:eastAsia="Palatino Linotype" w:hAnsi="Palatino Linotype" w:cs="Palatino Linotype"/>
          <w:sz w:val="24"/>
          <w:szCs w:val="24"/>
        </w:rPr>
        <w:t xml:space="preserve">, en lo sucesivo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 xml:space="preserve">se procede a dictar la presente resolución, con base en lo siguiente. </w:t>
      </w:r>
    </w:p>
    <w:p w:rsidR="001E11B1" w:rsidRDefault="00D1307E">
      <w:pPr>
        <w:spacing w:before="240" w:after="24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AN T E C E D E N </w:t>
      </w:r>
      <w:r>
        <w:rPr>
          <w:rFonts w:ascii="Palatino Linotype" w:eastAsia="Palatino Linotype" w:hAnsi="Palatino Linotype" w:cs="Palatino Linotype"/>
          <w:b/>
          <w:sz w:val="24"/>
          <w:szCs w:val="24"/>
        </w:rPr>
        <w:t xml:space="preserve">T E S   </w:t>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DE LA SOLICITUD DE INFORMACIÓN. </w:t>
      </w:r>
      <w:r>
        <w:rPr>
          <w:rFonts w:ascii="Palatino Linotype" w:eastAsia="Palatino Linotype" w:hAnsi="Palatino Linotype" w:cs="Palatino Linotype"/>
          <w:sz w:val="24"/>
          <w:szCs w:val="24"/>
        </w:rPr>
        <w:t xml:space="preserve">Con fecha cinco de noviembre de dos mil veintiuno,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w:t>
      </w:r>
      <w:r>
        <w:rPr>
          <w:rFonts w:ascii="Palatino Linotype" w:eastAsia="Palatino Linotype" w:hAnsi="Palatino Linotype" w:cs="Palatino Linotype"/>
          <w:sz w:val="24"/>
          <w:szCs w:val="24"/>
        </w:rPr>
        <w:t>, registrada bajo el número de expediente</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color w:val="000000"/>
          <w:sz w:val="24"/>
          <w:szCs w:val="24"/>
        </w:rPr>
        <w:t>00995/INFOEM/IP/2021</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información en el tenor siguiente:</w:t>
      </w:r>
    </w:p>
    <w:p w:rsidR="001E11B1" w:rsidRDefault="00D1307E">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SABER EL CURRICULUM DE LOS NUEVOS INTEGRANTES DEL PLENO DEL NFOEM, DERIVADO A LAS DEFICIENCIAS QUE PRESENTAN Y LA CLARA I</w:t>
      </w:r>
      <w:r>
        <w:rPr>
          <w:rFonts w:ascii="Palatino Linotype" w:eastAsia="Palatino Linotype" w:hAnsi="Palatino Linotype" w:cs="Palatino Linotype"/>
          <w:i/>
          <w:color w:val="000000"/>
        </w:rPr>
        <w:t xml:space="preserve">NEPTITUD QUE TIENEN AL MOMENTO DE RESOLVER, ASI COMO FUERON SELECCIONADOS SI FUE POR </w:t>
      </w:r>
      <w:r>
        <w:rPr>
          <w:rFonts w:ascii="Palatino Linotype" w:eastAsia="Palatino Linotype" w:hAnsi="Palatino Linotype" w:cs="Palatino Linotype"/>
          <w:i/>
          <w:color w:val="000000"/>
        </w:rPr>
        <w:lastRenderedPageBreak/>
        <w:t>DEDASO, COMPADRAZGO, O ALGUN FAVOR POLÍTICO ASI COMO LA LISTA DE ASPIRANTES QUE HUBO. EL SUELDO QUE PERCIBEN MENSUALMENTE BRUTO. SI CUENTAN CON CHOFER Y VEHICULO OFICIAL Y</w:t>
      </w:r>
      <w:r>
        <w:rPr>
          <w:rFonts w:ascii="Palatino Linotype" w:eastAsia="Palatino Linotype" w:hAnsi="Palatino Linotype" w:cs="Palatino Linotype"/>
          <w:i/>
          <w:color w:val="000000"/>
        </w:rPr>
        <w:t xml:space="preserve"> SI CONTARAN CON ESOS SERVICIOS CUANTO LES DAN DE GASOLINA. SOLICITO LAS FACTURAS DE LOS SERVICIOS DESDE QUE FUE CONTRATADO HASTA LA FECHA DE LA SEGURIDAD PRIVADA POR PARTE DEL CUSAEM POR ESTAR EL OJO DEL HURACAN ANTE LA SOCIEDAD YA QUE ES UNA EMPRESA AL S</w:t>
      </w:r>
      <w:r>
        <w:rPr>
          <w:rFonts w:ascii="Palatino Linotype" w:eastAsia="Palatino Linotype" w:hAnsi="Palatino Linotype" w:cs="Palatino Linotype"/>
          <w:i/>
          <w:color w:val="000000"/>
        </w:rPr>
        <w:t xml:space="preserve">ERVICIO DEL SR. ALFREDO DEL MAZO MASA Y SIENDO UN ORGANISMO GARANTE ESTE PERMITIENDO ESTE TIPO DE ACCIONES. SOLICITO TODOS LOS EXPEDIENTES CLASIFICADOS Y RESERVADOS QUE TIENE EL INFOEM. SOLICITO SABER LA CREACIÓN DE ESTE INSTITUTO O QUE FIN TIENE DERIVADO </w:t>
      </w:r>
      <w:r>
        <w:rPr>
          <w:rFonts w:ascii="Palatino Linotype" w:eastAsia="Palatino Linotype" w:hAnsi="Palatino Linotype" w:cs="Palatino Linotype"/>
          <w:i/>
          <w:color w:val="000000"/>
        </w:rPr>
        <w:t>QUE SOLO DA INFORMACIÓN IMCOMPLETO EN MI OPINION COMO CUIDADADO MIL VECES HUBIERA PREFERIDO EN VEZ DE CREAR ESTE INSTITUTO HUBIERAN DESTINO EL DINERO A RECURSOS EN OBRA PUBLICA, O DESPENSAS DE LO QUE REALMENTE EL ESTADO DE MÉXICO NECESITA NO DE ESTE TIPO D</w:t>
      </w:r>
      <w:r>
        <w:rPr>
          <w:rFonts w:ascii="Palatino Linotype" w:eastAsia="Palatino Linotype" w:hAnsi="Palatino Linotype" w:cs="Palatino Linotype"/>
          <w:i/>
          <w:color w:val="000000"/>
        </w:rPr>
        <w:t>E INSTITUCIONES QUE SOLO OCUPAN PARA ROBAR O LAVAR DINERO.....”(Sic)</w:t>
      </w:r>
    </w:p>
    <w:p w:rsidR="001E11B1" w:rsidRDefault="00D1307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4"/>
          <w:szCs w:val="24"/>
        </w:rPr>
        <w:t xml:space="preserve">2. DE LA RESPUESTA DEL SUJETO OBLIGADO. </w:t>
      </w:r>
      <w:r>
        <w:rPr>
          <w:rFonts w:ascii="Palatino Linotype" w:eastAsia="Palatino Linotype" w:hAnsi="Palatino Linotype" w:cs="Palatino Linotype"/>
          <w:sz w:val="24"/>
          <w:szCs w:val="24"/>
        </w:rPr>
        <w:t xml:space="preserve">Con fecha veintinueve de noviembre del dos mil veintiuno,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rPr>
          <w:rFonts w:ascii="Palatino Linotype" w:eastAsia="Palatino Linotype" w:hAnsi="Palatino Linotype" w:cs="Palatino Linotype"/>
        </w:rPr>
        <w:t xml:space="preserve"> </w:t>
      </w:r>
    </w:p>
    <w:p w:rsidR="001E11B1" w:rsidRDefault="00D1307E">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En respuesta a la solicitud recibida, nos permitimos hacer de su conocimiento que con fundamento en el artículo 53, Fracciones: II, V y VI de la Ley </w:t>
      </w:r>
      <w:r>
        <w:rPr>
          <w:rFonts w:ascii="Palatino Linotype" w:eastAsia="Palatino Linotype" w:hAnsi="Palatino Linotype" w:cs="Palatino Linotype"/>
          <w:i/>
        </w:rPr>
        <w:t>de Transparencia y Acceso a la Información Pública del Estado de México y Municipios, le contestamos que:</w:t>
      </w:r>
    </w:p>
    <w:p w:rsidR="001E11B1" w:rsidRDefault="00D1307E">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Con fundamento en el artículo 53 fracción II de la Ley de Transparencia y Acceso a la Información Pública del Estado de México y Municipios, se adjunt</w:t>
      </w:r>
      <w:r>
        <w:rPr>
          <w:rFonts w:ascii="Palatino Linotype" w:eastAsia="Palatino Linotype" w:hAnsi="Palatino Linotype" w:cs="Palatino Linotype"/>
          <w:i/>
        </w:rPr>
        <w:t>a la respuesta a su solicitud de acceso a la información pública.</w:t>
      </w:r>
    </w:p>
    <w:p w:rsidR="001E11B1" w:rsidRDefault="00D1307E">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1E11B1" w:rsidRDefault="00D1307E">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Mtro. Juan Salvador V. Hernández Flores</w:t>
      </w:r>
    </w:p>
    <w:p w:rsidR="001E11B1" w:rsidRDefault="00D1307E">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Adjuntando para tal efecto el archivo electrónico “</w:t>
      </w:r>
      <w:hyperlink r:id="rId8">
        <w:r>
          <w:rPr>
            <w:rFonts w:ascii="Palatino Linotype" w:eastAsia="Palatino Linotype" w:hAnsi="Palatino Linotype" w:cs="Palatino Linotype"/>
            <w:b/>
            <w:color w:val="000000"/>
            <w:sz w:val="24"/>
            <w:szCs w:val="24"/>
          </w:rPr>
          <w:t>RespuestaSolicitud00995.zip</w:t>
        </w:r>
      </w:hyperlink>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sz w:val="24"/>
          <w:szCs w:val="24"/>
        </w:rPr>
        <w:t>; el cuales no se inserta en el presente apartado por ser del conocimiento de las partes, sin embargo, habrá de hacerse el análisis y estudio correspondiente en párrafos posteriores.</w:t>
      </w:r>
    </w:p>
    <w:p w:rsidR="001E11B1" w:rsidRDefault="00D1307E">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3. DEL RECURSO DE REVISIÓN. </w:t>
      </w:r>
      <w:r>
        <w:rPr>
          <w:rFonts w:ascii="Palatino Linotype" w:eastAsia="Palatino Linotype" w:hAnsi="Palatino Linotype" w:cs="Palatino Linotype"/>
          <w:sz w:val="24"/>
          <w:szCs w:val="24"/>
        </w:rPr>
        <w:t>Inconforme con</w:t>
      </w:r>
      <w:r>
        <w:rPr>
          <w:rFonts w:ascii="Palatino Linotype" w:eastAsia="Palatino Linotype" w:hAnsi="Palatino Linotype" w:cs="Palatino Linotype"/>
          <w:sz w:val="24"/>
          <w:szCs w:val="24"/>
        </w:rPr>
        <w:t xml:space="preserve"> la respuesta del</w:t>
      </w:r>
      <w:r>
        <w:rPr>
          <w:rFonts w:ascii="Palatino Linotype" w:eastAsia="Palatino Linotype" w:hAnsi="Palatino Linotype" w:cs="Palatino Linotype"/>
          <w:b/>
          <w:sz w:val="24"/>
          <w:szCs w:val="24"/>
        </w:rPr>
        <w:t xml:space="preserve"> SUJETO OBLIGADO, EL RECURRENTE </w:t>
      </w:r>
      <w:r>
        <w:rPr>
          <w:rFonts w:ascii="Palatino Linotype" w:eastAsia="Palatino Linotype" w:hAnsi="Palatino Linotype" w:cs="Palatino Linotype"/>
          <w:sz w:val="24"/>
          <w:szCs w:val="24"/>
        </w:rPr>
        <w:t>interpuso el recurso de revisión, en fecha seis de diciembre de dos mil veintiuno,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06079/INFOEM/IP/RR/2021</w:t>
      </w:r>
      <w:r>
        <w:rPr>
          <w:rFonts w:ascii="Palatino Linotype" w:eastAsia="Palatino Linotype" w:hAnsi="Palatino Linotype" w:cs="Palatino Linotype"/>
          <w:sz w:val="24"/>
          <w:szCs w:val="24"/>
        </w:rPr>
        <w:t>, en el cual manifiesta, lo</w:t>
      </w:r>
      <w:r>
        <w:rPr>
          <w:rFonts w:ascii="Palatino Linotype" w:eastAsia="Palatino Linotype" w:hAnsi="Palatino Linotype" w:cs="Palatino Linotype"/>
          <w:sz w:val="24"/>
          <w:szCs w:val="24"/>
        </w:rPr>
        <w:t xml:space="preserve"> siguiente:</w:t>
      </w:r>
    </w:p>
    <w:p w:rsidR="001E11B1" w:rsidRDefault="00D1307E">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Acto Impugnado:</w:t>
      </w:r>
    </w:p>
    <w:p w:rsidR="001E11B1" w:rsidRDefault="00D1307E">
      <w:pPr>
        <w:spacing w:before="240" w:after="240" w:line="276" w:lineRule="auto"/>
        <w:ind w:lef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sz w:val="24"/>
          <w:szCs w:val="24"/>
          <w:u w:val="single"/>
        </w:rPr>
        <w:t>“</w:t>
      </w:r>
      <w:r>
        <w:rPr>
          <w:rFonts w:ascii="Palatino Linotype" w:eastAsia="Palatino Linotype" w:hAnsi="Palatino Linotype" w:cs="Palatino Linotype"/>
          <w:b/>
          <w:i/>
          <w:color w:val="000000"/>
          <w:sz w:val="24"/>
          <w:szCs w:val="24"/>
          <w:u w:val="single"/>
        </w:rPr>
        <w:t>NIEGAN LA INFORMACIÓN SOLICITADA</w:t>
      </w:r>
      <w:r>
        <w:rPr>
          <w:rFonts w:ascii="Palatino Linotype" w:eastAsia="Palatino Linotype" w:hAnsi="Palatino Linotype" w:cs="Palatino Linotype"/>
          <w:i/>
          <w:color w:val="000000"/>
          <w:sz w:val="24"/>
          <w:szCs w:val="24"/>
        </w:rPr>
        <w:t xml:space="preserve"> EN TODO MOMENTO NO ENTIENDO NTC PARA QUE ESTA EL INFOEM POR   QUE SE SUPONE QUE ES UN ÓRGANO GARANTE AHORA BIEN SI CUENTAN CON UN PRESUPUESTO DE NUESTROS IMPUESTOS NO ENTIENDO POR QUE HICISTE ESTOS TIPOS DE INSTITUCIONES QUE NO SIRVEN PARA NADA SOLO SIRVE</w:t>
      </w:r>
      <w:r>
        <w:rPr>
          <w:rFonts w:ascii="Palatino Linotype" w:eastAsia="Palatino Linotype" w:hAnsi="Palatino Linotype" w:cs="Palatino Linotype"/>
          <w:i/>
          <w:color w:val="000000"/>
          <w:sz w:val="24"/>
          <w:szCs w:val="24"/>
        </w:rPr>
        <w:t xml:space="preserve">N PARA ROBAR Y NO TRANSPARENTAR EN DONDE </w:t>
      </w:r>
      <w:r>
        <w:rPr>
          <w:rFonts w:ascii="Palatino Linotype" w:eastAsia="Palatino Linotype" w:hAnsi="Palatino Linotype" w:cs="Palatino Linotype"/>
          <w:i/>
          <w:color w:val="000000"/>
          <w:sz w:val="24"/>
          <w:szCs w:val="24"/>
        </w:rPr>
        <w:lastRenderedPageBreak/>
        <w:t>QUEDAN NUESTROS IMPUESTOS EN POCAS PALABRAS ES UNA PORQUERIA DE INSTITUCIÓN.” [sic]</w:t>
      </w:r>
    </w:p>
    <w:p w:rsidR="001E11B1" w:rsidRDefault="00D1307E">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Razones o Motivos de Inconformidad</w:t>
      </w:r>
      <w:r>
        <w:rPr>
          <w:rFonts w:ascii="Palatino Linotype" w:eastAsia="Palatino Linotype" w:hAnsi="Palatino Linotype" w:cs="Palatino Linotype"/>
          <w:color w:val="000000"/>
          <w:sz w:val="24"/>
          <w:szCs w:val="24"/>
        </w:rPr>
        <w:t>:</w:t>
      </w:r>
    </w:p>
    <w:p w:rsidR="001E11B1" w:rsidRDefault="00D1307E">
      <w:pPr>
        <w:spacing w:before="240" w:after="240" w:line="276" w:lineRule="auto"/>
        <w:ind w:lef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“MI INCORFORMIDAD DEBERÍAN DESAPARECER COMO INSTITUCIÓN Y CREAR MAYORES PROGRAMAS DE BIENESTAR </w:t>
      </w:r>
      <w:r>
        <w:rPr>
          <w:rFonts w:ascii="Palatino Linotype" w:eastAsia="Palatino Linotype" w:hAnsi="Palatino Linotype" w:cs="Palatino Linotype"/>
          <w:i/>
          <w:color w:val="000000"/>
          <w:sz w:val="24"/>
          <w:szCs w:val="24"/>
        </w:rPr>
        <w:t>SOCIAL Y POR QUE ESTAMOS DÁNDOLES DE COMER A LOS PARÁSITOS DEL INFOEM” [sic]</w:t>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5. TURNO.  </w:t>
      </w:r>
      <w:r>
        <w:rPr>
          <w:rFonts w:ascii="Palatino Linotype" w:eastAsia="Palatino Linotype" w:hAnsi="Palatino Linotype" w:cs="Palatino Linotype"/>
          <w:sz w:val="24"/>
          <w:szCs w:val="24"/>
        </w:rPr>
        <w:t xml:space="preserve">De conformidad con el artículo 185 Fracción I </w:t>
      </w:r>
      <w:r>
        <w:rPr>
          <w:rFonts w:ascii="Palatino Linotype" w:eastAsia="Palatino Linotype" w:hAnsi="Palatino Linotype" w:cs="Palatino Linotype"/>
          <w:sz w:val="24"/>
          <w:szCs w:val="24"/>
          <w:highlight w:val="white"/>
        </w:rPr>
        <w:t>de la Ley Transparencia y Acceso a la Información Pública</w:t>
      </w:r>
      <w:r>
        <w:rPr>
          <w:rFonts w:ascii="Palatino Linotype" w:eastAsia="Palatino Linotype" w:hAnsi="Palatino Linotype" w:cs="Palatino Linotype"/>
          <w:sz w:val="24"/>
          <w:szCs w:val="24"/>
        </w:rPr>
        <w:t>, el recurso de revisión número</w:t>
      </w:r>
      <w:r>
        <w:rPr>
          <w:rFonts w:ascii="Palatino Linotype" w:eastAsia="Palatino Linotype" w:hAnsi="Palatino Linotype" w:cs="Palatino Linotype"/>
          <w:b/>
          <w:sz w:val="24"/>
          <w:szCs w:val="24"/>
        </w:rPr>
        <w:t xml:space="preserve"> 06079/INFOEM/IP/RR/2021 </w:t>
      </w:r>
      <w:r>
        <w:rPr>
          <w:rFonts w:ascii="Palatino Linotype" w:eastAsia="Palatino Linotype" w:hAnsi="Palatino Linotype" w:cs="Palatino Linotype"/>
          <w:sz w:val="24"/>
          <w:szCs w:val="24"/>
        </w:rPr>
        <w:t>fue turna</w:t>
      </w:r>
      <w:r>
        <w:rPr>
          <w:rFonts w:ascii="Palatino Linotype" w:eastAsia="Palatino Linotype" w:hAnsi="Palatino Linotype" w:cs="Palatino Linotype"/>
          <w:sz w:val="24"/>
          <w:szCs w:val="24"/>
        </w:rPr>
        <w:t xml:space="preserve">do en fecha seis de diciembre de dos mil veintiuno a la Comisionada Ponente </w:t>
      </w:r>
      <w:r>
        <w:rPr>
          <w:rFonts w:ascii="Palatino Linotype" w:eastAsia="Palatino Linotype" w:hAnsi="Palatino Linotype" w:cs="Palatino Linotype"/>
          <w:b/>
          <w:sz w:val="24"/>
          <w:szCs w:val="24"/>
        </w:rPr>
        <w:t>Guadalupe Ramírez Peña</w:t>
      </w:r>
      <w:r>
        <w:rPr>
          <w:rFonts w:ascii="Palatino Linotype" w:eastAsia="Palatino Linotype" w:hAnsi="Palatino Linotype" w:cs="Palatino Linotype"/>
          <w:sz w:val="24"/>
          <w:szCs w:val="24"/>
        </w:rPr>
        <w:t>; a efecto de presentar al Pleno el proyecto de resolución correspondiente.</w:t>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6. ADMISIÓN. </w:t>
      </w:r>
      <w:r>
        <w:rPr>
          <w:rFonts w:ascii="Palatino Linotype" w:eastAsia="Palatino Linotype" w:hAnsi="Palatino Linotype" w:cs="Palatino Linotype"/>
          <w:sz w:val="24"/>
          <w:szCs w:val="24"/>
        </w:rPr>
        <w:t>En fecha nueve de diciembre del año dos mil veintiuno, en términos de lo dispuesto en el artículo 185 fracciones I, II y IV de la Ley de Transparencia y Acceso a la Información Pública del Estado de México y Municipios, se admitió a trámite el recurso de r</w:t>
      </w:r>
      <w:r>
        <w:rPr>
          <w:rFonts w:ascii="Palatino Linotype" w:eastAsia="Palatino Linotype" w:hAnsi="Palatino Linotype" w:cs="Palatino Linotype"/>
          <w:sz w:val="24"/>
          <w:szCs w:val="24"/>
        </w:rPr>
        <w:t>evisión al rubro indicado.</w:t>
      </w:r>
    </w:p>
    <w:p w:rsidR="001E11B1" w:rsidRDefault="00D1307E">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202124"/>
          <w:sz w:val="24"/>
          <w:szCs w:val="24"/>
        </w:rPr>
        <w:t xml:space="preserve">7. </w:t>
      </w:r>
      <w:r>
        <w:rPr>
          <w:rFonts w:ascii="Palatino Linotype" w:eastAsia="Palatino Linotype" w:hAnsi="Palatino Linotype" w:cs="Palatino Linotype"/>
          <w:b/>
          <w:sz w:val="24"/>
          <w:szCs w:val="24"/>
        </w:rPr>
        <w:t xml:space="preserve">INFORME JUSTIFICADO O MANIFESTACIONES. </w:t>
      </w:r>
      <w:r>
        <w:rPr>
          <w:rFonts w:ascii="Palatino Linotype" w:eastAsia="Palatino Linotype" w:hAnsi="Palatino Linotype" w:cs="Palatino Linotype"/>
          <w:sz w:val="24"/>
          <w:szCs w:val="24"/>
        </w:rPr>
        <w:t>El veinte de diciembre de dos mil veintiuno, se recibió, a través del Sistema de Acceso a la Información Mexiquense (SAIMEX), el Informe Justificado del Sujeto Obligado, mediante los sigu</w:t>
      </w:r>
      <w:r>
        <w:rPr>
          <w:rFonts w:ascii="Palatino Linotype" w:eastAsia="Palatino Linotype" w:hAnsi="Palatino Linotype" w:cs="Palatino Linotype"/>
          <w:sz w:val="24"/>
          <w:szCs w:val="24"/>
        </w:rPr>
        <w:t xml:space="preserve">ientes archivos: </w:t>
      </w:r>
    </w:p>
    <w:p w:rsidR="001E11B1" w:rsidRDefault="00D1307E">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rPr>
        <w:lastRenderedPageBreak/>
        <w:tab/>
        <w:t xml:space="preserve">“InformeRR06079DGAF.pdf” </w:t>
      </w:r>
      <w:r>
        <w:rPr>
          <w:rFonts w:ascii="Palatino Linotype" w:eastAsia="Palatino Linotype" w:hAnsi="Palatino Linotype" w:cs="Palatino Linotype"/>
          <w:color w:val="000000"/>
          <w:sz w:val="24"/>
          <w:szCs w:val="24"/>
        </w:rPr>
        <w:t xml:space="preserve">contiene el oficio INFOEM/DGAF/461/2021, signado por el Director General de Administración y Finanzas del Sujeto Obligado a través del cual en términos general ratifica su respuesta original. </w:t>
      </w:r>
    </w:p>
    <w:p w:rsidR="001E11B1" w:rsidRDefault="00D1307E">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b/>
      </w:r>
      <w:r>
        <w:rPr>
          <w:rFonts w:ascii="Palatino Linotype" w:eastAsia="Palatino Linotype" w:hAnsi="Palatino Linotype" w:cs="Palatino Linotype"/>
          <w:b/>
          <w:i/>
          <w:color w:val="000000"/>
          <w:sz w:val="24"/>
          <w:szCs w:val="24"/>
        </w:rPr>
        <w:t>RequerimientoInfor</w:t>
      </w:r>
      <w:r>
        <w:rPr>
          <w:rFonts w:ascii="Palatino Linotype" w:eastAsia="Palatino Linotype" w:hAnsi="Palatino Linotype" w:cs="Palatino Linotype"/>
          <w:b/>
          <w:i/>
          <w:color w:val="000000"/>
          <w:sz w:val="24"/>
          <w:szCs w:val="24"/>
        </w:rPr>
        <w:t xml:space="preserve">meRR06079DGAF.pdf </w:t>
      </w:r>
      <w:r>
        <w:rPr>
          <w:rFonts w:ascii="Palatino Linotype" w:eastAsia="Palatino Linotype" w:hAnsi="Palatino Linotype" w:cs="Palatino Linotype"/>
          <w:color w:val="000000"/>
          <w:sz w:val="24"/>
          <w:szCs w:val="24"/>
        </w:rPr>
        <w:t>Contiene el oficio número INFOEM/UT/305/2021 a través del cual el titular de la unidad del Sujeto Obligado requirió al Servidor Público habilitado de la Dirección General de Administración y Finanzas el informe justificado correspondiente</w:t>
      </w:r>
      <w:r>
        <w:rPr>
          <w:rFonts w:ascii="Palatino Linotype" w:eastAsia="Palatino Linotype" w:hAnsi="Palatino Linotype" w:cs="Palatino Linotype"/>
          <w:color w:val="000000"/>
          <w:sz w:val="24"/>
          <w:szCs w:val="24"/>
        </w:rPr>
        <w:t xml:space="preserve">. </w:t>
      </w:r>
    </w:p>
    <w:p w:rsidR="001E11B1" w:rsidRDefault="00D1307E">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rPr>
        <w:tab/>
        <w:t xml:space="preserve">InformeJustificadoRR06079UT.pdf </w:t>
      </w:r>
      <w:r>
        <w:rPr>
          <w:rFonts w:ascii="Palatino Linotype" w:eastAsia="Palatino Linotype" w:hAnsi="Palatino Linotype" w:cs="Palatino Linotype"/>
          <w:color w:val="000000"/>
          <w:sz w:val="24"/>
          <w:szCs w:val="24"/>
        </w:rPr>
        <w:t xml:space="preserve">Contiene el oficio número INFOEM/UT/753/2021, a través del cual el Titular de la Unidad de Transparencia remite a este Instituto el Informe Justificado con las manifestaciones vertidas por el servidor público habilitado </w:t>
      </w:r>
      <w:r>
        <w:rPr>
          <w:rFonts w:ascii="Palatino Linotype" w:eastAsia="Palatino Linotype" w:hAnsi="Palatino Linotype" w:cs="Palatino Linotype"/>
          <w:color w:val="000000"/>
          <w:sz w:val="24"/>
          <w:szCs w:val="24"/>
        </w:rPr>
        <w:t xml:space="preserve">de la Dirección General de Administración y Finanzas del Sujeto Obligado. </w:t>
      </w:r>
    </w:p>
    <w:p w:rsidR="001E11B1" w:rsidRDefault="00D1307E">
      <w:pP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8. DEL CIERRE DE INSTRUCCIÓN.</w:t>
      </w:r>
      <w:r>
        <w:rPr>
          <w:rFonts w:ascii="Palatino Linotype" w:eastAsia="Palatino Linotype" w:hAnsi="Palatino Linotype" w:cs="Palatino Linotype"/>
          <w:b/>
          <w:sz w:val="24"/>
          <w:szCs w:val="24"/>
        </w:rPr>
        <w:tab/>
      </w:r>
      <w:r>
        <w:rPr>
          <w:rFonts w:ascii="Palatino Linotype" w:eastAsia="Palatino Linotype" w:hAnsi="Palatino Linotype" w:cs="Palatino Linotype"/>
          <w:color w:val="000000"/>
          <w:sz w:val="24"/>
          <w:szCs w:val="24"/>
        </w:rPr>
        <w:t>El diecisiete de enero de dos mil veintidós, al no existir diligencias pendientes por desahogar, se emitió el acuerdo por medio del cual se declaró cer</w:t>
      </w:r>
      <w:r>
        <w:rPr>
          <w:rFonts w:ascii="Palatino Linotype" w:eastAsia="Palatino Linotype" w:hAnsi="Palatino Linotype" w:cs="Palatino Linotype"/>
          <w:color w:val="000000"/>
          <w:sz w:val="24"/>
          <w:szCs w:val="24"/>
        </w:rPr>
        <w:t>rada la instrucción y se determinó pasar el expediente a resolución, en términos del artículo 185 fracción VI y VIII de la Ley de Transparencia y Acceso a la Información Pública del Estado de México y Municipios, iniciando el término legal para dictar reso</w:t>
      </w:r>
      <w:r>
        <w:rPr>
          <w:rFonts w:ascii="Palatino Linotype" w:eastAsia="Palatino Linotype" w:hAnsi="Palatino Linotype" w:cs="Palatino Linotype"/>
          <w:color w:val="000000"/>
          <w:sz w:val="24"/>
          <w:szCs w:val="24"/>
        </w:rPr>
        <w:t>lución definitiva del asunto.</w:t>
      </w:r>
    </w:p>
    <w:p w:rsidR="001E11B1" w:rsidRDefault="00D1307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4"/>
          <w:szCs w:val="24"/>
        </w:rPr>
        <w:lastRenderedPageBreak/>
        <w:t>9. DE LA AMPLIACIÓN DE PLAZO.</w:t>
      </w:r>
      <w:r>
        <w:rPr>
          <w:rFonts w:ascii="Palatino Linotype" w:eastAsia="Palatino Linotype" w:hAnsi="Palatino Linotype" w:cs="Palatino Linotype"/>
          <w:color w:val="202124"/>
          <w:highlight w:val="white"/>
        </w:rPr>
        <w:t xml:space="preserve"> En fecha tres de febrero del dos mil veintidós, este Instituto con fundamento en el artículo 181, párrafo tercero de la Ley de Transparencia y Acceso a la Información Pública del Estado de México </w:t>
      </w:r>
      <w:r>
        <w:rPr>
          <w:rFonts w:ascii="Palatino Linotype" w:eastAsia="Palatino Linotype" w:hAnsi="Palatino Linotype" w:cs="Palatino Linotype"/>
          <w:color w:val="202124"/>
          <w:highlight w:val="white"/>
        </w:rPr>
        <w:t>y Municipios, determinó mediante el acuerdo respectivo, ampliar por quince días hábiles adicionales el plazo para emitir la presente resolución a fin de realizar un mejor estudio del asunto.</w:t>
      </w:r>
    </w:p>
    <w:p w:rsidR="001E11B1" w:rsidRDefault="00D1307E">
      <w:pPr>
        <w:spacing w:before="240" w:after="24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CONSIDERANDOS:</w:t>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COMPETENCIA. </w:t>
      </w:r>
      <w:r>
        <w:rPr>
          <w:rFonts w:ascii="Palatino Linotype" w:eastAsia="Palatino Linotype" w:hAnsi="Palatino Linotype" w:cs="Palatino Linotype"/>
          <w:sz w:val="24"/>
          <w:szCs w:val="24"/>
        </w:rPr>
        <w:t>Este Instituto de Transparen</w:t>
      </w:r>
      <w:r>
        <w:rPr>
          <w:rFonts w:ascii="Palatino Linotype" w:eastAsia="Palatino Linotype" w:hAnsi="Palatino Linotype" w:cs="Palatino Linotype"/>
          <w:sz w:val="24"/>
          <w:szCs w:val="24"/>
        </w:rPr>
        <w:t>cia, Acceso a la Información Pública y Protección de Datos Personales del Estado de México y Municipios, es competente para conocer y resolver el presente recurso de revisión, conforme a lo dispuesto en los artículos 6, apartado A, fracción IV, de la Const</w:t>
      </w:r>
      <w:r>
        <w:rPr>
          <w:rFonts w:ascii="Palatino Linotype" w:eastAsia="Palatino Linotype" w:hAnsi="Palatino Linotype" w:cs="Palatino Linotype"/>
          <w:sz w:val="24"/>
          <w:szCs w:val="24"/>
        </w:rPr>
        <w:t xml:space="preserve">itución Política de los Estados Unidos Mexicanos; 5, párrafos trigésimo, trigésimo primero y trigésimo segundo, fracciones IV y V, de la Constitución Política del Estado Libre y Soberano de México; artículos 1, 2 fracción II, 13, 29, 36 fracciones I y II, </w:t>
      </w:r>
      <w:r>
        <w:rPr>
          <w:rFonts w:ascii="Palatino Linotype" w:eastAsia="Palatino Linotype" w:hAnsi="Palatino Linotype" w:cs="Palatino Linotype"/>
          <w:sz w:val="24"/>
          <w:szCs w:val="24"/>
        </w:rPr>
        <w:t>176, 178, 179, 181 párrafo tercero y 185, 186 y 188 de la Ley de Transparencia y Acceso a la Información Pública del Estado de México y Municipios; y 10, 7, 9 fracciones I y XXIV y 11, del Reglamento Interior del Instituto de Transparencia, Acceso a la Inf</w:t>
      </w:r>
      <w:r>
        <w:rPr>
          <w:rFonts w:ascii="Palatino Linotype" w:eastAsia="Palatino Linotype" w:hAnsi="Palatino Linotype" w:cs="Palatino Linotype"/>
          <w:sz w:val="24"/>
          <w:szCs w:val="24"/>
        </w:rPr>
        <w:t>ormación Pública y Protección de Datos Personales del Estado de México y Municipios.</w:t>
      </w:r>
    </w:p>
    <w:p w:rsidR="001E11B1" w:rsidRDefault="00D1307E">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PROCEDIBILIDAD DEL RECURSO DE REVISIÓN. </w:t>
      </w:r>
      <w:r>
        <w:rPr>
          <w:rFonts w:ascii="Palatino Linotype" w:eastAsia="Palatino Linotype" w:hAnsi="Palatino Linotype" w:cs="Palatino Linotype"/>
          <w:sz w:val="24"/>
          <w:szCs w:val="24"/>
        </w:rPr>
        <w:t xml:space="preserve">De conformidad con los requisitos de Oportunidad y Procedibilidad que </w:t>
      </w:r>
      <w:r>
        <w:rPr>
          <w:rFonts w:ascii="Palatino Linotype" w:eastAsia="Palatino Linotype" w:hAnsi="Palatino Linotype" w:cs="Palatino Linotype"/>
          <w:sz w:val="24"/>
          <w:szCs w:val="24"/>
        </w:rPr>
        <w:lastRenderedPageBreak/>
        <w:t>debe reunir el recurso de revisión int</w:t>
      </w:r>
      <w:r>
        <w:rPr>
          <w:rFonts w:ascii="Palatino Linotype" w:eastAsia="Palatino Linotype" w:hAnsi="Palatino Linotype" w:cs="Palatino Linotype"/>
          <w:sz w:val="24"/>
          <w:szCs w:val="24"/>
        </w:rPr>
        <w:t>erpuesto, previstos en los artículos 178 y 180 de la Ley de Transparencia y Acceso a la Información Pública del Estado de México y Municipios; en la especie se advierte que el presente medio de impugnación fue interpuesto dentro del plazo de quince días pr</w:t>
      </w:r>
      <w:r>
        <w:rPr>
          <w:rFonts w:ascii="Palatino Linotype" w:eastAsia="Palatino Linotype" w:hAnsi="Palatino Linotype" w:cs="Palatino Linotype"/>
          <w:sz w:val="24"/>
          <w:szCs w:val="24"/>
        </w:rPr>
        <w:t xml:space="preserve">evisto en el primer artículo de referencia; toda vez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emitió su respuesta a la solicitud planteada por el solicitante en fecha veintinueve de noviembre del año dos mil veintiuno y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presentó su recurso de revisión el seis de diciembre del mismo año, esto es al quinto día hábil siguiente de aquel en que tuvo conocimiento de la respuesta</w:t>
      </w:r>
      <w:r>
        <w:rPr>
          <w:rFonts w:ascii="Palatino Linotype" w:eastAsia="Palatino Linotype" w:hAnsi="Palatino Linotype" w:cs="Palatino Linotype"/>
          <w:sz w:val="24"/>
          <w:szCs w:val="24"/>
          <w:highlight w:val="white"/>
        </w:rPr>
        <w:t>;</w:t>
      </w:r>
      <w:r>
        <w:rPr>
          <w:rFonts w:ascii="Palatino Linotype" w:eastAsia="Palatino Linotype" w:hAnsi="Palatino Linotype" w:cs="Palatino Linotype"/>
          <w:sz w:val="24"/>
          <w:szCs w:val="24"/>
        </w:rPr>
        <w:t xml:space="preserve"> evidenciándose que la interposición del recurso se encuentra dentro de los márgenes temporales pre</w:t>
      </w:r>
      <w:r>
        <w:rPr>
          <w:rFonts w:ascii="Palatino Linotype" w:eastAsia="Palatino Linotype" w:hAnsi="Palatino Linotype" w:cs="Palatino Linotype"/>
          <w:sz w:val="24"/>
          <w:szCs w:val="24"/>
        </w:rPr>
        <w:t>vistos en el citado precepto legal.</w:t>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Además, por cuanto hace a la procedibilidad del recurso de revisión, es de suma importancia señalar que la parte recurrente se identifica como "</w:t>
      </w:r>
      <w:r>
        <w:rPr>
          <w:rFonts w:ascii="Palatino Linotype" w:eastAsia="Palatino Linotype" w:hAnsi="Palatino Linotype" w:cs="Palatino Linotype"/>
        </w:rPr>
        <w:t>Alex</w:t>
      </w:r>
      <w:r>
        <w:rPr>
          <w:rFonts w:ascii="Palatino Linotype" w:eastAsia="Palatino Linotype" w:hAnsi="Palatino Linotype" w:cs="Palatino Linotype"/>
          <w:sz w:val="24"/>
          <w:szCs w:val="24"/>
        </w:rPr>
        <w:t xml:space="preserve">" como se advierte en el detalle de seguimiento del SAIMEX, no obstante </w:t>
      </w:r>
      <w:r>
        <w:rPr>
          <w:rFonts w:ascii="Palatino Linotype" w:eastAsia="Palatino Linotype" w:hAnsi="Palatino Linotype" w:cs="Palatino Linotype"/>
          <w:sz w:val="24"/>
          <w:szCs w:val="24"/>
        </w:rPr>
        <w:t xml:space="preserve">lo anterior, no proporcionar el nombre no es motivo para archivar la solicitud de acceso a la información pública como concluida, conforme a lo previsto en el artículo 155, penúltimo párrafo de la Ley de Transparencia y Acceso a la Información Pública del </w:t>
      </w:r>
      <w:r>
        <w:rPr>
          <w:rFonts w:ascii="Palatino Linotype" w:eastAsia="Palatino Linotype" w:hAnsi="Palatino Linotype" w:cs="Palatino Linotype"/>
          <w:sz w:val="24"/>
          <w:szCs w:val="24"/>
        </w:rPr>
        <w:t>Estado de México y Municipios que establece lo siguiente:</w:t>
      </w:r>
    </w:p>
    <w:p w:rsidR="001E11B1" w:rsidRDefault="00D1307E">
      <w:pPr>
        <w:spacing w:before="240" w:after="240"/>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"Las solicitudes anónimas, con nombre incompleto o </w:t>
      </w:r>
      <w:r>
        <w:rPr>
          <w:rFonts w:ascii="Palatino Linotype" w:eastAsia="Palatino Linotype" w:hAnsi="Palatino Linotype" w:cs="Palatino Linotype"/>
          <w:b/>
          <w:i/>
        </w:rPr>
        <w:t>seudónimo</w:t>
      </w:r>
      <w:r>
        <w:rPr>
          <w:rFonts w:ascii="Palatino Linotype" w:eastAsia="Palatino Linotype" w:hAnsi="Palatino Linotype" w:cs="Palatino Linotype"/>
          <w:i/>
        </w:rPr>
        <w:t xml:space="preserve">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solicitante."(Sic)</w:t>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Robusteciendo lo anterior se encuentra lo dispuesto en el artículo 6, Apartado A, fracciones III de la Constitución Política de los Estados Unidos Mex</w:t>
      </w:r>
      <w:r>
        <w:rPr>
          <w:rFonts w:ascii="Palatino Linotype" w:eastAsia="Palatino Linotype" w:hAnsi="Palatino Linotype" w:cs="Palatino Linotype"/>
          <w:sz w:val="24"/>
          <w:szCs w:val="24"/>
        </w:rPr>
        <w:t>icanos que establece:</w:t>
      </w:r>
    </w:p>
    <w:p w:rsidR="001E11B1" w:rsidRDefault="00D1307E">
      <w:pPr>
        <w:spacing w:before="240" w:after="240"/>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6.-</w:t>
      </w:r>
      <w:r>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w:t>
      </w:r>
      <w:r>
        <w:rPr>
          <w:rFonts w:ascii="Palatino Linotype" w:eastAsia="Palatino Linotype" w:hAnsi="Palatino Linotype" w:cs="Palatino Linotype"/>
          <w:i/>
        </w:rPr>
        <w:t>den público; el derecho de réplica será ejercido en los términos dispuestos por la ley. El derecho a la información será garantizado por el Estado.</w:t>
      </w:r>
    </w:p>
    <w:p w:rsidR="001E11B1" w:rsidRDefault="00D1307E">
      <w:pPr>
        <w:spacing w:before="240" w:after="240"/>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Para efectos de lo dispuesto en el presente artículo se observará lo siguiente:</w:t>
      </w:r>
    </w:p>
    <w:p w:rsidR="001E11B1" w:rsidRDefault="00D1307E">
      <w:pPr>
        <w:spacing w:before="240" w:after="240"/>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A. Para el ejercicio del der</w:t>
      </w:r>
      <w:r>
        <w:rPr>
          <w:rFonts w:ascii="Palatino Linotype" w:eastAsia="Palatino Linotype" w:hAnsi="Palatino Linotype" w:cs="Palatino Linotype"/>
          <w:i/>
        </w:rPr>
        <w:t>echo de acceso a la información, la Federación, los Estados y el Distrito Federal, en el ámbito de sus respectivas competencias, se regirán por los siguientes principios y bases:</w:t>
      </w:r>
    </w:p>
    <w:p w:rsidR="001E11B1" w:rsidRDefault="00D1307E">
      <w:pPr>
        <w:spacing w:before="240" w:after="240"/>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III. Toda persona, sin necesidad de acreditar interés alguno o justificar su </w:t>
      </w:r>
      <w:r>
        <w:rPr>
          <w:rFonts w:ascii="Palatino Linotype" w:eastAsia="Palatino Linotype" w:hAnsi="Palatino Linotype" w:cs="Palatino Linotype"/>
          <w:i/>
        </w:rPr>
        <w:t>utilización, tendrá acceso gratuito a la información pública, a sus datos personales o a la rectificación de éstos.” (Sic)</w:t>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como el artículo 5 fracción III, párrafos vigésimo noveno, trigésimo y trigésimo primero, de la Constitución Política del Estado </w:t>
      </w:r>
      <w:r>
        <w:rPr>
          <w:rFonts w:ascii="Palatino Linotype" w:eastAsia="Palatino Linotype" w:hAnsi="Palatino Linotype" w:cs="Palatino Linotype"/>
          <w:sz w:val="24"/>
          <w:szCs w:val="24"/>
        </w:rPr>
        <w:t>Libre y Soberano de México, que determina lo siguiente:</w:t>
      </w:r>
    </w:p>
    <w:p w:rsidR="001E11B1" w:rsidRDefault="00D1307E">
      <w:pPr>
        <w:spacing w:before="240" w:after="240"/>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5.-</w:t>
      </w:r>
      <w:r>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w:t>
      </w:r>
      <w:r>
        <w:rPr>
          <w:rFonts w:ascii="Palatino Linotype" w:eastAsia="Palatino Linotype" w:hAnsi="Palatino Linotype" w:cs="Palatino Linotype"/>
          <w:i/>
        </w:rPr>
        <w:t>que el Estado mexicano sea parte, en esta Constitución y en las leyes que de ésta emanen, por lo que gozarán de las garantías para su protección, las cuales no podrán restringirse ni suspenderse salvo en los casos y bajo las condiciones que la Constitución</w:t>
      </w:r>
      <w:r>
        <w:rPr>
          <w:rFonts w:ascii="Palatino Linotype" w:eastAsia="Palatino Linotype" w:hAnsi="Palatino Linotype" w:cs="Palatino Linotype"/>
          <w:i/>
        </w:rPr>
        <w:t xml:space="preserve"> Política de los Estados Unidos Mexicanos establece”.(Sic)</w:t>
      </w:r>
    </w:p>
    <w:p w:rsidR="001E11B1" w:rsidRDefault="00D1307E">
      <w:pPr>
        <w:spacing w:before="240" w:after="240"/>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p>
    <w:p w:rsidR="001E11B1" w:rsidRDefault="00D1307E">
      <w:pPr>
        <w:spacing w:before="240" w:after="240"/>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w:t>
      </w:r>
      <w:r>
        <w:rPr>
          <w:rFonts w:ascii="Palatino Linotype" w:eastAsia="Palatino Linotype" w:hAnsi="Palatino Linotype" w:cs="Palatino Linotype"/>
          <w:i/>
        </w:rPr>
        <w:t>dio de expresión.</w:t>
      </w:r>
    </w:p>
    <w:p w:rsidR="001E11B1" w:rsidRDefault="00D1307E">
      <w:pPr>
        <w:spacing w:before="240" w:after="240"/>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p>
    <w:p w:rsidR="001E11B1" w:rsidRDefault="00D1307E">
      <w:pPr>
        <w:spacing w:before="240" w:after="240"/>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1E11B1" w:rsidRDefault="00D1307E">
      <w:pPr>
        <w:spacing w:before="240" w:after="240"/>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Para garantizar el ejercicio del derecho de transparencia,</w:t>
      </w:r>
      <w:r>
        <w:rPr>
          <w:rFonts w:ascii="Palatino Linotype" w:eastAsia="Palatino Linotype" w:hAnsi="Palatino Linotype" w:cs="Palatino Linotype"/>
          <w:i/>
        </w:rPr>
        <w:t xml:space="preserve"> acceso a la información pública y protección de datos personales, los poderes públicos y los organismos autónomos, transparentarán sus acciones, en términos de las disposiciones aplicables, la información será oportuna, clara, veraz y de fácil acceso. Est</w:t>
      </w:r>
      <w:r>
        <w:rPr>
          <w:rFonts w:ascii="Palatino Linotype" w:eastAsia="Palatino Linotype" w:hAnsi="Palatino Linotype" w:cs="Palatino Linotype"/>
          <w:i/>
        </w:rPr>
        <w:t>e derecho se regirá por los principios y bases siguientes:</w:t>
      </w:r>
    </w:p>
    <w:p w:rsidR="001E11B1" w:rsidRDefault="00D1307E">
      <w:pPr>
        <w:spacing w:before="240" w:after="240"/>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1E11B1" w:rsidRDefault="00D1307E">
      <w:pPr>
        <w:spacing w:before="240" w:after="240"/>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rPr>
        <w:t>)</w:t>
      </w:r>
    </w:p>
    <w:p w:rsidR="001E11B1" w:rsidRDefault="00D1307E">
      <w:pPr>
        <w:spacing w:before="240" w:after="240"/>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w:t>
      </w:r>
      <w:r>
        <w:rPr>
          <w:rFonts w:ascii="Palatino Linotype" w:eastAsia="Palatino Linotype" w:hAnsi="Palatino Linotype" w:cs="Palatino Linotype"/>
          <w:i/>
        </w:rPr>
        <w:t>su organización interna, responsable de garantizar el cumplimiento del derecho de transparencia, acceso a la información pública y a la protección de datos personales en posesión de los sujetos obligados en los términos que establezca la ley.” (...)</w:t>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ot</w:t>
      </w:r>
      <w:r>
        <w:rPr>
          <w:rFonts w:ascii="Palatino Linotype" w:eastAsia="Palatino Linotype" w:hAnsi="Palatino Linotype" w:cs="Palatino Linotype"/>
          <w:sz w:val="24"/>
          <w:szCs w:val="24"/>
        </w:rPr>
        <w:t>ra parte, del contenido del artículo 1 de la Constitución Política de los Estados Unidos mexicanos, se destaca lo siguiente:</w:t>
      </w:r>
    </w:p>
    <w:p w:rsidR="001E11B1" w:rsidRDefault="00D1307E">
      <w:pPr>
        <w:spacing w:before="240" w:after="240"/>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Artículo 1</w:t>
      </w:r>
      <w:r>
        <w:rPr>
          <w:rFonts w:ascii="Palatino Linotype" w:eastAsia="Palatino Linotype" w:hAnsi="Palatino Linotype" w:cs="Palatino Linotype"/>
          <w:i/>
        </w:rPr>
        <w:t xml:space="preserve">. En los Estados Unidos Mexicanos todas las personas gozarán de los derechos humanos reconocidos en esta Constitución y </w:t>
      </w:r>
      <w:r>
        <w:rPr>
          <w:rFonts w:ascii="Palatino Linotype" w:eastAsia="Palatino Linotype" w:hAnsi="Palatino Linotype" w:cs="Palatino Linotype"/>
          <w:i/>
        </w:rPr>
        <w:t>en los tratados internacionales de los que el Estado Mexicano sea parte, así como de las garantías para su protección, cuyo ejercicio no podrá restringirse ni suspenderse, salvo en los casos y bajo las condiciones que esta Constitución establece.</w:t>
      </w:r>
    </w:p>
    <w:p w:rsidR="001E11B1" w:rsidRDefault="00D1307E">
      <w:pPr>
        <w:spacing w:before="240" w:after="240"/>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Las norma</w:t>
      </w:r>
      <w:r>
        <w:rPr>
          <w:rFonts w:ascii="Palatino Linotype" w:eastAsia="Palatino Linotype" w:hAnsi="Palatino Linotype" w:cs="Palatino Linotype"/>
          <w:i/>
        </w:rPr>
        <w:t>s relativas a los derechos humanos se interpretarán de conformidad con esta Constitución y con los tratados internacionales de la materia favoreciendo en todo tiempo a las personas la protección más amplia.</w:t>
      </w:r>
    </w:p>
    <w:p w:rsidR="001E11B1" w:rsidRDefault="00D1307E">
      <w:pPr>
        <w:spacing w:before="240" w:after="240"/>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Todas las autoridades, en el ámbito de sus compet</w:t>
      </w:r>
      <w:r>
        <w:rPr>
          <w:rFonts w:ascii="Palatino Linotype" w:eastAsia="Palatino Linotype" w:hAnsi="Palatino Linotype" w:cs="Palatino Linotype"/>
          <w:i/>
        </w:rPr>
        <w:t>encias, tienen la obligación de promover, respetar, proteger y garantizar los derechos humanos de conformidad con los principios de universalidad, interdependencia, indivisibilidad y progresividad. En consecuencia, el Estado deberá prevenir, investigar, sa</w:t>
      </w:r>
      <w:r>
        <w:rPr>
          <w:rFonts w:ascii="Palatino Linotype" w:eastAsia="Palatino Linotype" w:hAnsi="Palatino Linotype" w:cs="Palatino Linotype"/>
          <w:i/>
        </w:rPr>
        <w:t>ncionar y reparar las violaciones a los derechos humanos, en los términos que establezca la ley."(Sic)</w:t>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sz w:val="24"/>
          <w:szCs w:val="24"/>
        </w:rPr>
        <w:t>derecho fundamental exime</w:t>
      </w:r>
      <w:r>
        <w:rPr>
          <w:rFonts w:ascii="Palatino Linotype" w:eastAsia="Palatino Linotype" w:hAnsi="Palatino Linotype" w:cs="Palatino Linotype"/>
          <w:i/>
          <w:sz w:val="24"/>
          <w:szCs w:val="24"/>
        </w:rPr>
        <w:t xml:space="preserve"> a quien lo ejerce</w:t>
      </w:r>
      <w:r>
        <w:rPr>
          <w:rFonts w:ascii="Palatino Linotype" w:eastAsia="Palatino Linotype" w:hAnsi="Palatino Linotype" w:cs="Palatino Linotype"/>
          <w:sz w:val="24"/>
          <w:szCs w:val="24"/>
        </w:rPr>
        <w:t>, de acreditar su legitimación en la causa o su interés en el asunto, lo que permite la posibilidad de que, incluso, la solicitud de acceso a la información pueda ser anónima o no contener un nombre que identifique al solicitante o que pe</w:t>
      </w:r>
      <w:r>
        <w:rPr>
          <w:rFonts w:ascii="Palatino Linotype" w:eastAsia="Palatino Linotype" w:hAnsi="Palatino Linotype" w:cs="Palatino Linotype"/>
          <w:sz w:val="24"/>
          <w:szCs w:val="24"/>
        </w:rPr>
        <w:t>rmita tener certeza sobre su identidad.</w:t>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que se fortalece con el Criterio 6/2014 del entonces Instituto Federal de Acceso a la Información y Protección de Datos, ahora Instituto Nacional de Transparencia Acceso a la Información y Protección de Datos Pers</w:t>
      </w:r>
      <w:r>
        <w:rPr>
          <w:rFonts w:ascii="Palatino Linotype" w:eastAsia="Palatino Linotype" w:hAnsi="Palatino Linotype" w:cs="Palatino Linotype"/>
          <w:sz w:val="24"/>
          <w:szCs w:val="24"/>
        </w:rPr>
        <w:t>onales, el cual se reproduce para una mayor referencia:</w:t>
      </w:r>
    </w:p>
    <w:p w:rsidR="001E11B1" w:rsidRDefault="00D1307E">
      <w:pPr>
        <w:spacing w:before="240" w:after="240"/>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“Acceso a información gubernamental. No debe condicionarse a que el solicitante acredite su personalidad, demuestre interés alguno o justifique su utilización. De conformidad con lo dispuesto en los a</w:t>
      </w:r>
      <w:r>
        <w:rPr>
          <w:rFonts w:ascii="Palatino Linotype" w:eastAsia="Palatino Linotype" w:hAnsi="Palatino Linotype" w:cs="Palatino Linotype"/>
          <w:i/>
        </w:rPr>
        <w:t>rtículos 6o., apartado A, fracción III de la Constitución Política de los Estados Unidos Mexicanos, y 1º, 2º, 4º y 40 de la Ley Federal de Transparencia y Acceso a la Información Pública Gubernamental, la respuesta a una solicitud de acceso a información y</w:t>
      </w:r>
      <w:r>
        <w:rPr>
          <w:rFonts w:ascii="Palatino Linotype" w:eastAsia="Palatino Linotype" w:hAnsi="Palatino Linotype" w:cs="Palatino Linotype"/>
          <w:i/>
        </w:rPr>
        <w:t xml:space="preserve"> entrega de la misma, no debe estar condicionada a que el particular acredite su personalidad, demuestre interés alguno o justifique su utilización, en virtud de que los sujetos obligados no deben requerir al solicitante mayores requisitos que los establec</w:t>
      </w:r>
      <w:r>
        <w:rPr>
          <w:rFonts w:ascii="Palatino Linotype" w:eastAsia="Palatino Linotype" w:hAnsi="Palatino Linotype" w:cs="Palatino Linotype"/>
          <w:i/>
        </w:rPr>
        <w:t>idos en la Ley. En este sentido, las dependencias y entidades, sólo deberán asegurarse de que, en su caso, se haya cubierto el pago de reproducción y envío de la información, mediante la exhibición del recibo correspondiente.”(Sic)</w:t>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consecuencia, dado lo</w:t>
      </w:r>
      <w:r>
        <w:rPr>
          <w:rFonts w:ascii="Palatino Linotype" w:eastAsia="Palatino Linotype" w:hAnsi="Palatino Linotype" w:cs="Palatino Linotype"/>
          <w:sz w:val="24"/>
          <w:szCs w:val="24"/>
        </w:rPr>
        <w:t xml:space="preserve"> expuesto y fundado con anterioridad, se estima que el requisito relativo al nombre del recurrente no constituye un presupuesto indispensable de procedibilidad del Recurso de Revisión, en términos de los artículos 25 de la Convención Americana de Derechos </w:t>
      </w:r>
      <w:r>
        <w:rPr>
          <w:rFonts w:ascii="Palatino Linotype" w:eastAsia="Palatino Linotype" w:hAnsi="Palatino Linotype" w:cs="Palatino Linotype"/>
          <w:sz w:val="24"/>
          <w:szCs w:val="24"/>
        </w:rPr>
        <w:t>Humanos, 1, párrafos segundo y tercero, 6 apartado A fracción III de la Constitución Política de los Estados Unidos Mexicanos y 5 párrafo vigésimo noveno de la Constitución Política del Estado Libre y Soberano de México, debido a que el acceso a la informa</w:t>
      </w:r>
      <w:r>
        <w:rPr>
          <w:rFonts w:ascii="Palatino Linotype" w:eastAsia="Palatino Linotype" w:hAnsi="Palatino Linotype" w:cs="Palatino Linotype"/>
          <w:sz w:val="24"/>
          <w:szCs w:val="24"/>
        </w:rPr>
        <w:t>ción pública es un derecho humano que no requiere legitimación en la causa, si no que únicamente basta con que se encuentre legitimado en el procedimiento de Recurso de Revisión, circunstancia que se acredita en las constancias electrónicas de los expedien</w:t>
      </w:r>
      <w:r>
        <w:rPr>
          <w:rFonts w:ascii="Palatino Linotype" w:eastAsia="Palatino Linotype" w:hAnsi="Palatino Linotype" w:cs="Palatino Linotype"/>
          <w:sz w:val="24"/>
          <w:szCs w:val="24"/>
        </w:rPr>
        <w:t>tes en revisión, de las que se desprende que la parte recurrente, es la misma que realizó la solicitud de acceso a la información pública que ahora se impugna.</w:t>
      </w:r>
    </w:p>
    <w:p w:rsidR="001E11B1" w:rsidRDefault="00D1307E">
      <w:pPr>
        <w:spacing w:before="240" w:after="24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Al mismo tiempo, tras la revisión del formato de interposición del recurso, se concluye en la acreditación plena de todos y cada uno de los elementos formales exigidos por el artículo 180 de la Ley de Transparencia y Acceso a la Información Pública del Est</w:t>
      </w:r>
      <w:r>
        <w:rPr>
          <w:rFonts w:ascii="Palatino Linotype" w:eastAsia="Palatino Linotype" w:hAnsi="Palatino Linotype" w:cs="Palatino Linotype"/>
          <w:color w:val="000000"/>
          <w:sz w:val="24"/>
          <w:szCs w:val="24"/>
        </w:rPr>
        <w:t>ado de México y Municipios, toda vez que fue ingresado a través del SAIMEX.</w:t>
      </w:r>
    </w:p>
    <w:p w:rsidR="001E11B1" w:rsidRDefault="00D1307E">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Ahora bien, resulta procedente la interposición del recurso revisión, según lo aducido por el recurrente en su acto impugnado como en sus motivos de inconformidad, de acuerdo al ar</w:t>
      </w:r>
      <w:r>
        <w:rPr>
          <w:rFonts w:ascii="Palatino Linotype" w:eastAsia="Palatino Linotype" w:hAnsi="Palatino Linotype" w:cs="Palatino Linotype"/>
          <w:color w:val="000000"/>
          <w:sz w:val="24"/>
          <w:szCs w:val="24"/>
        </w:rPr>
        <w:t>tículo 179 fracción I de la Ley de Transparencia y Acceso a la Información Pública del Estado de México y Municipios; que a la letra dice:</w:t>
      </w:r>
    </w:p>
    <w:p w:rsidR="001E11B1" w:rsidRDefault="00D1307E">
      <w:pPr>
        <w:pBdr>
          <w:top w:val="nil"/>
          <w:left w:val="nil"/>
          <w:bottom w:val="nil"/>
          <w:right w:val="nil"/>
          <w:between w:val="nil"/>
        </w:pBdr>
        <w:spacing w:before="240" w:after="240"/>
        <w:ind w:left="992" w:right="1043"/>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179</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El recurso de revisión</w:t>
      </w:r>
      <w:r>
        <w:rPr>
          <w:rFonts w:ascii="Palatino Linotype" w:eastAsia="Palatino Linotype" w:hAnsi="Palatino Linotype" w:cs="Palatino Linotype"/>
          <w:i/>
          <w:color w:val="000000"/>
        </w:rPr>
        <w:t xml:space="preserve"> es un medio de protección que la Ley otorga a los particulares, para hacer vale</w:t>
      </w:r>
      <w:r>
        <w:rPr>
          <w:rFonts w:ascii="Palatino Linotype" w:eastAsia="Palatino Linotype" w:hAnsi="Palatino Linotype" w:cs="Palatino Linotype"/>
          <w:i/>
          <w:color w:val="000000"/>
        </w:rPr>
        <w:t>r su derecho de acceso a la información pública</w:t>
      </w:r>
      <w:r>
        <w:rPr>
          <w:rFonts w:ascii="Palatino Linotype" w:eastAsia="Palatino Linotype" w:hAnsi="Palatino Linotype" w:cs="Palatino Linotype"/>
          <w:b/>
          <w:i/>
          <w:color w:val="000000"/>
        </w:rPr>
        <w:t>, y procederá en contra de las siguientes causas</w:t>
      </w:r>
      <w:r>
        <w:rPr>
          <w:rFonts w:ascii="Palatino Linotype" w:eastAsia="Palatino Linotype" w:hAnsi="Palatino Linotype" w:cs="Palatino Linotype"/>
          <w:i/>
          <w:color w:val="000000"/>
        </w:rPr>
        <w:t>:</w:t>
      </w:r>
    </w:p>
    <w:p w:rsidR="001E11B1" w:rsidRDefault="00D1307E">
      <w:pPr>
        <w:pBdr>
          <w:top w:val="nil"/>
          <w:left w:val="nil"/>
          <w:bottom w:val="nil"/>
          <w:right w:val="nil"/>
          <w:between w:val="nil"/>
        </w:pBdr>
        <w:spacing w:before="240" w:after="240"/>
        <w:ind w:left="992" w:right="1043"/>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4"/>
          <w:szCs w:val="24"/>
        </w:rPr>
        <w:t>I</w:t>
      </w:r>
      <w:r>
        <w:rPr>
          <w:rFonts w:ascii="Palatino Linotype" w:eastAsia="Palatino Linotype" w:hAnsi="Palatino Linotype" w:cs="Palatino Linotype"/>
          <w:i/>
        </w:rPr>
        <w:t>. La negativa a la información solicitada;</w:t>
      </w:r>
      <w:r>
        <w:rPr>
          <w:rFonts w:ascii="Palatino Linotype" w:eastAsia="Palatino Linotype" w:hAnsi="Palatino Linotype" w:cs="Palatino Linotype"/>
          <w:i/>
          <w:color w:val="000000"/>
        </w:rPr>
        <w:t>…” (Sic)</w:t>
      </w:r>
    </w:p>
    <w:p w:rsidR="001E11B1" w:rsidRDefault="00D1307E">
      <w:pPr>
        <w:spacing w:before="240"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b/>
          <w:sz w:val="28"/>
          <w:szCs w:val="28"/>
        </w:rPr>
        <w:t>TERCERO. MATERIA DE LA REVISIÓN</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rPr>
        <w:t xml:space="preserve">Materia de Revisión: Con base en las constancias que obran en el expediente que se actúa, este Instituto tiene la convicción de que la presente resolución tiene como objetivo central determinar si la respuesta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es corre</w:t>
      </w:r>
      <w:r>
        <w:rPr>
          <w:rFonts w:ascii="Palatino Linotype" w:eastAsia="Palatino Linotype" w:hAnsi="Palatino Linotype" w:cs="Palatino Linotype"/>
        </w:rPr>
        <w:t>cta y suficiente para tener por atendida la solicitud de acceso a la información.</w:t>
      </w:r>
    </w:p>
    <w:p w:rsidR="001E11B1" w:rsidRDefault="00D1307E">
      <w:pPr>
        <w:spacing w:before="120" w:after="12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lastRenderedPageBreak/>
        <w:t>CUARTO.</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b/>
          <w:sz w:val="28"/>
          <w:szCs w:val="28"/>
        </w:rPr>
        <w:t xml:space="preserve">ESTUDIO Y RESOLUCIÓN DEL ASUNTO. </w:t>
      </w:r>
      <w:r>
        <w:rPr>
          <w:rFonts w:ascii="Palatino Linotype" w:eastAsia="Palatino Linotype" w:hAnsi="Palatino Linotype" w:cs="Palatino Linotype"/>
          <w:sz w:val="24"/>
          <w:szCs w:val="24"/>
        </w:rPr>
        <w:t xml:space="preserve">Así, tenemos en un primer plano de estudio el texto de la solicitud de información, plasmada por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ello a efecto de pode</w:t>
      </w:r>
      <w:r>
        <w:rPr>
          <w:rFonts w:ascii="Palatino Linotype" w:eastAsia="Palatino Linotype" w:hAnsi="Palatino Linotype" w:cs="Palatino Linotype"/>
          <w:sz w:val="24"/>
          <w:szCs w:val="24"/>
        </w:rPr>
        <w:t>r determinar la materia de la solicitud de información que nos ocupa, así el particular requiere lo siguiente:</w:t>
      </w:r>
    </w:p>
    <w:p w:rsidR="001E11B1" w:rsidRDefault="00D1307E">
      <w:pPr>
        <w:spacing w:before="120" w:after="12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los integrantes del pleno del INFOEM:</w:t>
      </w:r>
    </w:p>
    <w:p w:rsidR="001E11B1" w:rsidRDefault="00D1307E">
      <w:pPr>
        <w:numPr>
          <w:ilvl w:val="0"/>
          <w:numId w:val="1"/>
        </w:numPr>
        <w:pBdr>
          <w:top w:val="nil"/>
          <w:left w:val="nil"/>
          <w:bottom w:val="nil"/>
          <w:right w:val="nil"/>
          <w:between w:val="nil"/>
        </w:pBdr>
        <w:spacing w:before="120" w:after="12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Curriculum </w:t>
      </w:r>
    </w:p>
    <w:p w:rsidR="001E11B1" w:rsidRDefault="00D1307E">
      <w:pPr>
        <w:numPr>
          <w:ilvl w:val="0"/>
          <w:numId w:val="1"/>
        </w:numPr>
        <w:pBdr>
          <w:top w:val="nil"/>
          <w:left w:val="nil"/>
          <w:bottom w:val="nil"/>
          <w:right w:val="nil"/>
          <w:between w:val="nil"/>
        </w:pBdr>
        <w:spacing w:before="120" w:after="12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Como fueron seleccionados y lista de aspirantes que hubo.</w:t>
      </w:r>
    </w:p>
    <w:p w:rsidR="001E11B1" w:rsidRDefault="00D1307E">
      <w:pPr>
        <w:numPr>
          <w:ilvl w:val="0"/>
          <w:numId w:val="1"/>
        </w:numPr>
        <w:pBdr>
          <w:top w:val="nil"/>
          <w:left w:val="nil"/>
          <w:bottom w:val="nil"/>
          <w:right w:val="nil"/>
          <w:between w:val="nil"/>
        </w:pBdr>
        <w:spacing w:before="120" w:after="12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El sueldo que perciben mensualmente bruto.</w:t>
      </w:r>
    </w:p>
    <w:p w:rsidR="001E11B1" w:rsidRDefault="00D1307E">
      <w:pPr>
        <w:numPr>
          <w:ilvl w:val="0"/>
          <w:numId w:val="1"/>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 cuentan con chofer y vehículo oficial y cuánto les dan de gasolina.</w:t>
      </w:r>
    </w:p>
    <w:p w:rsidR="001E11B1" w:rsidRDefault="00D1307E">
      <w:pPr>
        <w:numPr>
          <w:ilvl w:val="0"/>
          <w:numId w:val="1"/>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Facturas de los servicios desde que fue contratado hasta la fecha de la seguridad privada en el INFOEM por parte del CUSAEM.</w:t>
      </w:r>
    </w:p>
    <w:p w:rsidR="001E11B1" w:rsidRDefault="00D1307E">
      <w:pPr>
        <w:numPr>
          <w:ilvl w:val="0"/>
          <w:numId w:val="1"/>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Expedientes clasi</w:t>
      </w:r>
      <w:r>
        <w:rPr>
          <w:rFonts w:ascii="Palatino Linotype" w:eastAsia="Palatino Linotype" w:hAnsi="Palatino Linotype" w:cs="Palatino Linotype"/>
          <w:color w:val="000000"/>
          <w:sz w:val="24"/>
          <w:szCs w:val="24"/>
        </w:rPr>
        <w:t>ficados y reservados que tiene el INFOEM.</w:t>
      </w:r>
    </w:p>
    <w:p w:rsidR="001E11B1" w:rsidRDefault="00D1307E">
      <w:pPr>
        <w:numPr>
          <w:ilvl w:val="0"/>
          <w:numId w:val="1"/>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Creación de este instituto y que fin tiene.</w:t>
      </w:r>
    </w:p>
    <w:p w:rsidR="001E11B1" w:rsidRDefault="001E11B1">
      <w:pPr>
        <w:pBdr>
          <w:top w:val="nil"/>
          <w:left w:val="nil"/>
          <w:bottom w:val="nil"/>
          <w:right w:val="nil"/>
          <w:between w:val="nil"/>
        </w:pBdr>
        <w:spacing w:before="240" w:after="240" w:line="240" w:lineRule="auto"/>
        <w:ind w:left="708"/>
        <w:rPr>
          <w:rFonts w:ascii="Palatino Linotype" w:eastAsia="Palatino Linotype" w:hAnsi="Palatino Linotype" w:cs="Palatino Linotype"/>
          <w:strike/>
          <w:color w:val="FF0000"/>
          <w:sz w:val="24"/>
          <w:szCs w:val="24"/>
        </w:rPr>
      </w:pPr>
    </w:p>
    <w:p w:rsidR="001E11B1" w:rsidRDefault="00D1307E">
      <w:pPr>
        <w:spacing w:before="240" w:after="240" w:line="360" w:lineRule="auto"/>
        <w:ind w:right="-93"/>
        <w:jc w:val="both"/>
        <w:rPr>
          <w:rFonts w:ascii="Palatino Linotype" w:eastAsia="Palatino Linotype" w:hAnsi="Palatino Linotype" w:cs="Palatino Linotype"/>
          <w:i/>
          <w:sz w:val="24"/>
          <w:szCs w:val="24"/>
        </w:rPr>
      </w:pPr>
      <w:r>
        <w:rPr>
          <w:rFonts w:ascii="Palatino Linotype" w:eastAsia="Palatino Linotype" w:hAnsi="Palatino Linotype" w:cs="Palatino Linotype"/>
          <w:color w:val="000000"/>
          <w:sz w:val="24"/>
          <w:szCs w:val="24"/>
        </w:rPr>
        <w:t>Así mismo</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el Particular en su solicitud de información señaló</w:t>
      </w:r>
      <w:r>
        <w:rPr>
          <w:rFonts w:ascii="Palatino Linotype" w:eastAsia="Palatino Linotype" w:hAnsi="Palatino Linotype" w:cs="Palatino Linotype"/>
          <w:i/>
          <w:color w:val="000000"/>
          <w:sz w:val="24"/>
          <w:szCs w:val="24"/>
        </w:rPr>
        <w:t xml:space="preserve"> (…) DERIVADO A LAS DEFICIENCIAS QUE PRESENTAN Y LA CLARA INEPTITUD QUE TIENEN AL MOMENTO DE RESOLVER,</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i/>
          <w:color w:val="000000"/>
          <w:sz w:val="24"/>
          <w:szCs w:val="24"/>
        </w:rPr>
        <w:t>SI FUE POR DEDASO, COMPADRAZGO, O ALGUN FAVOR POLÍTICO</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i/>
          <w:color w:val="000000"/>
          <w:sz w:val="24"/>
          <w:szCs w:val="24"/>
        </w:rPr>
        <w:t>OR ESTAR EL OJO DEL HURACAN ANTE LA SOCIEDAD YA QUE ES UNA EMPRESA AL SERVICIO DEL SR. ALFREDO DEL MAZO MASA Y SIENDO UN ORGANISMO GARANTE ESTE PERMITIENDO ESTE TIPO DE ACCIONES. …SOLO DA INFORMACIÓ</w:t>
      </w:r>
      <w:r>
        <w:rPr>
          <w:rFonts w:ascii="Palatino Linotype" w:eastAsia="Palatino Linotype" w:hAnsi="Palatino Linotype" w:cs="Palatino Linotype"/>
          <w:i/>
          <w:color w:val="000000"/>
          <w:sz w:val="24"/>
          <w:szCs w:val="24"/>
        </w:rPr>
        <w:t xml:space="preserve">N IMCOMPLETO EN MI OPINION </w:t>
      </w:r>
      <w:r>
        <w:rPr>
          <w:rFonts w:ascii="Palatino Linotype" w:eastAsia="Palatino Linotype" w:hAnsi="Palatino Linotype" w:cs="Palatino Linotype"/>
          <w:i/>
          <w:color w:val="000000"/>
          <w:sz w:val="24"/>
          <w:szCs w:val="24"/>
        </w:rPr>
        <w:lastRenderedPageBreak/>
        <w:t>COMO CUIDADADO MIL VECES HUBIERA PREFERIDO EN VEZ DE CREAR ESTE INSTITUTO HUBIERAN DESTINO EL DINERO A RECURSOS EN OBRA PUBLICA, O DESPENSAS DE LO QUE REALMENTE EL ESTADO DE MÉXICO NECESITA NO DE ESTE TIPO DE INSTITUCIONES QUE SO</w:t>
      </w:r>
      <w:r>
        <w:rPr>
          <w:rFonts w:ascii="Palatino Linotype" w:eastAsia="Palatino Linotype" w:hAnsi="Palatino Linotype" w:cs="Palatino Linotype"/>
          <w:i/>
          <w:color w:val="000000"/>
          <w:sz w:val="24"/>
          <w:szCs w:val="24"/>
        </w:rPr>
        <w:t>LO OCUPAN PARA ROBAR O LAVAR DINERO</w:t>
      </w:r>
      <w:r>
        <w:rPr>
          <w:rFonts w:ascii="Palatino Linotype" w:eastAsia="Palatino Linotype" w:hAnsi="Palatino Linotype" w:cs="Palatino Linotype"/>
          <w:i/>
          <w:sz w:val="24"/>
          <w:szCs w:val="24"/>
        </w:rPr>
        <w:t xml:space="preserve"> (Sic)</w:t>
      </w:r>
      <w:r>
        <w:rPr>
          <w:rFonts w:ascii="Palatino Linotype" w:eastAsia="Palatino Linotype" w:hAnsi="Palatino Linotype" w:cs="Palatino Linotype"/>
          <w:sz w:val="24"/>
          <w:szCs w:val="24"/>
        </w:rPr>
        <w:t xml:space="preserve">, respecto de estas manifestaciones es necesario precisar que se trata de aseveraciones personales del ahora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que no encuadra en el derecho de acceso a la información pública, ya que este es aquel en el q</w:t>
      </w:r>
      <w:r>
        <w:rPr>
          <w:rFonts w:ascii="Palatino Linotype" w:eastAsia="Palatino Linotype" w:hAnsi="Palatino Linotype" w:cs="Palatino Linotype"/>
          <w:sz w:val="24"/>
          <w:szCs w:val="24"/>
        </w:rPr>
        <w:t>ue los particulares pueden solicitar información referente a aquellos documentos que en ejercicio de sus atribuciones reflejen la toma de decisiones de los Sujetos Obligados o de aquellos que por cualquier motivo reciban, administren o apliquen recursos pú</w:t>
      </w:r>
      <w:r>
        <w:rPr>
          <w:rFonts w:ascii="Palatino Linotype" w:eastAsia="Palatino Linotype" w:hAnsi="Palatino Linotype" w:cs="Palatino Linotype"/>
          <w:sz w:val="24"/>
          <w:szCs w:val="24"/>
        </w:rPr>
        <w:t xml:space="preserve">blicos, previsto en el artículo 6° de la Constitución Política de los Estados Unidos Mexicanos. </w:t>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importante señalar que este Órgano Colegiado, en ejercicio de las atribuciones conferidas en la Ley de Transparencia y Acceso a la Información Pública d</w:t>
      </w:r>
      <w:r>
        <w:rPr>
          <w:rFonts w:ascii="Palatino Linotype" w:eastAsia="Palatino Linotype" w:hAnsi="Palatino Linotype" w:cs="Palatino Linotype"/>
          <w:sz w:val="24"/>
          <w:szCs w:val="24"/>
        </w:rPr>
        <w:t xml:space="preserve">el Estado de México y Municipios y de los principios rectores de la función garante en términos de lo dispuesto en las fracciones IV y VI del artículo 9 del mismo ordenamiento legal, se conmina a este Resolutor a apegarse a los principios de imparcialidad </w:t>
      </w:r>
      <w:r>
        <w:rPr>
          <w:rFonts w:ascii="Palatino Linotype" w:eastAsia="Palatino Linotype" w:hAnsi="Palatino Linotype" w:cs="Palatino Linotype"/>
          <w:sz w:val="24"/>
          <w:szCs w:val="24"/>
        </w:rPr>
        <w:t>y legalidad, el primero de ellos consistente en una cualidad de ésta Autoridad para que sus actuaciones sean ajenas o extrañas a los intereses de las partes en la controversia resolviendo sin favorecer a ninguna de ellas y el segundo de ellos la obligación</w:t>
      </w:r>
      <w:r>
        <w:rPr>
          <w:rFonts w:ascii="Palatino Linotype" w:eastAsia="Palatino Linotype" w:hAnsi="Palatino Linotype" w:cs="Palatino Linotype"/>
          <w:sz w:val="24"/>
          <w:szCs w:val="24"/>
        </w:rPr>
        <w:t xml:space="preserve"> de ajustar su actuación fundando y motivando las resoluciones y actos en las normas aplicables.</w:t>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Por lo que, dichas manifestaciones son de índole subjetivas y se constituyen como opiniones meramente personales, que no pueden ser atendidas conforme a la mat</w:t>
      </w:r>
      <w:r>
        <w:rPr>
          <w:rFonts w:ascii="Palatino Linotype" w:eastAsia="Palatino Linotype" w:hAnsi="Palatino Linotype" w:cs="Palatino Linotype"/>
          <w:sz w:val="24"/>
          <w:szCs w:val="24"/>
        </w:rPr>
        <w:t>eria de transparencia o acceso a la información pública, pues ya que se tratan de afirmaciones personales del Particular, motivo por el cual, este Órgano Garante reitera que dichas manifestaciones no son susceptibles de ser tomadas en consideración, toda v</w:t>
      </w:r>
      <w:r>
        <w:rPr>
          <w:rFonts w:ascii="Palatino Linotype" w:eastAsia="Palatino Linotype" w:hAnsi="Palatino Linotype" w:cs="Palatino Linotype"/>
          <w:sz w:val="24"/>
          <w:szCs w:val="24"/>
        </w:rPr>
        <w:t>ez que, no constituyen el ejercicio de un derecho de acceso a la información pública, sino más bien el ejercicio de un derecho de expresión, cuya finalidad consiste en dar mayor énfasis a sus motivos de inconformidad, en este sentido, se trata de manifesta</w:t>
      </w:r>
      <w:r>
        <w:rPr>
          <w:rFonts w:ascii="Palatino Linotype" w:eastAsia="Palatino Linotype" w:hAnsi="Palatino Linotype" w:cs="Palatino Linotype"/>
          <w:sz w:val="24"/>
          <w:szCs w:val="24"/>
        </w:rPr>
        <w:t>ciones sobre las cuales este Instituto no está facultado para pronunciarse.</w:t>
      </w:r>
    </w:p>
    <w:p w:rsidR="001E11B1" w:rsidRDefault="00D1307E">
      <w:pPr>
        <w:pBdr>
          <w:top w:val="nil"/>
          <w:left w:val="nil"/>
          <w:bottom w:val="nil"/>
          <w:right w:val="nil"/>
          <w:between w:val="nil"/>
        </w:pBdr>
        <w:tabs>
          <w:tab w:val="left" w:pos="426"/>
        </w:tabs>
        <w:spacing w:before="24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Ahora, con la finalidad de ilustrar el asunto que se resuelve en la presente resolución, resulta conveniente precisar la solicitud de información y la respuesta, para verificar la procedencia de las razones o motivos de inconformidad expuestos por el parti</w:t>
      </w:r>
      <w:r>
        <w:rPr>
          <w:rFonts w:ascii="Palatino Linotype" w:eastAsia="Palatino Linotype" w:hAnsi="Palatino Linotype" w:cs="Palatino Linotype"/>
          <w:color w:val="000000"/>
          <w:sz w:val="24"/>
          <w:szCs w:val="24"/>
        </w:rPr>
        <w:t>cular.</w:t>
      </w:r>
    </w:p>
    <w:p w:rsidR="001E11B1" w:rsidRDefault="00D1307E">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 xml:space="preserve">Bajo ese contexto, el Pleno de este Instituto considera necesario mencionar que, por cuestiones de técnica jurídica, así como para determinar si las respuestas emitidas por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atendieron de manera puntual a todos y cada uno de los re</w:t>
      </w:r>
      <w:r>
        <w:rPr>
          <w:rFonts w:ascii="Palatino Linotype" w:eastAsia="Palatino Linotype" w:hAnsi="Palatino Linotype" w:cs="Palatino Linotype"/>
          <w:color w:val="000000"/>
          <w:sz w:val="24"/>
          <w:szCs w:val="24"/>
        </w:rPr>
        <w:t xml:space="preserve">querimientos formulados por el hoy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se considera pertinente el análisis de cada uno de los puntos de la solicitud de información y la respuesta brindada a cada uno de ellos por parte del </w:t>
      </w:r>
      <w:r>
        <w:rPr>
          <w:rFonts w:ascii="Palatino Linotype" w:eastAsia="Palatino Linotype" w:hAnsi="Palatino Linotype" w:cs="Palatino Linotype"/>
          <w:b/>
          <w:color w:val="000000"/>
          <w:sz w:val="24"/>
          <w:szCs w:val="24"/>
        </w:rPr>
        <w:t xml:space="preserve">SUJETO OBLIGADO. </w:t>
      </w:r>
    </w:p>
    <w:p w:rsidR="001E11B1" w:rsidRDefault="00D1307E">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1. Respecto al curriculum de las y los C</w:t>
      </w:r>
      <w:r>
        <w:rPr>
          <w:rFonts w:ascii="Palatino Linotype" w:eastAsia="Palatino Linotype" w:hAnsi="Palatino Linotype" w:cs="Palatino Linotype"/>
          <w:b/>
          <w:color w:val="000000"/>
          <w:sz w:val="24"/>
          <w:szCs w:val="24"/>
        </w:rPr>
        <w:t xml:space="preserve">omisionados del Pleno del INFOEM </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2"/>
        <w:gridCol w:w="2853"/>
        <w:gridCol w:w="2853"/>
      </w:tblGrid>
      <w:tr w:rsidR="001E11B1">
        <w:tc>
          <w:tcPr>
            <w:tcW w:w="3122" w:type="dxa"/>
            <w:shd w:val="clear" w:color="auto" w:fill="BFBFBF"/>
          </w:tcPr>
          <w:p w:rsidR="001E11B1" w:rsidRDefault="00D1307E">
            <w:pPr>
              <w:spacing w:before="240" w:after="240"/>
              <w:ind w:firstLine="114"/>
              <w:jc w:val="center"/>
              <w:rPr>
                <w:rFonts w:ascii="Palatino Linotype" w:eastAsia="Palatino Linotype" w:hAnsi="Palatino Linotype" w:cs="Palatino Linotype"/>
                <w:b/>
                <w:i/>
                <w:sz w:val="18"/>
                <w:szCs w:val="18"/>
              </w:rPr>
            </w:pPr>
            <w:r>
              <w:rPr>
                <w:rFonts w:ascii="Palatino Linotype" w:eastAsia="Palatino Linotype" w:hAnsi="Palatino Linotype" w:cs="Palatino Linotype"/>
                <w:b/>
                <w:i/>
                <w:sz w:val="18"/>
                <w:szCs w:val="18"/>
              </w:rPr>
              <w:lastRenderedPageBreak/>
              <w:t>Información requerida.</w:t>
            </w:r>
          </w:p>
        </w:tc>
        <w:tc>
          <w:tcPr>
            <w:tcW w:w="2853" w:type="dxa"/>
            <w:shd w:val="clear" w:color="auto" w:fill="BFBFBF"/>
          </w:tcPr>
          <w:p w:rsidR="001E11B1" w:rsidRDefault="00D1307E">
            <w:pPr>
              <w:spacing w:before="240" w:after="240"/>
              <w:ind w:firstLine="114"/>
              <w:jc w:val="center"/>
              <w:rPr>
                <w:rFonts w:ascii="Palatino Linotype" w:eastAsia="Palatino Linotype" w:hAnsi="Palatino Linotype" w:cs="Palatino Linotype"/>
                <w:b/>
                <w:i/>
                <w:sz w:val="18"/>
                <w:szCs w:val="18"/>
              </w:rPr>
            </w:pPr>
            <w:r>
              <w:rPr>
                <w:rFonts w:ascii="Palatino Linotype" w:eastAsia="Palatino Linotype" w:hAnsi="Palatino Linotype" w:cs="Palatino Linotype"/>
                <w:b/>
                <w:i/>
                <w:sz w:val="18"/>
                <w:szCs w:val="18"/>
              </w:rPr>
              <w:t>Respuesta</w:t>
            </w:r>
          </w:p>
        </w:tc>
        <w:tc>
          <w:tcPr>
            <w:tcW w:w="2853" w:type="dxa"/>
            <w:shd w:val="clear" w:color="auto" w:fill="BFBFBF"/>
          </w:tcPr>
          <w:p w:rsidR="001E11B1" w:rsidRDefault="00D1307E">
            <w:pPr>
              <w:spacing w:before="240" w:after="240"/>
              <w:ind w:firstLine="114"/>
              <w:jc w:val="center"/>
              <w:rPr>
                <w:rFonts w:ascii="Palatino Linotype" w:eastAsia="Palatino Linotype" w:hAnsi="Palatino Linotype" w:cs="Palatino Linotype"/>
                <w:b/>
                <w:i/>
                <w:sz w:val="18"/>
                <w:szCs w:val="18"/>
              </w:rPr>
            </w:pPr>
            <w:r>
              <w:rPr>
                <w:rFonts w:ascii="Palatino Linotype" w:eastAsia="Palatino Linotype" w:hAnsi="Palatino Linotype" w:cs="Palatino Linotype"/>
                <w:b/>
                <w:i/>
                <w:sz w:val="18"/>
                <w:szCs w:val="18"/>
              </w:rPr>
              <w:t>Informe Justificado</w:t>
            </w:r>
          </w:p>
        </w:tc>
      </w:tr>
      <w:tr w:rsidR="001E11B1">
        <w:tc>
          <w:tcPr>
            <w:tcW w:w="3122" w:type="dxa"/>
          </w:tcPr>
          <w:p w:rsidR="001E11B1" w:rsidRDefault="00D1307E">
            <w:pPr>
              <w:spacing w:before="240" w:after="240"/>
              <w:jc w:val="both"/>
              <w:rPr>
                <w:rFonts w:ascii="Palatino Linotype" w:eastAsia="Palatino Linotype" w:hAnsi="Palatino Linotype" w:cs="Palatino Linotype"/>
                <w:i/>
                <w:sz w:val="18"/>
                <w:szCs w:val="18"/>
              </w:rPr>
            </w:pPr>
            <w:r>
              <w:rPr>
                <w:rFonts w:ascii="Palatino Linotype" w:eastAsia="Palatino Linotype" w:hAnsi="Palatino Linotype" w:cs="Palatino Linotype"/>
                <w:color w:val="000000"/>
                <w:sz w:val="18"/>
                <w:szCs w:val="18"/>
              </w:rPr>
              <w:t>1. Curriculum de los nuevos integrantes del pleno del INFOEM.</w:t>
            </w:r>
          </w:p>
        </w:tc>
        <w:tc>
          <w:tcPr>
            <w:tcW w:w="2853" w:type="dxa"/>
          </w:tcPr>
          <w:p w:rsidR="001E11B1" w:rsidRDefault="00D1307E">
            <w:pPr>
              <w:spacing w:before="240" w:after="240"/>
              <w:jc w:val="both"/>
              <w:rPr>
                <w:rFonts w:ascii="Palatino Linotype" w:eastAsia="Palatino Linotype" w:hAnsi="Palatino Linotype" w:cs="Palatino Linotype"/>
                <w:b/>
                <w:sz w:val="18"/>
                <w:szCs w:val="18"/>
              </w:rPr>
            </w:pPr>
            <w:r>
              <w:rPr>
                <w:rFonts w:ascii="Palatino Linotype" w:eastAsia="Palatino Linotype" w:hAnsi="Palatino Linotype" w:cs="Palatino Linotype"/>
                <w:sz w:val="18"/>
                <w:szCs w:val="18"/>
              </w:rPr>
              <w:t xml:space="preserve">El </w:t>
            </w:r>
            <w:r>
              <w:rPr>
                <w:rFonts w:ascii="Palatino Linotype" w:eastAsia="Palatino Linotype" w:hAnsi="Palatino Linotype" w:cs="Palatino Linotype"/>
                <w:b/>
                <w:sz w:val="18"/>
                <w:szCs w:val="18"/>
              </w:rPr>
              <w:t xml:space="preserve">SUJETO OBLIGADO </w:t>
            </w:r>
            <w:r>
              <w:rPr>
                <w:rFonts w:ascii="Palatino Linotype" w:eastAsia="Palatino Linotype" w:hAnsi="Palatino Linotype" w:cs="Palatino Linotype"/>
                <w:sz w:val="18"/>
                <w:szCs w:val="18"/>
              </w:rPr>
              <w:t>remitió en archivo adjunto el curriculum vitae de las y los comisionados del INFOEM</w:t>
            </w:r>
            <w:r>
              <w:rPr>
                <w:rFonts w:ascii="Palatino Linotype" w:eastAsia="Palatino Linotype" w:hAnsi="Palatino Linotype" w:cs="Palatino Linotype"/>
                <w:b/>
                <w:sz w:val="18"/>
                <w:szCs w:val="18"/>
              </w:rPr>
              <w:t xml:space="preserve">. </w:t>
            </w:r>
          </w:p>
          <w:p w:rsidR="001E11B1" w:rsidRDefault="00D1307E">
            <w:pPr>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José Martínez Vilchis</w:t>
            </w:r>
          </w:p>
          <w:p w:rsidR="001E11B1" w:rsidRDefault="00D1307E">
            <w:pPr>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María del Rosario Mejía Ayala</w:t>
            </w:r>
          </w:p>
          <w:p w:rsidR="001E11B1" w:rsidRDefault="00D1307E">
            <w:pPr>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Sharon Cristina Morales Martínez </w:t>
            </w:r>
          </w:p>
          <w:p w:rsidR="001E11B1" w:rsidRDefault="00D1307E">
            <w:pPr>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Luis Gustavo Parra Noriega</w:t>
            </w:r>
          </w:p>
          <w:p w:rsidR="001E11B1" w:rsidRDefault="00D1307E">
            <w:pPr>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Guadalupe Ramírez Peña</w:t>
            </w:r>
          </w:p>
        </w:tc>
        <w:tc>
          <w:tcPr>
            <w:tcW w:w="2853" w:type="dxa"/>
          </w:tcPr>
          <w:p w:rsidR="001E11B1" w:rsidRDefault="00D1307E">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puso a disposición del particular los currículums de las y los Comisionados que integran el Pleno del Instituto de Tr</w:t>
            </w:r>
            <w:r>
              <w:rPr>
                <w:rFonts w:ascii="Palatino Linotype" w:eastAsia="Palatino Linotype" w:hAnsi="Palatino Linotype" w:cs="Palatino Linotype"/>
                <w:sz w:val="18"/>
                <w:szCs w:val="18"/>
              </w:rPr>
              <w:t xml:space="preserve">ansparencia. </w:t>
            </w:r>
          </w:p>
        </w:tc>
      </w:tr>
    </w:tbl>
    <w:p w:rsidR="001E11B1" w:rsidRDefault="00D1307E">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Se inserta uno de los documentos a manera de ejemplo:</w:t>
      </w:r>
    </w:p>
    <w:p w:rsidR="001E11B1" w:rsidRDefault="00D1307E">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678259" cy="4653359"/>
            <wp:effectExtent l="0" t="0" r="0" b="0"/>
            <wp:docPr id="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78259" cy="4653359"/>
                    </a:xfrm>
                    <a:prstGeom prst="rect">
                      <a:avLst/>
                    </a:prstGeom>
                    <a:ln/>
                  </pic:spPr>
                </pic:pic>
              </a:graphicData>
            </a:graphic>
          </wp:inline>
        </w:drawing>
      </w:r>
    </w:p>
    <w:p w:rsidR="001E11B1" w:rsidRDefault="00D1307E">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665342" cy="6287025"/>
            <wp:effectExtent l="0" t="0" r="0" b="0"/>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65342" cy="6287025"/>
                    </a:xfrm>
                    <a:prstGeom prst="rect">
                      <a:avLst/>
                    </a:prstGeom>
                    <a:ln/>
                  </pic:spPr>
                </pic:pic>
              </a:graphicData>
            </a:graphic>
          </wp:inline>
        </w:drawing>
      </w:r>
      <w:r>
        <w:rPr>
          <w:rFonts w:ascii="Palatino Linotype" w:eastAsia="Palatino Linotype" w:hAnsi="Palatino Linotype" w:cs="Palatino Linotype"/>
          <w:color w:val="000000"/>
          <w:sz w:val="24"/>
          <w:szCs w:val="24"/>
        </w:rPr>
        <w:t xml:space="preserve"> </w:t>
      </w:r>
    </w:p>
    <w:p w:rsidR="001E11B1" w:rsidRDefault="001E11B1">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p>
    <w:p w:rsidR="001E11B1" w:rsidRDefault="00D1307E">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Respecto a este punto de la solicitud de información, es de señalar que el curriculum es el documento que las personas elaboran con los datos principalmente de preparación académica y experiencia profesional con la finalidad de presentarlo ante un posible </w:t>
      </w:r>
      <w:r>
        <w:rPr>
          <w:rFonts w:ascii="Palatino Linotype" w:eastAsia="Palatino Linotype" w:hAnsi="Palatino Linotype" w:cs="Palatino Linotype"/>
          <w:color w:val="000000"/>
          <w:sz w:val="24"/>
          <w:szCs w:val="24"/>
        </w:rPr>
        <w:t xml:space="preserve">empleador, por lo que, dicho documento permite identificar el nivel de conocimiento de su titular, su perfil profesional y/o laboral. </w:t>
      </w:r>
    </w:p>
    <w:p w:rsidR="001E11B1" w:rsidRDefault="00D1307E">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ese orden de ideas, si bien, el documento referido es elaborado por cada persona sin ninguna validez oficial, también </w:t>
      </w:r>
      <w:r>
        <w:rPr>
          <w:rFonts w:ascii="Palatino Linotype" w:eastAsia="Palatino Linotype" w:hAnsi="Palatino Linotype" w:cs="Palatino Linotype"/>
          <w:color w:val="000000"/>
          <w:sz w:val="24"/>
          <w:szCs w:val="24"/>
        </w:rPr>
        <w:t>lo es que como se mencionó, este tiene como objetivo que las personas conozcan la trayectoria de quien lo presenta, situación que toma mayor relevancia al tratarse de aquel que ostenta un cargo en la administración; por lo que, existe un interés público pa</w:t>
      </w:r>
      <w:r>
        <w:rPr>
          <w:rFonts w:ascii="Palatino Linotype" w:eastAsia="Palatino Linotype" w:hAnsi="Palatino Linotype" w:cs="Palatino Linotype"/>
          <w:color w:val="000000"/>
          <w:sz w:val="24"/>
          <w:szCs w:val="24"/>
        </w:rPr>
        <w:t xml:space="preserve">ra dar a conocer su contenido, pues transparenta que el personal que labora para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cuenta con las capacidades, conocimientos y experiencia necesaria para el cabal cumplimiento de sus funciones. </w:t>
      </w:r>
    </w:p>
    <w:p w:rsidR="001E11B1" w:rsidRDefault="00D1307E">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Es por lo anterior que el artículo 92, fracción XXI de la Ley de Transparencia y Acceso a la Información Pública del Estado de México y Municipios, establece que la información curricular es considerada como obligación de transparencia también para el Inst</w:t>
      </w:r>
      <w:r>
        <w:rPr>
          <w:rFonts w:ascii="Palatino Linotype" w:eastAsia="Palatino Linotype" w:hAnsi="Palatino Linotype" w:cs="Palatino Linotype"/>
          <w:color w:val="000000"/>
          <w:sz w:val="24"/>
          <w:szCs w:val="24"/>
        </w:rPr>
        <w:t xml:space="preserve">ituto de Transparencia, Acceso a la Información Pública y Protección de Datos Personales del Estado de México y Municipios. </w:t>
      </w:r>
    </w:p>
    <w:p w:rsidR="001E11B1" w:rsidRDefault="00D1307E">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A mayor abundamiento conviene mencionar, el Criterio 03/09 emitido por el Pleno del entonces Instituto Federal de Acceso a la Infor</w:t>
      </w:r>
      <w:r>
        <w:rPr>
          <w:rFonts w:ascii="Palatino Linotype" w:eastAsia="Palatino Linotype" w:hAnsi="Palatino Linotype" w:cs="Palatino Linotype"/>
          <w:color w:val="000000"/>
          <w:sz w:val="24"/>
          <w:szCs w:val="24"/>
        </w:rPr>
        <w:t xml:space="preserve">mación y Protección de Datos establece que: </w:t>
      </w:r>
    </w:p>
    <w:p w:rsidR="001E11B1" w:rsidRDefault="00D1307E">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“Curriculum Vitae de servidores públicos. Es obligación de los sujetos obligados otorgar acceso a versiones públicas de los mismos ante una solicitud de acceso. Uno de los objetivos de la Ley Federal de Transparencia y Acceso a la Información Pública Guber</w:t>
      </w:r>
      <w:r>
        <w:rPr>
          <w:rFonts w:ascii="Palatino Linotype" w:eastAsia="Palatino Linotype" w:hAnsi="Palatino Linotype" w:cs="Palatino Linotype"/>
          <w:i/>
          <w:color w:val="000000"/>
        </w:rPr>
        <w:t xml:space="preserve">namental, de acuerdo con su artículo 4, fracción IV, es favorecer la rendición de cuentas a las personas, de manera que puedan valorar el desempeño de los sujetos obligados. Si bien en el curriculum vitae se describe información de una persona relacionada </w:t>
      </w:r>
      <w:r>
        <w:rPr>
          <w:rFonts w:ascii="Palatino Linotype" w:eastAsia="Palatino Linotype" w:hAnsi="Palatino Linotype" w:cs="Palatino Linotype"/>
          <w:i/>
          <w:color w:val="000000"/>
        </w:rPr>
        <w:t>con su formación académica, trayectoria profesional, datos de contacto, datos biográficos, entre otros, los cuales constituyen datos personales, de acuerdo con lo previsto en el artículo 3, fracción II de la Ley Federal de Transparencia y Acceso a la Infor</w:t>
      </w:r>
      <w:r>
        <w:rPr>
          <w:rFonts w:ascii="Palatino Linotype" w:eastAsia="Palatino Linotype" w:hAnsi="Palatino Linotype" w:cs="Palatino Linotype"/>
          <w:i/>
          <w:color w:val="000000"/>
        </w:rPr>
        <w:t>mación Pública Gubernamental, y en consecuencia, representan información confidencial, en términos de lo establecido en el artículo 18, fracción II de la Ley Federal de Transparencia y Acceso a la Información Pública Gubernamental, tratándose del curriculu</w:t>
      </w:r>
      <w:r>
        <w:rPr>
          <w:rFonts w:ascii="Palatino Linotype" w:eastAsia="Palatino Linotype" w:hAnsi="Palatino Linotype" w:cs="Palatino Linotype"/>
          <w:i/>
          <w:color w:val="000000"/>
        </w:rPr>
        <w:t>m vitae de un servidor público, una de las formas en que los ciudadanos pueden evaluar sus aptitudes para desempeñar el cargo público que le ha sido encomendado, es mediante la publicidad de ciertos datos de los ahí contenidos. En esa tesitura, entre los d</w:t>
      </w:r>
      <w:r>
        <w:rPr>
          <w:rFonts w:ascii="Palatino Linotype" w:eastAsia="Palatino Linotype" w:hAnsi="Palatino Linotype" w:cs="Palatino Linotype"/>
          <w:i/>
          <w:color w:val="000000"/>
        </w:rPr>
        <w:t xml:space="preserve">atos personales del curriculum vitae de un servidor público susceptibles de hacerse del conocimiento público, ante una solicitud de acceso, se encuentran los relativos a su trayectoria académica, profesional, laboral, así como todos aquellos que acrediten </w:t>
      </w:r>
      <w:r>
        <w:rPr>
          <w:rFonts w:ascii="Palatino Linotype" w:eastAsia="Palatino Linotype" w:hAnsi="Palatino Linotype" w:cs="Palatino Linotype"/>
          <w:i/>
          <w:color w:val="000000"/>
        </w:rPr>
        <w:t xml:space="preserve">su capacidad, habilidades o pericia para ocupar el cargo público.” </w:t>
      </w:r>
    </w:p>
    <w:p w:rsidR="001E11B1" w:rsidRDefault="00D1307E">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lo anterior, se desprende que una de las formas en que los ciudadanos pueden evaluar las aptitudes para desempeñar un cargo público determinado, es mediante la </w:t>
      </w:r>
      <w:r>
        <w:rPr>
          <w:rFonts w:ascii="Palatino Linotype" w:eastAsia="Palatino Linotype" w:hAnsi="Palatino Linotype" w:cs="Palatino Linotype"/>
          <w:color w:val="000000"/>
          <w:sz w:val="24"/>
          <w:szCs w:val="24"/>
        </w:rPr>
        <w:lastRenderedPageBreak/>
        <w:t>publicidad de ciertos dat</w:t>
      </w:r>
      <w:r>
        <w:rPr>
          <w:rFonts w:ascii="Palatino Linotype" w:eastAsia="Palatino Linotype" w:hAnsi="Palatino Linotype" w:cs="Palatino Linotype"/>
          <w:color w:val="000000"/>
          <w:sz w:val="24"/>
          <w:szCs w:val="24"/>
        </w:rPr>
        <w:t xml:space="preserve">os contenidos en el currículum vitae, tales como: la trayectoria académica, profesional, laboral, así como todos aquellos que acrediten su capacidad, habilidades y pericia para ocupar el puesto público. Lo anterior, para favorecer la rendición de cuentas, </w:t>
      </w:r>
      <w:r>
        <w:rPr>
          <w:rFonts w:ascii="Palatino Linotype" w:eastAsia="Palatino Linotype" w:hAnsi="Palatino Linotype" w:cs="Palatino Linotype"/>
          <w:color w:val="000000"/>
          <w:sz w:val="24"/>
          <w:szCs w:val="24"/>
        </w:rPr>
        <w:t>pues la publicidad de lo anterior tiene como fin verificar el correcto desempeño de los sujetos obligados.</w:t>
      </w:r>
    </w:p>
    <w:p w:rsidR="001E11B1" w:rsidRDefault="00D1307E">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Conforme a ello, se considera que con la información proporcionada por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en este punto de la solicitud de información se satisface  </w:t>
      </w:r>
      <w:r>
        <w:rPr>
          <w:rFonts w:ascii="Palatino Linotype" w:eastAsia="Palatino Linotype" w:hAnsi="Palatino Linotype" w:cs="Palatino Linotype"/>
          <w:color w:val="000000"/>
          <w:sz w:val="24"/>
          <w:szCs w:val="24"/>
        </w:rPr>
        <w:t xml:space="preserve">la pretensión del ahora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pues como se ha podido advertir en efecto</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proporcionó la información curricular de las y los Comisionados del Instituto de Transparencia, Acceso a la Información y Protección de Datos Personales del Estado de México y Mun</w:t>
      </w:r>
      <w:r>
        <w:rPr>
          <w:rFonts w:ascii="Palatino Linotype" w:eastAsia="Palatino Linotype" w:hAnsi="Palatino Linotype" w:cs="Palatino Linotype"/>
          <w:color w:val="000000"/>
          <w:sz w:val="24"/>
          <w:szCs w:val="24"/>
        </w:rPr>
        <w:t xml:space="preserve">icipios, misma que contiene información de su preparación académica y trayectoria profesional. </w:t>
      </w:r>
    </w:p>
    <w:p w:rsidR="001E11B1" w:rsidRDefault="00D1307E">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2. Respecto al mecanismo de selección de las y los Comisionados del INFOEM</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2"/>
        <w:gridCol w:w="2853"/>
        <w:gridCol w:w="2853"/>
      </w:tblGrid>
      <w:tr w:rsidR="001E11B1">
        <w:tc>
          <w:tcPr>
            <w:tcW w:w="3122" w:type="dxa"/>
            <w:shd w:val="clear" w:color="auto" w:fill="BFBFBF"/>
          </w:tcPr>
          <w:p w:rsidR="001E11B1" w:rsidRDefault="00D1307E">
            <w:pPr>
              <w:spacing w:before="240" w:after="240"/>
              <w:ind w:firstLine="114"/>
              <w:jc w:val="center"/>
              <w:rPr>
                <w:rFonts w:ascii="Palatino Linotype" w:eastAsia="Palatino Linotype" w:hAnsi="Palatino Linotype" w:cs="Palatino Linotype"/>
                <w:b/>
                <w:i/>
                <w:sz w:val="18"/>
                <w:szCs w:val="18"/>
              </w:rPr>
            </w:pPr>
            <w:r>
              <w:rPr>
                <w:rFonts w:ascii="Palatino Linotype" w:eastAsia="Palatino Linotype" w:hAnsi="Palatino Linotype" w:cs="Palatino Linotype"/>
                <w:b/>
                <w:i/>
                <w:sz w:val="18"/>
                <w:szCs w:val="18"/>
              </w:rPr>
              <w:t>Información requerida.</w:t>
            </w:r>
          </w:p>
        </w:tc>
        <w:tc>
          <w:tcPr>
            <w:tcW w:w="2853" w:type="dxa"/>
            <w:shd w:val="clear" w:color="auto" w:fill="BFBFBF"/>
          </w:tcPr>
          <w:p w:rsidR="001E11B1" w:rsidRDefault="00D1307E">
            <w:pPr>
              <w:spacing w:before="240" w:after="240"/>
              <w:ind w:firstLine="114"/>
              <w:jc w:val="center"/>
              <w:rPr>
                <w:rFonts w:ascii="Palatino Linotype" w:eastAsia="Palatino Linotype" w:hAnsi="Palatino Linotype" w:cs="Palatino Linotype"/>
                <w:b/>
                <w:i/>
                <w:sz w:val="18"/>
                <w:szCs w:val="18"/>
              </w:rPr>
            </w:pPr>
            <w:r>
              <w:rPr>
                <w:rFonts w:ascii="Palatino Linotype" w:eastAsia="Palatino Linotype" w:hAnsi="Palatino Linotype" w:cs="Palatino Linotype"/>
                <w:b/>
                <w:i/>
                <w:sz w:val="18"/>
                <w:szCs w:val="18"/>
              </w:rPr>
              <w:t>Respuesta</w:t>
            </w:r>
          </w:p>
        </w:tc>
        <w:tc>
          <w:tcPr>
            <w:tcW w:w="2853" w:type="dxa"/>
            <w:shd w:val="clear" w:color="auto" w:fill="BFBFBF"/>
          </w:tcPr>
          <w:p w:rsidR="001E11B1" w:rsidRDefault="00D1307E">
            <w:pPr>
              <w:spacing w:before="240" w:after="240"/>
              <w:ind w:firstLine="114"/>
              <w:jc w:val="center"/>
              <w:rPr>
                <w:rFonts w:ascii="Palatino Linotype" w:eastAsia="Palatino Linotype" w:hAnsi="Palatino Linotype" w:cs="Palatino Linotype"/>
                <w:b/>
                <w:i/>
                <w:sz w:val="18"/>
                <w:szCs w:val="18"/>
              </w:rPr>
            </w:pPr>
            <w:r>
              <w:rPr>
                <w:rFonts w:ascii="Palatino Linotype" w:eastAsia="Palatino Linotype" w:hAnsi="Palatino Linotype" w:cs="Palatino Linotype"/>
                <w:b/>
                <w:i/>
                <w:sz w:val="18"/>
                <w:szCs w:val="18"/>
              </w:rPr>
              <w:t>Informe Justificado</w:t>
            </w:r>
          </w:p>
        </w:tc>
      </w:tr>
      <w:tr w:rsidR="001E11B1">
        <w:tc>
          <w:tcPr>
            <w:tcW w:w="3122" w:type="dxa"/>
          </w:tcPr>
          <w:p w:rsidR="001E11B1" w:rsidRDefault="00D1307E">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Modo de selección de los Comisionados de y lista de aspirantes.</w:t>
            </w:r>
          </w:p>
        </w:tc>
        <w:tc>
          <w:tcPr>
            <w:tcW w:w="2853" w:type="dxa"/>
          </w:tcPr>
          <w:p w:rsidR="001E11B1" w:rsidRDefault="00D1307E">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remite Gaceta en la que se designan los comisionados y que la información se encuentra en posesión de la Legislatura.</w:t>
            </w:r>
          </w:p>
          <w:p w:rsidR="001E11B1" w:rsidRDefault="00D1307E">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Asimismo, precisa que para la designación de los mismos se estableció u</w:t>
            </w:r>
            <w:r>
              <w:rPr>
                <w:rFonts w:ascii="Palatino Linotype" w:eastAsia="Palatino Linotype" w:hAnsi="Palatino Linotype" w:cs="Palatino Linotype"/>
                <w:sz w:val="18"/>
                <w:szCs w:val="18"/>
              </w:rPr>
              <w:t xml:space="preserve">na convocatoria de fecha 28 de julio de 2021, este con </w:t>
            </w:r>
            <w:r>
              <w:rPr>
                <w:rFonts w:ascii="Palatino Linotype" w:eastAsia="Palatino Linotype" w:hAnsi="Palatino Linotype" w:cs="Palatino Linotype"/>
                <w:sz w:val="18"/>
                <w:szCs w:val="18"/>
              </w:rPr>
              <w:lastRenderedPageBreak/>
              <w:t>el fin de que se pudieran ocupar los cargos de comisionados de este Instituto, para lo cual a través de los requisitos que esta misma establecía se podía aspirar al cargo antes mencionado. (indica dire</w:t>
            </w:r>
            <w:r>
              <w:rPr>
                <w:rFonts w:ascii="Palatino Linotype" w:eastAsia="Palatino Linotype" w:hAnsi="Palatino Linotype" w:cs="Palatino Linotype"/>
                <w:sz w:val="18"/>
                <w:szCs w:val="18"/>
              </w:rPr>
              <w:t xml:space="preserve">cción electrónica) </w:t>
            </w:r>
          </w:p>
          <w:p w:rsidR="001E11B1" w:rsidRDefault="00D1307E">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Que el 20 de agosto, por parte de la Legislatura se emite el decreto por el cual se nombra a las y los Comisionados del Instituto (indica vinculo electrónico) </w:t>
            </w:r>
          </w:p>
          <w:p w:rsidR="001E11B1" w:rsidRDefault="00D1307E">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Que del análisis de la solicitud se le informó al particular que este Instit</w:t>
            </w:r>
            <w:r>
              <w:rPr>
                <w:rFonts w:ascii="Palatino Linotype" w:eastAsia="Palatino Linotype" w:hAnsi="Palatino Linotype" w:cs="Palatino Linotype"/>
                <w:sz w:val="18"/>
                <w:szCs w:val="18"/>
              </w:rPr>
              <w:t xml:space="preserve">uto No es la autoridad competente para entregar la misma ya que podría encontrarse en poder de la Legislatura del Estado de México. </w:t>
            </w:r>
          </w:p>
        </w:tc>
        <w:tc>
          <w:tcPr>
            <w:tcW w:w="2853" w:type="dxa"/>
          </w:tcPr>
          <w:p w:rsidR="001E11B1" w:rsidRDefault="00D1307E">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 xml:space="preserve">Se le informó al particular que la Legislatura del Estado de México, es el Sujeto Obligado para contar con la información, </w:t>
            </w:r>
            <w:r>
              <w:rPr>
                <w:rFonts w:ascii="Palatino Linotype" w:eastAsia="Palatino Linotype" w:hAnsi="Palatino Linotype" w:cs="Palatino Linotype"/>
                <w:sz w:val="18"/>
                <w:szCs w:val="18"/>
              </w:rPr>
              <w:t xml:space="preserve">ya que la selección de las y los Comisionados del INFOEM, es una atribución que se puede vislumbrar de lo previsto en el artículo 30 de la Ley de </w:t>
            </w:r>
            <w:r>
              <w:rPr>
                <w:rFonts w:ascii="Palatino Linotype" w:eastAsia="Palatino Linotype" w:hAnsi="Palatino Linotype" w:cs="Palatino Linotype"/>
                <w:sz w:val="18"/>
                <w:szCs w:val="18"/>
              </w:rPr>
              <w:lastRenderedPageBreak/>
              <w:t>Transparencia, Acceso a la Información Pública del Estado de México y Municipios. De igual manera, se le indic</w:t>
            </w:r>
            <w:r>
              <w:rPr>
                <w:rFonts w:ascii="Palatino Linotype" w:eastAsia="Palatino Linotype" w:hAnsi="Palatino Linotype" w:cs="Palatino Linotype"/>
                <w:sz w:val="18"/>
                <w:szCs w:val="18"/>
              </w:rPr>
              <w:t>ó que para la designación de los actuales Comisionados de este Órgano Garante, se integró de una convocatoria publicada en el Periódico Oficial “Gaceta de Gobierno” del Estado de México, el 28 de julio de 2021, posteriormente que el 20 de agosto de 2021, s</w:t>
            </w:r>
            <w:r>
              <w:rPr>
                <w:rFonts w:ascii="Palatino Linotype" w:eastAsia="Palatino Linotype" w:hAnsi="Palatino Linotype" w:cs="Palatino Linotype"/>
                <w:sz w:val="18"/>
                <w:szCs w:val="18"/>
              </w:rPr>
              <w:t xml:space="preserve">e publicó en el mismo medio oficial, el decreto de las y los Comisionados de este Organismo Garante, indicándole en cada caso las direcciones electrónicas en las que podía consultar directamente los documentos. </w:t>
            </w:r>
          </w:p>
        </w:tc>
      </w:tr>
    </w:tbl>
    <w:p w:rsidR="001E11B1" w:rsidRDefault="00D1307E">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Al respecto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remite en respuesta a la solicitud de información la Gaceta de Gobierno del Estado de México del 20 de agosto de 2021, en la cual se aprueban los nombramientos de las y los Comisionados de este Instituto, precisando que los mismos fueron nombrados de acue</w:t>
      </w:r>
      <w:r>
        <w:rPr>
          <w:rFonts w:ascii="Palatino Linotype" w:eastAsia="Palatino Linotype" w:hAnsi="Palatino Linotype" w:cs="Palatino Linotype"/>
          <w:color w:val="000000"/>
          <w:sz w:val="24"/>
          <w:szCs w:val="24"/>
        </w:rPr>
        <w:t>rdo al proceso al que hace referencia el artículo 30 de la Ley de Transparencia y Acceso a la Información Pública del Estado de México. Asimismo, indicando, las direcciones electrónicas en las que podía ser consultada la información, sin omitir mencionar q</w:t>
      </w:r>
      <w:r>
        <w:rPr>
          <w:rFonts w:ascii="Palatino Linotype" w:eastAsia="Palatino Linotype" w:hAnsi="Palatino Linotype" w:cs="Palatino Linotype"/>
          <w:color w:val="000000"/>
          <w:sz w:val="24"/>
          <w:szCs w:val="24"/>
        </w:rPr>
        <w:t xml:space="preserve">ue no es la autoridad competente, para hacer entrega de dicha información, toda vez que esta podría encontrase en poder de la Legislatura del Estado de México, por lo que orienta al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en cómo utilizar el SAIMEX y solicitar dicha información. </w:t>
      </w:r>
    </w:p>
    <w:p w:rsidR="001E11B1" w:rsidRDefault="00D1307E">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Al respecto es de mencionar que en efecto el artículo 5 fracción VIII de la Constitución Política de los Estados Unidos Mexicanos y el artículo 30 de la Ley de Transparencia y Acceso a la Información Pública del Estado de México y Municipios mencionan que </w:t>
      </w:r>
      <w:r>
        <w:rPr>
          <w:rFonts w:ascii="Palatino Linotype" w:eastAsia="Palatino Linotype" w:hAnsi="Palatino Linotype" w:cs="Palatino Linotype"/>
          <w:color w:val="000000"/>
          <w:sz w:val="24"/>
          <w:szCs w:val="24"/>
        </w:rPr>
        <w:t xml:space="preserve">la Legislatura, previa realización de una consulta a la sociedad, a propuesta de los grupos parlamentarios, con el voto de las dos terceras partes de los miembros presentes, nombrará a la Comisionada o Comisionado, tal como se advierte a continuación: </w:t>
      </w:r>
    </w:p>
    <w:p w:rsidR="001E11B1" w:rsidRDefault="00D1307E">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CON</w:t>
      </w:r>
      <w:r>
        <w:rPr>
          <w:rFonts w:ascii="Palatino Linotype" w:eastAsia="Palatino Linotype" w:hAnsi="Palatino Linotype" w:cs="Palatino Linotype"/>
          <w:b/>
          <w:i/>
          <w:color w:val="000000"/>
        </w:rPr>
        <w:t>STITUCIÓN POLÍTICA DEL ESTADO LIBRE Y SOBERANO DE MÉXICO</w:t>
      </w:r>
    </w:p>
    <w:p w:rsidR="001E11B1" w:rsidRDefault="00D1307E">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Artículo 5.- En el Estado de México todas las personas gozarán de los derechos humanos reconocidos en la Constitución Política de los Estados Unidos Mexicanos, en los tratados internacionales en los </w:t>
      </w:r>
      <w:r>
        <w:rPr>
          <w:rFonts w:ascii="Palatino Linotype" w:eastAsia="Palatino Linotype" w:hAnsi="Palatino Linotype" w:cs="Palatino Linotype"/>
          <w:i/>
          <w:color w:val="000000"/>
        </w:rPr>
        <w:t>que el Estado mexicano sea parte, en esta Constitución y en las leyes que de ésta emanen, por lo que gozarán de las garantías para su protección, las cuales no podrán restringirse ni suspenderse salvo en los casos y bajo las condiciones que la Constitución</w:t>
      </w:r>
      <w:r>
        <w:rPr>
          <w:rFonts w:ascii="Palatino Linotype" w:eastAsia="Palatino Linotype" w:hAnsi="Palatino Linotype" w:cs="Palatino Linotype"/>
          <w:i/>
          <w:color w:val="000000"/>
        </w:rPr>
        <w:t xml:space="preserve"> Política de los Estados Unidos Mexicanos establece.</w:t>
      </w:r>
    </w:p>
    <w:p w:rsidR="001E11B1" w:rsidRDefault="00D1307E">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color w:val="000000"/>
          <w:u w:val="single"/>
        </w:rPr>
      </w:pPr>
      <w:r>
        <w:rPr>
          <w:rFonts w:ascii="Palatino Linotype" w:eastAsia="Palatino Linotype" w:hAnsi="Palatino Linotype" w:cs="Palatino Linotype"/>
          <w:i/>
          <w:color w:val="000000"/>
        </w:rPr>
        <w:t>VIII. El Estado contará con un organismo autónomo, especializado, imparcial, colegiado, con personalidad jurídica y patrimonio propio, con plena autonomía técnica y de gestión, con capacidad para decidir</w:t>
      </w:r>
      <w:r>
        <w:rPr>
          <w:rFonts w:ascii="Palatino Linotype" w:eastAsia="Palatino Linotype" w:hAnsi="Palatino Linotype" w:cs="Palatino Linotype"/>
          <w:i/>
          <w:color w:val="000000"/>
        </w:rPr>
        <w:t xml:space="preserve"> sobre el ejercicio de su presupuesto y determinar su organización interna, </w:t>
      </w:r>
      <w:r>
        <w:rPr>
          <w:rFonts w:ascii="Palatino Linotype" w:eastAsia="Palatino Linotype" w:hAnsi="Palatino Linotype" w:cs="Palatino Linotype"/>
          <w:i/>
          <w:color w:val="000000"/>
          <w:u w:val="single"/>
        </w:rPr>
        <w:t>responsable de garantizar el cumplimiento del derecho de transparencia, acceso a la información pública y a la protección de datos personales en posesión de los sujetos obligados e</w:t>
      </w:r>
      <w:r>
        <w:rPr>
          <w:rFonts w:ascii="Palatino Linotype" w:eastAsia="Palatino Linotype" w:hAnsi="Palatino Linotype" w:cs="Palatino Linotype"/>
          <w:i/>
          <w:color w:val="000000"/>
          <w:u w:val="single"/>
        </w:rPr>
        <w:t xml:space="preserve">n los términos que establezca la ley. </w:t>
      </w:r>
    </w:p>
    <w:p w:rsidR="001E11B1" w:rsidRDefault="00D1307E">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1E11B1" w:rsidRDefault="00D1307E">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El organismo autónomo garante se integra por cinco comisionadas o comisionados. </w:t>
      </w:r>
      <w:r>
        <w:rPr>
          <w:rFonts w:ascii="Palatino Linotype" w:eastAsia="Palatino Linotype" w:hAnsi="Palatino Linotype" w:cs="Palatino Linotype"/>
          <w:i/>
          <w:color w:val="000000"/>
          <w:u w:val="single"/>
        </w:rPr>
        <w:t xml:space="preserve">Para su nombramiento, la Legislatura, previa realización de una consulta a la sociedad, a propuesta de los grupos parlamentarios, con el voto de las dos terceras partes de los miembros presentes, nombrará a la comisionada o comisionado que deba cubrir la </w:t>
      </w:r>
      <w:r>
        <w:rPr>
          <w:rFonts w:ascii="Palatino Linotype" w:eastAsia="Palatino Linotype" w:hAnsi="Palatino Linotype" w:cs="Palatino Linotype"/>
          <w:i/>
          <w:color w:val="000000"/>
          <w:u w:val="single"/>
        </w:rPr>
        <w:t>vacante</w:t>
      </w:r>
      <w:r>
        <w:rPr>
          <w:rFonts w:ascii="Palatino Linotype" w:eastAsia="Palatino Linotype" w:hAnsi="Palatino Linotype" w:cs="Palatino Linotype"/>
          <w:i/>
          <w:color w:val="000000"/>
        </w:rPr>
        <w:t>, siguiendo el proceso establecido en la ley. El nombramiento podrá́ ser objetado por el Gobernador en un plazo de diez días hábiles. Si el Gobernador no objetara el nombramiento dentro de este plazo, ocupará el cargo la persona nombrada por la Leg</w:t>
      </w:r>
      <w:r>
        <w:rPr>
          <w:rFonts w:ascii="Palatino Linotype" w:eastAsia="Palatino Linotype" w:hAnsi="Palatino Linotype" w:cs="Palatino Linotype"/>
          <w:i/>
          <w:color w:val="000000"/>
        </w:rPr>
        <w:t xml:space="preserve">islatura. </w:t>
      </w:r>
    </w:p>
    <w:p w:rsidR="001E11B1" w:rsidRDefault="00D1307E">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1E11B1" w:rsidRDefault="00D1307E">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u w:val="single"/>
        </w:rPr>
        <w:t>La comisionada o el comisionado presidente será designado por los propios comisionados,</w:t>
      </w:r>
      <w:r>
        <w:rPr>
          <w:rFonts w:ascii="Palatino Linotype" w:eastAsia="Palatino Linotype" w:hAnsi="Palatino Linotype" w:cs="Palatino Linotype"/>
          <w:i/>
          <w:color w:val="000000"/>
        </w:rPr>
        <w:t xml:space="preserve"> mediante voto secreto, por un periodo de tres años, con posibilidad de ser reelecto por un periodo igual; estará obligado a rendir un informe anual ante </w:t>
      </w:r>
      <w:r>
        <w:rPr>
          <w:rFonts w:ascii="Palatino Linotype" w:eastAsia="Palatino Linotype" w:hAnsi="Palatino Linotype" w:cs="Palatino Linotype"/>
          <w:i/>
          <w:color w:val="000000"/>
        </w:rPr>
        <w:t>la Legislatura, en la fecha y en los términos que disponga la ley.</w:t>
      </w:r>
    </w:p>
    <w:p w:rsidR="001E11B1" w:rsidRDefault="00D1307E">
      <w:pPr>
        <w:pBdr>
          <w:top w:val="nil"/>
          <w:left w:val="nil"/>
          <w:bottom w:val="nil"/>
          <w:right w:val="nil"/>
          <w:between w:val="nil"/>
        </w:pBdr>
        <w:spacing w:before="240" w:after="240" w:line="360" w:lineRule="auto"/>
        <w:ind w:left="851" w:right="900"/>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LEY DE TRANSPARENCIA Y ACCESO A LA INFORMACIÓN PÚBLICA DEL ESTADO DE MÉXICO Y MUNICIPIOS</w:t>
      </w:r>
    </w:p>
    <w:p w:rsidR="001E11B1" w:rsidRDefault="00D1307E">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color w:val="000000"/>
          <w:u w:val="single"/>
        </w:rPr>
      </w:pPr>
      <w:r>
        <w:rPr>
          <w:rFonts w:ascii="Palatino Linotype" w:eastAsia="Palatino Linotype" w:hAnsi="Palatino Linotype" w:cs="Palatino Linotype"/>
          <w:i/>
          <w:color w:val="000000"/>
        </w:rPr>
        <w:t xml:space="preserve">Artículo 30. El Instituto se integra por cinco Comisionados. </w:t>
      </w:r>
      <w:r>
        <w:rPr>
          <w:rFonts w:ascii="Palatino Linotype" w:eastAsia="Palatino Linotype" w:hAnsi="Palatino Linotype" w:cs="Palatino Linotype"/>
          <w:i/>
          <w:color w:val="000000"/>
          <w:u w:val="single"/>
        </w:rPr>
        <w:t>Para su nombramiento, la Legislatura, previa realización de una consulta a la sociedad, a propuesta de los grupos parlamentarios, con el voto de las dos terceras partes de los miembros presentes, nombrará a la Comisionada o Comisionado que deba cubrir la v</w:t>
      </w:r>
      <w:r>
        <w:rPr>
          <w:rFonts w:ascii="Palatino Linotype" w:eastAsia="Palatino Linotype" w:hAnsi="Palatino Linotype" w:cs="Palatino Linotype"/>
          <w:i/>
          <w:color w:val="000000"/>
          <w:u w:val="single"/>
        </w:rPr>
        <w:t xml:space="preserve">acante.  </w:t>
      </w:r>
    </w:p>
    <w:p w:rsidR="001E11B1" w:rsidRDefault="00D1307E">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acuerdo a lo antes citado, se advierte que en efecto el nombramiento de las y los Comisionados del INFOEM, es atribución de la Legislatura, previa realización de una consulta a la sociedad, a propuesta de los grupos parlamentarios, con el voto</w:t>
      </w:r>
      <w:r>
        <w:rPr>
          <w:rFonts w:ascii="Palatino Linotype" w:eastAsia="Palatino Linotype" w:hAnsi="Palatino Linotype" w:cs="Palatino Linotype"/>
          <w:color w:val="000000"/>
          <w:sz w:val="24"/>
          <w:szCs w:val="24"/>
        </w:rPr>
        <w:t xml:space="preserve"> de las dos terceras partes de los miembros presentes, nombrará a la comisionada o </w:t>
      </w:r>
      <w:r>
        <w:rPr>
          <w:rFonts w:ascii="Palatino Linotype" w:eastAsia="Palatino Linotype" w:hAnsi="Palatino Linotype" w:cs="Palatino Linotype"/>
          <w:color w:val="000000"/>
          <w:sz w:val="24"/>
          <w:szCs w:val="24"/>
        </w:rPr>
        <w:lastRenderedPageBreak/>
        <w:t>comisionado que deba cubrir la vacante, por lo que con la respuesta se colma este punto de la solicitud de información ya que el Sujeto Obligado orientó adecuadamente al Su</w:t>
      </w:r>
      <w:r>
        <w:rPr>
          <w:rFonts w:ascii="Palatino Linotype" w:eastAsia="Palatino Linotype" w:hAnsi="Palatino Linotype" w:cs="Palatino Linotype"/>
          <w:color w:val="000000"/>
          <w:sz w:val="24"/>
          <w:szCs w:val="24"/>
        </w:rPr>
        <w:t>jeto Obligado que puede contar con la información solicitada, sin dejar de mencionar que puso a disposición del particular algunos vínculos electrónicos en los que podía también consultar parte de dicha información, y bajo un principio de máxima publicidad</w:t>
      </w:r>
      <w:r>
        <w:rPr>
          <w:rFonts w:ascii="Palatino Linotype" w:eastAsia="Palatino Linotype" w:hAnsi="Palatino Linotype" w:cs="Palatino Linotype"/>
          <w:color w:val="000000"/>
          <w:sz w:val="24"/>
          <w:szCs w:val="24"/>
        </w:rPr>
        <w:t xml:space="preserve"> otorgó acceso a algunos documentos relacionados con este punto de la solicitud como lo es la Gaceta de Gobierno del Estado de México de dos mil veintiuno en la cual se aprueban los nombramientos de las y los Comisionados del INFOEM, se inserta la primera </w:t>
      </w:r>
      <w:r>
        <w:rPr>
          <w:rFonts w:ascii="Palatino Linotype" w:eastAsia="Palatino Linotype" w:hAnsi="Palatino Linotype" w:cs="Palatino Linotype"/>
          <w:color w:val="000000"/>
          <w:sz w:val="24"/>
          <w:szCs w:val="24"/>
        </w:rPr>
        <w:t xml:space="preserve">imagen a manera de ejemplo: </w:t>
      </w:r>
    </w:p>
    <w:p w:rsidR="001E11B1" w:rsidRDefault="00D1307E">
      <w:pPr>
        <w:spacing w:before="240" w:after="240"/>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rPr>
        <w:lastRenderedPageBreak/>
        <w:drawing>
          <wp:inline distT="0" distB="0" distL="0" distR="0">
            <wp:extent cx="4591612" cy="4687697"/>
            <wp:effectExtent l="0" t="0" r="0" b="0"/>
            <wp:docPr id="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20876" t="9958" r="37372" b="4043"/>
                    <a:stretch>
                      <a:fillRect/>
                    </a:stretch>
                  </pic:blipFill>
                  <pic:spPr>
                    <a:xfrm>
                      <a:off x="0" y="0"/>
                      <a:ext cx="4591612" cy="4687697"/>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596900</wp:posOffset>
                </wp:positionH>
                <wp:positionV relativeFrom="paragraph">
                  <wp:posOffset>2781300</wp:posOffset>
                </wp:positionV>
                <wp:extent cx="2057400" cy="609600"/>
                <wp:effectExtent l="0" t="0" r="0" b="0"/>
                <wp:wrapNone/>
                <wp:docPr id="51" name=""/>
                <wp:cNvGraphicFramePr/>
                <a:graphic xmlns:a="http://schemas.openxmlformats.org/drawingml/2006/main">
                  <a:graphicData uri="http://schemas.microsoft.com/office/word/2010/wordprocessingShape">
                    <wps:wsp>
                      <wps:cNvSpPr/>
                      <wps:spPr>
                        <a:xfrm>
                          <a:off x="4331588" y="3489488"/>
                          <a:ext cx="2028825" cy="581025"/>
                        </a:xfrm>
                        <a:prstGeom prst="rect">
                          <a:avLst/>
                        </a:prstGeom>
                        <a:noFill/>
                        <a:ln w="28575" cap="flat" cmpd="sng">
                          <a:solidFill>
                            <a:srgbClr val="FF0000"/>
                          </a:solidFill>
                          <a:prstDash val="solid"/>
                          <a:miter lim="800000"/>
                          <a:headEnd type="none" w="sm" len="sm"/>
                          <a:tailEnd type="none" w="sm" len="sm"/>
                        </a:ln>
                      </wps:spPr>
                      <wps:txbx>
                        <w:txbxContent>
                          <w:p w:rsidR="001E11B1" w:rsidRDefault="001E11B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596900</wp:posOffset>
                </wp:positionH>
                <wp:positionV relativeFrom="paragraph">
                  <wp:posOffset>2781300</wp:posOffset>
                </wp:positionV>
                <wp:extent cx="2057400" cy="609600"/>
                <wp:effectExtent b="0" l="0" r="0" t="0"/>
                <wp:wrapNone/>
                <wp:docPr id="51" name="image27.png"/>
                <a:graphic>
                  <a:graphicData uri="http://schemas.openxmlformats.org/drawingml/2006/picture">
                    <pic:pic>
                      <pic:nvPicPr>
                        <pic:cNvPr id="0" name="image27.png"/>
                        <pic:cNvPicPr preferRelativeResize="0"/>
                      </pic:nvPicPr>
                      <pic:blipFill>
                        <a:blip r:embed="rId12"/>
                        <a:srcRect/>
                        <a:stretch>
                          <a:fillRect/>
                        </a:stretch>
                      </pic:blipFill>
                      <pic:spPr>
                        <a:xfrm>
                          <a:off x="0" y="0"/>
                          <a:ext cx="2057400" cy="609600"/>
                        </a:xfrm>
                        <a:prstGeom prst="rect"/>
                        <a:ln/>
                      </pic:spPr>
                    </pic:pic>
                  </a:graphicData>
                </a:graphic>
              </wp:anchor>
            </w:drawing>
          </mc:Fallback>
        </mc:AlternateContent>
      </w:r>
    </w:p>
    <w:p w:rsidR="001E11B1" w:rsidRDefault="001E11B1">
      <w:pPr>
        <w:spacing w:before="240" w:after="240" w:line="360" w:lineRule="auto"/>
        <w:jc w:val="center"/>
        <w:rPr>
          <w:rFonts w:ascii="Palatino Linotype" w:eastAsia="Palatino Linotype" w:hAnsi="Palatino Linotype" w:cs="Palatino Linotype"/>
          <w:sz w:val="24"/>
          <w:szCs w:val="24"/>
        </w:rPr>
      </w:pPr>
    </w:p>
    <w:p w:rsidR="001E11B1" w:rsidRDefault="00D1307E">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3. Respecto al sueldo bruto que perciben los Comisionados, se precisa lo siguiente:</w:t>
      </w: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2"/>
        <w:gridCol w:w="2853"/>
        <w:gridCol w:w="2853"/>
      </w:tblGrid>
      <w:tr w:rsidR="001E11B1">
        <w:tc>
          <w:tcPr>
            <w:tcW w:w="3122" w:type="dxa"/>
            <w:shd w:val="clear" w:color="auto" w:fill="BFBFBF"/>
          </w:tcPr>
          <w:p w:rsidR="001E11B1" w:rsidRDefault="00D1307E">
            <w:pPr>
              <w:spacing w:before="240" w:after="240"/>
              <w:ind w:firstLine="114"/>
              <w:jc w:val="center"/>
              <w:rPr>
                <w:rFonts w:ascii="Palatino Linotype" w:eastAsia="Palatino Linotype" w:hAnsi="Palatino Linotype" w:cs="Palatino Linotype"/>
                <w:b/>
                <w:i/>
                <w:sz w:val="18"/>
                <w:szCs w:val="18"/>
              </w:rPr>
            </w:pPr>
            <w:r>
              <w:rPr>
                <w:rFonts w:ascii="Palatino Linotype" w:eastAsia="Palatino Linotype" w:hAnsi="Palatino Linotype" w:cs="Palatino Linotype"/>
                <w:b/>
                <w:i/>
                <w:sz w:val="18"/>
                <w:szCs w:val="18"/>
              </w:rPr>
              <w:t>Información requerida.</w:t>
            </w:r>
          </w:p>
        </w:tc>
        <w:tc>
          <w:tcPr>
            <w:tcW w:w="2853" w:type="dxa"/>
            <w:shd w:val="clear" w:color="auto" w:fill="BFBFBF"/>
          </w:tcPr>
          <w:p w:rsidR="001E11B1" w:rsidRDefault="00D1307E">
            <w:pPr>
              <w:spacing w:before="240" w:after="240"/>
              <w:ind w:firstLine="114"/>
              <w:jc w:val="center"/>
              <w:rPr>
                <w:rFonts w:ascii="Palatino Linotype" w:eastAsia="Palatino Linotype" w:hAnsi="Palatino Linotype" w:cs="Palatino Linotype"/>
                <w:b/>
                <w:i/>
                <w:sz w:val="18"/>
                <w:szCs w:val="18"/>
              </w:rPr>
            </w:pPr>
            <w:r>
              <w:rPr>
                <w:rFonts w:ascii="Palatino Linotype" w:eastAsia="Palatino Linotype" w:hAnsi="Palatino Linotype" w:cs="Palatino Linotype"/>
                <w:b/>
                <w:i/>
                <w:sz w:val="18"/>
                <w:szCs w:val="18"/>
              </w:rPr>
              <w:t>Respuesta</w:t>
            </w:r>
          </w:p>
        </w:tc>
        <w:tc>
          <w:tcPr>
            <w:tcW w:w="2853" w:type="dxa"/>
            <w:shd w:val="clear" w:color="auto" w:fill="BFBFBF"/>
          </w:tcPr>
          <w:p w:rsidR="001E11B1" w:rsidRDefault="00D1307E">
            <w:pPr>
              <w:spacing w:before="240" w:after="240"/>
              <w:ind w:firstLine="114"/>
              <w:jc w:val="center"/>
              <w:rPr>
                <w:rFonts w:ascii="Palatino Linotype" w:eastAsia="Palatino Linotype" w:hAnsi="Palatino Linotype" w:cs="Palatino Linotype"/>
                <w:b/>
                <w:i/>
                <w:sz w:val="18"/>
                <w:szCs w:val="18"/>
              </w:rPr>
            </w:pPr>
            <w:r>
              <w:rPr>
                <w:rFonts w:ascii="Palatino Linotype" w:eastAsia="Palatino Linotype" w:hAnsi="Palatino Linotype" w:cs="Palatino Linotype"/>
                <w:b/>
                <w:i/>
                <w:sz w:val="18"/>
                <w:szCs w:val="18"/>
              </w:rPr>
              <w:t xml:space="preserve">Informe Justificado </w:t>
            </w:r>
          </w:p>
        </w:tc>
      </w:tr>
      <w:tr w:rsidR="001E11B1">
        <w:tc>
          <w:tcPr>
            <w:tcW w:w="3122" w:type="dxa"/>
          </w:tcPr>
          <w:p w:rsidR="001E11B1" w:rsidRDefault="00D1307E">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lastRenderedPageBreak/>
              <w:t>Sueldo que perciben mensualmente bruto.</w:t>
            </w:r>
          </w:p>
        </w:tc>
        <w:tc>
          <w:tcPr>
            <w:tcW w:w="2853" w:type="dxa"/>
          </w:tcPr>
          <w:p w:rsidR="001E11B1" w:rsidRDefault="00D1307E">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Al respecto el Sujeto Obligado señaló que dicha información es pública y que podía ser consultada en la plataforma del IPOMEX artículo 92 fracción VIII a “Remuneraciones” indicándole los links de acceso a la misma</w:t>
            </w:r>
          </w:p>
        </w:tc>
        <w:tc>
          <w:tcPr>
            <w:tcW w:w="2853" w:type="dxa"/>
          </w:tcPr>
          <w:p w:rsidR="001E11B1" w:rsidRDefault="00D1307E">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Se ratifica la respuesta original </w:t>
            </w:r>
          </w:p>
        </w:tc>
      </w:tr>
    </w:tbl>
    <w:p w:rsidR="001E11B1" w:rsidRDefault="001E11B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1E11B1" w:rsidRDefault="00D1307E">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este sentido, las direcciones electrónicas remitidas por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llevan a la siguiente información: </w:t>
      </w:r>
    </w:p>
    <w:p w:rsidR="001E11B1" w:rsidRDefault="00D1307E">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drawing>
          <wp:inline distT="0" distB="0" distL="0" distR="0">
            <wp:extent cx="5742815" cy="1267402"/>
            <wp:effectExtent l="0" t="0" r="0" b="0"/>
            <wp:docPr id="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19688" t="51599" r="33129" b="27881"/>
                    <a:stretch>
                      <a:fillRect/>
                    </a:stretch>
                  </pic:blipFill>
                  <pic:spPr>
                    <a:xfrm>
                      <a:off x="0" y="0"/>
                      <a:ext cx="5742815" cy="1267402"/>
                    </a:xfrm>
                    <a:prstGeom prst="rect">
                      <a:avLst/>
                    </a:prstGeom>
                    <a:ln/>
                  </pic:spPr>
                </pic:pic>
              </a:graphicData>
            </a:graphic>
          </wp:inline>
        </w:drawing>
      </w:r>
    </w:p>
    <w:p w:rsidR="001E11B1" w:rsidRDefault="00D1307E">
      <w:pPr>
        <w:spacing w:before="240" w:after="240"/>
        <w:jc w:val="both"/>
        <w:rPr>
          <w:rFonts w:ascii="Palatino Linotype" w:eastAsia="Palatino Linotype" w:hAnsi="Palatino Linotype" w:cs="Palatino Linotype"/>
          <w:sz w:val="24"/>
          <w:szCs w:val="24"/>
        </w:rPr>
      </w:pPr>
      <w:r>
        <w:rPr>
          <w:rFonts w:ascii="Palatino Linotype" w:eastAsia="Palatino Linotype" w:hAnsi="Palatino Linotype" w:cs="Palatino Linotype"/>
          <w:noProof/>
        </w:rPr>
        <w:drawing>
          <wp:inline distT="0" distB="0" distL="0" distR="0">
            <wp:extent cx="5993682" cy="2190794"/>
            <wp:effectExtent l="0" t="0" r="0" b="0"/>
            <wp:docPr id="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18839" t="44962" r="31941" b="23053"/>
                    <a:stretch>
                      <a:fillRect/>
                    </a:stretch>
                  </pic:blipFill>
                  <pic:spPr>
                    <a:xfrm>
                      <a:off x="0" y="0"/>
                      <a:ext cx="5993682" cy="2190794"/>
                    </a:xfrm>
                    <a:prstGeom prst="rect">
                      <a:avLst/>
                    </a:prstGeom>
                    <a:ln/>
                  </pic:spPr>
                </pic:pic>
              </a:graphicData>
            </a:graphic>
          </wp:inline>
        </w:drawing>
      </w:r>
    </w:p>
    <w:p w:rsidR="001E11B1" w:rsidRDefault="00D1307E">
      <w:pPr>
        <w:tabs>
          <w:tab w:val="left" w:pos="5635"/>
        </w:tabs>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dichos vínculos electrónicos se visualiza lo siguiente:</w:t>
      </w:r>
      <w:r>
        <w:rPr>
          <w:rFonts w:ascii="Palatino Linotype" w:eastAsia="Palatino Linotype" w:hAnsi="Palatino Linotype" w:cs="Palatino Linotype"/>
          <w:sz w:val="24"/>
          <w:szCs w:val="24"/>
        </w:rPr>
        <w:tab/>
      </w:r>
    </w:p>
    <w:p w:rsidR="001E11B1" w:rsidRDefault="00D1307E">
      <w:pPr>
        <w:spacing w:before="240" w:after="240"/>
        <w:jc w:val="both"/>
        <w:rPr>
          <w:rFonts w:ascii="Palatino Linotype" w:eastAsia="Palatino Linotype" w:hAnsi="Palatino Linotype" w:cs="Palatino Linotype"/>
          <w:sz w:val="24"/>
          <w:szCs w:val="24"/>
        </w:rPr>
      </w:pPr>
      <w:r>
        <w:rPr>
          <w:rFonts w:ascii="Palatino Linotype" w:eastAsia="Palatino Linotype" w:hAnsi="Palatino Linotype" w:cs="Palatino Linotype"/>
          <w:noProof/>
        </w:rPr>
        <w:lastRenderedPageBreak/>
        <w:drawing>
          <wp:inline distT="0" distB="0" distL="0" distR="0">
            <wp:extent cx="5750950" cy="2899343"/>
            <wp:effectExtent l="0" t="0" r="0" b="0"/>
            <wp:docPr id="6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l="6109" t="49575" r="62661" b="22432"/>
                    <a:stretch>
                      <a:fillRect/>
                    </a:stretch>
                  </pic:blipFill>
                  <pic:spPr>
                    <a:xfrm>
                      <a:off x="0" y="0"/>
                      <a:ext cx="5750950" cy="2899343"/>
                    </a:xfrm>
                    <a:prstGeom prst="rect">
                      <a:avLst/>
                    </a:prstGeom>
                    <a:ln/>
                  </pic:spPr>
                </pic:pic>
              </a:graphicData>
            </a:graphic>
          </wp:inline>
        </w:drawing>
      </w:r>
    </w:p>
    <w:p w:rsidR="001E11B1" w:rsidRDefault="001E11B1">
      <w:pPr>
        <w:spacing w:before="240" w:after="240"/>
        <w:jc w:val="both"/>
        <w:rPr>
          <w:rFonts w:ascii="Palatino Linotype" w:eastAsia="Palatino Linotype" w:hAnsi="Palatino Linotype" w:cs="Palatino Linotype"/>
          <w:sz w:val="24"/>
          <w:szCs w:val="24"/>
        </w:rPr>
      </w:pPr>
    </w:p>
    <w:p w:rsidR="001E11B1" w:rsidRDefault="001E11B1">
      <w:pPr>
        <w:spacing w:before="240" w:after="240"/>
        <w:jc w:val="both"/>
        <w:rPr>
          <w:rFonts w:ascii="Palatino Linotype" w:eastAsia="Palatino Linotype" w:hAnsi="Palatino Linotype" w:cs="Palatino Linotype"/>
          <w:sz w:val="24"/>
          <w:szCs w:val="24"/>
        </w:rPr>
      </w:pPr>
    </w:p>
    <w:p w:rsidR="001E11B1" w:rsidRDefault="00D1307E">
      <w:pPr>
        <w:spacing w:before="240" w:after="240"/>
        <w:jc w:val="both"/>
        <w:rPr>
          <w:rFonts w:ascii="Palatino Linotype" w:eastAsia="Palatino Linotype" w:hAnsi="Palatino Linotype" w:cs="Palatino Linotype"/>
          <w:sz w:val="24"/>
          <w:szCs w:val="24"/>
        </w:rPr>
      </w:pPr>
      <w:r>
        <w:rPr>
          <w:rFonts w:ascii="Palatino Linotype" w:eastAsia="Palatino Linotype" w:hAnsi="Palatino Linotype" w:cs="Palatino Linotype"/>
          <w:noProof/>
        </w:rPr>
        <w:drawing>
          <wp:inline distT="0" distB="0" distL="0" distR="0">
            <wp:extent cx="5695950" cy="2286000"/>
            <wp:effectExtent l="0" t="0" r="0" b="0"/>
            <wp:docPr id="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28174" t="40736" r="40937" b="31998"/>
                    <a:stretch>
                      <a:fillRect/>
                    </a:stretch>
                  </pic:blipFill>
                  <pic:spPr>
                    <a:xfrm>
                      <a:off x="0" y="0"/>
                      <a:ext cx="5695950" cy="2286000"/>
                    </a:xfrm>
                    <a:prstGeom prst="rect">
                      <a:avLst/>
                    </a:prstGeom>
                    <a:ln/>
                  </pic:spPr>
                </pic:pic>
              </a:graphicData>
            </a:graphic>
          </wp:inline>
        </w:drawing>
      </w:r>
    </w:p>
    <w:p w:rsidR="001E11B1" w:rsidRDefault="00D1307E">
      <w:pPr>
        <w:spacing w:before="240" w:after="240"/>
        <w:jc w:val="both"/>
        <w:rPr>
          <w:rFonts w:ascii="Palatino Linotype" w:eastAsia="Palatino Linotype" w:hAnsi="Palatino Linotype" w:cs="Palatino Linotype"/>
          <w:sz w:val="24"/>
          <w:szCs w:val="24"/>
        </w:rPr>
      </w:pPr>
      <w:r>
        <w:rPr>
          <w:rFonts w:ascii="Palatino Linotype" w:eastAsia="Palatino Linotype" w:hAnsi="Palatino Linotype" w:cs="Palatino Linotype"/>
          <w:noProof/>
        </w:rPr>
        <w:lastRenderedPageBreak/>
        <w:drawing>
          <wp:inline distT="0" distB="0" distL="0" distR="0">
            <wp:extent cx="5725053" cy="3156516"/>
            <wp:effectExtent l="0" t="0" r="0" b="0"/>
            <wp:docPr id="7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l="28683" t="40434" r="39918" b="28788"/>
                    <a:stretch>
                      <a:fillRect/>
                    </a:stretch>
                  </pic:blipFill>
                  <pic:spPr>
                    <a:xfrm>
                      <a:off x="0" y="0"/>
                      <a:ext cx="5725053" cy="3156516"/>
                    </a:xfrm>
                    <a:prstGeom prst="rect">
                      <a:avLst/>
                    </a:prstGeom>
                    <a:ln/>
                  </pic:spPr>
                </pic:pic>
              </a:graphicData>
            </a:graphic>
          </wp:inline>
        </w:drawing>
      </w:r>
    </w:p>
    <w:p w:rsidR="001E11B1" w:rsidRDefault="001E11B1">
      <w:pPr>
        <w:spacing w:before="240" w:after="240"/>
        <w:jc w:val="both"/>
        <w:rPr>
          <w:rFonts w:ascii="Palatino Linotype" w:eastAsia="Palatino Linotype" w:hAnsi="Palatino Linotype" w:cs="Palatino Linotype"/>
          <w:sz w:val="24"/>
          <w:szCs w:val="24"/>
        </w:rPr>
      </w:pPr>
    </w:p>
    <w:p w:rsidR="001E11B1" w:rsidRDefault="00D1307E">
      <w:pPr>
        <w:spacing w:before="240" w:after="240"/>
        <w:jc w:val="both"/>
        <w:rPr>
          <w:rFonts w:ascii="Palatino Linotype" w:eastAsia="Palatino Linotype" w:hAnsi="Palatino Linotype" w:cs="Palatino Linotype"/>
          <w:sz w:val="24"/>
          <w:szCs w:val="24"/>
        </w:rPr>
      </w:pPr>
      <w:r>
        <w:rPr>
          <w:rFonts w:ascii="Palatino Linotype" w:eastAsia="Palatino Linotype" w:hAnsi="Palatino Linotype" w:cs="Palatino Linotype"/>
          <w:noProof/>
        </w:rPr>
        <w:drawing>
          <wp:inline distT="0" distB="0" distL="0" distR="0">
            <wp:extent cx="5761331" cy="2844040"/>
            <wp:effectExtent l="0" t="0" r="0" b="0"/>
            <wp:docPr id="6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l="28852" t="41641" r="40937" b="30976"/>
                    <a:stretch>
                      <a:fillRect/>
                    </a:stretch>
                  </pic:blipFill>
                  <pic:spPr>
                    <a:xfrm>
                      <a:off x="0" y="0"/>
                      <a:ext cx="5761331" cy="2844040"/>
                    </a:xfrm>
                    <a:prstGeom prst="rect">
                      <a:avLst/>
                    </a:prstGeom>
                    <a:ln/>
                  </pic:spPr>
                </pic:pic>
              </a:graphicData>
            </a:graphic>
          </wp:inline>
        </w:drawing>
      </w:r>
    </w:p>
    <w:p w:rsidR="001E11B1" w:rsidRDefault="00D1307E">
      <w:pPr>
        <w:spacing w:before="240" w:after="240"/>
        <w:jc w:val="both"/>
        <w:rPr>
          <w:rFonts w:ascii="Palatino Linotype" w:eastAsia="Palatino Linotype" w:hAnsi="Palatino Linotype" w:cs="Palatino Linotype"/>
          <w:sz w:val="24"/>
          <w:szCs w:val="24"/>
        </w:rPr>
      </w:pPr>
      <w:r>
        <w:rPr>
          <w:rFonts w:ascii="Palatino Linotype" w:eastAsia="Palatino Linotype" w:hAnsi="Palatino Linotype" w:cs="Palatino Linotype"/>
          <w:noProof/>
        </w:rPr>
        <w:lastRenderedPageBreak/>
        <w:drawing>
          <wp:inline distT="0" distB="0" distL="0" distR="0">
            <wp:extent cx="5825494" cy="2978750"/>
            <wp:effectExtent l="0" t="0" r="0" b="0"/>
            <wp:docPr id="7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l="29192" t="41038" r="41107" b="30899"/>
                    <a:stretch>
                      <a:fillRect/>
                    </a:stretch>
                  </pic:blipFill>
                  <pic:spPr>
                    <a:xfrm>
                      <a:off x="0" y="0"/>
                      <a:ext cx="5825494" cy="2978750"/>
                    </a:xfrm>
                    <a:prstGeom prst="rect">
                      <a:avLst/>
                    </a:prstGeom>
                    <a:ln/>
                  </pic:spPr>
                </pic:pic>
              </a:graphicData>
            </a:graphic>
          </wp:inline>
        </w:drawing>
      </w:r>
    </w:p>
    <w:p w:rsidR="001E11B1" w:rsidRDefault="001E11B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1E11B1" w:rsidRDefault="00D1307E">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En este sentido, debemos traer a colación el artículo 161 de la Ley de Transparencia y Acceso a la Información Pública del Estado de México y Municipios</w:t>
      </w:r>
      <w:r>
        <w:rPr>
          <w:rFonts w:ascii="Palatino Linotype" w:eastAsia="Palatino Linotype" w:hAnsi="Palatino Linotype" w:cs="Palatino Linotype"/>
          <w:i/>
          <w:color w:val="000000"/>
          <w:sz w:val="24"/>
          <w:szCs w:val="24"/>
        </w:rPr>
        <w:t xml:space="preserve">, </w:t>
      </w:r>
      <w:r>
        <w:rPr>
          <w:rFonts w:ascii="Palatino Linotype" w:eastAsia="Palatino Linotype" w:hAnsi="Palatino Linotype" w:cs="Palatino Linotype"/>
          <w:color w:val="000000"/>
          <w:sz w:val="24"/>
          <w:szCs w:val="24"/>
        </w:rPr>
        <w:t>el cual establece las características que debe tener la información desde el momento de su generación,</w:t>
      </w:r>
      <w:r>
        <w:rPr>
          <w:rFonts w:ascii="Palatino Linotype" w:eastAsia="Palatino Linotype" w:hAnsi="Palatino Linotype" w:cs="Palatino Linotype"/>
          <w:color w:val="000000"/>
          <w:sz w:val="24"/>
          <w:szCs w:val="24"/>
        </w:rPr>
        <w:t xml:space="preserve"> publicación y entrega; de igual manera se contempla el procedimiento a seguir por el sujeto obligado para informar a los solicitantes sobre información que se encuentre disponible en libros, compendios, formatos electrónicos, entre otros, haciéndole saber</w:t>
      </w:r>
      <w:r>
        <w:rPr>
          <w:rFonts w:ascii="Palatino Linotype" w:eastAsia="Palatino Linotype" w:hAnsi="Palatino Linotype" w:cs="Palatino Linotype"/>
          <w:color w:val="000000"/>
          <w:sz w:val="24"/>
          <w:szCs w:val="24"/>
        </w:rPr>
        <w:t xml:space="preserve"> al solicitante como podrá consultar, reproducir o adquirir la información, en un plazo no mayor a cinco días hábiles, comprendiendo:</w:t>
      </w:r>
    </w:p>
    <w:p w:rsidR="001E11B1" w:rsidRDefault="00D1307E">
      <w:pPr>
        <w:pBdr>
          <w:top w:val="nil"/>
          <w:left w:val="nil"/>
          <w:bottom w:val="nil"/>
          <w:right w:val="nil"/>
          <w:between w:val="nil"/>
        </w:pBdr>
        <w:spacing w:before="240" w:after="240" w:line="360" w:lineRule="auto"/>
        <w:ind w:left="284" w:right="49"/>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a) La fuente</w:t>
      </w:r>
    </w:p>
    <w:p w:rsidR="001E11B1" w:rsidRDefault="00D1307E">
      <w:pPr>
        <w:pBdr>
          <w:top w:val="nil"/>
          <w:left w:val="nil"/>
          <w:bottom w:val="nil"/>
          <w:right w:val="nil"/>
          <w:between w:val="nil"/>
        </w:pBdr>
        <w:spacing w:before="240" w:after="240" w:line="360" w:lineRule="auto"/>
        <w:ind w:left="284" w:right="49"/>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lastRenderedPageBreak/>
        <w:t>b) El lugar y</w:t>
      </w:r>
    </w:p>
    <w:p w:rsidR="001E11B1" w:rsidRDefault="00D1307E">
      <w:pPr>
        <w:pBdr>
          <w:top w:val="nil"/>
          <w:left w:val="nil"/>
          <w:bottom w:val="nil"/>
          <w:right w:val="nil"/>
          <w:between w:val="nil"/>
        </w:pBdr>
        <w:spacing w:before="240" w:after="240" w:line="360" w:lineRule="auto"/>
        <w:ind w:left="284" w:right="49"/>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c) La forma</w:t>
      </w:r>
    </w:p>
    <w:p w:rsidR="001E11B1" w:rsidRDefault="00D1307E">
      <w:pPr>
        <w:pBdr>
          <w:top w:val="nil"/>
          <w:left w:val="nil"/>
          <w:bottom w:val="nil"/>
          <w:right w:val="nil"/>
          <w:between w:val="nil"/>
        </w:pBdr>
        <w:spacing w:before="240" w:after="240" w:line="360" w:lineRule="auto"/>
        <w:ind w:right="49"/>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Asimismo, se establece que la fuente de la información deberá ser:</w:t>
      </w:r>
    </w:p>
    <w:p w:rsidR="001E11B1" w:rsidRDefault="00D1307E">
      <w:pPr>
        <w:pBdr>
          <w:top w:val="nil"/>
          <w:left w:val="nil"/>
          <w:bottom w:val="nil"/>
          <w:right w:val="nil"/>
          <w:between w:val="nil"/>
        </w:pBdr>
        <w:spacing w:before="240" w:after="240" w:line="360" w:lineRule="auto"/>
        <w:ind w:left="284" w:right="49"/>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a) Precisa</w:t>
      </w:r>
    </w:p>
    <w:p w:rsidR="001E11B1" w:rsidRDefault="00D1307E">
      <w:pPr>
        <w:pBdr>
          <w:top w:val="nil"/>
          <w:left w:val="nil"/>
          <w:bottom w:val="nil"/>
          <w:right w:val="nil"/>
          <w:between w:val="nil"/>
        </w:pBdr>
        <w:spacing w:before="240" w:after="240" w:line="360" w:lineRule="auto"/>
        <w:ind w:left="284" w:right="49"/>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b) Concreta</w:t>
      </w:r>
    </w:p>
    <w:p w:rsidR="001E11B1" w:rsidRDefault="00D1307E">
      <w:pPr>
        <w:pBdr>
          <w:top w:val="nil"/>
          <w:left w:val="nil"/>
          <w:bottom w:val="nil"/>
          <w:right w:val="nil"/>
          <w:between w:val="nil"/>
        </w:pBdr>
        <w:spacing w:before="240" w:after="240" w:line="360" w:lineRule="auto"/>
        <w:ind w:left="284" w:right="49"/>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c) Y no debe implicar que el solicitante realice una búsqueda en toda la información que se encuentre disponible.</w:t>
      </w:r>
    </w:p>
    <w:p w:rsidR="001E11B1" w:rsidRDefault="00D1307E">
      <w:pPr>
        <w:pBdr>
          <w:top w:val="nil"/>
          <w:left w:val="nil"/>
          <w:bottom w:val="nil"/>
          <w:right w:val="nil"/>
          <w:between w:val="nil"/>
        </w:pBdr>
        <w:spacing w:before="240" w:after="240" w:line="360" w:lineRule="auto"/>
        <w:ind w:right="49"/>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 xml:space="preserve">Imperativos legales que establecen el procedimiento que debe seguir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para que pueda tomarse como válida su orien</w:t>
      </w:r>
      <w:r>
        <w:rPr>
          <w:rFonts w:ascii="Palatino Linotype" w:eastAsia="Palatino Linotype" w:hAnsi="Palatino Linotype" w:cs="Palatino Linotype"/>
          <w:color w:val="000000"/>
          <w:sz w:val="24"/>
          <w:szCs w:val="24"/>
        </w:rPr>
        <w:t>tación sobre la forma en que puede consultar la información requerida.</w:t>
      </w:r>
    </w:p>
    <w:p w:rsidR="001E11B1" w:rsidRDefault="00D1307E">
      <w:pPr>
        <w:spacing w:after="0" w:line="360" w:lineRule="auto"/>
        <w:ind w:right="49"/>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 xml:space="preserve">Así, en el presente caso, se advierte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proporcionó las direcciones electrónicas precisas en la que se puede consultar la información solicitada consistente en el sueldo bruto que perciben las y los Comisionados mensualmente, sin que ello implicara</w:t>
      </w:r>
      <w:r>
        <w:rPr>
          <w:rFonts w:ascii="Palatino Linotype" w:eastAsia="Palatino Linotype" w:hAnsi="Palatino Linotype" w:cs="Palatino Linotype"/>
          <w:b/>
          <w:color w:val="000000"/>
          <w:sz w:val="24"/>
          <w:szCs w:val="24"/>
        </w:rPr>
        <w:t xml:space="preserve"> realizar una búsqueda en toda la información q</w:t>
      </w:r>
      <w:r>
        <w:rPr>
          <w:rFonts w:ascii="Palatino Linotype" w:eastAsia="Palatino Linotype" w:hAnsi="Palatino Linotype" w:cs="Palatino Linotype"/>
          <w:b/>
          <w:color w:val="000000"/>
          <w:sz w:val="24"/>
          <w:szCs w:val="24"/>
        </w:rPr>
        <w:t>ue ahí se encuentre.</w:t>
      </w:r>
    </w:p>
    <w:p w:rsidR="001E11B1" w:rsidRDefault="001E11B1">
      <w:pPr>
        <w:spacing w:after="0" w:line="360" w:lineRule="auto"/>
        <w:ind w:right="49"/>
        <w:jc w:val="both"/>
        <w:rPr>
          <w:rFonts w:ascii="Times New Roman" w:eastAsia="Times New Roman" w:hAnsi="Times New Roman" w:cs="Times New Roman"/>
          <w:sz w:val="24"/>
          <w:szCs w:val="24"/>
        </w:rPr>
      </w:pPr>
    </w:p>
    <w:p w:rsidR="001E11B1" w:rsidRDefault="00D1307E">
      <w:pPr>
        <w:spacing w:after="0" w:line="360" w:lineRule="auto"/>
        <w:ind w:right="49"/>
        <w:jc w:val="both"/>
        <w:rPr>
          <w:rFonts w:ascii="Times New Roman" w:eastAsia="Times New Roman" w:hAnsi="Times New Roman" w:cs="Times New Roman"/>
          <w:sz w:val="24"/>
          <w:szCs w:val="24"/>
        </w:rPr>
      </w:pPr>
      <w:r>
        <w:rPr>
          <w:rFonts w:ascii="Palatino Linotype" w:eastAsia="Palatino Linotype" w:hAnsi="Palatino Linotype" w:cs="Palatino Linotype"/>
          <w:sz w:val="24"/>
          <w:szCs w:val="24"/>
        </w:rPr>
        <w:t xml:space="preserve">No se omite comentar que además dicha información constituye una obligación de transparencia común en términos de lo establecido en el artículo 92, fracción VIII de </w:t>
      </w:r>
      <w:r>
        <w:rPr>
          <w:rFonts w:ascii="Palatino Linotype" w:eastAsia="Palatino Linotype" w:hAnsi="Palatino Linotype" w:cs="Palatino Linotype"/>
          <w:sz w:val="24"/>
          <w:szCs w:val="24"/>
        </w:rPr>
        <w:lastRenderedPageBreak/>
        <w:t xml:space="preserve">la Ley de Transparencia y Acceso a la Información Pública del Estado </w:t>
      </w:r>
      <w:r>
        <w:rPr>
          <w:rFonts w:ascii="Palatino Linotype" w:eastAsia="Palatino Linotype" w:hAnsi="Palatino Linotype" w:cs="Palatino Linotype"/>
          <w:sz w:val="24"/>
          <w:szCs w:val="24"/>
        </w:rPr>
        <w:t xml:space="preserve">de México y Municipios, tal como se advierte a continuación: </w:t>
      </w:r>
    </w:p>
    <w:p w:rsidR="001E11B1" w:rsidRDefault="00D1307E">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w:t>
      </w:r>
      <w:r>
        <w:rPr>
          <w:rFonts w:ascii="Palatino Linotype" w:eastAsia="Palatino Linotype" w:hAnsi="Palatino Linotype" w:cs="Palatino Linotype"/>
          <w:i/>
        </w:rPr>
        <w:t>acuerdo con sus facultades, atribuciones, funciones u objeto social, según corresponda, la información, por lo menos, de los temas, documentos y políticas que a continuación se señalan:</w:t>
      </w:r>
    </w:p>
    <w:p w:rsidR="001E11B1" w:rsidRDefault="00D1307E">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rsidR="001E11B1" w:rsidRDefault="00D1307E">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VIII. La remuneración bruta y neta de todos los servidores público</w:t>
      </w:r>
      <w:r>
        <w:rPr>
          <w:rFonts w:ascii="Palatino Linotype" w:eastAsia="Palatino Linotype" w:hAnsi="Palatino Linotype" w:cs="Palatino Linotype"/>
          <w:i/>
        </w:rPr>
        <w:t xml:space="preserve">s de base o de confianza, de todas las percepciones, incluyendo sueldos, prestaciones, gratificaciones, primas, comisiones, dietas, bonos, estímulos, ingresos y sistemas de compensación, señalando la periodicidad de dicha remuneración. </w:t>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se tiene por colmado este punto de la solicitud de información. </w:t>
      </w:r>
    </w:p>
    <w:p w:rsidR="001E11B1" w:rsidRDefault="00D1307E">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4. Respecto a si cuentan con chofer, vehículo oficial y el monto que se les asigna de gasolina </w:t>
      </w:r>
    </w:p>
    <w:tbl>
      <w:tblPr>
        <w:tblStyle w:val="a2"/>
        <w:tblW w:w="8635" w:type="dxa"/>
        <w:tblInd w:w="0" w:type="dxa"/>
        <w:tblLayout w:type="fixed"/>
        <w:tblLook w:val="0400" w:firstRow="0" w:lastRow="0" w:firstColumn="0" w:lastColumn="0" w:noHBand="0" w:noVBand="1"/>
      </w:tblPr>
      <w:tblGrid>
        <w:gridCol w:w="3256"/>
        <w:gridCol w:w="2835"/>
        <w:gridCol w:w="2544"/>
      </w:tblGrid>
      <w:tr w:rsidR="001E11B1">
        <w:tc>
          <w:tcPr>
            <w:tcW w:w="325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1E11B1" w:rsidRDefault="00D1307E">
            <w:pPr>
              <w:spacing w:after="0" w:line="240" w:lineRule="auto"/>
              <w:ind w:firstLine="114"/>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sz w:val="18"/>
                <w:szCs w:val="18"/>
              </w:rPr>
              <w:t>Información requerida.</w:t>
            </w:r>
          </w:p>
        </w:tc>
        <w:tc>
          <w:tcPr>
            <w:tcW w:w="283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1E11B1" w:rsidRDefault="00D1307E">
            <w:pPr>
              <w:spacing w:after="0" w:line="240" w:lineRule="auto"/>
              <w:ind w:firstLine="114"/>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sz w:val="18"/>
                <w:szCs w:val="18"/>
              </w:rPr>
              <w:t>Respuesta</w:t>
            </w:r>
          </w:p>
        </w:tc>
        <w:tc>
          <w:tcPr>
            <w:tcW w:w="254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1E11B1" w:rsidRDefault="00D1307E">
            <w:pPr>
              <w:spacing w:after="0" w:line="240" w:lineRule="auto"/>
              <w:ind w:firstLine="114"/>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sz w:val="18"/>
                <w:szCs w:val="18"/>
              </w:rPr>
              <w:t xml:space="preserve">Informe Justificado </w:t>
            </w:r>
          </w:p>
        </w:tc>
      </w:tr>
      <w:tr w:rsidR="001E11B1">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11B1" w:rsidRDefault="00D1307E">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 Si cuentan con chofer, vehíc</w:t>
            </w:r>
            <w:r>
              <w:rPr>
                <w:rFonts w:ascii="Palatino Linotype" w:eastAsia="Palatino Linotype" w:hAnsi="Palatino Linotype" w:cs="Palatino Linotype"/>
                <w:color w:val="000000"/>
                <w:sz w:val="18"/>
                <w:szCs w:val="18"/>
              </w:rPr>
              <w:t>ulo oficial y cuanto les dan de gasolina.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11B1" w:rsidRDefault="00D1307E">
            <w:pPr>
              <w:spacing w:after="0" w:line="240" w:lineRule="auto"/>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Al respecto el servidor público habilitado de la Dirección General de Administración y Finanzas señaló que efectivamente las y los Comisionados del INFOEM cuentan con chofer adscrito a cada una de sus ponencias respectivamente, que de igual manera cuentan </w:t>
            </w:r>
            <w:r>
              <w:rPr>
                <w:rFonts w:ascii="Palatino Linotype" w:eastAsia="Palatino Linotype" w:hAnsi="Palatino Linotype" w:cs="Palatino Linotype"/>
                <w:color w:val="000000"/>
                <w:sz w:val="18"/>
                <w:szCs w:val="18"/>
              </w:rPr>
              <w:t xml:space="preserve">con vehículo oficial y que cada mes de les </w:t>
            </w:r>
            <w:r>
              <w:rPr>
                <w:rFonts w:ascii="Palatino Linotype" w:eastAsia="Palatino Linotype" w:hAnsi="Palatino Linotype" w:cs="Palatino Linotype"/>
                <w:color w:val="000000"/>
                <w:sz w:val="18"/>
                <w:szCs w:val="18"/>
              </w:rPr>
              <w:lastRenderedPageBreak/>
              <w:t xml:space="preserve">otorgan vales de gasolina equivalentes a seis mil pesos </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11B1" w:rsidRDefault="00D1307E">
            <w:pPr>
              <w:spacing w:after="0" w:line="240" w:lineRule="auto"/>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lastRenderedPageBreak/>
              <w:t xml:space="preserve">Ratifica su respuesta original </w:t>
            </w:r>
          </w:p>
        </w:tc>
      </w:tr>
    </w:tbl>
    <w:p w:rsidR="001E11B1" w:rsidRDefault="00D1307E">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Como se advierte, la Dirección General de Administración y Finanzas da respuesta a cada uno de los planteamientos formulados por el recurrente, siendo </w:t>
      </w:r>
      <w:r>
        <w:rPr>
          <w:rFonts w:ascii="Palatino Linotype" w:eastAsia="Palatino Linotype" w:hAnsi="Palatino Linotype" w:cs="Palatino Linotype"/>
          <w:color w:val="000000"/>
          <w:sz w:val="24"/>
          <w:szCs w:val="24"/>
        </w:rPr>
        <w:t>importante mencionar que la Dirección General de Administración y Finanzas del Instituto de Transparencia</w:t>
      </w:r>
      <w:r>
        <w:rPr>
          <w:rFonts w:ascii="Palatino Linotype" w:eastAsia="Palatino Linotype" w:hAnsi="Palatino Linotype" w:cs="Palatino Linotype"/>
          <w:color w:val="000000"/>
          <w:sz w:val="24"/>
          <w:szCs w:val="24"/>
        </w:rPr>
        <w:t xml:space="preserve">, Acceso a la Información Pública y Protección de Datos Personales del Estado de México y Municipios, fue el área responsable de emitir la información solicitada por </w:t>
      </w:r>
      <w:r>
        <w:rPr>
          <w:rFonts w:ascii="Palatino Linotype" w:eastAsia="Palatino Linotype" w:hAnsi="Palatino Linotype" w:cs="Palatino Linotype"/>
          <w:b/>
          <w:color w:val="000000"/>
          <w:sz w:val="24"/>
          <w:szCs w:val="24"/>
        </w:rPr>
        <w:t>EL RECURRENTE</w:t>
      </w:r>
      <w:r>
        <w:rPr>
          <w:rFonts w:ascii="Palatino Linotype" w:eastAsia="Palatino Linotype" w:hAnsi="Palatino Linotype" w:cs="Palatino Linotype"/>
          <w:color w:val="000000"/>
          <w:sz w:val="24"/>
          <w:szCs w:val="24"/>
        </w:rPr>
        <w:t xml:space="preserve"> que, de conformidad al Reglamento Interior del Instituto de Transparencia, A</w:t>
      </w:r>
      <w:r>
        <w:rPr>
          <w:rFonts w:ascii="Palatino Linotype" w:eastAsia="Palatino Linotype" w:hAnsi="Palatino Linotype" w:cs="Palatino Linotype"/>
          <w:color w:val="000000"/>
          <w:sz w:val="24"/>
          <w:szCs w:val="24"/>
        </w:rPr>
        <w:t>cceso a la Información Pública y Protección de Datos Personales del Estado de México y Municipios, dispone lo siguiente:</w:t>
      </w:r>
    </w:p>
    <w:p w:rsidR="001E11B1" w:rsidRDefault="00D1307E">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26. Corresponde a la Dirección General de Administración y Finanzas ejercer las atribuciones siguientes: </w:t>
      </w:r>
    </w:p>
    <w:p w:rsidR="001E11B1" w:rsidRDefault="00D1307E">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 Representar legal</w:t>
      </w:r>
      <w:r>
        <w:rPr>
          <w:rFonts w:ascii="Palatino Linotype" w:eastAsia="Palatino Linotype" w:hAnsi="Palatino Linotype" w:cs="Palatino Linotype"/>
          <w:i/>
        </w:rPr>
        <w:t xml:space="preserve">mente al Instituto ante autoridades administrativas estatales y municipales, en los actos que regulen sus actividades; </w:t>
      </w:r>
    </w:p>
    <w:p w:rsidR="001E11B1" w:rsidRDefault="00D1307E">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II. Coordinar y formular el anteproyecto del presupuesto anual de egresos del Instituto, para su aprobación; </w:t>
      </w:r>
    </w:p>
    <w:p w:rsidR="001E11B1" w:rsidRDefault="00D1307E">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III. Coadyuvar en el diseñ</w:t>
      </w:r>
      <w:r>
        <w:rPr>
          <w:rFonts w:ascii="Palatino Linotype" w:eastAsia="Palatino Linotype" w:hAnsi="Palatino Linotype" w:cs="Palatino Linotype"/>
          <w:i/>
        </w:rPr>
        <w:t xml:space="preserve">o e implementación de las metas, objetivos, indicadores, así como en los procesos de planeación y programación y los instrumentos técnicos administrativos de las Unidades Administrativas; </w:t>
      </w:r>
    </w:p>
    <w:p w:rsidR="001E11B1" w:rsidRDefault="00D1307E">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IV. Elaborar las políticas, normas, lineamientos, sistemas y proced</w:t>
      </w:r>
      <w:r>
        <w:rPr>
          <w:rFonts w:ascii="Palatino Linotype" w:eastAsia="Palatino Linotype" w:hAnsi="Palatino Linotype" w:cs="Palatino Linotype"/>
          <w:i/>
        </w:rPr>
        <w:t xml:space="preserve">imientos para la administración de los recursos humanos, financieros, materiales y en materia de planeación, programación, información y evaluación del Instituto; </w:t>
      </w:r>
    </w:p>
    <w:p w:rsidR="001E11B1" w:rsidRDefault="00D1307E">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V. Elaborar las modificaciones a la estructura y base de organización del Instituto y propon</w:t>
      </w:r>
      <w:r>
        <w:rPr>
          <w:rFonts w:ascii="Palatino Linotype" w:eastAsia="Palatino Linotype" w:hAnsi="Palatino Linotype" w:cs="Palatino Linotype"/>
          <w:i/>
        </w:rPr>
        <w:t xml:space="preserve">erlas al Pleno; </w:t>
      </w:r>
    </w:p>
    <w:p w:rsidR="001E11B1" w:rsidRDefault="00D1307E">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VI. Implementar los Lineamientos del Servicio Profesional del Instituto; </w:t>
      </w:r>
    </w:p>
    <w:p w:rsidR="001E11B1" w:rsidRDefault="00D1307E">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VII. Establecer medidas generales de seguridad para las instalaciones del Instituto, así como, coordinar la instrumentación de políticas sobre protección civil, clim</w:t>
      </w:r>
      <w:r>
        <w:rPr>
          <w:rFonts w:ascii="Palatino Linotype" w:eastAsia="Palatino Linotype" w:hAnsi="Palatino Linotype" w:cs="Palatino Linotype"/>
          <w:i/>
        </w:rPr>
        <w:t xml:space="preserve">a laboral y demás que resulten pertinentes para el correcto desarrollo de las actividades de las Unidades Administrativas; </w:t>
      </w:r>
    </w:p>
    <w:p w:rsidR="001E11B1" w:rsidRDefault="00D1307E">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rPr>
        <w:t>VIII. Realizar los movimientos del personal, asimismo, emitir los reportes correspondientes al tabulador, plantilla de personal y nó</w:t>
      </w:r>
      <w:r>
        <w:rPr>
          <w:rFonts w:ascii="Palatino Linotype" w:eastAsia="Palatino Linotype" w:hAnsi="Palatino Linotype" w:cs="Palatino Linotype"/>
          <w:i/>
        </w:rPr>
        <w:t>minas</w:t>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De conformidad a la reglamentación antes citada la dirección antes mencionada </w:t>
      </w:r>
      <w:r>
        <w:rPr>
          <w:rFonts w:ascii="Palatino Linotype" w:eastAsia="Palatino Linotype" w:hAnsi="Palatino Linotype" w:cs="Palatino Linotype"/>
          <w:sz w:val="24"/>
          <w:szCs w:val="24"/>
        </w:rPr>
        <w:t>elabora las políticas, normas, lineamientos, sistemas y procedimientos para la administración de los recursos humanos, financieros, materiales y en materia de planeación, p</w:t>
      </w:r>
      <w:r>
        <w:rPr>
          <w:rFonts w:ascii="Palatino Linotype" w:eastAsia="Palatino Linotype" w:hAnsi="Palatino Linotype" w:cs="Palatino Linotype"/>
          <w:sz w:val="24"/>
          <w:szCs w:val="24"/>
        </w:rPr>
        <w:t>rogramación, información y evaluación del Instituto, así como el de elaborar las modificaciones a la estructura y base de organización del Instituto, establecer medidas generales de seguridad para las instalaciones del Instituto y de realizar los movimient</w:t>
      </w:r>
      <w:r>
        <w:rPr>
          <w:rFonts w:ascii="Palatino Linotype" w:eastAsia="Palatino Linotype" w:hAnsi="Palatino Linotype" w:cs="Palatino Linotype"/>
          <w:sz w:val="24"/>
          <w:szCs w:val="24"/>
        </w:rPr>
        <w:t>os del personal, asimismo, emitir los reportes correspondientes al tabulador, plantilla de personal y nóminas.</w:t>
      </w:r>
    </w:p>
    <w:p w:rsidR="001E11B1" w:rsidRDefault="00D1307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ahí que, en su conjunto, este Órgano Garante estima conveniente señalar que no está facultado para manifestarse sobre la veracidad de la información proporcionada, ya que no existe precepto legal alguna en la Ley de la Materia que permita, vía recurso d</w:t>
      </w:r>
      <w:r>
        <w:rPr>
          <w:rFonts w:ascii="Palatino Linotype" w:eastAsia="Palatino Linotype" w:hAnsi="Palatino Linotype" w:cs="Palatino Linotype"/>
          <w:color w:val="000000"/>
          <w:sz w:val="24"/>
          <w:szCs w:val="24"/>
        </w:rPr>
        <w:t xml:space="preserve">e revisión, que se pronuncia al respecto. Por analogía, sirve de </w:t>
      </w:r>
      <w:r>
        <w:rPr>
          <w:rFonts w:ascii="Palatino Linotype" w:eastAsia="Palatino Linotype" w:hAnsi="Palatino Linotype" w:cs="Palatino Linotype"/>
          <w:color w:val="000000"/>
          <w:sz w:val="24"/>
          <w:szCs w:val="24"/>
        </w:rPr>
        <w:lastRenderedPageBreak/>
        <w:t>apoyo a lo anterior el Criterio 31-10 emitido por el entonces Instituto Federal de Accesos a la Información y Protección de Datos, que a la letra establece lo siguiente:</w:t>
      </w:r>
    </w:p>
    <w:p w:rsidR="001E11B1" w:rsidRDefault="00D1307E">
      <w:pPr>
        <w:pBdr>
          <w:top w:val="nil"/>
          <w:left w:val="nil"/>
          <w:bottom w:val="nil"/>
          <w:right w:val="nil"/>
          <w:between w:val="nil"/>
        </w:pBdr>
        <w:spacing w:before="240" w:after="240" w:line="24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u w:val="single"/>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color w:val="000000"/>
        </w:rPr>
        <w:t xml:space="preserve"> El Instituto Federal de Acceso a la Información y Protecci</w:t>
      </w:r>
      <w:r>
        <w:rPr>
          <w:rFonts w:ascii="Palatino Linotype" w:eastAsia="Palatino Linotype" w:hAnsi="Palatino Linotype" w:cs="Palatino Linotype"/>
          <w:i/>
          <w:color w:val="000000"/>
        </w:rPr>
        <w:t>ón de Datos es un órgano de la Administración Pública Federal con autonomía operativa, presupuestaria y de decisión, encargado de promover y difundir el ejercicio del derecho de acceso a la información; resolver sobre la negativa de las solicitudes de acce</w:t>
      </w:r>
      <w:r>
        <w:rPr>
          <w:rFonts w:ascii="Palatino Linotype" w:eastAsia="Palatino Linotype" w:hAnsi="Palatino Linotype" w:cs="Palatino Linotype"/>
          <w:i/>
          <w:color w:val="000000"/>
        </w:rPr>
        <w:t>so a la información; y proteger los datos personales en poder de las dependencias y entidades. Sin embargo, no está facultado para pronunciarse sobre la veracidad de la información proporcionada por las autoridades en respuesta a las solicitudes de informa</w:t>
      </w:r>
      <w:r>
        <w:rPr>
          <w:rFonts w:ascii="Palatino Linotype" w:eastAsia="Palatino Linotype" w:hAnsi="Palatino Linotype" w:cs="Palatino Linotype"/>
          <w:i/>
          <w:color w:val="000000"/>
        </w:rPr>
        <w:t>ción que les presentan los particulares, en virtud de que en los artículos 49 y 50 de la ley Federal de Transparencia y Accesos a la Información Pública Gubernamental no se prevé una causal que permita al Instituto Federal de Acceso a la Información y Prot</w:t>
      </w:r>
      <w:r>
        <w:rPr>
          <w:rFonts w:ascii="Palatino Linotype" w:eastAsia="Palatino Linotype" w:hAnsi="Palatino Linotype" w:cs="Palatino Linotype"/>
          <w:i/>
          <w:color w:val="000000"/>
        </w:rPr>
        <w:t>ección de Datos conocer, vía recurso de revisión, al respecto.”</w:t>
      </w:r>
    </w:p>
    <w:p w:rsidR="001E11B1" w:rsidRDefault="001E11B1">
      <w:pPr>
        <w:spacing w:before="240" w:after="240" w:line="360" w:lineRule="auto"/>
        <w:ind w:right="49"/>
        <w:jc w:val="both"/>
        <w:rPr>
          <w:rFonts w:ascii="Palatino Linotype" w:eastAsia="Palatino Linotype" w:hAnsi="Palatino Linotype" w:cs="Palatino Linotype"/>
          <w:color w:val="000000"/>
          <w:sz w:val="24"/>
          <w:szCs w:val="24"/>
        </w:rPr>
      </w:pPr>
    </w:p>
    <w:p w:rsidR="001E11B1" w:rsidRDefault="00D1307E">
      <w:pPr>
        <w:spacing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5. Por lo que se refiere al punto relativo a las Facturas de los servicios desde que fue contratado hasta la fecha de la seguridad privada por parte del CUSAEM </w:t>
      </w:r>
    </w:p>
    <w:tbl>
      <w:tblPr>
        <w:tblStyle w:val="a3"/>
        <w:tblW w:w="8828" w:type="dxa"/>
        <w:tblInd w:w="0" w:type="dxa"/>
        <w:tblLayout w:type="fixed"/>
        <w:tblLook w:val="0400" w:firstRow="0" w:lastRow="0" w:firstColumn="0" w:lastColumn="0" w:noHBand="0" w:noVBand="1"/>
      </w:tblPr>
      <w:tblGrid>
        <w:gridCol w:w="3340"/>
        <w:gridCol w:w="2892"/>
        <w:gridCol w:w="2596"/>
      </w:tblGrid>
      <w:tr w:rsidR="001E11B1">
        <w:trPr>
          <w:trHeight w:val="230"/>
        </w:trPr>
        <w:tc>
          <w:tcPr>
            <w:tcW w:w="334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1E11B1" w:rsidRDefault="00D1307E">
            <w:pPr>
              <w:spacing w:after="0" w:line="240" w:lineRule="auto"/>
              <w:ind w:firstLine="114"/>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sz w:val="18"/>
                <w:szCs w:val="18"/>
              </w:rPr>
              <w:t>Información requerida.</w:t>
            </w:r>
          </w:p>
        </w:tc>
        <w:tc>
          <w:tcPr>
            <w:tcW w:w="289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1E11B1" w:rsidRDefault="00D1307E">
            <w:pPr>
              <w:spacing w:after="0" w:line="240" w:lineRule="auto"/>
              <w:ind w:firstLine="114"/>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sz w:val="18"/>
                <w:szCs w:val="18"/>
              </w:rPr>
              <w:t>Respues</w:t>
            </w:r>
            <w:r>
              <w:rPr>
                <w:rFonts w:ascii="Palatino Linotype" w:eastAsia="Palatino Linotype" w:hAnsi="Palatino Linotype" w:cs="Palatino Linotype"/>
                <w:b/>
                <w:i/>
                <w:color w:val="000000"/>
                <w:sz w:val="18"/>
                <w:szCs w:val="18"/>
              </w:rPr>
              <w:t>ta</w:t>
            </w:r>
          </w:p>
        </w:tc>
        <w:tc>
          <w:tcPr>
            <w:tcW w:w="259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1E11B1" w:rsidRDefault="00D1307E">
            <w:pPr>
              <w:spacing w:after="0" w:line="240" w:lineRule="auto"/>
              <w:ind w:firstLine="114"/>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sz w:val="18"/>
                <w:szCs w:val="18"/>
              </w:rPr>
              <w:t xml:space="preserve">Informe Justificado </w:t>
            </w:r>
          </w:p>
        </w:tc>
      </w:tr>
      <w:tr w:rsidR="001E11B1">
        <w:tc>
          <w:tcPr>
            <w:tcW w:w="3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11B1" w:rsidRDefault="00D1307E">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Facturas de los servicios desde que fue contratado hasta la fecha de la seguridad privada por parte del CUSAEM</w:t>
            </w:r>
          </w:p>
        </w:tc>
        <w:tc>
          <w:tcPr>
            <w:tcW w:w="2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11B1" w:rsidRDefault="00D1307E">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 xml:space="preserve">Al respecto el Sujeto Obligado remitió la versión Pública de las facturas de pago por concepto de vigilancia de mayo de dos mil cinco a noviembre de dos mil veintiuno, acompañadas del Acuerdo de Comité de Transparencia. </w:t>
            </w:r>
          </w:p>
        </w:tc>
        <w:tc>
          <w:tcPr>
            <w:tcW w:w="2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11B1" w:rsidRDefault="00D1307E">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Ratifica su respuesta origina</w:t>
            </w:r>
          </w:p>
        </w:tc>
      </w:tr>
    </w:tbl>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Se i</w:t>
      </w:r>
      <w:r>
        <w:rPr>
          <w:rFonts w:ascii="Palatino Linotype" w:eastAsia="Palatino Linotype" w:hAnsi="Palatino Linotype" w:cs="Palatino Linotype"/>
          <w:sz w:val="24"/>
          <w:szCs w:val="24"/>
        </w:rPr>
        <w:t xml:space="preserve">nserta una de las facturas remitidas a manera de ejemplo: </w:t>
      </w:r>
    </w:p>
    <w:p w:rsidR="001E11B1" w:rsidRDefault="00D1307E">
      <w:pPr>
        <w:spacing w:before="240" w:after="240" w:line="360" w:lineRule="auto"/>
        <w:jc w:val="both"/>
        <w:rPr>
          <w:rFonts w:ascii="Palatino Linotype" w:eastAsia="Palatino Linotype" w:hAnsi="Palatino Linotype" w:cs="Palatino Linotype"/>
          <w:sz w:val="24"/>
          <w:szCs w:val="24"/>
          <w:highlight w:val="yellow"/>
        </w:rPr>
      </w:pPr>
      <w:r>
        <w:rPr>
          <w:rFonts w:ascii="Palatino Linotype" w:eastAsia="Palatino Linotype" w:hAnsi="Palatino Linotype" w:cs="Palatino Linotype"/>
          <w:noProof/>
          <w:highlight w:val="yellow"/>
        </w:rPr>
        <w:lastRenderedPageBreak/>
        <w:drawing>
          <wp:inline distT="0" distB="0" distL="0" distR="0">
            <wp:extent cx="5718851" cy="3620989"/>
            <wp:effectExtent l="0" t="0" r="0" b="0"/>
            <wp:docPr id="7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l="21320" t="8841" r="39749" b="6737"/>
                    <a:stretch>
                      <a:fillRect/>
                    </a:stretch>
                  </pic:blipFill>
                  <pic:spPr>
                    <a:xfrm>
                      <a:off x="0" y="0"/>
                      <a:ext cx="5718851" cy="3620989"/>
                    </a:xfrm>
                    <a:prstGeom prst="rect">
                      <a:avLst/>
                    </a:prstGeom>
                    <a:ln/>
                  </pic:spPr>
                </pic:pic>
              </a:graphicData>
            </a:graphic>
          </wp:inline>
        </w:drawing>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Como se advierte con los documentos remitidos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se colma el derecho de acceso a la información ejercido por el particular por consiste en el soporte documental en el que cons</w:t>
      </w:r>
      <w:r>
        <w:rPr>
          <w:rFonts w:ascii="Palatino Linotype" w:eastAsia="Palatino Linotype" w:hAnsi="Palatino Linotype" w:cs="Palatino Linotype"/>
          <w:sz w:val="24"/>
          <w:szCs w:val="24"/>
        </w:rPr>
        <w:t>ta los montos pagados por concepto de seguridad privada, mismos que fueron proporcionados en versión pública, acompañados del acuerdo de comité correspondiente, en el cual fue testado el número de elementos de seguridad pública contratados, por considerars</w:t>
      </w:r>
      <w:r>
        <w:rPr>
          <w:rFonts w:ascii="Palatino Linotype" w:eastAsia="Palatino Linotype" w:hAnsi="Palatino Linotype" w:cs="Palatino Linotype"/>
          <w:sz w:val="24"/>
          <w:szCs w:val="24"/>
        </w:rPr>
        <w:t xml:space="preserve">e que dicha información actualiza la causal de reserva de la información, por lo cual se procedió a analizar el contenido del Acuerdo de Clasificación a fin de determinar si la </w:t>
      </w:r>
      <w:r>
        <w:rPr>
          <w:rFonts w:ascii="Palatino Linotype" w:eastAsia="Palatino Linotype" w:hAnsi="Palatino Linotype" w:cs="Palatino Linotype"/>
          <w:sz w:val="24"/>
          <w:szCs w:val="24"/>
        </w:rPr>
        <w:lastRenderedPageBreak/>
        <w:t>clasificación alegada, se encuentra debidamente fundada y motivada y cumple con</w:t>
      </w:r>
      <w:r>
        <w:rPr>
          <w:rFonts w:ascii="Palatino Linotype" w:eastAsia="Palatino Linotype" w:hAnsi="Palatino Linotype" w:cs="Palatino Linotype"/>
          <w:sz w:val="24"/>
          <w:szCs w:val="24"/>
        </w:rPr>
        <w:t xml:space="preserve"> las formalidades establecidas en la normatividad aplicable: </w:t>
      </w: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0"/>
        <w:gridCol w:w="6381"/>
        <w:gridCol w:w="807"/>
      </w:tblGrid>
      <w:tr w:rsidR="001E11B1">
        <w:tc>
          <w:tcPr>
            <w:tcW w:w="1640" w:type="dxa"/>
          </w:tcPr>
          <w:p w:rsidR="001E11B1" w:rsidRDefault="00D1307E">
            <w:pPr>
              <w:spacing w:before="240" w:after="240" w:line="276" w:lineRule="auto"/>
              <w:jc w:val="center"/>
              <w:rPr>
                <w:rFonts w:ascii="Palatino Linotype" w:eastAsia="Palatino Linotype" w:hAnsi="Palatino Linotype" w:cs="Palatino Linotype"/>
              </w:rPr>
            </w:pPr>
            <w:r>
              <w:rPr>
                <w:rFonts w:ascii="Palatino Linotype" w:eastAsia="Palatino Linotype" w:hAnsi="Palatino Linotype" w:cs="Palatino Linotype"/>
              </w:rPr>
              <w:t xml:space="preserve">El Sujeto Obligado considero que el proporcionar el número de vigilantes, pone en riesgo la seguridad del personal que labora en el Instituto y/o cualquier persona que visite las instalaciones, </w:t>
            </w:r>
            <w:r>
              <w:rPr>
                <w:rFonts w:ascii="Palatino Linotype" w:eastAsia="Palatino Linotype" w:hAnsi="Palatino Linotype" w:cs="Palatino Linotype"/>
                <w:b/>
              </w:rPr>
              <w:t>Número de folio de la solicitud</w:t>
            </w:r>
          </w:p>
        </w:tc>
        <w:tc>
          <w:tcPr>
            <w:tcW w:w="6381" w:type="dxa"/>
          </w:tcPr>
          <w:p w:rsidR="001E11B1" w:rsidRDefault="00D1307E">
            <w:pPr>
              <w:spacing w:before="240" w:after="240" w:line="276" w:lineRule="auto"/>
              <w:rPr>
                <w:rFonts w:ascii="Palatino Linotype" w:eastAsia="Palatino Linotype" w:hAnsi="Palatino Linotype" w:cs="Palatino Linotype"/>
                <w:sz w:val="20"/>
                <w:szCs w:val="20"/>
              </w:rPr>
            </w:pPr>
            <w:r>
              <w:rPr>
                <w:rFonts w:ascii="Palatino Linotype" w:eastAsia="Palatino Linotype" w:hAnsi="Palatino Linotype" w:cs="Palatino Linotype"/>
                <w:noProof/>
              </w:rPr>
              <w:drawing>
                <wp:inline distT="0" distB="0" distL="0" distR="0">
                  <wp:extent cx="3590925" cy="2181225"/>
                  <wp:effectExtent l="0" t="0" r="0" b="0"/>
                  <wp:docPr id="7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l="5771" t="17508" r="30244" b="13362"/>
                          <a:stretch>
                            <a:fillRect/>
                          </a:stretch>
                        </pic:blipFill>
                        <pic:spPr>
                          <a:xfrm>
                            <a:off x="0" y="0"/>
                            <a:ext cx="3590925" cy="2181225"/>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simplePos x="0" y="0"/>
                      <wp:positionH relativeFrom="column">
                        <wp:posOffset>63501</wp:posOffset>
                      </wp:positionH>
                      <wp:positionV relativeFrom="paragraph">
                        <wp:posOffset>2070100</wp:posOffset>
                      </wp:positionV>
                      <wp:extent cx="933450" cy="219075"/>
                      <wp:effectExtent l="0" t="0" r="0" b="0"/>
                      <wp:wrapNone/>
                      <wp:docPr id="50" name=""/>
                      <wp:cNvGraphicFramePr/>
                      <a:graphic xmlns:a="http://schemas.openxmlformats.org/drawingml/2006/main">
                        <a:graphicData uri="http://schemas.microsoft.com/office/word/2010/wordprocessingShape">
                          <wps:wsp>
                            <wps:cNvSpPr/>
                            <wps:spPr>
                              <a:xfrm>
                                <a:off x="4893563" y="3684750"/>
                                <a:ext cx="904875" cy="190500"/>
                              </a:xfrm>
                              <a:prstGeom prst="rect">
                                <a:avLst/>
                              </a:prstGeom>
                              <a:noFill/>
                              <a:ln w="28575" cap="flat" cmpd="sng">
                                <a:solidFill>
                                  <a:srgbClr val="FF0000"/>
                                </a:solidFill>
                                <a:prstDash val="solid"/>
                                <a:miter lim="800000"/>
                                <a:headEnd type="none" w="sm" len="sm"/>
                                <a:tailEnd type="none" w="sm" len="sm"/>
                              </a:ln>
                            </wps:spPr>
                            <wps:txbx>
                              <w:txbxContent>
                                <w:p w:rsidR="001E11B1" w:rsidRDefault="001E11B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63501</wp:posOffset>
                      </wp:positionH>
                      <wp:positionV relativeFrom="paragraph">
                        <wp:posOffset>2070100</wp:posOffset>
                      </wp:positionV>
                      <wp:extent cx="933450" cy="219075"/>
                      <wp:effectExtent b="0" l="0" r="0" t="0"/>
                      <wp:wrapNone/>
                      <wp:docPr id="50" name="image25.png"/>
                      <a:graphic>
                        <a:graphicData uri="http://schemas.openxmlformats.org/drawingml/2006/picture">
                          <pic:pic>
                            <pic:nvPicPr>
                              <pic:cNvPr id="0" name="image25.png"/>
                              <pic:cNvPicPr preferRelativeResize="0"/>
                            </pic:nvPicPr>
                            <pic:blipFill>
                              <a:blip r:embed="rId22"/>
                              <a:srcRect/>
                              <a:stretch>
                                <a:fillRect/>
                              </a:stretch>
                            </pic:blipFill>
                            <pic:spPr>
                              <a:xfrm>
                                <a:off x="0" y="0"/>
                                <a:ext cx="933450" cy="219075"/>
                              </a:xfrm>
                              <a:prstGeom prst="rect"/>
                              <a:ln/>
                            </pic:spPr>
                          </pic:pic>
                        </a:graphicData>
                      </a:graphic>
                    </wp:anchor>
                  </w:drawing>
                </mc:Fallback>
              </mc:AlternateContent>
            </w:r>
          </w:p>
        </w:tc>
        <w:tc>
          <w:tcPr>
            <w:tcW w:w="807" w:type="dxa"/>
          </w:tcPr>
          <w:p w:rsidR="001E11B1" w:rsidRDefault="00D1307E">
            <w:pPr>
              <w:spacing w:before="240" w:after="240"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rPr>
              <w:t>Sí</w:t>
            </w:r>
          </w:p>
        </w:tc>
      </w:tr>
      <w:tr w:rsidR="001E11B1">
        <w:tc>
          <w:tcPr>
            <w:tcW w:w="1640" w:type="dxa"/>
          </w:tcPr>
          <w:p w:rsidR="001E11B1" w:rsidRDefault="00D1307E">
            <w:pPr>
              <w:spacing w:before="240" w:after="24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Referencia de la información solicitada</w:t>
            </w:r>
          </w:p>
        </w:tc>
        <w:tc>
          <w:tcPr>
            <w:tcW w:w="6381" w:type="dxa"/>
          </w:tcPr>
          <w:p w:rsidR="001E11B1" w:rsidRDefault="00D1307E">
            <w:pPr>
              <w:spacing w:before="240" w:after="240" w:line="276"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3476625" cy="1990725"/>
                  <wp:effectExtent l="0" t="0" r="0" b="0"/>
                  <wp:docPr id="7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l="6278" t="28074" r="31773" b="8835"/>
                          <a:stretch>
                            <a:fillRect/>
                          </a:stretch>
                        </pic:blipFill>
                        <pic:spPr>
                          <a:xfrm>
                            <a:off x="0" y="0"/>
                            <a:ext cx="3476625" cy="1990725"/>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simplePos x="0" y="0"/>
                      <wp:positionH relativeFrom="column">
                        <wp:posOffset>228600</wp:posOffset>
                      </wp:positionH>
                      <wp:positionV relativeFrom="paragraph">
                        <wp:posOffset>393700</wp:posOffset>
                      </wp:positionV>
                      <wp:extent cx="3371850" cy="552450"/>
                      <wp:effectExtent l="0" t="0" r="0" b="0"/>
                      <wp:wrapNone/>
                      <wp:docPr id="52" name=""/>
                      <wp:cNvGraphicFramePr/>
                      <a:graphic xmlns:a="http://schemas.openxmlformats.org/drawingml/2006/main">
                        <a:graphicData uri="http://schemas.microsoft.com/office/word/2010/wordprocessingShape">
                          <wps:wsp>
                            <wps:cNvSpPr/>
                            <wps:spPr>
                              <a:xfrm>
                                <a:off x="3674363" y="3518063"/>
                                <a:ext cx="3343275" cy="523875"/>
                              </a:xfrm>
                              <a:prstGeom prst="rect">
                                <a:avLst/>
                              </a:prstGeom>
                              <a:noFill/>
                              <a:ln w="28575" cap="flat" cmpd="sng">
                                <a:solidFill>
                                  <a:srgbClr val="FF0000"/>
                                </a:solidFill>
                                <a:prstDash val="solid"/>
                                <a:miter lim="800000"/>
                                <a:headEnd type="none" w="sm" len="sm"/>
                                <a:tailEnd type="none" w="sm" len="sm"/>
                              </a:ln>
                            </wps:spPr>
                            <wps:txbx>
                              <w:txbxContent>
                                <w:p w:rsidR="001E11B1" w:rsidRDefault="001E11B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wp:posOffset>
                      </wp:positionH>
                      <wp:positionV relativeFrom="paragraph">
                        <wp:posOffset>393700</wp:posOffset>
                      </wp:positionV>
                      <wp:extent cx="3371850" cy="552450"/>
                      <wp:effectExtent b="0" l="0" r="0" t="0"/>
                      <wp:wrapNone/>
                      <wp:docPr id="52" name="image28.png"/>
                      <a:graphic>
                        <a:graphicData uri="http://schemas.openxmlformats.org/drawingml/2006/picture">
                          <pic:pic>
                            <pic:nvPicPr>
                              <pic:cNvPr id="0" name="image28.png"/>
                              <pic:cNvPicPr preferRelativeResize="0"/>
                            </pic:nvPicPr>
                            <pic:blipFill>
                              <a:blip r:embed="rId24"/>
                              <a:srcRect/>
                              <a:stretch>
                                <a:fillRect/>
                              </a:stretch>
                            </pic:blipFill>
                            <pic:spPr>
                              <a:xfrm>
                                <a:off x="0" y="0"/>
                                <a:ext cx="3371850" cy="552450"/>
                              </a:xfrm>
                              <a:prstGeom prst="rect"/>
                              <a:ln/>
                            </pic:spPr>
                          </pic:pic>
                        </a:graphicData>
                      </a:graphic>
                    </wp:anchor>
                  </w:drawing>
                </mc:Fallback>
              </mc:AlternateContent>
            </w:r>
          </w:p>
        </w:tc>
        <w:tc>
          <w:tcPr>
            <w:tcW w:w="807" w:type="dxa"/>
          </w:tcPr>
          <w:p w:rsidR="001E11B1" w:rsidRDefault="00D1307E">
            <w:pPr>
              <w:spacing w:before="240" w:after="240"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Sí</w:t>
            </w:r>
          </w:p>
        </w:tc>
      </w:tr>
      <w:tr w:rsidR="001E11B1">
        <w:tc>
          <w:tcPr>
            <w:tcW w:w="1640" w:type="dxa"/>
          </w:tcPr>
          <w:p w:rsidR="001E11B1" w:rsidRDefault="00D1307E">
            <w:pPr>
              <w:spacing w:before="240" w:after="24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Causal aplicable del artículo 113 de la Ley General, vinculándola con el Lineamiento específico del presente ordenamiento y, cuando corresponda, el supuesto normativo que expresamente le otorga el carácter de información reservada</w:t>
            </w:r>
          </w:p>
        </w:tc>
        <w:tc>
          <w:tcPr>
            <w:tcW w:w="6381" w:type="dxa"/>
          </w:tcPr>
          <w:p w:rsidR="001E11B1" w:rsidRDefault="00D1307E">
            <w:pPr>
              <w:spacing w:before="240" w:after="240" w:line="276" w:lineRule="auto"/>
              <w:rPr>
                <w:rFonts w:ascii="Palatino Linotype" w:eastAsia="Palatino Linotype" w:hAnsi="Palatino Linotype" w:cs="Palatino Linotype"/>
                <w:sz w:val="20"/>
                <w:szCs w:val="20"/>
              </w:rPr>
            </w:pPr>
            <w:r>
              <w:rPr>
                <w:rFonts w:ascii="Palatino Linotype" w:eastAsia="Palatino Linotype" w:hAnsi="Palatino Linotype" w:cs="Palatino Linotype"/>
                <w:noProof/>
              </w:rPr>
              <w:drawing>
                <wp:inline distT="0" distB="0" distL="0" distR="0">
                  <wp:extent cx="3781527" cy="3084482"/>
                  <wp:effectExtent l="0" t="0" r="0" b="0"/>
                  <wp:docPr id="7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l="6279" t="16603" r="31092" b="5815"/>
                          <a:stretch>
                            <a:fillRect/>
                          </a:stretch>
                        </pic:blipFill>
                        <pic:spPr>
                          <a:xfrm>
                            <a:off x="0" y="0"/>
                            <a:ext cx="3781527" cy="3084482"/>
                          </a:xfrm>
                          <a:prstGeom prst="rect">
                            <a:avLst/>
                          </a:prstGeom>
                          <a:ln/>
                        </pic:spPr>
                      </pic:pic>
                    </a:graphicData>
                  </a:graphic>
                </wp:inline>
              </w:drawing>
            </w:r>
          </w:p>
        </w:tc>
        <w:tc>
          <w:tcPr>
            <w:tcW w:w="807" w:type="dxa"/>
          </w:tcPr>
          <w:p w:rsidR="001E11B1" w:rsidRDefault="00D1307E">
            <w:pPr>
              <w:spacing w:before="240" w:after="240"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rPr>
              <w:t>Sí</w:t>
            </w:r>
          </w:p>
        </w:tc>
      </w:tr>
      <w:tr w:rsidR="001E11B1">
        <w:tc>
          <w:tcPr>
            <w:tcW w:w="1640" w:type="dxa"/>
          </w:tcPr>
          <w:p w:rsidR="001E11B1" w:rsidRDefault="00D1307E">
            <w:pPr>
              <w:spacing w:before="240" w:after="24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Fundamento y Motiva</w:t>
            </w:r>
            <w:r>
              <w:rPr>
                <w:rFonts w:ascii="Palatino Linotype" w:eastAsia="Palatino Linotype" w:hAnsi="Palatino Linotype" w:cs="Palatino Linotype"/>
                <w:b/>
                <w:sz w:val="18"/>
                <w:szCs w:val="18"/>
              </w:rPr>
              <w:t>ción Legal</w:t>
            </w:r>
          </w:p>
        </w:tc>
        <w:tc>
          <w:tcPr>
            <w:tcW w:w="6381" w:type="dxa"/>
          </w:tcPr>
          <w:p w:rsidR="001E11B1" w:rsidRDefault="00D1307E">
            <w:pPr>
              <w:spacing w:before="240" w:after="240" w:line="276" w:lineRule="auto"/>
              <w:rPr>
                <w:rFonts w:ascii="Palatino Linotype" w:eastAsia="Palatino Linotype" w:hAnsi="Palatino Linotype" w:cs="Palatino Linotype"/>
                <w:sz w:val="20"/>
                <w:szCs w:val="20"/>
              </w:rPr>
            </w:pPr>
            <w:r>
              <w:rPr>
                <w:rFonts w:ascii="Palatino Linotype" w:eastAsia="Palatino Linotype" w:hAnsi="Palatino Linotype" w:cs="Palatino Linotype"/>
                <w:noProof/>
              </w:rPr>
              <w:drawing>
                <wp:inline distT="0" distB="0" distL="0" distR="0">
                  <wp:extent cx="3457575" cy="857250"/>
                  <wp:effectExtent l="0" t="0" r="0" b="0"/>
                  <wp:docPr id="7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l="5940" t="43168" r="32450" b="29662"/>
                          <a:stretch>
                            <a:fillRect/>
                          </a:stretch>
                        </pic:blipFill>
                        <pic:spPr>
                          <a:xfrm>
                            <a:off x="0" y="0"/>
                            <a:ext cx="3457575" cy="857250"/>
                          </a:xfrm>
                          <a:prstGeom prst="rect">
                            <a:avLst/>
                          </a:prstGeom>
                          <a:ln/>
                        </pic:spPr>
                      </pic:pic>
                    </a:graphicData>
                  </a:graphic>
                </wp:inline>
              </w:drawing>
            </w:r>
          </w:p>
        </w:tc>
        <w:tc>
          <w:tcPr>
            <w:tcW w:w="807" w:type="dxa"/>
          </w:tcPr>
          <w:p w:rsidR="001E11B1" w:rsidRDefault="00D1307E">
            <w:pPr>
              <w:spacing w:before="240" w:after="240"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Sí</w:t>
            </w:r>
          </w:p>
        </w:tc>
      </w:tr>
      <w:tr w:rsidR="001E11B1">
        <w:tc>
          <w:tcPr>
            <w:tcW w:w="1640" w:type="dxa"/>
          </w:tcPr>
          <w:p w:rsidR="001E11B1" w:rsidRDefault="00D1307E">
            <w:pPr>
              <w:spacing w:before="240" w:after="240" w:line="276" w:lineRule="auto"/>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Conexión entre los fundamentos y motivos que dieron origen a la Reserva de la información</w:t>
            </w:r>
          </w:p>
        </w:tc>
        <w:tc>
          <w:tcPr>
            <w:tcW w:w="6381" w:type="dxa"/>
          </w:tcPr>
          <w:p w:rsidR="001E11B1" w:rsidRDefault="00D1307E">
            <w:pPr>
              <w:spacing w:before="240" w:after="240" w:line="276" w:lineRule="auto"/>
              <w:rPr>
                <w:rFonts w:ascii="Palatino Linotype" w:eastAsia="Palatino Linotype" w:hAnsi="Palatino Linotype" w:cs="Palatino Linotype"/>
                <w:sz w:val="20"/>
                <w:szCs w:val="20"/>
              </w:rPr>
            </w:pPr>
            <w:r>
              <w:rPr>
                <w:rFonts w:ascii="Palatino Linotype" w:eastAsia="Palatino Linotype" w:hAnsi="Palatino Linotype" w:cs="Palatino Linotype"/>
                <w:noProof/>
              </w:rPr>
              <w:drawing>
                <wp:inline distT="0" distB="0" distL="0" distR="0">
                  <wp:extent cx="3457575" cy="942975"/>
                  <wp:effectExtent l="0" t="0" r="0" b="0"/>
                  <wp:docPr id="7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a:srcRect l="6449" t="58563" r="31941" b="11551"/>
                          <a:stretch>
                            <a:fillRect/>
                          </a:stretch>
                        </pic:blipFill>
                        <pic:spPr>
                          <a:xfrm>
                            <a:off x="0" y="0"/>
                            <a:ext cx="3457575" cy="942975"/>
                          </a:xfrm>
                          <a:prstGeom prst="rect">
                            <a:avLst/>
                          </a:prstGeom>
                          <a:ln/>
                        </pic:spPr>
                      </pic:pic>
                    </a:graphicData>
                  </a:graphic>
                </wp:inline>
              </w:drawing>
            </w:r>
          </w:p>
        </w:tc>
        <w:tc>
          <w:tcPr>
            <w:tcW w:w="807" w:type="dxa"/>
          </w:tcPr>
          <w:p w:rsidR="001E11B1" w:rsidRDefault="00D1307E">
            <w:pPr>
              <w:spacing w:before="240" w:after="240"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rPr>
              <w:t>Sí</w:t>
            </w:r>
          </w:p>
        </w:tc>
      </w:tr>
      <w:tr w:rsidR="001E11B1">
        <w:tc>
          <w:tcPr>
            <w:tcW w:w="8828" w:type="dxa"/>
            <w:gridSpan w:val="3"/>
            <w:shd w:val="clear" w:color="auto" w:fill="7B7B7B"/>
          </w:tcPr>
          <w:p w:rsidR="001E11B1" w:rsidRDefault="00D1307E">
            <w:pPr>
              <w:spacing w:before="240" w:after="240" w:line="276" w:lineRule="auto"/>
              <w:jc w:val="center"/>
              <w:rPr>
                <w:rFonts w:ascii="Palatino Linotype" w:eastAsia="Palatino Linotype" w:hAnsi="Palatino Linotype" w:cs="Palatino Linotype"/>
                <w:b/>
              </w:rPr>
            </w:pPr>
            <w:r>
              <w:rPr>
                <w:rFonts w:ascii="Palatino Linotype" w:eastAsia="Palatino Linotype" w:hAnsi="Palatino Linotype" w:cs="Palatino Linotype"/>
                <w:b/>
                <w:color w:val="FFFFFF"/>
                <w:sz w:val="22"/>
                <w:szCs w:val="22"/>
              </w:rPr>
              <w:t>Elementos de la prueba de daño</w:t>
            </w:r>
          </w:p>
        </w:tc>
      </w:tr>
      <w:tr w:rsidR="001E11B1">
        <w:tc>
          <w:tcPr>
            <w:tcW w:w="1640" w:type="dxa"/>
            <w:shd w:val="clear" w:color="auto" w:fill="auto"/>
          </w:tcPr>
          <w:p w:rsidR="001E11B1" w:rsidRDefault="00D1307E">
            <w:pPr>
              <w:spacing w:before="240" w:after="240" w:line="259"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Riesgo Real, Demostrable e Identificable</w:t>
            </w:r>
          </w:p>
          <w:p w:rsidR="001E11B1" w:rsidRDefault="00D1307E">
            <w:pPr>
              <w:spacing w:before="240" w:after="24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sz w:val="16"/>
                <w:szCs w:val="16"/>
              </w:rPr>
              <w:t>(Modo, Tiempo y Lugar)</w:t>
            </w:r>
          </w:p>
        </w:tc>
        <w:tc>
          <w:tcPr>
            <w:tcW w:w="6381" w:type="dxa"/>
            <w:shd w:val="clear" w:color="auto" w:fill="auto"/>
          </w:tcPr>
          <w:p w:rsidR="001E11B1" w:rsidRDefault="00D1307E">
            <w:pPr>
              <w:spacing w:before="240" w:after="24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noProof/>
              </w:rPr>
              <w:drawing>
                <wp:inline distT="0" distB="0" distL="0" distR="0">
                  <wp:extent cx="3946400" cy="749712"/>
                  <wp:effectExtent l="0" t="0" r="0" b="0"/>
                  <wp:docPr id="7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l="8381" t="41675" r="36029" b="44239"/>
                          <a:stretch>
                            <a:fillRect/>
                          </a:stretch>
                        </pic:blipFill>
                        <pic:spPr>
                          <a:xfrm>
                            <a:off x="0" y="0"/>
                            <a:ext cx="3946400" cy="749712"/>
                          </a:xfrm>
                          <a:prstGeom prst="rect">
                            <a:avLst/>
                          </a:prstGeom>
                          <a:ln/>
                        </pic:spPr>
                      </pic:pic>
                    </a:graphicData>
                  </a:graphic>
                </wp:inline>
              </w:drawing>
            </w:r>
          </w:p>
        </w:tc>
        <w:tc>
          <w:tcPr>
            <w:tcW w:w="807" w:type="dxa"/>
            <w:shd w:val="clear" w:color="auto" w:fill="auto"/>
          </w:tcPr>
          <w:p w:rsidR="001E11B1" w:rsidRDefault="00D1307E">
            <w:pPr>
              <w:spacing w:before="240" w:after="24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000000"/>
                <w:sz w:val="22"/>
                <w:szCs w:val="22"/>
              </w:rPr>
              <w:t>Sí</w:t>
            </w:r>
          </w:p>
        </w:tc>
      </w:tr>
      <w:tr w:rsidR="001E11B1">
        <w:tc>
          <w:tcPr>
            <w:tcW w:w="1640" w:type="dxa"/>
            <w:shd w:val="clear" w:color="auto" w:fill="auto"/>
          </w:tcPr>
          <w:p w:rsidR="001E11B1" w:rsidRDefault="00D1307E">
            <w:pPr>
              <w:spacing w:before="240" w:after="24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sz w:val="16"/>
                <w:szCs w:val="16"/>
              </w:rPr>
              <w:t>Temporalidad de la Reserva de la información</w:t>
            </w:r>
          </w:p>
        </w:tc>
        <w:tc>
          <w:tcPr>
            <w:tcW w:w="6381" w:type="dxa"/>
            <w:shd w:val="clear" w:color="auto" w:fill="auto"/>
          </w:tcPr>
          <w:p w:rsidR="001E11B1" w:rsidRDefault="00D1307E">
            <w:pPr>
              <w:spacing w:before="240" w:after="24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noProof/>
              </w:rPr>
              <w:drawing>
                <wp:inline distT="0" distB="0" distL="0" distR="0">
                  <wp:extent cx="3371850" cy="657225"/>
                  <wp:effectExtent l="0" t="0" r="0" b="0"/>
                  <wp:docPr id="7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l="7807" t="38640" r="35506" b="40531"/>
                          <a:stretch>
                            <a:fillRect/>
                          </a:stretch>
                        </pic:blipFill>
                        <pic:spPr>
                          <a:xfrm>
                            <a:off x="0" y="0"/>
                            <a:ext cx="3371850" cy="657225"/>
                          </a:xfrm>
                          <a:prstGeom prst="rect">
                            <a:avLst/>
                          </a:prstGeom>
                          <a:ln/>
                        </pic:spPr>
                      </pic:pic>
                    </a:graphicData>
                  </a:graphic>
                </wp:inline>
              </w:drawing>
            </w:r>
            <w:r>
              <w:rPr>
                <w:rFonts w:ascii="Palatino Linotype" w:eastAsia="Palatino Linotype" w:hAnsi="Palatino Linotype" w:cs="Palatino Linotype"/>
                <w:noProof/>
              </w:rPr>
              <w:drawing>
                <wp:inline distT="0" distB="0" distL="0" distR="0">
                  <wp:extent cx="3597536" cy="914457"/>
                  <wp:effectExtent l="0" t="0" r="0" b="0"/>
                  <wp:docPr id="8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l="6789" t="44073" r="32451" b="28456"/>
                          <a:stretch>
                            <a:fillRect/>
                          </a:stretch>
                        </pic:blipFill>
                        <pic:spPr>
                          <a:xfrm>
                            <a:off x="0" y="0"/>
                            <a:ext cx="3597536" cy="914457"/>
                          </a:xfrm>
                          <a:prstGeom prst="rect">
                            <a:avLst/>
                          </a:prstGeom>
                          <a:ln/>
                        </pic:spPr>
                      </pic:pic>
                    </a:graphicData>
                  </a:graphic>
                </wp:inline>
              </w:drawing>
            </w:r>
          </w:p>
        </w:tc>
        <w:tc>
          <w:tcPr>
            <w:tcW w:w="807" w:type="dxa"/>
            <w:shd w:val="clear" w:color="auto" w:fill="auto"/>
          </w:tcPr>
          <w:p w:rsidR="001E11B1" w:rsidRDefault="00D1307E">
            <w:pPr>
              <w:spacing w:before="240" w:after="24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000000"/>
              </w:rPr>
              <w:t>Sí</w:t>
            </w:r>
          </w:p>
        </w:tc>
      </w:tr>
      <w:tr w:rsidR="001E11B1">
        <w:tc>
          <w:tcPr>
            <w:tcW w:w="1640" w:type="dxa"/>
            <w:shd w:val="clear" w:color="auto" w:fill="auto"/>
          </w:tcPr>
          <w:p w:rsidR="001E11B1" w:rsidRDefault="00D1307E">
            <w:pPr>
              <w:spacing w:before="240" w:after="24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sz w:val="16"/>
                <w:szCs w:val="16"/>
              </w:rPr>
              <w:lastRenderedPageBreak/>
              <w:t>Autoridades competentes.</w:t>
            </w:r>
          </w:p>
        </w:tc>
        <w:tc>
          <w:tcPr>
            <w:tcW w:w="6381" w:type="dxa"/>
            <w:shd w:val="clear" w:color="auto" w:fill="auto"/>
          </w:tcPr>
          <w:p w:rsidR="001E11B1" w:rsidRDefault="00D1307E">
            <w:pPr>
              <w:spacing w:before="240" w:after="240" w:line="276"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2257425" cy="1952625"/>
                  <wp:effectExtent l="0" t="0" r="0" b="0"/>
                  <wp:docPr id="8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l="20876" t="25055" r="38900" b="13062"/>
                          <a:stretch>
                            <a:fillRect/>
                          </a:stretch>
                        </pic:blipFill>
                        <pic:spPr>
                          <a:xfrm>
                            <a:off x="0" y="0"/>
                            <a:ext cx="2257425" cy="1952625"/>
                          </a:xfrm>
                          <a:prstGeom prst="rect">
                            <a:avLst/>
                          </a:prstGeom>
                          <a:ln/>
                        </pic:spPr>
                      </pic:pic>
                    </a:graphicData>
                  </a:graphic>
                </wp:inline>
              </w:drawing>
            </w:r>
            <w:r>
              <w:rPr>
                <w:rFonts w:ascii="Palatino Linotype" w:eastAsia="Palatino Linotype" w:hAnsi="Palatino Linotype" w:cs="Palatino Linotype"/>
                <w:noProof/>
              </w:rPr>
              <w:drawing>
                <wp:inline distT="0" distB="0" distL="0" distR="0">
                  <wp:extent cx="1695450" cy="981075"/>
                  <wp:effectExtent l="0" t="0" r="0" b="0"/>
                  <wp:docPr id="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l="21895" t="37129" r="47895" b="31777"/>
                          <a:stretch>
                            <a:fillRect/>
                          </a:stretch>
                        </pic:blipFill>
                        <pic:spPr>
                          <a:xfrm>
                            <a:off x="0" y="0"/>
                            <a:ext cx="1695450" cy="981075"/>
                          </a:xfrm>
                          <a:prstGeom prst="rect">
                            <a:avLst/>
                          </a:prstGeom>
                          <a:ln/>
                        </pic:spPr>
                      </pic:pic>
                    </a:graphicData>
                  </a:graphic>
                </wp:inline>
              </w:drawing>
            </w:r>
            <w:r>
              <w:rPr>
                <w:rFonts w:ascii="Palatino Linotype" w:eastAsia="Palatino Linotype" w:hAnsi="Palatino Linotype" w:cs="Palatino Linotype"/>
                <w:noProof/>
              </w:rPr>
              <w:drawing>
                <wp:inline distT="0" distB="0" distL="0" distR="0">
                  <wp:extent cx="2143125" cy="1066800"/>
                  <wp:effectExtent l="0" t="0" r="0" b="0"/>
                  <wp:docPr id="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l="17821" t="33508" r="43992" b="32682"/>
                          <a:stretch>
                            <a:fillRect/>
                          </a:stretch>
                        </pic:blipFill>
                        <pic:spPr>
                          <a:xfrm>
                            <a:off x="0" y="0"/>
                            <a:ext cx="2143125" cy="1066800"/>
                          </a:xfrm>
                          <a:prstGeom prst="rect">
                            <a:avLst/>
                          </a:prstGeom>
                          <a:ln/>
                        </pic:spPr>
                      </pic:pic>
                    </a:graphicData>
                  </a:graphic>
                </wp:inline>
              </w:drawing>
            </w:r>
          </w:p>
          <w:p w:rsidR="001E11B1" w:rsidRDefault="001E11B1">
            <w:pPr>
              <w:spacing w:before="240" w:after="240" w:line="276" w:lineRule="auto"/>
              <w:jc w:val="center"/>
              <w:rPr>
                <w:rFonts w:ascii="Palatino Linotype" w:eastAsia="Palatino Linotype" w:hAnsi="Palatino Linotype" w:cs="Palatino Linotype"/>
                <w:b/>
                <w:color w:val="FFFFFF"/>
                <w:sz w:val="22"/>
                <w:szCs w:val="22"/>
              </w:rPr>
            </w:pPr>
          </w:p>
        </w:tc>
        <w:tc>
          <w:tcPr>
            <w:tcW w:w="807" w:type="dxa"/>
            <w:shd w:val="clear" w:color="auto" w:fill="auto"/>
          </w:tcPr>
          <w:p w:rsidR="001E11B1" w:rsidRDefault="00D1307E">
            <w:pPr>
              <w:spacing w:before="240" w:after="24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000000"/>
                <w:sz w:val="22"/>
                <w:szCs w:val="22"/>
              </w:rPr>
              <w:t>Si</w:t>
            </w:r>
          </w:p>
        </w:tc>
      </w:tr>
    </w:tbl>
    <w:p w:rsidR="001E11B1" w:rsidRDefault="00D1307E">
      <w:pPr>
        <w:pBdr>
          <w:top w:val="nil"/>
          <w:left w:val="nil"/>
          <w:bottom w:val="nil"/>
          <w:right w:val="nil"/>
          <w:between w:val="nil"/>
        </w:pBdr>
        <w:spacing w:before="240" w:after="240" w:line="360" w:lineRule="auto"/>
        <w:jc w:val="both"/>
        <w:rPr>
          <w:rFonts w:ascii="Palatino Linotype" w:eastAsia="Palatino Linotype" w:hAnsi="Palatino Linotype" w:cs="Palatino Linotype"/>
          <w:strike/>
          <w:color w:val="FF0000"/>
          <w:sz w:val="24"/>
          <w:szCs w:val="24"/>
          <w:highlight w:val="yellow"/>
        </w:rPr>
        <w:sectPr w:rsidR="001E11B1">
          <w:headerReference w:type="default" r:id="rId34"/>
          <w:footerReference w:type="default" r:id="rId35"/>
          <w:headerReference w:type="first" r:id="rId36"/>
          <w:pgSz w:w="12240" w:h="15840"/>
          <w:pgMar w:top="1417" w:right="1701" w:bottom="1417" w:left="1701" w:header="708" w:footer="708" w:gutter="0"/>
          <w:pgNumType w:start="1"/>
          <w:cols w:space="720"/>
          <w:titlePg/>
        </w:sectPr>
      </w:pPr>
      <w:r>
        <w:rPr>
          <w:rFonts w:ascii="Palatino Linotype" w:eastAsia="Palatino Linotype" w:hAnsi="Palatino Linotype" w:cs="Palatino Linotype"/>
          <w:color w:val="000000"/>
          <w:sz w:val="24"/>
          <w:szCs w:val="24"/>
        </w:rPr>
        <w:t xml:space="preserve">Atento a lo anterior,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realizó la prueba de daño y precisó las razones por las cuales la apertura de la información generaría una afectación, para ello refirió que su divulgación representa un riesgo real, demostrable e identificable, además estableció que el</w:t>
      </w:r>
      <w:r>
        <w:rPr>
          <w:rFonts w:ascii="Palatino Linotype" w:eastAsia="Palatino Linotype" w:hAnsi="Palatino Linotype" w:cs="Palatino Linotype"/>
          <w:color w:val="000000"/>
          <w:sz w:val="24"/>
          <w:szCs w:val="24"/>
        </w:rPr>
        <w:t xml:space="preserve"> perjuicio supera de momento el interés público general toda vez implica poner en riesgo la seguridad del personal que labora en el Instituto y/o cualquier persona que visitara las instalaciones, derivado que las mismas contienen información precisa en rel</w:t>
      </w:r>
      <w:r>
        <w:rPr>
          <w:rFonts w:ascii="Palatino Linotype" w:eastAsia="Palatino Linotype" w:hAnsi="Palatino Linotype" w:cs="Palatino Linotype"/>
          <w:color w:val="000000"/>
          <w:sz w:val="24"/>
          <w:szCs w:val="24"/>
        </w:rPr>
        <w:t>ación al número de vigilantes por lo que confirma el periodo de cinco años de reserva de información</w:t>
      </w:r>
      <w:r>
        <w:rPr>
          <w:rFonts w:ascii="Palatino Linotype" w:eastAsia="Palatino Linotype" w:hAnsi="Palatino Linotype" w:cs="Palatino Linotype"/>
          <w:color w:val="FF0000"/>
          <w:sz w:val="24"/>
          <w:szCs w:val="24"/>
        </w:rPr>
        <w:t>.</w:t>
      </w:r>
    </w:p>
    <w:p w:rsidR="001E11B1" w:rsidRDefault="001E11B1">
      <w:pPr>
        <w:pBdr>
          <w:top w:val="nil"/>
          <w:left w:val="nil"/>
          <w:bottom w:val="nil"/>
          <w:right w:val="nil"/>
          <w:between w:val="nil"/>
        </w:pBdr>
        <w:spacing w:before="240" w:after="240" w:line="240" w:lineRule="auto"/>
        <w:rPr>
          <w:rFonts w:ascii="Palatino Linotype" w:eastAsia="Palatino Linotype" w:hAnsi="Palatino Linotype" w:cs="Palatino Linotype"/>
          <w:strike/>
          <w:color w:val="FF0000"/>
          <w:sz w:val="24"/>
          <w:szCs w:val="24"/>
          <w:highlight w:val="yellow"/>
        </w:rPr>
      </w:pP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 así que, este Órgano Garante determina que la resolución RES/06/INFOEM/ORD/COMT/23°/2021, de fecha 2</w:t>
      </w:r>
      <w:r>
        <w:rPr>
          <w:rFonts w:ascii="Palatino Linotype" w:eastAsia="Palatino Linotype" w:hAnsi="Palatino Linotype" w:cs="Palatino Linotype"/>
          <w:sz w:val="24"/>
          <w:szCs w:val="24"/>
          <w:highlight w:val="white"/>
        </w:rPr>
        <w:t>5</w:t>
      </w:r>
      <w:r>
        <w:rPr>
          <w:rFonts w:ascii="Palatino Linotype" w:eastAsia="Palatino Linotype" w:hAnsi="Palatino Linotype" w:cs="Palatino Linotype"/>
          <w:sz w:val="24"/>
          <w:szCs w:val="24"/>
        </w:rPr>
        <w:t xml:space="preserve"> de noviembre de 2021, emitida por el Comité de Transparencia se encuentra debidamente fundada y motivada, en términos de lo dispuesto en los artículos 128 y 129, de la Ley de Transparencia y Acceso a la Información Pública del Estado de México y Municipio</w:t>
      </w:r>
      <w:r>
        <w:rPr>
          <w:rFonts w:ascii="Palatino Linotype" w:eastAsia="Palatino Linotype" w:hAnsi="Palatino Linotype" w:cs="Palatino Linotype"/>
          <w:sz w:val="24"/>
          <w:szCs w:val="24"/>
        </w:rPr>
        <w:t xml:space="preserve">s, la resolución por medio de la cual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 xml:space="preserve">determinó clasificar como información </w:t>
      </w:r>
      <w:r>
        <w:rPr>
          <w:rFonts w:ascii="Palatino Linotype" w:eastAsia="Palatino Linotype" w:hAnsi="Palatino Linotype" w:cs="Palatino Linotype"/>
          <w:b/>
          <w:sz w:val="24"/>
          <w:szCs w:val="24"/>
        </w:rPr>
        <w:t>RESERVADA</w:t>
      </w:r>
      <w:r>
        <w:rPr>
          <w:rFonts w:ascii="Palatino Linotype" w:eastAsia="Palatino Linotype" w:hAnsi="Palatino Linotype" w:cs="Palatino Linotype"/>
          <w:sz w:val="24"/>
          <w:szCs w:val="24"/>
        </w:rPr>
        <w:t xml:space="preserve"> al número de vigilantes, apreciable en las facturas </w:t>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mismo se advierte, se encuentra información susceptible de clasificar como confidencial al tra</w:t>
      </w:r>
      <w:r>
        <w:rPr>
          <w:rFonts w:ascii="Palatino Linotype" w:eastAsia="Palatino Linotype" w:hAnsi="Palatino Linotype" w:cs="Palatino Linotype"/>
          <w:sz w:val="24"/>
          <w:szCs w:val="24"/>
        </w:rPr>
        <w:t xml:space="preserve">tarse de datos personales concerniente a una persona física, como es el nombre y firma de un particular.  </w:t>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tales términos conviene precisar que la información mencionada por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tiene el carácter de confidencial, misma que se encuentra de</w:t>
      </w:r>
      <w:r>
        <w:rPr>
          <w:rFonts w:ascii="Palatino Linotype" w:eastAsia="Palatino Linotype" w:hAnsi="Palatino Linotype" w:cs="Palatino Linotype"/>
          <w:sz w:val="24"/>
          <w:szCs w:val="24"/>
        </w:rPr>
        <w:t>bidamente fundada de conformidad a la Ley de Transparencia y Acceso a la Información Pública del Estado de México y Municipios, en la que dispone lo siguiente:</w:t>
      </w:r>
    </w:p>
    <w:p w:rsidR="001E11B1" w:rsidRDefault="00D1307E">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Artículo 3. Para los efectos de la presente Ley se entenderá por:</w:t>
      </w:r>
    </w:p>
    <w:p w:rsidR="001E11B1" w:rsidRDefault="00D1307E">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rsidR="001E11B1" w:rsidRDefault="00D1307E">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IX. Datos personales: La información concerniente a una persona, identificada o identificable según lo dispuesto por la Ley de Protección de Datos Personales del Estado de México;</w:t>
      </w:r>
    </w:p>
    <w:p w:rsidR="001E11B1" w:rsidRDefault="00D1307E">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rsidR="001E11B1" w:rsidRDefault="00D1307E">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XXI. Información confidencial: Se considera como información confidencia</w:t>
      </w:r>
      <w:r>
        <w:rPr>
          <w:rFonts w:ascii="Palatino Linotype" w:eastAsia="Palatino Linotype" w:hAnsi="Palatino Linotype" w:cs="Palatino Linotype"/>
          <w:i/>
        </w:rPr>
        <w:t xml:space="preserve">l los secretos bancario, fiduciario, industrial, comercial, fiscal, bursátil y postal, cuya titularidad corresponda a particulares, sujetos de derecho internacional o a sujetos obligados cuando no involucren el ejercicio de recursos públicos; </w:t>
      </w:r>
    </w:p>
    <w:p w:rsidR="001E11B1" w:rsidRDefault="00D1307E">
      <w:pPr>
        <w:spacing w:before="240" w:after="240" w:line="360" w:lineRule="auto"/>
        <w:ind w:left="851" w:right="900"/>
        <w:jc w:val="both"/>
        <w:rPr>
          <w:rFonts w:ascii="Palatino Linotype" w:eastAsia="Palatino Linotype" w:hAnsi="Palatino Linotype" w:cs="Palatino Linotype"/>
          <w:i/>
          <w:sz w:val="24"/>
          <w:szCs w:val="24"/>
        </w:rPr>
      </w:pPr>
      <w:r>
        <w:rPr>
          <w:rFonts w:ascii="Palatino Linotype" w:eastAsia="Palatino Linotype" w:hAnsi="Palatino Linotype" w:cs="Palatino Linotype"/>
          <w:i/>
        </w:rPr>
        <w:t>Artículo 91.</w:t>
      </w:r>
      <w:r>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rsidR="001E11B1" w:rsidRDefault="001E11B1">
      <w:pPr>
        <w:spacing w:before="240" w:after="240" w:line="360" w:lineRule="auto"/>
        <w:jc w:val="both"/>
        <w:rPr>
          <w:rFonts w:ascii="Palatino Linotype" w:eastAsia="Palatino Linotype" w:hAnsi="Palatino Linotype" w:cs="Palatino Linotype"/>
          <w:sz w:val="24"/>
          <w:szCs w:val="24"/>
        </w:rPr>
      </w:pP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tenor los datos personales, es la información concerniente a la titularidad de particulares, como es el caso del nombr</w:t>
      </w:r>
      <w:r>
        <w:rPr>
          <w:rFonts w:ascii="Palatino Linotype" w:eastAsia="Palatino Linotype" w:hAnsi="Palatino Linotype" w:cs="Palatino Linotype"/>
          <w:sz w:val="24"/>
          <w:szCs w:val="24"/>
        </w:rPr>
        <w:t>e y firma del particular, por lo que dicha información es susceptible de ser restringida como confidencial.</w:t>
      </w:r>
    </w:p>
    <w:p w:rsidR="001E11B1" w:rsidRDefault="00D1307E">
      <w:pPr>
        <w:spacing w:before="240" w:after="240" w:line="360" w:lineRule="auto"/>
        <w:jc w:val="both"/>
        <w:rPr>
          <w:rFonts w:ascii="Palatino Linotype" w:eastAsia="Palatino Linotype" w:hAnsi="Palatino Linotype" w:cs="Palatino Linotype"/>
          <w:color w:val="2F2F2F"/>
          <w:sz w:val="24"/>
          <w:szCs w:val="24"/>
          <w:highlight w:val="white"/>
        </w:rPr>
      </w:pPr>
      <w:r>
        <w:rPr>
          <w:rFonts w:ascii="Palatino Linotype" w:eastAsia="Palatino Linotype" w:hAnsi="Palatino Linotype" w:cs="Palatino Linotype"/>
          <w:sz w:val="24"/>
          <w:szCs w:val="24"/>
        </w:rPr>
        <w:t xml:space="preserve">De igual forma resulta relevante mencionar que cuenta con las formalidades establecidas en los </w:t>
      </w:r>
      <w:r>
        <w:rPr>
          <w:rFonts w:ascii="Palatino Linotype" w:eastAsia="Palatino Linotype" w:hAnsi="Palatino Linotype" w:cs="Palatino Linotype"/>
          <w:color w:val="2F2F2F"/>
          <w:sz w:val="24"/>
          <w:szCs w:val="24"/>
          <w:highlight w:val="white"/>
        </w:rPr>
        <w:t xml:space="preserve">Lineamientos Generales en Materia de Clasificación y </w:t>
      </w:r>
      <w:r>
        <w:rPr>
          <w:rFonts w:ascii="Palatino Linotype" w:eastAsia="Palatino Linotype" w:hAnsi="Palatino Linotype" w:cs="Palatino Linotype"/>
          <w:color w:val="2F2F2F"/>
          <w:sz w:val="24"/>
          <w:szCs w:val="24"/>
          <w:highlight w:val="white"/>
        </w:rPr>
        <w:t>Desclasificación de la Información, así como para la Elaboración de Versiones Públicas:</w:t>
      </w:r>
    </w:p>
    <w:p w:rsidR="001E11B1" w:rsidRDefault="00D1307E">
      <w:pPr>
        <w:shd w:val="clear" w:color="auto" w:fill="FFFFFF"/>
        <w:spacing w:after="80" w:line="240" w:lineRule="auto"/>
        <w:ind w:left="851" w:right="900"/>
        <w:jc w:val="both"/>
        <w:rPr>
          <w:rFonts w:ascii="Palatino Linotype" w:eastAsia="Palatino Linotype" w:hAnsi="Palatino Linotype" w:cs="Palatino Linotype"/>
          <w:i/>
          <w:color w:val="2F2F2F"/>
        </w:rPr>
      </w:pPr>
      <w:r>
        <w:rPr>
          <w:rFonts w:ascii="Palatino Linotype" w:eastAsia="Palatino Linotype" w:hAnsi="Palatino Linotype" w:cs="Palatino Linotype"/>
          <w:b/>
          <w:i/>
          <w:color w:val="2F2F2F"/>
        </w:rPr>
        <w:lastRenderedPageBreak/>
        <w:t>Quincuagésimo. </w:t>
      </w:r>
      <w:r>
        <w:rPr>
          <w:rFonts w:ascii="Palatino Linotype" w:eastAsia="Palatino Linotype" w:hAnsi="Palatino Linotype" w:cs="Palatino Linotype"/>
          <w:i/>
          <w:color w:val="2F2F2F"/>
        </w:rPr>
        <w:t>Los titulares de las áreas de los sujetos obligados podrán utilizar los formatos contenidos en el presente Capítulo como modelo para señalar la clasifica</w:t>
      </w:r>
      <w:r>
        <w:rPr>
          <w:rFonts w:ascii="Palatino Linotype" w:eastAsia="Palatino Linotype" w:hAnsi="Palatino Linotype" w:cs="Palatino Linotype"/>
          <w:i/>
          <w:color w:val="2F2F2F"/>
        </w:rPr>
        <w:t>ción de documentos o expedientes, sin perjuicio de que establezcan los propios.</w:t>
      </w:r>
    </w:p>
    <w:p w:rsidR="001E11B1" w:rsidRDefault="00D1307E">
      <w:pPr>
        <w:shd w:val="clear" w:color="auto" w:fill="FFFFFF"/>
        <w:spacing w:after="80" w:line="240" w:lineRule="auto"/>
        <w:ind w:left="851" w:right="900"/>
        <w:jc w:val="both"/>
        <w:rPr>
          <w:rFonts w:ascii="Palatino Linotype" w:eastAsia="Palatino Linotype" w:hAnsi="Palatino Linotype" w:cs="Palatino Linotype"/>
          <w:i/>
          <w:color w:val="2F2F2F"/>
        </w:rPr>
      </w:pPr>
      <w:r>
        <w:rPr>
          <w:rFonts w:ascii="Palatino Linotype" w:eastAsia="Palatino Linotype" w:hAnsi="Palatino Linotype" w:cs="Palatino Linotype"/>
          <w:b/>
          <w:i/>
          <w:color w:val="2F2F2F"/>
        </w:rPr>
        <w:t>Quincuagésimo primero.</w:t>
      </w:r>
      <w:r>
        <w:rPr>
          <w:rFonts w:ascii="Palatino Linotype" w:eastAsia="Palatino Linotype" w:hAnsi="Palatino Linotype" w:cs="Palatino Linotype"/>
          <w:i/>
          <w:color w:val="2F2F2F"/>
        </w:rPr>
        <w:t> La leyenda en los documentos clasificados indicará:</w:t>
      </w:r>
    </w:p>
    <w:p w:rsidR="001E11B1" w:rsidRDefault="00D1307E">
      <w:pPr>
        <w:shd w:val="clear" w:color="auto" w:fill="FFFFFF"/>
        <w:spacing w:after="80" w:line="240" w:lineRule="auto"/>
        <w:ind w:left="851" w:right="900"/>
        <w:jc w:val="both"/>
        <w:rPr>
          <w:rFonts w:ascii="Palatino Linotype" w:eastAsia="Palatino Linotype" w:hAnsi="Palatino Linotype" w:cs="Palatino Linotype"/>
          <w:i/>
          <w:color w:val="2F2F2F"/>
        </w:rPr>
      </w:pPr>
      <w:r>
        <w:rPr>
          <w:rFonts w:ascii="Palatino Linotype" w:eastAsia="Palatino Linotype" w:hAnsi="Palatino Linotype" w:cs="Palatino Linotype"/>
          <w:b/>
          <w:i/>
          <w:color w:val="2F2F2F"/>
        </w:rPr>
        <w:t>I.</w:t>
      </w:r>
      <w:r>
        <w:rPr>
          <w:rFonts w:ascii="Palatino Linotype" w:eastAsia="Palatino Linotype" w:hAnsi="Palatino Linotype" w:cs="Palatino Linotype"/>
          <w:i/>
          <w:color w:val="2F2F2F"/>
          <w:sz w:val="24"/>
          <w:szCs w:val="24"/>
        </w:rPr>
        <w:t>        </w:t>
      </w:r>
      <w:r>
        <w:rPr>
          <w:rFonts w:ascii="Palatino Linotype" w:eastAsia="Palatino Linotype" w:hAnsi="Palatino Linotype" w:cs="Palatino Linotype"/>
          <w:i/>
          <w:color w:val="2F2F2F"/>
        </w:rPr>
        <w:t>La fecha de sesión del Comité de Transparencia en donde se confirmó la clasificación, en su</w:t>
      </w:r>
      <w:r>
        <w:rPr>
          <w:rFonts w:ascii="Palatino Linotype" w:eastAsia="Palatino Linotype" w:hAnsi="Palatino Linotype" w:cs="Palatino Linotype"/>
          <w:i/>
          <w:color w:val="2F2F2F"/>
        </w:rPr>
        <w:t xml:space="preserve"> caso;</w:t>
      </w:r>
    </w:p>
    <w:p w:rsidR="001E11B1" w:rsidRDefault="00D1307E">
      <w:pPr>
        <w:shd w:val="clear" w:color="auto" w:fill="FFFFFF"/>
        <w:spacing w:after="80" w:line="240" w:lineRule="auto"/>
        <w:ind w:left="851" w:right="900"/>
        <w:jc w:val="both"/>
        <w:rPr>
          <w:rFonts w:ascii="Palatino Linotype" w:eastAsia="Palatino Linotype" w:hAnsi="Palatino Linotype" w:cs="Palatino Linotype"/>
          <w:i/>
          <w:color w:val="2F2F2F"/>
        </w:rPr>
      </w:pPr>
      <w:r>
        <w:rPr>
          <w:rFonts w:ascii="Palatino Linotype" w:eastAsia="Palatino Linotype" w:hAnsi="Palatino Linotype" w:cs="Palatino Linotype"/>
          <w:b/>
          <w:i/>
          <w:color w:val="2F2F2F"/>
        </w:rPr>
        <w:t>II.</w:t>
      </w:r>
      <w:r>
        <w:rPr>
          <w:rFonts w:ascii="Palatino Linotype" w:eastAsia="Palatino Linotype" w:hAnsi="Palatino Linotype" w:cs="Palatino Linotype"/>
          <w:i/>
          <w:color w:val="2F2F2F"/>
          <w:sz w:val="24"/>
          <w:szCs w:val="24"/>
        </w:rPr>
        <w:t>       </w:t>
      </w:r>
      <w:r>
        <w:rPr>
          <w:rFonts w:ascii="Palatino Linotype" w:eastAsia="Palatino Linotype" w:hAnsi="Palatino Linotype" w:cs="Palatino Linotype"/>
          <w:i/>
          <w:color w:val="2F2F2F"/>
        </w:rPr>
        <w:t>El nombre del área;</w:t>
      </w:r>
    </w:p>
    <w:p w:rsidR="001E11B1" w:rsidRDefault="00D1307E">
      <w:pPr>
        <w:shd w:val="clear" w:color="auto" w:fill="FFFFFF"/>
        <w:spacing w:after="80" w:line="240" w:lineRule="auto"/>
        <w:ind w:left="851" w:right="900"/>
        <w:jc w:val="both"/>
        <w:rPr>
          <w:rFonts w:ascii="Palatino Linotype" w:eastAsia="Palatino Linotype" w:hAnsi="Palatino Linotype" w:cs="Palatino Linotype"/>
          <w:i/>
          <w:color w:val="2F2F2F"/>
        </w:rPr>
      </w:pPr>
      <w:r>
        <w:rPr>
          <w:rFonts w:ascii="Palatino Linotype" w:eastAsia="Palatino Linotype" w:hAnsi="Palatino Linotype" w:cs="Palatino Linotype"/>
          <w:b/>
          <w:i/>
          <w:color w:val="2F2F2F"/>
        </w:rPr>
        <w:t>III.</w:t>
      </w:r>
      <w:r>
        <w:rPr>
          <w:rFonts w:ascii="Palatino Linotype" w:eastAsia="Palatino Linotype" w:hAnsi="Palatino Linotype" w:cs="Palatino Linotype"/>
          <w:i/>
          <w:color w:val="2F2F2F"/>
          <w:sz w:val="24"/>
          <w:szCs w:val="24"/>
        </w:rPr>
        <w:t>      </w:t>
      </w:r>
      <w:r>
        <w:rPr>
          <w:rFonts w:ascii="Palatino Linotype" w:eastAsia="Palatino Linotype" w:hAnsi="Palatino Linotype" w:cs="Palatino Linotype"/>
          <w:i/>
          <w:color w:val="2F2F2F"/>
        </w:rPr>
        <w:t>La palabra reservado o confidencial;</w:t>
      </w:r>
    </w:p>
    <w:p w:rsidR="001E11B1" w:rsidRDefault="00D1307E">
      <w:pPr>
        <w:shd w:val="clear" w:color="auto" w:fill="FFFFFF"/>
        <w:spacing w:after="80" w:line="240" w:lineRule="auto"/>
        <w:ind w:left="851" w:right="900"/>
        <w:jc w:val="both"/>
        <w:rPr>
          <w:rFonts w:ascii="Palatino Linotype" w:eastAsia="Palatino Linotype" w:hAnsi="Palatino Linotype" w:cs="Palatino Linotype"/>
          <w:i/>
          <w:color w:val="2F2F2F"/>
        </w:rPr>
      </w:pPr>
      <w:r>
        <w:rPr>
          <w:rFonts w:ascii="Palatino Linotype" w:eastAsia="Palatino Linotype" w:hAnsi="Palatino Linotype" w:cs="Palatino Linotype"/>
          <w:b/>
          <w:i/>
          <w:color w:val="2F2F2F"/>
        </w:rPr>
        <w:t>IV.</w:t>
      </w:r>
      <w:r>
        <w:rPr>
          <w:rFonts w:ascii="Palatino Linotype" w:eastAsia="Palatino Linotype" w:hAnsi="Palatino Linotype" w:cs="Palatino Linotype"/>
          <w:i/>
          <w:color w:val="2F2F2F"/>
          <w:sz w:val="24"/>
          <w:szCs w:val="24"/>
        </w:rPr>
        <w:t>      </w:t>
      </w:r>
      <w:r>
        <w:rPr>
          <w:rFonts w:ascii="Palatino Linotype" w:eastAsia="Palatino Linotype" w:hAnsi="Palatino Linotype" w:cs="Palatino Linotype"/>
          <w:i/>
          <w:color w:val="2F2F2F"/>
        </w:rPr>
        <w:t>Las partes o secciones reservadas o confidenciales, en su caso;</w:t>
      </w:r>
    </w:p>
    <w:p w:rsidR="001E11B1" w:rsidRDefault="00D1307E">
      <w:pPr>
        <w:shd w:val="clear" w:color="auto" w:fill="FFFFFF"/>
        <w:spacing w:after="80" w:line="240" w:lineRule="auto"/>
        <w:ind w:left="851" w:right="900"/>
        <w:jc w:val="both"/>
        <w:rPr>
          <w:rFonts w:ascii="Palatino Linotype" w:eastAsia="Palatino Linotype" w:hAnsi="Palatino Linotype" w:cs="Palatino Linotype"/>
          <w:i/>
          <w:color w:val="2F2F2F"/>
        </w:rPr>
      </w:pPr>
      <w:r>
        <w:rPr>
          <w:rFonts w:ascii="Palatino Linotype" w:eastAsia="Palatino Linotype" w:hAnsi="Palatino Linotype" w:cs="Palatino Linotype"/>
          <w:b/>
          <w:i/>
          <w:color w:val="2F2F2F"/>
        </w:rPr>
        <w:t>V.</w:t>
      </w:r>
      <w:r>
        <w:rPr>
          <w:rFonts w:ascii="Palatino Linotype" w:eastAsia="Palatino Linotype" w:hAnsi="Palatino Linotype" w:cs="Palatino Linotype"/>
          <w:i/>
          <w:color w:val="2F2F2F"/>
          <w:sz w:val="24"/>
          <w:szCs w:val="24"/>
        </w:rPr>
        <w:t>       </w:t>
      </w:r>
      <w:r>
        <w:rPr>
          <w:rFonts w:ascii="Palatino Linotype" w:eastAsia="Palatino Linotype" w:hAnsi="Palatino Linotype" w:cs="Palatino Linotype"/>
          <w:i/>
          <w:color w:val="2F2F2F"/>
        </w:rPr>
        <w:t>El fundamento legal;</w:t>
      </w:r>
    </w:p>
    <w:p w:rsidR="001E11B1" w:rsidRDefault="00D1307E">
      <w:pPr>
        <w:shd w:val="clear" w:color="auto" w:fill="FFFFFF"/>
        <w:spacing w:after="80" w:line="240" w:lineRule="auto"/>
        <w:ind w:left="851" w:right="900"/>
        <w:jc w:val="both"/>
        <w:rPr>
          <w:rFonts w:ascii="Palatino Linotype" w:eastAsia="Palatino Linotype" w:hAnsi="Palatino Linotype" w:cs="Palatino Linotype"/>
          <w:i/>
          <w:color w:val="2F2F2F"/>
        </w:rPr>
      </w:pPr>
      <w:r>
        <w:rPr>
          <w:rFonts w:ascii="Palatino Linotype" w:eastAsia="Palatino Linotype" w:hAnsi="Palatino Linotype" w:cs="Palatino Linotype"/>
          <w:b/>
          <w:i/>
          <w:color w:val="2F2F2F"/>
        </w:rPr>
        <w:t>VI.</w:t>
      </w:r>
      <w:r>
        <w:rPr>
          <w:rFonts w:ascii="Palatino Linotype" w:eastAsia="Palatino Linotype" w:hAnsi="Palatino Linotype" w:cs="Palatino Linotype"/>
          <w:i/>
          <w:color w:val="2F2F2F"/>
          <w:sz w:val="24"/>
          <w:szCs w:val="24"/>
        </w:rPr>
        <w:t>      </w:t>
      </w:r>
      <w:r>
        <w:rPr>
          <w:rFonts w:ascii="Palatino Linotype" w:eastAsia="Palatino Linotype" w:hAnsi="Palatino Linotype" w:cs="Palatino Linotype"/>
          <w:i/>
          <w:color w:val="2F2F2F"/>
        </w:rPr>
        <w:t>El periodo de reserva, y</w:t>
      </w:r>
    </w:p>
    <w:p w:rsidR="001E11B1" w:rsidRDefault="00D1307E">
      <w:pPr>
        <w:shd w:val="clear" w:color="auto" w:fill="FFFFFF"/>
        <w:spacing w:after="80" w:line="240" w:lineRule="auto"/>
        <w:ind w:left="851" w:right="900"/>
        <w:jc w:val="both"/>
        <w:rPr>
          <w:rFonts w:ascii="Palatino Linotype" w:eastAsia="Palatino Linotype" w:hAnsi="Palatino Linotype" w:cs="Palatino Linotype"/>
          <w:i/>
          <w:color w:val="2F2F2F"/>
        </w:rPr>
      </w:pPr>
      <w:r>
        <w:rPr>
          <w:rFonts w:ascii="Palatino Linotype" w:eastAsia="Palatino Linotype" w:hAnsi="Palatino Linotype" w:cs="Palatino Linotype"/>
          <w:b/>
          <w:i/>
          <w:color w:val="2F2F2F"/>
        </w:rPr>
        <w:t>VII.</w:t>
      </w:r>
      <w:r>
        <w:rPr>
          <w:rFonts w:ascii="Palatino Linotype" w:eastAsia="Palatino Linotype" w:hAnsi="Palatino Linotype" w:cs="Palatino Linotype"/>
          <w:i/>
          <w:color w:val="2F2F2F"/>
          <w:sz w:val="24"/>
          <w:szCs w:val="24"/>
        </w:rPr>
        <w:t>     </w:t>
      </w:r>
      <w:r>
        <w:rPr>
          <w:rFonts w:ascii="Palatino Linotype" w:eastAsia="Palatino Linotype" w:hAnsi="Palatino Linotype" w:cs="Palatino Linotype"/>
          <w:i/>
          <w:color w:val="2F2F2F"/>
        </w:rPr>
        <w:t>La rúbrica del titular del área.</w:t>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anterior la versión pública de las facturas por el servicio de seguridad privada con el CUSAEM, analizadas en este apartado del presente recurso,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está debidamente realizada, por lo que se colmó la</w:t>
      </w:r>
      <w:r>
        <w:rPr>
          <w:rFonts w:ascii="Palatino Linotype" w:eastAsia="Palatino Linotype" w:hAnsi="Palatino Linotype" w:cs="Palatino Linotype"/>
          <w:sz w:val="24"/>
          <w:szCs w:val="24"/>
        </w:rPr>
        <w:t xml:space="preserve"> solicitud de información. </w:t>
      </w:r>
    </w:p>
    <w:p w:rsidR="001E11B1" w:rsidRDefault="00D1307E">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6</w:t>
      </w:r>
      <w:r>
        <w:rPr>
          <w:rFonts w:ascii="Palatino Linotype" w:eastAsia="Palatino Linotype" w:hAnsi="Palatino Linotype" w:cs="Palatino Linotype"/>
          <w:b/>
          <w:sz w:val="24"/>
          <w:szCs w:val="24"/>
        </w:rPr>
        <w:t xml:space="preserve">. Respecto a </w:t>
      </w:r>
      <w:r>
        <w:rPr>
          <w:rFonts w:ascii="Palatino Linotype" w:eastAsia="Palatino Linotype" w:hAnsi="Palatino Linotype" w:cs="Palatino Linotype"/>
          <w:b/>
          <w:color w:val="000000"/>
          <w:sz w:val="24"/>
          <w:szCs w:val="24"/>
        </w:rPr>
        <w:t>los expedientes clasificados y reservados</w:t>
      </w:r>
      <w:r>
        <w:rPr>
          <w:rFonts w:ascii="Palatino Linotype" w:eastAsia="Palatino Linotype" w:hAnsi="Palatino Linotype" w:cs="Palatino Linotype"/>
          <w:color w:val="000000"/>
          <w:sz w:val="24"/>
          <w:szCs w:val="24"/>
        </w:rPr>
        <w:t xml:space="preserve"> </w:t>
      </w:r>
    </w:p>
    <w:tbl>
      <w:tblPr>
        <w:tblStyle w:val="a5"/>
        <w:tblW w:w="8828" w:type="dxa"/>
        <w:tblInd w:w="0" w:type="dxa"/>
        <w:tblLayout w:type="fixed"/>
        <w:tblLook w:val="0400" w:firstRow="0" w:lastRow="0" w:firstColumn="0" w:lastColumn="0" w:noHBand="0" w:noVBand="1"/>
      </w:tblPr>
      <w:tblGrid>
        <w:gridCol w:w="1808"/>
        <w:gridCol w:w="5622"/>
        <w:gridCol w:w="1398"/>
      </w:tblGrid>
      <w:tr w:rsidR="001E11B1">
        <w:trPr>
          <w:trHeight w:val="230"/>
        </w:trPr>
        <w:tc>
          <w:tcPr>
            <w:tcW w:w="180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1E11B1" w:rsidRDefault="00D1307E">
            <w:pPr>
              <w:spacing w:after="0" w:line="240" w:lineRule="auto"/>
              <w:ind w:firstLine="114"/>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sz w:val="18"/>
                <w:szCs w:val="18"/>
              </w:rPr>
              <w:t>Información requerida.</w:t>
            </w:r>
          </w:p>
        </w:tc>
        <w:tc>
          <w:tcPr>
            <w:tcW w:w="562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1E11B1" w:rsidRDefault="00D1307E">
            <w:pPr>
              <w:spacing w:after="0" w:line="240" w:lineRule="auto"/>
              <w:ind w:firstLine="114"/>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sz w:val="18"/>
                <w:szCs w:val="18"/>
              </w:rPr>
              <w:t>Respuesta</w:t>
            </w:r>
          </w:p>
        </w:tc>
        <w:tc>
          <w:tcPr>
            <w:tcW w:w="139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1E11B1" w:rsidRDefault="00D1307E">
            <w:pPr>
              <w:spacing w:after="0" w:line="240" w:lineRule="auto"/>
              <w:ind w:firstLine="114"/>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sz w:val="18"/>
                <w:szCs w:val="18"/>
              </w:rPr>
              <w:t xml:space="preserve">Informe Justificado </w:t>
            </w:r>
          </w:p>
        </w:tc>
      </w:tr>
      <w:tr w:rsidR="001E11B1">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11B1" w:rsidRDefault="00D1307E">
            <w:pPr>
              <w:tabs>
                <w:tab w:val="left" w:pos="3406"/>
              </w:tabs>
              <w:spacing w:after="0" w:line="240" w:lineRule="auto"/>
              <w:jc w:val="both"/>
              <w:rPr>
                <w:rFonts w:ascii="Times New Roman" w:eastAsia="Times New Roman" w:hAnsi="Times New Roman" w:cs="Times New Roman"/>
                <w:sz w:val="24"/>
                <w:szCs w:val="24"/>
              </w:rPr>
            </w:pPr>
            <w:bookmarkStart w:id="2" w:name="_heading=h.gjdgxs" w:colFirst="0" w:colLast="0"/>
            <w:bookmarkEnd w:id="2"/>
            <w:r>
              <w:rPr>
                <w:rFonts w:ascii="Palatino Linotype" w:eastAsia="Palatino Linotype" w:hAnsi="Palatino Linotype" w:cs="Palatino Linotype"/>
                <w:color w:val="000000"/>
                <w:sz w:val="18"/>
                <w:szCs w:val="18"/>
              </w:rPr>
              <w:t>Expedientes clasificados y reservados</w:t>
            </w:r>
            <w:r>
              <w:rPr>
                <w:rFonts w:ascii="Palatino Linotype" w:eastAsia="Palatino Linotype" w:hAnsi="Palatino Linotype" w:cs="Palatino Linotype"/>
                <w:color w:val="000000"/>
                <w:sz w:val="18"/>
                <w:szCs w:val="18"/>
              </w:rPr>
              <w:tab/>
            </w:r>
          </w:p>
        </w:tc>
        <w:tc>
          <w:tcPr>
            <w:tcW w:w="5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11B1" w:rsidRDefault="00D1307E">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Se le informó al particular que dicha información se relaciona con una obligación de transparencia común la cual podía consultar actualizada al último semestre del año en curso en el sistema IPOMEX indicándole la dirección electrónica directa en la que pod</w:t>
            </w:r>
            <w:r>
              <w:rPr>
                <w:rFonts w:ascii="Palatino Linotype" w:eastAsia="Palatino Linotype" w:hAnsi="Palatino Linotype" w:cs="Palatino Linotype"/>
                <w:color w:val="000000"/>
                <w:sz w:val="18"/>
                <w:szCs w:val="18"/>
              </w:rPr>
              <w:t xml:space="preserve">ía consultarlo </w:t>
            </w:r>
          </w:p>
        </w:tc>
        <w:tc>
          <w:tcPr>
            <w:tcW w:w="1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11B1" w:rsidRDefault="00D1307E">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8"/>
                <w:szCs w:val="18"/>
              </w:rPr>
              <w:t xml:space="preserve">Ratifica su respuesta original </w:t>
            </w:r>
          </w:p>
        </w:tc>
      </w:tr>
    </w:tbl>
    <w:p w:rsidR="001E11B1" w:rsidRDefault="00D1307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sectPr w:rsidR="001E11B1">
          <w:headerReference w:type="default" r:id="rId37"/>
          <w:headerReference w:type="first" r:id="rId38"/>
          <w:type w:val="continuous"/>
          <w:pgSz w:w="12240" w:h="15840"/>
          <w:pgMar w:top="1417" w:right="1701" w:bottom="1417" w:left="1701" w:header="708" w:footer="708" w:gutter="0"/>
          <w:cols w:space="720"/>
        </w:sectPr>
      </w:pPr>
      <w:r>
        <w:rPr>
          <w:rFonts w:ascii="Palatino Linotype" w:eastAsia="Palatino Linotype" w:hAnsi="Palatino Linotype" w:cs="Palatino Linotype"/>
          <w:color w:val="000000"/>
          <w:sz w:val="24"/>
          <w:szCs w:val="24"/>
        </w:rPr>
        <w:lastRenderedPageBreak/>
        <w:t xml:space="preserve">En atención a ello, este órgano garante procedió a revisar la liga electrónica proporcionada en respuesta por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w:t>
      </w:r>
      <w:hyperlink r:id="rId39">
        <w:r>
          <w:rPr>
            <w:rFonts w:ascii="Palatino Linotype" w:eastAsia="Palatino Linotype" w:hAnsi="Palatino Linotype" w:cs="Palatino Linotype"/>
            <w:color w:val="0000FF"/>
            <w:sz w:val="24"/>
            <w:szCs w:val="24"/>
            <w:u w:val="single"/>
          </w:rPr>
          <w:t>https://www.ipomex.org.mx/ipo3/lgt/indice/INFOEM/art_92_xix.web</w:t>
        </w:r>
      </w:hyperlink>
      <w:r>
        <w:rPr>
          <w:rFonts w:ascii="Palatino Linotype" w:eastAsia="Palatino Linotype" w:hAnsi="Palatino Linotype" w:cs="Palatino Linotype"/>
          <w:color w:val="000000"/>
          <w:sz w:val="24"/>
          <w:szCs w:val="24"/>
        </w:rPr>
        <w:t>, en la cual se visualiza lo siguiente:</w:t>
      </w:r>
    </w:p>
    <w:p w:rsidR="001E11B1" w:rsidRDefault="001E11B1">
      <w:pPr>
        <w:spacing w:before="240" w:after="240" w:line="360" w:lineRule="auto"/>
        <w:jc w:val="both"/>
        <w:rPr>
          <w:rFonts w:ascii="Palatino Linotype" w:eastAsia="Palatino Linotype" w:hAnsi="Palatino Linotype" w:cs="Palatino Linotype"/>
          <w:sz w:val="24"/>
          <w:szCs w:val="24"/>
        </w:rPr>
      </w:pP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rPr>
        <w:drawing>
          <wp:inline distT="0" distB="0" distL="0" distR="0">
            <wp:extent cx="5577069" cy="2541323"/>
            <wp:effectExtent l="0" t="0" r="0" b="0"/>
            <wp:docPr id="57" name="image11.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nterfaz de usuario gráfica, Texto, Aplicación&#10;&#10;Descripción generada automáticamente"/>
                    <pic:cNvPicPr preferRelativeResize="0"/>
                  </pic:nvPicPr>
                  <pic:blipFill>
                    <a:blip r:embed="rId40"/>
                    <a:srcRect l="28004" t="20678" r="28886" b="46506"/>
                    <a:stretch>
                      <a:fillRect/>
                    </a:stretch>
                  </pic:blipFill>
                  <pic:spPr>
                    <a:xfrm>
                      <a:off x="0" y="0"/>
                      <a:ext cx="5577069" cy="2541323"/>
                    </a:xfrm>
                    <a:prstGeom prst="rect">
                      <a:avLst/>
                    </a:prstGeom>
                    <a:ln/>
                  </pic:spPr>
                </pic:pic>
              </a:graphicData>
            </a:graphic>
          </wp:inline>
        </w:drawing>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dicha liga se localiza la información relativa a los índices de expedientes clasificados como reservados en los ejercicios fiscales 2018, 2019, 202</w:t>
      </w:r>
      <w:r>
        <w:rPr>
          <w:rFonts w:ascii="Palatino Linotype" w:eastAsia="Palatino Linotype" w:hAnsi="Palatino Linotype" w:cs="Palatino Linotype"/>
          <w:sz w:val="24"/>
          <w:szCs w:val="24"/>
        </w:rPr>
        <w:t xml:space="preserve">0 y 2021, mismos que se pueden consultar en formato .xlsx, tal como se advierte a continuación: </w:t>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rPr>
        <w:lastRenderedPageBreak/>
        <w:drawing>
          <wp:inline distT="0" distB="0" distL="0" distR="0">
            <wp:extent cx="5659887" cy="2489538"/>
            <wp:effectExtent l="0" t="0" r="0" b="0"/>
            <wp:docPr id="58" name="image2.png" descr="Una captura de pantalla de una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Una captura de pantalla de una computadora&#10;&#10;Descripción generada automáticamente"/>
                    <pic:cNvPicPr preferRelativeResize="0"/>
                  </pic:nvPicPr>
                  <pic:blipFill>
                    <a:blip r:embed="rId41"/>
                    <a:srcRect l="1358" t="19914" r="4106" b="6156"/>
                    <a:stretch>
                      <a:fillRect/>
                    </a:stretch>
                  </pic:blipFill>
                  <pic:spPr>
                    <a:xfrm>
                      <a:off x="0" y="0"/>
                      <a:ext cx="5659887" cy="2489538"/>
                    </a:xfrm>
                    <a:prstGeom prst="rect">
                      <a:avLst/>
                    </a:prstGeom>
                    <a:ln/>
                  </pic:spPr>
                </pic:pic>
              </a:graphicData>
            </a:graphic>
          </wp:inline>
        </w:drawing>
      </w:r>
    </w:p>
    <w:p w:rsidR="001E11B1" w:rsidRDefault="00D1307E">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Cabe mencionar que dicha información es considerada obligación de transparencia común en términos de lo establecido en el artículo 92 fracción XIX de la Ley </w:t>
      </w:r>
      <w:r>
        <w:rPr>
          <w:rFonts w:ascii="Palatino Linotype" w:eastAsia="Palatino Linotype" w:hAnsi="Palatino Linotype" w:cs="Palatino Linotype"/>
          <w:color w:val="000000"/>
          <w:sz w:val="24"/>
          <w:szCs w:val="24"/>
        </w:rPr>
        <w:t xml:space="preserve">de Transparencia Estatal: </w:t>
      </w:r>
    </w:p>
    <w:p w:rsidR="001E11B1" w:rsidRDefault="00D1307E">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Artículo 92. Los sujetos obligados deberán poner a disposición del público de manera permanente y actualizada de forma sencilla, precisa y entendible, en los respectivos medios electrónicos, de acuerdo con sus facultades, atribuc</w:t>
      </w:r>
      <w:r>
        <w:rPr>
          <w:rFonts w:ascii="Palatino Linotype" w:eastAsia="Palatino Linotype" w:hAnsi="Palatino Linotype" w:cs="Palatino Linotype"/>
          <w:i/>
        </w:rPr>
        <w:t>iones, funciones u objeto social, según corresponda, la información, por lo menos, de los temas, documentos y políticas que a continuación se señalan:</w:t>
      </w:r>
    </w:p>
    <w:p w:rsidR="001E11B1" w:rsidRDefault="00D1307E">
      <w:pPr>
        <w:spacing w:before="240" w:after="240" w:line="276" w:lineRule="auto"/>
        <w:ind w:left="851" w:right="90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rPr>
        <w:t xml:space="preserve">XIX. Índices semestrales en formatos abiertos de </w:t>
      </w:r>
      <w:r>
        <w:rPr>
          <w:rFonts w:ascii="Palatino Linotype" w:eastAsia="Palatino Linotype" w:hAnsi="Palatino Linotype" w:cs="Palatino Linotype"/>
          <w:i/>
          <w:u w:val="single"/>
        </w:rPr>
        <w:t>los expedientes clasificados como reservados</w:t>
      </w:r>
      <w:r>
        <w:rPr>
          <w:rFonts w:ascii="Palatino Linotype" w:eastAsia="Palatino Linotype" w:hAnsi="Palatino Linotype" w:cs="Palatino Linotype"/>
          <w:i/>
        </w:rPr>
        <w:t xml:space="preserve"> que cada sujeto obligado posee y maneja;</w:t>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rPr>
        <w:t xml:space="preserve">Asimismo, tal como fue señalado en párrafos anteriores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cumplió con lo establecido en el artículo 161 de la Ley en la materia ya que </w:t>
      </w:r>
      <w:r>
        <w:rPr>
          <w:rFonts w:ascii="Palatino Linotype" w:eastAsia="Palatino Linotype" w:hAnsi="Palatino Linotype" w:cs="Palatino Linotype"/>
          <w:sz w:val="24"/>
          <w:szCs w:val="24"/>
        </w:rPr>
        <w:t>proporcionó la dirección electrónica precisa en la que se puede</w:t>
      </w:r>
      <w:r>
        <w:rPr>
          <w:rFonts w:ascii="Palatino Linotype" w:eastAsia="Palatino Linotype" w:hAnsi="Palatino Linotype" w:cs="Palatino Linotype"/>
          <w:sz w:val="24"/>
          <w:szCs w:val="24"/>
        </w:rPr>
        <w:t xml:space="preserve"> consultar la información solicitada, sin que </w:t>
      </w:r>
      <w:r>
        <w:rPr>
          <w:rFonts w:ascii="Palatino Linotype" w:eastAsia="Palatino Linotype" w:hAnsi="Palatino Linotype" w:cs="Palatino Linotype"/>
          <w:sz w:val="24"/>
          <w:szCs w:val="24"/>
        </w:rPr>
        <w:lastRenderedPageBreak/>
        <w:t xml:space="preserve">ello implicara realizar una búsqueda en toda la información que ahí se encuentre, por lo que se estima colmado este punto de la solicitud de información. </w:t>
      </w:r>
    </w:p>
    <w:p w:rsidR="001E11B1" w:rsidRDefault="00D130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en razón a la normatividad aludida y de la r</w:t>
      </w:r>
      <w:r>
        <w:rPr>
          <w:rFonts w:ascii="Palatino Linotype" w:eastAsia="Palatino Linotype" w:hAnsi="Palatino Linotype" w:cs="Palatino Linotype"/>
          <w:sz w:val="24"/>
          <w:szCs w:val="24"/>
        </w:rPr>
        <w:t xml:space="preserve">espuesta vertida por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se considera que fue colmado su Derecho de Acceso a la Información Pública, respecto a este punto de la solicitud de información. </w:t>
      </w:r>
    </w:p>
    <w:p w:rsidR="001E11B1" w:rsidRDefault="00D1307E">
      <w:pPr>
        <w:spacing w:before="240" w:after="240" w:line="360" w:lineRule="auto"/>
        <w:ind w:right="49"/>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7. Finalmente, respecto a la creación de este instituto y la finalidad de éste. </w:t>
      </w:r>
    </w:p>
    <w:p w:rsidR="001E11B1" w:rsidRDefault="001E11B1">
      <w:pPr>
        <w:spacing w:before="240" w:after="240" w:line="360" w:lineRule="auto"/>
        <w:ind w:right="49"/>
        <w:jc w:val="both"/>
        <w:rPr>
          <w:rFonts w:ascii="Palatino Linotype" w:eastAsia="Palatino Linotype" w:hAnsi="Palatino Linotype" w:cs="Palatino Linotype"/>
          <w:b/>
          <w:color w:val="000000"/>
          <w:sz w:val="24"/>
          <w:szCs w:val="24"/>
        </w:rPr>
      </w:pPr>
    </w:p>
    <w:tbl>
      <w:tblPr>
        <w:tblStyle w:val="a6"/>
        <w:tblW w:w="8828" w:type="dxa"/>
        <w:tblInd w:w="0" w:type="dxa"/>
        <w:tblLayout w:type="fixed"/>
        <w:tblLook w:val="0400" w:firstRow="0" w:lastRow="0" w:firstColumn="0" w:lastColumn="0" w:noHBand="0" w:noVBand="1"/>
      </w:tblPr>
      <w:tblGrid>
        <w:gridCol w:w="1709"/>
        <w:gridCol w:w="5844"/>
        <w:gridCol w:w="1275"/>
      </w:tblGrid>
      <w:tr w:rsidR="001E11B1">
        <w:trPr>
          <w:trHeight w:val="230"/>
        </w:trPr>
        <w:tc>
          <w:tcPr>
            <w:tcW w:w="170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1E11B1" w:rsidRDefault="00D1307E">
            <w:pPr>
              <w:spacing w:after="0" w:line="240" w:lineRule="auto"/>
              <w:ind w:firstLine="114"/>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sz w:val="18"/>
                <w:szCs w:val="18"/>
              </w:rPr>
              <w:t>In</w:t>
            </w:r>
            <w:r>
              <w:rPr>
                <w:rFonts w:ascii="Palatino Linotype" w:eastAsia="Palatino Linotype" w:hAnsi="Palatino Linotype" w:cs="Palatino Linotype"/>
                <w:b/>
                <w:i/>
                <w:color w:val="000000"/>
                <w:sz w:val="18"/>
                <w:szCs w:val="18"/>
              </w:rPr>
              <w:t>formación requerida.</w:t>
            </w:r>
          </w:p>
        </w:tc>
        <w:tc>
          <w:tcPr>
            <w:tcW w:w="584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1E11B1" w:rsidRDefault="00D1307E">
            <w:pPr>
              <w:spacing w:after="0" w:line="240" w:lineRule="auto"/>
              <w:ind w:firstLine="114"/>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sz w:val="18"/>
                <w:szCs w:val="18"/>
              </w:rPr>
              <w:t>Respuesta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1E11B1" w:rsidRDefault="00D1307E">
            <w:pPr>
              <w:spacing w:after="0" w:line="240" w:lineRule="auto"/>
              <w:ind w:firstLine="114"/>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sz w:val="18"/>
                <w:szCs w:val="18"/>
              </w:rPr>
              <w:t xml:space="preserve">Informe Justificado </w:t>
            </w:r>
          </w:p>
        </w:tc>
      </w:tr>
      <w:tr w:rsidR="001E11B1">
        <w:trPr>
          <w:trHeight w:val="228"/>
        </w:trPr>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11B1" w:rsidRDefault="00D1307E">
            <w:pPr>
              <w:spacing w:after="0" w:line="240" w:lineRule="auto"/>
              <w:jc w:val="both"/>
              <w:rPr>
                <w:rFonts w:ascii="Times New Roman" w:eastAsia="Times New Roman" w:hAnsi="Times New Roman" w:cs="Times New Roman"/>
                <w:sz w:val="24"/>
                <w:szCs w:val="24"/>
              </w:rPr>
            </w:pPr>
            <w:bookmarkStart w:id="3" w:name="_heading=h.30j0zll" w:colFirst="0" w:colLast="0"/>
            <w:bookmarkEnd w:id="3"/>
            <w:r>
              <w:rPr>
                <w:rFonts w:ascii="Palatino Linotype" w:eastAsia="Palatino Linotype" w:hAnsi="Palatino Linotype" w:cs="Palatino Linotype"/>
                <w:color w:val="000000"/>
                <w:sz w:val="18"/>
                <w:szCs w:val="18"/>
              </w:rPr>
              <w:t>Creación de este instituto y finalidad que tiene </w:t>
            </w:r>
          </w:p>
        </w:tc>
        <w:tc>
          <w:tcPr>
            <w:tcW w:w="5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11B1" w:rsidRDefault="00D1307E">
            <w:pPr>
              <w:spacing w:after="0" w:line="24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18"/>
                <w:szCs w:val="18"/>
              </w:rPr>
              <w:t>El Instituto de Transparencia, Acceso a la Información Pública y Protección de Datos Personales del Estado de México y Municipios, es responsable de garantizar el ejercicio de los derechos de acceso a la información pública y la protección de datos persona</w:t>
            </w:r>
            <w:r>
              <w:rPr>
                <w:rFonts w:ascii="Palatino Linotype" w:eastAsia="Palatino Linotype" w:hAnsi="Palatino Linotype" w:cs="Palatino Linotype"/>
                <w:color w:val="000000"/>
                <w:sz w:val="18"/>
                <w:szCs w:val="18"/>
              </w:rPr>
              <w:t>les en posesión de sujetos obligados; el antecedente del entonces Instituto de Transparencia y Acceso a la Información Pública del Estado de México, por lo que respecto a los fines del Instituto en el cual es procedente de los artículos 29 y 36 de la Ley d</w:t>
            </w:r>
            <w:r>
              <w:rPr>
                <w:rFonts w:ascii="Palatino Linotype" w:eastAsia="Palatino Linotype" w:hAnsi="Palatino Linotype" w:cs="Palatino Linotype"/>
                <w:color w:val="000000"/>
                <w:sz w:val="18"/>
                <w:szCs w:val="18"/>
              </w:rPr>
              <w:t xml:space="preserve">e Transparencia y Acceso a la Información Pública del Estado de México y Municipios </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11B1" w:rsidRDefault="00D1307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18"/>
                <w:szCs w:val="18"/>
              </w:rPr>
              <w:t>Ratifica su respuesta original</w:t>
            </w:r>
          </w:p>
        </w:tc>
      </w:tr>
    </w:tbl>
    <w:p w:rsidR="001E11B1" w:rsidRDefault="001E11B1">
      <w:pPr>
        <w:spacing w:before="240" w:after="240" w:line="360" w:lineRule="auto"/>
        <w:ind w:right="49"/>
        <w:jc w:val="both"/>
        <w:rPr>
          <w:rFonts w:ascii="Palatino Linotype" w:eastAsia="Palatino Linotype" w:hAnsi="Palatino Linotype" w:cs="Palatino Linotype"/>
          <w:sz w:val="24"/>
          <w:szCs w:val="24"/>
        </w:rPr>
      </w:pPr>
    </w:p>
    <w:p w:rsidR="001E11B1" w:rsidRDefault="00D1307E">
      <w:pPr>
        <w:spacing w:before="240" w:after="24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acuerdo a lo anterior resulta oportuno citar los artículos 29 y 36 de la Ley de Transparencia y Acceso a la Información Pública del Est</w:t>
      </w:r>
      <w:r>
        <w:rPr>
          <w:rFonts w:ascii="Palatino Linotype" w:eastAsia="Palatino Linotype" w:hAnsi="Palatino Linotype" w:cs="Palatino Linotype"/>
          <w:color w:val="000000"/>
          <w:sz w:val="24"/>
          <w:szCs w:val="24"/>
        </w:rPr>
        <w:t>ado de México y Municipios.</w:t>
      </w:r>
    </w:p>
    <w:p w:rsidR="001E11B1" w:rsidRDefault="00D1307E">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Artículo 29. El Instituto es un órgano público estatal constitucionalmente autónomo, especializado, independiente, imparcial y colegiado dotado de personalidad jurídica y patrimonio propio, con plena autonomía técnica, de gestió</w:t>
      </w:r>
      <w:r>
        <w:rPr>
          <w:rFonts w:ascii="Palatino Linotype" w:eastAsia="Palatino Linotype" w:hAnsi="Palatino Linotype" w:cs="Palatino Linotype"/>
          <w:i/>
        </w:rPr>
        <w:t>n, capacidad para decidir sobre el ejercicio de su presupuesto y determinar su organización interna, responsable de garantizar el ejercicio de los derechos de acceso a la información pública y la protección de datos personales en posesión de los sujetos ob</w:t>
      </w:r>
      <w:r>
        <w:rPr>
          <w:rFonts w:ascii="Palatino Linotype" w:eastAsia="Palatino Linotype" w:hAnsi="Palatino Linotype" w:cs="Palatino Linotype"/>
          <w:i/>
        </w:rPr>
        <w:t>ligados, conforme a los principios y bases establecidas en la Constitución Federal, Constitución Local, Ley General, así como, lo previsto en esta Ley y demás disposiciones jurídicas aplicables.</w:t>
      </w:r>
    </w:p>
    <w:p w:rsidR="001E11B1" w:rsidRDefault="00D1307E">
      <w:pPr>
        <w:spacing w:before="240" w:after="24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lo anterior se observa que </w:t>
      </w: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color w:val="000000"/>
          <w:sz w:val="24"/>
          <w:szCs w:val="24"/>
        </w:rPr>
        <w:t>Instituto de Transparencia, Acceso a la Información Pública y Protección de Datos Personales del Estado de México y Municipios</w:t>
      </w:r>
      <w:r>
        <w:rPr>
          <w:rFonts w:ascii="Palatino Linotype" w:eastAsia="Palatino Linotype" w:hAnsi="Palatino Linotype" w:cs="Palatino Linotype"/>
          <w:sz w:val="24"/>
          <w:szCs w:val="24"/>
        </w:rPr>
        <w:t xml:space="preserve"> responsable de garantizar el ejercicio de los derechos de acceso a la información pública y la protección de datos personales en </w:t>
      </w:r>
      <w:r>
        <w:rPr>
          <w:rFonts w:ascii="Palatino Linotype" w:eastAsia="Palatino Linotype" w:hAnsi="Palatino Linotype" w:cs="Palatino Linotype"/>
          <w:sz w:val="24"/>
          <w:szCs w:val="24"/>
        </w:rPr>
        <w:t xml:space="preserve">posesión de los sujetos obligados, por lo que este punto de la solicitud es colmado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p>
    <w:p w:rsidR="001E11B1" w:rsidRDefault="00D1307E">
      <w:pPr>
        <w:spacing w:before="240" w:after="24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lo que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brinda la información de conformidad a los ordenamientos que regulan su actuación, alusivo a los puntos de la solicitud de información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en efecto proporciono la información como fue solicitada originalmente cumpliendo con los criterios e</w:t>
      </w:r>
      <w:r>
        <w:rPr>
          <w:rFonts w:ascii="Palatino Linotype" w:eastAsia="Palatino Linotype" w:hAnsi="Palatino Linotype" w:cs="Palatino Linotype"/>
          <w:color w:val="000000"/>
          <w:sz w:val="24"/>
          <w:szCs w:val="24"/>
        </w:rPr>
        <w:t xml:space="preserve">stablecidos por la normatividad aplicable y de las actuaciones que forman parte del presente expediente se advierte que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no niega la información solicitada. </w:t>
      </w:r>
    </w:p>
    <w:p w:rsidR="001E11B1" w:rsidRDefault="00D1307E">
      <w:pPr>
        <w:pBdr>
          <w:top w:val="nil"/>
          <w:left w:val="nil"/>
          <w:bottom w:val="nil"/>
          <w:right w:val="nil"/>
          <w:between w:val="nil"/>
        </w:pBdr>
        <w:shd w:val="clear" w:color="auto" w:fill="FFFFFF"/>
        <w:spacing w:after="0" w:line="360" w:lineRule="auto"/>
        <w:jc w:val="both"/>
        <w:rPr>
          <w:rFonts w:ascii="Cambria" w:eastAsia="Cambria" w:hAnsi="Cambria" w:cs="Cambria"/>
          <w:color w:val="222222"/>
          <w:sz w:val="24"/>
          <w:szCs w:val="24"/>
          <w:u w:val="single"/>
        </w:rPr>
      </w:pPr>
      <w:r>
        <w:rPr>
          <w:rFonts w:ascii="Palatino Linotype" w:eastAsia="Palatino Linotype" w:hAnsi="Palatino Linotype" w:cs="Palatino Linotype"/>
          <w:color w:val="000000"/>
          <w:sz w:val="24"/>
          <w:szCs w:val="24"/>
        </w:rPr>
        <w:lastRenderedPageBreak/>
        <w:t xml:space="preserve">Finalmente, </w:t>
      </w:r>
      <w:r>
        <w:rPr>
          <w:rFonts w:ascii="Palatino Linotype" w:eastAsia="Palatino Linotype" w:hAnsi="Palatino Linotype" w:cs="Palatino Linotype"/>
          <w:color w:val="222222"/>
          <w:sz w:val="24"/>
          <w:szCs w:val="24"/>
        </w:rPr>
        <w:t xml:space="preserve">si bien es cierto el artículo 6° de la Constitución Política de los </w:t>
      </w:r>
      <w:r>
        <w:rPr>
          <w:rFonts w:ascii="Palatino Linotype" w:eastAsia="Palatino Linotype" w:hAnsi="Palatino Linotype" w:cs="Palatino Linotype"/>
          <w:color w:val="222222"/>
          <w:sz w:val="24"/>
          <w:szCs w:val="24"/>
        </w:rPr>
        <w:t xml:space="preserve">Estados Unidos Mexicanos no contempla como requisito para el ejercicio del derecho de acceso a la información pública formular la solicitud de manera pacífica y respetuosa como lo advierte el artículo 8 constitucional, es importante destacar que ambos por </w:t>
      </w:r>
      <w:r>
        <w:rPr>
          <w:rFonts w:ascii="Palatino Linotype" w:eastAsia="Palatino Linotype" w:hAnsi="Palatino Linotype" w:cs="Palatino Linotype"/>
          <w:color w:val="222222"/>
          <w:sz w:val="24"/>
          <w:szCs w:val="24"/>
        </w:rPr>
        <w:t xml:space="preserve">tratarse de derechos fundamentales encaminados a proteger la seguridad jurídica de los gobernados, </w:t>
      </w:r>
      <w:r>
        <w:rPr>
          <w:rFonts w:ascii="Palatino Linotype" w:eastAsia="Palatino Linotype" w:hAnsi="Palatino Linotype" w:cs="Palatino Linotype"/>
          <w:b/>
          <w:color w:val="222222"/>
          <w:sz w:val="24"/>
          <w:szCs w:val="24"/>
          <w:u w:val="single"/>
        </w:rPr>
        <w:t>deben regirse por los principios de respeto y en forma pacífica.</w:t>
      </w:r>
      <w:r>
        <w:rPr>
          <w:rFonts w:ascii="Palatino Linotype" w:eastAsia="Palatino Linotype" w:hAnsi="Palatino Linotype" w:cs="Palatino Linotype"/>
          <w:color w:val="222222"/>
          <w:sz w:val="24"/>
          <w:szCs w:val="24"/>
          <w:u w:val="single"/>
        </w:rPr>
        <w:t> </w:t>
      </w:r>
    </w:p>
    <w:p w:rsidR="001E11B1" w:rsidRDefault="00D1307E">
      <w:pPr>
        <w:pBdr>
          <w:top w:val="nil"/>
          <w:left w:val="nil"/>
          <w:bottom w:val="nil"/>
          <w:right w:val="nil"/>
          <w:between w:val="nil"/>
        </w:pBdr>
        <w:shd w:val="clear" w:color="auto" w:fill="FFFFFF"/>
        <w:spacing w:after="0" w:line="360" w:lineRule="auto"/>
        <w:ind w:left="720"/>
        <w:rPr>
          <w:rFonts w:ascii="Cambria" w:eastAsia="Cambria" w:hAnsi="Cambria" w:cs="Cambria"/>
          <w:color w:val="222222"/>
          <w:sz w:val="24"/>
          <w:szCs w:val="24"/>
        </w:rPr>
      </w:pPr>
      <w:r>
        <w:rPr>
          <w:rFonts w:ascii="Palatino Linotype" w:eastAsia="Palatino Linotype" w:hAnsi="Palatino Linotype" w:cs="Palatino Linotype"/>
          <w:color w:val="222222"/>
          <w:sz w:val="24"/>
          <w:szCs w:val="24"/>
        </w:rPr>
        <w:t> </w:t>
      </w:r>
    </w:p>
    <w:p w:rsidR="001E11B1" w:rsidRDefault="00D1307E">
      <w:pPr>
        <w:pBdr>
          <w:top w:val="nil"/>
          <w:left w:val="nil"/>
          <w:bottom w:val="nil"/>
          <w:right w:val="nil"/>
          <w:between w:val="nil"/>
        </w:pBdr>
        <w:shd w:val="clear" w:color="auto" w:fill="FFFFFF"/>
        <w:spacing w:after="0" w:line="360" w:lineRule="auto"/>
        <w:jc w:val="both"/>
        <w:rPr>
          <w:rFonts w:ascii="Cambria" w:eastAsia="Cambria" w:hAnsi="Cambria" w:cs="Cambria"/>
          <w:color w:val="222222"/>
          <w:sz w:val="24"/>
          <w:szCs w:val="24"/>
        </w:rPr>
      </w:pPr>
      <w:r>
        <w:rPr>
          <w:rFonts w:ascii="Palatino Linotype" w:eastAsia="Palatino Linotype" w:hAnsi="Palatino Linotype" w:cs="Palatino Linotype"/>
          <w:color w:val="222222"/>
          <w:sz w:val="24"/>
          <w:szCs w:val="24"/>
        </w:rPr>
        <w:t>Por lo tanto, el derecho de acceso a la información pública la solicitud debe ejercerse d</w:t>
      </w:r>
      <w:r>
        <w:rPr>
          <w:rFonts w:ascii="Palatino Linotype" w:eastAsia="Palatino Linotype" w:hAnsi="Palatino Linotype" w:cs="Palatino Linotype"/>
          <w:color w:val="222222"/>
          <w:sz w:val="24"/>
          <w:szCs w:val="24"/>
        </w:rPr>
        <w:t>e </w:t>
      </w:r>
      <w:r>
        <w:rPr>
          <w:rFonts w:ascii="Palatino Linotype" w:eastAsia="Palatino Linotype" w:hAnsi="Palatino Linotype" w:cs="Palatino Linotype"/>
          <w:b/>
          <w:color w:val="222222"/>
          <w:sz w:val="24"/>
          <w:szCs w:val="24"/>
          <w:u w:val="single"/>
        </w:rPr>
        <w:t>manera pacífica y respetuosa, absteniéndose el solicitante de proferir ofensas o recurrir a la violencia o amenazas para intimidad a la autoridad</w:t>
      </w:r>
      <w:r>
        <w:rPr>
          <w:rFonts w:ascii="Palatino Linotype" w:eastAsia="Palatino Linotype" w:hAnsi="Palatino Linotype" w:cs="Palatino Linotype"/>
          <w:color w:val="222222"/>
          <w:sz w:val="24"/>
          <w:szCs w:val="24"/>
        </w:rPr>
        <w:t>.</w:t>
      </w:r>
    </w:p>
    <w:p w:rsidR="001E11B1" w:rsidRDefault="001E11B1">
      <w:pPr>
        <w:pBdr>
          <w:top w:val="nil"/>
          <w:left w:val="nil"/>
          <w:bottom w:val="nil"/>
          <w:right w:val="nil"/>
          <w:between w:val="nil"/>
        </w:pBdr>
        <w:shd w:val="clear" w:color="auto" w:fill="FFFFFF"/>
        <w:spacing w:after="0" w:line="360" w:lineRule="auto"/>
        <w:jc w:val="both"/>
        <w:rPr>
          <w:rFonts w:ascii="Cambria" w:eastAsia="Cambria" w:hAnsi="Cambria" w:cs="Cambria"/>
          <w:color w:val="222222"/>
          <w:sz w:val="24"/>
          <w:szCs w:val="24"/>
        </w:rPr>
      </w:pPr>
    </w:p>
    <w:p w:rsidR="001E11B1" w:rsidRDefault="00D1307E">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En ese sentido, sirve de apoyo en la parte conducente, el siguiente criterio jurisprudencial:</w:t>
      </w:r>
    </w:p>
    <w:p w:rsidR="001E11B1" w:rsidRDefault="001E11B1">
      <w:pPr>
        <w:pBdr>
          <w:top w:val="nil"/>
          <w:left w:val="nil"/>
          <w:bottom w:val="nil"/>
          <w:right w:val="nil"/>
          <w:between w:val="nil"/>
        </w:pBdr>
        <w:shd w:val="clear" w:color="auto" w:fill="FFFFFF"/>
        <w:spacing w:after="0" w:line="360" w:lineRule="auto"/>
        <w:jc w:val="both"/>
        <w:rPr>
          <w:rFonts w:ascii="Cambria" w:eastAsia="Cambria" w:hAnsi="Cambria" w:cs="Cambria"/>
          <w:color w:val="222222"/>
          <w:sz w:val="24"/>
          <w:szCs w:val="24"/>
        </w:rPr>
      </w:pPr>
    </w:p>
    <w:p w:rsidR="001E11B1" w:rsidRDefault="00D1307E">
      <w:pPr>
        <w:shd w:val="clear" w:color="auto" w:fill="FFFFFF"/>
        <w:ind w:left="709" w:right="567"/>
        <w:jc w:val="both"/>
        <w:rPr>
          <w:rFonts w:ascii="Cambria" w:eastAsia="Cambria" w:hAnsi="Cambria" w:cs="Cambria"/>
          <w:color w:val="222222"/>
        </w:rPr>
      </w:pPr>
      <w:r>
        <w:rPr>
          <w:rFonts w:ascii="Palatino Linotype" w:eastAsia="Palatino Linotype" w:hAnsi="Palatino Linotype" w:cs="Palatino Linotype"/>
          <w:i/>
          <w:color w:val="222222"/>
        </w:rPr>
        <w:t>“</w:t>
      </w:r>
      <w:r>
        <w:rPr>
          <w:rFonts w:ascii="Palatino Linotype" w:eastAsia="Palatino Linotype" w:hAnsi="Palatino Linotype" w:cs="Palatino Linotype"/>
          <w:b/>
          <w:i/>
          <w:color w:val="222222"/>
        </w:rPr>
        <w:t>DERECHO A LA INFORMACIÓN. NO DEBE REBASAR LOS LÍMITES PREVISTOS POR LOS ARTÍCULOS 6o., 7o. Y 24 CONSTITUCIONALES.</w:t>
      </w:r>
    </w:p>
    <w:p w:rsidR="001E11B1" w:rsidRDefault="00D1307E">
      <w:pPr>
        <w:shd w:val="clear" w:color="auto" w:fill="FFFFFF"/>
        <w:ind w:left="709" w:right="567"/>
        <w:jc w:val="both"/>
        <w:rPr>
          <w:rFonts w:ascii="Cambria" w:eastAsia="Cambria" w:hAnsi="Cambria" w:cs="Cambria"/>
          <w:color w:val="222222"/>
        </w:rPr>
      </w:pPr>
      <w:r>
        <w:rPr>
          <w:rFonts w:ascii="Palatino Linotype" w:eastAsia="Palatino Linotype" w:hAnsi="Palatino Linotype" w:cs="Palatino Linotype"/>
          <w:i/>
          <w:color w:val="222222"/>
        </w:rPr>
        <w:t> </w:t>
      </w:r>
    </w:p>
    <w:p w:rsidR="001E11B1" w:rsidRDefault="00D1307E">
      <w:pPr>
        <w:shd w:val="clear" w:color="auto" w:fill="FFFFFF"/>
        <w:ind w:left="709" w:right="567"/>
        <w:jc w:val="both"/>
        <w:rPr>
          <w:rFonts w:ascii="Palatino Linotype" w:eastAsia="Palatino Linotype" w:hAnsi="Palatino Linotype" w:cs="Palatino Linotype"/>
          <w:b/>
          <w:i/>
          <w:color w:val="222222"/>
          <w:vertAlign w:val="superscript"/>
        </w:rPr>
      </w:pPr>
      <w:r>
        <w:rPr>
          <w:rFonts w:ascii="Palatino Linotype" w:eastAsia="Palatino Linotype" w:hAnsi="Palatino Linotype" w:cs="Palatino Linotype"/>
          <w:b/>
          <w:i/>
          <w:color w:val="222222"/>
        </w:rPr>
        <w:t xml:space="preserve">El derecho a la información tiene como límites el decoro, el honor, </w:t>
      </w:r>
      <w:r>
        <w:rPr>
          <w:rFonts w:ascii="Palatino Linotype" w:eastAsia="Palatino Linotype" w:hAnsi="Palatino Linotype" w:cs="Palatino Linotype"/>
          <w:b/>
          <w:i/>
          <w:color w:val="222222"/>
          <w:u w:val="single"/>
        </w:rPr>
        <w:t>el respeto</w:t>
      </w:r>
      <w:r>
        <w:rPr>
          <w:rFonts w:ascii="Palatino Linotype" w:eastAsia="Palatino Linotype" w:hAnsi="Palatino Linotype" w:cs="Palatino Linotype"/>
          <w:b/>
          <w:i/>
          <w:color w:val="222222"/>
        </w:rPr>
        <w:t>, la circunspección, la honestidad, el recato, la honra y la estimación, pues el artículo 6o. otorga a toda persona el derecho de manifestar libremente sus ideas y prohíbe a los gobernantes que sometan dicha manifestación a inquisición judicial o administr</w:t>
      </w:r>
      <w:r>
        <w:rPr>
          <w:rFonts w:ascii="Palatino Linotype" w:eastAsia="Palatino Linotype" w:hAnsi="Palatino Linotype" w:cs="Palatino Linotype"/>
          <w:b/>
          <w:i/>
          <w:color w:val="222222"/>
        </w:rPr>
        <w:t>ativa, salvo que ataquen la moral, los derechos de tercero, provoquen algún delito o perturben el orden público.</w:t>
      </w:r>
      <w:r>
        <w:rPr>
          <w:rFonts w:ascii="Palatino Linotype" w:eastAsia="Palatino Linotype" w:hAnsi="Palatino Linotype" w:cs="Palatino Linotype"/>
          <w:i/>
          <w:color w:val="222222"/>
        </w:rPr>
        <w:t xml:space="preserve"> Así, la manifestación de las ideas se encuentra consagrada como uno de los derechos </w:t>
      </w:r>
      <w:r>
        <w:rPr>
          <w:rFonts w:ascii="Palatino Linotype" w:eastAsia="Palatino Linotype" w:hAnsi="Palatino Linotype" w:cs="Palatino Linotype"/>
          <w:i/>
          <w:color w:val="222222"/>
        </w:rPr>
        <w:lastRenderedPageBreak/>
        <w:t>públicos individuales fundamentales que reconoce la Constit</w:t>
      </w:r>
      <w:r>
        <w:rPr>
          <w:rFonts w:ascii="Palatino Linotype" w:eastAsia="Palatino Linotype" w:hAnsi="Palatino Linotype" w:cs="Palatino Linotype"/>
          <w:i/>
          <w:color w:val="222222"/>
        </w:rPr>
        <w:t>ución, oponible por todo individuo, con independencia de su labor profesional, al Estado, y los artículos 7o. y 24 de la propia Carta Fundamental se refieren a aspectos concretos del ejercicio del derecho a manifestar libremente las ideas. El primero, porq</w:t>
      </w:r>
      <w:r>
        <w:rPr>
          <w:rFonts w:ascii="Palatino Linotype" w:eastAsia="Palatino Linotype" w:hAnsi="Palatino Linotype" w:cs="Palatino Linotype"/>
          <w:i/>
          <w:color w:val="222222"/>
        </w:rPr>
        <w:t>ue declara inviolable la libertad de escribir y publicar escritos sobre cualquier materia y, el segundo, porque garantiza la libertad de creencias religiosas. Así, el Constituyente Originario al consagrar la libertad de expresión como una garantía individu</w:t>
      </w:r>
      <w:r>
        <w:rPr>
          <w:rFonts w:ascii="Palatino Linotype" w:eastAsia="Palatino Linotype" w:hAnsi="Palatino Linotype" w:cs="Palatino Linotype"/>
          <w:i/>
          <w:color w:val="222222"/>
        </w:rPr>
        <w:t>al, reconoció la necesidad de que el hombre pueda y deba, siempre, tener libertad para apreciar las cosas y crear intelectualmente, y expresarlo, aunque con ello contraríe otras formas de pensamiento; de ahí que sea un derecho oponible al Estado, a toda au</w:t>
      </w:r>
      <w:r>
        <w:rPr>
          <w:rFonts w:ascii="Palatino Linotype" w:eastAsia="Palatino Linotype" w:hAnsi="Palatino Linotype" w:cs="Palatino Linotype"/>
          <w:i/>
          <w:color w:val="222222"/>
        </w:rPr>
        <w:t>toridad y, por ende, es un derecho que por su propia naturaleza debe subsistir en todo régimen de derecho. En efecto, la historia escrita recoge antecedentes de declaraciones sobre las libertades del hombre, y precisa que hasta el siglo XVIII, se pueden ci</w:t>
      </w:r>
      <w:r>
        <w:rPr>
          <w:rFonts w:ascii="Palatino Linotype" w:eastAsia="Palatino Linotype" w:hAnsi="Palatino Linotype" w:cs="Palatino Linotype"/>
          <w:i/>
          <w:color w:val="222222"/>
        </w:rPr>
        <w:t>tar documentos sobre esa materia. No hay duda histórica sobre dos documentos básicos para las definiciones de derechos fundamentales del hombre y su garantía frente al Estado. El primero es la Declaración de los Derechos del Hombre y del Ciudadano, product</w:t>
      </w:r>
      <w:r>
        <w:rPr>
          <w:rFonts w:ascii="Palatino Linotype" w:eastAsia="Palatino Linotype" w:hAnsi="Palatino Linotype" w:cs="Palatino Linotype"/>
          <w:i/>
          <w:color w:val="222222"/>
        </w:rPr>
        <w:t>o de la Revolución Francesa, la cual se mantiene viva y vigente como texto legal por la remisión que hace el preámbulo de la Constitución de Francia de fecha veinticuatro de diciembre de mil setecientos noventa y nueve. El segundo, es la Constitución de lo</w:t>
      </w:r>
      <w:r>
        <w:rPr>
          <w:rFonts w:ascii="Palatino Linotype" w:eastAsia="Palatino Linotype" w:hAnsi="Palatino Linotype" w:cs="Palatino Linotype"/>
          <w:i/>
          <w:color w:val="222222"/>
        </w:rPr>
        <w:t>s Estados Unidos de América, de diecisiete de septiembre de mil setecientos ochenta y siete. En la historia constitucional mexicana, que recibe influencia de las ideas políticas y liberales de quienes impulsaron la Revolución Francesa, así como contribucio</w:t>
      </w:r>
      <w:r>
        <w:rPr>
          <w:rFonts w:ascii="Palatino Linotype" w:eastAsia="Palatino Linotype" w:hAnsi="Palatino Linotype" w:cs="Palatino Linotype"/>
          <w:i/>
          <w:color w:val="222222"/>
        </w:rPr>
        <w:t>nes de diversas tendencias ideológicas enraizadas en las luchas entre conservadores y liberales que caracterizaron el siglo XIX, tenemos que se hicieron y entraron en vigor diversos cuerpos constitucionales, pero en todos ellos siempre ha aparecido una par</w:t>
      </w:r>
      <w:r>
        <w:rPr>
          <w:rFonts w:ascii="Palatino Linotype" w:eastAsia="Palatino Linotype" w:hAnsi="Palatino Linotype" w:cs="Palatino Linotype"/>
          <w:i/>
          <w:color w:val="222222"/>
        </w:rPr>
        <w:t>te dogmática que reconoce derechos inherentes al hombre, y que ha contenido tanto la libertad de expresión como la libertad de imprenta. Por otra parte, los antecedentes legislativos relacionados con la reforma y adición a la Constitución de mil noveciento</w:t>
      </w:r>
      <w:r>
        <w:rPr>
          <w:rFonts w:ascii="Palatino Linotype" w:eastAsia="Palatino Linotype" w:hAnsi="Palatino Linotype" w:cs="Palatino Linotype"/>
          <w:i/>
          <w:color w:val="222222"/>
        </w:rPr>
        <w:t>s diecisiete, en relación al artículo 6o. antes precisado, tales como la iniciativa de ley, el dictamen de la comisión que al efecto se designó, y las discusiones y el proyecto de declaratoria correspondientes, publicados, respectivamente, en los Diarios d</w:t>
      </w:r>
      <w:r>
        <w:rPr>
          <w:rFonts w:ascii="Palatino Linotype" w:eastAsia="Palatino Linotype" w:hAnsi="Palatino Linotype" w:cs="Palatino Linotype"/>
          <w:i/>
          <w:color w:val="222222"/>
        </w:rPr>
        <w:t xml:space="preserve">e los Debates de los días seis, veinte de octubre y primero de diciembre, todos de mil novecientos setenta y siete, ponen de relieve que el </w:t>
      </w:r>
      <w:r>
        <w:rPr>
          <w:rFonts w:ascii="Palatino Linotype" w:eastAsia="Palatino Linotype" w:hAnsi="Palatino Linotype" w:cs="Palatino Linotype"/>
          <w:i/>
          <w:color w:val="222222"/>
        </w:rPr>
        <w:lastRenderedPageBreak/>
        <w:t>propósito de las reformas fue el de preservar el derecho de todos respecto a las actividades que regula. Esta reform</w:t>
      </w:r>
      <w:r>
        <w:rPr>
          <w:rFonts w:ascii="Palatino Linotype" w:eastAsia="Palatino Linotype" w:hAnsi="Palatino Linotype" w:cs="Palatino Linotype"/>
          <w:i/>
          <w:color w:val="222222"/>
        </w:rPr>
        <w:t>a recogió distintas corrientes preocupadas por asegurar a la sociedad una obtención de información oportuna, objetiva y plural, por parte de los grandes medios masivos de comunicación. Conforme a la evolución del artículo 6o. constitucional vigente y compa</w:t>
      </w:r>
      <w:r>
        <w:rPr>
          <w:rFonts w:ascii="Palatino Linotype" w:eastAsia="Palatino Linotype" w:hAnsi="Palatino Linotype" w:cs="Palatino Linotype"/>
          <w:i/>
          <w:color w:val="222222"/>
        </w:rPr>
        <w:t>rado con lo que al respecto se ha regulado en otros países, se concluye que a lo largo de la historia constitucional, quienes han tenido el depósito de la soberanía popular para legislar, se han preocupado porque existiera una Norma Suprema que reconociera</w:t>
      </w:r>
      <w:r>
        <w:rPr>
          <w:rFonts w:ascii="Palatino Linotype" w:eastAsia="Palatino Linotype" w:hAnsi="Palatino Linotype" w:cs="Palatino Linotype"/>
          <w:i/>
          <w:color w:val="222222"/>
        </w:rPr>
        <w:t xml:space="preserve"> el derecho del hombre a externar sus ideas, con limitaciones específicas tendientes a equilibrar el derecho del individuo frente a terceros y la sociedad, puesto que en ejercicio de ese derecho no debe menoscabar la moral, los derechos de tercero, que imp</w:t>
      </w:r>
      <w:r>
        <w:rPr>
          <w:rFonts w:ascii="Palatino Linotype" w:eastAsia="Palatino Linotype" w:hAnsi="Palatino Linotype" w:cs="Palatino Linotype"/>
          <w:i/>
          <w:color w:val="222222"/>
        </w:rPr>
        <w:t>lica el honor, la dignidad y el derecho a la intimidad de éste, en su familia y decoro; así como tampoco puede, en ejercicio de ese derecho, provocar algún delito o perturbar el orden público. Asimismo, ese derecho del individuo, con la adición al contenid</w:t>
      </w:r>
      <w:r>
        <w:rPr>
          <w:rFonts w:ascii="Palatino Linotype" w:eastAsia="Palatino Linotype" w:hAnsi="Palatino Linotype" w:cs="Palatino Linotype"/>
          <w:i/>
          <w:color w:val="222222"/>
        </w:rPr>
        <w:t xml:space="preserve">o original del artículo 6o., quedó también equilibrado con el derecho que tiene la sociedad a estar veraz y objetivamente informada, para evitar que haya manipulación. Así, el Estado asume la obligación de cuidar que la información que llega a la sociedad </w:t>
      </w:r>
      <w:r>
        <w:rPr>
          <w:rFonts w:ascii="Palatino Linotype" w:eastAsia="Palatino Linotype" w:hAnsi="Palatino Linotype" w:cs="Palatino Linotype"/>
          <w:i/>
          <w:color w:val="222222"/>
        </w:rPr>
        <w:t xml:space="preserve">a través de los grandes medios masivos de comunicación, refleje la realidad y tenga un contenido que permita y coadyuve al acceso a la cultura en general, para que el pueblo pueda recibir en forma fácil y rápida conocimientos en el arte, la literatura, en </w:t>
      </w:r>
      <w:r>
        <w:rPr>
          <w:rFonts w:ascii="Palatino Linotype" w:eastAsia="Palatino Linotype" w:hAnsi="Palatino Linotype" w:cs="Palatino Linotype"/>
          <w:i/>
          <w:color w:val="222222"/>
        </w:rPr>
        <w:t>las ciencias y en la política. Ello permitirá una participación informada para la solución de los grandes problemas nacionales, y evitará que se deforme el contenido de los hechos que pueden incidir en la formación de opinión. Luego, en el contenido actual</w:t>
      </w:r>
      <w:r>
        <w:rPr>
          <w:rFonts w:ascii="Palatino Linotype" w:eastAsia="Palatino Linotype" w:hAnsi="Palatino Linotype" w:cs="Palatino Linotype"/>
          <w:i/>
          <w:color w:val="222222"/>
        </w:rPr>
        <w:t xml:space="preserve"> del artículo 6o., se consagra la libertad de expresarse, la cual es consustancial al hombre, y que impide al Estado imponer sanciones por el solo hecho de expresar las ideas. Pero correlativamente, esa opinión tiene límites de cuya transgresión derivan co</w:t>
      </w:r>
      <w:r>
        <w:rPr>
          <w:rFonts w:ascii="Palatino Linotype" w:eastAsia="Palatino Linotype" w:hAnsi="Palatino Linotype" w:cs="Palatino Linotype"/>
          <w:i/>
          <w:color w:val="222222"/>
        </w:rPr>
        <w:t xml:space="preserve">nsecuencias jurídicas. Tales límites son que la opinión no debe atacar la moral, esto es, las ideas que se exterioricen no deben tender a destruir el conjunto de valores que sustenta la cohesión de la sociedad </w:t>
      </w:r>
      <w:r>
        <w:rPr>
          <w:rFonts w:ascii="Palatino Linotype" w:eastAsia="Palatino Linotype" w:hAnsi="Palatino Linotype" w:cs="Palatino Linotype"/>
          <w:b/>
          <w:i/>
          <w:color w:val="222222"/>
          <w:u w:val="single"/>
        </w:rPr>
        <w:t>en el respeto mutuo y en el cumplimiento de lo</w:t>
      </w:r>
      <w:r>
        <w:rPr>
          <w:rFonts w:ascii="Palatino Linotype" w:eastAsia="Palatino Linotype" w:hAnsi="Palatino Linotype" w:cs="Palatino Linotype"/>
          <w:b/>
          <w:i/>
          <w:color w:val="222222"/>
          <w:u w:val="single"/>
        </w:rPr>
        <w:t>s deberes que tienen por base la dignidad humana y los derechos de la persona</w:t>
      </w:r>
      <w:r>
        <w:rPr>
          <w:rFonts w:ascii="Palatino Linotype" w:eastAsia="Palatino Linotype" w:hAnsi="Palatino Linotype" w:cs="Palatino Linotype"/>
          <w:i/>
          <w:color w:val="222222"/>
        </w:rPr>
        <w:t>; tampoco debe dañar los derechos de tercero, ni incitar a la provocación de un delito o a la perturbación del orden público. De modo que la Constitución de mil novecientos diecis</w:t>
      </w:r>
      <w:r>
        <w:rPr>
          <w:rFonts w:ascii="Palatino Linotype" w:eastAsia="Palatino Linotype" w:hAnsi="Palatino Linotype" w:cs="Palatino Linotype"/>
          <w:i/>
          <w:color w:val="222222"/>
        </w:rPr>
        <w:t xml:space="preserve">iete estableció una obligación </w:t>
      </w:r>
      <w:r>
        <w:rPr>
          <w:rFonts w:ascii="Palatino Linotype" w:eastAsia="Palatino Linotype" w:hAnsi="Palatino Linotype" w:cs="Palatino Linotype"/>
          <w:i/>
          <w:color w:val="222222"/>
        </w:rPr>
        <w:lastRenderedPageBreak/>
        <w:t xml:space="preserve">por parte del Estado de abstenerse de actuar en contra de quien se expresa libremente, salvo que en el ejercicio de ese derecho se ataque a la moral, a los derechos de tercero, se provoque algún delito o se perturbe el orden </w:t>
      </w:r>
      <w:r>
        <w:rPr>
          <w:rFonts w:ascii="Palatino Linotype" w:eastAsia="Palatino Linotype" w:hAnsi="Palatino Linotype" w:cs="Palatino Linotype"/>
          <w:i/>
          <w:color w:val="222222"/>
        </w:rPr>
        <w:t>público.</w:t>
      </w:r>
    </w:p>
    <w:p w:rsidR="001E11B1" w:rsidRDefault="001E11B1">
      <w:pPr>
        <w:shd w:val="clear" w:color="auto" w:fill="FFFFFF"/>
        <w:ind w:left="709" w:right="567"/>
        <w:jc w:val="both"/>
        <w:rPr>
          <w:rFonts w:ascii="Palatino Linotype" w:eastAsia="Palatino Linotype" w:hAnsi="Palatino Linotype" w:cs="Palatino Linotype"/>
          <w:i/>
          <w:color w:val="222222"/>
        </w:rPr>
      </w:pPr>
    </w:p>
    <w:p w:rsidR="001E11B1" w:rsidRDefault="00D1307E">
      <w:pPr>
        <w:shd w:val="clear" w:color="auto" w:fill="FFFFFF"/>
        <w:ind w:left="709" w:right="567"/>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 xml:space="preserve">Amparo directo 8633/99. </w:t>
      </w:r>
    </w:p>
    <w:p w:rsidR="001E11B1" w:rsidRDefault="00D1307E">
      <w:pPr>
        <w:shd w:val="clear" w:color="auto" w:fill="FFFFFF"/>
        <w:ind w:left="709" w:right="567"/>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 xml:space="preserve">Marco Antonio Rascón Córdova. 8 de marzo de 2001. </w:t>
      </w:r>
    </w:p>
    <w:p w:rsidR="001E11B1" w:rsidRDefault="00D1307E">
      <w:pPr>
        <w:shd w:val="clear" w:color="auto" w:fill="FFFFFF"/>
        <w:ind w:left="709" w:right="567"/>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 xml:space="preserve">Unanimidad de votos. </w:t>
      </w:r>
    </w:p>
    <w:p w:rsidR="001E11B1" w:rsidRDefault="00D1307E">
      <w:pPr>
        <w:shd w:val="clear" w:color="auto" w:fill="FFFFFF"/>
        <w:ind w:left="709" w:right="567"/>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 xml:space="preserve">Ponente: Neófito López Ramos. </w:t>
      </w:r>
    </w:p>
    <w:p w:rsidR="001E11B1" w:rsidRDefault="00D1307E">
      <w:pPr>
        <w:shd w:val="clear" w:color="auto" w:fill="FFFFFF"/>
        <w:ind w:left="709" w:right="567"/>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Secretario: Rómulo Amadeo Figueroa Salmorán.</w:t>
      </w:r>
    </w:p>
    <w:p w:rsidR="001E11B1" w:rsidRDefault="00D1307E">
      <w:pPr>
        <w:shd w:val="clear" w:color="auto" w:fill="FFFFFF"/>
        <w:ind w:left="709" w:right="567"/>
        <w:jc w:val="both"/>
        <w:rPr>
          <w:rFonts w:ascii="Cambria" w:eastAsia="Cambria" w:hAnsi="Cambria" w:cs="Cambria"/>
          <w:color w:val="222222"/>
        </w:rPr>
      </w:pPr>
      <w:r>
        <w:rPr>
          <w:rFonts w:ascii="Palatino Linotype" w:eastAsia="Palatino Linotype" w:hAnsi="Palatino Linotype" w:cs="Palatino Linotype"/>
          <w:i/>
          <w:color w:val="222222"/>
        </w:rPr>
        <w:t xml:space="preserve"> Novena Época, Semanario Judicial de la Federación y su Gaceta, Tomo XIV, Septiembre de 2001, Tesis: I.3o.C.244 C, Página: 1309.”</w:t>
      </w:r>
    </w:p>
    <w:p w:rsidR="001E11B1" w:rsidRDefault="00D1307E">
      <w:pPr>
        <w:shd w:val="clear" w:color="auto" w:fill="FFFFFF"/>
        <w:spacing w:line="360" w:lineRule="auto"/>
        <w:ind w:left="709" w:right="567"/>
        <w:jc w:val="both"/>
        <w:rPr>
          <w:rFonts w:ascii="Cambria" w:eastAsia="Cambria" w:hAnsi="Cambria" w:cs="Cambria"/>
          <w:i/>
          <w:color w:val="222222"/>
        </w:rPr>
      </w:pPr>
      <w:r>
        <w:rPr>
          <w:rFonts w:ascii="Palatino Linotype" w:eastAsia="Palatino Linotype" w:hAnsi="Palatino Linotype" w:cs="Palatino Linotype"/>
          <w:i/>
          <w:color w:val="222222"/>
        </w:rPr>
        <w:t> </w:t>
      </w:r>
    </w:p>
    <w:p w:rsidR="001E11B1" w:rsidRDefault="00D1307E">
      <w:pPr>
        <w:pBdr>
          <w:top w:val="nil"/>
          <w:left w:val="nil"/>
          <w:bottom w:val="nil"/>
          <w:right w:val="nil"/>
          <w:between w:val="nil"/>
        </w:pBdr>
        <w:shd w:val="clear" w:color="auto" w:fill="FFFFFF"/>
        <w:spacing w:after="0" w:line="360" w:lineRule="auto"/>
        <w:jc w:val="both"/>
        <w:rPr>
          <w:rFonts w:ascii="Cambria" w:eastAsia="Cambria" w:hAnsi="Cambria" w:cs="Cambria"/>
          <w:color w:val="222222"/>
          <w:sz w:val="24"/>
          <w:szCs w:val="24"/>
        </w:rPr>
      </w:pPr>
      <w:r>
        <w:rPr>
          <w:rFonts w:ascii="Palatino Linotype" w:eastAsia="Palatino Linotype" w:hAnsi="Palatino Linotype" w:cs="Palatino Linotype"/>
          <w:color w:val="222222"/>
          <w:sz w:val="24"/>
          <w:szCs w:val="24"/>
        </w:rPr>
        <w:t>Lo anterior, derivado de que en su interposición del recurso de revisión se realizaron manifestaciones y faltas de respeto e</w:t>
      </w:r>
      <w:r>
        <w:rPr>
          <w:rFonts w:ascii="Palatino Linotype" w:eastAsia="Palatino Linotype" w:hAnsi="Palatino Linotype" w:cs="Palatino Linotype"/>
          <w:color w:val="222222"/>
          <w:sz w:val="24"/>
          <w:szCs w:val="24"/>
        </w:rPr>
        <w:t>n donde señala en el acto impugnado</w:t>
      </w:r>
      <w:r>
        <w:rPr>
          <w:rFonts w:ascii="Palatino Linotype" w:eastAsia="Palatino Linotype" w:hAnsi="Palatino Linotype" w:cs="Palatino Linotype"/>
          <w:i/>
          <w:color w:val="222222"/>
          <w:sz w:val="24"/>
          <w:szCs w:val="24"/>
        </w:rPr>
        <w:t xml:space="preserve"> (…) </w:t>
      </w:r>
      <w:r>
        <w:rPr>
          <w:rFonts w:ascii="Palatino Linotype" w:eastAsia="Palatino Linotype" w:hAnsi="Palatino Linotype" w:cs="Palatino Linotype"/>
          <w:i/>
          <w:color w:val="000000"/>
          <w:sz w:val="24"/>
          <w:szCs w:val="24"/>
        </w:rPr>
        <w:t>NO SIRVEN PARA NADA (…) ES UNA PORQUERIA DE INSTITUCIÓN (Sic)</w:t>
      </w:r>
      <w:r>
        <w:rPr>
          <w:rFonts w:ascii="Palatino Linotype" w:eastAsia="Palatino Linotype" w:hAnsi="Palatino Linotype" w:cs="Palatino Linotype"/>
          <w:color w:val="222222"/>
          <w:sz w:val="24"/>
          <w:szCs w:val="24"/>
        </w:rPr>
        <w:t xml:space="preserve"> y en sus razones y motivos de inconformidad </w:t>
      </w:r>
      <w:r>
        <w:rPr>
          <w:rFonts w:ascii="Palatino Linotype" w:eastAsia="Palatino Linotype" w:hAnsi="Palatino Linotype" w:cs="Palatino Linotype"/>
          <w:i/>
          <w:color w:val="222222"/>
          <w:sz w:val="24"/>
          <w:szCs w:val="24"/>
        </w:rPr>
        <w:t xml:space="preserve">(…) </w:t>
      </w:r>
      <w:r>
        <w:rPr>
          <w:rFonts w:ascii="Palatino Linotype" w:eastAsia="Palatino Linotype" w:hAnsi="Palatino Linotype" w:cs="Palatino Linotype"/>
          <w:i/>
          <w:color w:val="000000"/>
          <w:sz w:val="24"/>
          <w:szCs w:val="24"/>
        </w:rPr>
        <w:t>DEBERÍAN DESAPARECER COMO INSTITUCIÓN </w:t>
      </w:r>
      <w:r>
        <w:rPr>
          <w:rFonts w:ascii="Palatino Linotype" w:eastAsia="Palatino Linotype" w:hAnsi="Palatino Linotype" w:cs="Palatino Linotype"/>
          <w:i/>
          <w:color w:val="222222"/>
          <w:sz w:val="24"/>
          <w:szCs w:val="24"/>
        </w:rPr>
        <w:t xml:space="preserve"> (…) </w:t>
      </w:r>
      <w:r>
        <w:rPr>
          <w:rFonts w:ascii="Palatino Linotype" w:eastAsia="Palatino Linotype" w:hAnsi="Palatino Linotype" w:cs="Palatino Linotype"/>
          <w:i/>
          <w:color w:val="000000"/>
          <w:sz w:val="24"/>
          <w:szCs w:val="24"/>
        </w:rPr>
        <w:t>ESTAMOS DÁNDOLES DE COMER A LOS PARÁSITOS DEL INFOEM,</w:t>
      </w:r>
      <w:r>
        <w:rPr>
          <w:rFonts w:ascii="Palatino Linotype" w:eastAsia="Palatino Linotype" w:hAnsi="Palatino Linotype" w:cs="Palatino Linotype"/>
          <w:i/>
          <w:color w:val="222222"/>
          <w:sz w:val="24"/>
          <w:szCs w:val="24"/>
        </w:rPr>
        <w:t xml:space="preserve"> </w:t>
      </w:r>
      <w:r>
        <w:rPr>
          <w:rFonts w:ascii="Palatino Linotype" w:eastAsia="Palatino Linotype" w:hAnsi="Palatino Linotype" w:cs="Palatino Linotype"/>
          <w:color w:val="222222"/>
          <w:sz w:val="24"/>
          <w:szCs w:val="24"/>
        </w:rPr>
        <w:t xml:space="preserve">mismas </w:t>
      </w:r>
      <w:r>
        <w:rPr>
          <w:rFonts w:ascii="Palatino Linotype" w:eastAsia="Palatino Linotype" w:hAnsi="Palatino Linotype" w:cs="Palatino Linotype"/>
          <w:color w:val="000000"/>
          <w:sz w:val="24"/>
          <w:szCs w:val="24"/>
        </w:rPr>
        <w:t>no</w:t>
      </w:r>
      <w:r>
        <w:rPr>
          <w:rFonts w:ascii="Palatino Linotype" w:eastAsia="Palatino Linotype" w:hAnsi="Palatino Linotype" w:cs="Palatino Linotype"/>
          <w:color w:val="000000"/>
          <w:sz w:val="24"/>
          <w:szCs w:val="24"/>
        </w:rPr>
        <w:t xml:space="preserve"> se advierte</w:t>
      </w:r>
      <w:r>
        <w:rPr>
          <w:rFonts w:ascii="Palatino Linotype" w:eastAsia="Palatino Linotype" w:hAnsi="Palatino Linotype" w:cs="Palatino Linotype"/>
          <w:color w:val="222222"/>
          <w:sz w:val="24"/>
          <w:szCs w:val="24"/>
        </w:rPr>
        <w:t xml:space="preserve"> que </w:t>
      </w:r>
      <w:r>
        <w:rPr>
          <w:rFonts w:ascii="Palatino Linotype" w:eastAsia="Palatino Linotype" w:hAnsi="Palatino Linotype" w:cs="Palatino Linotype"/>
          <w:color w:val="000000"/>
          <w:sz w:val="24"/>
          <w:szCs w:val="24"/>
        </w:rPr>
        <w:t xml:space="preserve">no encuadran en la hipótesis normativa de la del artículo 179 de la Ley de Transparencia Local, por lo cual </w:t>
      </w:r>
      <w:r>
        <w:rPr>
          <w:rFonts w:ascii="Palatino Linotype" w:eastAsia="Palatino Linotype" w:hAnsi="Palatino Linotype" w:cs="Palatino Linotype"/>
          <w:color w:val="222222"/>
          <w:sz w:val="24"/>
          <w:szCs w:val="24"/>
        </w:rPr>
        <w:t xml:space="preserve">resultan </w:t>
      </w:r>
      <w:r>
        <w:rPr>
          <w:rFonts w:ascii="Palatino Linotype" w:eastAsia="Palatino Linotype" w:hAnsi="Palatino Linotype" w:cs="Palatino Linotype"/>
          <w:color w:val="000000"/>
          <w:sz w:val="24"/>
          <w:szCs w:val="24"/>
        </w:rPr>
        <w:t>inoperantes</w:t>
      </w:r>
      <w:r>
        <w:rPr>
          <w:rFonts w:ascii="Palatino Linotype" w:eastAsia="Palatino Linotype" w:hAnsi="Palatino Linotype" w:cs="Palatino Linotype"/>
          <w:color w:val="222222"/>
          <w:sz w:val="24"/>
          <w:szCs w:val="24"/>
        </w:rPr>
        <w:t xml:space="preserve">. En ese sentido es oportuno señalar que si bien es cierto los artículos 6° y 8° de la Constitución Política de los Estados Unidos Mexicanos tienen como fin garantizar que la autoridad atienda las peticiones y solicitudes de información de las personas, </w:t>
      </w:r>
      <w:r>
        <w:rPr>
          <w:rFonts w:ascii="Palatino Linotype" w:eastAsia="Palatino Linotype" w:hAnsi="Palatino Linotype" w:cs="Palatino Linotype"/>
          <w:color w:val="222222"/>
          <w:sz w:val="24"/>
          <w:szCs w:val="24"/>
        </w:rPr>
        <w:lastRenderedPageBreak/>
        <w:t>ta</w:t>
      </w:r>
      <w:r>
        <w:rPr>
          <w:rFonts w:ascii="Palatino Linotype" w:eastAsia="Palatino Linotype" w:hAnsi="Palatino Linotype" w:cs="Palatino Linotype"/>
          <w:color w:val="222222"/>
          <w:sz w:val="24"/>
          <w:szCs w:val="24"/>
        </w:rPr>
        <w:t>mbién es imperante que los particulares en el ejercicio del derecho de petición</w:t>
      </w:r>
      <w:r>
        <w:rPr>
          <w:rFonts w:ascii="Palatino Linotype" w:eastAsia="Palatino Linotype" w:hAnsi="Palatino Linotype" w:cs="Palatino Linotype"/>
          <w:b/>
          <w:color w:val="222222"/>
          <w:sz w:val="24"/>
          <w:szCs w:val="24"/>
        </w:rPr>
        <w:t xml:space="preserve">, </w:t>
      </w:r>
      <w:r>
        <w:rPr>
          <w:rFonts w:ascii="Palatino Linotype" w:eastAsia="Palatino Linotype" w:hAnsi="Palatino Linotype" w:cs="Palatino Linotype"/>
          <w:b/>
          <w:color w:val="222222"/>
          <w:sz w:val="24"/>
          <w:szCs w:val="24"/>
          <w:u w:val="single"/>
        </w:rPr>
        <w:t>dirijan los escritos o solicitudes a la autoridad dentro de un margen de respeto, tal como lo dispone el artículo 8° constitucional</w:t>
      </w:r>
      <w:r>
        <w:rPr>
          <w:rFonts w:ascii="Palatino Linotype" w:eastAsia="Palatino Linotype" w:hAnsi="Palatino Linotype" w:cs="Palatino Linotype"/>
          <w:color w:val="222222"/>
          <w:sz w:val="24"/>
          <w:szCs w:val="24"/>
        </w:rPr>
        <w:t>, que por afinidad es aplicable para el ejer</w:t>
      </w:r>
      <w:r>
        <w:rPr>
          <w:rFonts w:ascii="Palatino Linotype" w:eastAsia="Palatino Linotype" w:hAnsi="Palatino Linotype" w:cs="Palatino Linotype"/>
          <w:color w:val="222222"/>
          <w:sz w:val="24"/>
          <w:szCs w:val="24"/>
        </w:rPr>
        <w:t xml:space="preserve">cicio de derecho de </w:t>
      </w:r>
      <w:r>
        <w:rPr>
          <w:rFonts w:ascii="Palatino Linotype" w:eastAsia="Palatino Linotype" w:hAnsi="Palatino Linotype" w:cs="Palatino Linotype"/>
          <w:color w:val="222222"/>
          <w:sz w:val="24"/>
          <w:szCs w:val="24"/>
        </w:rPr>
        <w:t>acceso a la</w:t>
      </w:r>
      <w:r>
        <w:rPr>
          <w:rFonts w:ascii="Palatino Linotype" w:eastAsia="Palatino Linotype" w:hAnsi="Palatino Linotype" w:cs="Palatino Linotype"/>
          <w:color w:val="222222"/>
          <w:sz w:val="24"/>
          <w:szCs w:val="24"/>
        </w:rPr>
        <w:t xml:space="preserve"> información, debiéndose redactar de manera pacífica y respetuosa las solicitudes de información.</w:t>
      </w:r>
    </w:p>
    <w:p w:rsidR="001E11B1" w:rsidRDefault="00D1307E">
      <w:pPr>
        <w:pBdr>
          <w:top w:val="nil"/>
          <w:left w:val="nil"/>
          <w:bottom w:val="nil"/>
          <w:right w:val="nil"/>
          <w:between w:val="nil"/>
        </w:pBdr>
        <w:shd w:val="clear" w:color="auto" w:fill="FFFFFF"/>
        <w:spacing w:after="0" w:line="360" w:lineRule="auto"/>
        <w:jc w:val="both"/>
        <w:rPr>
          <w:rFonts w:ascii="Cambria" w:eastAsia="Cambria" w:hAnsi="Cambria" w:cs="Cambria"/>
          <w:color w:val="222222"/>
          <w:sz w:val="24"/>
          <w:szCs w:val="24"/>
        </w:rPr>
      </w:pPr>
      <w:r>
        <w:rPr>
          <w:rFonts w:ascii="Cambria" w:eastAsia="Cambria" w:hAnsi="Cambria" w:cs="Cambria"/>
          <w:color w:val="222222"/>
          <w:sz w:val="24"/>
          <w:szCs w:val="24"/>
        </w:rPr>
        <w:t> </w:t>
      </w:r>
    </w:p>
    <w:p w:rsidR="001E11B1" w:rsidRDefault="00D1307E">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Situación que no ocurrió, por lo que se conmina al particular a que en subsecuentes solicitudes de información que tuviera a bien realizar, las formule de manera pacífica y respetuosa.</w:t>
      </w:r>
    </w:p>
    <w:p w:rsidR="001E11B1" w:rsidRDefault="00D1307E">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en mérito de lo expuesto en líneas anteriores, resultan </w:t>
      </w:r>
      <w:r>
        <w:rPr>
          <w:rFonts w:ascii="Palatino Linotype" w:eastAsia="Palatino Linotype" w:hAnsi="Palatino Linotype" w:cs="Palatino Linotype"/>
          <w:b/>
          <w:sz w:val="24"/>
          <w:szCs w:val="24"/>
        </w:rPr>
        <w:t>infundadas</w:t>
      </w:r>
      <w:r>
        <w:rPr>
          <w:rFonts w:ascii="Palatino Linotype" w:eastAsia="Palatino Linotype" w:hAnsi="Palatino Linotype" w:cs="Palatino Linotype"/>
          <w:sz w:val="24"/>
          <w:szCs w:val="24"/>
        </w:rPr>
        <w:t xml:space="preserve"> las razones o motivos de inconformidad que arguye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por ello con fundamento en el artículo 186, fracción II, de la Ley de Transparencia y Acceso a la Información Pública del Estado de México y Municipios, se </w:t>
      </w:r>
      <w:r>
        <w:rPr>
          <w:rFonts w:ascii="Palatino Linotype" w:eastAsia="Palatino Linotype" w:hAnsi="Palatino Linotype" w:cs="Palatino Linotype"/>
          <w:b/>
          <w:sz w:val="24"/>
          <w:szCs w:val="24"/>
        </w:rPr>
        <w:t>CONFIRMA</w:t>
      </w:r>
      <w:r>
        <w:rPr>
          <w:rFonts w:ascii="Palatino Linotype" w:eastAsia="Palatino Linotype" w:hAnsi="Palatino Linotype" w:cs="Palatino Linotype"/>
          <w:sz w:val="24"/>
          <w:szCs w:val="24"/>
        </w:rPr>
        <w:t xml:space="preserve"> la respuesta a la solicit</w:t>
      </w:r>
      <w:r>
        <w:rPr>
          <w:rFonts w:ascii="Palatino Linotype" w:eastAsia="Palatino Linotype" w:hAnsi="Palatino Linotype" w:cs="Palatino Linotype"/>
          <w:sz w:val="24"/>
          <w:szCs w:val="24"/>
        </w:rPr>
        <w:t>ud de información pública</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color w:val="000000"/>
          <w:sz w:val="24"/>
          <w:szCs w:val="24"/>
        </w:rPr>
        <w:t>00995/INFOEM/IP/2021</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que ha sido materia del presente fallo.</w:t>
      </w:r>
    </w:p>
    <w:p w:rsidR="001E11B1" w:rsidRDefault="00D1307E">
      <w:p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 E S U E L V E</w:t>
      </w:r>
    </w:p>
    <w:p w:rsidR="001E11B1" w:rsidRDefault="00D1307E">
      <w:pPr>
        <w:spacing w:before="240" w:after="240" w:line="360" w:lineRule="auto"/>
        <w:ind w:right="49"/>
        <w:jc w:val="both"/>
        <w:rPr>
          <w:rFonts w:ascii="Palatino Linotype" w:eastAsia="Palatino Linotype" w:hAnsi="Palatino Linotype" w:cs="Palatino Linotype"/>
          <w:b/>
          <w:color w:val="222222"/>
          <w:sz w:val="24"/>
          <w:szCs w:val="24"/>
          <w:highlight w:val="white"/>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color w:val="222222"/>
          <w:sz w:val="24"/>
          <w:szCs w:val="24"/>
          <w:highlight w:val="white"/>
        </w:rPr>
        <w:t xml:space="preserve">Resultan infundados los motivos de inconformidad aducidos por el RECURRENTE en el recurso de revisión </w:t>
      </w:r>
      <w:r>
        <w:rPr>
          <w:rFonts w:ascii="Palatino Linotype" w:eastAsia="Palatino Linotype" w:hAnsi="Palatino Linotype" w:cs="Palatino Linotype"/>
          <w:b/>
          <w:color w:val="222222"/>
          <w:sz w:val="24"/>
          <w:szCs w:val="24"/>
          <w:highlight w:val="white"/>
        </w:rPr>
        <w:t xml:space="preserve">06079/INFOEM/IP/RR/2021 </w:t>
      </w:r>
      <w:r>
        <w:rPr>
          <w:rFonts w:ascii="Palatino Linotype" w:eastAsia="Palatino Linotype" w:hAnsi="Palatino Linotype" w:cs="Palatino Linotype"/>
          <w:color w:val="222222"/>
          <w:sz w:val="24"/>
          <w:szCs w:val="24"/>
          <w:highlight w:val="white"/>
        </w:rPr>
        <w:t xml:space="preserve">por lo que, en términos del Considerando Cuarto de esta resolución, se </w:t>
      </w:r>
      <w:r>
        <w:rPr>
          <w:rFonts w:ascii="Palatino Linotype" w:eastAsia="Palatino Linotype" w:hAnsi="Palatino Linotype" w:cs="Palatino Linotype"/>
          <w:b/>
          <w:color w:val="222222"/>
          <w:sz w:val="24"/>
          <w:szCs w:val="24"/>
          <w:highlight w:val="white"/>
        </w:rPr>
        <w:t>CONFIRMA</w:t>
      </w:r>
      <w:r>
        <w:rPr>
          <w:rFonts w:ascii="Palatino Linotype" w:eastAsia="Palatino Linotype" w:hAnsi="Palatino Linotype" w:cs="Palatino Linotype"/>
          <w:color w:val="222222"/>
          <w:sz w:val="24"/>
          <w:szCs w:val="24"/>
          <w:highlight w:val="white"/>
        </w:rPr>
        <w:t xml:space="preserve"> la respuesta del </w:t>
      </w:r>
      <w:r>
        <w:rPr>
          <w:rFonts w:ascii="Palatino Linotype" w:eastAsia="Palatino Linotype" w:hAnsi="Palatino Linotype" w:cs="Palatino Linotype"/>
          <w:b/>
          <w:color w:val="222222"/>
          <w:sz w:val="24"/>
          <w:szCs w:val="24"/>
          <w:highlight w:val="white"/>
        </w:rPr>
        <w:t>SUJETO OBLIGADO.</w:t>
      </w:r>
    </w:p>
    <w:p w:rsidR="001E11B1" w:rsidRDefault="00D1307E">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SEGUNDO</w:t>
      </w:r>
      <w:r>
        <w:rPr>
          <w:rFonts w:ascii="Palatino Linotype" w:eastAsia="Palatino Linotype" w:hAnsi="Palatino Linotype" w:cs="Palatino Linotype"/>
          <w:b/>
          <w:sz w:val="24"/>
          <w:szCs w:val="24"/>
          <w:highlight w:val="white"/>
        </w:rPr>
        <w:t>. NOTIFÍQUESE </w:t>
      </w:r>
      <w:r>
        <w:rPr>
          <w:rFonts w:ascii="Palatino Linotype" w:eastAsia="Palatino Linotype" w:hAnsi="Palatino Linotype" w:cs="Palatino Linotype"/>
          <w:sz w:val="24"/>
          <w:szCs w:val="24"/>
        </w:rPr>
        <w:t xml:space="preserve">vía SAIMEX la presente resolución al Titular de la Unidad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p>
    <w:p w:rsidR="001E11B1" w:rsidRDefault="00D1307E">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 NOTIFÍQUESE</w:t>
      </w:r>
      <w:r>
        <w:rPr>
          <w:rFonts w:ascii="Palatino Linotype" w:eastAsia="Palatino Linotype" w:hAnsi="Palatino Linotype" w:cs="Palatino Linotype"/>
          <w:b/>
          <w:sz w:val="24"/>
          <w:szCs w:val="24"/>
          <w:highlight w:val="white"/>
        </w:rPr>
        <w:t> </w:t>
      </w:r>
      <w:r>
        <w:rPr>
          <w:rFonts w:ascii="Palatino Linotype" w:eastAsia="Palatino Linotype" w:hAnsi="Palatino Linotype" w:cs="Palatino Linotype"/>
          <w:sz w:val="24"/>
          <w:szCs w:val="24"/>
        </w:rPr>
        <w:t xml:space="preserve">vía </w:t>
      </w:r>
      <w:r>
        <w:rPr>
          <w:rFonts w:ascii="Palatino Linotype" w:eastAsia="Palatino Linotype" w:hAnsi="Palatino Linotype" w:cs="Palatino Linotype"/>
          <w:sz w:val="24"/>
          <w:szCs w:val="24"/>
        </w:rPr>
        <w:t>SAIMEX</w:t>
      </w:r>
      <w:r>
        <w:rPr>
          <w:rFonts w:ascii="Palatino Linotype" w:eastAsia="Palatino Linotype" w:hAnsi="Palatino Linotype" w:cs="Palatino Linotype"/>
          <w:b/>
          <w:sz w:val="24"/>
          <w:szCs w:val="24"/>
        </w:rPr>
        <w:t xml:space="preserve"> a</w:t>
      </w:r>
      <w:r>
        <w:rPr>
          <w:rFonts w:ascii="Palatino Linotype" w:eastAsia="Palatino Linotype" w:hAnsi="Palatino Linotype" w:cs="Palatino Linotype"/>
          <w:b/>
          <w:color w:val="000000"/>
          <w:sz w:val="24"/>
          <w:szCs w:val="24"/>
        </w:rPr>
        <w:t>l</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 la presente resolución, además que de conformidad con lo establecido en el artículo 196 de la Ley de Transparencia y Acceso a la Información Pública del Estado de México y Municipios, podrá impugnarla vía Juicio de Amparo en los térmi</w:t>
      </w:r>
      <w:r>
        <w:rPr>
          <w:rFonts w:ascii="Palatino Linotype" w:eastAsia="Palatino Linotype" w:hAnsi="Palatino Linotype" w:cs="Palatino Linotype"/>
          <w:sz w:val="24"/>
          <w:szCs w:val="24"/>
        </w:rPr>
        <w:t>nos de las leyes aplicables.</w:t>
      </w:r>
    </w:p>
    <w:p w:rsidR="001E11B1" w:rsidRDefault="00D1307E">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w:t>
      </w:r>
      <w:r>
        <w:rPr>
          <w:rFonts w:ascii="Palatino Linotype" w:eastAsia="Palatino Linotype" w:hAnsi="Palatino Linotype" w:cs="Palatino Linotype"/>
          <w:sz w:val="24"/>
          <w:szCs w:val="24"/>
        </w:rPr>
        <w:t>Z VILCHIS, MARÍA DEL ROSARIO MEJÍA AYALA, SHARON CRISTINA MORALES MARTÍNEZ (AUSENCIA JUSTIFICADA), LUIS GUSTAVO PARRA NORIEGA Y GUADALUPE RAMÍREZ PEÑA; EN LA</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color w:val="000000"/>
          <w:sz w:val="24"/>
          <w:szCs w:val="24"/>
        </w:rPr>
        <w:t>OCTAVA</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 xml:space="preserve">SESIÓN ORDINARIA CELEBRADA EL </w:t>
      </w:r>
      <w:r>
        <w:rPr>
          <w:rFonts w:ascii="Palatino Linotype" w:eastAsia="Palatino Linotype" w:hAnsi="Palatino Linotype" w:cs="Palatino Linotype"/>
          <w:color w:val="000000"/>
          <w:sz w:val="24"/>
          <w:szCs w:val="24"/>
        </w:rPr>
        <w:t>TRES</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color w:val="000000"/>
          <w:sz w:val="24"/>
          <w:szCs w:val="24"/>
        </w:rPr>
        <w:t xml:space="preserve">DE MARZO </w:t>
      </w:r>
      <w:r>
        <w:rPr>
          <w:rFonts w:ascii="Palatino Linotype" w:eastAsia="Palatino Linotype" w:hAnsi="Palatino Linotype" w:cs="Palatino Linotype"/>
          <w:sz w:val="24"/>
          <w:szCs w:val="24"/>
        </w:rPr>
        <w:t>DE DOS MIL VEINTIDÓS, ANTE EL SECRETARIO TÉCNIC</w:t>
      </w:r>
      <w:r>
        <w:rPr>
          <w:rFonts w:ascii="Palatino Linotype" w:eastAsia="Palatino Linotype" w:hAnsi="Palatino Linotype" w:cs="Palatino Linotype"/>
          <w:sz w:val="24"/>
          <w:szCs w:val="24"/>
        </w:rPr>
        <w:t>O DEL PLENO ALEXIS TAPIA RAMÍREZ.</w:t>
      </w:r>
    </w:p>
    <w:p w:rsidR="001E11B1" w:rsidRDefault="001E11B1">
      <w:pPr>
        <w:spacing w:before="240" w:after="240" w:line="360" w:lineRule="auto"/>
        <w:ind w:right="-234"/>
        <w:jc w:val="both"/>
        <w:rPr>
          <w:rFonts w:ascii="Palatino Linotype" w:eastAsia="Palatino Linotype" w:hAnsi="Palatino Linotype" w:cs="Palatino Linotype"/>
          <w:sz w:val="24"/>
          <w:szCs w:val="24"/>
        </w:rPr>
      </w:pPr>
    </w:p>
    <w:p w:rsidR="001E11B1" w:rsidRDefault="001E11B1">
      <w:pPr>
        <w:spacing w:before="240" w:after="240"/>
        <w:rPr>
          <w:rFonts w:ascii="Palatino Linotype" w:eastAsia="Palatino Linotype" w:hAnsi="Palatino Linotype" w:cs="Palatino Linotype"/>
          <w:i/>
        </w:rPr>
      </w:pPr>
    </w:p>
    <w:p w:rsidR="001E11B1" w:rsidRDefault="001E11B1">
      <w:pPr>
        <w:spacing w:before="240" w:after="240" w:line="360" w:lineRule="auto"/>
        <w:ind w:right="49"/>
        <w:jc w:val="both"/>
        <w:rPr>
          <w:rFonts w:ascii="Palatino Linotype" w:eastAsia="Palatino Linotype" w:hAnsi="Palatino Linotype" w:cs="Palatino Linotype"/>
          <w:sz w:val="24"/>
          <w:szCs w:val="24"/>
        </w:rPr>
      </w:pPr>
    </w:p>
    <w:p w:rsidR="001E11B1" w:rsidRDefault="001E11B1">
      <w:pPr>
        <w:spacing w:before="240" w:after="240" w:line="360" w:lineRule="auto"/>
        <w:jc w:val="both"/>
        <w:rPr>
          <w:rFonts w:ascii="Palatino Linotype" w:eastAsia="Palatino Linotype" w:hAnsi="Palatino Linotype" w:cs="Palatino Linotype"/>
          <w:sz w:val="24"/>
          <w:szCs w:val="24"/>
        </w:rPr>
      </w:pPr>
    </w:p>
    <w:p w:rsidR="001E11B1" w:rsidRDefault="001E11B1">
      <w:pPr>
        <w:spacing w:before="240" w:after="240"/>
        <w:rPr>
          <w:rFonts w:ascii="Palatino Linotype" w:eastAsia="Palatino Linotype" w:hAnsi="Palatino Linotype" w:cs="Palatino Linotype"/>
        </w:rPr>
      </w:pPr>
    </w:p>
    <w:sectPr w:rsidR="001E11B1">
      <w:headerReference w:type="default" r:id="rId42"/>
      <w:headerReference w:type="first" r:id="rId43"/>
      <w:type w:val="continuous"/>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D1307E">
      <w:pPr>
        <w:spacing w:after="0" w:line="240" w:lineRule="auto"/>
      </w:pPr>
      <w:r>
        <w:separator/>
      </w:r>
    </w:p>
  </w:endnote>
  <w:endnote w:type="continuationSeparator" w:id="0">
    <w:p w:rsidR="00000000" w:rsidRDefault="00D13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1B1" w:rsidRDefault="00D1307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noProof/>
        <w:color w:val="000000"/>
        <w:sz w:val="24"/>
        <w:szCs w:val="24"/>
      </w:rPr>
      <w:t>54</w:t>
    </w:r>
    <w:r>
      <w:rPr>
        <w:b/>
        <w:color w:val="000000"/>
        <w:sz w:val="24"/>
        <w:szCs w:val="24"/>
      </w:rPr>
      <w:fldChar w:fldCharType="end"/>
    </w:r>
  </w:p>
  <w:p w:rsidR="001E11B1" w:rsidRDefault="001E11B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D1307E">
      <w:pPr>
        <w:spacing w:after="0" w:line="240" w:lineRule="auto"/>
      </w:pPr>
      <w:r>
        <w:separator/>
      </w:r>
    </w:p>
  </w:footnote>
  <w:footnote w:type="continuationSeparator" w:id="0">
    <w:p w:rsidR="00000000" w:rsidRDefault="00D130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1B1" w:rsidRDefault="001E11B1">
    <w:pPr>
      <w:widowControl w:val="0"/>
      <w:pBdr>
        <w:top w:val="nil"/>
        <w:left w:val="nil"/>
        <w:bottom w:val="nil"/>
        <w:right w:val="nil"/>
        <w:between w:val="nil"/>
      </w:pBdr>
      <w:spacing w:after="0" w:line="276" w:lineRule="auto"/>
      <w:rPr>
        <w:color w:val="000000"/>
      </w:rPr>
    </w:pPr>
  </w:p>
  <w:tbl>
    <w:tblPr>
      <w:tblStyle w:val="a8"/>
      <w:tblW w:w="10812" w:type="dxa"/>
      <w:tblInd w:w="-1633" w:type="dxa"/>
      <w:tblLayout w:type="fixed"/>
      <w:tblLook w:val="0400" w:firstRow="0" w:lastRow="0" w:firstColumn="0" w:lastColumn="0" w:noHBand="0" w:noVBand="1"/>
    </w:tblPr>
    <w:tblGrid>
      <w:gridCol w:w="5940"/>
      <w:gridCol w:w="4872"/>
    </w:tblGrid>
    <w:tr w:rsidR="001E11B1">
      <w:trPr>
        <w:trHeight w:val="255"/>
      </w:trPr>
      <w:tc>
        <w:tcPr>
          <w:tcW w:w="5940" w:type="dxa"/>
        </w:tcPr>
        <w:p w:rsidR="001E11B1" w:rsidRDefault="00D1307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No.:</w:t>
          </w:r>
        </w:p>
      </w:tc>
      <w:tc>
        <w:tcPr>
          <w:tcW w:w="4872" w:type="dxa"/>
        </w:tcPr>
        <w:p w:rsidR="001E11B1" w:rsidRDefault="00D1307E">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06079/INFOEM/IP/RR/2021</w:t>
          </w:r>
        </w:p>
      </w:tc>
    </w:tr>
    <w:tr w:rsidR="001E11B1">
      <w:trPr>
        <w:trHeight w:val="220"/>
      </w:trPr>
      <w:tc>
        <w:tcPr>
          <w:tcW w:w="5940" w:type="dxa"/>
        </w:tcPr>
        <w:p w:rsidR="001E11B1" w:rsidRDefault="00D1307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72" w:type="dxa"/>
        </w:tcPr>
        <w:p w:rsidR="001E11B1" w:rsidRDefault="00D1307E">
          <w:pPr>
            <w:spacing w:after="120"/>
            <w:ind w:right="214"/>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tc>
    </w:tr>
    <w:tr w:rsidR="001E11B1">
      <w:trPr>
        <w:trHeight w:val="273"/>
      </w:trPr>
      <w:tc>
        <w:tcPr>
          <w:tcW w:w="5940" w:type="dxa"/>
        </w:tcPr>
        <w:p w:rsidR="001E11B1" w:rsidRDefault="00D1307E">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72" w:type="dxa"/>
        </w:tcPr>
        <w:p w:rsidR="001E11B1" w:rsidRDefault="00D1307E">
          <w:pPr>
            <w:spacing w:after="0"/>
            <w:ind w:left="-495" w:right="214" w:firstLine="567"/>
            <w:jc w:val="right"/>
            <w:rPr>
              <w:rFonts w:ascii="Palatino Linotype" w:eastAsia="Palatino Linotype" w:hAnsi="Palatino Linotype" w:cs="Palatino Linotype"/>
              <w:sz w:val="24"/>
              <w:szCs w:val="24"/>
            </w:rPr>
          </w:pPr>
          <w:bookmarkStart w:id="1" w:name="_heading=h.1fob9te" w:colFirst="0" w:colLast="0"/>
          <w:bookmarkEnd w:id="1"/>
          <w:r>
            <w:rPr>
              <w:rFonts w:ascii="Palatino Linotype" w:eastAsia="Palatino Linotype" w:hAnsi="Palatino Linotype" w:cs="Palatino Linotype"/>
              <w:sz w:val="24"/>
              <w:szCs w:val="24"/>
            </w:rPr>
            <w:t xml:space="preserve">Instituto de Transparencia, Acceso a la Información Pública y Protección de Datos Personales del Estado de México y Municipios. </w:t>
          </w:r>
        </w:p>
      </w:tc>
    </w:tr>
    <w:tr w:rsidR="001E11B1">
      <w:trPr>
        <w:trHeight w:val="386"/>
      </w:trPr>
      <w:tc>
        <w:tcPr>
          <w:tcW w:w="5940" w:type="dxa"/>
        </w:tcPr>
        <w:p w:rsidR="001E11B1" w:rsidRDefault="00D1307E">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72" w:type="dxa"/>
        </w:tcPr>
        <w:p w:rsidR="001E11B1" w:rsidRDefault="00D1307E">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w:t>
          </w:r>
          <w:r>
            <w:rPr>
              <w:rFonts w:ascii="Palatino Linotype" w:eastAsia="Palatino Linotype" w:hAnsi="Palatino Linotype" w:cs="Palatino Linotype"/>
              <w:sz w:val="24"/>
              <w:szCs w:val="24"/>
            </w:rPr>
            <w:t>rez Peña</w:t>
          </w:r>
        </w:p>
      </w:tc>
    </w:tr>
  </w:tbl>
  <w:p w:rsidR="001E11B1" w:rsidRDefault="00D1307E">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-1150619</wp:posOffset>
          </wp:positionH>
          <wp:positionV relativeFrom="paragraph">
            <wp:posOffset>-2282189</wp:posOffset>
          </wp:positionV>
          <wp:extent cx="7924800" cy="10133330"/>
          <wp:effectExtent l="0" t="0" r="0" b="0"/>
          <wp:wrapNone/>
          <wp:docPr id="6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924800" cy="101333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1B1" w:rsidRDefault="001E11B1">
    <w:pPr>
      <w:widowControl w:val="0"/>
      <w:pBdr>
        <w:top w:val="nil"/>
        <w:left w:val="nil"/>
        <w:bottom w:val="nil"/>
        <w:right w:val="nil"/>
        <w:between w:val="nil"/>
      </w:pBdr>
      <w:spacing w:after="0" w:line="276" w:lineRule="auto"/>
      <w:rPr>
        <w:rFonts w:ascii="Palatino Linotype" w:eastAsia="Palatino Linotype" w:hAnsi="Palatino Linotype" w:cs="Palatino Linotype"/>
      </w:rPr>
    </w:pPr>
  </w:p>
  <w:tbl>
    <w:tblPr>
      <w:tblStyle w:val="a7"/>
      <w:tblW w:w="10812" w:type="dxa"/>
      <w:tblInd w:w="-1633" w:type="dxa"/>
      <w:tblLayout w:type="fixed"/>
      <w:tblLook w:val="0400" w:firstRow="0" w:lastRow="0" w:firstColumn="0" w:lastColumn="0" w:noHBand="0" w:noVBand="1"/>
    </w:tblPr>
    <w:tblGrid>
      <w:gridCol w:w="5940"/>
      <w:gridCol w:w="4872"/>
    </w:tblGrid>
    <w:tr w:rsidR="001E11B1">
      <w:trPr>
        <w:trHeight w:val="255"/>
      </w:trPr>
      <w:tc>
        <w:tcPr>
          <w:tcW w:w="5940" w:type="dxa"/>
        </w:tcPr>
        <w:p w:rsidR="001E11B1" w:rsidRDefault="00D1307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No.:</w:t>
          </w:r>
        </w:p>
      </w:tc>
      <w:tc>
        <w:tcPr>
          <w:tcW w:w="4872" w:type="dxa"/>
        </w:tcPr>
        <w:p w:rsidR="001E11B1" w:rsidRDefault="00D1307E">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06079/INFOEM/IP/RR/2021</w:t>
          </w:r>
        </w:p>
      </w:tc>
    </w:tr>
    <w:tr w:rsidR="001E11B1">
      <w:trPr>
        <w:trHeight w:val="220"/>
      </w:trPr>
      <w:tc>
        <w:tcPr>
          <w:tcW w:w="5940" w:type="dxa"/>
        </w:tcPr>
        <w:p w:rsidR="001E11B1" w:rsidRDefault="00D1307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72" w:type="dxa"/>
        </w:tcPr>
        <w:p w:rsidR="001E11B1" w:rsidRDefault="00D1307E" w:rsidP="00D1307E">
          <w:pPr>
            <w:spacing w:after="120"/>
            <w:ind w:right="214"/>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xxxx</w:t>
          </w:r>
          <w:r>
            <w:rPr>
              <w:rFonts w:ascii="Palatino Linotype" w:eastAsia="Palatino Linotype" w:hAnsi="Palatino Linotype" w:cs="Palatino Linotype"/>
              <w:sz w:val="24"/>
              <w:szCs w:val="24"/>
            </w:rPr>
            <w:t xml:space="preserve">      </w:t>
          </w:r>
        </w:p>
      </w:tc>
    </w:tr>
    <w:tr w:rsidR="001E11B1">
      <w:trPr>
        <w:trHeight w:val="273"/>
      </w:trPr>
      <w:tc>
        <w:tcPr>
          <w:tcW w:w="5940" w:type="dxa"/>
        </w:tcPr>
        <w:p w:rsidR="001E11B1" w:rsidRDefault="00D1307E">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72" w:type="dxa"/>
        </w:tcPr>
        <w:p w:rsidR="001E11B1" w:rsidRDefault="00D1307E">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Instituto de Transparencia, Acceso a la Información Pública y Protección de Datos Personales del Estado de México y Municipios. </w:t>
          </w:r>
        </w:p>
      </w:tc>
    </w:tr>
    <w:tr w:rsidR="001E11B1">
      <w:trPr>
        <w:trHeight w:val="386"/>
      </w:trPr>
      <w:tc>
        <w:tcPr>
          <w:tcW w:w="5940" w:type="dxa"/>
        </w:tcPr>
        <w:p w:rsidR="001E11B1" w:rsidRDefault="00D1307E">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72" w:type="dxa"/>
        </w:tcPr>
        <w:p w:rsidR="001E11B1" w:rsidRDefault="00D1307E">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1E11B1" w:rsidRDefault="00D1307E">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-1213677</wp:posOffset>
          </wp:positionH>
          <wp:positionV relativeFrom="paragraph">
            <wp:posOffset>-2254442</wp:posOffset>
          </wp:positionV>
          <wp:extent cx="7924800" cy="10133330"/>
          <wp:effectExtent l="0" t="0" r="0" b="0"/>
          <wp:wrapNone/>
          <wp:docPr id="6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924800" cy="10133330"/>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1B1" w:rsidRDefault="001E11B1">
    <w:pPr>
      <w:widowControl w:val="0"/>
      <w:pBdr>
        <w:top w:val="nil"/>
        <w:left w:val="nil"/>
        <w:bottom w:val="nil"/>
        <w:right w:val="nil"/>
        <w:between w:val="nil"/>
      </w:pBdr>
      <w:spacing w:after="0" w:line="276" w:lineRule="auto"/>
      <w:rPr>
        <w:color w:val="000000"/>
      </w:rPr>
    </w:pPr>
  </w:p>
  <w:tbl>
    <w:tblPr>
      <w:tblStyle w:val="a9"/>
      <w:tblW w:w="10812" w:type="dxa"/>
      <w:tblInd w:w="-1633" w:type="dxa"/>
      <w:tblLayout w:type="fixed"/>
      <w:tblLook w:val="0400" w:firstRow="0" w:lastRow="0" w:firstColumn="0" w:lastColumn="0" w:noHBand="0" w:noVBand="1"/>
    </w:tblPr>
    <w:tblGrid>
      <w:gridCol w:w="5940"/>
      <w:gridCol w:w="4872"/>
    </w:tblGrid>
    <w:tr w:rsidR="001E11B1">
      <w:trPr>
        <w:trHeight w:val="255"/>
      </w:trPr>
      <w:tc>
        <w:tcPr>
          <w:tcW w:w="5940" w:type="dxa"/>
        </w:tcPr>
        <w:p w:rsidR="001E11B1" w:rsidRDefault="00D1307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No.:</w:t>
          </w:r>
        </w:p>
      </w:tc>
      <w:tc>
        <w:tcPr>
          <w:tcW w:w="4872" w:type="dxa"/>
        </w:tcPr>
        <w:p w:rsidR="001E11B1" w:rsidRDefault="00D1307E">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06079/INFOEM/IP/RR/2021</w:t>
          </w:r>
        </w:p>
      </w:tc>
    </w:tr>
    <w:tr w:rsidR="001E11B1">
      <w:trPr>
        <w:trHeight w:val="220"/>
      </w:trPr>
      <w:tc>
        <w:tcPr>
          <w:tcW w:w="5940" w:type="dxa"/>
        </w:tcPr>
        <w:p w:rsidR="001E11B1" w:rsidRDefault="00D1307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72" w:type="dxa"/>
        </w:tcPr>
        <w:p w:rsidR="001E11B1" w:rsidRDefault="00D1307E">
          <w:pPr>
            <w:spacing w:after="120"/>
            <w:ind w:right="214"/>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tc>
    </w:tr>
    <w:tr w:rsidR="001E11B1">
      <w:trPr>
        <w:trHeight w:val="273"/>
      </w:trPr>
      <w:tc>
        <w:tcPr>
          <w:tcW w:w="5940" w:type="dxa"/>
        </w:tcPr>
        <w:p w:rsidR="001E11B1" w:rsidRDefault="00D1307E">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72" w:type="dxa"/>
        </w:tcPr>
        <w:p w:rsidR="001E11B1" w:rsidRDefault="00D1307E">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Instituto de Transparencia, Acceso a la Información Pública y Protección de Datos Personales del Estado de México y Municipios. </w:t>
          </w:r>
        </w:p>
      </w:tc>
    </w:tr>
    <w:tr w:rsidR="001E11B1">
      <w:trPr>
        <w:trHeight w:val="386"/>
      </w:trPr>
      <w:tc>
        <w:tcPr>
          <w:tcW w:w="5940" w:type="dxa"/>
        </w:tcPr>
        <w:p w:rsidR="001E11B1" w:rsidRDefault="00D1307E">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72" w:type="dxa"/>
        </w:tcPr>
        <w:p w:rsidR="001E11B1" w:rsidRDefault="00D1307E">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1E11B1" w:rsidRDefault="00D1307E">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0288" behindDoc="1" locked="0" layoutInCell="1" hidden="0" allowOverlap="1">
          <wp:simplePos x="0" y="0"/>
          <wp:positionH relativeFrom="column">
            <wp:posOffset>-1169669</wp:posOffset>
          </wp:positionH>
          <wp:positionV relativeFrom="paragraph">
            <wp:posOffset>-2234564</wp:posOffset>
          </wp:positionV>
          <wp:extent cx="7924800" cy="10133330"/>
          <wp:effectExtent l="0" t="0" r="0" b="0"/>
          <wp:wrapNone/>
          <wp:docPr id="5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924800" cy="10133330"/>
                  </a:xfrm>
                  <a:prstGeom prst="rect">
                    <a:avLst/>
                  </a:prstGeom>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1B1" w:rsidRDefault="001E11B1">
    <w:pPr>
      <w:widowControl w:val="0"/>
      <w:pBdr>
        <w:top w:val="nil"/>
        <w:left w:val="nil"/>
        <w:bottom w:val="nil"/>
        <w:right w:val="nil"/>
        <w:between w:val="nil"/>
      </w:pBdr>
      <w:spacing w:after="0" w:line="276" w:lineRule="auto"/>
      <w:rPr>
        <w:color w:val="000000"/>
      </w:rPr>
    </w:pPr>
  </w:p>
  <w:tbl>
    <w:tblPr>
      <w:tblStyle w:val="ab"/>
      <w:tblW w:w="10812" w:type="dxa"/>
      <w:tblInd w:w="-1633" w:type="dxa"/>
      <w:tblLayout w:type="fixed"/>
      <w:tblLook w:val="0400" w:firstRow="0" w:lastRow="0" w:firstColumn="0" w:lastColumn="0" w:noHBand="0" w:noVBand="1"/>
    </w:tblPr>
    <w:tblGrid>
      <w:gridCol w:w="5940"/>
      <w:gridCol w:w="4872"/>
    </w:tblGrid>
    <w:tr w:rsidR="001E11B1">
      <w:trPr>
        <w:trHeight w:val="255"/>
      </w:trPr>
      <w:tc>
        <w:tcPr>
          <w:tcW w:w="0" w:type="auto"/>
        </w:tcPr>
        <w:p w:rsidR="001E11B1" w:rsidRDefault="00D1307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No.:</w:t>
          </w:r>
        </w:p>
      </w:tc>
      <w:tc>
        <w:tcPr>
          <w:tcW w:w="0" w:type="auto"/>
        </w:tcPr>
        <w:p w:rsidR="001E11B1" w:rsidRDefault="00D1307E">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06079/INFOEM/IP/RR/2021</w:t>
          </w:r>
        </w:p>
      </w:tc>
    </w:tr>
    <w:tr w:rsidR="001E11B1">
      <w:trPr>
        <w:trHeight w:val="220"/>
      </w:trPr>
      <w:tc>
        <w:tcPr>
          <w:tcW w:w="0" w:type="auto"/>
        </w:tcPr>
        <w:p w:rsidR="001E11B1" w:rsidRDefault="00D1307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0" w:type="auto"/>
        </w:tcPr>
        <w:p w:rsidR="001E11B1" w:rsidRDefault="00D1307E">
          <w:pPr>
            <w:spacing w:after="120"/>
            <w:ind w:right="214"/>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alex</w:t>
          </w:r>
        </w:p>
      </w:tc>
    </w:tr>
    <w:tr w:rsidR="001E11B1">
      <w:trPr>
        <w:trHeight w:val="273"/>
      </w:trPr>
      <w:tc>
        <w:tcPr>
          <w:tcW w:w="0" w:type="auto"/>
        </w:tcPr>
        <w:p w:rsidR="001E11B1" w:rsidRDefault="00D1307E">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0" w:type="auto"/>
        </w:tcPr>
        <w:p w:rsidR="001E11B1" w:rsidRDefault="00D1307E">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Instituto de Transparencia, Acceso a la Información Pública y Protección de Datos Personales del Estado de México y Municipios. </w:t>
          </w:r>
        </w:p>
      </w:tc>
    </w:tr>
    <w:tr w:rsidR="001E11B1">
      <w:trPr>
        <w:trHeight w:val="386"/>
      </w:trPr>
      <w:tc>
        <w:tcPr>
          <w:tcW w:w="0" w:type="auto"/>
        </w:tcPr>
        <w:p w:rsidR="001E11B1" w:rsidRDefault="00D1307E">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0" w:type="auto"/>
        </w:tcPr>
        <w:p w:rsidR="001E11B1" w:rsidRDefault="00D1307E">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1E11B1" w:rsidRDefault="00D1307E">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1312" behindDoc="1" locked="0" layoutInCell="1" hidden="0" allowOverlap="1">
          <wp:simplePos x="0" y="0"/>
          <wp:positionH relativeFrom="column">
            <wp:posOffset>-1122044</wp:posOffset>
          </wp:positionH>
          <wp:positionV relativeFrom="paragraph">
            <wp:posOffset>-2263139</wp:posOffset>
          </wp:positionV>
          <wp:extent cx="7924800" cy="10133330"/>
          <wp:effectExtent l="0" t="0" r="0" b="0"/>
          <wp:wrapNone/>
          <wp:docPr id="5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924800" cy="10133330"/>
                  </a:xfrm>
                  <a:prstGeom prst="rect">
                    <a:avLst/>
                  </a:prstGeom>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1B1" w:rsidRDefault="001E11B1">
    <w:pPr>
      <w:widowControl w:val="0"/>
      <w:pBdr>
        <w:top w:val="nil"/>
        <w:left w:val="nil"/>
        <w:bottom w:val="nil"/>
        <w:right w:val="nil"/>
        <w:between w:val="nil"/>
      </w:pBdr>
      <w:spacing w:after="0" w:line="276" w:lineRule="auto"/>
      <w:rPr>
        <w:color w:val="000000"/>
      </w:rPr>
    </w:pPr>
  </w:p>
  <w:tbl>
    <w:tblPr>
      <w:tblStyle w:val="aa"/>
      <w:tblW w:w="10812" w:type="dxa"/>
      <w:tblInd w:w="-1633" w:type="dxa"/>
      <w:tblLayout w:type="fixed"/>
      <w:tblLook w:val="0400" w:firstRow="0" w:lastRow="0" w:firstColumn="0" w:lastColumn="0" w:noHBand="0" w:noVBand="1"/>
    </w:tblPr>
    <w:tblGrid>
      <w:gridCol w:w="5940"/>
      <w:gridCol w:w="4872"/>
    </w:tblGrid>
    <w:tr w:rsidR="001E11B1">
      <w:trPr>
        <w:trHeight w:val="255"/>
      </w:trPr>
      <w:tc>
        <w:tcPr>
          <w:tcW w:w="5940" w:type="dxa"/>
        </w:tcPr>
        <w:p w:rsidR="001E11B1" w:rsidRDefault="00D1307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No.:</w:t>
          </w:r>
        </w:p>
      </w:tc>
      <w:tc>
        <w:tcPr>
          <w:tcW w:w="4872" w:type="dxa"/>
        </w:tcPr>
        <w:p w:rsidR="001E11B1" w:rsidRDefault="00D1307E">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06079/INFOEM/IP/RR/2021</w:t>
          </w:r>
        </w:p>
      </w:tc>
    </w:tr>
    <w:tr w:rsidR="001E11B1">
      <w:trPr>
        <w:trHeight w:val="220"/>
      </w:trPr>
      <w:tc>
        <w:tcPr>
          <w:tcW w:w="5940" w:type="dxa"/>
        </w:tcPr>
        <w:p w:rsidR="001E11B1" w:rsidRDefault="00D1307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72" w:type="dxa"/>
        </w:tcPr>
        <w:p w:rsidR="001E11B1" w:rsidRDefault="00D1307E">
          <w:pPr>
            <w:spacing w:after="120"/>
            <w:ind w:right="214"/>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tc>
    </w:tr>
    <w:tr w:rsidR="001E11B1">
      <w:trPr>
        <w:trHeight w:val="273"/>
      </w:trPr>
      <w:tc>
        <w:tcPr>
          <w:tcW w:w="5940" w:type="dxa"/>
        </w:tcPr>
        <w:p w:rsidR="001E11B1" w:rsidRDefault="00D1307E">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72" w:type="dxa"/>
        </w:tcPr>
        <w:p w:rsidR="001E11B1" w:rsidRDefault="00D1307E">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Instituto de Transparencia, Acceso a la Información Pública y Protección de Datos Personales del Estado de México y Municipios. </w:t>
          </w:r>
        </w:p>
      </w:tc>
    </w:tr>
    <w:tr w:rsidR="001E11B1">
      <w:trPr>
        <w:trHeight w:val="386"/>
      </w:trPr>
      <w:tc>
        <w:tcPr>
          <w:tcW w:w="5940" w:type="dxa"/>
        </w:tcPr>
        <w:p w:rsidR="001E11B1" w:rsidRDefault="00D1307E">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72" w:type="dxa"/>
        </w:tcPr>
        <w:p w:rsidR="001E11B1" w:rsidRDefault="00D1307E">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1E11B1" w:rsidRDefault="00D1307E">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2336" behindDoc="1" locked="0" layoutInCell="1" hidden="0" allowOverlap="1">
          <wp:simplePos x="0" y="0"/>
          <wp:positionH relativeFrom="column">
            <wp:posOffset>-1169669</wp:posOffset>
          </wp:positionH>
          <wp:positionV relativeFrom="paragraph">
            <wp:posOffset>-2234564</wp:posOffset>
          </wp:positionV>
          <wp:extent cx="7924800" cy="10133330"/>
          <wp:effectExtent l="0" t="0" r="0" b="0"/>
          <wp:wrapNone/>
          <wp:docPr id="8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924800" cy="10133330"/>
                  </a:xfrm>
                  <a:prstGeom prst="rect">
                    <a:avLst/>
                  </a:prstGeom>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1B1" w:rsidRDefault="001E11B1">
    <w:pPr>
      <w:widowControl w:val="0"/>
      <w:pBdr>
        <w:top w:val="nil"/>
        <w:left w:val="nil"/>
        <w:bottom w:val="nil"/>
        <w:right w:val="nil"/>
        <w:between w:val="nil"/>
      </w:pBdr>
      <w:spacing w:after="0" w:line="276" w:lineRule="auto"/>
      <w:rPr>
        <w:color w:val="000000"/>
      </w:rPr>
    </w:pPr>
  </w:p>
  <w:tbl>
    <w:tblPr>
      <w:tblStyle w:val="ac"/>
      <w:tblW w:w="10812" w:type="dxa"/>
      <w:tblInd w:w="-1633" w:type="dxa"/>
      <w:tblLayout w:type="fixed"/>
      <w:tblLook w:val="0400" w:firstRow="0" w:lastRow="0" w:firstColumn="0" w:lastColumn="0" w:noHBand="0" w:noVBand="1"/>
    </w:tblPr>
    <w:tblGrid>
      <w:gridCol w:w="5940"/>
      <w:gridCol w:w="4872"/>
    </w:tblGrid>
    <w:tr w:rsidR="001E11B1">
      <w:trPr>
        <w:trHeight w:val="255"/>
      </w:trPr>
      <w:tc>
        <w:tcPr>
          <w:tcW w:w="0" w:type="auto"/>
        </w:tcPr>
        <w:p w:rsidR="001E11B1" w:rsidRDefault="00D1307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No.:</w:t>
          </w:r>
        </w:p>
      </w:tc>
      <w:tc>
        <w:tcPr>
          <w:tcW w:w="0" w:type="auto"/>
        </w:tcPr>
        <w:p w:rsidR="001E11B1" w:rsidRDefault="00D1307E">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06079/INFOEM/IP/RR/2021</w:t>
          </w:r>
        </w:p>
      </w:tc>
    </w:tr>
    <w:tr w:rsidR="001E11B1">
      <w:trPr>
        <w:trHeight w:val="220"/>
      </w:trPr>
      <w:tc>
        <w:tcPr>
          <w:tcW w:w="0" w:type="auto"/>
        </w:tcPr>
        <w:p w:rsidR="001E11B1" w:rsidRDefault="00D1307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0" w:type="auto"/>
        </w:tcPr>
        <w:p w:rsidR="001E11B1" w:rsidRDefault="00D1307E">
          <w:pPr>
            <w:spacing w:after="120"/>
            <w:ind w:right="214"/>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alex</w:t>
          </w:r>
        </w:p>
      </w:tc>
    </w:tr>
    <w:tr w:rsidR="001E11B1">
      <w:trPr>
        <w:trHeight w:val="273"/>
      </w:trPr>
      <w:tc>
        <w:tcPr>
          <w:tcW w:w="0" w:type="auto"/>
        </w:tcPr>
        <w:p w:rsidR="001E11B1" w:rsidRDefault="00D1307E">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0" w:type="auto"/>
        </w:tcPr>
        <w:p w:rsidR="001E11B1" w:rsidRDefault="00D1307E">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Instituto de Transparencia, Acceso a la Información Pública y Protección de Datos Personales del Estado de México y Municipios. </w:t>
          </w:r>
        </w:p>
      </w:tc>
    </w:tr>
    <w:tr w:rsidR="001E11B1">
      <w:trPr>
        <w:trHeight w:val="386"/>
      </w:trPr>
      <w:tc>
        <w:tcPr>
          <w:tcW w:w="0" w:type="auto"/>
        </w:tcPr>
        <w:p w:rsidR="001E11B1" w:rsidRDefault="00D1307E">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0" w:type="auto"/>
        </w:tcPr>
        <w:p w:rsidR="001E11B1" w:rsidRDefault="00D1307E">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w:t>
          </w:r>
          <w:r>
            <w:rPr>
              <w:rFonts w:ascii="Palatino Linotype" w:eastAsia="Palatino Linotype" w:hAnsi="Palatino Linotype" w:cs="Palatino Linotype"/>
              <w:sz w:val="24"/>
              <w:szCs w:val="24"/>
            </w:rPr>
            <w:t>z Peña</w:t>
          </w:r>
        </w:p>
      </w:tc>
    </w:tr>
  </w:tbl>
  <w:p w:rsidR="001E11B1" w:rsidRDefault="00D1307E">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3360" behindDoc="1" locked="0" layoutInCell="1" hidden="0" allowOverlap="1">
          <wp:simplePos x="0" y="0"/>
          <wp:positionH relativeFrom="column">
            <wp:posOffset>-1122044</wp:posOffset>
          </wp:positionH>
          <wp:positionV relativeFrom="paragraph">
            <wp:posOffset>-2263139</wp:posOffset>
          </wp:positionV>
          <wp:extent cx="7924800" cy="10133330"/>
          <wp:effectExtent l="0" t="0" r="0" b="0"/>
          <wp:wrapNone/>
          <wp:docPr id="5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92480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46A59"/>
    <w:multiLevelType w:val="multilevel"/>
    <w:tmpl w:val="5EF6621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164057B"/>
    <w:multiLevelType w:val="multilevel"/>
    <w:tmpl w:val="BB9E46B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1B1"/>
    <w:rsid w:val="001E11B1"/>
    <w:rsid w:val="00D130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FAB271-76DD-431B-93C6-CDBDD8619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054"/>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4555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5539"/>
    <w:rPr>
      <w:rFonts w:ascii="Calibri" w:eastAsia="Calibri" w:hAnsi="Calibri" w:cs="Calibri"/>
      <w:lang w:eastAsia="es-MX"/>
    </w:rPr>
  </w:style>
  <w:style w:type="paragraph" w:styleId="Piedepgina">
    <w:name w:val="footer"/>
    <w:basedOn w:val="Normal"/>
    <w:link w:val="PiedepginaCar"/>
    <w:uiPriority w:val="99"/>
    <w:unhideWhenUsed/>
    <w:rsid w:val="004555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5539"/>
    <w:rPr>
      <w:rFonts w:ascii="Calibri" w:eastAsia="Calibri" w:hAnsi="Calibri" w:cs="Calibri"/>
      <w:lang w:eastAsia="es-MX"/>
    </w:rPr>
  </w:style>
  <w:style w:type="character" w:styleId="Hipervnculo">
    <w:name w:val="Hyperlink"/>
    <w:basedOn w:val="Fuentedeprrafopredeter"/>
    <w:uiPriority w:val="99"/>
    <w:unhideWhenUsed/>
    <w:rsid w:val="00455539"/>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55539"/>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55539"/>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45553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55539"/>
    <w:rPr>
      <w:rFonts w:ascii="Times New Roman" w:eastAsia="Times New Roman" w:hAnsi="Times New Roman" w:cs="Times New Roman"/>
      <w:sz w:val="24"/>
      <w:szCs w:val="24"/>
      <w:lang w:eastAsia="es-ES"/>
    </w:rPr>
  </w:style>
  <w:style w:type="table" w:styleId="Tablaconcuadrcula">
    <w:name w:val="Table Grid"/>
    <w:basedOn w:val="Tablanormal"/>
    <w:uiPriority w:val="59"/>
    <w:rsid w:val="007C1BB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D0FB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D0FBD"/>
    <w:rPr>
      <w:rFonts w:ascii="Segoe UI" w:eastAsia="Calibri" w:hAnsi="Segoe UI" w:cs="Segoe UI"/>
      <w:sz w:val="18"/>
      <w:szCs w:val="18"/>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51527"/>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51527"/>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E51527"/>
    <w:rPr>
      <w:vertAlign w:val="superscript"/>
    </w:rPr>
  </w:style>
  <w:style w:type="paragraph" w:styleId="NormalWeb">
    <w:name w:val="Normal (Web)"/>
    <w:basedOn w:val="Normal"/>
    <w:uiPriority w:val="99"/>
    <w:unhideWhenUsed/>
    <w:rsid w:val="00C746B9"/>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76997.pag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https://www.ipomex.org.mx/ipo3/lgt/indice/INFOEM/art_92_xix.web"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7.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28.png"/><Relationship Id="rId32" Type="http://schemas.openxmlformats.org/officeDocument/2006/relationships/image" Target="media/image21.png"/><Relationship Id="rId37" Type="http://schemas.openxmlformats.org/officeDocument/2006/relationships/header" Target="header3.xml"/><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25.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 Id="rId43"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1" Type="http://schemas.openxmlformats.org/officeDocument/2006/relationships/image" Target="media/image23.jpg"/></Relationships>
</file>

<file path=word/_rels/header4.xml.rels><?xml version="1.0" encoding="UTF-8" standalone="yes"?>
<Relationships xmlns="http://schemas.openxmlformats.org/package/2006/relationships"><Relationship Id="rId1" Type="http://schemas.openxmlformats.org/officeDocument/2006/relationships/image" Target="media/image23.jpg"/></Relationships>
</file>

<file path=word/_rels/header5.xml.rels><?xml version="1.0" encoding="UTF-8" standalone="yes"?>
<Relationships xmlns="http://schemas.openxmlformats.org/package/2006/relationships"><Relationship Id="rId1" Type="http://schemas.openxmlformats.org/officeDocument/2006/relationships/image" Target="media/image23.jpg"/></Relationships>
</file>

<file path=word/_rels/header6.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92pubc3EYS9VMzqDwg9gIxW37g==">AMUW2mVczFkqA4cvBhzOdVKxFjZtZWAbCy2xR2dcnFarHrhxCV72vGHPkK8/EDJ9IxwzYax7TFp4phIQfvNX+95dzajDrnFqZM/zhSX+seSn8f6SZabYtnPLEqE/eMCXHYyWkJzFmUSggGX3JQCAhovEG7XH4e9ooA==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9706</Words>
  <Characters>53388</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2022-04-04T15:19:00Z</dcterms:created>
  <dcterms:modified xsi:type="dcterms:W3CDTF">2022-04-04T15:19:00Z</dcterms:modified>
</cp:coreProperties>
</file>