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3CC" w:rsidRDefault="00E77A1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trece de julio de dos mil veintidós</w:t>
      </w:r>
      <w:r>
        <w:rPr>
          <w:rFonts w:ascii="Palatino Linotype" w:eastAsia="Palatino Linotype" w:hAnsi="Palatino Linotype" w:cs="Palatino Linotype"/>
        </w:rPr>
        <w:t>.</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05304/INFOEM/IP/RR/202</w:t>
      </w:r>
      <w:r>
        <w:rPr>
          <w:rFonts w:ascii="Palatino Linotype" w:eastAsia="Palatino Linotype" w:hAnsi="Palatino Linotype" w:cs="Palatino Linotype"/>
          <w:b/>
          <w:sz w:val="22"/>
          <w:szCs w:val="22"/>
        </w:rPr>
        <w:t xml:space="preserve">2, </w:t>
      </w:r>
      <w:r>
        <w:rPr>
          <w:rFonts w:ascii="Palatino Linotype" w:eastAsia="Palatino Linotype" w:hAnsi="Palatino Linotype" w:cs="Palatino Linotype"/>
        </w:rPr>
        <w:t>interpuestos por</w:t>
      </w:r>
      <w:r>
        <w:rPr>
          <w:rFonts w:ascii="Palatino Linotype" w:eastAsia="Palatino Linotype" w:hAnsi="Palatino Linotype" w:cs="Palatino Linotype"/>
          <w:b/>
          <w:color w:val="000000"/>
        </w:rPr>
        <w:t xml:space="preserve"> </w:t>
      </w:r>
      <w:r w:rsidR="0049107B" w:rsidRPr="0049107B">
        <w:rPr>
          <w:rFonts w:ascii="Palatino Linotype" w:eastAsia="Palatino Linotype" w:hAnsi="Palatino Linotype" w:cs="Palatino Linotype"/>
          <w:b/>
        </w:rPr>
        <w:t>XXXXX XXXXXX XXXXXXXXX</w:t>
      </w:r>
      <w:bookmarkStart w:id="0" w:name="_GoBack"/>
      <w:bookmarkEnd w:id="0"/>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a quien en lo sucesivo se le denominará la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falta de respuesta a la solicitud de información con número de folio</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b/>
          <w:color w:val="000000"/>
        </w:rPr>
        <w:t>00041/AMANALCO/IP/2022</w:t>
      </w:r>
      <w:r>
        <w:rPr>
          <w:rFonts w:ascii="Palatino Linotype" w:eastAsia="Palatino Linotype" w:hAnsi="Palatino Linotype" w:cs="Palatino Linotype"/>
        </w:rPr>
        <w:t xml:space="preserve">, del </w:t>
      </w: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Amanalco</w:t>
      </w:r>
      <w:proofErr w:type="spellEnd"/>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rsidR="003C63CC" w:rsidRDefault="00E77A1F">
      <w:pPr>
        <w:keepNext/>
        <w:keepLines/>
        <w:spacing w:before="40"/>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catorce </w:t>
      </w:r>
      <w:r>
        <w:rPr>
          <w:rFonts w:ascii="Palatino Linotype" w:eastAsia="Palatino Linotype" w:hAnsi="Palatino Linotype" w:cs="Palatino Linotype"/>
          <w:b/>
          <w:color w:val="000000"/>
        </w:rPr>
        <w:t>de febrero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su solicitud de acceso a la información pública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3C63CC" w:rsidRDefault="00E77A1F">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 (Sic)</w:t>
      </w:r>
    </w:p>
    <w:p w:rsidR="003C63CC" w:rsidRDefault="00E77A1F">
      <w:pP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SAIMEX.</w:t>
      </w:r>
    </w:p>
    <w:p w:rsidR="003C63CC" w:rsidRDefault="00787E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w:t>
      </w:r>
      <w:r w:rsidR="00E77A1F">
        <w:rPr>
          <w:rFonts w:ascii="Palatino Linotype" w:eastAsia="Palatino Linotype" w:hAnsi="Palatino Linotype" w:cs="Palatino Linotype"/>
          <w:b/>
        </w:rPr>
        <w:t xml:space="preserve">. Prórroga. </w:t>
      </w:r>
      <w:r w:rsidR="00E77A1F">
        <w:rPr>
          <w:rFonts w:ascii="Palatino Linotype" w:eastAsia="Palatino Linotype" w:hAnsi="Palatino Linotype" w:cs="Palatino Linotype"/>
        </w:rPr>
        <w:t xml:space="preserve">En fecha ocho de marzo de dos mil veintidós, el Sujeto Obligado notificó la prórroga para atender la solicitud de información, medularmente en los siguientes términos: </w:t>
      </w:r>
    </w:p>
    <w:p w:rsidR="003C63CC" w:rsidRDefault="00E77A1F">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C63CC" w:rsidRDefault="00E77A1F">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Prorroga aprobada</w:t>
      </w:r>
    </w:p>
    <w:p w:rsidR="003C63CC" w:rsidRDefault="00E77A1F">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P.D. SALVADOR SALGADO ROMAN</w:t>
      </w:r>
    </w:p>
    <w:p w:rsidR="003C63CC" w:rsidRDefault="00E77A1F">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rsidR="00787E28" w:rsidRPr="00787E28" w:rsidRDefault="00787E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Respuesta.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base en el detalle de seguimiento que obra en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omitió dar contestación a la solicitud de acceso a la información pública.</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El recurso de revisión se interpuso a través del SAIMEX, en fecha </w:t>
      </w:r>
      <w:r>
        <w:rPr>
          <w:rFonts w:ascii="Palatino Linotype" w:eastAsia="Palatino Linotype" w:hAnsi="Palatino Linotype" w:cs="Palatino Linotype"/>
          <w:b/>
        </w:rPr>
        <w:t xml:space="preserve">uno </w:t>
      </w:r>
      <w:r>
        <w:rPr>
          <w:rFonts w:ascii="Palatino Linotype" w:eastAsia="Palatino Linotype" w:hAnsi="Palatino Linotype" w:cs="Palatino Linotype"/>
          <w:b/>
          <w:color w:val="000000"/>
        </w:rPr>
        <w:t>de abril del año dos mil veintidós</w:t>
      </w:r>
      <w:r>
        <w:rPr>
          <w:rFonts w:ascii="Palatino Linotype" w:eastAsia="Palatino Linotype" w:hAnsi="Palatino Linotype" w:cs="Palatino Linotype"/>
        </w:rPr>
        <w:t>, por parte de la solicitante de información, expresando lo siguiente:</w:t>
      </w:r>
    </w:p>
    <w:p w:rsidR="003C63CC" w:rsidRDefault="00E77A1F">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3C63CC" w:rsidRDefault="00E77A1F">
      <w:pPr>
        <w:spacing w:before="240" w:after="240"/>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“El sujeto obligado solicitó prórroga para contestar la solicitud de información. El plazo ha vencido y no entregó información solicitada”</w:t>
      </w:r>
      <w:r>
        <w:rPr>
          <w:rFonts w:ascii="Palatino Linotype" w:eastAsia="Palatino Linotype" w:hAnsi="Palatino Linotype" w:cs="Palatino Linotype"/>
          <w:i/>
          <w:sz w:val="22"/>
          <w:szCs w:val="22"/>
        </w:rPr>
        <w:t xml:space="preserve"> (Sic)</w:t>
      </w:r>
    </w:p>
    <w:p w:rsidR="003C63CC" w:rsidRDefault="00E77A1F">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3C63CC" w:rsidRDefault="00E77A1F">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“No entregó la información </w:t>
      </w:r>
      <w:proofErr w:type="gramStart"/>
      <w:r>
        <w:rPr>
          <w:rFonts w:ascii="Palatino Linotype" w:eastAsia="Palatino Linotype" w:hAnsi="Palatino Linotype" w:cs="Palatino Linotype"/>
          <w:i/>
          <w:color w:val="000000"/>
          <w:sz w:val="22"/>
          <w:szCs w:val="22"/>
        </w:rPr>
        <w:t>solicitada ,</w:t>
      </w:r>
      <w:proofErr w:type="gramEnd"/>
      <w:r>
        <w:rPr>
          <w:rFonts w:ascii="Palatino Linotype" w:eastAsia="Palatino Linotype" w:hAnsi="Palatino Linotype" w:cs="Palatino Linotype"/>
          <w:i/>
          <w:color w:val="000000"/>
          <w:sz w:val="22"/>
          <w:szCs w:val="22"/>
        </w:rPr>
        <w:t xml:space="preserve"> aun cuando pidió prórroga” </w:t>
      </w:r>
      <w:r>
        <w:rPr>
          <w:rFonts w:ascii="Palatino Linotype" w:eastAsia="Palatino Linotype" w:hAnsi="Palatino Linotype" w:cs="Palatino Linotype"/>
          <w:i/>
          <w:sz w:val="22"/>
          <w:szCs w:val="22"/>
        </w:rPr>
        <w:t>(Sic)</w:t>
      </w:r>
    </w:p>
    <w:p w:rsidR="003C63CC" w:rsidRDefault="00E77A1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los recursos de revisión fueron turnados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rsidR="003C63CC" w:rsidRDefault="00E77A1F">
      <w:pPr>
        <w:spacing w:before="240" w:after="240" w:line="360" w:lineRule="auto"/>
        <w:jc w:val="both"/>
      </w:pPr>
      <w:r>
        <w:rPr>
          <w:rFonts w:ascii="Palatino Linotype" w:eastAsia="Palatino Linotype" w:hAnsi="Palatino Linotype" w:cs="Palatino Linotype"/>
          <w:b/>
        </w:rPr>
        <w:lastRenderedPageBreak/>
        <w:t>6. Admisión.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 xml:space="preserve">seis </w:t>
      </w:r>
      <w:r>
        <w:rPr>
          <w:rFonts w:ascii="Palatino Linotype" w:eastAsia="Palatino Linotype" w:hAnsi="Palatino Linotype" w:cs="Palatino Linotype"/>
          <w:b/>
          <w:color w:val="000000"/>
        </w:rPr>
        <w:t>de abril de dos mil veintidós</w:t>
      </w:r>
      <w:r>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rsidR="003C63CC" w:rsidRDefault="00E77A1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sz w:val="22"/>
          <w:szCs w:val="22"/>
        </w:rPr>
        <w:t xml:space="preserve">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observa que en fecha </w:t>
      </w:r>
      <w:r>
        <w:rPr>
          <w:rFonts w:ascii="Palatino Linotype" w:eastAsia="Palatino Linotype" w:hAnsi="Palatino Linotype" w:cs="Palatino Linotype"/>
          <w:b/>
        </w:rPr>
        <w:t>diecinueve de mayo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remitió dos archivos electrónicos, los cuales consisten en los archivos electrónicos  </w:t>
      </w:r>
      <w:r>
        <w:rPr>
          <w:rFonts w:ascii="Palatino Linotype" w:eastAsia="Palatino Linotype" w:hAnsi="Palatino Linotype" w:cs="Palatino Linotype"/>
          <w:b/>
          <w:i/>
        </w:rPr>
        <w:t xml:space="preserve">“ATENCION A SOLICITUD 05304.pdf” y “ATENCION A SOLICITUD 05304.pdf”, </w:t>
      </w:r>
      <w:r>
        <w:rPr>
          <w:rFonts w:ascii="Palatino Linotype" w:eastAsia="Palatino Linotype" w:hAnsi="Palatino Linotype" w:cs="Palatino Linotype"/>
        </w:rPr>
        <w:t xml:space="preserve">mismos que se describen a continuación: </w:t>
      </w:r>
    </w:p>
    <w:p w:rsidR="003C63CC" w:rsidRDefault="00E77A1F">
      <w:pPr>
        <w:widowControl w:val="0"/>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rPr>
        <w:t xml:space="preserve">“ATENCION A SOLICITUD 05304.pdf”: </w:t>
      </w:r>
      <w:r>
        <w:rPr>
          <w:rFonts w:ascii="Palatino Linotype" w:eastAsia="Palatino Linotype" w:hAnsi="Palatino Linotype" w:cs="Palatino Linotype"/>
        </w:rPr>
        <w:t xml:space="preserve">Documento de tres fojas en el que medularmente se remite el pronunciamiento del Tesorero Municipal. </w:t>
      </w:r>
    </w:p>
    <w:p w:rsidR="003C63CC" w:rsidRDefault="00E77A1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001502" cy="5485224"/>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01502" cy="5485224"/>
                    </a:xfrm>
                    <a:prstGeom prst="rect">
                      <a:avLst/>
                    </a:prstGeom>
                    <a:ln/>
                  </pic:spPr>
                </pic:pic>
              </a:graphicData>
            </a:graphic>
          </wp:inline>
        </w:drawing>
      </w:r>
    </w:p>
    <w:p w:rsidR="003C63CC" w:rsidRDefault="00E77A1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0" distB="0" distL="0" distR="0">
            <wp:extent cx="5486400" cy="5667375"/>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486400" cy="5667375"/>
                    </a:xfrm>
                    <a:prstGeom prst="rect">
                      <a:avLst/>
                    </a:prstGeom>
                    <a:ln/>
                  </pic:spPr>
                </pic:pic>
              </a:graphicData>
            </a:graphic>
          </wp:inline>
        </w:drawing>
      </w:r>
    </w:p>
    <w:p w:rsidR="003C63CC" w:rsidRDefault="00E77A1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esta documentación se puso a la vista de la particular mediante acuerdo emitido por la Comisionada Ponente, en fecha </w:t>
      </w:r>
      <w:r>
        <w:rPr>
          <w:rFonts w:ascii="Palatino Linotype" w:eastAsia="Palatino Linotype" w:hAnsi="Palatino Linotype" w:cs="Palatino Linotype"/>
          <w:b/>
        </w:rPr>
        <w:t>cinco de julio de dos mil veintidós</w:t>
      </w:r>
      <w:r>
        <w:rPr>
          <w:rFonts w:ascii="Palatino Linotype" w:eastAsia="Palatino Linotype" w:hAnsi="Palatino Linotype" w:cs="Palatino Linotype"/>
        </w:rPr>
        <w:t xml:space="preserve">, asimismo por cuanto hace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tiene que fue omiso en presentar manifestaciones, pruebas y/o alegatos en la etapa procedimental </w:t>
      </w:r>
      <w:r>
        <w:rPr>
          <w:rFonts w:ascii="Palatino Linotype" w:eastAsia="Palatino Linotype" w:hAnsi="Palatino Linotype" w:cs="Palatino Linotype"/>
        </w:rPr>
        <w:lastRenderedPageBreak/>
        <w:t xml:space="preserve">previamente 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extent cx="5497414" cy="1422074"/>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97414" cy="1422074"/>
                    </a:xfrm>
                    <a:prstGeom prst="rect">
                      <a:avLst/>
                    </a:prstGeom>
                    <a:ln/>
                  </pic:spPr>
                </pic:pic>
              </a:graphicData>
            </a:graphic>
          </wp:inline>
        </w:drawing>
      </w: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rPr>
        <w:t>su resolución atentos</w:t>
      </w:r>
      <w:proofErr w:type="gramEnd"/>
      <w:r>
        <w:rPr>
          <w:rFonts w:ascii="Palatino Linotype" w:eastAsia="Palatino Linotype" w:hAnsi="Palatino Linotype" w:cs="Palatino Linotype"/>
        </w:rPr>
        <w:t xml:space="preserve"> a los siguientes criterios: </w:t>
      </w:r>
    </w:p>
    <w:p w:rsidR="003C63CC" w:rsidRDefault="003C63CC">
      <w:pPr>
        <w:spacing w:line="360" w:lineRule="auto"/>
        <w:jc w:val="both"/>
        <w:rPr>
          <w:rFonts w:ascii="Palatino Linotype" w:eastAsia="Palatino Linotype" w:hAnsi="Palatino Linotype" w:cs="Palatino Linotype"/>
        </w:rPr>
      </w:pPr>
    </w:p>
    <w:p w:rsidR="003C63CC" w:rsidRDefault="00E77A1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3C63CC" w:rsidRDefault="003C63CC">
      <w:pPr>
        <w:spacing w:line="360" w:lineRule="auto"/>
        <w:ind w:left="927"/>
        <w:jc w:val="both"/>
        <w:rPr>
          <w:rFonts w:ascii="Palatino Linotype" w:eastAsia="Palatino Linotype" w:hAnsi="Palatino Linotype" w:cs="Palatino Linotype"/>
        </w:rPr>
      </w:pPr>
    </w:p>
    <w:p w:rsidR="003C63CC" w:rsidRDefault="00E77A1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3C63CC" w:rsidRDefault="003C63CC">
      <w:pPr>
        <w:spacing w:line="360" w:lineRule="auto"/>
        <w:jc w:val="both"/>
        <w:rPr>
          <w:rFonts w:ascii="Palatino Linotype" w:eastAsia="Palatino Linotype" w:hAnsi="Palatino Linotype" w:cs="Palatino Linotype"/>
        </w:rPr>
      </w:pPr>
    </w:p>
    <w:p w:rsidR="003C63CC" w:rsidRDefault="00E77A1F">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3C63CC" w:rsidRDefault="003C63CC">
      <w:pPr>
        <w:spacing w:line="360" w:lineRule="auto"/>
        <w:ind w:left="708"/>
        <w:rPr>
          <w:rFonts w:ascii="Palatino Linotype" w:eastAsia="Palatino Linotype" w:hAnsi="Palatino Linotype" w:cs="Palatino Linotype"/>
        </w:rPr>
      </w:pPr>
    </w:p>
    <w:p w:rsidR="003C63CC" w:rsidRDefault="00E77A1F">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3C63CC" w:rsidRDefault="003C63CC">
      <w:pPr>
        <w:spacing w:line="360" w:lineRule="auto"/>
        <w:jc w:val="both"/>
        <w:rPr>
          <w:rFonts w:ascii="Palatino Linotype" w:eastAsia="Palatino Linotype" w:hAnsi="Palatino Linotype" w:cs="Palatino Linotype"/>
          <w:b/>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 xml:space="preserve">once </w:t>
      </w:r>
      <w:r>
        <w:rPr>
          <w:rFonts w:ascii="Palatino Linotype" w:eastAsia="Palatino Linotype" w:hAnsi="Palatino Linotype" w:cs="Palatino Linotype"/>
          <w:b/>
          <w:color w:val="000000"/>
        </w:rPr>
        <w:t xml:space="preserve">de julio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3C63CC" w:rsidRDefault="00E77A1F">
      <w:pPr>
        <w:keepNext/>
        <w:keepLines/>
        <w:spacing w:before="40"/>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3C63CC" w:rsidRDefault="00E77A1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rsidR="003C63CC" w:rsidRDefault="00E77A1F">
      <w:pPr>
        <w:widowControl w:val="0"/>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Oportunidad y </w:t>
      </w:r>
      <w:proofErr w:type="spellStart"/>
      <w:r>
        <w:rPr>
          <w:rFonts w:ascii="Palatino Linotype" w:eastAsia="Palatino Linotype" w:hAnsi="Palatino Linotype" w:cs="Palatino Linotype"/>
          <w:b/>
        </w:rPr>
        <w:t>Procediblidad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previstos en los artículos 178 y 180 de la Ley de Transparencia y Acceso a la Información Pública del Estado de México y Municipios.</w:t>
      </w:r>
    </w:p>
    <w:p w:rsidR="003C63CC" w:rsidRDefault="00E77A1F">
      <w:pPr>
        <w:widowControl w:val="0"/>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Primeramente, es de precisar que la Ley de Transparencia </w:t>
      </w:r>
      <w:r>
        <w:rPr>
          <w:rFonts w:ascii="Palatino Linotype" w:eastAsia="Palatino Linotype" w:hAnsi="Palatino Linotype" w:cs="Palatino Linotype"/>
          <w:color w:val="000000"/>
        </w:rPr>
        <w:t xml:space="preserve">y Acceso a la Información Pública del Estado de México y Municipios, describe el </w:t>
      </w:r>
      <w:r>
        <w:rPr>
          <w:rFonts w:ascii="Palatino Linotype" w:eastAsia="Palatino Linotype" w:hAnsi="Palatino Linotype" w:cs="Palatino Linotype"/>
        </w:rPr>
        <w:t>mecanismo</w:t>
      </w:r>
      <w:r>
        <w:rPr>
          <w:rFonts w:ascii="Palatino Linotype" w:eastAsia="Palatino Linotype" w:hAnsi="Palatino Linotype" w:cs="Palatino Linotype"/>
          <w:color w:val="000000"/>
        </w:rPr>
        <w:t xml:space="preserve"> de procedencia de los recursos de revisión, en ese sentido en su artículo 163 prevé lo siguiente:</w:t>
      </w:r>
    </w:p>
    <w:p w:rsidR="003C63CC" w:rsidRDefault="00E77A1F">
      <w:pPr>
        <w:spacing w:before="120" w:after="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C63CC" w:rsidRDefault="00E77A1F">
      <w:pPr>
        <w:spacing w:before="120" w:after="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Excepcionalmente</w:t>
      </w:r>
      <w:r>
        <w:rPr>
          <w:rFonts w:ascii="Palatino Linotype" w:eastAsia="Palatino Linotype" w:hAnsi="Palatino Linotype" w:cs="Palatino Linotype"/>
          <w:i/>
          <w:color w:val="000000"/>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C63CC" w:rsidRDefault="00E77A1F">
      <w:pPr>
        <w:widowControl w:val="0"/>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precepto legal inserto se advierte que el plazo que le asiste a los sujetos obligados para notificar la respuesta a una solicitud de información pública es de quince días hábiles posteriores a la presentación de ésta.</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w:t>
      </w:r>
      <w:r>
        <w:rPr>
          <w:rFonts w:ascii="Palatino Linotype" w:eastAsia="Palatino Linotype" w:hAnsi="Palatino Linotype" w:cs="Palatino Linotype"/>
        </w:rPr>
        <w:lastRenderedPageBreak/>
        <w:t>Transparencia y Acceso a la Información Pública del Estado de México y Municipios, que señala en su artículo 166 párrafo cuarto:</w:t>
      </w:r>
    </w:p>
    <w:p w:rsidR="003C63CC" w:rsidRDefault="00E77A1F">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166. </w:t>
      </w:r>
      <w:r>
        <w:rPr>
          <w:rFonts w:ascii="Palatino Linotype" w:eastAsia="Palatino Linotype" w:hAnsi="Palatino Linotype" w:cs="Palatino Linotype"/>
          <w:i/>
          <w:sz w:val="22"/>
          <w:szCs w:val="22"/>
        </w:rPr>
        <w:t>La obligación de acceso a la información pública se tendrá por cumplida cuando el solicitante tenga a su disposición la información requerida, o cuando realice la consulta de la misma en el lugar en el que ésta se localice.</w:t>
      </w:r>
    </w:p>
    <w:p w:rsidR="003C63CC" w:rsidRDefault="00E77A1F">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after="120"/>
        <w:ind w:left="851" w:right="902"/>
        <w:jc w:val="both"/>
        <w:rPr>
          <w:rFonts w:ascii="Palatino Linotype" w:eastAsia="Palatino Linotype" w:hAnsi="Palatino Linotype" w:cs="Palatino Linotype"/>
          <w:i/>
          <w:sz w:val="28"/>
          <w:szCs w:val="28"/>
        </w:rPr>
      </w:pPr>
      <w:r>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rsidR="003C63CC" w:rsidRDefault="00E77A1F">
      <w:pPr>
        <w:spacing w:after="120"/>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w:t>
      </w:r>
      <w:r>
        <w:rPr>
          <w:rFonts w:ascii="Palatino Linotype" w:eastAsia="Palatino Linotype" w:hAnsi="Palatino Linotype" w:cs="Palatino Linotype"/>
          <w:i/>
          <w:sz w:val="22"/>
          <w:szCs w:val="22"/>
        </w:rPr>
        <w:lastRenderedPageBreak/>
        <w:t>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C63CC" w:rsidRDefault="00E77A1F">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de impugnación, al actualizarse lo dispuesto en los artículos 176 y 179 fracción VII del ordenamiento legal citado, que establecen los supuestos en que puede interponerse el recurso de revisión:</w:t>
      </w:r>
    </w:p>
    <w:p w:rsidR="003C63CC" w:rsidRDefault="00E77A1F">
      <w:pPr>
        <w:spacing w:before="240" w:after="24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3C63CC" w:rsidRDefault="00E77A1F">
      <w:pPr>
        <w:spacing w:before="240" w:after="24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Bookman Old Style" w:eastAsia="Bookman Old Style" w:hAnsi="Bookman Old Style" w:cs="Bookman Old Style"/>
          <w:sz w:val="20"/>
          <w:szCs w:val="20"/>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3C63CC" w:rsidRDefault="00E77A1F">
      <w:pPr>
        <w:spacing w:before="240" w:after="24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3C63CC" w:rsidRDefault="00E77A1F">
      <w:pPr>
        <w:spacing w:before="240" w:after="240" w:line="360"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VII. La falta de respuesta a una solicitud de acceso a la información</w:t>
      </w:r>
      <w:r>
        <w:rPr>
          <w:rFonts w:ascii="Palatino Linotype" w:eastAsia="Palatino Linotype" w:hAnsi="Palatino Linotype" w:cs="Palatino Linotype"/>
          <w:i/>
          <w:sz w:val="22"/>
          <w:szCs w:val="22"/>
        </w:rPr>
        <w:t>…”</w:t>
      </w:r>
    </w:p>
    <w:p w:rsidR="003C63CC" w:rsidRDefault="00E77A1F">
      <w:pPr>
        <w:spacing w:before="240" w:after="240" w:line="360"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(Sic) (Énfasis añadido)</w:t>
      </w:r>
    </w:p>
    <w:p w:rsidR="003C63CC" w:rsidRDefault="00E77A1F">
      <w:pPr>
        <w:spacing w:before="280" w:after="280" w:line="360" w:lineRule="auto"/>
        <w:jc w:val="both"/>
      </w:pPr>
      <w:r>
        <w:rPr>
          <w:rFonts w:ascii="Palatino Linotype" w:eastAsia="Palatino Linotype" w:hAnsi="Palatino Linotype" w:cs="Palatino Linotype"/>
          <w:b/>
          <w:color w:val="000000"/>
        </w:rPr>
        <w:lastRenderedPageBreak/>
        <w:t>Tercero. Materia de la revisión.</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color w:val="000000"/>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color w:val="000000"/>
        </w:rPr>
        <w:t xml:space="preserve">verificar si el pronunciamiento vertido en informe justificado por el Sujeto Obligado es adecuada y suficiente para satisfacer el derecho de acceso a la información pública </w:t>
      </w: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o en su defecto, en caso de ser procedente, ordenar la entrega de información oportuna.</w:t>
      </w:r>
    </w:p>
    <w:p w:rsidR="003C63CC" w:rsidRDefault="00E77A1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C63CC" w:rsidRDefault="00E77A1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3C63CC" w:rsidRDefault="00E77A1F">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3C63CC" w:rsidRDefault="00E77A1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3C63CC" w:rsidRDefault="00E77A1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3C63CC" w:rsidRDefault="00E77A1F">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C63CC" w:rsidRDefault="00E77A1F">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3C63CC" w:rsidRDefault="00E77A1F">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3C63CC" w:rsidRDefault="00E77A1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C63CC" w:rsidRDefault="00E77A1F">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C63CC" w:rsidRDefault="00E77A1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3C63CC" w:rsidRDefault="00E77A1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C63CC" w:rsidRDefault="00E77A1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3C63CC" w:rsidRDefault="00E77A1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el derecho de acceso a la información pública se satisface en aquellos casos en que se entregue documento en que conste la información requerida, toda </w:t>
      </w:r>
      <w:r>
        <w:rPr>
          <w:rFonts w:ascii="Palatino Linotype" w:eastAsia="Palatino Linotype" w:hAnsi="Palatino Linotype" w:cs="Palatino Linotype"/>
          <w:color w:val="000000"/>
        </w:rPr>
        <w:lastRenderedPageBreak/>
        <w:t>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3C63CC" w:rsidRDefault="00E77A1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3C63CC" w:rsidRDefault="00E77A1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3C63CC" w:rsidRDefault="00E77A1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3C63CC" w:rsidRDefault="00E77A1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C63CC" w:rsidRDefault="00E77A1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C63CC" w:rsidRDefault="00E77A1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3C63CC" w:rsidRDefault="00E77A1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w:t>
      </w:r>
      <w:r>
        <w:rPr>
          <w:rFonts w:ascii="Palatino Linotype" w:eastAsia="Palatino Linotype" w:hAnsi="Palatino Linotype" w:cs="Palatino Linotype"/>
          <w:b/>
          <w:i/>
          <w:color w:val="000000"/>
          <w:sz w:val="22"/>
          <w:szCs w:val="22"/>
        </w:rPr>
        <w:t>contratos</w:t>
      </w:r>
      <w:r>
        <w:rPr>
          <w:rFonts w:ascii="Palatino Linotype" w:eastAsia="Palatino Linotype" w:hAnsi="Palatino Linotype" w:cs="Palatino Linotype"/>
          <w:i/>
          <w:color w:val="000000"/>
          <w:sz w:val="22"/>
          <w:szCs w:val="22"/>
        </w:rPr>
        <w:t xml:space="preserve">, convenios, instructivos, notas, memorandos, estadísticas </w:t>
      </w:r>
      <w:r>
        <w:rPr>
          <w:rFonts w:ascii="Palatino Linotype" w:eastAsia="Palatino Linotype" w:hAnsi="Palatino Linotype" w:cs="Palatino Linotype"/>
          <w:b/>
          <w:i/>
          <w:color w:val="000000"/>
          <w:sz w:val="22"/>
          <w:szCs w:val="22"/>
        </w:rPr>
        <w:t xml:space="preserve">o bien, cualquier otro registro que documente el ejercicio de las facultades, funciones y competencias de los sujetos obligados, sus servidores públicos e integrantes, sin importar su fuente o fecha de elaboración. Los documentos podrán estar en cualquier </w:t>
      </w:r>
      <w:r>
        <w:rPr>
          <w:rFonts w:ascii="Palatino Linotype" w:eastAsia="Palatino Linotype" w:hAnsi="Palatino Linotype" w:cs="Palatino Linotype"/>
          <w:b/>
          <w:i/>
          <w:color w:val="000000"/>
          <w:sz w:val="22"/>
          <w:szCs w:val="22"/>
        </w:rPr>
        <w:lastRenderedPageBreak/>
        <w:t>medio, sea escrito, impreso, sonoro, visual, electrónico, informático u holográfico…</w:t>
      </w:r>
      <w:r>
        <w:rPr>
          <w:rFonts w:ascii="Palatino Linotype" w:eastAsia="Palatino Linotype" w:hAnsi="Palatino Linotype" w:cs="Palatino Linotype"/>
          <w:i/>
          <w:color w:val="000000"/>
          <w:sz w:val="22"/>
          <w:szCs w:val="22"/>
        </w:rPr>
        <w:t>” (Sic)</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3C63CC" w:rsidRDefault="00E77A1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3C63CC" w:rsidRDefault="00E77A1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C63CC" w:rsidRDefault="00E77A1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C63CC" w:rsidRDefault="00E77A1F">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3C63CC" w:rsidRDefault="00E77A1F">
      <w:pPr>
        <w:numPr>
          <w:ilvl w:val="0"/>
          <w:numId w:val="2"/>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3C63CC" w:rsidRDefault="00E77A1F">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3C63CC" w:rsidRDefault="00E77A1F">
      <w:pPr>
        <w:numPr>
          <w:ilvl w:val="0"/>
          <w:numId w:val="3"/>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Monto de las percepciones mensuales del presidente (a) municipal, síndico (a) y regidores del ayuntamiento, además del tesorero (desglosado por sueldo bruto, gratificaciones, bonos, primas, deducciones, sueldo neto). </w:t>
      </w:r>
    </w:p>
    <w:p w:rsidR="003C63CC" w:rsidRDefault="00E77A1F">
      <w:pPr>
        <w:numPr>
          <w:ilvl w:val="0"/>
          <w:numId w:val="3"/>
        </w:numPr>
        <w:pBdr>
          <w:top w:val="nil"/>
          <w:left w:val="nil"/>
          <w:bottom w:val="nil"/>
          <w:right w:val="nil"/>
          <w:between w:val="nil"/>
        </w:pBdr>
        <w:spacing w:before="240" w:after="240" w:line="360" w:lineRule="auto"/>
        <w:ind w:right="70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Copia del talón de pago o recibo de pago al presidente o presidenta municipal. </w:t>
      </w:r>
    </w:p>
    <w:p w:rsidR="009E04F4" w:rsidRDefault="00787E28">
      <w:pPr>
        <w:spacing w:before="240" w:after="240" w:line="360" w:lineRule="auto"/>
        <w:jc w:val="both"/>
        <w:rPr>
          <w:rFonts w:ascii="Palatino Linotype" w:eastAsia="Palatino Linotype" w:hAnsi="Palatino Linotype" w:cs="Palatino Linotype"/>
        </w:rPr>
      </w:pPr>
      <w:r w:rsidRPr="00787E28">
        <w:rPr>
          <w:rFonts w:ascii="Palatino Linotype" w:eastAsia="Palatino Linotype" w:hAnsi="Palatino Linotype" w:cs="Palatino Linotype"/>
        </w:rPr>
        <w:lastRenderedPageBreak/>
        <w:t xml:space="preserve">Debe precisarse que el </w:t>
      </w:r>
      <w:r w:rsidRPr="00787E28">
        <w:rPr>
          <w:rFonts w:ascii="Palatino Linotype" w:eastAsia="Palatino Linotype" w:hAnsi="Palatino Linotype" w:cs="Palatino Linotype"/>
          <w:b/>
        </w:rPr>
        <w:t>Sujeto Obligado</w:t>
      </w:r>
      <w:r w:rsidRPr="00787E28">
        <w:rPr>
          <w:rFonts w:ascii="Palatino Linotype" w:eastAsia="Palatino Linotype" w:hAnsi="Palatino Linotype" w:cs="Palatino Linotype"/>
        </w:rPr>
        <w:t xml:space="preserve"> fue omiso en dar contestación a la solicitud de </w:t>
      </w:r>
      <w:r>
        <w:rPr>
          <w:rFonts w:ascii="Palatino Linotype" w:eastAsia="Palatino Linotype" w:hAnsi="Palatino Linotype" w:cs="Palatino Linotype"/>
        </w:rPr>
        <w:t xml:space="preserve">acceso a la información pública, lo que derivó en la interposición del recurso de revisión que nos ocupa. </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de las constancias que integran el expediente, se concluye que los motivos de inconformidad vertidos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en razón a que una vez presentada la solicitud de información,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otorgó formalmente una respuesta en el plazo conferido por la normatividad para ello, por lo que consecuentemente se trasgredió el derecho humano de acceso a la información pública reconocido por el texto constitucional federal y local respectivamente, luego entonces, el particular procedió a la interposición del recurso de revisión citado al rubro.</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en el presente asunto, en fecha </w:t>
      </w:r>
      <w:r>
        <w:rPr>
          <w:rFonts w:ascii="Palatino Linotype" w:eastAsia="Palatino Linotype" w:hAnsi="Palatino Linotype" w:cs="Palatino Linotype"/>
          <w:b/>
        </w:rPr>
        <w:t>diecinueve de mayo de dos mil veintidós</w:t>
      </w:r>
      <w:r>
        <w:rPr>
          <w:rFonts w:ascii="Palatino Linotype" w:eastAsia="Palatino Linotype" w:hAnsi="Palatino Linotype" w:cs="Palatino Linotype"/>
        </w:rPr>
        <w:t xml:space="preserve">, en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dos soportes documentales, tendientes a satisfacer el derecho de acceso a la información pública de</w:t>
      </w:r>
      <w:r>
        <w:rPr>
          <w:rFonts w:ascii="Palatino Linotype" w:eastAsia="Palatino Linotype" w:hAnsi="Palatino Linotype" w:cs="Palatino Linotype"/>
          <w:b/>
        </w:rPr>
        <w:t>l Recurrente</w:t>
      </w:r>
      <w:r>
        <w:rPr>
          <w:rFonts w:ascii="Palatino Linotype" w:eastAsia="Palatino Linotype" w:hAnsi="Palatino Linotype" w:cs="Palatino Linotype"/>
        </w:rPr>
        <w:t>.</w:t>
      </w:r>
    </w:p>
    <w:p w:rsidR="00A04AF6" w:rsidRDefault="00E77A1F" w:rsidP="00A04AF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precisar que en dicho documento, </w:t>
      </w:r>
      <w:r>
        <w:rPr>
          <w:rFonts w:ascii="Palatino Linotype" w:eastAsia="Palatino Linotype" w:hAnsi="Palatino Linotype" w:cs="Palatino Linotype"/>
          <w:b/>
        </w:rPr>
        <w:t>el Tesorero Municipal manifestó que es imposible remitir la información solicitada ya que no se especifica el periodo, por tal motivo se considera que dicha solicitud no es clara</w:t>
      </w:r>
      <w:r>
        <w:rPr>
          <w:rFonts w:ascii="Palatino Linotype" w:eastAsia="Palatino Linotype" w:hAnsi="Palatino Linotype" w:cs="Palatino Linotype"/>
        </w:rPr>
        <w:t xml:space="preserve">. </w:t>
      </w:r>
    </w:p>
    <w:p w:rsidR="00787E28" w:rsidRPr="00787E28" w:rsidRDefault="00A04AF6" w:rsidP="00787E28">
      <w:pPr>
        <w:spacing w:before="240" w:after="240" w:line="360" w:lineRule="auto"/>
        <w:jc w:val="both"/>
        <w:rPr>
          <w:rFonts w:ascii="Palatino Linotype" w:eastAsia="Palatino Linotype" w:hAnsi="Palatino Linotype" w:cs="Palatino Linotype"/>
          <w:lang w:val="es-ES" w:eastAsia="es-MX"/>
        </w:rPr>
      </w:pPr>
      <w:r w:rsidRPr="00787E28">
        <w:rPr>
          <w:rFonts w:ascii="Palatino Linotype" w:eastAsia="Palatino Linotype" w:hAnsi="Palatino Linotype" w:cs="Palatino Linotype"/>
          <w:color w:val="000000" w:themeColor="text1"/>
        </w:rPr>
        <w:t xml:space="preserve">Al respecto conviene mencionar al Sujeto Obligado </w:t>
      </w:r>
      <w:r w:rsidR="00787E28">
        <w:rPr>
          <w:rFonts w:ascii="Palatino Linotype" w:eastAsia="Palatino Linotype" w:hAnsi="Palatino Linotype" w:cs="Palatino Linotype"/>
          <w:lang w:val="es-ES" w:eastAsia="es-MX"/>
        </w:rPr>
        <w:t xml:space="preserve">que </w:t>
      </w:r>
      <w:r w:rsidR="00787E28" w:rsidRPr="00787E28">
        <w:rPr>
          <w:rFonts w:ascii="Palatino Linotype" w:eastAsia="Palatino Linotype" w:hAnsi="Palatino Linotype" w:cs="Palatino Linotype"/>
          <w:lang w:val="es-ES" w:eastAsia="es-MX"/>
        </w:rPr>
        <w:t>en atención a lo que establece el penúltimo párrafo del artículo 159 de la Ley de Transparencia y Acceso a la Información Pública del Estado de México y Municipios,</w:t>
      </w:r>
      <w:r w:rsidR="00787E28">
        <w:rPr>
          <w:rFonts w:ascii="Palatino Linotype" w:eastAsia="Palatino Linotype" w:hAnsi="Palatino Linotype" w:cs="Palatino Linotype"/>
          <w:lang w:val="es-ES" w:eastAsia="es-MX"/>
        </w:rPr>
        <w:t xml:space="preserve"> puede solicitar al particular, que desahogue el requerimiento de aclaración dentro de un periodo de cinco días hábiles para efecto de que los solicitantes precisen, corrijan o amplíen</w:t>
      </w:r>
      <w:r w:rsidR="00900D86">
        <w:rPr>
          <w:rFonts w:ascii="Palatino Linotype" w:eastAsia="Palatino Linotype" w:hAnsi="Palatino Linotype" w:cs="Palatino Linotype"/>
          <w:lang w:val="es-ES" w:eastAsia="es-MX"/>
        </w:rPr>
        <w:t xml:space="preserve"> los requerimientos de información formulados</w:t>
      </w:r>
      <w:r w:rsidR="00787E28">
        <w:rPr>
          <w:rFonts w:ascii="Palatino Linotype" w:eastAsia="Palatino Linotype" w:hAnsi="Palatino Linotype" w:cs="Palatino Linotype"/>
          <w:lang w:val="es-ES" w:eastAsia="es-MX"/>
        </w:rPr>
        <w:t>:</w:t>
      </w:r>
    </w:p>
    <w:p w:rsidR="00787E28" w:rsidRPr="00787E28" w:rsidRDefault="00787E28" w:rsidP="00787E28">
      <w:pPr>
        <w:spacing w:before="240" w:after="240" w:line="360" w:lineRule="auto"/>
        <w:ind w:left="567" w:right="900"/>
        <w:jc w:val="both"/>
        <w:rPr>
          <w:rFonts w:ascii="Palatino Linotype" w:eastAsia="Palatino Linotype" w:hAnsi="Palatino Linotype" w:cs="Palatino Linotype"/>
          <w:b/>
          <w:i/>
          <w:sz w:val="22"/>
          <w:szCs w:val="22"/>
          <w:u w:val="single"/>
          <w:lang w:val="es-ES" w:eastAsia="es-MX"/>
        </w:rPr>
      </w:pPr>
      <w:r w:rsidRPr="00787E28">
        <w:rPr>
          <w:rFonts w:ascii="Palatino Linotype" w:eastAsia="Palatino Linotype" w:hAnsi="Palatino Linotype" w:cs="Palatino Linotype"/>
          <w:b/>
          <w:i/>
          <w:sz w:val="22"/>
          <w:szCs w:val="22"/>
          <w:lang w:val="es-ES" w:eastAsia="es-MX"/>
        </w:rPr>
        <w:t>“Artículo 159.</w:t>
      </w:r>
      <w:r w:rsidRPr="00787E28">
        <w:rPr>
          <w:rFonts w:ascii="Palatino Linotype" w:eastAsia="Palatino Linotype" w:hAnsi="Palatino Linotype" w:cs="Palatino Linotype"/>
          <w:i/>
          <w:sz w:val="22"/>
          <w:szCs w:val="22"/>
          <w:lang w:val="es-ES" w:eastAsia="es-MX"/>
        </w:rPr>
        <w:t xml:space="preserve"> </w:t>
      </w:r>
      <w:r w:rsidRPr="00787E28">
        <w:rPr>
          <w:rFonts w:ascii="Palatino Linotype" w:eastAsia="Palatino Linotype" w:hAnsi="Palatino Linotype" w:cs="Palatino Linotype"/>
          <w:b/>
          <w:i/>
          <w:sz w:val="22"/>
          <w:szCs w:val="22"/>
          <w:lang w:val="es-ES" w:eastAsia="es-MX"/>
        </w:rPr>
        <w:t xml:space="preserve">Cuando los </w:t>
      </w:r>
      <w:r w:rsidRPr="00787E28">
        <w:rPr>
          <w:rFonts w:ascii="Palatino Linotype" w:eastAsia="Palatino Linotype" w:hAnsi="Palatino Linotype" w:cs="Palatino Linotype"/>
          <w:b/>
          <w:i/>
          <w:sz w:val="22"/>
          <w:szCs w:val="22"/>
          <w:u w:val="single"/>
          <w:lang w:val="es-ES" w:eastAsia="es-MX"/>
        </w:rPr>
        <w:t>detalles proporcionados para localizar los documentos resulten insuficientes, incompletos o sean erróneos</w:t>
      </w:r>
      <w:r w:rsidRPr="00787E28">
        <w:rPr>
          <w:rFonts w:ascii="Palatino Linotype" w:eastAsia="Palatino Linotype" w:hAnsi="Palatino Linotype" w:cs="Palatino Linotype"/>
          <w:b/>
          <w:i/>
          <w:sz w:val="22"/>
          <w:szCs w:val="22"/>
          <w:lang w:val="es-ES" w:eastAsia="es-MX"/>
        </w:rPr>
        <w:t>,</w:t>
      </w:r>
      <w:r w:rsidRPr="00787E28">
        <w:rPr>
          <w:rFonts w:ascii="Palatino Linotype" w:eastAsia="Palatino Linotype" w:hAnsi="Palatino Linotype" w:cs="Palatino Linotype"/>
          <w:i/>
          <w:sz w:val="22"/>
          <w:szCs w:val="22"/>
          <w:lang w:val="es-ES" w:eastAsia="es-MX"/>
        </w:rPr>
        <w:t xml:space="preserve"> la Unidad de Transparencia podrá requerir al solicitante, por una sola vez y dentro de un plazo que no podrá exceder de cinco días hábiles contados a partir de la presentación de la solicitud, para que, en un término de hasta diez días hábiles, indique otros elementos </w:t>
      </w:r>
      <w:r w:rsidRPr="00787E28">
        <w:rPr>
          <w:rFonts w:ascii="Palatino Linotype" w:eastAsia="Palatino Linotype" w:hAnsi="Palatino Linotype" w:cs="Palatino Linotype"/>
          <w:b/>
          <w:i/>
          <w:sz w:val="22"/>
          <w:szCs w:val="22"/>
          <w:u w:val="single"/>
          <w:lang w:val="es-ES" w:eastAsia="es-MX"/>
        </w:rPr>
        <w:t>que complementen, corrijan o amplíen los datos proporcionados o bien, precise uno o varios requerimientos de información.</w:t>
      </w:r>
    </w:p>
    <w:p w:rsidR="00787E28" w:rsidRPr="00787E28" w:rsidRDefault="00787E28" w:rsidP="00787E28">
      <w:pPr>
        <w:spacing w:before="240" w:after="240" w:line="360" w:lineRule="auto"/>
        <w:ind w:left="567" w:right="900"/>
        <w:jc w:val="both"/>
        <w:rPr>
          <w:rFonts w:ascii="Palatino Linotype" w:eastAsia="Palatino Linotype" w:hAnsi="Palatino Linotype" w:cs="Palatino Linotype"/>
          <w:i/>
          <w:sz w:val="22"/>
          <w:szCs w:val="22"/>
          <w:lang w:val="es-ES" w:eastAsia="es-MX"/>
        </w:rPr>
      </w:pPr>
      <w:r w:rsidRPr="00787E28">
        <w:rPr>
          <w:rFonts w:ascii="Palatino Linotype" w:eastAsia="Palatino Linotype" w:hAnsi="Palatino Linotype" w:cs="Palatino Linotype"/>
          <w:i/>
          <w:sz w:val="22"/>
          <w:szCs w:val="22"/>
          <w:lang w:val="es-ES" w:eastAsia="es-MX"/>
        </w:rPr>
        <w:t>….</w:t>
      </w:r>
    </w:p>
    <w:p w:rsidR="00787E28" w:rsidRPr="00787E28" w:rsidRDefault="00787E28" w:rsidP="00787E28">
      <w:pPr>
        <w:spacing w:before="240" w:after="240" w:line="360" w:lineRule="auto"/>
        <w:ind w:left="567" w:right="900"/>
        <w:jc w:val="both"/>
        <w:rPr>
          <w:rFonts w:ascii="Palatino Linotype" w:eastAsia="Palatino Linotype" w:hAnsi="Palatino Linotype" w:cs="Palatino Linotype"/>
          <w:i/>
          <w:sz w:val="22"/>
          <w:szCs w:val="22"/>
          <w:lang w:val="es-ES" w:eastAsia="es-MX"/>
        </w:rPr>
      </w:pPr>
      <w:r w:rsidRPr="00787E28">
        <w:rPr>
          <w:rFonts w:ascii="Palatino Linotype" w:eastAsia="Palatino Linotype" w:hAnsi="Palatino Linotype" w:cs="Palatino Linotype"/>
          <w:i/>
          <w:sz w:val="22"/>
          <w:szCs w:val="22"/>
          <w:lang w:val="es-ES" w:eastAsia="es-MX"/>
        </w:rPr>
        <w:t xml:space="preserve">La solicitud se tendrá por no presentada cuando los solicitantes no atiendan el requerimiento de información adicional, </w:t>
      </w:r>
      <w:r w:rsidRPr="00787E28">
        <w:rPr>
          <w:rFonts w:ascii="Palatino Linotype" w:eastAsia="Palatino Linotype" w:hAnsi="Palatino Linotype" w:cs="Palatino Linotype"/>
          <w:b/>
          <w:i/>
          <w:sz w:val="22"/>
          <w:szCs w:val="22"/>
          <w:u w:val="single"/>
          <w:lang w:val="es-ES" w:eastAsia="es-MX"/>
        </w:rPr>
        <w:t>salvo que en la solicitud inicial se aprecien elementos que permitan identificar la información requerida</w:t>
      </w:r>
      <w:r w:rsidRPr="00787E28">
        <w:rPr>
          <w:rFonts w:ascii="Palatino Linotype" w:eastAsia="Palatino Linotype" w:hAnsi="Palatino Linotype" w:cs="Palatino Linotype"/>
          <w:i/>
          <w:sz w:val="22"/>
          <w:szCs w:val="22"/>
          <w:lang w:val="es-ES" w:eastAsia="es-MX"/>
        </w:rPr>
        <w:t>, quedando a salvo los derechos del particular para volver a presentar su solicitud.</w:t>
      </w:r>
    </w:p>
    <w:p w:rsidR="00787E28" w:rsidRPr="00787E28" w:rsidRDefault="00787E28" w:rsidP="00787E28">
      <w:pPr>
        <w:spacing w:before="240" w:after="240" w:line="360" w:lineRule="auto"/>
        <w:ind w:left="567" w:right="900"/>
        <w:jc w:val="both"/>
        <w:rPr>
          <w:rFonts w:ascii="Palatino Linotype" w:eastAsia="Palatino Linotype" w:hAnsi="Palatino Linotype" w:cs="Palatino Linotype"/>
          <w:i/>
          <w:sz w:val="22"/>
          <w:szCs w:val="22"/>
          <w:lang w:val="es-ES" w:eastAsia="es-MX"/>
        </w:rPr>
      </w:pPr>
      <w:r w:rsidRPr="00787E28">
        <w:rPr>
          <w:rFonts w:ascii="Palatino Linotype" w:eastAsia="Palatino Linotype" w:hAnsi="Palatino Linotype" w:cs="Palatino Linotype"/>
          <w:i/>
          <w:sz w:val="22"/>
          <w:szCs w:val="22"/>
          <w:lang w:val="es-ES" w:eastAsia="es-MX"/>
        </w:rPr>
        <w:t>…”</w:t>
      </w:r>
    </w:p>
    <w:p w:rsidR="00900D86" w:rsidRDefault="00900D86" w:rsidP="00A04AF6">
      <w:pPr>
        <w:spacing w:before="240" w:after="240" w:line="360" w:lineRule="auto"/>
        <w:jc w:val="both"/>
        <w:rPr>
          <w:rFonts w:ascii="Palatino Linotype" w:eastAsia="Palatino Linotype" w:hAnsi="Palatino Linotype" w:cs="Palatino Linotype"/>
          <w:color w:val="000000" w:themeColor="text1"/>
        </w:rPr>
      </w:pPr>
      <w:r w:rsidRPr="00900D86">
        <w:rPr>
          <w:rFonts w:ascii="Palatino Linotype" w:eastAsia="Palatino Linotype" w:hAnsi="Palatino Linotype" w:cs="Palatino Linotype"/>
          <w:color w:val="000000" w:themeColor="text1"/>
        </w:rPr>
        <w:lastRenderedPageBreak/>
        <w:t xml:space="preserve">Por lo que en ocasiones subsecuentes, se insta al Sujeto Obligado a </w:t>
      </w:r>
      <w:r>
        <w:rPr>
          <w:rFonts w:ascii="Palatino Linotype" w:eastAsia="Palatino Linotype" w:hAnsi="Palatino Linotype" w:cs="Palatino Linotype"/>
          <w:color w:val="000000" w:themeColor="text1"/>
        </w:rPr>
        <w:t xml:space="preserve">observar y emplear este precepto normativo para </w:t>
      </w:r>
      <w:proofErr w:type="spellStart"/>
      <w:r>
        <w:rPr>
          <w:rFonts w:ascii="Palatino Linotype" w:eastAsia="Palatino Linotype" w:hAnsi="Palatino Linotype" w:cs="Palatino Linotype"/>
          <w:color w:val="000000" w:themeColor="text1"/>
        </w:rPr>
        <w:t>eficientar</w:t>
      </w:r>
      <w:proofErr w:type="spellEnd"/>
      <w:r>
        <w:rPr>
          <w:rFonts w:ascii="Palatino Linotype" w:eastAsia="Palatino Linotype" w:hAnsi="Palatino Linotype" w:cs="Palatino Linotype"/>
          <w:color w:val="000000" w:themeColor="text1"/>
        </w:rPr>
        <w:t xml:space="preserve"> la práctica de la transparencia. </w:t>
      </w:r>
    </w:p>
    <w:p w:rsidR="00900D86" w:rsidRDefault="00900D86" w:rsidP="00A04AF6">
      <w:pPr>
        <w:spacing w:before="240" w:after="240" w:line="360" w:lineRule="auto"/>
        <w:jc w:val="both"/>
        <w:rPr>
          <w:rFonts w:ascii="Palatino Linotype" w:eastAsia="Palatino Linotype" w:hAnsi="Palatino Linotype" w:cs="Palatino Linotype"/>
          <w:color w:val="000000" w:themeColor="text1"/>
        </w:rPr>
      </w:pPr>
      <w:r w:rsidRPr="00900D86">
        <w:rPr>
          <w:rFonts w:ascii="Palatino Linotype" w:eastAsia="Palatino Linotype" w:hAnsi="Palatino Linotype" w:cs="Palatino Linotype"/>
          <w:color w:val="000000" w:themeColor="text1"/>
        </w:rPr>
        <w:t xml:space="preserve">Ahora bien, </w:t>
      </w:r>
      <w:r w:rsidR="00A04AF6" w:rsidRPr="00900D86">
        <w:rPr>
          <w:rFonts w:ascii="Palatino Linotype" w:eastAsia="Palatino Linotype" w:hAnsi="Palatino Linotype" w:cs="Palatino Linotype"/>
          <w:color w:val="000000" w:themeColor="text1"/>
        </w:rPr>
        <w:t>respecto a los recibos de nómina se tiene que si fue preciso</w:t>
      </w:r>
      <w:r>
        <w:rPr>
          <w:rFonts w:ascii="Palatino Linotype" w:eastAsia="Palatino Linotype" w:hAnsi="Palatino Linotype" w:cs="Palatino Linotype"/>
          <w:color w:val="000000" w:themeColor="text1"/>
        </w:rPr>
        <w:t xml:space="preserve"> al manifestar que requiere los montos de percepciones mensuales </w:t>
      </w:r>
      <w:r w:rsidRPr="00900D86">
        <w:rPr>
          <w:rFonts w:ascii="Palatino Linotype" w:eastAsia="Palatino Linotype" w:hAnsi="Palatino Linotype" w:cs="Palatino Linotype"/>
          <w:color w:val="000000" w:themeColor="text1"/>
        </w:rPr>
        <w:t>del presidente (a) municipal, síndico (a) y regidores del ayuntamiento, además del tesorero (desglosado por sueldo bruto, gratificaciones, bonos, pri</w:t>
      </w:r>
      <w:r>
        <w:rPr>
          <w:rFonts w:ascii="Palatino Linotype" w:eastAsia="Palatino Linotype" w:hAnsi="Palatino Linotype" w:cs="Palatino Linotype"/>
          <w:color w:val="000000" w:themeColor="text1"/>
        </w:rPr>
        <w:t>mas, deducciones, sueldo neto), por lo tanto deberá entregar el documento que dé cuenta de esta información, actualizado a la fecha de la solicitud de información, sin embargo, por cuanto hace al segundo requerimiento consistente en la c</w:t>
      </w:r>
      <w:r w:rsidRPr="00900D86">
        <w:rPr>
          <w:rFonts w:ascii="Palatino Linotype" w:eastAsia="Palatino Linotype" w:hAnsi="Palatino Linotype" w:cs="Palatino Linotype"/>
          <w:color w:val="000000" w:themeColor="text1"/>
        </w:rPr>
        <w:t>opia del talón de pago o recibo de pago al president</w:t>
      </w:r>
      <w:r>
        <w:rPr>
          <w:rFonts w:ascii="Palatino Linotype" w:eastAsia="Palatino Linotype" w:hAnsi="Palatino Linotype" w:cs="Palatino Linotype"/>
          <w:color w:val="000000" w:themeColor="text1"/>
        </w:rPr>
        <w:t>e o presidenta municipal, deberán entregarse los generados en las dos primeras quincenas del mes de enero de la presente anualidad.</w:t>
      </w:r>
    </w:p>
    <w:p w:rsidR="00EB5F1B" w:rsidRDefault="00900D86">
      <w:pPr>
        <w:spacing w:before="240" w:after="240"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Expuesto lo anterior, </w:t>
      </w:r>
      <w:r w:rsidR="00EB5F1B">
        <w:rPr>
          <w:rFonts w:ascii="Palatino Linotype" w:eastAsia="Palatino Linotype" w:hAnsi="Palatino Linotype" w:cs="Palatino Linotype"/>
          <w:b/>
          <w:sz w:val="22"/>
          <w:szCs w:val="22"/>
        </w:rPr>
        <w:t>se procede al estudio de la naturaleza de la información solicitada:</w:t>
      </w:r>
    </w:p>
    <w:p w:rsidR="003C63CC" w:rsidRPr="00BE6970" w:rsidRDefault="00E77A1F">
      <w:pPr>
        <w:spacing w:before="240" w:after="240"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 Monto de las percepciones mensuales del presidente (a) municipal, síndico (a) y </w:t>
      </w:r>
      <w:r w:rsidRPr="00BE6970">
        <w:rPr>
          <w:rFonts w:ascii="Palatino Linotype" w:eastAsia="Palatino Linotype" w:hAnsi="Palatino Linotype" w:cs="Palatino Linotype"/>
          <w:b/>
          <w:sz w:val="22"/>
          <w:szCs w:val="22"/>
        </w:rPr>
        <w:t xml:space="preserve">regidores del ayuntamiento, además del tesorero (desglosado por sueldo bruto, gratificaciones, bonos, primas, deducciones, sueldo neto). </w:t>
      </w:r>
    </w:p>
    <w:p w:rsidR="00E50708" w:rsidRPr="00BE6970" w:rsidRDefault="00E50708" w:rsidP="00E50708">
      <w:pPr>
        <w:widowControl w:val="0"/>
        <w:tabs>
          <w:tab w:val="left" w:pos="1276"/>
        </w:tabs>
        <w:spacing w:line="360" w:lineRule="auto"/>
        <w:jc w:val="both"/>
        <w:rPr>
          <w:rFonts w:ascii="Palatino Linotype" w:hAnsi="Palatino Linotype" w:cs="Arial"/>
          <w:lang w:eastAsia="es-MX"/>
        </w:rPr>
      </w:pPr>
      <w:r w:rsidRPr="00BE6970">
        <w:rPr>
          <w:rFonts w:ascii="Palatino Linotype" w:hAnsi="Palatino Linotype" w:cs="Arial"/>
          <w:lang w:val="es-419" w:eastAsia="es-MX"/>
        </w:rPr>
        <w:t>Para tal efecto e</w:t>
      </w:r>
      <w:r w:rsidRPr="00BE6970">
        <w:rPr>
          <w:rFonts w:ascii="Palatino Linotype" w:hAnsi="Palatino Linotype" w:cs="Arial"/>
          <w:lang w:eastAsia="es-MX"/>
        </w:rPr>
        <w:t xml:space="preserve">l artículo 127 de la </w:t>
      </w:r>
      <w:r w:rsidRPr="00BE6970">
        <w:rPr>
          <w:rFonts w:ascii="Palatino Linotype" w:hAnsi="Palatino Linotype" w:cs="Arial"/>
          <w:b/>
          <w:lang w:eastAsia="es-MX"/>
        </w:rPr>
        <w:t>Constitución Política de los Estados Unidos Mexicanos</w:t>
      </w:r>
      <w:r w:rsidRPr="00BE6970">
        <w:rPr>
          <w:rFonts w:ascii="Palatino Linotype" w:hAnsi="Palatino Linotype" w:cs="Arial"/>
          <w:lang w:eastAsia="es-MX"/>
        </w:rPr>
        <w:t xml:space="preserve"> establece:</w:t>
      </w:r>
    </w:p>
    <w:p w:rsidR="00E50708" w:rsidRPr="00BE6970" w:rsidRDefault="00E50708" w:rsidP="00E50708">
      <w:pPr>
        <w:spacing w:line="360" w:lineRule="auto"/>
        <w:jc w:val="both"/>
        <w:rPr>
          <w:rFonts w:ascii="Palatino Linotype" w:hAnsi="Palatino Linotype"/>
          <w:lang w:eastAsia="es-MX"/>
        </w:rPr>
      </w:pPr>
    </w:p>
    <w:p w:rsidR="00E50708" w:rsidRPr="00BE6970" w:rsidRDefault="00E50708" w:rsidP="00E50708">
      <w:pPr>
        <w:ind w:left="851" w:right="992"/>
        <w:jc w:val="both"/>
        <w:rPr>
          <w:rFonts w:ascii="Palatino Linotype" w:hAnsi="Palatino Linotype" w:cs="Arial"/>
          <w:i/>
          <w:color w:val="000000"/>
        </w:rPr>
      </w:pPr>
      <w:r w:rsidRPr="00BE6970">
        <w:rPr>
          <w:rFonts w:ascii="Palatino Linotype" w:hAnsi="Palatino Linotype" w:cs="Arial"/>
          <w:b/>
          <w:i/>
          <w:color w:val="000000"/>
        </w:rPr>
        <w:t>Artículo 127.</w:t>
      </w:r>
      <w:r w:rsidRPr="00BE6970">
        <w:rPr>
          <w:rFonts w:ascii="Palatino Linotype" w:hAnsi="Palatino Linotype" w:cs="Arial"/>
          <w:i/>
          <w:color w:val="000000"/>
        </w:rPr>
        <w:t xml:space="preserve"> Los servidores públicos de la Federación, de los Estados, del Distrito Federal </w:t>
      </w:r>
      <w:r w:rsidRPr="00BE6970">
        <w:rPr>
          <w:rFonts w:ascii="Palatino Linotype" w:hAnsi="Palatino Linotype" w:cs="Arial"/>
          <w:b/>
          <w:i/>
          <w:color w:val="000000"/>
        </w:rPr>
        <w:t>y de los Municipios</w:t>
      </w:r>
      <w:r w:rsidRPr="00BE6970">
        <w:rPr>
          <w:rFonts w:ascii="Palatino Linotype" w:hAnsi="Palatino Linotype" w:cs="Arial"/>
          <w:i/>
          <w:color w:val="000000"/>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E50708" w:rsidRPr="00BE6970" w:rsidRDefault="00E50708" w:rsidP="00E50708">
      <w:pPr>
        <w:ind w:left="851" w:right="992"/>
        <w:jc w:val="both"/>
        <w:rPr>
          <w:rFonts w:ascii="Palatino Linotype" w:hAnsi="Palatino Linotype" w:cs="Arial"/>
          <w:i/>
          <w:color w:val="000000"/>
        </w:rPr>
      </w:pPr>
    </w:p>
    <w:p w:rsidR="00E50708" w:rsidRPr="00BE6970" w:rsidRDefault="00E50708" w:rsidP="00E50708">
      <w:pPr>
        <w:ind w:left="851" w:right="992"/>
        <w:jc w:val="both"/>
        <w:rPr>
          <w:rFonts w:ascii="Palatino Linotype" w:hAnsi="Palatino Linotype" w:cs="Arial"/>
          <w:i/>
          <w:color w:val="000000"/>
        </w:rPr>
      </w:pPr>
      <w:r w:rsidRPr="00BE6970">
        <w:rPr>
          <w:rFonts w:ascii="Palatino Linotype" w:hAnsi="Palatino Linotype" w:cs="Arial"/>
          <w:i/>
          <w:color w:val="000000"/>
        </w:rPr>
        <w:t xml:space="preserve">Dicha remuneración será determinada anual y equitativamente </w:t>
      </w:r>
      <w:r w:rsidRPr="00BE6970">
        <w:rPr>
          <w:rFonts w:ascii="Palatino Linotype" w:hAnsi="Palatino Linotype" w:cs="Arial"/>
          <w:b/>
          <w:i/>
          <w:color w:val="000000"/>
          <w:u w:val="single"/>
        </w:rPr>
        <w:t>en los presupuestos de egresos</w:t>
      </w:r>
      <w:r w:rsidRPr="00BE6970">
        <w:rPr>
          <w:rFonts w:ascii="Palatino Linotype" w:hAnsi="Palatino Linotype" w:cs="Arial"/>
          <w:i/>
          <w:color w:val="000000"/>
        </w:rPr>
        <w:t xml:space="preserve"> correspondientes, bajo las siguientes bases:</w:t>
      </w:r>
    </w:p>
    <w:p w:rsidR="00E50708" w:rsidRPr="00BE6970" w:rsidRDefault="00E50708" w:rsidP="00E50708">
      <w:pPr>
        <w:ind w:left="851" w:right="992"/>
        <w:jc w:val="both"/>
        <w:rPr>
          <w:rFonts w:ascii="Palatino Linotype" w:hAnsi="Palatino Linotype" w:cs="Arial"/>
          <w:b/>
          <w:i/>
        </w:rPr>
      </w:pPr>
      <w:r w:rsidRPr="00BE6970">
        <w:rPr>
          <w:rFonts w:ascii="Palatino Linotype" w:hAnsi="Palatino Linotype" w:cs="Arial"/>
          <w:b/>
          <w:i/>
        </w:rPr>
        <w:t>I.</w:t>
      </w:r>
      <w:r w:rsidRPr="00BE6970">
        <w:rPr>
          <w:rFonts w:ascii="Palatino Linotype" w:hAnsi="Palatino Linotype" w:cs="Arial"/>
          <w:i/>
        </w:rPr>
        <w:t xml:space="preserve"> </w:t>
      </w:r>
      <w:r w:rsidRPr="00BE6970">
        <w:rPr>
          <w:rFonts w:ascii="Palatino Linotype" w:hAnsi="Palatino Linotype" w:cs="Arial"/>
          <w:i/>
        </w:rPr>
        <w:tab/>
      </w:r>
      <w:r w:rsidRPr="00BE6970">
        <w:rPr>
          <w:rFonts w:ascii="Palatino Linotype" w:hAnsi="Palatino Linotype" w:cs="Arial"/>
          <w:b/>
          <w:i/>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E50708" w:rsidRPr="00BE6970" w:rsidRDefault="00E50708" w:rsidP="00E50708">
      <w:pPr>
        <w:ind w:left="851" w:right="992"/>
        <w:jc w:val="both"/>
        <w:rPr>
          <w:rFonts w:ascii="Palatino Linotype" w:hAnsi="Palatino Linotype" w:cs="Arial"/>
          <w:i/>
        </w:rPr>
      </w:pPr>
    </w:p>
    <w:p w:rsidR="00E50708" w:rsidRPr="00BE6970" w:rsidRDefault="00E50708" w:rsidP="00E50708">
      <w:pPr>
        <w:ind w:left="851" w:right="992"/>
        <w:jc w:val="both"/>
        <w:rPr>
          <w:rFonts w:ascii="Palatino Linotype" w:hAnsi="Palatino Linotype" w:cs="Arial"/>
          <w:i/>
        </w:rPr>
      </w:pPr>
      <w:r w:rsidRPr="00BE6970">
        <w:rPr>
          <w:rFonts w:ascii="Palatino Linotype" w:hAnsi="Palatino Linotype" w:cs="Arial"/>
          <w:b/>
          <w:i/>
        </w:rPr>
        <w:t>(…)</w:t>
      </w:r>
    </w:p>
    <w:p w:rsidR="00E50708" w:rsidRPr="00BE6970" w:rsidRDefault="00E50708" w:rsidP="00E50708">
      <w:pPr>
        <w:ind w:left="851" w:right="992"/>
        <w:jc w:val="both"/>
        <w:rPr>
          <w:rFonts w:ascii="Palatino Linotype" w:hAnsi="Palatino Linotype" w:cs="Arial"/>
          <w:b/>
          <w:i/>
        </w:rPr>
      </w:pPr>
      <w:r w:rsidRPr="00BE6970">
        <w:rPr>
          <w:rFonts w:ascii="Palatino Linotype" w:hAnsi="Palatino Linotype" w:cs="Arial"/>
          <w:b/>
          <w:i/>
        </w:rPr>
        <w:t>V.</w:t>
      </w:r>
      <w:r w:rsidRPr="00BE6970">
        <w:rPr>
          <w:rFonts w:ascii="Palatino Linotype" w:hAnsi="Palatino Linotype" w:cs="Arial"/>
          <w:i/>
        </w:rPr>
        <w:t xml:space="preserve"> </w:t>
      </w:r>
      <w:r w:rsidRPr="00BE6970">
        <w:rPr>
          <w:rFonts w:ascii="Palatino Linotype" w:hAnsi="Palatino Linotype" w:cs="Arial"/>
          <w:i/>
        </w:rPr>
        <w:tab/>
      </w:r>
      <w:r w:rsidRPr="00BE6970">
        <w:rPr>
          <w:rFonts w:ascii="Palatino Linotype" w:hAnsi="Palatino Linotype" w:cs="Arial"/>
          <w:b/>
          <w:i/>
        </w:rPr>
        <w:t>Las remuneraciones y sus tabuladores serán públicos, y deberán especificar y diferenciar la totalidad de sus elementos fijos y variables tanto en efectivo como en especie.</w:t>
      </w:r>
    </w:p>
    <w:p w:rsidR="00E50708" w:rsidRPr="00BE6970" w:rsidRDefault="00E50708" w:rsidP="00E50708">
      <w:pPr>
        <w:ind w:left="851" w:right="992"/>
        <w:jc w:val="both"/>
        <w:rPr>
          <w:rFonts w:ascii="Palatino Linotype" w:hAnsi="Palatino Linotype" w:cs="Arial"/>
          <w:i/>
        </w:rPr>
      </w:pPr>
      <w:r w:rsidRPr="00BE6970">
        <w:rPr>
          <w:rFonts w:ascii="Palatino Linotype" w:hAnsi="Palatino Linotype" w:cs="Arial"/>
          <w:i/>
        </w:rPr>
        <w:t>(…)</w:t>
      </w:r>
    </w:p>
    <w:p w:rsidR="003C63CC" w:rsidRPr="00BE6970" w:rsidRDefault="00E50708">
      <w:pPr>
        <w:spacing w:before="240" w:after="240" w:line="360" w:lineRule="auto"/>
        <w:ind w:right="49"/>
        <w:jc w:val="both"/>
        <w:rPr>
          <w:rFonts w:ascii="Palatino Linotype" w:eastAsia="Palatino Linotype" w:hAnsi="Palatino Linotype" w:cs="Palatino Linotype"/>
          <w:color w:val="000000"/>
        </w:rPr>
      </w:pPr>
      <w:r w:rsidRPr="00BE6970">
        <w:rPr>
          <w:rFonts w:ascii="Palatino Linotype" w:eastAsia="Palatino Linotype" w:hAnsi="Palatino Linotype" w:cs="Palatino Linotype"/>
          <w:color w:val="000000"/>
        </w:rPr>
        <w:t>Asimism</w:t>
      </w:r>
      <w:r w:rsidR="00EB5F1B" w:rsidRPr="00BE6970">
        <w:rPr>
          <w:rFonts w:ascii="Palatino Linotype" w:eastAsia="Palatino Linotype" w:hAnsi="Palatino Linotype" w:cs="Palatino Linotype"/>
          <w:color w:val="000000"/>
        </w:rPr>
        <w:t>o</w:t>
      </w:r>
      <w:r w:rsidR="00E77A1F" w:rsidRPr="00BE6970">
        <w:rPr>
          <w:rFonts w:ascii="Palatino Linotype" w:eastAsia="Palatino Linotype" w:hAnsi="Palatino Linotype" w:cs="Palatino Linotype"/>
          <w:color w:val="000000"/>
        </w:rPr>
        <w:t xml:space="preserve">, resulta importante traer a colación el contenido del artículo 147 de la Constitución Política del Estado Libre y Soberano de México, el cual establece lo siguiente: </w:t>
      </w:r>
    </w:p>
    <w:p w:rsidR="003C63CC" w:rsidRPr="00BE6970" w:rsidRDefault="00E77A1F">
      <w:pPr>
        <w:spacing w:before="240" w:after="240" w:line="276" w:lineRule="auto"/>
        <w:ind w:left="567" w:right="709"/>
        <w:jc w:val="both"/>
        <w:rPr>
          <w:rFonts w:ascii="Palatino Linotype" w:eastAsia="Palatino Linotype" w:hAnsi="Palatino Linotype" w:cs="Palatino Linotype"/>
          <w:b/>
          <w:i/>
          <w:color w:val="000000"/>
          <w:sz w:val="22"/>
          <w:szCs w:val="22"/>
        </w:rPr>
      </w:pPr>
      <w:r w:rsidRPr="00BE6970">
        <w:rPr>
          <w:rFonts w:ascii="Palatino Linotype" w:eastAsia="Palatino Linotype" w:hAnsi="Palatino Linotype" w:cs="Palatino Linotype"/>
          <w:i/>
          <w:color w:val="000000"/>
          <w:sz w:val="22"/>
          <w:szCs w:val="22"/>
        </w:rPr>
        <w:t xml:space="preserve">“Artículo 147.- El Gobernador o Gobernadora, los Diputados o Diputadas, y los Magistrados o Magistradas de los Tribunales Superior de Justicia y de Justicia Administrativa del Estado de México, los miembros del Consejo de la Judicatura, los trabajadores y trabajadoras al servicio del Estado, las y los integrantes, y las y los servidores de los organismos constitucionalmente autónomos, </w:t>
      </w:r>
      <w:r w:rsidRPr="00BE6970">
        <w:rPr>
          <w:rFonts w:ascii="Palatino Linotype" w:eastAsia="Palatino Linotype" w:hAnsi="Palatino Linotype" w:cs="Palatino Linotype"/>
          <w:b/>
          <w:i/>
          <w:color w:val="000000"/>
          <w:sz w:val="22"/>
          <w:szCs w:val="22"/>
        </w:rPr>
        <w:t>así como los miembros de los ayuntamientos</w:t>
      </w:r>
      <w:r w:rsidRPr="00BE6970">
        <w:rPr>
          <w:rFonts w:ascii="Palatino Linotype" w:eastAsia="Palatino Linotype" w:hAnsi="Palatino Linotype" w:cs="Palatino Linotype"/>
          <w:i/>
          <w:color w:val="000000"/>
          <w:sz w:val="22"/>
          <w:szCs w:val="22"/>
        </w:rPr>
        <w:t xml:space="preserve"> y demás servidores públicos municipales </w:t>
      </w:r>
      <w:r w:rsidRPr="00BE6970">
        <w:rPr>
          <w:rFonts w:ascii="Palatino Linotype" w:eastAsia="Palatino Linotype" w:hAnsi="Palatino Linotype" w:cs="Palatino Linotype"/>
          <w:b/>
          <w:i/>
          <w:color w:val="000000"/>
          <w:sz w:val="22"/>
          <w:szCs w:val="22"/>
        </w:rPr>
        <w:t xml:space="preserve">recibirán una retribución adecuada e irrenunciable por el desempeño de su empleo, cargo o comisión, que será determinada en el presupuesto de egresos que corresponda. </w:t>
      </w:r>
    </w:p>
    <w:p w:rsidR="003C63CC" w:rsidRPr="00BE6970" w:rsidRDefault="00E77A1F">
      <w:pPr>
        <w:spacing w:before="240" w:after="240" w:line="276" w:lineRule="auto"/>
        <w:ind w:left="567" w:right="709"/>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Las remuneraciones mínimas y máximas se determinarán con base, entre otros, en los factores siguientes: población, recursos económicos disponibles, costo promedio de vida, índice inflacionario, grado de marginalidad, productividad en la prestación </w:t>
      </w:r>
      <w:r w:rsidRPr="00BE6970">
        <w:rPr>
          <w:rFonts w:ascii="Palatino Linotype" w:eastAsia="Palatino Linotype" w:hAnsi="Palatino Linotype" w:cs="Palatino Linotype"/>
          <w:i/>
          <w:color w:val="000000"/>
          <w:sz w:val="22"/>
          <w:szCs w:val="22"/>
        </w:rPr>
        <w:lastRenderedPageBreak/>
        <w:t xml:space="preserve">de servicios públicos, responsabilidad de la función y eficiencia en la recaudación de ingresos, de acuerdo con la información oficial correspondiente. </w:t>
      </w:r>
    </w:p>
    <w:p w:rsidR="003C63CC" w:rsidRPr="00BE6970" w:rsidRDefault="00E77A1F">
      <w:pPr>
        <w:spacing w:before="240" w:after="240" w:line="276" w:lineRule="auto"/>
        <w:ind w:left="567" w:right="709"/>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La remuneración será determinada anual y equitativamente en el Presupuesto de Egresos correspondiente bajo las bases siguientes: </w:t>
      </w:r>
    </w:p>
    <w:p w:rsidR="003C63CC" w:rsidRPr="00BE6970" w:rsidRDefault="00E77A1F">
      <w:pPr>
        <w:numPr>
          <w:ilvl w:val="0"/>
          <w:numId w:val="4"/>
        </w:numPr>
        <w:pBdr>
          <w:top w:val="nil"/>
          <w:left w:val="nil"/>
          <w:bottom w:val="nil"/>
          <w:right w:val="nil"/>
          <w:between w:val="nil"/>
        </w:pBdr>
        <w:spacing w:before="240" w:after="240" w:line="276" w:lineRule="auto"/>
        <w:ind w:left="567" w:right="709" w:hanging="283"/>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3C63CC" w:rsidRPr="00BE6970" w:rsidRDefault="00E77A1F">
      <w:pPr>
        <w:numPr>
          <w:ilvl w:val="0"/>
          <w:numId w:val="4"/>
        </w:numPr>
        <w:pBdr>
          <w:top w:val="nil"/>
          <w:left w:val="nil"/>
          <w:bottom w:val="nil"/>
          <w:right w:val="nil"/>
          <w:between w:val="nil"/>
        </w:pBdr>
        <w:spacing w:before="240" w:after="240" w:line="276" w:lineRule="auto"/>
        <w:ind w:left="567" w:right="709" w:hanging="283"/>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Ningún servidor público podrá recibir remuneración, en términos de la fracción anterior, por el desempeño de su función, empleo, cargo o comisión, mayor a la establecida; </w:t>
      </w:r>
    </w:p>
    <w:p w:rsidR="003C63CC" w:rsidRPr="00BE6970" w:rsidRDefault="00E77A1F">
      <w:pPr>
        <w:numPr>
          <w:ilvl w:val="0"/>
          <w:numId w:val="4"/>
        </w:numPr>
        <w:pBdr>
          <w:top w:val="nil"/>
          <w:left w:val="nil"/>
          <w:bottom w:val="nil"/>
          <w:right w:val="nil"/>
          <w:between w:val="nil"/>
        </w:pBdr>
        <w:spacing w:before="240" w:after="240" w:line="276" w:lineRule="auto"/>
        <w:ind w:left="567" w:right="709" w:hanging="283"/>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Ninguna servidora pública o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y la remuneración establecida para la Gobernadora o Gobernador del Estado en el presupuesto correspondiente; </w:t>
      </w:r>
    </w:p>
    <w:p w:rsidR="003C63CC" w:rsidRPr="00BE6970" w:rsidRDefault="00E77A1F">
      <w:pPr>
        <w:numPr>
          <w:ilvl w:val="0"/>
          <w:numId w:val="4"/>
        </w:numPr>
        <w:pBdr>
          <w:top w:val="nil"/>
          <w:left w:val="nil"/>
          <w:bottom w:val="nil"/>
          <w:right w:val="nil"/>
          <w:between w:val="nil"/>
        </w:pBdr>
        <w:spacing w:before="240" w:after="240" w:line="276" w:lineRule="auto"/>
        <w:ind w:left="567" w:right="709" w:hanging="283"/>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 </w:t>
      </w:r>
    </w:p>
    <w:p w:rsidR="003C63CC" w:rsidRPr="00BE6970" w:rsidRDefault="00E77A1F">
      <w:pPr>
        <w:pBdr>
          <w:top w:val="nil"/>
          <w:left w:val="nil"/>
          <w:bottom w:val="nil"/>
          <w:right w:val="nil"/>
          <w:between w:val="nil"/>
        </w:pBdr>
        <w:spacing w:before="240" w:after="240" w:line="276" w:lineRule="auto"/>
        <w:ind w:left="567" w:right="709" w:hanging="283"/>
        <w:jc w:val="both"/>
        <w:rPr>
          <w:rFonts w:ascii="Palatino Linotype" w:eastAsia="Palatino Linotype" w:hAnsi="Palatino Linotype" w:cs="Palatino Linotype"/>
          <w:i/>
          <w:color w:val="000000"/>
          <w:sz w:val="22"/>
          <w:szCs w:val="22"/>
        </w:rPr>
      </w:pPr>
      <w:r w:rsidRPr="00BE6970">
        <w:rPr>
          <w:rFonts w:ascii="Palatino Linotype" w:eastAsia="Palatino Linotype" w:hAnsi="Palatino Linotype" w:cs="Palatino Linotype"/>
          <w:i/>
          <w:color w:val="000000"/>
          <w:sz w:val="22"/>
          <w:szCs w:val="22"/>
        </w:rPr>
        <w:t xml:space="preserve">V. </w:t>
      </w:r>
      <w:r w:rsidRPr="00BE6970">
        <w:rPr>
          <w:rFonts w:ascii="Palatino Linotype" w:eastAsia="Palatino Linotype" w:hAnsi="Palatino Linotype" w:cs="Palatino Linotype"/>
          <w:b/>
          <w:i/>
          <w:color w:val="000000"/>
          <w:sz w:val="22"/>
          <w:szCs w:val="22"/>
        </w:rPr>
        <w:t>Las remuneraciones y sus tabuladores serán públicos, y deberán especificar y diferenciar la totalidad de sus elementos fijos y variables tanto en efectivo como en especie</w:t>
      </w:r>
      <w:r w:rsidRPr="00BE6970">
        <w:rPr>
          <w:rFonts w:ascii="Palatino Linotype" w:eastAsia="Palatino Linotype" w:hAnsi="Palatino Linotype" w:cs="Palatino Linotype"/>
          <w:i/>
          <w:color w:val="000000"/>
          <w:sz w:val="22"/>
          <w:szCs w:val="22"/>
        </w:rPr>
        <w:t>.” (Sic) (Énfasis añadido)</w:t>
      </w:r>
    </w:p>
    <w:p w:rsidR="003C63CC" w:rsidRPr="00BE6970" w:rsidRDefault="00E77A1F">
      <w:pPr>
        <w:spacing w:line="360" w:lineRule="auto"/>
        <w:jc w:val="both"/>
        <w:rPr>
          <w:rFonts w:ascii="Palatino Linotype" w:eastAsia="Palatino Linotype" w:hAnsi="Palatino Linotype" w:cs="Palatino Linotype"/>
        </w:rPr>
      </w:pPr>
      <w:r w:rsidRPr="00BE6970">
        <w:rPr>
          <w:rFonts w:ascii="Palatino Linotype" w:eastAsia="Palatino Linotype" w:hAnsi="Palatino Linotype" w:cs="Palatino Linotype"/>
        </w:rPr>
        <w:t xml:space="preserve">En este orden de ideas, el artículo 3°, fracción XXXII, del Código Financiero del Estado de México y Municipios establece que la remuneración consiste en los </w:t>
      </w:r>
      <w:r w:rsidRPr="00BE6970">
        <w:rPr>
          <w:rFonts w:ascii="Palatino Linotype" w:eastAsia="Palatino Linotype" w:hAnsi="Palatino Linotype" w:cs="Palatino Linotype"/>
        </w:rPr>
        <w:lastRenderedPageBreak/>
        <w:t>pagos hechos por concepto de sueldo, compensaciones, gratificaciones, habitación, primas, comisiones, prestaciones, en especie y cualquier otra percepción o prestación que se entregue al servidor por su trabajo.</w:t>
      </w:r>
    </w:p>
    <w:p w:rsidR="003C63CC" w:rsidRPr="00BE6970" w:rsidRDefault="003C63CC">
      <w:pPr>
        <w:spacing w:line="360" w:lineRule="auto"/>
        <w:jc w:val="both"/>
        <w:rPr>
          <w:rFonts w:ascii="Palatino Linotype" w:eastAsia="Palatino Linotype" w:hAnsi="Palatino Linotype" w:cs="Palatino Linotype"/>
        </w:rPr>
      </w:pPr>
    </w:p>
    <w:p w:rsidR="00E50708" w:rsidRPr="00BE6970" w:rsidRDefault="00E50708" w:rsidP="00E50708">
      <w:pPr>
        <w:spacing w:line="360" w:lineRule="auto"/>
        <w:contextualSpacing/>
        <w:jc w:val="both"/>
        <w:rPr>
          <w:rFonts w:ascii="Palatino Linotype" w:hAnsi="Palatino Linotype" w:cs="Arial"/>
          <w:lang w:eastAsia="es-MX"/>
        </w:rPr>
      </w:pPr>
      <w:r w:rsidRPr="00BE6970">
        <w:rPr>
          <w:rFonts w:ascii="Palatino Linotype" w:hAnsi="Palatino Linotype" w:cs="Arial"/>
          <w:lang w:eastAsia="es-MX"/>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E50708" w:rsidRPr="00BE6970" w:rsidRDefault="00E50708">
      <w:pPr>
        <w:spacing w:line="360" w:lineRule="auto"/>
        <w:jc w:val="both"/>
        <w:rPr>
          <w:rFonts w:ascii="Palatino Linotype" w:eastAsia="Palatino Linotype" w:hAnsi="Palatino Linotype" w:cs="Palatino Linotype"/>
        </w:rPr>
      </w:pPr>
    </w:p>
    <w:p w:rsidR="003C63CC" w:rsidRPr="00BE6970" w:rsidRDefault="00E77A1F">
      <w:pPr>
        <w:spacing w:line="360" w:lineRule="auto"/>
        <w:ind w:right="49"/>
        <w:jc w:val="both"/>
        <w:rPr>
          <w:rFonts w:ascii="Palatino Linotype" w:eastAsia="Palatino Linotype" w:hAnsi="Palatino Linotype" w:cs="Palatino Linotype"/>
        </w:rPr>
      </w:pPr>
      <w:r w:rsidRPr="00BE6970">
        <w:rPr>
          <w:rFonts w:ascii="Palatino Linotype" w:eastAsia="Palatino Linotype" w:hAnsi="Palatino Linotype" w:cs="Palatino Linotype"/>
        </w:rPr>
        <w:t xml:space="preserve">Resulta importante señalar que por </w:t>
      </w:r>
      <w:r w:rsidRPr="00BE6970">
        <w:rPr>
          <w:rFonts w:ascii="Palatino Linotype" w:eastAsia="Palatino Linotype" w:hAnsi="Palatino Linotype" w:cs="Palatino Linotype"/>
          <w:color w:val="000000" w:themeColor="text1"/>
        </w:rPr>
        <w:t>cuanto hace a las percepciones</w:t>
      </w:r>
      <w:r w:rsidRPr="00BE6970">
        <w:rPr>
          <w:rFonts w:ascii="Palatino Linotype" w:eastAsia="Palatino Linotype" w:hAnsi="Palatino Linotype" w:cs="Palatino Linotype"/>
        </w:rPr>
        <w:t xml:space="preserve">, la Ley Federal del Trabajo que en su artículo 84 establece lo siguiente: </w:t>
      </w:r>
    </w:p>
    <w:p w:rsidR="00EB5F1B" w:rsidRPr="00BE6970" w:rsidRDefault="00EB5F1B">
      <w:pPr>
        <w:spacing w:line="360" w:lineRule="auto"/>
        <w:ind w:right="49"/>
        <w:jc w:val="both"/>
        <w:rPr>
          <w:rFonts w:ascii="Palatino Linotype" w:eastAsia="Palatino Linotype" w:hAnsi="Palatino Linotype" w:cs="Palatino Linotype"/>
        </w:rPr>
      </w:pPr>
    </w:p>
    <w:p w:rsidR="003C63CC" w:rsidRPr="00BE6970" w:rsidRDefault="00E77A1F">
      <w:pPr>
        <w:ind w:left="567" w:right="900"/>
        <w:jc w:val="both"/>
        <w:rPr>
          <w:rFonts w:ascii="Palatino Linotype" w:eastAsia="Palatino Linotype" w:hAnsi="Palatino Linotype" w:cs="Palatino Linotype"/>
          <w:i/>
          <w:sz w:val="22"/>
          <w:szCs w:val="22"/>
        </w:rPr>
      </w:pPr>
      <w:bookmarkStart w:id="1" w:name="bookmark=id.gjdgxs" w:colFirst="0" w:colLast="0"/>
      <w:bookmarkEnd w:id="1"/>
      <w:r w:rsidRPr="00BE6970">
        <w:rPr>
          <w:rFonts w:ascii="Palatino Linotype" w:eastAsia="Palatino Linotype" w:hAnsi="Palatino Linotype" w:cs="Palatino Linotype"/>
          <w:i/>
          <w:sz w:val="22"/>
          <w:szCs w:val="22"/>
        </w:rPr>
        <w:t>“</w:t>
      </w:r>
      <w:r w:rsidRPr="00BE6970">
        <w:rPr>
          <w:rFonts w:ascii="Palatino Linotype" w:eastAsia="Palatino Linotype" w:hAnsi="Palatino Linotype" w:cs="Palatino Linotype"/>
          <w:b/>
          <w:i/>
          <w:sz w:val="22"/>
          <w:szCs w:val="22"/>
        </w:rPr>
        <w:t>Artículo 84.- El salario se integra con</w:t>
      </w:r>
      <w:r w:rsidRPr="00BE6970">
        <w:rPr>
          <w:rFonts w:ascii="Palatino Linotype" w:eastAsia="Palatino Linotype" w:hAnsi="Palatino Linotype" w:cs="Palatino Linotype"/>
          <w:i/>
          <w:sz w:val="22"/>
          <w:szCs w:val="22"/>
        </w:rPr>
        <w:t xml:space="preserve"> los pagos hechos en efectivo por cuota diaria, gratificaciones, </w:t>
      </w:r>
      <w:r w:rsidRPr="00BE6970">
        <w:rPr>
          <w:rFonts w:ascii="Palatino Linotype" w:eastAsia="Palatino Linotype" w:hAnsi="Palatino Linotype" w:cs="Palatino Linotype"/>
          <w:b/>
          <w:i/>
          <w:sz w:val="22"/>
          <w:szCs w:val="22"/>
        </w:rPr>
        <w:t>percepciones,</w:t>
      </w:r>
      <w:r w:rsidRPr="00BE6970">
        <w:rPr>
          <w:rFonts w:ascii="Palatino Linotype" w:eastAsia="Palatino Linotype" w:hAnsi="Palatino Linotype" w:cs="Palatino Linotype"/>
          <w:i/>
          <w:sz w:val="22"/>
          <w:szCs w:val="22"/>
        </w:rPr>
        <w:t xml:space="preserve"> habitación, primas, comisiones, </w:t>
      </w:r>
      <w:r w:rsidRPr="00BE6970">
        <w:rPr>
          <w:rFonts w:ascii="Palatino Linotype" w:eastAsia="Palatino Linotype" w:hAnsi="Palatino Linotype" w:cs="Palatino Linotype"/>
          <w:b/>
          <w:i/>
          <w:sz w:val="22"/>
          <w:szCs w:val="22"/>
        </w:rPr>
        <w:t>prestaciones en especie y cualquiera otra cantidad o prestación que se entregue al trabajador por su trabajo.</w:t>
      </w:r>
      <w:r w:rsidRPr="00BE6970">
        <w:rPr>
          <w:rFonts w:ascii="Palatino Linotype" w:eastAsia="Palatino Linotype" w:hAnsi="Palatino Linotype" w:cs="Palatino Linotype"/>
          <w:i/>
          <w:sz w:val="22"/>
          <w:szCs w:val="22"/>
        </w:rPr>
        <w:t>”</w:t>
      </w:r>
    </w:p>
    <w:p w:rsidR="003C63CC" w:rsidRPr="00BE6970" w:rsidRDefault="003C63CC">
      <w:pPr>
        <w:ind w:left="567" w:right="900"/>
        <w:jc w:val="both"/>
        <w:rPr>
          <w:rFonts w:ascii="Palatino Linotype" w:eastAsia="Palatino Linotype" w:hAnsi="Palatino Linotype" w:cs="Palatino Linotype"/>
          <w:i/>
          <w:sz w:val="22"/>
          <w:szCs w:val="22"/>
        </w:rPr>
      </w:pPr>
    </w:p>
    <w:p w:rsidR="003C63CC" w:rsidRPr="00BE6970" w:rsidRDefault="00E77A1F">
      <w:pPr>
        <w:spacing w:line="360" w:lineRule="auto"/>
        <w:jc w:val="both"/>
        <w:rPr>
          <w:rFonts w:ascii="Palatino Linotype" w:eastAsia="Palatino Linotype" w:hAnsi="Palatino Linotype" w:cs="Palatino Linotype"/>
        </w:rPr>
      </w:pPr>
      <w:bookmarkStart w:id="2" w:name="_heading=h.gjdgxs" w:colFirst="0" w:colLast="0"/>
      <w:bookmarkEnd w:id="2"/>
      <w:r w:rsidRPr="00BE6970">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w:t>
      </w:r>
      <w:r w:rsidRPr="00BE6970">
        <w:rPr>
          <w:rFonts w:ascii="Palatino Linotype" w:eastAsia="Palatino Linotype" w:hAnsi="Palatino Linotype" w:cs="Palatino Linotype"/>
          <w:b/>
        </w:rPr>
        <w:t>Sujeto Obligado</w:t>
      </w:r>
      <w:r w:rsidRPr="00BE6970">
        <w:rPr>
          <w:rFonts w:ascii="Palatino Linotype" w:eastAsia="Palatino Linotype" w:hAnsi="Palatino Linotype" w:cs="Palatino Linotype"/>
        </w:rPr>
        <w:t xml:space="preserve">, entre los que se encuentran los recibos de pagos: </w:t>
      </w:r>
    </w:p>
    <w:p w:rsidR="003C63CC" w:rsidRPr="00BE6970" w:rsidRDefault="003C63CC">
      <w:pPr>
        <w:spacing w:after="160" w:line="360" w:lineRule="auto"/>
        <w:jc w:val="both"/>
        <w:rPr>
          <w:rFonts w:ascii="Palatino Linotype" w:eastAsia="Palatino Linotype" w:hAnsi="Palatino Linotype" w:cs="Palatino Linotype"/>
          <w:sz w:val="22"/>
          <w:szCs w:val="22"/>
        </w:rPr>
      </w:pPr>
    </w:p>
    <w:p w:rsidR="003C63CC" w:rsidRPr="00BE6970" w:rsidRDefault="00E77A1F">
      <w:pPr>
        <w:spacing w:after="160" w:line="276" w:lineRule="auto"/>
        <w:ind w:left="851" w:right="900"/>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b/>
          <w:i/>
          <w:sz w:val="22"/>
          <w:szCs w:val="22"/>
        </w:rPr>
        <w:t>“ARTÍCULO 220 K.-</w:t>
      </w:r>
      <w:r w:rsidRPr="00BE6970">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3C63CC" w:rsidRPr="00BE6970" w:rsidRDefault="00E77A1F">
      <w:pPr>
        <w:spacing w:after="160" w:line="276" w:lineRule="auto"/>
        <w:ind w:left="851" w:right="900"/>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lastRenderedPageBreak/>
        <w:t>I. Contratos, Nombramientos o Formato Único de Movimientos de Personal, cuando no exista Convenio de condiciones generales de trabajo aplicable;</w:t>
      </w:r>
    </w:p>
    <w:p w:rsidR="003C63CC" w:rsidRPr="00BE6970" w:rsidRDefault="00E77A1F">
      <w:pPr>
        <w:spacing w:after="160" w:line="276" w:lineRule="auto"/>
        <w:ind w:left="851" w:right="900"/>
        <w:jc w:val="both"/>
        <w:rPr>
          <w:rFonts w:ascii="Palatino Linotype" w:eastAsia="Palatino Linotype" w:hAnsi="Palatino Linotype" w:cs="Palatino Linotype"/>
          <w:b/>
          <w:i/>
          <w:sz w:val="22"/>
          <w:szCs w:val="22"/>
        </w:rPr>
      </w:pPr>
      <w:r w:rsidRPr="00BE6970">
        <w:rPr>
          <w:rFonts w:ascii="Palatino Linotype" w:eastAsia="Palatino Linotype" w:hAnsi="Palatino Linotype" w:cs="Palatino Linotype"/>
          <w:b/>
          <w:i/>
          <w:sz w:val="22"/>
          <w:szCs w:val="22"/>
        </w:rPr>
        <w:t xml:space="preserve">II. </w:t>
      </w:r>
      <w:r w:rsidRPr="00BE6970">
        <w:rPr>
          <w:rFonts w:ascii="Palatino Linotype" w:eastAsia="Palatino Linotype" w:hAnsi="Palatino Linotype" w:cs="Palatino Linotype"/>
          <w:b/>
          <w:i/>
          <w:sz w:val="22"/>
          <w:szCs w:val="22"/>
          <w:u w:val="single"/>
        </w:rPr>
        <w:t>Recibos de pagos</w:t>
      </w:r>
      <w:r w:rsidRPr="00BE6970">
        <w:rPr>
          <w:rFonts w:ascii="Palatino Linotype" w:eastAsia="Palatino Linotype" w:hAnsi="Palatino Linotype" w:cs="Palatino Linotype"/>
          <w:b/>
          <w:i/>
          <w:sz w:val="22"/>
          <w:szCs w:val="22"/>
        </w:rPr>
        <w:t xml:space="preserve"> de salarios o las constancias documentales del pago de salario cuando sea por depósito o mediante información electrónica;</w:t>
      </w:r>
    </w:p>
    <w:p w:rsidR="003C63CC" w:rsidRPr="00BE6970" w:rsidRDefault="00E77A1F">
      <w:pPr>
        <w:spacing w:after="160" w:line="276" w:lineRule="auto"/>
        <w:ind w:left="851" w:right="900"/>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t>III. Controles de asistencia o la información magnética o electrónica de asistencia de los servidores públicos;</w:t>
      </w:r>
    </w:p>
    <w:p w:rsidR="003C63CC" w:rsidRPr="00BE6970" w:rsidRDefault="00E77A1F">
      <w:pPr>
        <w:spacing w:after="160" w:line="276" w:lineRule="auto"/>
        <w:ind w:left="851" w:right="900"/>
        <w:jc w:val="both"/>
        <w:rPr>
          <w:rFonts w:ascii="Palatino Linotype" w:eastAsia="Palatino Linotype" w:hAnsi="Palatino Linotype" w:cs="Palatino Linotype"/>
          <w:b/>
          <w:i/>
          <w:sz w:val="22"/>
          <w:szCs w:val="22"/>
        </w:rPr>
      </w:pPr>
      <w:r w:rsidRPr="00BE6970">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 y</w:t>
      </w:r>
    </w:p>
    <w:p w:rsidR="003C63CC" w:rsidRPr="00BE6970" w:rsidRDefault="00E77A1F">
      <w:pPr>
        <w:spacing w:after="160" w:line="276" w:lineRule="auto"/>
        <w:ind w:left="851" w:right="900"/>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t>V. Los demás que señalen las leyes.</w:t>
      </w:r>
    </w:p>
    <w:p w:rsidR="003C63CC" w:rsidRPr="00BE6970" w:rsidRDefault="00E77A1F">
      <w:pPr>
        <w:spacing w:after="160" w:line="276" w:lineRule="auto"/>
        <w:ind w:left="851" w:right="900"/>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3C63CC" w:rsidRPr="00BE6970" w:rsidRDefault="003C63CC">
      <w:pPr>
        <w:spacing w:line="360" w:lineRule="auto"/>
        <w:jc w:val="both"/>
        <w:rPr>
          <w:rFonts w:ascii="Palatino Linotype" w:eastAsia="Palatino Linotype" w:hAnsi="Palatino Linotype" w:cs="Palatino Linotype"/>
          <w:sz w:val="22"/>
          <w:szCs w:val="22"/>
        </w:rPr>
      </w:pPr>
    </w:p>
    <w:p w:rsidR="003C63CC" w:rsidRPr="00BE6970" w:rsidRDefault="00E77A1F">
      <w:pPr>
        <w:spacing w:line="360" w:lineRule="auto"/>
        <w:jc w:val="both"/>
        <w:rPr>
          <w:rFonts w:ascii="Palatino Linotype" w:eastAsia="Palatino Linotype" w:hAnsi="Palatino Linotype" w:cs="Palatino Linotype"/>
        </w:rPr>
      </w:pPr>
      <w:r w:rsidRPr="00BE6970">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E50708" w:rsidRPr="00BE6970" w:rsidRDefault="00E50708" w:rsidP="00E50708">
      <w:pPr>
        <w:spacing w:line="360" w:lineRule="auto"/>
        <w:jc w:val="both"/>
        <w:rPr>
          <w:rFonts w:ascii="Palatino Linotype" w:hAnsi="Palatino Linotype" w:cs="Arial"/>
          <w:i/>
          <w:lang w:eastAsia="es-MX"/>
        </w:rPr>
      </w:pPr>
      <w:r w:rsidRPr="00BE6970">
        <w:rPr>
          <w:rFonts w:ascii="Palatino Linotype" w:hAnsi="Palatino Linotype" w:cs="Arial"/>
          <w:lang w:eastAsia="es-MX"/>
        </w:rPr>
        <w:lastRenderedPageBreak/>
        <w:t xml:space="preserve">Además, la </w:t>
      </w:r>
      <w:r w:rsidRPr="00BE6970">
        <w:rPr>
          <w:rFonts w:ascii="Palatino Linotype" w:hAnsi="Palatino Linotype" w:cs="Arial"/>
          <w:b/>
          <w:lang w:eastAsia="es-MX"/>
        </w:rPr>
        <w:t>Ley Orgánica Municipal del Estado de México</w:t>
      </w:r>
      <w:r w:rsidRPr="00BE6970">
        <w:rPr>
          <w:rFonts w:ascii="Palatino Linotype" w:hAnsi="Palatino Linotype" w:cs="Arial"/>
          <w:lang w:eastAsia="es-MX"/>
        </w:rPr>
        <w:t xml:space="preserve"> en el artículo 31 fracción XIX establece como atribución de los Ayuntamientos aprobar su </w:t>
      </w:r>
      <w:r w:rsidRPr="00BE6970">
        <w:rPr>
          <w:rFonts w:ascii="Palatino Linotype" w:hAnsi="Palatino Linotype" w:cs="Arial"/>
          <w:b/>
          <w:u w:val="single"/>
          <w:lang w:eastAsia="es-MX"/>
        </w:rPr>
        <w:t>Presupuesto de Egresos</w:t>
      </w:r>
      <w:r w:rsidRPr="00BE6970">
        <w:rPr>
          <w:rFonts w:ascii="Palatino Linotype" w:hAnsi="Palatino Linotype" w:cs="Arial"/>
          <w:lang w:eastAsia="es-MX"/>
        </w:rPr>
        <w:t>, y al hacerlo deberán señalar “</w:t>
      </w:r>
      <w:r w:rsidRPr="00BE6970">
        <w:rPr>
          <w:rFonts w:ascii="Palatino Linotype" w:hAnsi="Palatino Linotype"/>
          <w:b/>
          <w:i/>
          <w:u w:val="single"/>
          <w:lang w:eastAsia="es-MX"/>
        </w:rPr>
        <w:t>la remuneración</w:t>
      </w:r>
      <w:r w:rsidRPr="00BE6970">
        <w:rPr>
          <w:rFonts w:ascii="Palatino Linotype" w:hAnsi="Palatino Linotype"/>
          <w:i/>
          <w:lang w:eastAsia="es-MX"/>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BE6970">
        <w:rPr>
          <w:rFonts w:ascii="Palatino Linotype" w:hAnsi="Palatino Linotype"/>
          <w:lang w:eastAsia="es-MX"/>
        </w:rPr>
        <w:t>“ y además</w:t>
      </w:r>
      <w:r w:rsidRPr="00BE6970">
        <w:rPr>
          <w:rFonts w:ascii="Palatino Linotype" w:hAnsi="Palatino Linotype" w:cs="Arial"/>
          <w:lang w:eastAsia="es-MX"/>
        </w:rPr>
        <w:t xml:space="preserve"> “</w:t>
      </w:r>
      <w:r w:rsidRPr="00BE6970">
        <w:rPr>
          <w:rFonts w:ascii="Palatino Linotype" w:hAnsi="Palatino Linotype"/>
          <w:i/>
          <w:lang w:eastAsia="es-MX"/>
        </w:rPr>
        <w:t xml:space="preserve">las remuneraciones de todo tipo del Presidente Municipal, Síndicos, Regidores y servidores públicos en general, incluyendo mandos medios y superiores de la administración municipal, </w:t>
      </w:r>
      <w:r w:rsidRPr="00BE6970">
        <w:rPr>
          <w:rFonts w:ascii="Palatino Linotype" w:hAnsi="Palatino Linotype"/>
          <w:b/>
          <w:i/>
          <w:lang w:eastAsia="es-MX"/>
        </w:rPr>
        <w:t>serán determinadas anualmente en el presupuesto de egresos</w:t>
      </w:r>
      <w:r w:rsidRPr="00BE6970">
        <w:rPr>
          <w:rFonts w:ascii="Palatino Linotype" w:hAnsi="Palatino Linotype"/>
          <w:i/>
          <w:lang w:eastAsia="es-MX"/>
        </w:rPr>
        <w:t xml:space="preserve"> correspondiente y se sujetarán a los lineamientos legales establecidos para todos los servidores públicos municipales</w:t>
      </w:r>
      <w:r w:rsidRPr="00BE6970">
        <w:rPr>
          <w:rFonts w:ascii="Palatino Linotype" w:hAnsi="Palatino Linotype"/>
          <w:lang w:eastAsia="es-MX"/>
        </w:rPr>
        <w:t>”.</w:t>
      </w:r>
      <w:r w:rsidRPr="00BE6970">
        <w:rPr>
          <w:rFonts w:ascii="Palatino Linotype" w:hAnsi="Palatino Linotype"/>
          <w:i/>
          <w:lang w:eastAsia="es-MX"/>
        </w:rPr>
        <w:t>(…)</w:t>
      </w:r>
    </w:p>
    <w:p w:rsidR="00E50708" w:rsidRPr="00BE6970" w:rsidRDefault="00E50708" w:rsidP="00E50708">
      <w:pPr>
        <w:autoSpaceDE w:val="0"/>
        <w:autoSpaceDN w:val="0"/>
        <w:adjustRightInd w:val="0"/>
        <w:spacing w:line="360" w:lineRule="auto"/>
        <w:jc w:val="both"/>
        <w:rPr>
          <w:rFonts w:ascii="Palatino Linotype" w:hAnsi="Palatino Linotype" w:cs="Arial"/>
          <w:lang w:eastAsia="es-MX"/>
        </w:rPr>
      </w:pPr>
    </w:p>
    <w:p w:rsidR="00E50708" w:rsidRPr="00BE6970" w:rsidRDefault="00E50708" w:rsidP="00E50708">
      <w:pPr>
        <w:autoSpaceDE w:val="0"/>
        <w:autoSpaceDN w:val="0"/>
        <w:adjustRightInd w:val="0"/>
        <w:spacing w:line="360" w:lineRule="auto"/>
        <w:jc w:val="both"/>
        <w:rPr>
          <w:rFonts w:ascii="Palatino Linotype" w:hAnsi="Palatino Linotype" w:cs="Arial"/>
          <w:lang w:eastAsia="es-MX"/>
        </w:rPr>
      </w:pPr>
      <w:r w:rsidRPr="00BE6970">
        <w:rPr>
          <w:rFonts w:ascii="Palatino Linotype" w:hAnsi="Palatino Linotype" w:cs="Arial"/>
          <w:lang w:eastAsia="es-MX"/>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rsidR="00E50708" w:rsidRPr="00BE6970" w:rsidRDefault="00E50708" w:rsidP="00E50708">
      <w:pPr>
        <w:autoSpaceDE w:val="0"/>
        <w:autoSpaceDN w:val="0"/>
        <w:adjustRightInd w:val="0"/>
        <w:spacing w:line="360" w:lineRule="auto"/>
        <w:jc w:val="both"/>
        <w:rPr>
          <w:rFonts w:ascii="Palatino Linotype" w:hAnsi="Palatino Linotype" w:cs="Arial"/>
          <w:lang w:eastAsia="es-MX"/>
        </w:rPr>
      </w:pPr>
    </w:p>
    <w:p w:rsidR="00E50708" w:rsidRPr="00BE6970" w:rsidRDefault="00E50708" w:rsidP="00E50708">
      <w:pPr>
        <w:autoSpaceDE w:val="0"/>
        <w:autoSpaceDN w:val="0"/>
        <w:adjustRightInd w:val="0"/>
        <w:spacing w:line="360" w:lineRule="auto"/>
        <w:jc w:val="both"/>
        <w:rPr>
          <w:rFonts w:ascii="Palatino Linotype" w:hAnsi="Palatino Linotype" w:cs="Arial"/>
          <w:lang w:eastAsia="es-MX"/>
        </w:rPr>
      </w:pPr>
      <w:r w:rsidRPr="00BE6970">
        <w:rPr>
          <w:rFonts w:ascii="Palatino Linotype" w:hAnsi="Palatino Linotype" w:cs="Arial"/>
          <w:lang w:eastAsia="es-MX"/>
        </w:rPr>
        <w:t>Además de lo anterior, conviene mencionar que el sub-modulo.- Comprobantes Fiscales, del referido Módulo 4, punto doce (12), refiere lo siguiente:</w:t>
      </w:r>
    </w:p>
    <w:p w:rsidR="00E50708" w:rsidRPr="00BE6970" w:rsidRDefault="00E50708" w:rsidP="00E50708">
      <w:pPr>
        <w:autoSpaceDE w:val="0"/>
        <w:autoSpaceDN w:val="0"/>
        <w:adjustRightInd w:val="0"/>
        <w:spacing w:line="360" w:lineRule="auto"/>
        <w:jc w:val="both"/>
        <w:rPr>
          <w:rFonts w:ascii="Palatino Linotype" w:hAnsi="Palatino Linotype" w:cs="Arial"/>
          <w:lang w:eastAsia="es-MX"/>
        </w:rPr>
      </w:pPr>
    </w:p>
    <w:p w:rsidR="00E50708" w:rsidRPr="00BE6970" w:rsidRDefault="00E50708" w:rsidP="00E50708">
      <w:pPr>
        <w:autoSpaceDE w:val="0"/>
        <w:autoSpaceDN w:val="0"/>
        <w:adjustRightInd w:val="0"/>
        <w:spacing w:line="276" w:lineRule="auto"/>
        <w:ind w:left="567" w:right="709"/>
        <w:jc w:val="both"/>
        <w:rPr>
          <w:rFonts w:ascii="Palatino Linotype" w:hAnsi="Palatino Linotype" w:cs="Arial"/>
          <w:b/>
          <w:i/>
          <w:lang w:eastAsia="es-MX"/>
        </w:rPr>
      </w:pPr>
      <w:r w:rsidRPr="00BE6970">
        <w:rPr>
          <w:rFonts w:ascii="Palatino Linotype" w:hAnsi="Palatino Linotype" w:cs="Arial"/>
          <w:b/>
          <w:i/>
          <w:lang w:eastAsia="es-MX"/>
        </w:rPr>
        <w:t>“12.-Comprobantes Fiscales Digitales por Internet por Concepto de Nómina</w:t>
      </w:r>
    </w:p>
    <w:p w:rsidR="00E50708" w:rsidRPr="00BE6970" w:rsidRDefault="00E50708" w:rsidP="00E50708">
      <w:pPr>
        <w:autoSpaceDE w:val="0"/>
        <w:autoSpaceDN w:val="0"/>
        <w:adjustRightInd w:val="0"/>
        <w:spacing w:line="276" w:lineRule="auto"/>
        <w:ind w:left="567" w:right="709"/>
        <w:jc w:val="both"/>
        <w:rPr>
          <w:rFonts w:ascii="Palatino Linotype" w:hAnsi="Palatino Linotype" w:cs="Arial"/>
          <w:b/>
          <w:i/>
          <w:lang w:eastAsia="es-MX"/>
        </w:rPr>
      </w:pPr>
    </w:p>
    <w:p w:rsidR="00E50708" w:rsidRPr="00BE6970" w:rsidRDefault="00E50708" w:rsidP="00E50708">
      <w:pPr>
        <w:autoSpaceDE w:val="0"/>
        <w:autoSpaceDN w:val="0"/>
        <w:adjustRightInd w:val="0"/>
        <w:spacing w:line="276" w:lineRule="auto"/>
        <w:ind w:left="567" w:right="709"/>
        <w:jc w:val="both"/>
        <w:rPr>
          <w:rFonts w:ascii="Palatino Linotype" w:hAnsi="Palatino Linotype" w:cs="Arial"/>
          <w:i/>
          <w:lang w:eastAsia="es-MX"/>
        </w:rPr>
      </w:pPr>
      <w:r w:rsidRPr="00BE6970">
        <w:rPr>
          <w:rFonts w:ascii="Palatino Linotype" w:hAnsi="Palatino Linotype" w:cs="Arial"/>
          <w:i/>
          <w:lang w:eastAsia="es-MX"/>
        </w:rPr>
        <w:t>Es una factura electrónica, que funge como un comprobante digital de la relación de pago que existe entre el patrón y el trabajador.</w:t>
      </w: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r w:rsidRPr="00BE6970">
        <w:rPr>
          <w:rFonts w:ascii="Palatino Linotype" w:hAnsi="Palatino Linotype" w:cs="Arial"/>
          <w:i/>
          <w:lang w:eastAsia="es-MX"/>
        </w:rPr>
        <w:lastRenderedPageBreak/>
        <w:t xml:space="preserve">Los CFDI deberán enviarse de acuerdo a la estructura siguiente: </w:t>
      </w: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r w:rsidRPr="00BE6970">
        <w:rPr>
          <w:rFonts w:ascii="Palatino Linotype" w:hAnsi="Palatino Linotype" w:cs="Arial"/>
          <w:i/>
          <w:lang w:eastAsia="es-MX"/>
        </w:rPr>
        <w:t>Una carpeta de CFDI Nómina por trimestre que contenga una carpeta por mes (enero, febrero y marzo); y dentro de cada mes dos carpetas, una por cada quincena (la primera quincena y segunda quincena).</w:t>
      </w: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r w:rsidRPr="00BE6970">
        <w:rPr>
          <w:rFonts w:ascii="Palatino Linotype" w:hAnsi="Palatino Linotype" w:cs="Arial"/>
          <w:i/>
          <w:lang w:eastAsia="es-MX"/>
        </w:rPr>
        <w:t>…</w:t>
      </w:r>
    </w:p>
    <w:p w:rsidR="00E50708" w:rsidRPr="00BE6970" w:rsidRDefault="00E50708" w:rsidP="00E50708">
      <w:pPr>
        <w:autoSpaceDE w:val="0"/>
        <w:autoSpaceDN w:val="0"/>
        <w:adjustRightInd w:val="0"/>
        <w:spacing w:line="276" w:lineRule="auto"/>
        <w:ind w:left="851" w:right="709"/>
        <w:jc w:val="both"/>
        <w:rPr>
          <w:rFonts w:ascii="Palatino Linotype" w:hAnsi="Palatino Linotype" w:cs="Arial"/>
          <w:i/>
          <w:lang w:eastAsia="es-MX"/>
        </w:rPr>
      </w:pPr>
      <w:r w:rsidRPr="00BE6970">
        <w:rPr>
          <w:rFonts w:ascii="Palatino Linotype" w:hAnsi="Palatino Linotype" w:cs="Arial"/>
          <w:i/>
          <w:lang w:eastAsia="es-MX"/>
        </w:rPr>
        <w:t>Verificar que la cantidad de CFDI que adjuntan, correspondan al total de los registros de la Conciliación de la Nómina y al importe total del Comprobante Bancario de la Dispersión de la Nómina.”</w:t>
      </w:r>
    </w:p>
    <w:p w:rsidR="00E50708" w:rsidRPr="00BE6970" w:rsidRDefault="00E50708" w:rsidP="00E50708">
      <w:pPr>
        <w:autoSpaceDE w:val="0"/>
        <w:autoSpaceDN w:val="0"/>
        <w:adjustRightInd w:val="0"/>
        <w:spacing w:line="276" w:lineRule="auto"/>
        <w:jc w:val="both"/>
        <w:rPr>
          <w:rFonts w:ascii="Palatino Linotype" w:hAnsi="Palatino Linotype" w:cs="Arial"/>
          <w:lang w:eastAsia="es-MX"/>
        </w:rPr>
      </w:pPr>
    </w:p>
    <w:p w:rsidR="00E50708" w:rsidRPr="00BE6970" w:rsidRDefault="00E50708" w:rsidP="00E50708">
      <w:pPr>
        <w:autoSpaceDE w:val="0"/>
        <w:autoSpaceDN w:val="0"/>
        <w:adjustRightInd w:val="0"/>
        <w:spacing w:line="360" w:lineRule="auto"/>
        <w:ind w:right="49"/>
        <w:contextualSpacing/>
        <w:jc w:val="both"/>
        <w:rPr>
          <w:rFonts w:ascii="Palatino Linotype" w:hAnsi="Palatino Linotype" w:cs="Arial"/>
          <w:lang w:eastAsia="es-MX"/>
        </w:rPr>
      </w:pPr>
      <w:r w:rsidRPr="00BE6970">
        <w:rPr>
          <w:rFonts w:ascii="Palatino Linotype" w:hAnsi="Palatino Linotype" w:cs="Arial"/>
          <w:lang w:eastAsia="es-MX"/>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BE6970">
        <w:rPr>
          <w:rFonts w:ascii="Palatino Linotype" w:hAnsi="Palatino Linotype" w:cs="Arial"/>
          <w:b/>
          <w:lang w:eastAsia="es-MX"/>
        </w:rPr>
        <w:t>Constitución Política de los Estados Unidos Mexicanos</w:t>
      </w:r>
      <w:r w:rsidRPr="00BE6970">
        <w:rPr>
          <w:rFonts w:ascii="Palatino Linotype" w:hAnsi="Palatino Linotype" w:cs="Arial"/>
          <w:lang w:eastAsia="es-MX"/>
        </w:rPr>
        <w:t xml:space="preserve"> y 3, fracción XXXII del </w:t>
      </w:r>
      <w:r w:rsidRPr="00BE6970">
        <w:rPr>
          <w:rFonts w:ascii="Palatino Linotype" w:hAnsi="Palatino Linotype" w:cs="Arial"/>
          <w:b/>
          <w:lang w:eastAsia="es-MX"/>
        </w:rPr>
        <w:t>Código Financiero del Estado de México y Municipios</w:t>
      </w:r>
      <w:r w:rsidRPr="00BE6970">
        <w:rPr>
          <w:rFonts w:ascii="Palatino Linotype" w:hAnsi="Palatino Linotype" w:cs="Arial"/>
          <w:lang w:eastAsia="es-MX"/>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E50708" w:rsidRPr="00BE6970" w:rsidRDefault="00E50708" w:rsidP="00E50708">
      <w:pPr>
        <w:autoSpaceDE w:val="0"/>
        <w:autoSpaceDN w:val="0"/>
        <w:adjustRightInd w:val="0"/>
        <w:spacing w:line="360" w:lineRule="auto"/>
        <w:ind w:right="49"/>
        <w:contextualSpacing/>
        <w:jc w:val="both"/>
        <w:rPr>
          <w:rFonts w:ascii="Palatino Linotype" w:hAnsi="Palatino Linotype" w:cs="Arial"/>
          <w:lang w:eastAsia="es-MX"/>
        </w:rPr>
      </w:pPr>
    </w:p>
    <w:p w:rsidR="00E50708" w:rsidRPr="00BE6970" w:rsidRDefault="00E50708" w:rsidP="00E50708">
      <w:pPr>
        <w:autoSpaceDE w:val="0"/>
        <w:autoSpaceDN w:val="0"/>
        <w:adjustRightInd w:val="0"/>
        <w:spacing w:line="360" w:lineRule="auto"/>
        <w:ind w:right="49"/>
        <w:contextualSpacing/>
        <w:jc w:val="both"/>
        <w:rPr>
          <w:rFonts w:ascii="Palatino Linotype" w:hAnsi="Palatino Linotype" w:cs="Arial"/>
          <w:lang w:eastAsia="es-MX"/>
        </w:rPr>
      </w:pPr>
      <w:r w:rsidRPr="00BE6970">
        <w:rPr>
          <w:rFonts w:ascii="Palatino Linotype" w:hAnsi="Palatino Linotype" w:cs="Arial"/>
          <w:lang w:eastAsia="es-MX"/>
        </w:rPr>
        <w:t xml:space="preserve">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E50708" w:rsidRPr="00BE6970" w:rsidRDefault="00E50708" w:rsidP="00E50708">
      <w:pPr>
        <w:autoSpaceDE w:val="0"/>
        <w:autoSpaceDN w:val="0"/>
        <w:adjustRightInd w:val="0"/>
        <w:spacing w:line="360" w:lineRule="auto"/>
        <w:ind w:right="49"/>
        <w:contextualSpacing/>
        <w:jc w:val="both"/>
        <w:rPr>
          <w:rFonts w:ascii="Palatino Linotype" w:hAnsi="Palatino Linotype" w:cs="Arial"/>
          <w:lang w:eastAsia="es-MX"/>
        </w:rPr>
      </w:pPr>
    </w:p>
    <w:p w:rsidR="00E50708" w:rsidRPr="00BE6970" w:rsidRDefault="00E50708" w:rsidP="00E50708">
      <w:pPr>
        <w:ind w:left="851" w:right="992"/>
        <w:jc w:val="both"/>
        <w:rPr>
          <w:rFonts w:ascii="Palatino Linotype" w:hAnsi="Palatino Linotype"/>
          <w:i/>
          <w:lang w:eastAsia="es-MX"/>
        </w:rPr>
      </w:pPr>
      <w:r w:rsidRPr="00BE6970">
        <w:rPr>
          <w:rFonts w:ascii="Palatino Linotype" w:hAnsi="Palatino Linotype"/>
          <w:i/>
          <w:lang w:eastAsia="es-MX"/>
        </w:rPr>
        <w:lastRenderedPageBreak/>
        <w:t xml:space="preserve">19. Percepciones: Se anotarán las percepciones que se le hacen llegar al empleado solamente. </w:t>
      </w:r>
    </w:p>
    <w:p w:rsidR="00E50708" w:rsidRPr="00BE6970" w:rsidRDefault="00E50708" w:rsidP="00E50708">
      <w:pPr>
        <w:ind w:left="851" w:right="992"/>
        <w:jc w:val="both"/>
        <w:rPr>
          <w:rFonts w:ascii="Palatino Linotype" w:hAnsi="Palatino Linotype" w:cs="Arial"/>
          <w:i/>
          <w:lang w:eastAsia="es-MX"/>
        </w:rPr>
      </w:pPr>
      <w:r w:rsidRPr="00BE6970">
        <w:rPr>
          <w:rFonts w:ascii="Palatino Linotype" w:hAnsi="Palatino Linotype"/>
          <w:i/>
          <w:lang w:eastAsia="es-MX"/>
        </w:rPr>
        <w:t>20. Deducciones: Se anotarán las deducciones correspondientes al empleado solamente.</w:t>
      </w:r>
    </w:p>
    <w:p w:rsidR="00E50708" w:rsidRPr="00BE6970" w:rsidRDefault="00E50708" w:rsidP="00E50708">
      <w:pPr>
        <w:spacing w:line="360" w:lineRule="auto"/>
        <w:contextualSpacing/>
        <w:jc w:val="both"/>
        <w:rPr>
          <w:rFonts w:ascii="Palatino Linotype" w:hAnsi="Palatino Linotype" w:cs="Arial"/>
          <w:lang w:eastAsia="es-MX"/>
        </w:rPr>
      </w:pPr>
    </w:p>
    <w:p w:rsidR="00E50708" w:rsidRPr="00BE6970" w:rsidRDefault="00E50708" w:rsidP="00E50708">
      <w:pPr>
        <w:spacing w:line="360" w:lineRule="auto"/>
        <w:contextualSpacing/>
        <w:jc w:val="both"/>
        <w:rPr>
          <w:rFonts w:ascii="Palatino Linotype" w:hAnsi="Palatino Linotype" w:cs="Arial"/>
          <w:lang w:eastAsia="es-MX"/>
        </w:rPr>
      </w:pPr>
      <w:r w:rsidRPr="00BE6970">
        <w:rPr>
          <w:rFonts w:ascii="Palatino Linotype" w:hAnsi="Palatino Linotype" w:cs="Arial"/>
          <w:lang w:eastAsia="es-MX"/>
        </w:rPr>
        <w:t xml:space="preserve">Por lo anterior, se advierte que existe la atribución del </w:t>
      </w:r>
      <w:r w:rsidRPr="00BE6970">
        <w:rPr>
          <w:rFonts w:ascii="Palatino Linotype" w:hAnsi="Palatino Linotype" w:cs="Arial"/>
          <w:b/>
          <w:lang w:eastAsia="es-MX"/>
        </w:rPr>
        <w:t>Sujeto Obligado</w:t>
      </w:r>
      <w:r w:rsidRPr="00BE6970">
        <w:rPr>
          <w:rFonts w:ascii="Palatino Linotype" w:hAnsi="Palatino Linotype" w:cs="Arial"/>
          <w:lang w:eastAsia="es-MX"/>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E50708" w:rsidRPr="00BE6970" w:rsidRDefault="00E50708" w:rsidP="00E50708">
      <w:pPr>
        <w:spacing w:line="360" w:lineRule="auto"/>
        <w:ind w:left="851"/>
        <w:contextualSpacing/>
        <w:jc w:val="both"/>
        <w:rPr>
          <w:rFonts w:ascii="Palatino Linotype" w:hAnsi="Palatino Linotype" w:cs="Arial"/>
          <w:lang w:eastAsia="es-MX"/>
        </w:rPr>
      </w:pPr>
    </w:p>
    <w:p w:rsidR="00E50708" w:rsidRPr="00BE6970" w:rsidRDefault="00E50708" w:rsidP="00E50708">
      <w:pPr>
        <w:spacing w:line="360" w:lineRule="auto"/>
        <w:contextualSpacing/>
        <w:jc w:val="both"/>
        <w:rPr>
          <w:rFonts w:ascii="Palatino Linotype" w:hAnsi="Palatino Linotype" w:cs="Arial"/>
          <w:lang w:eastAsia="es-MX"/>
        </w:rPr>
      </w:pPr>
      <w:r w:rsidRPr="00BE6970">
        <w:rPr>
          <w:rFonts w:ascii="Palatino Linotype" w:hAnsi="Palatino Linotype" w:cs="Arial"/>
          <w:lang w:eastAsia="es-MX"/>
        </w:rPr>
        <w:t xml:space="preserve">Ahora bien, el artículo 70 de la </w:t>
      </w:r>
      <w:r w:rsidRPr="00BE6970">
        <w:rPr>
          <w:rFonts w:ascii="Palatino Linotype" w:hAnsi="Palatino Linotype" w:cs="Arial"/>
          <w:b/>
          <w:lang w:eastAsia="es-MX"/>
        </w:rPr>
        <w:t>Ley General de Transparencia y Acceso a la Información Pública</w:t>
      </w:r>
      <w:r w:rsidRPr="00BE6970">
        <w:rPr>
          <w:rFonts w:ascii="Palatino Linotype" w:hAnsi="Palatino Linotype" w:cs="Arial"/>
          <w:lang w:eastAsia="es-MX"/>
        </w:rPr>
        <w:t xml:space="preserve"> dispone lo siguiente:</w:t>
      </w:r>
    </w:p>
    <w:p w:rsidR="00E50708" w:rsidRPr="00BE6970" w:rsidRDefault="00E50708" w:rsidP="00E50708">
      <w:pPr>
        <w:spacing w:line="360" w:lineRule="auto"/>
        <w:ind w:left="851"/>
        <w:contextualSpacing/>
        <w:jc w:val="both"/>
        <w:rPr>
          <w:rFonts w:ascii="Palatino Linotype" w:hAnsi="Palatino Linotype" w:cs="Arial"/>
          <w:lang w:eastAsia="es-MX"/>
        </w:rPr>
      </w:pPr>
    </w:p>
    <w:p w:rsidR="00E50708" w:rsidRPr="00BE6970" w:rsidRDefault="00E50708" w:rsidP="00E50708">
      <w:pPr>
        <w:ind w:left="851" w:right="992"/>
        <w:jc w:val="both"/>
        <w:rPr>
          <w:rFonts w:ascii="Palatino Linotype" w:hAnsi="Palatino Linotype" w:cs="Arial"/>
          <w:i/>
        </w:rPr>
      </w:pPr>
      <w:r w:rsidRPr="00BE6970">
        <w:rPr>
          <w:rFonts w:ascii="Palatino Linotype" w:hAnsi="Palatino Linotype" w:cs="Arial"/>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E50708" w:rsidRPr="00BE6970" w:rsidRDefault="00E50708" w:rsidP="00E50708">
      <w:pPr>
        <w:ind w:left="851" w:right="992"/>
        <w:jc w:val="both"/>
        <w:rPr>
          <w:rFonts w:ascii="Palatino Linotype" w:hAnsi="Palatino Linotype" w:cs="Arial"/>
          <w:i/>
        </w:rPr>
      </w:pPr>
      <w:r w:rsidRPr="00BE6970">
        <w:rPr>
          <w:rFonts w:ascii="Palatino Linotype" w:hAnsi="Palatino Linotype" w:cs="Arial"/>
          <w:i/>
        </w:rPr>
        <w:t>…</w:t>
      </w:r>
    </w:p>
    <w:p w:rsidR="00E50708" w:rsidRPr="00BE6970" w:rsidRDefault="00E50708" w:rsidP="00E50708">
      <w:pPr>
        <w:ind w:left="851" w:right="992"/>
        <w:jc w:val="both"/>
        <w:rPr>
          <w:rFonts w:ascii="Palatino Linotype" w:hAnsi="Palatino Linotype" w:cs="Arial"/>
          <w:b/>
          <w:i/>
        </w:rPr>
      </w:pPr>
      <w:r w:rsidRPr="00BE6970">
        <w:rPr>
          <w:rFonts w:ascii="Palatino Linotype" w:hAnsi="Palatino Linotype" w:cs="Arial"/>
          <w:b/>
          <w:i/>
        </w:rPr>
        <w:t>VIII.</w:t>
      </w:r>
      <w:r w:rsidRPr="00BE6970">
        <w:rPr>
          <w:rFonts w:ascii="Palatino Linotype" w:hAnsi="Palatino Linotype" w:cs="Arial"/>
          <w:b/>
          <w:i/>
        </w:rPr>
        <w:tab/>
        <w:t xml:space="preserve">La remuneración bruta y neta de todos los Servidores Públicos de base o de confianza, de todas las percepciones, incluyendo sueldos, prestaciones, gratificaciones, primas, comisiones, dietas, bonos, estímulos, ingresos y sistemas de </w:t>
      </w:r>
      <w:r w:rsidRPr="00BE6970">
        <w:rPr>
          <w:rFonts w:ascii="Palatino Linotype" w:hAnsi="Palatino Linotype" w:cs="Arial"/>
          <w:b/>
          <w:i/>
        </w:rPr>
        <w:lastRenderedPageBreak/>
        <w:t>compensación, señalando la periodicidad de dicha remuneración;</w:t>
      </w:r>
    </w:p>
    <w:p w:rsidR="00E50708" w:rsidRPr="00BE6970" w:rsidRDefault="00E50708" w:rsidP="00E50708">
      <w:pPr>
        <w:spacing w:line="360" w:lineRule="auto"/>
        <w:contextualSpacing/>
        <w:jc w:val="both"/>
        <w:rPr>
          <w:rFonts w:ascii="Palatino Linotype" w:hAnsi="Palatino Linotype" w:cs="Arial"/>
          <w:lang w:eastAsia="es-MX"/>
        </w:rPr>
      </w:pPr>
    </w:p>
    <w:p w:rsidR="00E50708" w:rsidRPr="00BE6970" w:rsidRDefault="00E50708" w:rsidP="00E50708">
      <w:pPr>
        <w:spacing w:line="360" w:lineRule="auto"/>
        <w:contextualSpacing/>
        <w:jc w:val="both"/>
        <w:rPr>
          <w:rFonts w:ascii="Palatino Linotype" w:hAnsi="Palatino Linotype" w:cs="Arial"/>
          <w:lang w:eastAsia="es-MX"/>
        </w:rPr>
      </w:pPr>
      <w:r w:rsidRPr="00BE6970">
        <w:rPr>
          <w:rFonts w:ascii="Palatino Linotype" w:hAnsi="Palatino Linotype" w:cs="Arial"/>
          <w:lang w:eastAsia="es-MX"/>
        </w:rPr>
        <w:t xml:space="preserve">Robustece lo anterior, el artículo 92, fracción VIII de la </w:t>
      </w:r>
      <w:r w:rsidRPr="00BE6970">
        <w:rPr>
          <w:rFonts w:ascii="Palatino Linotype" w:hAnsi="Palatino Linotype" w:cs="Arial"/>
          <w:b/>
          <w:lang w:eastAsia="es-MX"/>
        </w:rPr>
        <w:t>Ley de Transparencia y Acceso a la Información Pública del Estado de México y Municipios</w:t>
      </w:r>
      <w:r w:rsidRPr="00BE6970">
        <w:rPr>
          <w:rFonts w:ascii="Palatino Linotype" w:hAnsi="Palatino Linotype" w:cs="Arial"/>
          <w:lang w:eastAsia="es-MX"/>
        </w:rPr>
        <w:t>, señala:</w:t>
      </w:r>
    </w:p>
    <w:p w:rsidR="00E50708" w:rsidRPr="00BE6970" w:rsidRDefault="00E50708" w:rsidP="00E50708">
      <w:pPr>
        <w:spacing w:line="360" w:lineRule="auto"/>
        <w:contextualSpacing/>
        <w:jc w:val="both"/>
        <w:rPr>
          <w:rFonts w:ascii="Palatino Linotype" w:hAnsi="Palatino Linotype" w:cs="Arial"/>
          <w:lang w:eastAsia="es-MX"/>
        </w:rPr>
      </w:pPr>
    </w:p>
    <w:p w:rsidR="00E50708" w:rsidRPr="00BE6970" w:rsidRDefault="00E50708" w:rsidP="00E50708">
      <w:pPr>
        <w:ind w:left="851" w:right="992"/>
        <w:jc w:val="both"/>
        <w:rPr>
          <w:rFonts w:ascii="Palatino Linotype" w:hAnsi="Palatino Linotype"/>
          <w:i/>
          <w:lang w:eastAsia="es-MX"/>
        </w:rPr>
      </w:pPr>
      <w:r w:rsidRPr="00BE6970">
        <w:rPr>
          <w:rFonts w:ascii="Palatino Linotype" w:hAnsi="Palatino Linotype"/>
          <w:i/>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50708" w:rsidRPr="00BE6970" w:rsidRDefault="00E50708" w:rsidP="00E50708">
      <w:pPr>
        <w:ind w:left="851" w:right="992"/>
        <w:jc w:val="both"/>
        <w:rPr>
          <w:rFonts w:ascii="Palatino Linotype" w:hAnsi="Palatino Linotype"/>
          <w:i/>
          <w:lang w:eastAsia="es-MX"/>
        </w:rPr>
      </w:pPr>
      <w:r w:rsidRPr="00BE6970">
        <w:rPr>
          <w:rFonts w:ascii="Palatino Linotype" w:hAnsi="Palatino Linotype"/>
          <w:i/>
          <w:lang w:eastAsia="es-MX"/>
        </w:rPr>
        <w:t>(…)</w:t>
      </w:r>
    </w:p>
    <w:p w:rsidR="00E50708" w:rsidRPr="00BE6970" w:rsidRDefault="00E50708" w:rsidP="00E50708">
      <w:pPr>
        <w:ind w:left="851" w:right="992"/>
        <w:jc w:val="both"/>
        <w:rPr>
          <w:rFonts w:ascii="Palatino Linotype" w:hAnsi="Palatino Linotype"/>
          <w:i/>
          <w:lang w:eastAsia="es-MX"/>
        </w:rPr>
      </w:pPr>
      <w:r w:rsidRPr="00BE6970">
        <w:rPr>
          <w:rFonts w:ascii="Palatino Linotype" w:hAnsi="Palatino Linotype"/>
          <w:i/>
          <w:lang w:eastAsia="es-MX"/>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50708" w:rsidRPr="00BE6970" w:rsidRDefault="00E50708" w:rsidP="00E50708">
      <w:pPr>
        <w:spacing w:line="360" w:lineRule="auto"/>
        <w:jc w:val="both"/>
        <w:rPr>
          <w:rFonts w:ascii="Palatino Linotype" w:hAnsi="Palatino Linotype" w:cs="Arial"/>
          <w:lang w:eastAsia="es-MX"/>
        </w:rPr>
      </w:pPr>
    </w:p>
    <w:p w:rsidR="00E50708" w:rsidRPr="00BE6970" w:rsidRDefault="00E50708" w:rsidP="00E50708">
      <w:pPr>
        <w:spacing w:line="360" w:lineRule="auto"/>
        <w:jc w:val="both"/>
        <w:rPr>
          <w:rFonts w:ascii="Palatino Linotype" w:hAnsi="Palatino Linotype" w:cs="Arial"/>
          <w:lang w:eastAsia="es-MX"/>
        </w:rPr>
      </w:pPr>
      <w:r w:rsidRPr="00BE6970">
        <w:rPr>
          <w:rFonts w:ascii="Palatino Linotype" w:hAnsi="Palatino Linotype" w:cs="Arial"/>
          <w:lang w:eastAsia="es-MX"/>
        </w:rPr>
        <w:t xml:space="preserve">En este sentido, la Ley de Transparencia y Acceso a la Información Pública del Estado de México y Municipios mandata a los Sujetos Obligados como parte de las obligaciones comunes de transparencia, el tener disponible en medio impreso o electrónico, de manera permanente y actualizada, de forma sencilla, precisa y entendible para los particulares, </w:t>
      </w:r>
      <w:r w:rsidRPr="00BE6970">
        <w:rPr>
          <w:rFonts w:ascii="Palatino Linotype" w:hAnsi="Palatino Linotype" w:cs="Arial"/>
          <w:b/>
          <w:u w:val="single"/>
          <w:lang w:eastAsia="es-MX"/>
        </w:rPr>
        <w:t>las remuneraciones</w:t>
      </w:r>
      <w:r w:rsidRPr="00BE6970">
        <w:rPr>
          <w:rFonts w:ascii="Palatino Linotype" w:hAnsi="Palatino Linotype" w:cs="Arial"/>
          <w:lang w:eastAsia="es-MX"/>
        </w:rPr>
        <w:t xml:space="preserve"> que perciban los servidores públicos de acuerdo con lo establecido en el </w:t>
      </w:r>
      <w:r w:rsidRPr="00BE6970">
        <w:rPr>
          <w:rFonts w:ascii="Palatino Linotype" w:hAnsi="Palatino Linotype" w:cs="Arial"/>
          <w:b/>
          <w:lang w:eastAsia="es-MX"/>
        </w:rPr>
        <w:t>Código Financiero del Estado de México y Municipios</w:t>
      </w:r>
      <w:r w:rsidRPr="00BE6970">
        <w:rPr>
          <w:rFonts w:ascii="Palatino Linotype" w:hAnsi="Palatino Linotype" w:cs="Arial"/>
          <w:lang w:eastAsia="es-MX"/>
        </w:rPr>
        <w:t xml:space="preserve">. </w:t>
      </w:r>
    </w:p>
    <w:p w:rsidR="00E50708" w:rsidRPr="00BE6970" w:rsidRDefault="00E50708" w:rsidP="00E50708">
      <w:pPr>
        <w:spacing w:line="360" w:lineRule="auto"/>
        <w:jc w:val="both"/>
        <w:rPr>
          <w:rFonts w:ascii="Palatino Linotype" w:eastAsia="Palatino Linotype" w:hAnsi="Palatino Linotype" w:cs="Palatino Linotype"/>
          <w:lang w:eastAsia="es-MX"/>
        </w:rPr>
      </w:pPr>
    </w:p>
    <w:p w:rsidR="00E50708" w:rsidRPr="00BE6970" w:rsidRDefault="00E50708" w:rsidP="00E50708">
      <w:pPr>
        <w:spacing w:line="360" w:lineRule="auto"/>
        <w:jc w:val="both"/>
        <w:rPr>
          <w:rFonts w:ascii="Palatino Linotype" w:eastAsia="Palatino Linotype" w:hAnsi="Palatino Linotype" w:cs="Palatino Linotype"/>
          <w:lang w:eastAsia="es-MX"/>
        </w:rPr>
      </w:pPr>
      <w:r w:rsidRPr="00BE6970">
        <w:rPr>
          <w:rFonts w:ascii="Palatino Linotype" w:eastAsia="Palatino Linotype" w:hAnsi="Palatino Linotype" w:cs="Palatino Linotype"/>
          <w:lang w:eastAsia="es-MX"/>
        </w:rPr>
        <w:t xml:space="preserve">En mérito de lo expuesto, es claro que, </w:t>
      </w:r>
      <w:r w:rsidRPr="00BE6970">
        <w:rPr>
          <w:rFonts w:ascii="Palatino Linotype" w:eastAsia="Palatino Linotype" w:hAnsi="Palatino Linotype" w:cs="Palatino Linotype"/>
          <w:b/>
          <w:lang w:eastAsia="es-MX"/>
        </w:rPr>
        <w:t xml:space="preserve">EL SUJETO OBLIGADO </w:t>
      </w:r>
      <w:r w:rsidRPr="00BE6970">
        <w:rPr>
          <w:rFonts w:ascii="Palatino Linotype" w:eastAsia="Palatino Linotype" w:hAnsi="Palatino Linotype" w:cs="Palatino Linotype"/>
          <w:lang w:eastAsia="es-MX"/>
        </w:rPr>
        <w:t xml:space="preserve">deberá hacer entrega de la información solicitada y consistente en los documentos en los que </w:t>
      </w:r>
      <w:r w:rsidRPr="00BE6970">
        <w:rPr>
          <w:rFonts w:ascii="Palatino Linotype" w:eastAsia="Palatino Linotype" w:hAnsi="Palatino Linotype" w:cs="Palatino Linotype"/>
          <w:lang w:eastAsia="es-MX"/>
        </w:rPr>
        <w:lastRenderedPageBreak/>
        <w:t>conste la solicitud de información en materia de transparencia y la respuesta que recayó a ésta.</w:t>
      </w:r>
    </w:p>
    <w:p w:rsidR="003C63CC" w:rsidRPr="00BE6970" w:rsidRDefault="003C63CC">
      <w:pPr>
        <w:spacing w:line="360" w:lineRule="auto"/>
        <w:jc w:val="both"/>
        <w:rPr>
          <w:rFonts w:ascii="Palatino Linotype" w:eastAsia="Palatino Linotype" w:hAnsi="Palatino Linotype" w:cs="Palatino Linotype"/>
        </w:rPr>
      </w:pPr>
    </w:p>
    <w:p w:rsidR="003C63CC" w:rsidRPr="00BE6970" w:rsidRDefault="00E77A1F">
      <w:pPr>
        <w:tabs>
          <w:tab w:val="right" w:pos="8505"/>
        </w:tabs>
        <w:spacing w:after="240" w:line="360" w:lineRule="auto"/>
        <w:jc w:val="both"/>
        <w:rPr>
          <w:rFonts w:ascii="Calibri" w:eastAsia="Calibri" w:hAnsi="Calibri" w:cs="Calibri"/>
        </w:rPr>
      </w:pPr>
      <w:r w:rsidRPr="00BE6970">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BE6970">
        <w:rPr>
          <w:rFonts w:ascii="Palatino Linotype" w:eastAsia="Palatino Linotype" w:hAnsi="Palatino Linotype" w:cs="Palatino Linotype"/>
          <w:b/>
        </w:rPr>
        <w:t>Sujeto Obligado</w:t>
      </w:r>
      <w:r w:rsidRPr="00BE6970">
        <w:rPr>
          <w:rFonts w:ascii="Palatino Linotype" w:eastAsia="Palatino Linotype" w:hAnsi="Palatino Linotype" w:cs="Palatino Linotype"/>
        </w:rPr>
        <w:t>,</w:t>
      </w:r>
      <w:r w:rsidRPr="00BE6970">
        <w:rPr>
          <w:rFonts w:ascii="Calibri" w:eastAsia="Calibri" w:hAnsi="Calibri" w:cs="Calibri"/>
        </w:rPr>
        <w:t xml:space="preserve"> </w:t>
      </w:r>
      <w:r w:rsidRPr="00BE6970">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3C63CC" w:rsidRPr="00BE6970" w:rsidRDefault="00E77A1F">
      <w:pPr>
        <w:spacing w:before="240" w:after="160" w:line="276" w:lineRule="auto"/>
        <w:ind w:left="567" w:right="851"/>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b/>
          <w:i/>
          <w:sz w:val="22"/>
          <w:szCs w:val="22"/>
        </w:rPr>
        <w:t xml:space="preserve">“Artículo 4. </w:t>
      </w:r>
      <w:r w:rsidRPr="00BE6970">
        <w:rPr>
          <w:rFonts w:ascii="Palatino Linotype" w:eastAsia="Palatino Linotype" w:hAnsi="Palatino Linotype" w:cs="Palatino Linotype"/>
          <w:i/>
          <w:sz w:val="22"/>
          <w:szCs w:val="22"/>
        </w:rPr>
        <w:t>Son sujetos de fiscalización:</w:t>
      </w:r>
    </w:p>
    <w:p w:rsidR="003C63CC" w:rsidRPr="00BE6970" w:rsidRDefault="00E77A1F">
      <w:pPr>
        <w:spacing w:after="160" w:line="276" w:lineRule="auto"/>
        <w:ind w:left="567" w:right="851"/>
        <w:jc w:val="both"/>
        <w:rPr>
          <w:rFonts w:ascii="Calibri" w:eastAsia="Calibri" w:hAnsi="Calibri" w:cs="Calibri"/>
          <w:i/>
          <w:sz w:val="22"/>
          <w:szCs w:val="22"/>
        </w:rPr>
      </w:pPr>
      <w:r w:rsidRPr="00BE6970">
        <w:rPr>
          <w:rFonts w:ascii="Palatino Linotype" w:eastAsia="Palatino Linotype" w:hAnsi="Palatino Linotype" w:cs="Palatino Linotype"/>
          <w:i/>
          <w:sz w:val="22"/>
          <w:szCs w:val="22"/>
        </w:rPr>
        <w:t>…</w:t>
      </w:r>
    </w:p>
    <w:p w:rsidR="003C63CC" w:rsidRPr="00BE6970" w:rsidRDefault="00E77A1F">
      <w:pPr>
        <w:numPr>
          <w:ilvl w:val="0"/>
          <w:numId w:val="5"/>
        </w:numPr>
        <w:spacing w:before="240" w:after="160" w:line="276" w:lineRule="auto"/>
        <w:ind w:left="567" w:right="851" w:hanging="141"/>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t>Los municipios del Estado de México…” (Sic)</w:t>
      </w:r>
    </w:p>
    <w:p w:rsidR="003C63CC" w:rsidRPr="00BE6970" w:rsidRDefault="003C63CC">
      <w:pPr>
        <w:spacing w:before="240" w:after="160" w:line="259" w:lineRule="auto"/>
        <w:ind w:left="851" w:right="851"/>
        <w:jc w:val="both"/>
        <w:rPr>
          <w:rFonts w:ascii="Calibri" w:eastAsia="Calibri" w:hAnsi="Calibri" w:cs="Calibri"/>
          <w:b/>
          <w:sz w:val="22"/>
          <w:szCs w:val="22"/>
        </w:rPr>
      </w:pPr>
    </w:p>
    <w:p w:rsidR="003C63CC" w:rsidRPr="00BE6970" w:rsidRDefault="00E77A1F">
      <w:pPr>
        <w:spacing w:after="160" w:line="360" w:lineRule="auto"/>
        <w:ind w:right="49"/>
        <w:jc w:val="both"/>
        <w:rPr>
          <w:rFonts w:ascii="Palatino Linotype" w:eastAsia="Palatino Linotype" w:hAnsi="Palatino Linotype" w:cs="Palatino Linotype"/>
        </w:rPr>
      </w:pPr>
      <w:r w:rsidRPr="00BE6970">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3C63CC" w:rsidRPr="00BE6970" w:rsidRDefault="00E77A1F">
      <w:pPr>
        <w:spacing w:after="160" w:line="259" w:lineRule="auto"/>
        <w:ind w:left="851" w:right="851"/>
        <w:jc w:val="both"/>
        <w:rPr>
          <w:rFonts w:ascii="Calibri" w:eastAsia="Calibri" w:hAnsi="Calibri" w:cs="Calibri"/>
          <w:i/>
          <w:sz w:val="22"/>
          <w:szCs w:val="22"/>
        </w:rPr>
      </w:pPr>
      <w:r w:rsidRPr="00BE6970">
        <w:rPr>
          <w:rFonts w:ascii="Palatino Linotype" w:eastAsia="Palatino Linotype" w:hAnsi="Palatino Linotype" w:cs="Palatino Linotype"/>
          <w:b/>
          <w:i/>
          <w:sz w:val="22"/>
          <w:szCs w:val="22"/>
        </w:rPr>
        <w:t xml:space="preserve">“Artículo 8. </w:t>
      </w:r>
      <w:r w:rsidRPr="00BE6970">
        <w:rPr>
          <w:rFonts w:ascii="Palatino Linotype" w:eastAsia="Palatino Linotype" w:hAnsi="Palatino Linotype" w:cs="Palatino Linotype"/>
          <w:i/>
          <w:sz w:val="22"/>
          <w:szCs w:val="22"/>
        </w:rPr>
        <w:t>El Órgano Superior tendrá las siguientes atribuciones:</w:t>
      </w:r>
    </w:p>
    <w:p w:rsidR="003C63CC" w:rsidRPr="00BE6970" w:rsidRDefault="00E77A1F">
      <w:pPr>
        <w:spacing w:after="160" w:line="259" w:lineRule="auto"/>
        <w:ind w:left="851" w:right="851"/>
        <w:jc w:val="both"/>
        <w:rPr>
          <w:rFonts w:ascii="Palatino Linotype" w:eastAsia="Palatino Linotype" w:hAnsi="Palatino Linotype" w:cs="Palatino Linotype"/>
          <w:i/>
          <w:sz w:val="22"/>
          <w:szCs w:val="22"/>
        </w:rPr>
      </w:pPr>
      <w:r w:rsidRPr="00BE6970">
        <w:rPr>
          <w:rFonts w:ascii="Palatino Linotype" w:eastAsia="Palatino Linotype" w:hAnsi="Palatino Linotype" w:cs="Palatino Linotype"/>
          <w:i/>
          <w:sz w:val="22"/>
          <w:szCs w:val="22"/>
        </w:rPr>
        <w:t>…</w:t>
      </w:r>
    </w:p>
    <w:p w:rsidR="003C63CC" w:rsidRPr="00BE6970" w:rsidRDefault="00E77A1F">
      <w:pPr>
        <w:spacing w:after="160" w:line="259" w:lineRule="auto"/>
        <w:ind w:left="851" w:right="851"/>
        <w:jc w:val="both"/>
        <w:rPr>
          <w:rFonts w:ascii="Palatino Linotype" w:eastAsia="Palatino Linotype" w:hAnsi="Palatino Linotype" w:cs="Palatino Linotype"/>
          <w:b/>
          <w:i/>
          <w:sz w:val="22"/>
          <w:szCs w:val="22"/>
        </w:rPr>
      </w:pPr>
      <w:r w:rsidRPr="00BE6970">
        <w:rPr>
          <w:rFonts w:ascii="Palatino Linotype" w:eastAsia="Palatino Linotype" w:hAnsi="Palatino Linotype" w:cs="Palatino Linotype"/>
          <w:b/>
          <w:i/>
          <w:sz w:val="22"/>
          <w:szCs w:val="22"/>
        </w:rPr>
        <w:t>XI. Establecer los lineamientos</w:t>
      </w:r>
      <w:r w:rsidRPr="00BE6970">
        <w:rPr>
          <w:rFonts w:ascii="Palatino Linotype" w:eastAsia="Palatino Linotype" w:hAnsi="Palatino Linotype" w:cs="Palatino Linotype"/>
          <w:i/>
          <w:sz w:val="22"/>
          <w:szCs w:val="22"/>
        </w:rPr>
        <w:t xml:space="preserve">, criterios, procedimientos, métodos y sistemas </w:t>
      </w:r>
      <w:r w:rsidRPr="00BE6970">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BE6970">
        <w:rPr>
          <w:rFonts w:ascii="Palatino Linotype" w:eastAsia="Palatino Linotype" w:hAnsi="Palatino Linotype" w:cs="Palatino Linotype"/>
          <w:i/>
          <w:sz w:val="22"/>
          <w:szCs w:val="22"/>
        </w:rPr>
        <w:t>…</w:t>
      </w:r>
      <w:r w:rsidRPr="00BE6970">
        <w:rPr>
          <w:rFonts w:ascii="Palatino Linotype" w:eastAsia="Palatino Linotype" w:hAnsi="Palatino Linotype" w:cs="Palatino Linotype"/>
          <w:sz w:val="22"/>
          <w:szCs w:val="22"/>
        </w:rPr>
        <w:t>” (</w:t>
      </w:r>
      <w:r w:rsidRPr="00BE6970">
        <w:rPr>
          <w:rFonts w:ascii="Palatino Linotype" w:eastAsia="Palatino Linotype" w:hAnsi="Palatino Linotype" w:cs="Palatino Linotype"/>
          <w:i/>
          <w:sz w:val="22"/>
          <w:szCs w:val="22"/>
        </w:rPr>
        <w:t>Sic)</w:t>
      </w:r>
    </w:p>
    <w:p w:rsidR="003C63CC" w:rsidRPr="00BE6970" w:rsidRDefault="003C63CC">
      <w:pPr>
        <w:spacing w:after="160" w:line="259" w:lineRule="auto"/>
        <w:ind w:left="851" w:right="851"/>
        <w:jc w:val="both"/>
        <w:rPr>
          <w:rFonts w:ascii="Palatino Linotype" w:eastAsia="Palatino Linotype" w:hAnsi="Palatino Linotype" w:cs="Palatino Linotype"/>
          <w:b/>
          <w:i/>
          <w:sz w:val="22"/>
          <w:szCs w:val="22"/>
        </w:rPr>
      </w:pPr>
    </w:p>
    <w:p w:rsidR="009C2FA2" w:rsidRPr="00BE6970" w:rsidRDefault="009C2FA2" w:rsidP="00801116">
      <w:pPr>
        <w:spacing w:after="160" w:line="360" w:lineRule="auto"/>
        <w:jc w:val="both"/>
        <w:rPr>
          <w:rFonts w:ascii="Palatino Linotype" w:eastAsia="Palatino Linotype" w:hAnsi="Palatino Linotype" w:cs="Palatino Linotype"/>
        </w:rPr>
      </w:pPr>
    </w:p>
    <w:p w:rsidR="009C2FA2" w:rsidRPr="00BE6970" w:rsidRDefault="009C2FA2" w:rsidP="00801116">
      <w:pPr>
        <w:spacing w:after="160" w:line="360" w:lineRule="auto"/>
        <w:jc w:val="both"/>
        <w:rPr>
          <w:rFonts w:ascii="Palatino Linotype" w:hAnsi="Palatino Linotype"/>
        </w:rPr>
      </w:pPr>
      <w:r w:rsidRPr="00BE6970">
        <w:rPr>
          <w:rFonts w:ascii="Palatino Linotype" w:hAnsi="Palatino Linotype"/>
        </w:rPr>
        <w:lastRenderedPageBreak/>
        <w:t>En ese sentido, el Instructivo de dicho curso establece los documentos denominados:</w:t>
      </w:r>
    </w:p>
    <w:p w:rsidR="003C63CC" w:rsidRDefault="00E77A1F">
      <w:pPr>
        <w:spacing w:after="160" w:line="360" w:lineRule="auto"/>
        <w:jc w:val="both"/>
        <w:rPr>
          <w:rFonts w:ascii="Calibri" w:eastAsia="Calibri" w:hAnsi="Calibri" w:cs="Calibri"/>
          <w:sz w:val="22"/>
          <w:szCs w:val="22"/>
        </w:rPr>
      </w:pPr>
      <w:r>
        <w:rPr>
          <w:rFonts w:ascii="Calibri" w:eastAsia="Calibri" w:hAnsi="Calibri" w:cs="Calibri"/>
          <w:noProof/>
          <w:sz w:val="22"/>
          <w:szCs w:val="22"/>
          <w:lang w:eastAsia="es-MX"/>
        </w:rPr>
        <w:drawing>
          <wp:inline distT="0" distB="0" distL="0" distR="0">
            <wp:extent cx="5441950" cy="3568700"/>
            <wp:effectExtent l="0" t="0" r="0" b="0"/>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3986" t="26966" r="3144" b="13259"/>
                    <a:stretch>
                      <a:fillRect/>
                    </a:stretch>
                  </pic:blipFill>
                  <pic:spPr>
                    <a:xfrm>
                      <a:off x="0" y="0"/>
                      <a:ext cx="5441950" cy="3568700"/>
                    </a:xfrm>
                    <a:prstGeom prst="rect">
                      <a:avLst/>
                    </a:prstGeom>
                    <a:ln/>
                  </pic:spPr>
                </pic:pic>
              </a:graphicData>
            </a:graphic>
          </wp:inline>
        </w:drawing>
      </w:r>
      <w:r>
        <w:rPr>
          <w:noProof/>
          <w:lang w:eastAsia="es-MX"/>
        </w:rPr>
        <mc:AlternateContent>
          <mc:Choice Requires="wps">
            <w:drawing>
              <wp:anchor distT="0" distB="0" distL="114300" distR="114300" simplePos="0" relativeHeight="251658240" behindDoc="0" locked="0" layoutInCell="1" hidden="0" allowOverlap="1">
                <wp:simplePos x="0" y="0"/>
                <wp:positionH relativeFrom="column">
                  <wp:posOffset>215900</wp:posOffset>
                </wp:positionH>
                <wp:positionV relativeFrom="paragraph">
                  <wp:posOffset>1676400</wp:posOffset>
                </wp:positionV>
                <wp:extent cx="5200650" cy="400050"/>
                <wp:effectExtent l="0" t="0" r="0" b="0"/>
                <wp:wrapNone/>
                <wp:docPr id="70" name="Rectángulo 70"/>
                <wp:cNvGraphicFramePr/>
                <a:graphic xmlns:a="http://schemas.openxmlformats.org/drawingml/2006/main">
                  <a:graphicData uri="http://schemas.microsoft.com/office/word/2010/wordprocessingShape">
                    <wps:wsp>
                      <wps:cNvSpPr/>
                      <wps:spPr>
                        <a:xfrm>
                          <a:off x="2783775" y="3618075"/>
                          <a:ext cx="5124450" cy="323850"/>
                        </a:xfrm>
                        <a:prstGeom prst="rect">
                          <a:avLst/>
                        </a:prstGeom>
                        <a:noFill/>
                        <a:ln w="38100" cap="flat" cmpd="sng">
                          <a:solidFill>
                            <a:srgbClr val="002060"/>
                          </a:solidFill>
                          <a:prstDash val="solid"/>
                          <a:miter lim="800000"/>
                          <a:headEnd type="none" w="sm" len="sm"/>
                          <a:tailEnd type="none" w="sm" len="sm"/>
                        </a:ln>
                      </wps:spPr>
                      <wps:txbx>
                        <w:txbxContent>
                          <w:p w:rsidR="003F438F" w:rsidRDefault="003F438F">
                            <w:pPr>
                              <w:textDirection w:val="btLr"/>
                            </w:pPr>
                          </w:p>
                        </w:txbxContent>
                      </wps:txbx>
                      <wps:bodyPr spcFirstLastPara="1" wrap="square" lIns="91425" tIns="91425" rIns="91425" bIns="91425" anchor="ctr" anchorCtr="0">
                        <a:noAutofit/>
                      </wps:bodyPr>
                    </wps:wsp>
                  </a:graphicData>
                </a:graphic>
              </wp:anchor>
            </w:drawing>
          </mc:Choice>
          <mc:Fallback>
            <w:pict>
              <v:rect id="Rectángulo 70" o:spid="_x0000_s1026" style="position:absolute;left:0;text-align:left;margin-left:17pt;margin-top:132pt;width:409.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" filled="f" strokecolor="#002060" strokeweight="3pt">
                <v:stroke startarrowwidth="narrow" startarrowlength="short" endarrowwidth="narrow" endarrowlength="short"/>
                <v:textbox inset="2.53958mm,2.53958mm,2.53958mm,2.53958mm">
                  <w:txbxContent>
                    <w:p w:rsidR="003F438F" w:rsidRDefault="003F438F">
                      <w:pPr>
                        <w:textDirection w:val="btLr"/>
                      </w:pPr>
                    </w:p>
                  </w:txbxContent>
                </v:textbox>
              </v:rect>
            </w:pict>
          </mc:Fallback>
        </mc:AlternateContent>
      </w:r>
    </w:p>
    <w:p w:rsidR="003C63CC" w:rsidRDefault="00E77A1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antes referida, se desprende que en el </w:t>
      </w:r>
      <w:proofErr w:type="spellStart"/>
      <w:r>
        <w:rPr>
          <w:rFonts w:ascii="Palatino Linotype" w:eastAsia="Palatino Linotype" w:hAnsi="Palatino Linotype" w:cs="Palatino Linotype"/>
        </w:rPr>
        <w:t>Submódulo</w:t>
      </w:r>
      <w:proofErr w:type="spellEnd"/>
      <w:r>
        <w:rPr>
          <w:rFonts w:ascii="Palatino Linotype" w:eastAsia="Palatino Linotype" w:hAnsi="Palatino Linotype" w:cs="Palatino Linotype"/>
        </w:rPr>
        <w:t xml:space="preserve"> Nómina contiene el documento denominado </w:t>
      </w:r>
      <w:r>
        <w:rPr>
          <w:rFonts w:ascii="Palatino Linotype" w:eastAsia="Palatino Linotype" w:hAnsi="Palatino Linotype" w:cs="Palatino Linotype"/>
          <w:u w:val="single"/>
        </w:rPr>
        <w:t>Conciliación de Nómina Mensual,</w:t>
      </w:r>
      <w:r>
        <w:rPr>
          <w:rFonts w:ascii="Palatino Linotype" w:eastAsia="Palatino Linotype" w:hAnsi="Palatino Linotype" w:cs="Palatino Linotype"/>
        </w:rPr>
        <w:t xml:space="preserve"> el cual sería el documento que colmaría lo referente al </w:t>
      </w:r>
      <w:r>
        <w:rPr>
          <w:rFonts w:ascii="Palatino Linotype" w:eastAsia="Palatino Linotype" w:hAnsi="Palatino Linotype" w:cs="Palatino Linotype"/>
          <w:color w:val="000000"/>
        </w:rPr>
        <w:t>monto de las percepciones mensuales</w:t>
      </w:r>
      <w:r>
        <w:rPr>
          <w:rFonts w:ascii="Palatino Linotype" w:eastAsia="Palatino Linotype" w:hAnsi="Palatino Linotype" w:cs="Palatino Linotype"/>
        </w:rPr>
        <w:t>, toda vez que contiene de manera detallada las percepciones de los servidores públicos como se muestra a continuación:</w:t>
      </w:r>
    </w:p>
    <w:p w:rsidR="003C63CC" w:rsidRDefault="003C63CC">
      <w:pPr>
        <w:spacing w:after="160" w:line="360" w:lineRule="auto"/>
        <w:jc w:val="both"/>
        <w:rPr>
          <w:rFonts w:ascii="Palatino Linotype" w:eastAsia="Palatino Linotype" w:hAnsi="Palatino Linotype" w:cs="Palatino Linotype"/>
          <w:sz w:val="22"/>
          <w:szCs w:val="22"/>
        </w:rPr>
      </w:pPr>
    </w:p>
    <w:p w:rsidR="003C63CC" w:rsidRDefault="00E77A1F">
      <w:pPr>
        <w:spacing w:after="160" w:line="360" w:lineRule="auto"/>
        <w:jc w:val="center"/>
        <w:rPr>
          <w:rFonts w:ascii="Calibri" w:eastAsia="Calibri" w:hAnsi="Calibri" w:cs="Calibri"/>
          <w:sz w:val="22"/>
          <w:szCs w:val="22"/>
        </w:rPr>
      </w:pPr>
      <w:r>
        <w:rPr>
          <w:rFonts w:ascii="Calibri" w:eastAsia="Calibri" w:hAnsi="Calibri" w:cs="Calibri"/>
          <w:sz w:val="22"/>
          <w:szCs w:val="22"/>
        </w:rPr>
        <w:lastRenderedPageBreak/>
        <w:t xml:space="preserve"> </w:t>
      </w:r>
      <w:r>
        <w:rPr>
          <w:rFonts w:ascii="Calibri" w:eastAsia="Calibri" w:hAnsi="Calibri" w:cs="Calibri"/>
          <w:noProof/>
          <w:sz w:val="22"/>
          <w:szCs w:val="22"/>
          <w:lang w:eastAsia="es-MX"/>
        </w:rPr>
        <w:drawing>
          <wp:inline distT="0" distB="0" distL="0" distR="0">
            <wp:extent cx="5536718" cy="2554090"/>
            <wp:effectExtent l="0" t="0" r="0" b="0"/>
            <wp:docPr id="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2016" t="21238" r="22858" b="33554"/>
                    <a:stretch>
                      <a:fillRect/>
                    </a:stretch>
                  </pic:blipFill>
                  <pic:spPr>
                    <a:xfrm>
                      <a:off x="0" y="0"/>
                      <a:ext cx="5536718" cy="2554090"/>
                    </a:xfrm>
                    <a:prstGeom prst="rect">
                      <a:avLst/>
                    </a:prstGeom>
                    <a:ln/>
                  </pic:spPr>
                </pic:pic>
              </a:graphicData>
            </a:graphic>
          </wp:inline>
        </w:drawing>
      </w:r>
    </w:p>
    <w:p w:rsidR="003C63CC" w:rsidRDefault="003C63CC">
      <w:pPr>
        <w:spacing w:after="160" w:line="360" w:lineRule="auto"/>
        <w:jc w:val="center"/>
        <w:rPr>
          <w:rFonts w:ascii="Calibri" w:eastAsia="Calibri" w:hAnsi="Calibri" w:cs="Calibri"/>
          <w:sz w:val="22"/>
          <w:szCs w:val="22"/>
        </w:rPr>
      </w:pPr>
    </w:p>
    <w:p w:rsidR="003C63CC" w:rsidRDefault="00E77A1F">
      <w:pPr>
        <w:spacing w:after="160" w:line="360" w:lineRule="auto"/>
        <w:jc w:val="center"/>
        <w:rPr>
          <w:rFonts w:ascii="Palatino Linotype" w:eastAsia="Palatino Linotype" w:hAnsi="Palatino Linotype" w:cs="Palatino Linotype"/>
          <w:sz w:val="22"/>
          <w:szCs w:val="22"/>
        </w:rPr>
      </w:pPr>
      <w:r>
        <w:rPr>
          <w:rFonts w:ascii="Calibri" w:eastAsia="Calibri" w:hAnsi="Calibri" w:cs="Calibri"/>
          <w:noProof/>
          <w:sz w:val="22"/>
          <w:szCs w:val="22"/>
          <w:lang w:eastAsia="es-MX"/>
        </w:rPr>
        <w:lastRenderedPageBreak/>
        <w:drawing>
          <wp:inline distT="0" distB="0" distL="0" distR="0">
            <wp:extent cx="5358860" cy="6902937"/>
            <wp:effectExtent l="0" t="0" r="0" b="0"/>
            <wp:docPr id="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34816" t="24272" r="34975" b="6553"/>
                    <a:stretch>
                      <a:fillRect/>
                    </a:stretch>
                  </pic:blipFill>
                  <pic:spPr>
                    <a:xfrm>
                      <a:off x="0" y="0"/>
                      <a:ext cx="5358860" cy="6902937"/>
                    </a:xfrm>
                    <a:prstGeom prst="rect">
                      <a:avLst/>
                    </a:prstGeom>
                    <a:ln/>
                  </pic:spPr>
                </pic:pic>
              </a:graphicData>
            </a:graphic>
          </wp:inline>
        </w:drawing>
      </w:r>
      <w:r>
        <w:rPr>
          <w:noProof/>
          <w:lang w:eastAsia="es-MX"/>
        </w:rPr>
        <mc:AlternateContent>
          <mc:Choice Requires="wps">
            <w:drawing>
              <wp:anchor distT="0" distB="0" distL="114300" distR="114300" simplePos="0" relativeHeight="251659264" behindDoc="0" locked="0" layoutInCell="1" hidden="0" allowOverlap="1">
                <wp:simplePos x="0" y="0"/>
                <wp:positionH relativeFrom="column">
                  <wp:posOffset>127000</wp:posOffset>
                </wp:positionH>
                <wp:positionV relativeFrom="paragraph">
                  <wp:posOffset>5880100</wp:posOffset>
                </wp:positionV>
                <wp:extent cx="5095875" cy="885825"/>
                <wp:effectExtent l="0" t="0" r="0" b="0"/>
                <wp:wrapNone/>
                <wp:docPr id="72" name="Rectángulo 72"/>
                <wp:cNvGraphicFramePr/>
                <a:graphic xmlns:a="http://schemas.openxmlformats.org/drawingml/2006/main">
                  <a:graphicData uri="http://schemas.microsoft.com/office/word/2010/wordprocessingShape">
                    <wps:wsp>
                      <wps:cNvSpPr/>
                      <wps:spPr>
                        <a:xfrm>
                          <a:off x="2817113" y="3356138"/>
                          <a:ext cx="5057775" cy="847725"/>
                        </a:xfrm>
                        <a:prstGeom prst="rect">
                          <a:avLst/>
                        </a:prstGeom>
                        <a:noFill/>
                        <a:ln w="38100" cap="flat" cmpd="sng">
                          <a:solidFill>
                            <a:srgbClr val="002060"/>
                          </a:solidFill>
                          <a:prstDash val="solid"/>
                          <a:miter lim="800000"/>
                          <a:headEnd type="none" w="sm" len="sm"/>
                          <a:tailEnd type="none" w="sm" len="sm"/>
                        </a:ln>
                      </wps:spPr>
                      <wps:txbx>
                        <w:txbxContent>
                          <w:p w:rsidR="003F438F" w:rsidRDefault="003F438F">
                            <w:pPr>
                              <w:textDirection w:val="btLr"/>
                            </w:pPr>
                          </w:p>
                        </w:txbxContent>
                      </wps:txbx>
                      <wps:bodyPr spcFirstLastPara="1" wrap="square" lIns="91425" tIns="91425" rIns="91425" bIns="91425" anchor="ctr" anchorCtr="0">
                        <a:noAutofit/>
                      </wps:bodyPr>
                    </wps:wsp>
                  </a:graphicData>
                </a:graphic>
              </wp:anchor>
            </w:drawing>
          </mc:Choice>
          <mc:Fallback>
            <w:pict>
              <v:rect id="Rectángulo 72" o:spid="_x0000_s1027" style="position:absolute;left:0;text-align:left;margin-left:10pt;margin-top:463pt;width:401.25pt;height:6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" filled="f" strokecolor="#002060" strokeweight="3pt">
                <v:stroke startarrowwidth="narrow" startarrowlength="short" endarrowwidth="narrow" endarrowlength="short"/>
                <v:textbox inset="2.53958mm,2.53958mm,2.53958mm,2.53958mm">
                  <w:txbxContent>
                    <w:p w:rsidR="003F438F" w:rsidRDefault="003F438F">
                      <w:pPr>
                        <w:textDirection w:val="btLr"/>
                      </w:pPr>
                    </w:p>
                  </w:txbxContent>
                </v:textbox>
              </v:rect>
            </w:pict>
          </mc:Fallback>
        </mc:AlternateContent>
      </w:r>
    </w:p>
    <w:p w:rsidR="003C63CC" w:rsidRDefault="00E77A1F">
      <w:pPr>
        <w:spacing w:after="160" w:line="360" w:lineRule="auto"/>
        <w:jc w:val="center"/>
        <w:rPr>
          <w:rFonts w:ascii="Palatino Linotype" w:eastAsia="Palatino Linotype" w:hAnsi="Palatino Linotype" w:cs="Palatino Linotype"/>
          <w:sz w:val="22"/>
          <w:szCs w:val="22"/>
        </w:rPr>
      </w:pPr>
      <w:r>
        <w:rPr>
          <w:rFonts w:ascii="Calibri" w:eastAsia="Calibri" w:hAnsi="Calibri" w:cs="Calibri"/>
          <w:noProof/>
          <w:sz w:val="22"/>
          <w:szCs w:val="22"/>
          <w:lang w:eastAsia="es-MX"/>
        </w:rPr>
        <w:lastRenderedPageBreak/>
        <w:drawing>
          <wp:inline distT="0" distB="0" distL="0" distR="0">
            <wp:extent cx="4303809" cy="3578166"/>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34816" t="38531" r="35829" b="18080"/>
                    <a:stretch>
                      <a:fillRect/>
                    </a:stretch>
                  </pic:blipFill>
                  <pic:spPr>
                    <a:xfrm>
                      <a:off x="0" y="0"/>
                      <a:ext cx="4303809" cy="3578166"/>
                    </a:xfrm>
                    <a:prstGeom prst="rect">
                      <a:avLst/>
                    </a:prstGeom>
                    <a:ln/>
                  </pic:spPr>
                </pic:pic>
              </a:graphicData>
            </a:graphic>
          </wp:inline>
        </w:drawing>
      </w:r>
      <w:r>
        <w:rPr>
          <w:noProof/>
          <w:lang w:eastAsia="es-MX"/>
        </w:rPr>
        <mc:AlternateContent>
          <mc:Choice Requires="wps">
            <w:drawing>
              <wp:anchor distT="0" distB="0" distL="114300" distR="114300" simplePos="0" relativeHeight="251660288" behindDoc="0" locked="0" layoutInCell="1" hidden="0" allowOverlap="1">
                <wp:simplePos x="0" y="0"/>
                <wp:positionH relativeFrom="column">
                  <wp:posOffset>647700</wp:posOffset>
                </wp:positionH>
                <wp:positionV relativeFrom="paragraph">
                  <wp:posOffset>-12699</wp:posOffset>
                </wp:positionV>
                <wp:extent cx="4200525" cy="628650"/>
                <wp:effectExtent l="0" t="0" r="0" b="0"/>
                <wp:wrapNone/>
                <wp:docPr id="69" name="Rectángulo 69"/>
                <wp:cNvGraphicFramePr/>
                <a:graphic xmlns:a="http://schemas.openxmlformats.org/drawingml/2006/main">
                  <a:graphicData uri="http://schemas.microsoft.com/office/word/2010/wordprocessingShape">
                    <wps:wsp>
                      <wps:cNvSpPr/>
                      <wps:spPr>
                        <a:xfrm>
                          <a:off x="3260025" y="3479963"/>
                          <a:ext cx="4171950" cy="600075"/>
                        </a:xfrm>
                        <a:prstGeom prst="rect">
                          <a:avLst/>
                        </a:prstGeom>
                        <a:noFill/>
                        <a:ln w="28575" cap="flat" cmpd="sng">
                          <a:solidFill>
                            <a:srgbClr val="002060"/>
                          </a:solidFill>
                          <a:prstDash val="solid"/>
                          <a:miter lim="800000"/>
                          <a:headEnd type="none" w="sm" len="sm"/>
                          <a:tailEnd type="none" w="sm" len="sm"/>
                        </a:ln>
                      </wps:spPr>
                      <wps:txbx>
                        <w:txbxContent>
                          <w:p w:rsidR="003F438F" w:rsidRDefault="003F438F">
                            <w:pPr>
                              <w:textDirection w:val="btLr"/>
                            </w:pPr>
                          </w:p>
                        </w:txbxContent>
                      </wps:txbx>
                      <wps:bodyPr spcFirstLastPara="1" wrap="square" lIns="91425" tIns="91425" rIns="91425" bIns="91425" anchor="ctr" anchorCtr="0">
                        <a:noAutofit/>
                      </wps:bodyPr>
                    </wps:wsp>
                  </a:graphicData>
                </a:graphic>
              </wp:anchor>
            </w:drawing>
          </mc:Choice>
          <mc:Fallback>
            <w:pict>
              <v:rect id="Rectángulo 69" o:spid="_x0000_s1028" style="position:absolute;left:0;text-align:left;margin-left:51pt;margin-top:-1pt;width:330.7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" filled="f" strokecolor="#002060" strokeweight="2.25pt">
                <v:stroke startarrowwidth="narrow" startarrowlength="short" endarrowwidth="narrow" endarrowlength="short"/>
                <v:textbox inset="2.53958mm,2.53958mm,2.53958mm,2.53958mm">
                  <w:txbxContent>
                    <w:p w:rsidR="003F438F" w:rsidRDefault="003F438F">
                      <w:pPr>
                        <w:textDirection w:val="btLr"/>
                      </w:pPr>
                    </w:p>
                  </w:txbxContent>
                </v:textbox>
              </v:rect>
            </w:pict>
          </mc:Fallback>
        </mc:AlternateContent>
      </w:r>
    </w:p>
    <w:p w:rsidR="00801116" w:rsidRDefault="00E77A1F">
      <w:pPr>
        <w:spacing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acuerdo a lo anterior, se observa que dicho documento, contiene el desglose de deducciones, y percepciones en las remuneraciones de los servidores públicos referidos en la solicitud del particular.</w:t>
      </w:r>
    </w:p>
    <w:p w:rsidR="00F665A4" w:rsidRDefault="00F665A4">
      <w:pPr>
        <w:spacing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lastRenderedPageBreak/>
        <w:drawing>
          <wp:inline distT="0" distB="0" distL="0" distR="0">
            <wp:extent cx="5000625" cy="4772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4772025"/>
                    </a:xfrm>
                    <a:prstGeom prst="rect">
                      <a:avLst/>
                    </a:prstGeom>
                    <a:noFill/>
                    <a:ln>
                      <a:noFill/>
                    </a:ln>
                  </pic:spPr>
                </pic:pic>
              </a:graphicData>
            </a:graphic>
          </wp:inline>
        </w:drawing>
      </w:r>
    </w:p>
    <w:p w:rsidR="00F665A4" w:rsidRDefault="00F665A4">
      <w:pPr>
        <w:spacing w:line="360" w:lineRule="auto"/>
        <w:ind w:right="-9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186690</wp:posOffset>
                </wp:positionH>
                <wp:positionV relativeFrom="paragraph">
                  <wp:posOffset>3277235</wp:posOffset>
                </wp:positionV>
                <wp:extent cx="4772025" cy="29813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772025" cy="298132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3293C" id="Rectángulo 3" o:spid="_x0000_s1026" style="position:absolute;margin-left:14.7pt;margin-top:258.05pt;width:375.75pt;height:23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" filled="f" strokecolor="#002060" strokeweight="3pt"/>
            </w:pict>
          </mc:Fallback>
        </mc:AlternateContent>
      </w:r>
      <w:r>
        <w:rPr>
          <w:rFonts w:ascii="Palatino Linotype" w:eastAsia="Palatino Linotype" w:hAnsi="Palatino Linotype" w:cs="Palatino Linotype"/>
          <w:noProof/>
          <w:color w:val="000000"/>
          <w:lang w:eastAsia="es-MX"/>
        </w:rPr>
        <w:drawing>
          <wp:inline distT="0" distB="0" distL="0" distR="0">
            <wp:extent cx="5400675" cy="6781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6781800"/>
                    </a:xfrm>
                    <a:prstGeom prst="rect">
                      <a:avLst/>
                    </a:prstGeom>
                    <a:noFill/>
                    <a:ln>
                      <a:noFill/>
                    </a:ln>
                  </pic:spPr>
                </pic:pic>
              </a:graphicData>
            </a:graphic>
          </wp:inline>
        </w:drawing>
      </w:r>
    </w:p>
    <w:p w:rsidR="00801116" w:rsidRDefault="00801116">
      <w:pPr>
        <w:spacing w:line="360" w:lineRule="auto"/>
        <w:ind w:right="-91"/>
        <w:jc w:val="both"/>
        <w:rPr>
          <w:rFonts w:ascii="Palatino Linotype" w:eastAsia="Palatino Linotype" w:hAnsi="Palatino Linotype" w:cs="Palatino Linotype"/>
          <w:color w:val="000000"/>
        </w:rPr>
      </w:pPr>
    </w:p>
    <w:p w:rsidR="009C2FA2" w:rsidRDefault="009C2FA2" w:rsidP="00801116">
      <w:pPr>
        <w:spacing w:line="360" w:lineRule="auto"/>
        <w:ind w:right="-91"/>
        <w:jc w:val="both"/>
        <w:rPr>
          <w:rFonts w:ascii="Palatino Linotype" w:eastAsia="Palatino Linotype" w:hAnsi="Palatino Linotype" w:cs="Palatino Linotype"/>
          <w:color w:val="000000"/>
        </w:rPr>
      </w:pPr>
    </w:p>
    <w:p w:rsidR="003C63CC" w:rsidRPr="00F665A4" w:rsidRDefault="009C2FA2" w:rsidP="00F665A4">
      <w:pPr>
        <w:spacing w:after="160" w:line="360" w:lineRule="auto"/>
        <w:jc w:val="both"/>
        <w:rPr>
          <w:rFonts w:ascii="Palatino Linotype" w:eastAsia="Palatino Linotype" w:hAnsi="Palatino Linotype" w:cs="Palatino Linotype"/>
        </w:rPr>
      </w:pPr>
      <w:r w:rsidRPr="00BE6970">
        <w:rPr>
          <w:rFonts w:ascii="Palatino Linotype" w:hAnsi="Palatino Linotype"/>
        </w:rPr>
        <w:lastRenderedPageBreak/>
        <w:t xml:space="preserve">Como puede observarse, </w:t>
      </w:r>
      <w:r w:rsidR="00F665A4" w:rsidRPr="00BE6970">
        <w:rPr>
          <w:rFonts w:ascii="Palatino Linotype" w:hAnsi="Palatino Linotype"/>
        </w:rPr>
        <w:t xml:space="preserve">los documentos señalados de </w:t>
      </w:r>
      <w:r w:rsidRPr="00BE6970">
        <w:rPr>
          <w:rFonts w:ascii="Palatino Linotype" w:hAnsi="Palatino Linotype"/>
        </w:rPr>
        <w:t>manera enunciativa, más no limitativa, considera</w:t>
      </w:r>
      <w:r w:rsidR="00F665A4" w:rsidRPr="00BE6970">
        <w:rPr>
          <w:rFonts w:ascii="Palatino Linotype" w:hAnsi="Palatino Linotype"/>
        </w:rPr>
        <w:t>n</w:t>
      </w:r>
      <w:r w:rsidRPr="00BE6970">
        <w:rPr>
          <w:rFonts w:ascii="Palatino Linotype" w:hAnsi="Palatino Linotype"/>
        </w:rPr>
        <w:t xml:space="preserve"> la información correspondiente a las percepciones ordinarias, percepciones extraordinarias, total de percepciones brutas, deducciones, total de deducciones, total neto, entre otras, pues éstos deben remitirse al Órgano Superior de Fis</w:t>
      </w:r>
      <w:r w:rsidR="00F665A4" w:rsidRPr="00BE6970">
        <w:rPr>
          <w:rFonts w:ascii="Palatino Linotype" w:hAnsi="Palatino Linotype"/>
        </w:rPr>
        <w:t xml:space="preserve">calización del Estado de México, por lo que para satisfacer este punto, deberán entregarse los documentos que se encuentren vigentes a la fecha de </w:t>
      </w:r>
      <w:r w:rsidR="00A35D0F" w:rsidRPr="00BE6970">
        <w:rPr>
          <w:rFonts w:ascii="Palatino Linotype" w:hAnsi="Palatino Linotype"/>
        </w:rPr>
        <w:t>presentación de la solicitud y que sean correspondientes a los servidores públicos de los que se solicita información, de la actual administración.</w:t>
      </w:r>
    </w:p>
    <w:p w:rsidR="003C63CC" w:rsidRDefault="00E77A1F">
      <w:pPr>
        <w:spacing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2.- Copia del talón de pago o recibo de pago al presidente o presidenta municipal.</w:t>
      </w:r>
    </w:p>
    <w:p w:rsidR="003C63CC" w:rsidRDefault="003C63CC">
      <w:pPr>
        <w:spacing w:line="360" w:lineRule="auto"/>
        <w:ind w:right="49"/>
        <w:jc w:val="both"/>
        <w:rPr>
          <w:rFonts w:ascii="Palatino Linotype" w:eastAsia="Palatino Linotype" w:hAnsi="Palatino Linotype" w:cs="Palatino Linotype"/>
        </w:rPr>
      </w:pPr>
    </w:p>
    <w:p w:rsidR="003C63CC" w:rsidRDefault="00E77A1F" w:rsidP="00801116">
      <w:pPr>
        <w:spacing w:line="360" w:lineRule="auto"/>
        <w:ind w:right="-91"/>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No pasa desapercibido para este organismo garante que de igual forma el particular, requiere </w:t>
      </w:r>
      <w:r>
        <w:rPr>
          <w:rFonts w:ascii="Palatino Linotype" w:eastAsia="Palatino Linotype" w:hAnsi="Palatino Linotype" w:cs="Palatino Linotype"/>
          <w:color w:val="000000"/>
        </w:rPr>
        <w:t xml:space="preserve">el talón de pago o </w:t>
      </w:r>
      <w:r>
        <w:rPr>
          <w:rFonts w:ascii="Palatino Linotype" w:eastAsia="Palatino Linotype" w:hAnsi="Palatino Linotype" w:cs="Palatino Linotype"/>
          <w:color w:val="000000"/>
          <w:u w:val="single"/>
        </w:rPr>
        <w:t>recibo de pago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del Presidente Municipal, mismo que también se encuentran en el Módulo 4, ya que corresponde a los comprobantes fiscales digitales por internet por concepto de nómina.</w:t>
      </w:r>
    </w:p>
    <w:p w:rsidR="003C63CC" w:rsidRDefault="003C63CC">
      <w:pPr>
        <w:spacing w:after="160" w:line="360" w:lineRule="auto"/>
        <w:jc w:val="both"/>
        <w:rPr>
          <w:rFonts w:ascii="Calibri" w:eastAsia="Calibri" w:hAnsi="Calibri" w:cs="Calibri"/>
          <w:sz w:val="22"/>
          <w:szCs w:val="22"/>
        </w:rPr>
      </w:pPr>
    </w:p>
    <w:p w:rsidR="003C63CC" w:rsidRDefault="00E77A1F">
      <w:pPr>
        <w:spacing w:after="160" w:line="360" w:lineRule="auto"/>
        <w:jc w:val="both"/>
        <w:rPr>
          <w:rFonts w:ascii="Calibri" w:eastAsia="Calibri" w:hAnsi="Calibri" w:cs="Calibri"/>
          <w:sz w:val="22"/>
          <w:szCs w:val="22"/>
        </w:rPr>
      </w:pPr>
      <w:r>
        <w:rPr>
          <w:rFonts w:ascii="Calibri" w:eastAsia="Calibri" w:hAnsi="Calibri" w:cs="Calibri"/>
          <w:noProof/>
          <w:sz w:val="22"/>
          <w:szCs w:val="22"/>
          <w:lang w:eastAsia="es-MX"/>
        </w:rPr>
        <w:lastRenderedPageBreak/>
        <w:drawing>
          <wp:inline distT="0" distB="0" distL="0" distR="0">
            <wp:extent cx="5020357" cy="3315150"/>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32361" t="20325" r="3937" b="4205"/>
                    <a:stretch>
                      <a:fillRect/>
                    </a:stretch>
                  </pic:blipFill>
                  <pic:spPr>
                    <a:xfrm>
                      <a:off x="0" y="0"/>
                      <a:ext cx="5020357" cy="3315150"/>
                    </a:xfrm>
                    <a:prstGeom prst="rect">
                      <a:avLst/>
                    </a:prstGeom>
                    <a:ln/>
                  </pic:spPr>
                </pic:pic>
              </a:graphicData>
            </a:graphic>
          </wp:inline>
        </w:drawing>
      </w:r>
      <w:r>
        <w:rPr>
          <w:noProof/>
          <w:lang w:eastAsia="es-MX"/>
        </w:rPr>
        <mc:AlternateContent>
          <mc:Choice Requires="wps">
            <w:drawing>
              <wp:anchor distT="0" distB="0" distL="114300" distR="114300" simplePos="0" relativeHeight="251661312" behindDoc="0" locked="0" layoutInCell="1" hidden="0" allowOverlap="1">
                <wp:simplePos x="0" y="0"/>
                <wp:positionH relativeFrom="column">
                  <wp:posOffset>1816100</wp:posOffset>
                </wp:positionH>
                <wp:positionV relativeFrom="paragraph">
                  <wp:posOffset>1422400</wp:posOffset>
                </wp:positionV>
                <wp:extent cx="942975" cy="552450"/>
                <wp:effectExtent l="0" t="0" r="0" b="0"/>
                <wp:wrapNone/>
                <wp:docPr id="71" name="Rectángulo 71"/>
                <wp:cNvGraphicFramePr/>
                <a:graphic xmlns:a="http://schemas.openxmlformats.org/drawingml/2006/main">
                  <a:graphicData uri="http://schemas.microsoft.com/office/word/2010/wordprocessingShape">
                    <wps:wsp>
                      <wps:cNvSpPr/>
                      <wps:spPr>
                        <a:xfrm>
                          <a:off x="4912613" y="3541875"/>
                          <a:ext cx="866775" cy="476250"/>
                        </a:xfrm>
                        <a:prstGeom prst="rect">
                          <a:avLst/>
                        </a:prstGeom>
                        <a:noFill/>
                        <a:ln w="38100" cap="flat" cmpd="sng">
                          <a:solidFill>
                            <a:srgbClr val="FF0000"/>
                          </a:solidFill>
                          <a:prstDash val="solid"/>
                          <a:miter lim="800000"/>
                          <a:headEnd type="none" w="sm" len="sm"/>
                          <a:tailEnd type="none" w="sm" len="sm"/>
                        </a:ln>
                      </wps:spPr>
                      <wps:txbx>
                        <w:txbxContent>
                          <w:p w:rsidR="003F438F" w:rsidRDefault="003F438F">
                            <w:pPr>
                              <w:textDirection w:val="btLr"/>
                            </w:pPr>
                          </w:p>
                        </w:txbxContent>
                      </wps:txbx>
                      <wps:bodyPr spcFirstLastPara="1" wrap="square" lIns="91425" tIns="91425" rIns="91425" bIns="91425" anchor="ctr" anchorCtr="0">
                        <a:noAutofit/>
                      </wps:bodyPr>
                    </wps:wsp>
                  </a:graphicData>
                </a:graphic>
              </wp:anchor>
            </w:drawing>
          </mc:Choice>
          <mc:Fallback>
            <w:pict>
              <v:rect id="Rectángulo 71" o:spid="_x0000_s1029" style="position:absolute;left:0;text-align:left;margin-left:143pt;margin-top:112pt;width:74.25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" filled="f" strokecolor="red" strokeweight="3pt">
                <v:stroke startarrowwidth="narrow" startarrowlength="short" endarrowwidth="narrow" endarrowlength="short"/>
                <v:textbox inset="2.53958mm,2.53958mm,2.53958mm,2.53958mm">
                  <w:txbxContent>
                    <w:p w:rsidR="003F438F" w:rsidRDefault="003F438F">
                      <w:pPr>
                        <w:textDirection w:val="btLr"/>
                      </w:pPr>
                    </w:p>
                  </w:txbxContent>
                </v:textbox>
              </v:rect>
            </w:pict>
          </mc:Fallback>
        </mc:AlternateContent>
      </w:r>
    </w:p>
    <w:p w:rsidR="003C63CC" w:rsidRDefault="003C63CC">
      <w:pPr>
        <w:spacing w:after="160" w:line="360" w:lineRule="auto"/>
        <w:jc w:val="both"/>
        <w:rPr>
          <w:rFonts w:ascii="Calibri" w:eastAsia="Calibri" w:hAnsi="Calibri" w:cs="Calibri"/>
          <w:sz w:val="22"/>
          <w:szCs w:val="22"/>
        </w:rPr>
      </w:pPr>
    </w:p>
    <w:p w:rsidR="003C63CC" w:rsidRDefault="003C63CC">
      <w:pPr>
        <w:spacing w:after="160" w:line="360" w:lineRule="auto"/>
        <w:jc w:val="both"/>
        <w:rPr>
          <w:rFonts w:ascii="Calibri" w:eastAsia="Calibri" w:hAnsi="Calibri" w:cs="Calibri"/>
          <w:sz w:val="22"/>
          <w:szCs w:val="22"/>
        </w:rPr>
      </w:pPr>
    </w:p>
    <w:p w:rsidR="003C63CC" w:rsidRDefault="00E77A1F">
      <w:pPr>
        <w:spacing w:after="160" w:line="360" w:lineRule="auto"/>
        <w:jc w:val="both"/>
        <w:rPr>
          <w:rFonts w:ascii="Calibri" w:eastAsia="Calibri" w:hAnsi="Calibri" w:cs="Calibri"/>
          <w:sz w:val="22"/>
          <w:szCs w:val="22"/>
        </w:rPr>
      </w:pPr>
      <w:r>
        <w:rPr>
          <w:rFonts w:ascii="Calibri" w:eastAsia="Calibri" w:hAnsi="Calibri" w:cs="Calibri"/>
          <w:noProof/>
          <w:sz w:val="22"/>
          <w:szCs w:val="22"/>
          <w:lang w:eastAsia="es-MX"/>
        </w:rPr>
        <w:drawing>
          <wp:inline distT="0" distB="0" distL="0" distR="0">
            <wp:extent cx="5191125" cy="2914650"/>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36206" t="14489" r="18081"/>
                    <a:stretch>
                      <a:fillRect/>
                    </a:stretch>
                  </pic:blipFill>
                  <pic:spPr>
                    <a:xfrm>
                      <a:off x="0" y="0"/>
                      <a:ext cx="5191125" cy="2914650"/>
                    </a:xfrm>
                    <a:prstGeom prst="rect">
                      <a:avLst/>
                    </a:prstGeom>
                    <a:ln/>
                  </pic:spPr>
                </pic:pic>
              </a:graphicData>
            </a:graphic>
          </wp:inline>
        </w:drawing>
      </w:r>
    </w:p>
    <w:p w:rsidR="003C63CC" w:rsidRDefault="00E77A1F">
      <w:pPr>
        <w:spacing w:after="160" w:line="360" w:lineRule="auto"/>
        <w:jc w:val="both"/>
        <w:rPr>
          <w:rFonts w:ascii="Calibri" w:eastAsia="Calibri" w:hAnsi="Calibri" w:cs="Calibri"/>
          <w:sz w:val="22"/>
          <w:szCs w:val="22"/>
        </w:rPr>
      </w:pPr>
      <w:r>
        <w:rPr>
          <w:rFonts w:ascii="Calibri" w:eastAsia="Calibri" w:hAnsi="Calibri" w:cs="Calibri"/>
          <w:noProof/>
          <w:sz w:val="22"/>
          <w:szCs w:val="22"/>
          <w:lang w:eastAsia="es-MX"/>
        </w:rPr>
        <w:lastRenderedPageBreak/>
        <w:drawing>
          <wp:inline distT="0" distB="0" distL="0" distR="0">
            <wp:extent cx="5435600" cy="4070350"/>
            <wp:effectExtent l="0" t="0" r="0" b="0"/>
            <wp:docPr id="8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37792" t="16704" r="16949" b="2191"/>
                    <a:stretch>
                      <a:fillRect/>
                    </a:stretch>
                  </pic:blipFill>
                  <pic:spPr>
                    <a:xfrm>
                      <a:off x="0" y="0"/>
                      <a:ext cx="5435600" cy="4070350"/>
                    </a:xfrm>
                    <a:prstGeom prst="rect">
                      <a:avLst/>
                    </a:prstGeom>
                    <a:ln/>
                  </pic:spPr>
                </pic:pic>
              </a:graphicData>
            </a:graphic>
          </wp:inline>
        </w:drawing>
      </w:r>
    </w:p>
    <w:p w:rsidR="003C63CC" w:rsidRDefault="00E77A1F">
      <w:pPr>
        <w:spacing w:after="160" w:line="360" w:lineRule="auto"/>
        <w:jc w:val="both"/>
        <w:rPr>
          <w:rFonts w:ascii="Calibri" w:eastAsia="Calibri" w:hAnsi="Calibri" w:cs="Calibri"/>
          <w:sz w:val="22"/>
          <w:szCs w:val="22"/>
        </w:rPr>
      </w:pPr>
      <w:r>
        <w:rPr>
          <w:rFonts w:ascii="Calibri" w:eastAsia="Calibri" w:hAnsi="Calibri" w:cs="Calibri"/>
          <w:noProof/>
          <w:sz w:val="22"/>
          <w:szCs w:val="22"/>
          <w:lang w:eastAsia="es-MX"/>
        </w:rPr>
        <w:drawing>
          <wp:inline distT="0" distB="0" distL="0" distR="0">
            <wp:extent cx="5435600" cy="3073400"/>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43222" t="23949" r="22605" b="9436"/>
                    <a:stretch>
                      <a:fillRect/>
                    </a:stretch>
                  </pic:blipFill>
                  <pic:spPr>
                    <a:xfrm>
                      <a:off x="0" y="0"/>
                      <a:ext cx="5435600" cy="3073400"/>
                    </a:xfrm>
                    <a:prstGeom prst="rect">
                      <a:avLst/>
                    </a:prstGeom>
                    <a:ln/>
                  </pic:spPr>
                </pic:pic>
              </a:graphicData>
            </a:graphic>
          </wp:inline>
        </w:drawing>
      </w: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la nómina y  los recibos de pago o de nómina, es el documento que de manera enunciativa mas no limitativa contiene los salarios de todos los funcionarios de la administración pública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que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3C63CC" w:rsidRDefault="003C63CC">
      <w:pPr>
        <w:spacing w:line="360" w:lineRule="auto"/>
        <w:ind w:right="51"/>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3C63CC" w:rsidRDefault="003C63CC">
      <w:pPr>
        <w:spacing w:after="160" w:line="360" w:lineRule="auto"/>
        <w:jc w:val="both"/>
        <w:rPr>
          <w:rFonts w:ascii="Palatino Linotype" w:eastAsia="Palatino Linotype" w:hAnsi="Palatino Linotype" w:cs="Palatino Linotype"/>
          <w:sz w:val="22"/>
          <w:szCs w:val="22"/>
        </w:rPr>
      </w:pPr>
    </w:p>
    <w:p w:rsidR="003C63CC" w:rsidRDefault="00E77A1F">
      <w:pPr>
        <w:spacing w:after="160" w:line="259" w:lineRule="auto"/>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lastRenderedPageBreak/>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3C63CC" w:rsidRDefault="00E77A1F">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3C63CC" w:rsidRDefault="00E77A1F">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after="160" w:line="259"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3C63CC" w:rsidRDefault="00E77A1F">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after="160" w:line="259"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C63CC" w:rsidRDefault="00E77A1F">
      <w:pPr>
        <w:spacing w:after="160" w:line="259"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3C63CC" w:rsidRDefault="00E77A1F">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3C63CC" w:rsidRDefault="00E77A1F">
      <w:pPr>
        <w:spacing w:after="160" w:line="276" w:lineRule="auto"/>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3C63CC" w:rsidRDefault="00E77A1F">
      <w:pPr>
        <w:spacing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3C63CC" w:rsidRDefault="00E77A1F">
      <w:pPr>
        <w:spacing w:after="160" w:line="276" w:lineRule="auto"/>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3C63CC" w:rsidRDefault="003C63CC">
      <w:pPr>
        <w:spacing w:after="160" w:line="276" w:lineRule="auto"/>
        <w:ind w:left="851" w:right="851"/>
        <w:jc w:val="both"/>
        <w:rPr>
          <w:rFonts w:ascii="Palatino Linotype" w:eastAsia="Palatino Linotype" w:hAnsi="Palatino Linotype" w:cs="Palatino Linotype"/>
          <w:i/>
          <w:sz w:val="22"/>
          <w:szCs w:val="22"/>
        </w:rPr>
      </w:pPr>
    </w:p>
    <w:p w:rsidR="003C63CC" w:rsidRDefault="00E77A1F">
      <w:pPr>
        <w:spacing w:after="160" w:line="276" w:lineRule="auto"/>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3C63CC" w:rsidRDefault="00E77A1F">
      <w:pPr>
        <w:spacing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3C63CC" w:rsidRDefault="00E77A1F">
      <w:pPr>
        <w:spacing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el artículo 70 de la Ley General de Transparencia y Acceso a la Información Pública dispone lo siguiente: </w:t>
      </w:r>
    </w:p>
    <w:p w:rsidR="003C63CC" w:rsidRDefault="003C63CC">
      <w:pPr>
        <w:spacing w:line="360" w:lineRule="auto"/>
        <w:jc w:val="both"/>
        <w:rPr>
          <w:rFonts w:ascii="Palatino Linotype" w:eastAsia="Palatino Linotype" w:hAnsi="Palatino Linotype" w:cs="Palatino Linotype"/>
          <w:sz w:val="22"/>
          <w:szCs w:val="22"/>
        </w:rPr>
      </w:pP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C63CC" w:rsidRDefault="003C63CC">
      <w:pPr>
        <w:spacing w:line="360" w:lineRule="auto"/>
        <w:jc w:val="both"/>
        <w:rPr>
          <w:rFonts w:ascii="Calibri" w:eastAsia="Calibri" w:hAnsi="Calibri" w:cs="Calibri"/>
          <w:sz w:val="22"/>
          <w:szCs w:val="22"/>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3C63CC" w:rsidRDefault="003C63CC">
      <w:pPr>
        <w:spacing w:line="360" w:lineRule="auto"/>
        <w:ind w:right="49"/>
        <w:jc w:val="both"/>
        <w:rPr>
          <w:rFonts w:ascii="Palatino Linotype" w:eastAsia="Palatino Linotype" w:hAnsi="Palatino Linotype" w:cs="Palatino Linotype"/>
          <w:sz w:val="22"/>
          <w:szCs w:val="22"/>
        </w:rPr>
      </w:pP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C63CC" w:rsidRDefault="003C63CC">
      <w:pPr>
        <w:spacing w:line="360" w:lineRule="auto"/>
        <w:jc w:val="both"/>
        <w:rPr>
          <w:rFonts w:ascii="Calibri" w:eastAsia="Calibri" w:hAnsi="Calibri" w:cs="Calibri"/>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w:t>
      </w:r>
      <w:r>
        <w:rPr>
          <w:rFonts w:ascii="Palatino Linotype" w:eastAsia="Palatino Linotype" w:hAnsi="Palatino Linotype" w:cs="Palatino Linotype"/>
        </w:rPr>
        <w:lastRenderedPageBreak/>
        <w:t>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el recibo de nómina o de pago del Presidente Municipal, en términos de lo señalado por el considerando quinto del presente fallo.</w:t>
      </w:r>
    </w:p>
    <w:p w:rsidR="003C63CC" w:rsidRDefault="003C63CC">
      <w:pPr>
        <w:spacing w:line="360" w:lineRule="auto"/>
        <w:ind w:right="49"/>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es de señalar que, 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entregar la respuesta a la solicitud de Información Pública y dado que el Recurso de Revisión materia del presente asunto, no es el medio para investigar y en su caso, sancionar a servidores públicos por la omisión de la entrega de Información Pública, toda vez que el artículo 163 de la Ley de la materia, prevé el plazo de respuesta y atención a solicitudes de información; atento a ello, este Instituto en el ámbito de sus atribuciones, hará del conocimiento al Contralor de este Instituto a fin de que en términos del ordinal 190 de la Ley de la materia determine lo conducente.</w:t>
      </w:r>
    </w:p>
    <w:p w:rsidR="003C63CC" w:rsidRDefault="003C63CC">
      <w:pPr>
        <w:spacing w:line="360" w:lineRule="auto"/>
        <w:jc w:val="both"/>
        <w:rPr>
          <w:rFonts w:ascii="Palatino Linotype" w:eastAsia="Palatino Linotype" w:hAnsi="Palatino Linotype" w:cs="Palatino Linotype"/>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 C</w:t>
      </w:r>
      <w:r>
        <w:rPr>
          <w:rFonts w:ascii="Palatino Linotype" w:eastAsia="Palatino Linotype" w:hAnsi="Palatino Linotype" w:cs="Palatino Linotype"/>
        </w:rPr>
        <w:t>omo fue debidamente apuntado, el</w:t>
      </w:r>
      <w:r>
        <w:rPr>
          <w:rFonts w:ascii="Palatino Linotype" w:eastAsia="Palatino Linotype" w:hAnsi="Palatino Linotype" w:cs="Palatino Linotype"/>
          <w:b/>
        </w:rPr>
        <w:t> Sujeto Obligado</w:t>
      </w:r>
      <w:r>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3C63CC" w:rsidRDefault="003C63CC">
      <w:pPr>
        <w:spacing w:line="360" w:lineRule="auto"/>
        <w:jc w:val="both"/>
        <w:rPr>
          <w:rFonts w:ascii="Palatino Linotype" w:eastAsia="Palatino Linotype" w:hAnsi="Palatino Linotype" w:cs="Palatino Linotype"/>
        </w:rPr>
      </w:pPr>
    </w:p>
    <w:p w:rsidR="003C63CC" w:rsidRDefault="00E77A1F">
      <w:pPr>
        <w:shd w:val="clear" w:color="auto" w:fill="FFFFFF"/>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3C63CC" w:rsidRDefault="003C63CC">
      <w:pPr>
        <w:shd w:val="clear" w:color="auto" w:fill="FFFFFF"/>
        <w:spacing w:line="360" w:lineRule="auto"/>
        <w:ind w:right="51"/>
        <w:jc w:val="both"/>
        <w:rPr>
          <w:rFonts w:ascii="Palatino Linotype" w:eastAsia="Palatino Linotype" w:hAnsi="Palatino Linotype" w:cs="Palatino Linotype"/>
        </w:rPr>
      </w:pPr>
    </w:p>
    <w:p w:rsidR="003C63CC" w:rsidRDefault="00E77A1F">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C63CC" w:rsidRDefault="003C63CC">
      <w:pPr>
        <w:shd w:val="clear" w:color="auto" w:fill="FFFFFF"/>
        <w:spacing w:line="360" w:lineRule="auto"/>
        <w:ind w:right="51"/>
        <w:jc w:val="both"/>
        <w:rPr>
          <w:rFonts w:ascii="Palatino Linotype" w:eastAsia="Palatino Linotype" w:hAnsi="Palatino Linotype" w:cs="Palatino Linotype"/>
        </w:rPr>
      </w:pPr>
    </w:p>
    <w:p w:rsidR="003C63CC" w:rsidRDefault="00E77A1F">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3C63CC" w:rsidRDefault="003C63CC">
      <w:pPr>
        <w:shd w:val="clear" w:color="auto" w:fill="FFFFFF"/>
        <w:spacing w:line="360" w:lineRule="auto"/>
        <w:ind w:right="51"/>
        <w:jc w:val="both"/>
        <w:rPr>
          <w:rFonts w:ascii="Palatino Linotype" w:eastAsia="Palatino Linotype" w:hAnsi="Palatino Linotype" w:cs="Palatino Linotype"/>
        </w:rPr>
      </w:pPr>
    </w:p>
    <w:p w:rsidR="003C63CC" w:rsidRDefault="00E77A1F">
      <w:pPr>
        <w:spacing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3C63CC" w:rsidRDefault="003C63CC">
      <w:pPr>
        <w:spacing w:line="276" w:lineRule="auto"/>
        <w:ind w:left="993" w:right="1041"/>
        <w:jc w:val="both"/>
        <w:rPr>
          <w:rFonts w:ascii="Palatino Linotype" w:eastAsia="Palatino Linotype" w:hAnsi="Palatino Linotype" w:cs="Palatino Linotype"/>
          <w:i/>
          <w:sz w:val="22"/>
          <w:szCs w:val="22"/>
        </w:rPr>
      </w:pP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3C63CC" w:rsidRDefault="003C63CC">
      <w:pPr>
        <w:spacing w:line="360" w:lineRule="auto"/>
        <w:ind w:left="993" w:right="1041"/>
        <w:jc w:val="both"/>
        <w:rPr>
          <w:rFonts w:ascii="Palatino Linotype" w:eastAsia="Palatino Linotype" w:hAnsi="Palatino Linotype" w:cs="Palatino Linotype"/>
          <w:i/>
          <w:sz w:val="22"/>
          <w:szCs w:val="22"/>
        </w:rPr>
      </w:pP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3C63CC" w:rsidRDefault="003C63CC">
      <w:pPr>
        <w:spacing w:line="276" w:lineRule="auto"/>
        <w:ind w:left="993" w:right="1041"/>
        <w:jc w:val="both"/>
        <w:rPr>
          <w:rFonts w:ascii="Palatino Linotype" w:eastAsia="Palatino Linotype" w:hAnsi="Palatino Linotype" w:cs="Palatino Linotype"/>
          <w:i/>
          <w:sz w:val="22"/>
          <w:szCs w:val="22"/>
        </w:rPr>
      </w:pPr>
    </w:p>
    <w:p w:rsidR="003C63CC" w:rsidRDefault="00E77A1F">
      <w:pPr>
        <w:spacing w:line="276" w:lineRule="auto"/>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C63CC" w:rsidRDefault="003C63CC">
      <w:pPr>
        <w:spacing w:line="276" w:lineRule="auto"/>
        <w:ind w:left="993" w:right="1041"/>
        <w:jc w:val="both"/>
        <w:rPr>
          <w:rFonts w:ascii="Palatino Linotype" w:eastAsia="Palatino Linotype" w:hAnsi="Palatino Linotype" w:cs="Palatino Linotype"/>
          <w:b/>
          <w:i/>
          <w:sz w:val="22"/>
          <w:szCs w:val="22"/>
        </w:rPr>
      </w:pP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3C63CC" w:rsidRDefault="003C63CC">
      <w:pPr>
        <w:spacing w:line="360" w:lineRule="auto"/>
        <w:ind w:left="993" w:right="1041"/>
        <w:jc w:val="both"/>
        <w:rPr>
          <w:rFonts w:ascii="Palatino Linotype" w:eastAsia="Palatino Linotype" w:hAnsi="Palatino Linotype" w:cs="Palatino Linotype"/>
          <w:i/>
          <w:sz w:val="22"/>
          <w:szCs w:val="22"/>
        </w:rPr>
      </w:pPr>
    </w:p>
    <w:p w:rsidR="003C63CC" w:rsidRDefault="00E77A1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3C63CC" w:rsidRDefault="003C63CC">
      <w:pPr>
        <w:spacing w:line="360" w:lineRule="auto"/>
        <w:ind w:right="51"/>
        <w:jc w:val="both"/>
        <w:rPr>
          <w:rFonts w:ascii="Palatino Linotype" w:eastAsia="Palatino Linotype" w:hAnsi="Palatino Linotype" w:cs="Palatino Linotype"/>
        </w:rPr>
      </w:pPr>
    </w:p>
    <w:p w:rsidR="003C63CC" w:rsidRDefault="00E77A1F">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C63CC" w:rsidRDefault="003C63CC">
      <w:pPr>
        <w:spacing w:line="360" w:lineRule="auto"/>
        <w:ind w:right="50"/>
        <w:jc w:val="both"/>
        <w:rPr>
          <w:rFonts w:ascii="Palatino Linotype" w:eastAsia="Palatino Linotype" w:hAnsi="Palatino Linotype" w:cs="Palatino Linotype"/>
        </w:rPr>
      </w:pPr>
    </w:p>
    <w:p w:rsidR="003C63CC" w:rsidRDefault="00E77A1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C63CC" w:rsidRDefault="003C63CC">
      <w:pPr>
        <w:spacing w:line="360" w:lineRule="auto"/>
        <w:ind w:right="51"/>
        <w:jc w:val="both"/>
        <w:rPr>
          <w:rFonts w:ascii="Palatino Linotype" w:eastAsia="Palatino Linotype" w:hAnsi="Palatino Linotype" w:cs="Palatino Linotype"/>
        </w:rPr>
      </w:pP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3C63CC" w:rsidRDefault="00E77A1F">
      <w:pPr>
        <w:spacing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3C63CC" w:rsidRDefault="003C63CC">
      <w:pPr>
        <w:spacing w:line="360" w:lineRule="auto"/>
        <w:ind w:left="992" w:right="1043"/>
        <w:jc w:val="both"/>
        <w:rPr>
          <w:rFonts w:ascii="Palatino Linotype" w:eastAsia="Palatino Linotype" w:hAnsi="Palatino Linotype" w:cs="Palatino Linotype"/>
          <w:i/>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w:t>
      </w:r>
      <w:r>
        <w:rPr>
          <w:rFonts w:ascii="Palatino Linotype" w:eastAsia="Palatino Linotype" w:hAnsi="Palatino Linotype" w:cs="Palatino Linotype"/>
        </w:rPr>
        <w:lastRenderedPageBreak/>
        <w:t>el proyecto de clasificación de la información y finalmente sea éste último quien apruebe, modifique o revoque la clasificación de la información solicitada.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3C63CC" w:rsidRDefault="003C63CC">
      <w:pPr>
        <w:spacing w:line="360" w:lineRule="auto"/>
        <w:jc w:val="both"/>
        <w:rPr>
          <w:rFonts w:ascii="Palatino Linotype" w:eastAsia="Palatino Linotype" w:hAnsi="Palatino Linotype" w:cs="Palatino Linotype"/>
          <w:sz w:val="22"/>
          <w:szCs w:val="22"/>
        </w:rPr>
      </w:pPr>
    </w:p>
    <w:p w:rsidR="003C63CC" w:rsidRDefault="00E77A1F">
      <w:pPr>
        <w:spacing w:line="276" w:lineRule="auto"/>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3C63CC" w:rsidRDefault="003C63CC">
      <w:pPr>
        <w:spacing w:line="360" w:lineRule="auto"/>
        <w:ind w:left="993" w:right="1041"/>
        <w:jc w:val="both"/>
        <w:rPr>
          <w:rFonts w:ascii="Palatino Linotype" w:eastAsia="Palatino Linotype" w:hAnsi="Palatino Linotype" w:cs="Palatino Linotype"/>
          <w:i/>
          <w:sz w:val="22"/>
          <w:szCs w:val="22"/>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3C63CC" w:rsidRDefault="003C63CC">
      <w:pPr>
        <w:spacing w:line="360" w:lineRule="auto"/>
        <w:ind w:right="49"/>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w:t>
      </w:r>
      <w:r>
        <w:rPr>
          <w:rFonts w:ascii="Palatino Linotype" w:eastAsia="Palatino Linotype" w:hAnsi="Palatino Linotype" w:cs="Palatino Linotype"/>
        </w:rPr>
        <w:lastRenderedPageBreak/>
        <w:t xml:space="preserve">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3C63CC" w:rsidRDefault="003C63CC">
      <w:pPr>
        <w:spacing w:line="360" w:lineRule="auto"/>
        <w:ind w:right="49"/>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50BE8" w:rsidRDefault="00250BE8">
      <w:pPr>
        <w:spacing w:line="360" w:lineRule="auto"/>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rsidR="003C63CC" w:rsidRDefault="003C63CC">
      <w:pPr>
        <w:spacing w:line="360" w:lineRule="auto"/>
        <w:ind w:left="851" w:right="900"/>
        <w:jc w:val="both"/>
        <w:rPr>
          <w:rFonts w:ascii="Palatino Linotype" w:eastAsia="Palatino Linotype" w:hAnsi="Palatino Linotype" w:cs="Palatino Linotype"/>
          <w:b/>
          <w:i/>
          <w:sz w:val="22"/>
          <w:szCs w:val="22"/>
        </w:rPr>
      </w:pPr>
    </w:p>
    <w:p w:rsidR="003C63CC" w:rsidRDefault="00E77A1F">
      <w:pPr>
        <w:spacing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3C63CC" w:rsidRDefault="003C63CC">
      <w:pPr>
        <w:spacing w:line="360" w:lineRule="auto"/>
        <w:jc w:val="both"/>
        <w:rPr>
          <w:rFonts w:ascii="Palatino Linotype" w:eastAsia="Palatino Linotype" w:hAnsi="Palatino Linotype" w:cs="Palatino Linotype"/>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Pr>
          <w:rFonts w:ascii="Palatino Linotype" w:eastAsia="Palatino Linotype" w:hAnsi="Palatino Linotype" w:cs="Palatino Linotype"/>
        </w:rPr>
        <w:lastRenderedPageBreak/>
        <w:t>distinguirlo del resto de los habitantes, por tal motivo, se considera que es de carácter confidencial.</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rsidR="003C63CC" w:rsidRDefault="003C63CC">
      <w:pPr>
        <w:spacing w:line="360" w:lineRule="auto"/>
        <w:ind w:left="851" w:right="851"/>
        <w:jc w:val="both"/>
        <w:rPr>
          <w:rFonts w:ascii="Palatino Linotype" w:eastAsia="Palatino Linotype" w:hAnsi="Palatino Linotype" w:cs="Palatino Linotype"/>
          <w:b/>
          <w:i/>
          <w:sz w:val="22"/>
          <w:szCs w:val="22"/>
        </w:rPr>
      </w:pPr>
    </w:p>
    <w:p w:rsidR="003C63CC" w:rsidRDefault="00E77A1F">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C63CC" w:rsidRDefault="003C63CC">
      <w:pPr>
        <w:spacing w:line="360" w:lineRule="auto"/>
        <w:jc w:val="both"/>
        <w:rPr>
          <w:rFonts w:ascii="Palatino Linotype" w:eastAsia="Palatino Linotype" w:hAnsi="Palatino Linotype" w:cs="Palatino Linotype"/>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w:t>
      </w:r>
      <w:proofErr w:type="spellStart"/>
      <w:r>
        <w:rPr>
          <w:rFonts w:ascii="Palatino Linotype" w:eastAsia="Palatino Linotype" w:hAnsi="Palatino Linotype" w:cs="Palatino Linotype"/>
          <w:b/>
        </w:rPr>
        <w:t>ISSEMyM</w:t>
      </w:r>
      <w:proofErr w:type="spellEnd"/>
      <w:r>
        <w:rPr>
          <w:rFonts w:ascii="Palatino Linotype" w:eastAsia="Palatino Linotype" w:hAnsi="Palatino Linotype" w:cs="Palatino Linotype"/>
          <w:b/>
        </w:rPr>
        <w:t xml:space="preserve">, u otros), </w:t>
      </w:r>
      <w:r>
        <w:rPr>
          <w:rFonts w:ascii="Palatino Linotype" w:eastAsia="Palatino Linotype" w:hAnsi="Palatino Linotype" w:cs="Palatino Linotype"/>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3C63CC" w:rsidRDefault="003C63CC">
      <w:pPr>
        <w:spacing w:line="360" w:lineRule="auto"/>
        <w:jc w:val="both"/>
        <w:rPr>
          <w:rFonts w:ascii="Palatino Linotype" w:eastAsia="Palatino Linotype" w:hAnsi="Palatino Linotype" w:cs="Palatino Linotype"/>
          <w:sz w:val="22"/>
          <w:szCs w:val="22"/>
        </w:rPr>
      </w:pPr>
    </w:p>
    <w:p w:rsidR="00250BE8"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250BE8" w:rsidRDefault="00250BE8">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250BE8" w:rsidRDefault="00250BE8">
      <w:pPr>
        <w:spacing w:line="360" w:lineRule="auto"/>
        <w:jc w:val="both"/>
        <w:rPr>
          <w:rFonts w:ascii="Calibri" w:eastAsia="Calibri" w:hAnsi="Calibri" w:cs="Calibri"/>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rsidR="003C63CC" w:rsidRDefault="003C63CC">
      <w:pPr>
        <w:spacing w:line="360" w:lineRule="auto"/>
        <w:jc w:val="both"/>
        <w:rPr>
          <w:rFonts w:ascii="Calibri" w:eastAsia="Calibri" w:hAnsi="Calibri" w:cs="Calibri"/>
        </w:rPr>
      </w:pP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t>I. Gravámenes fiscales relacionados con el sueldo;</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t>VII. Faltas de puntualidad o de asistencia injustificadas;</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rsidR="003C63CC" w:rsidRDefault="00E77A1F">
      <w:pPr>
        <w:spacing w:line="276" w:lineRule="auto"/>
        <w:ind w:left="851" w:right="902"/>
        <w:jc w:val="both"/>
        <w:rPr>
          <w:rFonts w:ascii="Calibri" w:eastAsia="Calibri" w:hAnsi="Calibri" w:cs="Calibri"/>
          <w:sz w:val="22"/>
          <w:szCs w:val="22"/>
        </w:rPr>
      </w:pPr>
      <w:r>
        <w:rPr>
          <w:rFonts w:ascii="Palatino Linotype" w:eastAsia="Palatino Linotype" w:hAnsi="Palatino Linotype" w:cs="Palatino Linotype"/>
          <w:i/>
          <w:sz w:val="22"/>
          <w:szCs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3C63CC" w:rsidRDefault="00E77A1F">
      <w:pPr>
        <w:spacing w:line="276" w:lineRule="auto"/>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250BE8" w:rsidRDefault="00250BE8">
      <w:pPr>
        <w:spacing w:line="276" w:lineRule="auto"/>
        <w:ind w:left="851" w:right="902"/>
        <w:jc w:val="both"/>
        <w:rPr>
          <w:rFonts w:ascii="Calibri" w:eastAsia="Calibri" w:hAnsi="Calibri" w:cs="Calibri"/>
          <w:sz w:val="22"/>
          <w:szCs w:val="22"/>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250BE8" w:rsidRDefault="00250BE8">
      <w:pPr>
        <w:spacing w:line="360" w:lineRule="auto"/>
        <w:jc w:val="both"/>
        <w:rPr>
          <w:rFonts w:ascii="Calibri" w:eastAsia="Calibri" w:hAnsi="Calibri" w:cs="Calibri"/>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sz w:val="20"/>
          <w:szCs w:val="20"/>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w:t>
      </w:r>
      <w:r>
        <w:rPr>
          <w:rFonts w:ascii="Palatino Linotype" w:eastAsia="Palatino Linotype" w:hAnsi="Palatino Linotype" w:cs="Palatino Linotype"/>
          <w:b/>
          <w:i/>
          <w:sz w:val="22"/>
          <w:szCs w:val="22"/>
        </w:rPr>
        <w:lastRenderedPageBreak/>
        <w:t xml:space="preserve">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rsidR="003C63CC" w:rsidRDefault="003C63CC">
      <w:pPr>
        <w:spacing w:line="276" w:lineRule="auto"/>
        <w:ind w:left="851" w:right="851"/>
        <w:jc w:val="both"/>
        <w:rPr>
          <w:rFonts w:ascii="Palatino Linotype" w:eastAsia="Palatino Linotype" w:hAnsi="Palatino Linotype" w:cs="Palatino Linotype"/>
          <w:i/>
          <w:sz w:val="22"/>
          <w:szCs w:val="22"/>
        </w:rPr>
      </w:pPr>
    </w:p>
    <w:p w:rsidR="003C63CC" w:rsidRDefault="00E77A1F">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w:t>
      </w:r>
      <w:r>
        <w:rPr>
          <w:rFonts w:ascii="Palatino Linotype" w:eastAsia="Palatino Linotype" w:hAnsi="Palatino Linotype" w:cs="Palatino Linotype"/>
          <w:i/>
          <w:sz w:val="22"/>
          <w:szCs w:val="22"/>
        </w:rPr>
        <w:lastRenderedPageBreak/>
        <w:t xml:space="preserve">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3C63CC" w:rsidRDefault="003C63CC">
      <w:pPr>
        <w:spacing w:line="360" w:lineRule="auto"/>
        <w:ind w:left="851" w:right="851"/>
        <w:jc w:val="both"/>
        <w:rPr>
          <w:rFonts w:ascii="Palatino Linotype" w:eastAsia="Palatino Linotype" w:hAnsi="Palatino Linotype" w:cs="Palatino Linotype"/>
          <w:i/>
          <w:sz w:val="22"/>
          <w:szCs w:val="22"/>
        </w:rPr>
      </w:pPr>
    </w:p>
    <w:p w:rsidR="003C63CC" w:rsidRDefault="00E77A1F">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3C63CC" w:rsidRDefault="003C63CC">
      <w:pPr>
        <w:shd w:val="clear" w:color="auto" w:fill="FFFFFF"/>
        <w:spacing w:line="360" w:lineRule="auto"/>
        <w:ind w:left="567" w:right="567"/>
        <w:jc w:val="both"/>
        <w:rPr>
          <w:rFonts w:ascii="Palatino Linotype" w:eastAsia="Palatino Linotype" w:hAnsi="Palatino Linotype" w:cs="Palatino Linotype"/>
          <w:sz w:val="22"/>
          <w:szCs w:val="22"/>
        </w:rPr>
      </w:pPr>
    </w:p>
    <w:p w:rsidR="003C63CC" w:rsidRDefault="00E77A1F">
      <w:pPr>
        <w:shd w:val="clear" w:color="auto" w:fill="FFFFFF"/>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rsidR="003C63CC" w:rsidRDefault="003C63CC">
      <w:pPr>
        <w:spacing w:after="160" w:line="360" w:lineRule="auto"/>
        <w:jc w:val="both"/>
        <w:rPr>
          <w:rFonts w:ascii="Palatino Linotype" w:eastAsia="Palatino Linotype" w:hAnsi="Palatino Linotype" w:cs="Palatino Linotype"/>
          <w:sz w:val="22"/>
          <w:szCs w:val="22"/>
        </w:rPr>
      </w:pPr>
    </w:p>
    <w:p w:rsidR="003C63CC" w:rsidRDefault="00E77A1F">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la el servicio público ni con los recursos públicos, ya que es elección del trabajador determinar si desea que su </w:t>
      </w:r>
      <w:r>
        <w:rPr>
          <w:rFonts w:ascii="Palatino Linotype" w:eastAsia="Palatino Linotype" w:hAnsi="Palatino Linotype" w:cs="Palatino Linotype"/>
        </w:rPr>
        <w:lastRenderedPageBreak/>
        <w:t>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3C63CC" w:rsidRDefault="003C63CC">
      <w:pPr>
        <w:spacing w:line="360" w:lineRule="auto"/>
        <w:ind w:right="-91"/>
        <w:jc w:val="both"/>
        <w:rPr>
          <w:rFonts w:ascii="Palatino Linotype" w:eastAsia="Palatino Linotype" w:hAnsi="Palatino Linotype" w:cs="Palatino Linotype"/>
        </w:rPr>
      </w:pPr>
    </w:p>
    <w:p w:rsidR="003C63CC" w:rsidRDefault="00E77A1F">
      <w:pPr>
        <w:spacing w:line="360" w:lineRule="auto"/>
        <w:ind w:right="-91"/>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 xml:space="preserve">QR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 xml:space="preserve"> (Quick Response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1">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rsidR="003C63CC" w:rsidRDefault="003C63CC">
      <w:pPr>
        <w:spacing w:line="360" w:lineRule="auto"/>
        <w:ind w:right="-91"/>
        <w:jc w:val="both"/>
        <w:rPr>
          <w:rFonts w:ascii="Palatino Linotype" w:eastAsia="Palatino Linotype" w:hAnsi="Palatino Linotype" w:cs="Palatino Linotype"/>
        </w:rPr>
      </w:pPr>
    </w:p>
    <w:p w:rsidR="003C63CC" w:rsidRDefault="00E77A1F">
      <w:pPr>
        <w:spacing w:after="8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250BE8" w:rsidRDefault="00250BE8">
      <w:pPr>
        <w:spacing w:after="80" w:line="360" w:lineRule="auto"/>
        <w:ind w:right="-91"/>
        <w:jc w:val="both"/>
        <w:rPr>
          <w:rFonts w:ascii="Palatino Linotype" w:eastAsia="Palatino Linotype" w:hAnsi="Palatino Linotype" w:cs="Palatino Linotype"/>
        </w:rPr>
      </w:pPr>
    </w:p>
    <w:p w:rsidR="003C63CC" w:rsidRDefault="00E77A1F">
      <w:pPr>
        <w:shd w:val="clear" w:color="auto" w:fill="FFFFFF"/>
        <w:spacing w:before="80" w:after="240" w:line="360" w:lineRule="auto"/>
        <w:jc w:val="both"/>
        <w:rPr>
          <w:rFonts w:ascii="Calibri" w:eastAsia="Calibri" w:hAnsi="Calibri" w:cs="Calibri"/>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3C63CC" w:rsidRDefault="00E77A1F">
      <w:pPr>
        <w:shd w:val="clear" w:color="auto" w:fill="FFFFFF"/>
        <w:spacing w:before="240" w:line="276" w:lineRule="auto"/>
        <w:ind w:left="567" w:right="900"/>
        <w:jc w:val="both"/>
        <w:rPr>
          <w:rFonts w:ascii="Calibri" w:eastAsia="Calibri" w:hAnsi="Calibri" w:cs="Calibri"/>
          <w:color w:val="2222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xml:space="preserve">, en términos de lo establecido en el artículo 18, fracción II de la Ley Federal de Transparencia y Acceso a la Información Pública Gubernamental, en virtud de que a través de la misma es </w:t>
      </w:r>
      <w:r>
        <w:rPr>
          <w:rFonts w:ascii="Palatino Linotype" w:eastAsia="Palatino Linotype" w:hAnsi="Palatino Linotype" w:cs="Palatino Linotype"/>
          <w:i/>
          <w:color w:val="222222"/>
        </w:rPr>
        <w:t>posible conocer información personal de su titular.” (Sic)</w:t>
      </w:r>
    </w:p>
    <w:p w:rsidR="003C63CC" w:rsidRDefault="003C63CC">
      <w:pPr>
        <w:spacing w:line="360" w:lineRule="auto"/>
        <w:ind w:right="-93"/>
        <w:jc w:val="both"/>
        <w:rPr>
          <w:rFonts w:ascii="Palatino Linotype" w:eastAsia="Palatino Linotype" w:hAnsi="Palatino Linotype" w:cs="Palatino Linotype"/>
        </w:rPr>
      </w:pPr>
    </w:p>
    <w:p w:rsidR="003C63CC" w:rsidRDefault="00E77A1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3C63CC" w:rsidRDefault="003C63CC">
      <w:pPr>
        <w:spacing w:line="360" w:lineRule="auto"/>
        <w:ind w:right="-93"/>
        <w:jc w:val="both"/>
        <w:rPr>
          <w:rFonts w:ascii="Palatino Linotype" w:eastAsia="Palatino Linotype" w:hAnsi="Palatino Linotype" w:cs="Palatino Linotype"/>
        </w:rPr>
      </w:pPr>
    </w:p>
    <w:p w:rsidR="003C63CC" w:rsidRDefault="00E77A1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este Instituto, considera que entregar la firmas del servidor público, si abona a la transparencia, dado que con esta se acredita que fue emitida por autoridad competente en uso de las facultades que le otorga la legislación; por lo </w:t>
      </w:r>
      <w:r>
        <w:rPr>
          <w:rFonts w:ascii="Palatino Linotype" w:eastAsia="Palatino Linotype" w:hAnsi="Palatino Linotype" w:cs="Palatino Linotype"/>
        </w:rPr>
        <w:lastRenderedPageBreak/>
        <w:t>que, guarda cierto interés público dar a conocer la firma, dado que le da validez al documento.</w:t>
      </w:r>
    </w:p>
    <w:p w:rsidR="003C63CC" w:rsidRDefault="003C63CC">
      <w:pPr>
        <w:spacing w:line="360" w:lineRule="auto"/>
        <w:ind w:right="-93"/>
        <w:jc w:val="both"/>
        <w:rPr>
          <w:rFonts w:ascii="Palatino Linotype" w:eastAsia="Palatino Linotype" w:hAnsi="Palatino Linotype" w:cs="Palatino Linotype"/>
        </w:rPr>
      </w:pPr>
    </w:p>
    <w:p w:rsidR="003C63CC" w:rsidRDefault="00E77A1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3C63CC" w:rsidRDefault="003C63CC">
      <w:pPr>
        <w:spacing w:line="360" w:lineRule="auto"/>
        <w:ind w:right="-93"/>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rsidR="003C63CC" w:rsidRDefault="003C63CC">
      <w:pPr>
        <w:spacing w:after="160" w:line="276" w:lineRule="auto"/>
        <w:ind w:right="-93"/>
        <w:jc w:val="both"/>
        <w:rPr>
          <w:rFonts w:ascii="Palatino Linotype" w:eastAsia="Palatino Linotype" w:hAnsi="Palatino Linotype" w:cs="Palatino Linotype"/>
          <w:sz w:val="22"/>
          <w:szCs w:val="22"/>
        </w:rPr>
      </w:pPr>
    </w:p>
    <w:p w:rsidR="003C63CC" w:rsidRDefault="00E77A1F">
      <w:pPr>
        <w:spacing w:line="276" w:lineRule="auto"/>
        <w:ind w:left="1134"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FIRMA Y RÚBRICA DE SERVIDORES PÚBLICOS.</w:t>
      </w:r>
      <w:r>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w:t>
      </w:r>
      <w:r>
        <w:rPr>
          <w:rFonts w:ascii="Palatino Linotype" w:eastAsia="Palatino Linotype" w:hAnsi="Palatino Linotype" w:cs="Palatino Linotype"/>
        </w:rPr>
        <w:lastRenderedPageBreak/>
        <w:t>la clasificación de datos y con ello la "versión pública" de los documentos materia de las solicitudes</w:t>
      </w:r>
      <w:r>
        <w:rPr>
          <w:rFonts w:ascii="Palatino Linotype" w:eastAsia="Palatino Linotype" w:hAnsi="Palatino Linotype" w:cs="Palatino Linotype"/>
          <w:highlight w:val="white"/>
        </w:rPr>
        <w:t>.</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3C63CC" w:rsidRDefault="003C63CC">
      <w:pPr>
        <w:shd w:val="clear" w:color="auto" w:fill="FFFFFF"/>
        <w:spacing w:line="360" w:lineRule="auto"/>
        <w:ind w:right="51"/>
        <w:jc w:val="both"/>
        <w:rPr>
          <w:rFonts w:ascii="Palatino Linotype" w:eastAsia="Palatino Linotype" w:hAnsi="Palatino Linotype" w:cs="Palatino Linotype"/>
        </w:rPr>
      </w:pPr>
    </w:p>
    <w:p w:rsidR="003C63CC" w:rsidRDefault="00E77A1F">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Pr>
          <w:rFonts w:ascii="Palatino Linotype" w:eastAsia="Palatino Linotype" w:hAnsi="Palatino Linotype" w:cs="Palatino Linotype"/>
        </w:rPr>
        <w:lastRenderedPageBreak/>
        <w:t xml:space="preserve">suprima aquella información relacionada con la vida privada de los servidores públicos. </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3C63CC" w:rsidRDefault="003C63CC">
      <w:pPr>
        <w:spacing w:line="360" w:lineRule="auto"/>
        <w:jc w:val="both"/>
        <w:rPr>
          <w:rFonts w:ascii="Palatino Linotype" w:eastAsia="Palatino Linotype" w:hAnsi="Palatino Linotype" w:cs="Palatino Linotype"/>
        </w:rPr>
      </w:pPr>
    </w:p>
    <w:p w:rsidR="003C63CC" w:rsidRDefault="00E77A1F">
      <w:pPr>
        <w:spacing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w:t>
      </w:r>
      <w:r>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C63CC" w:rsidRDefault="00E77A1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rsidR="003C63CC" w:rsidRDefault="00E77A1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rsidR="003C63CC" w:rsidRDefault="00E77A1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El nombre de los servidores públicos en los documentos, y sus firmas autógrafas, cuando sean utilizados en el ejercicio de las facultades conferidas para el desempeño del servicio público, y </w:t>
      </w:r>
    </w:p>
    <w:p w:rsidR="003C63CC" w:rsidRDefault="00E77A1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3C63CC" w:rsidRDefault="00E77A1F">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3C63CC" w:rsidRDefault="00E77A1F">
      <w:pPr>
        <w:spacing w:before="120" w:line="360"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w:t>
      </w:r>
      <w:r>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C63CC" w:rsidRDefault="003C63CC">
      <w:pPr>
        <w:spacing w:line="360" w:lineRule="auto"/>
        <w:jc w:val="both"/>
        <w:rPr>
          <w:rFonts w:ascii="Palatino Linotype" w:eastAsia="Palatino Linotype" w:hAnsi="Palatino Linotype" w:cs="Palatino Linotype"/>
        </w:rPr>
      </w:pPr>
    </w:p>
    <w:p w:rsidR="003C63CC" w:rsidRDefault="00E77A1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3C63CC">
        <w:tc>
          <w:tcPr>
            <w:tcW w:w="4414" w:type="dxa"/>
            <w:gridSpan w:val="2"/>
          </w:tcPr>
          <w:p w:rsidR="003C63CC" w:rsidRDefault="00E77A1F">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3C63CC" w:rsidRDefault="00E77A1F">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3C63CC">
        <w:tc>
          <w:tcPr>
            <w:tcW w:w="846" w:type="dxa"/>
          </w:tcPr>
          <w:p w:rsidR="003C63CC" w:rsidRDefault="00E77A1F">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rsidR="003C63CC" w:rsidRDefault="00E77A1F">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3C63CC" w:rsidRDefault="00E77A1F">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3C63CC" w:rsidRDefault="00E77A1F">
            <w:pPr>
              <w:spacing w:after="160" w:line="259"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3C63CC">
        <w:tc>
          <w:tcPr>
            <w:tcW w:w="8828" w:type="dxa"/>
            <w:gridSpan w:val="4"/>
          </w:tcPr>
          <w:p w:rsidR="003C63CC" w:rsidRDefault="00E77A1F">
            <w:pPr>
              <w:spacing w:after="160" w:line="259" w:lineRule="auto"/>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3C63CC">
        <w:tc>
          <w:tcPr>
            <w:tcW w:w="8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568"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3C63CC">
        <w:tc>
          <w:tcPr>
            <w:tcW w:w="846" w:type="dxa"/>
          </w:tcPr>
          <w:p w:rsidR="003C63CC" w:rsidRDefault="003C63CC">
            <w:pPr>
              <w:spacing w:after="160" w:line="259" w:lineRule="auto"/>
              <w:jc w:val="both"/>
              <w:rPr>
                <w:rFonts w:ascii="Palatino Linotype" w:eastAsia="Palatino Linotype" w:hAnsi="Palatino Linotype" w:cs="Palatino Linotype"/>
                <w:sz w:val="12"/>
                <w:szCs w:val="12"/>
              </w:rPr>
            </w:pPr>
          </w:p>
        </w:tc>
        <w:tc>
          <w:tcPr>
            <w:tcW w:w="3568" w:type="dxa"/>
          </w:tcPr>
          <w:p w:rsidR="003C63CC" w:rsidRDefault="003C63CC">
            <w:pPr>
              <w:spacing w:after="160" w:line="259" w:lineRule="auto"/>
              <w:jc w:val="both"/>
              <w:rPr>
                <w:rFonts w:ascii="Palatino Linotype" w:eastAsia="Palatino Linotype" w:hAnsi="Palatino Linotype" w:cs="Palatino Linotype"/>
                <w:sz w:val="12"/>
                <w:szCs w:val="12"/>
              </w:rPr>
            </w:pP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3C63CC">
        <w:tc>
          <w:tcPr>
            <w:tcW w:w="846" w:type="dxa"/>
          </w:tcPr>
          <w:p w:rsidR="003C63CC" w:rsidRDefault="003C63CC">
            <w:pPr>
              <w:spacing w:after="160" w:line="259" w:lineRule="auto"/>
              <w:jc w:val="both"/>
              <w:rPr>
                <w:rFonts w:ascii="Palatino Linotype" w:eastAsia="Palatino Linotype" w:hAnsi="Palatino Linotype" w:cs="Palatino Linotype"/>
                <w:sz w:val="12"/>
                <w:szCs w:val="12"/>
              </w:rPr>
            </w:pPr>
          </w:p>
        </w:tc>
        <w:tc>
          <w:tcPr>
            <w:tcW w:w="3568" w:type="dxa"/>
          </w:tcPr>
          <w:p w:rsidR="003C63CC" w:rsidRDefault="003C63CC">
            <w:pPr>
              <w:spacing w:after="160" w:line="259" w:lineRule="auto"/>
              <w:jc w:val="both"/>
              <w:rPr>
                <w:rFonts w:ascii="Palatino Linotype" w:eastAsia="Palatino Linotype" w:hAnsi="Palatino Linotype" w:cs="Palatino Linotype"/>
                <w:sz w:val="12"/>
                <w:szCs w:val="12"/>
              </w:rPr>
            </w:pPr>
          </w:p>
        </w:tc>
        <w:tc>
          <w:tcPr>
            <w:tcW w:w="968" w:type="dxa"/>
          </w:tcPr>
          <w:p w:rsidR="003C63CC" w:rsidRDefault="00E77A1F">
            <w:pPr>
              <w:spacing w:after="160" w:line="259"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 xml:space="preserve">Rúbrica y cargo del </w:t>
            </w:r>
            <w:r>
              <w:rPr>
                <w:rFonts w:ascii="Palatino Linotype" w:eastAsia="Palatino Linotype" w:hAnsi="Palatino Linotype" w:cs="Palatino Linotype"/>
                <w:b/>
                <w:sz w:val="12"/>
                <w:szCs w:val="12"/>
              </w:rPr>
              <w:lastRenderedPageBreak/>
              <w:t>servidor público</w:t>
            </w:r>
          </w:p>
        </w:tc>
        <w:tc>
          <w:tcPr>
            <w:tcW w:w="3446" w:type="dxa"/>
          </w:tcPr>
          <w:p w:rsidR="003C63CC" w:rsidRDefault="00E77A1F">
            <w:pPr>
              <w:spacing w:after="160" w:line="259"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Rúbrica autógrafa de quien desclasifica.</w:t>
            </w:r>
          </w:p>
        </w:tc>
      </w:tr>
    </w:tbl>
    <w:p w:rsidR="003C63CC" w:rsidRDefault="00E77A1F">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fracciones IV y V; 2, fracción II; 29, 36 fracciones I y II; 176, 178, 179, fracción I, 181, 185 de la Ley de Transparencia y Acceso a la Información Pública del Estado de México y Municipios, este Pleno:</w:t>
      </w:r>
    </w:p>
    <w:p w:rsidR="003C63CC" w:rsidRDefault="00E77A1F">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 xml:space="preserve">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05304/INFOEM/IP/RR/2022</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atienda la solicitud de información número</w:t>
      </w:r>
      <w:r>
        <w:t xml:space="preserve"> </w:t>
      </w:r>
      <w:r>
        <w:rPr>
          <w:rFonts w:ascii="Palatino Linotype" w:eastAsia="Palatino Linotype" w:hAnsi="Palatino Linotype" w:cs="Palatino Linotype"/>
          <w:b/>
          <w:color w:val="000000"/>
        </w:rPr>
        <w:t>00041/AMANALCO/IP/2022</w:t>
      </w:r>
      <w:r>
        <w:rPr>
          <w:rFonts w:ascii="Palatino Linotype" w:eastAsia="Palatino Linotype" w:hAnsi="Palatino Linotype" w:cs="Palatino Linotype"/>
        </w:rPr>
        <w:t xml:space="preserve">, 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y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 de ser procedente</w:t>
      </w:r>
      <w:r>
        <w:rPr>
          <w:rFonts w:ascii="Palatino Linotype" w:eastAsia="Palatino Linotype" w:hAnsi="Palatino Linotype" w:cs="Palatino Linotype"/>
        </w:rPr>
        <w:t>, de lo siguiente:</w:t>
      </w:r>
    </w:p>
    <w:p w:rsidR="003C63CC" w:rsidRPr="00787E28" w:rsidRDefault="00E77A1F" w:rsidP="003F438F">
      <w:pPr>
        <w:spacing w:before="240" w:after="240" w:line="276" w:lineRule="auto"/>
        <w:ind w:left="567" w:right="709"/>
        <w:jc w:val="both"/>
        <w:rPr>
          <w:rFonts w:ascii="Palatino Linotype" w:eastAsia="Palatino Linotype" w:hAnsi="Palatino Linotype" w:cs="Palatino Linotype"/>
          <w:b/>
          <w:i/>
        </w:rPr>
      </w:pPr>
      <w:r w:rsidRPr="00787E28">
        <w:rPr>
          <w:rFonts w:ascii="Palatino Linotype" w:eastAsia="Palatino Linotype" w:hAnsi="Palatino Linotype" w:cs="Palatino Linotype"/>
          <w:b/>
          <w:i/>
        </w:rPr>
        <w:t>-</w:t>
      </w:r>
      <w:r w:rsidR="00CD094D" w:rsidRPr="00787E28">
        <w:rPr>
          <w:b/>
          <w:i/>
        </w:rPr>
        <w:t xml:space="preserve"> </w:t>
      </w:r>
      <w:r w:rsidR="00CD094D" w:rsidRPr="00787E28">
        <w:rPr>
          <w:rFonts w:ascii="Palatino Linotype" w:eastAsia="Palatino Linotype" w:hAnsi="Palatino Linotype" w:cs="Palatino Linotype"/>
          <w:b/>
          <w:i/>
        </w:rPr>
        <w:t xml:space="preserve">Documento o documentos donde conste el monto de las percepciones mensuales del presidente municipal, síndico, regidores y tesorero del ayuntamiento (desglosado por sueldo bruto, gratificaciones, bonos, </w:t>
      </w:r>
      <w:proofErr w:type="spellStart"/>
      <w:r w:rsidR="00CD094D" w:rsidRPr="00787E28">
        <w:rPr>
          <w:rFonts w:ascii="Palatino Linotype" w:eastAsia="Palatino Linotype" w:hAnsi="Palatino Linotype" w:cs="Palatino Linotype"/>
          <w:b/>
          <w:i/>
        </w:rPr>
        <w:t>primas</w:t>
      </w:r>
      <w:proofErr w:type="gramStart"/>
      <w:r w:rsidR="00CD094D" w:rsidRPr="00787E28">
        <w:rPr>
          <w:rFonts w:ascii="Palatino Linotype" w:eastAsia="Palatino Linotype" w:hAnsi="Palatino Linotype" w:cs="Palatino Linotype"/>
          <w:b/>
          <w:i/>
        </w:rPr>
        <w:t>,deducciones</w:t>
      </w:r>
      <w:proofErr w:type="spellEnd"/>
      <w:proofErr w:type="gramEnd"/>
      <w:r w:rsidR="00CD094D" w:rsidRPr="00787E28">
        <w:rPr>
          <w:rFonts w:ascii="Palatino Linotype" w:eastAsia="Palatino Linotype" w:hAnsi="Palatino Linotype" w:cs="Palatino Linotype"/>
          <w:b/>
          <w:i/>
        </w:rPr>
        <w:t>, sueldo neto), al catorce de febrero de dos mil veintidós (fecha de la solicitud de información).</w:t>
      </w:r>
    </w:p>
    <w:p w:rsidR="003C63CC" w:rsidRPr="004D3E5A" w:rsidRDefault="00E77A1F">
      <w:pPr>
        <w:spacing w:before="240" w:after="240" w:line="276" w:lineRule="auto"/>
        <w:ind w:left="567" w:right="709"/>
        <w:jc w:val="both"/>
        <w:rPr>
          <w:rFonts w:ascii="Palatino Linotype" w:eastAsia="Palatino Linotype" w:hAnsi="Palatino Linotype" w:cs="Palatino Linotype"/>
        </w:rPr>
      </w:pPr>
      <w:r w:rsidRPr="00787E28">
        <w:rPr>
          <w:rFonts w:ascii="Palatino Linotype" w:eastAsia="Palatino Linotype" w:hAnsi="Palatino Linotype" w:cs="Palatino Linotype"/>
          <w:b/>
          <w:i/>
        </w:rPr>
        <w:t>-Recibos de</w:t>
      </w:r>
      <w:r w:rsidR="00CD094D" w:rsidRPr="00787E28">
        <w:rPr>
          <w:rFonts w:ascii="Palatino Linotype" w:eastAsia="Palatino Linotype" w:hAnsi="Palatino Linotype" w:cs="Palatino Linotype"/>
          <w:b/>
          <w:i/>
        </w:rPr>
        <w:t xml:space="preserve"> pago de</w:t>
      </w:r>
      <w:r w:rsidRPr="00787E28">
        <w:rPr>
          <w:rFonts w:ascii="Palatino Linotype" w:eastAsia="Palatino Linotype" w:hAnsi="Palatino Linotype" w:cs="Palatino Linotype"/>
          <w:b/>
          <w:i/>
        </w:rPr>
        <w:t xml:space="preserve"> nómina del Presidente Municipal, correspondientes a la primera y segunda quincena del mes de enero de dos mil veintidós.</w:t>
      </w:r>
    </w:p>
    <w:p w:rsidR="003C63CC" w:rsidRDefault="00E77A1F">
      <w:pPr>
        <w:pBdr>
          <w:top w:val="nil"/>
          <w:left w:val="nil"/>
          <w:bottom w:val="nil"/>
          <w:right w:val="nil"/>
          <w:between w:val="nil"/>
        </w:pBdr>
        <w:tabs>
          <w:tab w:val="left" w:pos="8080"/>
        </w:tabs>
        <w:spacing w:after="12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w:t>
      </w:r>
    </w:p>
    <w:p w:rsidR="003C63CC" w:rsidRDefault="003C63CC">
      <w:pPr>
        <w:pBdr>
          <w:top w:val="nil"/>
          <w:left w:val="nil"/>
          <w:bottom w:val="nil"/>
          <w:right w:val="nil"/>
          <w:between w:val="nil"/>
        </w:pBdr>
        <w:tabs>
          <w:tab w:val="left" w:pos="8080"/>
        </w:tabs>
        <w:spacing w:after="120"/>
        <w:ind w:left="785" w:right="900"/>
        <w:jc w:val="both"/>
        <w:rPr>
          <w:rFonts w:ascii="Palatino Linotype" w:eastAsia="Palatino Linotype" w:hAnsi="Palatino Linotype" w:cs="Palatino Linotype"/>
          <w:i/>
          <w:color w:val="000000"/>
          <w:sz w:val="22"/>
          <w:szCs w:val="22"/>
        </w:rPr>
      </w:pPr>
    </w:p>
    <w:p w:rsidR="003C63CC" w:rsidRDefault="00E77A1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highlight w:val="white"/>
        </w:rPr>
        <w:t xml:space="preserve">Tercero. </w:t>
      </w:r>
      <w:r>
        <w:rPr>
          <w:rFonts w:ascii="Palatino Linotype" w:eastAsia="Palatino Linotype" w:hAnsi="Palatino Linotype" w:cs="Palatino Linotype"/>
          <w:b/>
          <w:color w:val="000000"/>
        </w:rPr>
        <w:t>Notifíquese</w:t>
      </w:r>
      <w:r>
        <w:rPr>
          <w:rFonts w:ascii="Palatino Linotype" w:eastAsia="Palatino Linotype" w:hAnsi="Palatino Linotype" w:cs="Palatino Linotype"/>
          <w:b/>
          <w:color w:val="000000"/>
          <w:highlight w:val="white"/>
        </w:rPr>
        <w:t xml:space="preserve"> vía SAIMEX </w:t>
      </w:r>
      <w:r>
        <w:rPr>
          <w:rFonts w:ascii="Palatino Linotype" w:eastAsia="Palatino Linotype" w:hAnsi="Palatino Linotype" w:cs="Palatino Linotype"/>
          <w:color w:val="000000"/>
          <w:highlight w:val="white"/>
        </w:rPr>
        <w:t>al Titular de la Unidad de Transparencia del</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highlight w:val="whit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C63CC" w:rsidRDefault="00E77A1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3C63CC" w:rsidRDefault="00E77A1F">
      <w:pPr>
        <w:spacing w:before="240" w:after="240" w:line="360" w:lineRule="auto"/>
        <w:ind w:right="49"/>
        <w:jc w:val="both"/>
        <w:rPr>
          <w:rFonts w:ascii="Palatino Linotype" w:eastAsia="Palatino Linotype" w:hAnsi="Palatino Linotype" w:cs="Palatino Linotype"/>
          <w:b/>
        </w:rPr>
      </w:pPr>
      <w:bookmarkStart w:id="3" w:name="_heading=h.30j0zll" w:colFirst="0" w:colLast="0"/>
      <w:bookmarkEnd w:id="3"/>
      <w:r>
        <w:rPr>
          <w:rFonts w:ascii="Palatino Linotype" w:eastAsia="Palatino Linotype" w:hAnsi="Palatino Linotype" w:cs="Palatino Linotype"/>
          <w:b/>
        </w:rPr>
        <w:t>Quinto. Notifíquese,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222222"/>
        </w:rPr>
        <w:t xml:space="preserve">que la respuesta que dé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rsidR="003C63CC" w:rsidRDefault="00E77A1F">
      <w:pPr>
        <w:widowControl w:val="0"/>
        <w:tabs>
          <w:tab w:val="left" w:pos="1701"/>
        </w:tabs>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w:t>
      </w:r>
      <w:r>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3C63CC" w:rsidRDefault="003C63CC">
      <w:pPr>
        <w:widowControl w:val="0"/>
        <w:tabs>
          <w:tab w:val="left" w:pos="1701"/>
        </w:tabs>
        <w:spacing w:line="360" w:lineRule="auto"/>
        <w:ind w:right="51"/>
        <w:jc w:val="both"/>
        <w:rPr>
          <w:rFonts w:ascii="Palatino Linotype" w:eastAsia="Palatino Linotype" w:hAnsi="Palatino Linotype" w:cs="Palatino Linotype"/>
        </w:rPr>
      </w:pPr>
    </w:p>
    <w:p w:rsidR="003C63CC" w:rsidRDefault="00E7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Séptimo. Gírese</w:t>
      </w:r>
      <w:r>
        <w:rPr>
          <w:rFonts w:ascii="Palatino Linotype" w:eastAsia="Palatino Linotype" w:hAnsi="Palatino Linotype" w:cs="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w:t>
      </w:r>
    </w:p>
    <w:p w:rsidR="003C63CC" w:rsidRDefault="003C63CC">
      <w:pPr>
        <w:spacing w:line="360" w:lineRule="auto"/>
        <w:jc w:val="both"/>
        <w:rPr>
          <w:rFonts w:ascii="Palatino Linotype" w:eastAsia="Palatino Linotype" w:hAnsi="Palatino Linotype" w:cs="Palatino Linotype"/>
        </w:rPr>
      </w:pPr>
    </w:p>
    <w:p w:rsidR="003C63CC" w:rsidRDefault="00E77A1F">
      <w:pPr>
        <w:spacing w:line="360" w:lineRule="auto"/>
        <w:ind w:right="49"/>
        <w:jc w:val="both"/>
        <w:rPr>
          <w:rFonts w:ascii="Palatino Linotype" w:eastAsia="Palatino Linotype" w:hAnsi="Palatino Linotype" w:cs="Palatino Linotype"/>
        </w:rPr>
        <w:sectPr w:rsidR="003C63CC">
          <w:headerReference w:type="default" r:id="rId22"/>
          <w:footerReference w:type="default" r:id="rId23"/>
          <w:headerReference w:type="first" r:id="rId24"/>
          <w:footerReference w:type="first" r:id="rId25"/>
          <w:pgSz w:w="12240" w:h="15840"/>
          <w:pgMar w:top="1985" w:right="1892" w:bottom="1701" w:left="1701" w:header="709" w:footer="709"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 JULIO DE DOS MIL VEINTIDÓS, ANTE EL SECRETARIO TÉCNICO DEL PLENO ALEXIS TAPIA RAMÍREZ.</w:t>
      </w:r>
    </w:p>
    <w:p w:rsidR="003C63CC" w:rsidRDefault="003C63CC">
      <w:pPr>
        <w:spacing w:before="240" w:after="240" w:line="360" w:lineRule="auto"/>
        <w:jc w:val="both"/>
        <w:rPr>
          <w:rFonts w:ascii="Palatino Linotype" w:eastAsia="Palatino Linotype" w:hAnsi="Palatino Linotype" w:cs="Palatino Linotype"/>
        </w:rPr>
      </w:pPr>
    </w:p>
    <w:p w:rsidR="003C63CC" w:rsidRDefault="003C63CC">
      <w:pPr>
        <w:spacing w:before="240" w:after="240" w:line="360" w:lineRule="auto"/>
        <w:jc w:val="both"/>
        <w:rPr>
          <w:rFonts w:ascii="Palatino Linotype" w:eastAsia="Palatino Linotype" w:hAnsi="Palatino Linotype" w:cs="Palatino Linotype"/>
        </w:rPr>
      </w:pPr>
    </w:p>
    <w:sectPr w:rsidR="003C63CC">
      <w:headerReference w:type="first" r:id="rId26"/>
      <w:pgSz w:w="12240" w:h="15840"/>
      <w:pgMar w:top="1985" w:right="1892"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38F" w:rsidRDefault="003F438F">
      <w:r>
        <w:separator/>
      </w:r>
    </w:p>
  </w:endnote>
  <w:endnote w:type="continuationSeparator" w:id="0">
    <w:p w:rsidR="003F438F" w:rsidRDefault="003F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8F" w:rsidRDefault="003F438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107B">
      <w:rPr>
        <w:rFonts w:ascii="Arial" w:eastAsia="Arial" w:hAnsi="Arial" w:cs="Arial"/>
        <w:b/>
        <w:noProof/>
        <w:color w:val="000000"/>
        <w:sz w:val="20"/>
        <w:szCs w:val="20"/>
      </w:rPr>
      <w:t>65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107B">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rsidR="003F438F" w:rsidRDefault="003F438F">
    <w:pPr>
      <w:pBdr>
        <w:top w:val="nil"/>
        <w:left w:val="nil"/>
        <w:bottom w:val="nil"/>
        <w:right w:val="nil"/>
        <w:between w:val="nil"/>
      </w:pBdr>
      <w:tabs>
        <w:tab w:val="center" w:pos="4252"/>
        <w:tab w:val="right" w:pos="8504"/>
      </w:tabs>
      <w:rPr>
        <w:color w:val="000000"/>
      </w:rPr>
    </w:pPr>
  </w:p>
  <w:p w:rsidR="003F438F" w:rsidRDefault="003F438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8F" w:rsidRDefault="003F438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9107B">
      <w:rPr>
        <w:rFonts w:ascii="Arial" w:eastAsia="Arial" w:hAnsi="Arial" w:cs="Arial"/>
        <w:b/>
        <w:noProof/>
        <w:color w:val="000000"/>
        <w:sz w:val="20"/>
        <w:szCs w:val="20"/>
      </w:rPr>
      <w:t>71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9107B">
      <w:rPr>
        <w:rFonts w:ascii="Arial" w:eastAsia="Arial" w:hAnsi="Arial" w:cs="Arial"/>
        <w:b/>
        <w:noProof/>
        <w:color w:val="000000"/>
        <w:sz w:val="20"/>
        <w:szCs w:val="20"/>
      </w:rPr>
      <w:t>71</w:t>
    </w:r>
    <w:r>
      <w:rPr>
        <w:rFonts w:ascii="Arial" w:eastAsia="Arial" w:hAnsi="Arial" w:cs="Arial"/>
        <w:b/>
        <w:color w:val="000000"/>
        <w:sz w:val="20"/>
        <w:szCs w:val="20"/>
      </w:rPr>
      <w:fldChar w:fldCharType="end"/>
    </w:r>
  </w:p>
  <w:p w:rsidR="003F438F" w:rsidRDefault="003F438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38F" w:rsidRDefault="003F438F">
      <w:r>
        <w:separator/>
      </w:r>
    </w:p>
  </w:footnote>
  <w:footnote w:type="continuationSeparator" w:id="0">
    <w:p w:rsidR="003F438F" w:rsidRDefault="003F438F">
      <w:r>
        <w:continuationSeparator/>
      </w:r>
    </w:p>
  </w:footnote>
  <w:footnote w:id="1">
    <w:p w:rsidR="003F438F" w:rsidRDefault="003F438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3F438F" w:rsidRDefault="003F438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3F438F" w:rsidRDefault="003F438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3F438F" w:rsidRDefault="003F438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8F" w:rsidRDefault="003F438F">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2"/>
      <w:gridCol w:w="2976"/>
    </w:tblGrid>
    <w:tr w:rsidR="003F438F">
      <w:tc>
        <w:tcPr>
          <w:tcW w:w="2552"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3F438F" w:rsidRDefault="003F438F">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05304/INFOEM/IP/RR/2022</w:t>
          </w:r>
        </w:p>
      </w:tc>
    </w:tr>
    <w:tr w:rsidR="003F438F">
      <w:trPr>
        <w:trHeight w:val="228"/>
      </w:trPr>
      <w:tc>
        <w:tcPr>
          <w:tcW w:w="2552"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3F438F" w:rsidRDefault="003F438F">
          <w:pPr>
            <w:ind w:right="-108"/>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proofErr w:type="spellStart"/>
          <w:r>
            <w:rPr>
              <w:rFonts w:ascii="Palatino Linotype" w:eastAsia="Palatino Linotype" w:hAnsi="Palatino Linotype" w:cs="Palatino Linotype"/>
              <w:b/>
              <w:sz w:val="21"/>
              <w:szCs w:val="21"/>
            </w:rPr>
            <w:t>Amanalco</w:t>
          </w:r>
          <w:proofErr w:type="spellEnd"/>
        </w:p>
      </w:tc>
    </w:tr>
    <w:tr w:rsidR="003F438F">
      <w:tc>
        <w:tcPr>
          <w:tcW w:w="2552"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3F438F" w:rsidRDefault="003F438F">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3F438F" w:rsidRDefault="003F438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eastAsia="es-MX"/>
      </w:rPr>
      <w:drawing>
        <wp:anchor distT="0" distB="0" distL="0" distR="0" simplePos="0" relativeHeight="251658240" behindDoc="1" locked="0" layoutInCell="1" hidden="0" allowOverlap="1">
          <wp:simplePos x="0" y="0"/>
          <wp:positionH relativeFrom="column">
            <wp:posOffset>-979169</wp:posOffset>
          </wp:positionH>
          <wp:positionV relativeFrom="paragraph">
            <wp:posOffset>-1078229</wp:posOffset>
          </wp:positionV>
          <wp:extent cx="7635163" cy="9944100"/>
          <wp:effectExtent l="0" t="0" r="0" b="0"/>
          <wp:wrapNone/>
          <wp:docPr id="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8F" w:rsidRDefault="003F438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eastAsia="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-438784</wp:posOffset>
          </wp:positionV>
          <wp:extent cx="7635600" cy="9943200"/>
          <wp:effectExtent l="0" t="0" r="0" b="0"/>
          <wp:wrapNone/>
          <wp:docPr id="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38" w:type="dxa"/>
      <w:tblInd w:w="3119" w:type="dxa"/>
      <w:tblLayout w:type="fixed"/>
      <w:tblLook w:val="0400" w:firstRow="0" w:lastRow="0" w:firstColumn="0" w:lastColumn="0" w:noHBand="0" w:noVBand="1"/>
    </w:tblPr>
    <w:tblGrid>
      <w:gridCol w:w="2551"/>
      <w:gridCol w:w="3687"/>
    </w:tblGrid>
    <w:tr w:rsidR="003F438F">
      <w:tc>
        <w:tcPr>
          <w:tcW w:w="2551"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3F438F" w:rsidRDefault="003F438F">
          <w:pPr>
            <w:ind w:right="7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05304/INFOEM/IP/RR/2022 </w:t>
          </w:r>
        </w:p>
      </w:tc>
    </w:tr>
    <w:tr w:rsidR="003F438F">
      <w:tc>
        <w:tcPr>
          <w:tcW w:w="2551" w:type="dxa"/>
          <w:vAlign w:val="center"/>
        </w:tcPr>
        <w:p w:rsidR="003F438F" w:rsidRDefault="003F438F">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rsidR="003F438F" w:rsidRDefault="0049107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 XXXXXX XXXXXXXXX</w:t>
          </w:r>
        </w:p>
      </w:tc>
    </w:tr>
    <w:tr w:rsidR="003F438F">
      <w:trPr>
        <w:trHeight w:val="228"/>
      </w:trPr>
      <w:tc>
        <w:tcPr>
          <w:tcW w:w="2551"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3F438F" w:rsidRDefault="003F438F">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proofErr w:type="spellStart"/>
          <w:r>
            <w:rPr>
              <w:rFonts w:ascii="Palatino Linotype" w:eastAsia="Palatino Linotype" w:hAnsi="Palatino Linotype" w:cs="Palatino Linotype"/>
              <w:b/>
              <w:sz w:val="21"/>
              <w:szCs w:val="21"/>
            </w:rPr>
            <w:t>Amanalco</w:t>
          </w:r>
          <w:proofErr w:type="spellEnd"/>
        </w:p>
      </w:tc>
    </w:tr>
    <w:tr w:rsidR="003F438F">
      <w:tc>
        <w:tcPr>
          <w:tcW w:w="2551" w:type="dxa"/>
          <w:vAlign w:val="center"/>
        </w:tcPr>
        <w:p w:rsidR="003F438F" w:rsidRDefault="003F438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3F438F" w:rsidRDefault="003F438F">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3F438F" w:rsidRDefault="003F438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38F" w:rsidRDefault="003F438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3F438F" w:rsidRDefault="003F438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7C6"/>
    <w:multiLevelType w:val="multilevel"/>
    <w:tmpl w:val="82B2763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rPr>
        <w:b/>
      </w:r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16B978F2"/>
    <w:multiLevelType w:val="multilevel"/>
    <w:tmpl w:val="575AAC7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47789E"/>
    <w:multiLevelType w:val="multilevel"/>
    <w:tmpl w:val="09BCBCE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5824206B"/>
    <w:multiLevelType w:val="multilevel"/>
    <w:tmpl w:val="A5287E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E295ED3"/>
    <w:multiLevelType w:val="multilevel"/>
    <w:tmpl w:val="0CF20B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9E76A0D"/>
    <w:multiLevelType w:val="multilevel"/>
    <w:tmpl w:val="67F0C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3CC"/>
    <w:rsid w:val="00250BE8"/>
    <w:rsid w:val="003C63CC"/>
    <w:rsid w:val="003F438F"/>
    <w:rsid w:val="0049107B"/>
    <w:rsid w:val="004C5E2E"/>
    <w:rsid w:val="004D3E5A"/>
    <w:rsid w:val="00787E28"/>
    <w:rsid w:val="007F0C37"/>
    <w:rsid w:val="00801116"/>
    <w:rsid w:val="00900D86"/>
    <w:rsid w:val="009C2FA2"/>
    <w:rsid w:val="009E04F4"/>
    <w:rsid w:val="00A04AF6"/>
    <w:rsid w:val="00A35D0F"/>
    <w:rsid w:val="00BE6970"/>
    <w:rsid w:val="00CD094D"/>
    <w:rsid w:val="00D476A7"/>
    <w:rsid w:val="00E246A8"/>
    <w:rsid w:val="00E50708"/>
    <w:rsid w:val="00E77A1F"/>
    <w:rsid w:val="00EB5F1B"/>
    <w:rsid w:val="00EC7925"/>
    <w:rsid w:val="00F665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3CACB-9C44-43BD-8515-E018E276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0C"/>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eastAsia="es-MX"/>
    </w:rPr>
  </w:style>
  <w:style w:type="paragraph" w:styleId="Sinespaciado">
    <w:name w:val="No Spacing"/>
    <w:aliases w:val="Francesa"/>
    <w:link w:val="SinespaciadoCar"/>
    <w:uiPriority w:val="1"/>
    <w:qFormat/>
    <w:rsid w:val="005B2292"/>
    <w:rPr>
      <w:lang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229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2">
    <w:name w:val="Tabla de lista 1 clara - Énfasis 12"/>
    <w:basedOn w:val="Tablanormal"/>
    <w:next w:val="Tabladelista1clara-nfasis1"/>
    <w:uiPriority w:val="46"/>
    <w:rsid w:val="00F35AA6"/>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 w:type="paragraph" w:styleId="Listaconvietas3">
    <w:name w:val="List Bullet 3"/>
    <w:basedOn w:val="Normal"/>
    <w:uiPriority w:val="99"/>
    <w:unhideWhenUsed/>
    <w:rsid w:val="0093093B"/>
    <w:pPr>
      <w:numPr>
        <w:numId w:val="6"/>
      </w:numPr>
      <w:contextualSpacing/>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of.gob.mx/nota_detalle.php?codigo=5492254&amp;fecha=28/07/201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kzPnbOvw3tmC/yapMDgXt1Z1HQ==">AMUW2mV90zWunaJ3Mt/X4TnRM5erK65fVr0MgvpLhSIIEvFGErC2hhMXYydaMmKqjKOPVQnGexrgouSp+M5AB9JsBIdvXLNYS1/Rb1mprwZ0rHLoIR0gI+D+CKa1DAJmwe6QPpKGH60Ik0QBpltkPe5sdvy0WfOakw==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15298</Words>
  <Characters>84142</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99242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USUARIO</cp:lastModifiedBy>
  <cp:revision>3</cp:revision>
  <dcterms:created xsi:type="dcterms:W3CDTF">2022-07-13T22:46:00Z</dcterms:created>
  <dcterms:modified xsi:type="dcterms:W3CDTF">2022-08-04T19:03:00Z</dcterms:modified>
</cp:coreProperties>
</file>