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FFEA9" w14:textId="77777777" w:rsidR="00800E13" w:rsidRDefault="00800E13">
      <w:pPr>
        <w:widowControl w:val="0"/>
        <w:pBdr>
          <w:top w:val="nil"/>
          <w:left w:val="nil"/>
          <w:bottom w:val="nil"/>
          <w:right w:val="nil"/>
          <w:between w:val="nil"/>
        </w:pBdr>
        <w:spacing w:line="276" w:lineRule="auto"/>
      </w:pPr>
    </w:p>
    <w:p w14:paraId="37E96C0B"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nueve de noviembre de dos mil veintidós. </w:t>
      </w:r>
    </w:p>
    <w:p w14:paraId="10E2A2E3" w14:textId="77777777" w:rsidR="00800E13" w:rsidRDefault="00800E13">
      <w:pPr>
        <w:spacing w:line="360" w:lineRule="auto"/>
        <w:jc w:val="both"/>
        <w:rPr>
          <w:rFonts w:ascii="Palatino Linotype" w:eastAsia="Palatino Linotype" w:hAnsi="Palatino Linotype" w:cs="Palatino Linotype"/>
        </w:rPr>
      </w:pPr>
    </w:p>
    <w:p w14:paraId="618F9D7A"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06957/INFOEM/IP/RR/2022, </w:t>
      </w:r>
      <w:r>
        <w:rPr>
          <w:rFonts w:ascii="Palatino Linotype" w:eastAsia="Palatino Linotype" w:hAnsi="Palatino Linotype" w:cs="Palatino Linotype"/>
        </w:rPr>
        <w:t>promovido por un particular de forma anónima</w:t>
      </w:r>
      <w:r>
        <w:rPr>
          <w:rFonts w:ascii="Palatino Linotype" w:eastAsia="Palatino Linotype" w:hAnsi="Palatino Linotype" w:cs="Palatino Linotype"/>
          <w:b/>
        </w:rPr>
        <w:t>,</w:t>
      </w:r>
      <w:r>
        <w:rPr>
          <w:rFonts w:ascii="Palatino Linotype" w:eastAsia="Palatino Linotype" w:hAnsi="Palatino Linotype" w:cs="Palatino Linotype"/>
        </w:rPr>
        <w:t xml:space="preserve"> a quien en lo sucesivo se le denominara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Atizapán de Zaragoza, </w:t>
      </w:r>
      <w:r>
        <w:rPr>
          <w:rFonts w:ascii="Palatino Linotype" w:eastAsia="Palatino Linotype" w:hAnsi="Palatino Linotype" w:cs="Palatino Linotype"/>
        </w:rPr>
        <w:t xml:space="preserve">en lo subsecuente se le denominará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procede a dictar la presente resolución con base en lo siguiente:</w:t>
      </w:r>
    </w:p>
    <w:p w14:paraId="5D99484E" w14:textId="77777777" w:rsidR="00800E13" w:rsidRDefault="00800E13">
      <w:pPr>
        <w:spacing w:line="360" w:lineRule="auto"/>
        <w:jc w:val="both"/>
        <w:rPr>
          <w:rFonts w:ascii="Palatino Linotype" w:eastAsia="Palatino Linotype" w:hAnsi="Palatino Linotype" w:cs="Palatino Linotype"/>
          <w:b/>
        </w:rPr>
      </w:pPr>
    </w:p>
    <w:p w14:paraId="5C77C342" w14:textId="77777777" w:rsidR="00800E13" w:rsidRDefault="00FC5637">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ANTECEDENTES</w:t>
      </w:r>
    </w:p>
    <w:p w14:paraId="798A9C88" w14:textId="77777777" w:rsidR="00800E13" w:rsidRDefault="00800E13">
      <w:pPr>
        <w:rPr>
          <w:rFonts w:ascii="Palatino Linotype" w:eastAsia="Palatino Linotype" w:hAnsi="Palatino Linotype" w:cs="Palatino Linotype"/>
          <w:b/>
        </w:rPr>
      </w:pPr>
    </w:p>
    <w:p w14:paraId="55A3FA47" w14:textId="77777777" w:rsidR="00800E13" w:rsidRDefault="00FC5637">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w:t>
      </w:r>
      <w:r>
        <w:rPr>
          <w:rFonts w:ascii="Palatino Linotype" w:eastAsia="Palatino Linotype" w:hAnsi="Palatino Linotype" w:cs="Palatino Linotype"/>
          <w:b/>
        </w:rPr>
        <w:t xml:space="preserve"> </w:t>
      </w:r>
      <w:r>
        <w:rPr>
          <w:rFonts w:ascii="Palatino Linotype" w:eastAsia="Palatino Linotype" w:hAnsi="Palatino Linotype" w:cs="Palatino Linotype"/>
          <w:b/>
          <w:sz w:val="28"/>
          <w:szCs w:val="28"/>
        </w:rPr>
        <w:t>De la Solicitud de Información</w:t>
      </w:r>
    </w:p>
    <w:p w14:paraId="0EC54CCA" w14:textId="77777777" w:rsidR="00800E13" w:rsidRDefault="00FC5637">
      <w:pPr>
        <w:spacing w:line="360" w:lineRule="auto"/>
        <w:jc w:val="both"/>
        <w:rPr>
          <w:rFonts w:ascii="Palatino Linotype" w:eastAsia="Palatino Linotype" w:hAnsi="Palatino Linotype" w:cs="Palatino Linotype"/>
          <w:i/>
          <w:sz w:val="20"/>
          <w:szCs w:val="20"/>
        </w:rPr>
      </w:pPr>
      <w:bookmarkStart w:id="0" w:name="_heading=h.ifuj3wtxm21l" w:colFirst="0" w:colLast="0"/>
      <w:bookmarkEnd w:id="0"/>
      <w:r>
        <w:rPr>
          <w:rFonts w:ascii="Palatino Linotype" w:eastAsia="Palatino Linotype" w:hAnsi="Palatino Linotype" w:cs="Palatino Linotype"/>
        </w:rPr>
        <w:t xml:space="preserve"> En fecha seis de abril de dos mil veintidós,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a través del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de expediente </w:t>
      </w:r>
      <w:r>
        <w:rPr>
          <w:rFonts w:ascii="Palatino Linotype" w:eastAsia="Palatino Linotype" w:hAnsi="Palatino Linotype" w:cs="Palatino Linotype"/>
          <w:b/>
        </w:rPr>
        <w:t xml:space="preserve">00210/ATIZARA/IP/2022, </w:t>
      </w:r>
      <w:r>
        <w:rPr>
          <w:rFonts w:ascii="Palatino Linotype" w:eastAsia="Palatino Linotype" w:hAnsi="Palatino Linotype" w:cs="Palatino Linotype"/>
        </w:rPr>
        <w:t>requirió, lo siguiente:</w:t>
      </w:r>
    </w:p>
    <w:p w14:paraId="421F9070" w14:textId="77777777" w:rsidR="00800E13" w:rsidRDefault="00FC5637">
      <w:pPr>
        <w:ind w:left="850" w:right="89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“Requiero la documental pública -CONTRATO- que acredite la compra y/o arrendamiento de las patrullas y unidades que utilizara el municipio y en la que se describan el nombre del o los proveedores que vendieron y/o arrendaron dichas unidades, descripción de cada unidad, y monto por el que fueron adquiridas y en su </w:t>
      </w:r>
      <w:r>
        <w:rPr>
          <w:rFonts w:ascii="Palatino Linotype" w:eastAsia="Palatino Linotype" w:hAnsi="Palatino Linotype" w:cs="Palatino Linotype"/>
          <w:i/>
          <w:sz w:val="22"/>
          <w:szCs w:val="22"/>
        </w:rPr>
        <w:lastRenderedPageBreak/>
        <w:t xml:space="preserve">caso </w:t>
      </w:r>
      <w:proofErr w:type="spellStart"/>
      <w:r>
        <w:rPr>
          <w:rFonts w:ascii="Palatino Linotype" w:eastAsia="Palatino Linotype" w:hAnsi="Palatino Linotype" w:cs="Palatino Linotype"/>
          <w:i/>
          <w:sz w:val="22"/>
          <w:szCs w:val="22"/>
        </w:rPr>
        <w:t>arrendadas.de</w:t>
      </w:r>
      <w:proofErr w:type="spellEnd"/>
      <w:r>
        <w:rPr>
          <w:rFonts w:ascii="Palatino Linotype" w:eastAsia="Palatino Linotype" w:hAnsi="Palatino Linotype" w:cs="Palatino Linotype"/>
          <w:i/>
          <w:sz w:val="22"/>
          <w:szCs w:val="22"/>
        </w:rPr>
        <w:t xml:space="preserve"> igual forma requiero la </w:t>
      </w:r>
      <w:proofErr w:type="spellStart"/>
      <w:r>
        <w:rPr>
          <w:rFonts w:ascii="Palatino Linotype" w:eastAsia="Palatino Linotype" w:hAnsi="Palatino Linotype" w:cs="Palatino Linotype"/>
          <w:i/>
          <w:sz w:val="22"/>
          <w:szCs w:val="22"/>
        </w:rPr>
        <w:t>documenmtal</w:t>
      </w:r>
      <w:proofErr w:type="spellEnd"/>
      <w:r>
        <w:rPr>
          <w:rFonts w:ascii="Palatino Linotype" w:eastAsia="Palatino Linotype" w:hAnsi="Palatino Linotype" w:cs="Palatino Linotype"/>
          <w:i/>
          <w:sz w:val="22"/>
          <w:szCs w:val="22"/>
        </w:rPr>
        <w:t xml:space="preserve"> publica que acredite con que recursos se pagara esta compra o </w:t>
      </w:r>
      <w:proofErr w:type="gramStart"/>
      <w:r>
        <w:rPr>
          <w:rFonts w:ascii="Palatino Linotype" w:eastAsia="Palatino Linotype" w:hAnsi="Palatino Linotype" w:cs="Palatino Linotype"/>
          <w:i/>
          <w:sz w:val="22"/>
          <w:szCs w:val="22"/>
        </w:rPr>
        <w:t>arrendamiento..</w:t>
      </w:r>
      <w:proofErr w:type="gramEnd"/>
      <w:r>
        <w:rPr>
          <w:rFonts w:ascii="Palatino Linotype" w:eastAsia="Palatino Linotype" w:hAnsi="Palatino Linotype" w:cs="Palatino Linotype"/>
          <w:i/>
          <w:sz w:val="22"/>
          <w:szCs w:val="22"/>
        </w:rPr>
        <w:t>” (sic)</w:t>
      </w:r>
    </w:p>
    <w:p w14:paraId="4FF4F539" w14:textId="77777777" w:rsidR="00800E13" w:rsidRDefault="00800E13">
      <w:pPr>
        <w:tabs>
          <w:tab w:val="left" w:pos="851"/>
        </w:tabs>
        <w:ind w:right="901"/>
        <w:jc w:val="both"/>
        <w:rPr>
          <w:rFonts w:ascii="Palatino Linotype" w:eastAsia="Palatino Linotype" w:hAnsi="Palatino Linotype" w:cs="Palatino Linotype"/>
          <w:sz w:val="22"/>
          <w:szCs w:val="22"/>
        </w:rPr>
      </w:pPr>
    </w:p>
    <w:p w14:paraId="03707210" w14:textId="77777777" w:rsidR="00800E13" w:rsidRDefault="00FC5637">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p>
    <w:p w14:paraId="0BD487F0" w14:textId="77777777" w:rsidR="00800E13" w:rsidRDefault="00800E13">
      <w:pPr>
        <w:pBdr>
          <w:top w:val="nil"/>
          <w:left w:val="nil"/>
          <w:bottom w:val="nil"/>
          <w:right w:val="nil"/>
          <w:between w:val="nil"/>
        </w:pBdr>
        <w:spacing w:line="360" w:lineRule="auto"/>
        <w:ind w:left="850"/>
        <w:jc w:val="both"/>
        <w:rPr>
          <w:rFonts w:ascii="Palatino Linotype" w:eastAsia="Palatino Linotype" w:hAnsi="Palatino Linotype" w:cs="Palatino Linotype"/>
        </w:rPr>
      </w:pPr>
    </w:p>
    <w:p w14:paraId="736FB789" w14:textId="77777777" w:rsidR="00800E13" w:rsidRDefault="00FC5637">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 Turno de requerimiento del Sujeto Obligado</w:t>
      </w:r>
    </w:p>
    <w:p w14:paraId="1FE0E933"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obran en los expedientes electrónicos del SAIMEX advierte en fecha siete de abril del dos mil veintidós el  turno de requerimiento hecho al servidor público habilitado que estimó competente, en términos de lo establecido por el artículo 162 de la Ley de Transparencia y Acceso a la Información Pública del Estado de México y Municipios.</w:t>
      </w:r>
    </w:p>
    <w:p w14:paraId="125F08B2" w14:textId="77777777" w:rsidR="00800E13" w:rsidRDefault="00FC5637">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 </w:t>
      </w:r>
    </w:p>
    <w:p w14:paraId="62DD4CDC" w14:textId="77777777" w:rsidR="00800E13" w:rsidRDefault="00FC5637">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III. Falta de Respuesta del Sujeto Obligado</w:t>
      </w:r>
    </w:p>
    <w:p w14:paraId="5EDA769A"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obran en el expediente electrónico del SAIMEX se advierte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fue omiso en dar respuesta a la solicitud de acceso a la información pública.  </w:t>
      </w:r>
    </w:p>
    <w:p w14:paraId="7E04D43F" w14:textId="77777777" w:rsidR="00800E13" w:rsidRDefault="00800E13">
      <w:pPr>
        <w:spacing w:line="360" w:lineRule="auto"/>
        <w:jc w:val="both"/>
        <w:rPr>
          <w:rFonts w:ascii="Palatino Linotype" w:eastAsia="Palatino Linotype" w:hAnsi="Palatino Linotype" w:cs="Palatino Linotype"/>
        </w:rPr>
      </w:pPr>
    </w:p>
    <w:p w14:paraId="1A4F8115" w14:textId="77777777" w:rsidR="00800E13" w:rsidRDefault="00FC5637">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IV.  Del Recurso de Revisión</w:t>
      </w:r>
      <w:r>
        <w:rPr>
          <w:rFonts w:ascii="Palatino Linotype" w:eastAsia="Palatino Linotype" w:hAnsi="Palatino Linotype" w:cs="Palatino Linotype"/>
          <w:b/>
        </w:rPr>
        <w:t>.</w:t>
      </w:r>
    </w:p>
    <w:p w14:paraId="7717B068" w14:textId="77777777" w:rsidR="00800E13" w:rsidRDefault="00FC5637">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con la respuesta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el cuatro de mayo de dos mil veintidós,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El cual fue registrado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y se le asignó el número de expediente </w:t>
      </w:r>
      <w:r>
        <w:rPr>
          <w:rFonts w:ascii="Palatino Linotype" w:eastAsia="Palatino Linotype" w:hAnsi="Palatino Linotype" w:cs="Palatino Linotype"/>
          <w:b/>
        </w:rPr>
        <w:t xml:space="preserve">06957/INFOEM/IP/RR/2022, </w:t>
      </w:r>
      <w:r>
        <w:rPr>
          <w:rFonts w:ascii="Palatino Linotype" w:eastAsia="Palatino Linotype" w:hAnsi="Palatino Linotype" w:cs="Palatino Linotype"/>
        </w:rPr>
        <w:t xml:space="preserve">donde los motivos de agravio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fueron los siguientes:</w:t>
      </w:r>
    </w:p>
    <w:p w14:paraId="62D7854F" w14:textId="77777777" w:rsidR="00800E13" w:rsidRDefault="00FC5637">
      <w:pPr>
        <w:spacing w:line="360" w:lineRule="auto"/>
        <w:ind w:left="-57" w:right="-57"/>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lastRenderedPageBreak/>
        <w:t>Acto Impugnado:</w:t>
      </w:r>
      <w:r>
        <w:rPr>
          <w:b/>
          <w:u w:val="single"/>
        </w:rPr>
        <w:t xml:space="preserve"> </w:t>
      </w:r>
    </w:p>
    <w:p w14:paraId="01220789" w14:textId="77777777" w:rsidR="00800E13" w:rsidRDefault="00FC5637">
      <w:pPr>
        <w:tabs>
          <w:tab w:val="left" w:pos="709"/>
        </w:tabs>
        <w:spacing w:before="66"/>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“Negativa a entrega de </w:t>
      </w:r>
      <w:proofErr w:type="gramStart"/>
      <w:r>
        <w:rPr>
          <w:rFonts w:ascii="Palatino Linotype" w:eastAsia="Palatino Linotype" w:hAnsi="Palatino Linotype" w:cs="Palatino Linotype"/>
          <w:i/>
          <w:sz w:val="22"/>
          <w:szCs w:val="22"/>
        </w:rPr>
        <w:t>información”(</w:t>
      </w:r>
      <w:proofErr w:type="gramEnd"/>
      <w:r>
        <w:rPr>
          <w:rFonts w:ascii="Palatino Linotype" w:eastAsia="Palatino Linotype" w:hAnsi="Palatino Linotype" w:cs="Palatino Linotype"/>
          <w:i/>
          <w:sz w:val="22"/>
          <w:szCs w:val="22"/>
        </w:rPr>
        <w:t>sic)</w:t>
      </w:r>
    </w:p>
    <w:p w14:paraId="1187D276" w14:textId="77777777" w:rsidR="00800E13" w:rsidRDefault="00800E13">
      <w:pPr>
        <w:ind w:right="899"/>
        <w:jc w:val="both"/>
        <w:rPr>
          <w:rFonts w:ascii="Palatino Linotype" w:eastAsia="Palatino Linotype" w:hAnsi="Palatino Linotype" w:cs="Palatino Linotype"/>
        </w:rPr>
      </w:pPr>
    </w:p>
    <w:p w14:paraId="22A1BB7B" w14:textId="77777777" w:rsidR="00800E13" w:rsidRDefault="00FC5637">
      <w:pPr>
        <w:spacing w:line="360" w:lineRule="auto"/>
        <w:ind w:right="49"/>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Razones o motivos de inconformidad:</w:t>
      </w:r>
    </w:p>
    <w:p w14:paraId="31A22F05" w14:textId="77777777" w:rsidR="00800E13" w:rsidRDefault="00FC5637">
      <w:pPr>
        <w:tabs>
          <w:tab w:val="left" w:pos="709"/>
        </w:tabs>
        <w:spacing w:before="66"/>
        <w:ind w:left="850" w:right="899"/>
        <w:jc w:val="both"/>
        <w:rPr>
          <w:rFonts w:ascii="Palatino Linotype" w:eastAsia="Palatino Linotype" w:hAnsi="Palatino Linotype" w:cs="Palatino Linotype"/>
        </w:rPr>
      </w:pPr>
      <w:r>
        <w:rPr>
          <w:rFonts w:ascii="Palatino Linotype" w:eastAsia="Palatino Linotype" w:hAnsi="Palatino Linotype" w:cs="Palatino Linotype"/>
          <w:i/>
          <w:sz w:val="22"/>
          <w:szCs w:val="22"/>
        </w:rPr>
        <w:t>“Negativa a entrega de información</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35F2A008" w14:textId="77777777" w:rsidR="00800E13" w:rsidRDefault="00800E13">
      <w:pPr>
        <w:spacing w:line="360" w:lineRule="auto"/>
        <w:jc w:val="both"/>
        <w:rPr>
          <w:rFonts w:ascii="Palatino Linotype" w:eastAsia="Palatino Linotype" w:hAnsi="Palatino Linotype" w:cs="Palatino Linotype"/>
          <w:i/>
        </w:rPr>
      </w:pPr>
    </w:p>
    <w:p w14:paraId="37F2207F" w14:textId="77777777" w:rsidR="00800E13" w:rsidRDefault="00FC5637">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V. Del turno del Recurso de Revisión. </w:t>
      </w:r>
    </w:p>
    <w:p w14:paraId="5ED5722A"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cuatro de mayo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Pr>
          <w:rFonts w:ascii="Palatino Linotype" w:eastAsia="Palatino Linotype" w:hAnsi="Palatino Linotype" w:cs="Palatino Linotype"/>
          <w:b/>
        </w:rPr>
        <w:t>Comisionada Sharon Cristina Morales Martínez</w:t>
      </w:r>
      <w:r>
        <w:rPr>
          <w:rFonts w:ascii="Palatino Linotype" w:eastAsia="Palatino Linotype" w:hAnsi="Palatino Linotype" w:cs="Palatino Linotype"/>
        </w:rPr>
        <w:t>; a efecto de decretar su admisión o desechamiento.</w:t>
      </w:r>
    </w:p>
    <w:p w14:paraId="3D89A0C8" w14:textId="77777777" w:rsidR="00800E13" w:rsidRDefault="00800E13">
      <w:pPr>
        <w:spacing w:line="360" w:lineRule="auto"/>
        <w:jc w:val="both"/>
        <w:rPr>
          <w:rFonts w:ascii="Palatino Linotype" w:eastAsia="Palatino Linotype" w:hAnsi="Palatino Linotype" w:cs="Palatino Linotype"/>
        </w:rPr>
      </w:pPr>
    </w:p>
    <w:p w14:paraId="63E9E53B" w14:textId="77777777" w:rsidR="00800E13" w:rsidRDefault="00FC5637">
      <w:pPr>
        <w:tabs>
          <w:tab w:val="center" w:pos="4252"/>
          <w:tab w:val="right" w:pos="8504"/>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Admisión del Recurso de Revisión</w:t>
      </w:r>
    </w:p>
    <w:p w14:paraId="1F0BFAB4" w14:textId="77777777" w:rsidR="00800E13" w:rsidRDefault="00FC5637">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obran en 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advierte que en fecha nueve de mayo  de dos mil veintidós, se acordó la admisión a trámite del Recurso de Revisión que nos ocupa; así como la integración del expediente respectivo, mismo que se puso a disposición de las partes, para que en un plazo máximo de siete días hábiles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manifestara lo que a su derecho conviniera, a efecto de presentar pruebas y alegatos; así como, para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rindiera el correspondiente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Informe Justificado; lo anterior, conforme a lo dispuesto por el artículo </w:t>
      </w:r>
      <w:r>
        <w:rPr>
          <w:rFonts w:ascii="Palatino Linotype" w:eastAsia="Palatino Linotype" w:hAnsi="Palatino Linotype" w:cs="Palatino Linotype"/>
        </w:rPr>
        <w:lastRenderedPageBreak/>
        <w:t>185 de la Ley de Transparencia y Acceso a la Información Pública del Estado de México y Municipios.</w:t>
      </w:r>
    </w:p>
    <w:p w14:paraId="299D7EF1" w14:textId="77777777" w:rsidR="00800E13" w:rsidRDefault="00800E13">
      <w:pPr>
        <w:tabs>
          <w:tab w:val="center" w:pos="4252"/>
          <w:tab w:val="right" w:pos="8504"/>
        </w:tabs>
        <w:spacing w:line="360" w:lineRule="auto"/>
        <w:jc w:val="both"/>
        <w:rPr>
          <w:rFonts w:ascii="Palatino Linotype" w:eastAsia="Palatino Linotype" w:hAnsi="Palatino Linotype" w:cs="Palatino Linotype"/>
        </w:rPr>
      </w:pPr>
    </w:p>
    <w:p w14:paraId="1A1BBC32" w14:textId="77777777" w:rsidR="00800E13" w:rsidRDefault="00FC563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Informe Justificado</w:t>
      </w:r>
    </w:p>
    <w:p w14:paraId="350F7912" w14:textId="77777777" w:rsidR="00800E13" w:rsidRDefault="00FC5637">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las constancias que obran en el expediente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presentó manifestaciones que a su derecho convinieran. </w:t>
      </w:r>
    </w:p>
    <w:p w14:paraId="2DA47624" w14:textId="77777777" w:rsidR="00800E13" w:rsidRDefault="00800E13">
      <w:pPr>
        <w:widowControl w:val="0"/>
        <w:tabs>
          <w:tab w:val="left" w:pos="0"/>
        </w:tabs>
        <w:spacing w:line="360" w:lineRule="auto"/>
        <w:jc w:val="both"/>
        <w:rPr>
          <w:rFonts w:ascii="Palatino Linotype" w:eastAsia="Palatino Linotype" w:hAnsi="Palatino Linotype" w:cs="Palatino Linotype"/>
        </w:rPr>
      </w:pPr>
    </w:p>
    <w:p w14:paraId="19550B50" w14:textId="77777777" w:rsidR="00800E13" w:rsidRDefault="00FC5637">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presentó dos archivos, el primero de ellos, denominado </w:t>
      </w:r>
      <w:r>
        <w:rPr>
          <w:rFonts w:ascii="Palatino Linotype" w:eastAsia="Palatino Linotype" w:hAnsi="Palatino Linotype" w:cs="Palatino Linotype"/>
          <w:i/>
        </w:rPr>
        <w:t xml:space="preserve">S.H.A.2145.2022.pdff, </w:t>
      </w:r>
      <w:r>
        <w:rPr>
          <w:rFonts w:ascii="Palatino Linotype" w:eastAsia="Palatino Linotype" w:hAnsi="Palatino Linotype" w:cs="Palatino Linotype"/>
        </w:rPr>
        <w:t xml:space="preserve">mismo que contiene la respuesta del Secretario del Ayuntamiento quien refiere remitir la respuesta del Coordinador de Patrimonio Municipal señalando la clasificación de la información como reservada. </w:t>
      </w:r>
    </w:p>
    <w:p w14:paraId="6E9FB36F" w14:textId="77777777" w:rsidR="00800E13" w:rsidRDefault="00800E13">
      <w:pPr>
        <w:widowControl w:val="0"/>
        <w:tabs>
          <w:tab w:val="left" w:pos="0"/>
        </w:tabs>
        <w:spacing w:line="360" w:lineRule="auto"/>
        <w:jc w:val="both"/>
        <w:rPr>
          <w:rFonts w:ascii="Palatino Linotype" w:eastAsia="Palatino Linotype" w:hAnsi="Palatino Linotype" w:cs="Palatino Linotype"/>
        </w:rPr>
      </w:pPr>
    </w:p>
    <w:p w14:paraId="7FB38C13" w14:textId="77777777" w:rsidR="00800E13" w:rsidRDefault="00FC5637">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segundo documento de nombre </w:t>
      </w:r>
      <w:r>
        <w:rPr>
          <w:rFonts w:ascii="Palatino Linotype" w:eastAsia="Palatino Linotype" w:hAnsi="Palatino Linotype" w:cs="Palatino Linotype"/>
          <w:i/>
        </w:rPr>
        <w:t xml:space="preserve">CIR.IV.01.22.04.2022 (2).pdf </w:t>
      </w:r>
      <w:r>
        <w:rPr>
          <w:rFonts w:ascii="Palatino Linotype" w:eastAsia="Palatino Linotype" w:hAnsi="Palatino Linotype" w:cs="Palatino Linotype"/>
        </w:rPr>
        <w:t xml:space="preserve">corresponde al acuerdo de fecha veintidós de abril de dos mil veintidós, mediante el cual el Comité de Transparencia aprobó la Reserva de la información solicitada. </w:t>
      </w:r>
    </w:p>
    <w:p w14:paraId="2611C4B1" w14:textId="77777777" w:rsidR="00800E13" w:rsidRDefault="00800E13">
      <w:pPr>
        <w:widowControl w:val="0"/>
        <w:tabs>
          <w:tab w:val="left" w:pos="0"/>
        </w:tabs>
        <w:spacing w:line="360" w:lineRule="auto"/>
        <w:jc w:val="both"/>
        <w:rPr>
          <w:rFonts w:ascii="Palatino Linotype" w:eastAsia="Palatino Linotype" w:hAnsi="Palatino Linotype" w:cs="Palatino Linotype"/>
          <w:b/>
        </w:rPr>
      </w:pPr>
    </w:p>
    <w:p w14:paraId="12B383A9" w14:textId="77777777" w:rsidR="00800E13" w:rsidRDefault="00FC5637">
      <w:pPr>
        <w:widowControl w:val="0"/>
        <w:tabs>
          <w:tab w:val="left" w:pos="0"/>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 De la ampliación </w:t>
      </w:r>
    </w:p>
    <w:p w14:paraId="0BCE9735" w14:textId="77777777" w:rsidR="00800E13" w:rsidRDefault="00FC5637">
      <w:pPr>
        <w:spacing w:line="360" w:lineRule="auto"/>
        <w:jc w:val="both"/>
        <w:rPr>
          <w:rFonts w:ascii="Palatino Linotype" w:eastAsia="Palatino Linotype" w:hAnsi="Palatino Linotype" w:cs="Palatino Linotype"/>
        </w:rPr>
      </w:pPr>
      <w:bookmarkStart w:id="1" w:name="_heading=h.1fob9te" w:colFirst="0" w:colLast="0"/>
      <w:bookmarkEnd w:id="1"/>
      <w:r>
        <w:rPr>
          <w:rFonts w:ascii="Palatino Linotype" w:eastAsia="Palatino Linotype" w:hAnsi="Palatino Linotype" w:cs="Palatino Linotype"/>
        </w:rPr>
        <w:t xml:space="preserve">En fecha veinticuatro de junio de dos mil veintidós, se notificó el acuerdo de ampliación de plazo para resolver el presente Recurso de Revisión, previsto en el artículo 181, </w:t>
      </w:r>
      <w:r>
        <w:rPr>
          <w:rFonts w:ascii="Palatino Linotype" w:eastAsia="Palatino Linotype" w:hAnsi="Palatino Linotype" w:cs="Palatino Linotype"/>
        </w:rPr>
        <w:lastRenderedPageBreak/>
        <w:t>tercer párrafo de la Ley de Transparencia y Acceso a la Información Pública del Estado de México y Municipios.</w:t>
      </w:r>
    </w:p>
    <w:p w14:paraId="0F8B7132" w14:textId="77777777" w:rsidR="00800E13" w:rsidRDefault="00800E13">
      <w:pPr>
        <w:shd w:val="clear" w:color="auto" w:fill="FFFFFF"/>
        <w:spacing w:line="360" w:lineRule="auto"/>
        <w:jc w:val="both"/>
        <w:rPr>
          <w:rFonts w:ascii="Palatino Linotype" w:eastAsia="Palatino Linotype" w:hAnsi="Palatino Linotype" w:cs="Palatino Linotype"/>
        </w:rPr>
      </w:pPr>
    </w:p>
    <w:p w14:paraId="738253B1" w14:textId="77777777" w:rsidR="00800E13" w:rsidRDefault="00FC5637">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9D1A6E8" w14:textId="77777777" w:rsidR="00800E13" w:rsidRDefault="00FC5637">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b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AFD0AFE" w14:textId="77777777" w:rsidR="00800E13" w:rsidRDefault="00FC5637">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b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9B7DA7" w14:textId="77777777" w:rsidR="00800E13" w:rsidRDefault="00FC5637">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303F2C" w14:textId="77777777" w:rsidR="00800E13" w:rsidRDefault="00FC5637">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br/>
        <w:t>Por ello, excepcionalmente, si un asunto es resuelto con posterioridad a los plazos señalados por la norma debe analizarse la razonabilidad del tiempo necesario para su resolución, atentos a los siguientes criterios: </w:t>
      </w:r>
    </w:p>
    <w:p w14:paraId="25F423BF" w14:textId="77777777" w:rsidR="00800E13" w:rsidRDefault="00FC5637">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br/>
        <w:t>a)      Complejidad del asunto: La complejidad de la prueba, la pluralidad de sujetos procesales, el tiempo transcurrido, las características y contexto del recurso.</w:t>
      </w:r>
      <w:r>
        <w:rPr>
          <w:rFonts w:ascii="Palatino Linotype" w:eastAsia="Palatino Linotype" w:hAnsi="Palatino Linotype" w:cs="Palatino Linotype"/>
        </w:rPr>
        <w:br/>
        <w:t>b)     Actividad Procesal del interesado: Acciones u omisiones del interesado.</w:t>
      </w:r>
      <w:r>
        <w:rPr>
          <w:rFonts w:ascii="Palatino Linotype" w:eastAsia="Palatino Linotype" w:hAnsi="Palatino Linotype" w:cs="Palatino Linotype"/>
        </w:rPr>
        <w:br/>
        <w:t>c)      Conducta de la Autoridad: Las Acciones u omisiones realizadas en el procedimiento. Así como si la autoridad actuó con la debida diligencia.</w:t>
      </w:r>
      <w:r>
        <w:rPr>
          <w:rFonts w:ascii="Palatino Linotype" w:eastAsia="Palatino Linotype" w:hAnsi="Palatino Linotype" w:cs="Palatino Linotype"/>
        </w:rPr>
        <w:br/>
        <w:t>d) La afectación generada en la situación jurídica de la persona involucrada en el proceso: Violación a sus derechos humanos.</w:t>
      </w:r>
    </w:p>
    <w:p w14:paraId="220C2909" w14:textId="77777777" w:rsidR="00800E13" w:rsidRDefault="00FC5637">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b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Pr>
          <w:rFonts w:ascii="Palatino Linotype" w:eastAsia="Palatino Linotype" w:hAnsi="Palatino Linotype" w:cs="Palatino Linotype"/>
        </w:rPr>
        <w:br/>
      </w: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478EFF28" w14:textId="77777777" w:rsidR="00800E13" w:rsidRDefault="00FC5637">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3DF86E9" w14:textId="77777777" w:rsidR="00800E13" w:rsidRDefault="00FC5637">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br/>
        <w:t>Al respecto, también son de considerar los criterios sostenidos por el Cuarto Tribunal Colegiado en Materia Administrativa del Primer Circuito, cuyos rubros y datos de identificación son los siguientes:</w:t>
      </w:r>
      <w:r>
        <w:rPr>
          <w:rFonts w:ascii="Palatino Linotype" w:eastAsia="Palatino Linotype" w:hAnsi="Palatino Linotype" w:cs="Palatino Linotype"/>
        </w:rPr>
        <w:br/>
      </w:r>
      <w:r>
        <w:rPr>
          <w:rFonts w:ascii="Palatino Linotype" w:eastAsia="Palatino Linotype" w:hAnsi="Palatino Linotype" w:cs="Palatino Linotype"/>
        </w:rPr>
        <w:br/>
      </w:r>
      <w:r>
        <w:rPr>
          <w:rFonts w:ascii="Palatino Linotype" w:eastAsia="Palatino Linotype" w:hAnsi="Palatino Linotype" w:cs="Palatino Linotype"/>
          <w:i/>
        </w:rPr>
        <w:lastRenderedPageBreak/>
        <w:t>“PLAZO RAZONABLE PARA RESOLVER. DIMENSIÓN Y EFECTOS DE ESTE CONCEPTO CUANDO SE ADUCE EXCESIVA CARGA DE TRABAJO.</w:t>
      </w:r>
      <w:r>
        <w:rPr>
          <w:rFonts w:ascii="Palatino Linotype" w:eastAsia="Palatino Linotype" w:hAnsi="Palatino Linotype" w:cs="Palatino Linotype"/>
        </w:rPr>
        <w:t>” consultable en el Seminario Judicial de la Federación y su gaceta, con el registro digital 2002351.</w:t>
      </w:r>
      <w:r>
        <w:rPr>
          <w:rFonts w:ascii="Palatino Linotype" w:eastAsia="Palatino Linotype" w:hAnsi="Palatino Linotype" w:cs="Palatino Linotype"/>
        </w:rPr>
        <w:br/>
      </w:r>
      <w:r>
        <w:rPr>
          <w:rFonts w:ascii="Palatino Linotype" w:eastAsia="Palatino Linotype" w:hAnsi="Palatino Linotype" w:cs="Palatino Linotype"/>
        </w:rPr>
        <w:br/>
      </w: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r>
        <w:rPr>
          <w:rFonts w:ascii="Palatino Linotype" w:eastAsia="Palatino Linotype" w:hAnsi="Palatino Linotype" w:cs="Palatino Linotype"/>
        </w:rPr>
        <w:br/>
      </w:r>
      <w:r>
        <w:rPr>
          <w:rFonts w:ascii="Palatino Linotype" w:eastAsia="Palatino Linotype" w:hAnsi="Palatino Linotype" w:cs="Palatino Linotype"/>
        </w:rPr>
        <w:br/>
        <w:t>Por ello, este organismo garante comprometido con la tutela de los derechos humanos confiados, señala que este exceso del plazo legal para resolver el presente asunto, resulta de carácter excepcional.</w:t>
      </w:r>
    </w:p>
    <w:p w14:paraId="41476945" w14:textId="77777777" w:rsidR="00800E13" w:rsidRDefault="00800E13">
      <w:pPr>
        <w:spacing w:line="360" w:lineRule="auto"/>
        <w:jc w:val="both"/>
        <w:rPr>
          <w:rFonts w:ascii="Palatino Linotype" w:eastAsia="Palatino Linotype" w:hAnsi="Palatino Linotype" w:cs="Palatino Linotype"/>
        </w:rPr>
      </w:pPr>
    </w:p>
    <w:p w14:paraId="6B9E40A0" w14:textId="77777777" w:rsidR="00800E13" w:rsidRDefault="00FC563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d) Cierre de Instrucción</w:t>
      </w:r>
    </w:p>
    <w:p w14:paraId="31221BAF"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una vez analizado el estado procesal que guarda el expediente, en fecha </w:t>
      </w:r>
      <w:r w:rsidR="00F5156C">
        <w:rPr>
          <w:rFonts w:ascii="Palatino Linotype" w:eastAsia="Palatino Linotype" w:hAnsi="Palatino Linotype" w:cs="Palatino Linotype"/>
          <w:b/>
          <w:lang w:val="es-419"/>
        </w:rPr>
        <w:t>ocho</w:t>
      </w:r>
      <w:r>
        <w:rPr>
          <w:rFonts w:ascii="Palatino Linotype" w:eastAsia="Palatino Linotype" w:hAnsi="Palatino Linotype" w:cs="Palatino Linotype"/>
          <w:b/>
        </w:rPr>
        <w:t xml:space="preserve"> de noviembre  de dos mil veintidós</w:t>
      </w:r>
      <w:r>
        <w:rPr>
          <w:rFonts w:ascii="Palatino Linotype" w:eastAsia="Palatino Linotype" w:hAnsi="Palatino Linotype" w:cs="Palatino Linotype"/>
        </w:rPr>
        <w:t xml:space="preserve">, la </w:t>
      </w:r>
      <w:r>
        <w:rPr>
          <w:rFonts w:ascii="Palatino Linotype" w:eastAsia="Palatino Linotype" w:hAnsi="Palatino Linotype" w:cs="Palatino Linotype"/>
          <w:b/>
        </w:rPr>
        <w:t xml:space="preserve">Comisionada Sharon Cristina Morales Martínez </w:t>
      </w:r>
      <w:r>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048CCF3C" w14:textId="77777777" w:rsidR="00800E13" w:rsidRDefault="00800E13">
      <w:pPr>
        <w:rPr>
          <w:rFonts w:ascii="Palatino Linotype" w:eastAsia="Palatino Linotype" w:hAnsi="Palatino Linotype" w:cs="Palatino Linotype"/>
          <w:b/>
          <w:sz w:val="28"/>
          <w:szCs w:val="28"/>
        </w:rPr>
      </w:pPr>
    </w:p>
    <w:p w14:paraId="28F6EF4A" w14:textId="77777777" w:rsidR="00800E13" w:rsidRDefault="00800E13">
      <w:pPr>
        <w:jc w:val="center"/>
        <w:rPr>
          <w:rFonts w:ascii="Palatino Linotype" w:eastAsia="Palatino Linotype" w:hAnsi="Palatino Linotype" w:cs="Palatino Linotype"/>
          <w:b/>
          <w:sz w:val="28"/>
          <w:szCs w:val="28"/>
        </w:rPr>
      </w:pPr>
    </w:p>
    <w:p w14:paraId="2446B018" w14:textId="77777777" w:rsidR="00800E13" w:rsidRDefault="00FC5637">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lastRenderedPageBreak/>
        <w:t>CONSIDERANDO</w:t>
      </w:r>
    </w:p>
    <w:p w14:paraId="46DE43C3" w14:textId="77777777" w:rsidR="00800E13" w:rsidRDefault="00800E13">
      <w:pPr>
        <w:jc w:val="center"/>
        <w:rPr>
          <w:rFonts w:ascii="Palatino Linotype" w:eastAsia="Palatino Linotype" w:hAnsi="Palatino Linotype" w:cs="Palatino Linotype"/>
          <w:b/>
          <w:sz w:val="28"/>
          <w:szCs w:val="28"/>
        </w:rPr>
      </w:pPr>
    </w:p>
    <w:p w14:paraId="57DA6EC6" w14:textId="77777777" w:rsidR="00800E13" w:rsidRDefault="00FC5637">
      <w:pPr>
        <w:widowControl w:val="0"/>
        <w:tabs>
          <w:tab w:val="left" w:pos="1701"/>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p>
    <w:p w14:paraId="71D88116" w14:textId="77777777" w:rsidR="00800E13" w:rsidRDefault="00FC5637">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9DD1D0F" w14:textId="77777777" w:rsidR="00800E13" w:rsidRDefault="00800E13">
      <w:pPr>
        <w:spacing w:line="360" w:lineRule="auto"/>
        <w:jc w:val="both"/>
        <w:rPr>
          <w:rFonts w:ascii="Palatino Linotype" w:eastAsia="Palatino Linotype" w:hAnsi="Palatino Linotype" w:cs="Palatino Linotype"/>
          <w:b/>
          <w:sz w:val="28"/>
          <w:szCs w:val="28"/>
        </w:rPr>
      </w:pPr>
    </w:p>
    <w:p w14:paraId="52B089DC" w14:textId="77777777" w:rsidR="00800E13" w:rsidRDefault="00FC563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Interés. </w:t>
      </w:r>
    </w:p>
    <w:p w14:paraId="59A5ACB7" w14:textId="77777777" w:rsidR="00800E13" w:rsidRDefault="00FC5637">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El</w:t>
      </w:r>
      <w:r>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Pr>
          <w:rFonts w:ascii="Palatino Linotype" w:eastAsia="Palatino Linotype" w:hAnsi="Palatino Linotype" w:cs="Palatino Linotype"/>
          <w:b/>
        </w:rPr>
        <w:t>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quien es la misma persona que formuló la solicitud de acceso a la información pública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pues para ello, es necesario que el particular ingrese al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mediante la utilización de su clave de usuario y contraseña.</w:t>
      </w:r>
    </w:p>
    <w:p w14:paraId="43DFC29F" w14:textId="77777777" w:rsidR="00800E13" w:rsidRDefault="00800E13">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7A3A14F1" w14:textId="77777777" w:rsidR="00800E13" w:rsidRDefault="00FC5637">
      <w:pPr>
        <w:tabs>
          <w:tab w:val="center" w:pos="4252"/>
          <w:tab w:val="right" w:pos="8504"/>
        </w:tabs>
        <w:spacing w:line="360" w:lineRule="auto"/>
        <w:ind w:left="-57"/>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lastRenderedPageBreak/>
        <w:t>TERCERO.</w:t>
      </w:r>
      <w:r>
        <w:rPr>
          <w:rFonts w:ascii="Palatino Linotype" w:eastAsia="Palatino Linotype" w:hAnsi="Palatino Linotype" w:cs="Palatino Linotype"/>
        </w:rPr>
        <w:t xml:space="preserve"> </w:t>
      </w:r>
      <w:r>
        <w:rPr>
          <w:rFonts w:ascii="Palatino Linotype" w:eastAsia="Palatino Linotype" w:hAnsi="Palatino Linotype" w:cs="Palatino Linotype"/>
          <w:b/>
          <w:color w:val="000000"/>
        </w:rPr>
        <w:t>Oportunidad</w:t>
      </w:r>
      <w:r>
        <w:rPr>
          <w:rFonts w:ascii="Palatino Linotype" w:eastAsia="Palatino Linotype" w:hAnsi="Palatino Linotype" w:cs="Palatino Linotype"/>
          <w:color w:val="000000"/>
        </w:rPr>
        <w:t xml:space="preserve">. </w:t>
      </w:r>
    </w:p>
    <w:p w14:paraId="214250D2" w14:textId="77777777" w:rsidR="00800E13" w:rsidRDefault="00FC5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 precisar que la Ley de Transparencia y Acceso a la Información Pública del Estado de México y Municipios, describe el mecanismo de procedencia de los Recurso Revisión, como se puede apreciar en el siguiente artículo:</w:t>
      </w:r>
    </w:p>
    <w:p w14:paraId="08235817" w14:textId="77777777" w:rsidR="00800E13" w:rsidRDefault="00800E13">
      <w:pPr>
        <w:jc w:val="both"/>
        <w:rPr>
          <w:rFonts w:ascii="Palatino Linotype" w:eastAsia="Palatino Linotype" w:hAnsi="Palatino Linotype" w:cs="Palatino Linotype"/>
        </w:rPr>
      </w:pPr>
    </w:p>
    <w:p w14:paraId="4EF72EFD"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163.</w:t>
      </w:r>
      <w:r>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7BD2886F" w14:textId="77777777" w:rsidR="00800E13" w:rsidRDefault="00800E13">
      <w:pPr>
        <w:ind w:left="851" w:right="902"/>
        <w:jc w:val="both"/>
        <w:rPr>
          <w:rFonts w:ascii="Palatino Linotype" w:eastAsia="Palatino Linotype" w:hAnsi="Palatino Linotype" w:cs="Palatino Linotype"/>
          <w:i/>
          <w:sz w:val="22"/>
          <w:szCs w:val="22"/>
        </w:rPr>
      </w:pPr>
    </w:p>
    <w:p w14:paraId="56C8F313"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621F757" w14:textId="77777777" w:rsidR="00800E13" w:rsidRDefault="00800E13">
      <w:pPr>
        <w:ind w:left="851" w:right="901"/>
        <w:jc w:val="both"/>
        <w:rPr>
          <w:rFonts w:ascii="Palatino Linotype" w:eastAsia="Palatino Linotype" w:hAnsi="Palatino Linotype" w:cs="Palatino Linotype"/>
          <w:i/>
        </w:rPr>
      </w:pPr>
    </w:p>
    <w:p w14:paraId="101AC3D6"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6DD7ACB3" w14:textId="77777777" w:rsidR="00800E13" w:rsidRDefault="00800E13">
      <w:pPr>
        <w:spacing w:line="360" w:lineRule="auto"/>
        <w:jc w:val="both"/>
        <w:rPr>
          <w:rFonts w:ascii="Palatino Linotype" w:eastAsia="Palatino Linotype" w:hAnsi="Palatino Linotype" w:cs="Palatino Linotype"/>
        </w:rPr>
      </w:pPr>
    </w:p>
    <w:p w14:paraId="06094591"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Derivado de lo anterior, se constituye la figura jurídica de la </w:t>
      </w:r>
      <w:r>
        <w:rPr>
          <w:rFonts w:ascii="Palatino Linotype" w:eastAsia="Palatino Linotype" w:hAnsi="Palatino Linotype" w:cs="Palatino Linotype"/>
          <w:b/>
        </w:rPr>
        <w:t>NEGATIVA FICTA</w:t>
      </w:r>
      <w:r>
        <w:rPr>
          <w:rFonts w:ascii="Palatino Linotype" w:eastAsia="Palatino Linotype" w:hAnsi="Palatino Linotype" w:cs="Palatino Linotype"/>
        </w:rPr>
        <w:t>, la cual consiste en atribuir un efecto negativo al silencio de la autoridad administrativa frente a las instancias y solicitudes que hagan los particulares.</w:t>
      </w:r>
    </w:p>
    <w:p w14:paraId="2CBE8CF1" w14:textId="77777777" w:rsidR="00800E13" w:rsidRDefault="00800E13">
      <w:pPr>
        <w:spacing w:line="360" w:lineRule="auto"/>
        <w:jc w:val="both"/>
        <w:rPr>
          <w:rFonts w:ascii="Palatino Linotype" w:eastAsia="Palatino Linotype" w:hAnsi="Palatino Linotype" w:cs="Palatino Linotype"/>
        </w:rPr>
      </w:pPr>
    </w:p>
    <w:p w14:paraId="2531B50C"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178 de la Ley de Transparencia y Acceso a la Información Pública del Estado de México y Municipios, establece:</w:t>
      </w:r>
    </w:p>
    <w:p w14:paraId="7EFB4960" w14:textId="77777777" w:rsidR="00800E13" w:rsidRDefault="00800E13">
      <w:pPr>
        <w:jc w:val="both"/>
        <w:rPr>
          <w:rFonts w:ascii="Palatino Linotype" w:eastAsia="Palatino Linotype" w:hAnsi="Palatino Linotype" w:cs="Palatino Linotype"/>
        </w:rPr>
      </w:pPr>
    </w:p>
    <w:p w14:paraId="093AD4AD" w14:textId="77777777" w:rsidR="00800E13" w:rsidRDefault="00FC563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30FD9A6F" w14:textId="77777777" w:rsidR="00800E13" w:rsidRDefault="00800E13">
      <w:pPr>
        <w:ind w:left="851" w:right="901"/>
        <w:jc w:val="both"/>
        <w:rPr>
          <w:rFonts w:ascii="Palatino Linotype" w:eastAsia="Palatino Linotype" w:hAnsi="Palatino Linotype" w:cs="Palatino Linotype"/>
          <w:i/>
          <w:sz w:val="22"/>
          <w:szCs w:val="22"/>
        </w:rPr>
      </w:pPr>
    </w:p>
    <w:p w14:paraId="0C1A66E6" w14:textId="77777777" w:rsidR="00800E13" w:rsidRDefault="00FC563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 falta de respuesta del sujeto obligado, dentro de los plazos establecidos en esta Ley, a una solicitud de acceso a la Información Pública, el recurso podrá ser interpuesto en cualquier momento</w:t>
      </w:r>
      <w:r>
        <w:rPr>
          <w:rFonts w:ascii="Palatino Linotype" w:eastAsia="Palatino Linotype" w:hAnsi="Palatino Linotype" w:cs="Palatino Linotype"/>
          <w:i/>
          <w:sz w:val="22"/>
          <w:szCs w:val="22"/>
        </w:rPr>
        <w:t>, acompañado con el documento que pruebe la fecha en que presentó la solicitud.</w:t>
      </w:r>
    </w:p>
    <w:p w14:paraId="6BEA3F79" w14:textId="77777777" w:rsidR="00800E13" w:rsidRDefault="00800E13">
      <w:pPr>
        <w:ind w:left="851" w:right="901"/>
        <w:jc w:val="both"/>
        <w:rPr>
          <w:rFonts w:ascii="Palatino Linotype" w:eastAsia="Palatino Linotype" w:hAnsi="Palatino Linotype" w:cs="Palatino Linotype"/>
          <w:i/>
          <w:sz w:val="22"/>
          <w:szCs w:val="22"/>
        </w:rPr>
      </w:pPr>
    </w:p>
    <w:p w14:paraId="1491EE76" w14:textId="77777777" w:rsidR="00800E13" w:rsidRDefault="00FC563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Revisión al Instituto a más tardar al día siguiente de haberlo recibido.”</w:t>
      </w:r>
    </w:p>
    <w:p w14:paraId="3D75CEC1" w14:textId="77777777" w:rsidR="00800E13" w:rsidRDefault="00FC563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(Énfasis añadido) </w:t>
      </w:r>
    </w:p>
    <w:p w14:paraId="6B898A31" w14:textId="77777777" w:rsidR="00800E13" w:rsidRDefault="00800E13">
      <w:pPr>
        <w:jc w:val="both"/>
        <w:rPr>
          <w:rFonts w:ascii="Palatino Linotype" w:eastAsia="Palatino Linotype" w:hAnsi="Palatino Linotype" w:cs="Palatino Linotype"/>
        </w:rPr>
      </w:pPr>
    </w:p>
    <w:p w14:paraId="16876FF7"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Pr>
          <w:rFonts w:ascii="Palatino Linotype" w:eastAsia="Palatino Linotype" w:hAnsi="Palatino Linotype" w:cs="Palatino Linotype"/>
          <w:b/>
        </w:rPr>
        <w:t xml:space="preserve">EL </w:t>
      </w:r>
      <w:r>
        <w:rPr>
          <w:rFonts w:ascii="Palatino Linotype" w:eastAsia="Palatino Linotype" w:hAnsi="Palatino Linotype" w:cs="Palatino Linotype"/>
          <w:b/>
        </w:rPr>
        <w:lastRenderedPageBreak/>
        <w:t xml:space="preserve">RECURRENTE </w:t>
      </w:r>
      <w:r>
        <w:rPr>
          <w:rFonts w:ascii="Palatino Linotype" w:eastAsia="Palatino Linotype" w:hAnsi="Palatino Linotype" w:cs="Palatino Linotype"/>
        </w:rPr>
        <w:t>está en libertad de presentar su medio de impugnación en cualquier momento; en consecuencia, se tiene que el presente recurso se interpuso oportunamente</w:t>
      </w:r>
    </w:p>
    <w:p w14:paraId="64DF1B70" w14:textId="77777777" w:rsidR="00800E13" w:rsidRDefault="00800E13">
      <w:pPr>
        <w:spacing w:line="360" w:lineRule="auto"/>
        <w:jc w:val="both"/>
        <w:rPr>
          <w:rFonts w:ascii="Palatino Linotype" w:eastAsia="Palatino Linotype" w:hAnsi="Palatino Linotype" w:cs="Palatino Linotype"/>
        </w:rPr>
      </w:pPr>
    </w:p>
    <w:p w14:paraId="5E2C872E" w14:textId="77777777" w:rsidR="00800E13" w:rsidRDefault="00FC5637">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CUARTO</w:t>
      </w:r>
      <w:r>
        <w:rPr>
          <w:rFonts w:ascii="Palatino Linotype" w:eastAsia="Palatino Linotype" w:hAnsi="Palatino Linotype" w:cs="Palatino Linotype"/>
          <w:b/>
        </w:rPr>
        <w:t xml:space="preserve">. Procedibilidad. </w:t>
      </w:r>
    </w:p>
    <w:p w14:paraId="6D4AD456" w14:textId="77777777" w:rsidR="00800E13" w:rsidRDefault="00FC5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completo, tal como se muestra a continuación: </w:t>
      </w:r>
    </w:p>
    <w:p w14:paraId="6AC0E545" w14:textId="77777777" w:rsidR="00800E13" w:rsidRDefault="00800E13">
      <w:pPr>
        <w:spacing w:line="360" w:lineRule="auto"/>
        <w:ind w:right="49"/>
        <w:jc w:val="both"/>
        <w:rPr>
          <w:rFonts w:ascii="Palatino Linotype" w:eastAsia="Palatino Linotype" w:hAnsi="Palatino Linotype" w:cs="Palatino Linotype"/>
        </w:rPr>
      </w:pPr>
    </w:p>
    <w:p w14:paraId="052875FD" w14:textId="77777777" w:rsidR="00800E13" w:rsidRDefault="00FC5637">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180. </w:t>
      </w:r>
      <w:r>
        <w:rPr>
          <w:rFonts w:ascii="Palatino Linotype" w:eastAsia="Palatino Linotype" w:hAnsi="Palatino Linotype" w:cs="Palatino Linotype"/>
          <w:i/>
          <w:sz w:val="22"/>
          <w:szCs w:val="22"/>
        </w:rPr>
        <w:t>El Recurso de Revisión contendrá:</w:t>
      </w:r>
      <w:r>
        <w:rPr>
          <w:rFonts w:ascii="Palatino Linotype" w:eastAsia="Palatino Linotype" w:hAnsi="Palatino Linotype" w:cs="Palatino Linotype"/>
          <w:b/>
          <w:i/>
          <w:sz w:val="22"/>
          <w:szCs w:val="22"/>
        </w:rPr>
        <w:t xml:space="preserve"> </w:t>
      </w:r>
    </w:p>
    <w:p w14:paraId="7C43304A" w14:textId="77777777" w:rsidR="00800E13" w:rsidRDefault="00FC5637">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38A08EBB" w14:textId="77777777" w:rsidR="00800E13" w:rsidRDefault="00FC5637">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El nombre del solicitante </w:t>
      </w:r>
      <w:r>
        <w:rPr>
          <w:rFonts w:ascii="Palatino Linotype" w:eastAsia="Palatino Linotype" w:hAnsi="Palatino Linotype" w:cs="Palatino Linotype"/>
          <w:b/>
          <w:i/>
          <w:color w:val="222222"/>
          <w:sz w:val="22"/>
          <w:szCs w:val="22"/>
        </w:rPr>
        <w:t>que</w:t>
      </w:r>
      <w:r>
        <w:rPr>
          <w:rFonts w:ascii="Palatino Linotype" w:eastAsia="Palatino Linotype" w:hAnsi="Palatino Linotype" w:cs="Palatino Linotype"/>
          <w:b/>
          <w:i/>
          <w:sz w:val="22"/>
          <w:szCs w:val="22"/>
        </w:rPr>
        <w:t xml:space="preserve"> recurre </w:t>
      </w:r>
      <w:r>
        <w:rPr>
          <w:rFonts w:ascii="Palatino Linotype" w:eastAsia="Palatino Linotype" w:hAnsi="Palatino Linotype" w:cs="Palatino Linotype"/>
          <w:i/>
          <w:sz w:val="22"/>
          <w:szCs w:val="22"/>
        </w:rPr>
        <w:t>o de su representante y, en su caso, …</w:t>
      </w:r>
    </w:p>
    <w:p w14:paraId="02905B8D" w14:textId="77777777" w:rsidR="00800E13" w:rsidRDefault="00FC5637">
      <w:pPr>
        <w:tabs>
          <w:tab w:val="left" w:pos="851"/>
        </w:tabs>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En caso de </w:t>
      </w:r>
      <w:r>
        <w:rPr>
          <w:rFonts w:ascii="Palatino Linotype" w:eastAsia="Palatino Linotype" w:hAnsi="Palatino Linotype" w:cs="Palatino Linotype"/>
          <w:b/>
          <w:i/>
          <w:color w:val="222222"/>
          <w:sz w:val="22"/>
          <w:szCs w:val="22"/>
        </w:rPr>
        <w:t>que</w:t>
      </w:r>
      <w:r>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Pr>
          <w:rFonts w:ascii="Palatino Linotype" w:eastAsia="Palatino Linotype" w:hAnsi="Palatino Linotype" w:cs="Palatino Linotype"/>
          <w:i/>
          <w:sz w:val="22"/>
          <w:szCs w:val="22"/>
        </w:rPr>
        <w:t>, IV, VII y VIII.</w:t>
      </w:r>
      <w:r>
        <w:rPr>
          <w:rFonts w:ascii="Palatino Linotype" w:eastAsia="Palatino Linotype" w:hAnsi="Palatino Linotype" w:cs="Palatino Linotype"/>
          <w:b/>
          <w:i/>
          <w:sz w:val="22"/>
          <w:szCs w:val="22"/>
        </w:rPr>
        <w:t>”</w:t>
      </w:r>
    </w:p>
    <w:p w14:paraId="7714EBDD" w14:textId="77777777" w:rsidR="00800E13" w:rsidRDefault="00FC5637">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78A96D9A" w14:textId="77777777" w:rsidR="00800E13" w:rsidRDefault="00800E13">
      <w:pPr>
        <w:tabs>
          <w:tab w:val="left" w:pos="851"/>
        </w:tabs>
        <w:ind w:right="901"/>
        <w:jc w:val="both"/>
        <w:rPr>
          <w:rFonts w:ascii="Palatino Linotype" w:eastAsia="Palatino Linotype" w:hAnsi="Palatino Linotype" w:cs="Palatino Linotype"/>
          <w:i/>
          <w:sz w:val="22"/>
          <w:szCs w:val="22"/>
        </w:rPr>
      </w:pPr>
    </w:p>
    <w:p w14:paraId="16DEA881"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 completo</w:t>
      </w:r>
      <w:r>
        <w:rPr>
          <w:rFonts w:ascii="Palatino Linotype" w:eastAsia="Palatino Linotype" w:hAnsi="Palatino Linotype" w:cs="Palatino Linotype"/>
          <w:b/>
        </w:rPr>
        <w:t>;</w:t>
      </w:r>
      <w:r>
        <w:rPr>
          <w:rFonts w:ascii="Palatino Linotype" w:eastAsia="Palatino Linotype" w:hAnsi="Palatino Linotype" w:cs="Palatino Linotype"/>
        </w:rPr>
        <w:t xml:space="preserve"> por lo que, en el presente caso, al haber sido presentado el Recurso de Revisión vía </w:t>
      </w:r>
      <w:r>
        <w:rPr>
          <w:rFonts w:ascii="Palatino Linotype" w:eastAsia="Palatino Linotype" w:hAnsi="Palatino Linotype" w:cs="Palatino Linotype"/>
          <w:b/>
        </w:rPr>
        <w:t>SAIMEX</w:t>
      </w:r>
      <w:r>
        <w:rPr>
          <w:rFonts w:ascii="Palatino Linotype" w:eastAsia="Palatino Linotype" w:hAnsi="Palatino Linotype" w:cs="Palatino Linotype"/>
        </w:rPr>
        <w:t>, dicho requisito resulta innecesario.</w:t>
      </w:r>
    </w:p>
    <w:p w14:paraId="76F32491" w14:textId="77777777" w:rsidR="00800E13" w:rsidRDefault="00800E13">
      <w:pPr>
        <w:spacing w:line="360" w:lineRule="auto"/>
        <w:jc w:val="both"/>
        <w:rPr>
          <w:rFonts w:ascii="Palatino Linotype" w:eastAsia="Palatino Linotype" w:hAnsi="Palatino Linotype" w:cs="Palatino Linotype"/>
          <w:b/>
        </w:rPr>
      </w:pPr>
    </w:p>
    <w:p w14:paraId="68CEC85B"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Pr>
          <w:rFonts w:ascii="Palatino Linotype" w:eastAsia="Palatino Linotype" w:hAnsi="Palatino Linotype" w:cs="Palatino Linotype"/>
          <w:b/>
          <w:u w:val="single"/>
        </w:rPr>
        <w:t xml:space="preserve">el nombre no es un requisito </w:t>
      </w:r>
      <w:r>
        <w:rPr>
          <w:rFonts w:ascii="Palatino Linotype" w:eastAsia="Palatino Linotype" w:hAnsi="Palatino Linotype" w:cs="Palatino Linotype"/>
          <w:b/>
          <w:i/>
          <w:u w:val="single"/>
        </w:rPr>
        <w:t>sine qua non</w:t>
      </w:r>
      <w:r>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FE94AA9" w14:textId="77777777" w:rsidR="00800E13" w:rsidRDefault="00800E13">
      <w:pPr>
        <w:spacing w:line="360" w:lineRule="auto"/>
        <w:jc w:val="both"/>
        <w:rPr>
          <w:rFonts w:ascii="Palatino Linotype" w:eastAsia="Palatino Linotype" w:hAnsi="Palatino Linotype" w:cs="Palatino Linotype"/>
        </w:rPr>
      </w:pPr>
    </w:p>
    <w:p w14:paraId="13E21C0D" w14:textId="77777777" w:rsidR="00800E13" w:rsidRDefault="00FC563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45ACC5A" w14:textId="77777777" w:rsidR="00800E13" w:rsidRDefault="00800E13">
      <w:pPr>
        <w:tabs>
          <w:tab w:val="left" w:pos="851"/>
        </w:tabs>
        <w:ind w:left="851" w:right="901"/>
        <w:jc w:val="both"/>
        <w:rPr>
          <w:rFonts w:ascii="Palatino Linotype" w:eastAsia="Palatino Linotype" w:hAnsi="Palatino Linotype" w:cs="Palatino Linotype"/>
          <w:sz w:val="22"/>
          <w:szCs w:val="22"/>
        </w:rPr>
      </w:pPr>
    </w:p>
    <w:p w14:paraId="0A5E8A4A"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estima que el requisito relativo al nombre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Pr>
          <w:rFonts w:ascii="Palatino Linotype" w:eastAsia="Palatino Linotype" w:hAnsi="Palatino Linotype" w:cs="Palatino Linotype"/>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es la misma persona que realizó la solicitud de Acceso a la Información Pública que ahora se impugna.</w:t>
      </w:r>
    </w:p>
    <w:p w14:paraId="67EBFA71" w14:textId="77777777" w:rsidR="00800E13" w:rsidRDefault="00800E13">
      <w:pPr>
        <w:tabs>
          <w:tab w:val="left" w:pos="851"/>
        </w:tabs>
        <w:ind w:left="851" w:right="901"/>
        <w:jc w:val="both"/>
        <w:rPr>
          <w:rFonts w:ascii="Palatino Linotype" w:eastAsia="Palatino Linotype" w:hAnsi="Palatino Linotype" w:cs="Palatino Linotype"/>
          <w:sz w:val="22"/>
          <w:szCs w:val="22"/>
        </w:rPr>
      </w:pPr>
    </w:p>
    <w:p w14:paraId="62F3BEC7"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BEAD08E" w14:textId="77777777" w:rsidR="00800E13" w:rsidRDefault="00800E13">
      <w:pPr>
        <w:spacing w:line="360" w:lineRule="auto"/>
        <w:jc w:val="both"/>
        <w:rPr>
          <w:rFonts w:ascii="Palatino Linotype" w:eastAsia="Palatino Linotype" w:hAnsi="Palatino Linotype" w:cs="Palatino Linotype"/>
          <w:b/>
          <w:sz w:val="28"/>
          <w:szCs w:val="28"/>
        </w:rPr>
      </w:pPr>
    </w:p>
    <w:p w14:paraId="3A4F9F85" w14:textId="77777777" w:rsidR="00800E13" w:rsidRDefault="00FC563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xml:space="preserve">. Estudio y resolución del asunto. </w:t>
      </w:r>
    </w:p>
    <w:p w14:paraId="1BA7732E" w14:textId="77777777" w:rsidR="00800E13" w:rsidRDefault="00FC5637">
      <w:pPr>
        <w:tabs>
          <w:tab w:val="left" w:pos="709"/>
        </w:tabs>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En primera instancia es importante recordar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solicitó al </w:t>
      </w:r>
      <w:r>
        <w:rPr>
          <w:rFonts w:ascii="Palatino Linotype" w:eastAsia="Palatino Linotype" w:hAnsi="Palatino Linotype" w:cs="Palatino Linotype"/>
          <w:b/>
        </w:rPr>
        <w:t xml:space="preserve">SUJETO OBLIGADO el: </w:t>
      </w:r>
      <w:r>
        <w:rPr>
          <w:rFonts w:ascii="Palatino Linotype" w:eastAsia="Palatino Linotype" w:hAnsi="Palatino Linotype" w:cs="Palatino Linotype"/>
          <w:i/>
        </w:rPr>
        <w:t xml:space="preserve">“(...) CONTRATO- que acredite la compra y/o arrendamiento de las patrullas y unidades que utilizara el municipio y en la que se describan el nombre del o los proveedores que vendieron y/o arrendaron dichas unidades, descripción de cada unidad, y monto </w:t>
      </w:r>
      <w:r>
        <w:rPr>
          <w:rFonts w:ascii="Palatino Linotype" w:eastAsia="Palatino Linotype" w:hAnsi="Palatino Linotype" w:cs="Palatino Linotype"/>
          <w:i/>
        </w:rPr>
        <w:lastRenderedPageBreak/>
        <w:t xml:space="preserve">por el que fueron adquiridas y en su caso </w:t>
      </w:r>
      <w:proofErr w:type="spellStart"/>
      <w:r>
        <w:rPr>
          <w:rFonts w:ascii="Palatino Linotype" w:eastAsia="Palatino Linotype" w:hAnsi="Palatino Linotype" w:cs="Palatino Linotype"/>
          <w:i/>
        </w:rPr>
        <w:t>arrendadas.de</w:t>
      </w:r>
      <w:proofErr w:type="spellEnd"/>
      <w:r>
        <w:rPr>
          <w:rFonts w:ascii="Palatino Linotype" w:eastAsia="Palatino Linotype" w:hAnsi="Palatino Linotype" w:cs="Palatino Linotype"/>
          <w:i/>
        </w:rPr>
        <w:t xml:space="preserve"> igual forma requiero la </w:t>
      </w:r>
      <w:proofErr w:type="spellStart"/>
      <w:r>
        <w:rPr>
          <w:rFonts w:ascii="Palatino Linotype" w:eastAsia="Palatino Linotype" w:hAnsi="Palatino Linotype" w:cs="Palatino Linotype"/>
          <w:i/>
        </w:rPr>
        <w:t>documenmtal</w:t>
      </w:r>
      <w:proofErr w:type="spellEnd"/>
      <w:r>
        <w:rPr>
          <w:rFonts w:ascii="Palatino Linotype" w:eastAsia="Palatino Linotype" w:hAnsi="Palatino Linotype" w:cs="Palatino Linotype"/>
          <w:i/>
        </w:rPr>
        <w:t xml:space="preserve"> publica que acredite con que recursos se pagara esta compra o arrendamiento.” (Sic)</w:t>
      </w:r>
    </w:p>
    <w:p w14:paraId="01FA7897" w14:textId="77777777" w:rsidR="00800E13" w:rsidRDefault="00800E13">
      <w:pPr>
        <w:tabs>
          <w:tab w:val="left" w:pos="709"/>
        </w:tabs>
        <w:spacing w:line="360" w:lineRule="auto"/>
        <w:jc w:val="both"/>
        <w:rPr>
          <w:rFonts w:ascii="Palatino Linotype" w:eastAsia="Palatino Linotype" w:hAnsi="Palatino Linotype" w:cs="Palatino Linotype"/>
        </w:rPr>
      </w:pPr>
    </w:p>
    <w:p w14:paraId="00F0FA46" w14:textId="77777777" w:rsidR="00800E13" w:rsidRDefault="00FC5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una vez transcurrido el plazo previsto por la ley de Transparencia y Acceso a la Información Pública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fue omiso en dar respuesta a la solicitud de acceso a la información pública. </w:t>
      </w:r>
    </w:p>
    <w:p w14:paraId="37BDF280" w14:textId="77777777" w:rsidR="00800E13" w:rsidRDefault="00800E13">
      <w:pPr>
        <w:spacing w:line="360" w:lineRule="auto"/>
        <w:ind w:right="49"/>
        <w:jc w:val="both"/>
        <w:rPr>
          <w:rFonts w:ascii="Palatino Linotype" w:eastAsia="Palatino Linotype" w:hAnsi="Palatino Linotype" w:cs="Palatino Linotype"/>
        </w:rPr>
      </w:pPr>
    </w:p>
    <w:p w14:paraId="0D0CE347" w14:textId="77777777" w:rsidR="00800E13" w:rsidRDefault="00FC5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la falta de respuesta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presente medio de impugnación señalando que el plazo para otorgar respuesta concluyó sin que hubiera pronunciamiento alguno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situación que puede verificarse mediante las constancias que obran en el expediente electrónico del SAIMEX, mismas que se inserta a continuación: </w:t>
      </w:r>
    </w:p>
    <w:p w14:paraId="4277C5CD" w14:textId="77777777" w:rsidR="00800E13" w:rsidRDefault="00FC5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419"/>
        </w:rPr>
        <w:drawing>
          <wp:inline distT="114300" distB="114300" distL="114300" distR="114300" wp14:anchorId="09400FB6" wp14:editId="79A77415">
            <wp:extent cx="5791835" cy="1244600"/>
            <wp:effectExtent l="0" t="0" r="0" b="0"/>
            <wp:docPr id="3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791835" cy="1244600"/>
                    </a:xfrm>
                    <a:prstGeom prst="rect">
                      <a:avLst/>
                    </a:prstGeom>
                    <a:ln/>
                  </pic:spPr>
                </pic:pic>
              </a:graphicData>
            </a:graphic>
          </wp:inline>
        </w:drawing>
      </w:r>
    </w:p>
    <w:p w14:paraId="07EC2D5B" w14:textId="77777777" w:rsidR="00800E13" w:rsidRDefault="00800E13">
      <w:pPr>
        <w:spacing w:line="360" w:lineRule="auto"/>
        <w:ind w:right="49"/>
        <w:jc w:val="both"/>
        <w:rPr>
          <w:rFonts w:ascii="Palatino Linotype" w:eastAsia="Palatino Linotype" w:hAnsi="Palatino Linotype" w:cs="Palatino Linotype"/>
        </w:rPr>
      </w:pPr>
    </w:p>
    <w:p w14:paraId="0A94B469" w14:textId="77777777" w:rsidR="00800E13" w:rsidRDefault="00FC5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la imagen antes insertada, se desprende que después del turno al servidor público habilitado no se hizo notificación alguna de la respuesta. En consecuencia, en el caso que nos ocupa se actualiza la hipótesis de procedibilidad prevista en la fracción VII, </w:t>
      </w:r>
      <w:r>
        <w:rPr>
          <w:rFonts w:ascii="Palatino Linotype" w:eastAsia="Palatino Linotype" w:hAnsi="Palatino Linotype" w:cs="Palatino Linotype"/>
        </w:rPr>
        <w:lastRenderedPageBreak/>
        <w:t>del artículo 179 de la Ley de Transparencia y Acceso a la Información Pública del Estado de México y Municipios, el cual a la letra dice:</w:t>
      </w:r>
    </w:p>
    <w:p w14:paraId="05D9C40A" w14:textId="77777777" w:rsidR="00800E13" w:rsidRDefault="00FC563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E426756" w14:textId="77777777" w:rsidR="00800E13" w:rsidRDefault="00FC5637">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24830E75" w14:textId="77777777" w:rsidR="00800E13" w:rsidRDefault="00FC5637">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 La falta de respuesta a una solicitud de acceso a la información; </w:t>
      </w:r>
    </w:p>
    <w:p w14:paraId="52CE6B88" w14:textId="77777777" w:rsidR="00800E13" w:rsidRDefault="00FC563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54000FC1" w14:textId="77777777" w:rsidR="00800E13" w:rsidRDefault="00FC5637">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216946AB" w14:textId="77777777" w:rsidR="00800E13" w:rsidRDefault="00800E13">
      <w:pPr>
        <w:spacing w:line="360" w:lineRule="auto"/>
        <w:ind w:right="49"/>
        <w:jc w:val="both"/>
        <w:rPr>
          <w:rFonts w:ascii="Palatino Linotype" w:eastAsia="Palatino Linotype" w:hAnsi="Palatino Linotype" w:cs="Palatino Linotype"/>
        </w:rPr>
      </w:pPr>
    </w:p>
    <w:p w14:paraId="5EC8C2A5" w14:textId="77777777" w:rsidR="00800E13" w:rsidRDefault="00FC5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bien de los argumentos antes expuestos se concluye que las razones o motivos de inconformidad vertidos por el particular en el escrito de interposición del presente  Recurso de Revisión devienen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w:t>
      </w:r>
    </w:p>
    <w:p w14:paraId="56E01A71" w14:textId="77777777" w:rsidR="00800E13" w:rsidRDefault="00800E13">
      <w:pPr>
        <w:spacing w:line="360" w:lineRule="auto"/>
        <w:ind w:right="49"/>
        <w:jc w:val="both"/>
        <w:rPr>
          <w:rFonts w:ascii="Palatino Linotype" w:eastAsia="Palatino Linotype" w:hAnsi="Palatino Linotype" w:cs="Palatino Linotype"/>
        </w:rPr>
      </w:pPr>
    </w:p>
    <w:p w14:paraId="6E634D78"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lo anterior, es preciso mencionar que una vez abierta la etapa procesal de manifestaciones,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remitió dos archivos, el primero de ellos, denominado </w:t>
      </w:r>
      <w:r>
        <w:rPr>
          <w:rFonts w:ascii="Palatino Linotype" w:eastAsia="Palatino Linotype" w:hAnsi="Palatino Linotype" w:cs="Palatino Linotype"/>
          <w:i/>
        </w:rPr>
        <w:t xml:space="preserve">S.H.A.2145.2022.pdff, </w:t>
      </w:r>
      <w:r>
        <w:rPr>
          <w:rFonts w:ascii="Palatino Linotype" w:eastAsia="Palatino Linotype" w:hAnsi="Palatino Linotype" w:cs="Palatino Linotype"/>
        </w:rPr>
        <w:t xml:space="preserve">mismo que contiene la respuesta del Secretario del Ayuntamiento quien refiere remitir la respuesta del Coordinador de Patrimonio Municipal señalando la clasificación de la información como reservada. </w:t>
      </w:r>
    </w:p>
    <w:p w14:paraId="729FEE6D" w14:textId="77777777" w:rsidR="00800E13" w:rsidRDefault="00800E13">
      <w:pPr>
        <w:widowControl w:val="0"/>
        <w:tabs>
          <w:tab w:val="left" w:pos="0"/>
        </w:tabs>
        <w:spacing w:line="360" w:lineRule="auto"/>
        <w:jc w:val="both"/>
        <w:rPr>
          <w:rFonts w:ascii="Palatino Linotype" w:eastAsia="Palatino Linotype" w:hAnsi="Palatino Linotype" w:cs="Palatino Linotype"/>
        </w:rPr>
      </w:pPr>
    </w:p>
    <w:p w14:paraId="7C8AB2EC" w14:textId="77777777" w:rsidR="00800E13" w:rsidRDefault="00FC5637">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segundo documento de nombre </w:t>
      </w:r>
      <w:r>
        <w:rPr>
          <w:rFonts w:ascii="Palatino Linotype" w:eastAsia="Palatino Linotype" w:hAnsi="Palatino Linotype" w:cs="Palatino Linotype"/>
          <w:i/>
        </w:rPr>
        <w:t xml:space="preserve">CIR.IV.01.22.04.2022 (2).pdf </w:t>
      </w:r>
      <w:r>
        <w:rPr>
          <w:rFonts w:ascii="Palatino Linotype" w:eastAsia="Palatino Linotype" w:hAnsi="Palatino Linotype" w:cs="Palatino Linotype"/>
        </w:rPr>
        <w:t>corresponde al acuerdo de fecha veintidós de abril de dos mil veintidós, mediante el cual el Comité de Transparencia aprobó la reserva de la información solicitada.</w:t>
      </w:r>
    </w:p>
    <w:p w14:paraId="6FFEF427" w14:textId="77777777" w:rsidR="00800E13" w:rsidRDefault="00800E13">
      <w:pPr>
        <w:widowControl w:val="0"/>
        <w:tabs>
          <w:tab w:val="left" w:pos="0"/>
        </w:tabs>
        <w:spacing w:line="360" w:lineRule="auto"/>
        <w:jc w:val="both"/>
        <w:rPr>
          <w:rFonts w:ascii="Palatino Linotype" w:eastAsia="Palatino Linotype" w:hAnsi="Palatino Linotype" w:cs="Palatino Linotype"/>
        </w:rPr>
      </w:pPr>
    </w:p>
    <w:p w14:paraId="22E97614" w14:textId="77777777" w:rsidR="00800E13" w:rsidRDefault="00FC5637">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corresponde analizar el total de las constancias que obran en el expediente </w:t>
      </w:r>
      <w:r>
        <w:rPr>
          <w:rFonts w:ascii="Palatino Linotype" w:eastAsia="Palatino Linotype" w:hAnsi="Palatino Linotype" w:cs="Palatino Linotype"/>
        </w:rPr>
        <w:lastRenderedPageBreak/>
        <w:t xml:space="preserve">electrónico del SAIMEX, para determinar si con estas se puede colmar el derecho de acceso a la información del particular. </w:t>
      </w:r>
    </w:p>
    <w:p w14:paraId="7163A51F" w14:textId="77777777" w:rsidR="00800E13" w:rsidRDefault="00800E13">
      <w:pPr>
        <w:widowControl w:val="0"/>
        <w:tabs>
          <w:tab w:val="left" w:pos="0"/>
        </w:tabs>
        <w:spacing w:line="360" w:lineRule="auto"/>
        <w:jc w:val="both"/>
        <w:rPr>
          <w:rFonts w:ascii="Palatino Linotype" w:eastAsia="Palatino Linotype" w:hAnsi="Palatino Linotype" w:cs="Palatino Linotype"/>
        </w:rPr>
      </w:pPr>
    </w:p>
    <w:p w14:paraId="16C27786" w14:textId="77777777" w:rsidR="00800E13" w:rsidRDefault="00FC5637">
      <w:pPr>
        <w:spacing w:line="360" w:lineRule="auto"/>
        <w:ind w:right="49"/>
        <w:jc w:val="both"/>
      </w:pPr>
      <w:r>
        <w:rPr>
          <w:rFonts w:ascii="Palatino Linotype" w:eastAsia="Palatino Linotype" w:hAnsi="Palatino Linotype" w:cs="Palatino Linotype"/>
        </w:rPr>
        <w:t xml:space="preserve">Antes que nada, debe </w:t>
      </w:r>
      <w:r>
        <w:rPr>
          <w:rFonts w:ascii="Palatino Linotype" w:eastAsia="Palatino Linotype" w:hAnsi="Palatino Linotype" w:cs="Palatino Linotype"/>
          <w:color w:val="222222"/>
        </w:rPr>
        <w:t xml:space="preserve">precisarse </w:t>
      </w:r>
      <w:r>
        <w:rPr>
          <w:rFonts w:ascii="Palatino Linotype" w:eastAsia="Palatino Linotype" w:hAnsi="Palatino Linotype" w:cs="Palatino Linotype"/>
        </w:rPr>
        <w:t>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veintiocho de marzo del año dos mil veintidós, discernimiento que encuentra apoyado en los Criterios 1/2010 y 2/2010,  emitidos por el “Comité de Acceso a la Información y Protección de Datos personales” de la Suprema Corte de Justicia de la Nación, que disponen: </w:t>
      </w:r>
    </w:p>
    <w:p w14:paraId="3D6FFA77" w14:textId="77777777" w:rsidR="00800E13" w:rsidRDefault="00800E13"/>
    <w:p w14:paraId="0BE87635" w14:textId="77777777" w:rsidR="00800E13" w:rsidRDefault="00FC5637">
      <w:pPr>
        <w:ind w:left="851" w:right="900"/>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Criterio 1/2010</w:t>
      </w:r>
    </w:p>
    <w:p w14:paraId="700B93F6" w14:textId="77777777" w:rsidR="00800E13" w:rsidRDefault="00FC5637">
      <w:pPr>
        <w:ind w:left="851" w:right="900"/>
        <w:jc w:val="both"/>
      </w:pPr>
      <w:r>
        <w:rPr>
          <w:rFonts w:ascii="Palatino Linotype" w:eastAsia="Palatino Linotype" w:hAnsi="Palatino Linotype" w:cs="Palatino Linotype"/>
          <w:b/>
          <w:i/>
          <w:sz w:val="22"/>
          <w:szCs w:val="22"/>
        </w:rPr>
        <w:t>SOLICITUD DE ACCESO A LA INFORMACIÓN. SU OTORGAMIENTO ES RESPECTO DE AQUELLA QUE EXISTA Y SE HUBIESE GENERADO AL MOMENTO DE LA PETICIÓN.</w:t>
      </w:r>
    </w:p>
    <w:p w14:paraId="073833DD" w14:textId="77777777" w:rsidR="00800E13" w:rsidRDefault="00FC5637">
      <w:pPr>
        <w:ind w:left="851" w:right="900"/>
        <w:jc w:val="both"/>
      </w:pPr>
      <w:r>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122A638E" w14:textId="77777777" w:rsidR="00800E13" w:rsidRDefault="00FC563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Clasificación de Información 69/2009-A. 30 de septiembre de 2009. Unanimidad de votos.”</w:t>
      </w:r>
    </w:p>
    <w:p w14:paraId="7F39EFE3" w14:textId="77777777" w:rsidR="00800E13" w:rsidRDefault="00800E13">
      <w:pPr>
        <w:ind w:left="851" w:right="900"/>
        <w:jc w:val="both"/>
        <w:rPr>
          <w:rFonts w:ascii="Palatino Linotype" w:eastAsia="Palatino Linotype" w:hAnsi="Palatino Linotype" w:cs="Palatino Linotype"/>
          <w:i/>
          <w:sz w:val="22"/>
          <w:szCs w:val="22"/>
        </w:rPr>
      </w:pPr>
    </w:p>
    <w:p w14:paraId="6CB4C53B" w14:textId="77777777" w:rsidR="00800E13" w:rsidRDefault="00FC5637">
      <w:pPr>
        <w:ind w:left="851" w:right="900"/>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Criterio 2/2010.</w:t>
      </w:r>
    </w:p>
    <w:p w14:paraId="6DFF6CAE" w14:textId="77777777" w:rsidR="00800E13" w:rsidRDefault="00FC5637">
      <w:pPr>
        <w:ind w:left="851" w:right="900"/>
        <w:jc w:val="both"/>
      </w:pPr>
      <w:r>
        <w:rPr>
          <w:rFonts w:ascii="Palatino Linotype" w:eastAsia="Palatino Linotype" w:hAnsi="Palatino Linotype" w:cs="Palatino Linotype"/>
          <w:b/>
          <w:i/>
          <w:sz w:val="22"/>
          <w:szCs w:val="22"/>
        </w:rPr>
        <w:t>SOLICITUD DE ACCESO A LA INFORMACIÓN. ES MATERIA DE ANÁLISIS Y OTORGAMIENTO LA GENERADA HASTA LA FECHA DE LA SOLICITUD EN CASO DE IMPRECISIÓN TEMPORAL. </w:t>
      </w:r>
    </w:p>
    <w:p w14:paraId="7AF93FFA" w14:textId="77777777" w:rsidR="00800E13" w:rsidRDefault="00FC5637">
      <w:pPr>
        <w:ind w:left="851" w:right="900"/>
        <w:jc w:val="both"/>
      </w:pPr>
      <w:r>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471841E5" w14:textId="77777777" w:rsidR="00800E13" w:rsidRDefault="00FC5637">
      <w:pPr>
        <w:ind w:left="851" w:right="900"/>
        <w:jc w:val="both"/>
      </w:pPr>
      <w:r>
        <w:rPr>
          <w:rFonts w:ascii="Palatino Linotype" w:eastAsia="Palatino Linotype" w:hAnsi="Palatino Linotype" w:cs="Palatino Linotype"/>
          <w:i/>
          <w:sz w:val="22"/>
          <w:szCs w:val="22"/>
        </w:rPr>
        <w:t>Clasificación de Información 69/2009-A. 30 de septiembre de 2009. Unanimidad de votos.”(Sic)</w:t>
      </w:r>
    </w:p>
    <w:p w14:paraId="08A4D393" w14:textId="77777777" w:rsidR="00800E13" w:rsidRDefault="00800E13">
      <w:pPr>
        <w:spacing w:before="240" w:line="360" w:lineRule="auto"/>
        <w:jc w:val="both"/>
        <w:rPr>
          <w:rFonts w:ascii="Palatino Linotype" w:eastAsia="Palatino Linotype" w:hAnsi="Palatino Linotype" w:cs="Palatino Linotype"/>
        </w:rPr>
      </w:pPr>
    </w:p>
    <w:p w14:paraId="365558AA"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se debe resaltar que con las manifestaciones hechas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proporcionada en el SAIMEX, éste no niega contar con la información solicitada por el recurrente, sino por el contrario, asume que la tiene al hacer la reserva de la información solicitada, por lo cual, la competencia del Ayuntamiento de Atizapán de Zaragoza para generar la información solicitada, en el caso concreto, se obvia.</w:t>
      </w:r>
    </w:p>
    <w:p w14:paraId="03373652" w14:textId="77777777" w:rsidR="00800E13" w:rsidRDefault="00800E13">
      <w:pPr>
        <w:spacing w:line="360" w:lineRule="auto"/>
        <w:jc w:val="both"/>
        <w:rPr>
          <w:rFonts w:ascii="Palatino Linotype" w:eastAsia="Palatino Linotype" w:hAnsi="Palatino Linotype" w:cs="Palatino Linotype"/>
        </w:rPr>
      </w:pPr>
    </w:p>
    <w:p w14:paraId="782BA2FB" w14:textId="77777777" w:rsidR="00800E13" w:rsidRDefault="00FC5637">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el estudio enunciado tiene por objeto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posee o administra la información solicitada; sin embargo, en aquellos casos en que éste la asume, ello efectivamente está en su poder; por </w:t>
      </w:r>
      <w:r>
        <w:rPr>
          <w:rFonts w:ascii="Palatino Linotype" w:eastAsia="Palatino Linotype" w:hAnsi="Palatino Linotype" w:cs="Palatino Linotype"/>
        </w:rPr>
        <w:lastRenderedPageBreak/>
        <w:t xml:space="preserve">consiguiente, sería ocioso y a nada práctico nos conduciría su estudio, ya que se insiste, la información pública solicitada fue asumida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lo anterior conforme al criterio 29/2010 del Instituto Nacional de Transparencia, Acceso a la Información Pública y Protección de Datos Personales, que señala:</w:t>
      </w:r>
    </w:p>
    <w:p w14:paraId="3D18640F" w14:textId="77777777" w:rsidR="00800E13" w:rsidRDefault="00FC563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clasificación y la inexistencia de información son conceptos que no pueden coexistir.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w:t>
      </w:r>
      <w:proofErr w:type="spellStart"/>
      <w:r>
        <w:rPr>
          <w:rFonts w:ascii="Palatino Linotype" w:eastAsia="Palatino Linotype" w:hAnsi="Palatino Linotype" w:cs="Palatino Linotype"/>
          <w:i/>
          <w:sz w:val="22"/>
          <w:szCs w:val="22"/>
        </w:rPr>
        <w:t>trate.l</w:t>
      </w:r>
      <w:proofErr w:type="spellEnd"/>
      <w:r>
        <w:rPr>
          <w:rFonts w:ascii="Palatino Linotype" w:eastAsia="Palatino Linotype" w:hAnsi="Palatino Linotype" w:cs="Palatino Linotype"/>
          <w:i/>
          <w:sz w:val="22"/>
          <w:szCs w:val="22"/>
        </w:rPr>
        <w:t>” (Sic)</w:t>
      </w:r>
    </w:p>
    <w:p w14:paraId="6BC35B01" w14:textId="77777777" w:rsidR="00800E13" w:rsidRDefault="00800E13">
      <w:pPr>
        <w:shd w:val="clear" w:color="auto" w:fill="FFFFFF"/>
        <w:spacing w:line="360" w:lineRule="auto"/>
        <w:jc w:val="both"/>
        <w:rPr>
          <w:rFonts w:ascii="Palatino Linotype" w:eastAsia="Palatino Linotype" w:hAnsi="Palatino Linotype" w:cs="Palatino Linotype"/>
        </w:rPr>
      </w:pPr>
    </w:p>
    <w:p w14:paraId="4087211C" w14:textId="77777777" w:rsidR="00800E13" w:rsidRDefault="00FC5637">
      <w:pPr>
        <w:shd w:val="clear" w:color="auto" w:fill="FFFFFF"/>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Señalado lo anterior se procede analizar la reserva de la información hecha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1B0E10CE"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establecido lo anterior, corresponde analizar el acuerdo de reserva remitido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para determinar si el mismo cumple con los requisitos establecidos por la Ley de Transparencia y Acceso a la Información Pública del Estado de México y Municipios. </w:t>
      </w:r>
    </w:p>
    <w:p w14:paraId="05A77C51" w14:textId="77777777" w:rsidR="00800E13" w:rsidRDefault="00800E13">
      <w:pPr>
        <w:spacing w:line="360" w:lineRule="auto"/>
        <w:jc w:val="both"/>
        <w:rPr>
          <w:rFonts w:ascii="Palatino Linotype" w:eastAsia="Palatino Linotype" w:hAnsi="Palatino Linotype" w:cs="Palatino Linotype"/>
        </w:rPr>
      </w:pPr>
    </w:p>
    <w:p w14:paraId="0558DBDD"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tal sentido,  la misma Ley en cita, define como información de interés público, a aquella que resulta relevante o beneficiosa para la sociedad y no simplemente de interés individual, cuya divulgación resulta útil para que el público comprenda las actividades que llevan a cabo los sujetos obligados, definiendo también como </w:t>
      </w:r>
      <w:r>
        <w:rPr>
          <w:rFonts w:ascii="Palatino Linotype" w:eastAsia="Palatino Linotype" w:hAnsi="Palatino Linotype" w:cs="Palatino Linotype"/>
          <w:b/>
        </w:rPr>
        <w:t>información reservada a la información pública clasificada con este carácter de manera temporal por las disposiciones de la Ley de la Materia, cuya divulgación puede causar daños a la seguridad pública</w:t>
      </w:r>
      <w:r>
        <w:rPr>
          <w:rFonts w:ascii="Palatino Linotype" w:eastAsia="Palatino Linotype" w:hAnsi="Palatino Linotype" w:cs="Palatino Linotype"/>
        </w:rPr>
        <w:t>, y como información confidencial, los secretos bancario, fiduciario, industrial, comercial, fiscal, bursátil y postal, cuya titularidad corresponda a particulares, sujetos de derecho internacional o sujetos obligados cuando no involucren el ejercicio de recursos públicos.</w:t>
      </w:r>
    </w:p>
    <w:p w14:paraId="3CF755BF" w14:textId="77777777" w:rsidR="00800E13" w:rsidRDefault="00FC5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misma norma referida, considera en su artículo 140 que el acceso a la información pública será restringido excepcionalmente por razones de interés público, cuando esta sea clasificada </w:t>
      </w:r>
      <w:r>
        <w:rPr>
          <w:rFonts w:ascii="Palatino Linotype" w:eastAsia="Palatino Linotype" w:hAnsi="Palatino Linotype" w:cs="Palatino Linotype"/>
          <w:b/>
        </w:rPr>
        <w:t>como reservada porque se comprometa la seguridad pública</w:t>
      </w:r>
      <w:r>
        <w:rPr>
          <w:rFonts w:ascii="Palatino Linotype" w:eastAsia="Palatino Linotype" w:hAnsi="Palatino Linotype" w:cs="Palatino Linotype"/>
        </w:rPr>
        <w:t>, así como aquella que pueda causar daño u obstruya la prevención o persecución de los delitos, la impartición de justicia, se ponga en riesgo la vida o la seguridad de una persona, entre otras.</w:t>
      </w:r>
    </w:p>
    <w:p w14:paraId="77A15D85" w14:textId="77777777" w:rsidR="00800E13" w:rsidRDefault="00FC563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relación con las implicaciones anteriores, cabe considerar que la </w:t>
      </w:r>
      <w:r>
        <w:rPr>
          <w:rFonts w:ascii="Palatino Linotype" w:eastAsia="Palatino Linotype" w:hAnsi="Palatino Linotype" w:cs="Palatino Linotype"/>
          <w:i/>
        </w:rPr>
        <w:t>clasificación</w:t>
      </w:r>
      <w:r>
        <w:rPr>
          <w:rFonts w:ascii="Palatino Linotype" w:eastAsia="Palatino Linotype" w:hAnsi="Palatino Linotype" w:cs="Palatino Linotype"/>
        </w:rPr>
        <w:t xml:space="preserve"> es el proceso mediante el cual los sujetos obligados determinan si respecto de la información que obra en su poder se actualiza alguno de los supuestos de reserva o confidencialidad, y para ello, los titulares de las áreas son los responsables de clasificar la información mediante el Comité de Transparencia por ser la autoridad máxima al </w:t>
      </w:r>
      <w:r>
        <w:rPr>
          <w:rFonts w:ascii="Palatino Linotype" w:eastAsia="Palatino Linotype" w:hAnsi="Palatino Linotype" w:cs="Palatino Linotype"/>
        </w:rPr>
        <w:lastRenderedPageBreak/>
        <w:t>interior de los sujetos obligados, siendo éste un Cuerpo Colegiado que se integra para resolver sobre la información que debe clasificarse, así como para atender y resolver los requerimientos de las Unidades de Transparencia y del Instituto.</w:t>
      </w:r>
    </w:p>
    <w:p w14:paraId="048DAF0E" w14:textId="77777777" w:rsidR="00800E13" w:rsidRDefault="00800E13">
      <w:pPr>
        <w:spacing w:line="360" w:lineRule="auto"/>
        <w:jc w:val="both"/>
        <w:rPr>
          <w:rFonts w:ascii="Palatino Linotype" w:eastAsia="Palatino Linotype" w:hAnsi="Palatino Linotype" w:cs="Palatino Linotype"/>
        </w:rPr>
      </w:pPr>
    </w:p>
    <w:p w14:paraId="4A8169C0"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subsistente las causas que dieron origen a su clasificación, mediante la aplicación de una prueba de daño, lo que implica que cada área deba elaborar un índice de los expedientes clasificados como reservados, el cual deberá elaborarse semestralmente y publicarse en formatos abiertos al día siguiente de su elaboración, en virtud de que tienen el carácter de información pública.</w:t>
      </w:r>
    </w:p>
    <w:p w14:paraId="61C2D765" w14:textId="77777777" w:rsidR="00800E13" w:rsidRDefault="00800E13">
      <w:pPr>
        <w:spacing w:line="360" w:lineRule="auto"/>
        <w:jc w:val="both"/>
        <w:rPr>
          <w:rFonts w:ascii="Palatino Linotype" w:eastAsia="Palatino Linotype" w:hAnsi="Palatino Linotype" w:cs="Palatino Linotype"/>
        </w:rPr>
      </w:pPr>
    </w:p>
    <w:p w14:paraId="0ACE2612" w14:textId="77777777" w:rsidR="00800E13" w:rsidRDefault="00FC563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motivar la clasificación de la información o en su caso, la ampliación del plazo de reserva, se deberán señalar las razones, motivos o circunstancias especiales que llevaron al sujeto obligado a concluir que el caso particular se ajusta a los supuestos previstos en el artículo 140 de la Ley de Transparencia en la entidad, debiendo en todo </w:t>
      </w:r>
      <w:r>
        <w:rPr>
          <w:rFonts w:ascii="Palatino Linotype" w:eastAsia="Palatino Linotype" w:hAnsi="Palatino Linotype" w:cs="Palatino Linotype"/>
        </w:rPr>
        <w:lastRenderedPageBreak/>
        <w:t>momento aplicar la prueba de daño</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y hacer mención del plazo al que estará sujeto la reserva.</w:t>
      </w:r>
    </w:p>
    <w:p w14:paraId="219734FE" w14:textId="77777777" w:rsidR="00800E13" w:rsidRDefault="00FC5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14:paraId="40D8AD72" w14:textId="77777777" w:rsidR="00800E13" w:rsidRDefault="00FC5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los casos en que la información solicitada por los particulares actualice algún supuesto de información reservada, les corresponde a los sujetos obligados la carga de la prueba para justificar la negativa de acceso a la información.</w:t>
      </w:r>
    </w:p>
    <w:p w14:paraId="5382B898"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w:t>
      </w:r>
      <w:r>
        <w:rPr>
          <w:rFonts w:ascii="Palatino Linotype" w:eastAsia="Palatino Linotype" w:hAnsi="Palatino Linotype" w:cs="Palatino Linotype"/>
        </w:rPr>
        <w:lastRenderedPageBreak/>
        <w:t xml:space="preserve">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58F07250" w14:textId="77777777" w:rsidR="00800E13" w:rsidRDefault="00FC5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Circunstancias no fueron tomadas en cuenta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acuerdo número CIR.IV.01.22.04.2022 del Comité de Transparencia del Ayuntamiento de Atizapán de Zaragoza, Estado de México, de fecha 22 de abril del 20022; a través del cual se confirma la clasificación de información reservada la relacionada a la solicitud número 00195/ATIZARA/IP/2022; ante ello, para mejor proveer del presente estudio, resulta necesario, analizar dicho Acuerdo de Reserva de la información antes referido, entregado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a fin de establecer si el Comité de Transparencia cumplió o no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I y 141, de la Ley de Transparencia y Acceso a la Información Pública del Estado de México y Municipios: </w:t>
      </w:r>
    </w:p>
    <w:p w14:paraId="1B5E51C3" w14:textId="77777777" w:rsidR="00800E13" w:rsidRDefault="00800E13">
      <w:pPr>
        <w:spacing w:line="360" w:lineRule="auto"/>
        <w:jc w:val="both"/>
        <w:rPr>
          <w:rFonts w:ascii="Palatino Linotype" w:eastAsia="Palatino Linotype" w:hAnsi="Palatino Linotype" w:cs="Palatino Linotype"/>
        </w:rPr>
      </w:pPr>
    </w:p>
    <w:tbl>
      <w:tblPr>
        <w:tblStyle w:val="affffff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812"/>
        <w:gridCol w:w="1603"/>
      </w:tblGrid>
      <w:tr w:rsidR="00800E13" w14:paraId="7021864F" w14:textId="77777777">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0C73727F" w14:textId="77777777" w:rsidR="00800E13" w:rsidRDefault="00FC5637">
            <w:pPr>
              <w:spacing w:before="100" w:after="200"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sz w:val="18"/>
                <w:szCs w:val="18"/>
              </w:rPr>
              <w:lastRenderedPageBreak/>
              <w:t>Elementos del acuerdo de clasificación</w:t>
            </w:r>
          </w:p>
        </w:tc>
        <w:tc>
          <w:tcPr>
            <w:tcW w:w="5812" w:type="dxa"/>
            <w:tcBorders>
              <w:top w:val="single" w:sz="4" w:space="0" w:color="000000"/>
              <w:left w:val="single" w:sz="4" w:space="0" w:color="000000"/>
              <w:bottom w:val="single" w:sz="4" w:space="0" w:color="000000"/>
              <w:right w:val="single" w:sz="4" w:space="0" w:color="000000"/>
            </w:tcBorders>
            <w:shd w:val="clear" w:color="auto" w:fill="7B7B7B"/>
          </w:tcPr>
          <w:p w14:paraId="43FC1EA5" w14:textId="77777777" w:rsidR="00800E13" w:rsidRDefault="00FC5637">
            <w:pPr>
              <w:spacing w:before="100" w:after="200"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B7B7B"/>
          </w:tcPr>
          <w:p w14:paraId="3A3075BC" w14:textId="77777777" w:rsidR="00800E13" w:rsidRDefault="00FC5637">
            <w:pPr>
              <w:spacing w:before="100" w:after="200"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Cumple</w:t>
            </w:r>
          </w:p>
        </w:tc>
      </w:tr>
      <w:tr w:rsidR="00800E13" w14:paraId="6F5534A3" w14:textId="77777777">
        <w:tc>
          <w:tcPr>
            <w:tcW w:w="1413" w:type="dxa"/>
            <w:tcBorders>
              <w:top w:val="single" w:sz="4" w:space="0" w:color="000000"/>
              <w:left w:val="single" w:sz="4" w:space="0" w:color="000000"/>
              <w:bottom w:val="single" w:sz="4" w:space="0" w:color="000000"/>
              <w:right w:val="single" w:sz="4" w:space="0" w:color="000000"/>
            </w:tcBorders>
          </w:tcPr>
          <w:p w14:paraId="512A7CCF" w14:textId="77777777" w:rsidR="00800E13" w:rsidRDefault="00FC5637">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Número de folio de la solicitud</w:t>
            </w:r>
          </w:p>
        </w:tc>
        <w:tc>
          <w:tcPr>
            <w:tcW w:w="5812" w:type="dxa"/>
            <w:tcBorders>
              <w:top w:val="single" w:sz="4" w:space="0" w:color="000000"/>
              <w:left w:val="single" w:sz="4" w:space="0" w:color="000000"/>
              <w:bottom w:val="single" w:sz="4" w:space="0" w:color="000000"/>
              <w:right w:val="single" w:sz="4" w:space="0" w:color="000000"/>
            </w:tcBorders>
          </w:tcPr>
          <w:p w14:paraId="6602F1A1" w14:textId="77777777" w:rsidR="00800E13" w:rsidRDefault="00FC5637">
            <w:pPr>
              <w:spacing w:before="100" w:after="200" w:line="276" w:lineRule="auto"/>
              <w:rPr>
                <w:rFonts w:ascii="Calibri" w:eastAsia="Calibri" w:hAnsi="Calibri" w:cs="Calibri"/>
                <w:sz w:val="20"/>
                <w:szCs w:val="20"/>
              </w:rPr>
            </w:pPr>
            <w:r>
              <w:rPr>
                <w:rFonts w:ascii="Calibri" w:eastAsia="Calibri" w:hAnsi="Calibri" w:cs="Calibri"/>
                <w:noProof/>
                <w:sz w:val="20"/>
                <w:szCs w:val="20"/>
                <w:lang w:val="es-419"/>
              </w:rPr>
              <w:drawing>
                <wp:inline distT="114300" distB="114300" distL="114300" distR="114300" wp14:anchorId="281D47F6" wp14:editId="065E6570">
                  <wp:extent cx="3533775" cy="1346200"/>
                  <wp:effectExtent l="0" t="0" r="0" b="0"/>
                  <wp:docPr id="3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533775" cy="134620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19FCA4ED" w14:textId="77777777" w:rsidR="00800E13" w:rsidRDefault="00FC5637">
            <w:pPr>
              <w:spacing w:before="100" w:after="200" w:line="276" w:lineRule="auto"/>
              <w:rPr>
                <w:rFonts w:ascii="Palatino Linotype" w:eastAsia="Palatino Linotype" w:hAnsi="Palatino Linotype" w:cs="Palatino Linotype"/>
              </w:rPr>
            </w:pPr>
            <w:r>
              <w:rPr>
                <w:rFonts w:ascii="Palatino Linotype" w:eastAsia="Palatino Linotype" w:hAnsi="Palatino Linotype" w:cs="Palatino Linotype"/>
                <w:b/>
              </w:rPr>
              <w:t>No</w:t>
            </w:r>
          </w:p>
          <w:p w14:paraId="0C4FE01B" w14:textId="77777777" w:rsidR="00800E13" w:rsidRDefault="00FC5637">
            <w:pPr>
              <w:spacing w:before="100" w:after="200" w:line="276" w:lineRule="auto"/>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 Se refiere a una solicitud divers</w:t>
            </w:r>
            <w:r>
              <w:rPr>
                <w:rFonts w:ascii="Palatino Linotype" w:eastAsia="Palatino Linotype" w:hAnsi="Palatino Linotype" w:cs="Palatino Linotype"/>
                <w:b/>
              </w:rPr>
              <w:t xml:space="preserve">a </w:t>
            </w:r>
          </w:p>
        </w:tc>
      </w:tr>
      <w:tr w:rsidR="00800E13" w14:paraId="2E3629C4" w14:textId="77777777">
        <w:tc>
          <w:tcPr>
            <w:tcW w:w="1413" w:type="dxa"/>
            <w:tcBorders>
              <w:top w:val="single" w:sz="4" w:space="0" w:color="000000"/>
              <w:left w:val="single" w:sz="4" w:space="0" w:color="000000"/>
              <w:bottom w:val="single" w:sz="4" w:space="0" w:color="000000"/>
              <w:right w:val="single" w:sz="4" w:space="0" w:color="000000"/>
            </w:tcBorders>
          </w:tcPr>
          <w:p w14:paraId="32D14056" w14:textId="77777777" w:rsidR="00800E13" w:rsidRDefault="00FC5637">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Referencia de la información solicitada</w:t>
            </w:r>
          </w:p>
        </w:tc>
        <w:tc>
          <w:tcPr>
            <w:tcW w:w="5812" w:type="dxa"/>
            <w:tcBorders>
              <w:top w:val="single" w:sz="4" w:space="0" w:color="000000"/>
              <w:left w:val="single" w:sz="4" w:space="0" w:color="000000"/>
              <w:bottom w:val="single" w:sz="4" w:space="0" w:color="000000"/>
              <w:right w:val="single" w:sz="4" w:space="0" w:color="000000"/>
            </w:tcBorders>
          </w:tcPr>
          <w:p w14:paraId="209DE51B" w14:textId="77777777" w:rsidR="00800E13" w:rsidRDefault="00FC5637">
            <w:pPr>
              <w:spacing w:before="100" w:after="200" w:line="276" w:lineRule="auto"/>
              <w:jc w:val="center"/>
            </w:pPr>
            <w:r>
              <w:rPr>
                <w:noProof/>
                <w:lang w:val="es-419"/>
              </w:rPr>
              <w:drawing>
                <wp:inline distT="0" distB="0" distL="0" distR="0" wp14:anchorId="6E662E96" wp14:editId="61161379">
                  <wp:extent cx="2814127" cy="813829"/>
                  <wp:effectExtent l="0" t="0" r="0" b="0"/>
                  <wp:docPr id="3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41798" t="50199" r="26775" b="38202"/>
                          <a:stretch>
                            <a:fillRect/>
                          </a:stretch>
                        </pic:blipFill>
                        <pic:spPr>
                          <a:xfrm>
                            <a:off x="0" y="0"/>
                            <a:ext cx="2814127" cy="813829"/>
                          </a:xfrm>
                          <a:prstGeom prst="rect">
                            <a:avLst/>
                          </a:prstGeom>
                          <a:ln/>
                        </pic:spPr>
                      </pic:pic>
                    </a:graphicData>
                  </a:graphic>
                </wp:inline>
              </w:drawing>
            </w:r>
            <w:r>
              <w:t xml:space="preserve"> </w:t>
            </w:r>
            <w:r>
              <w:rPr>
                <w:noProof/>
                <w:lang w:val="es-419"/>
              </w:rPr>
              <mc:AlternateContent>
                <mc:Choice Requires="wpg">
                  <w:drawing>
                    <wp:anchor distT="0" distB="0" distL="114300" distR="114300" simplePos="0" relativeHeight="251658240" behindDoc="0" locked="0" layoutInCell="1" hidden="0" allowOverlap="1" wp14:anchorId="26F5E0DA" wp14:editId="41BFC125">
                      <wp:simplePos x="0" y="0"/>
                      <wp:positionH relativeFrom="column">
                        <wp:posOffset>1409700</wp:posOffset>
                      </wp:positionH>
                      <wp:positionV relativeFrom="paragraph">
                        <wp:posOffset>-12699</wp:posOffset>
                      </wp:positionV>
                      <wp:extent cx="1747157" cy="945573"/>
                      <wp:effectExtent l="0" t="0" r="0" b="0"/>
                      <wp:wrapNone/>
                      <wp:docPr id="394" name="Rectángulo 394"/>
                      <wp:cNvGraphicFramePr/>
                      <a:graphic xmlns:a="http://schemas.openxmlformats.org/drawingml/2006/main">
                        <a:graphicData uri="http://schemas.microsoft.com/office/word/2010/wordprocessingShape">
                          <wps:wsp>
                            <wps:cNvSpPr/>
                            <wps:spPr>
                              <a:xfrm>
                                <a:off x="4529572" y="3364364"/>
                                <a:ext cx="1632857" cy="831273"/>
                              </a:xfrm>
                              <a:prstGeom prst="rect">
                                <a:avLst/>
                              </a:prstGeom>
                              <a:noFill/>
                              <a:ln w="28575" cap="flat" cmpd="sng">
                                <a:solidFill>
                                  <a:srgbClr val="002060"/>
                                </a:solidFill>
                                <a:prstDash val="solid"/>
                                <a:miter lim="800000"/>
                                <a:headEnd type="none" w="sm" len="sm"/>
                                <a:tailEnd type="none" w="sm" len="sm"/>
                              </a:ln>
                            </wps:spPr>
                            <wps:txbx>
                              <w:txbxContent>
                                <w:p w14:paraId="3BEE3636" w14:textId="77777777" w:rsidR="00800E13" w:rsidRDefault="00800E1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1409700</wp:posOffset>
                      </wp:positionH>
                      <wp:positionV relativeFrom="paragraph">
                        <wp:posOffset>-12699</wp:posOffset>
                      </wp:positionV>
                      <wp:extent cx="1747157" cy="945573"/>
                      <wp:effectExtent b="0" l="0" r="0" t="0"/>
                      <wp:wrapNone/>
                      <wp:docPr id="394"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1747157" cy="945573"/>
                              </a:xfrm>
                              <a:prstGeom prst="rect"/>
                              <a:ln/>
                            </pic:spPr>
                          </pic:pic>
                        </a:graphicData>
                      </a:graphic>
                    </wp:anchor>
                  </w:drawing>
                </mc:Fallback>
              </mc:AlternateContent>
            </w:r>
          </w:p>
          <w:p w14:paraId="646B09AF" w14:textId="77777777" w:rsidR="00800E13" w:rsidRDefault="00800E13">
            <w:pPr>
              <w:spacing w:before="100" w:after="200" w:line="276" w:lineRule="auto"/>
              <w:jc w:val="center"/>
              <w:rPr>
                <w:rFonts w:ascii="Palatino Linotype" w:eastAsia="Palatino Linotype" w:hAnsi="Palatino Linotype" w:cs="Palatino Linotype"/>
              </w:rPr>
            </w:pPr>
          </w:p>
        </w:tc>
        <w:tc>
          <w:tcPr>
            <w:tcW w:w="1603" w:type="dxa"/>
            <w:tcBorders>
              <w:top w:val="single" w:sz="4" w:space="0" w:color="000000"/>
              <w:left w:val="single" w:sz="4" w:space="0" w:color="000000"/>
              <w:bottom w:val="single" w:sz="4" w:space="0" w:color="000000"/>
              <w:right w:val="single" w:sz="4" w:space="0" w:color="000000"/>
            </w:tcBorders>
          </w:tcPr>
          <w:p w14:paraId="795F6659" w14:textId="77777777" w:rsidR="00800E13" w:rsidRDefault="00FC5637">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No </w:t>
            </w:r>
          </w:p>
          <w:p w14:paraId="5BE65420" w14:textId="77777777" w:rsidR="00800E13" w:rsidRDefault="00FC5637">
            <w:pPr>
              <w:spacing w:before="100" w:after="200" w:line="276" w:lineRule="auto"/>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refiere a una información distinta, además de ser información que es considerada como pública, que puede entregarse en versión pública</w:t>
            </w:r>
          </w:p>
        </w:tc>
      </w:tr>
      <w:tr w:rsidR="00800E13" w14:paraId="52130DB5" w14:textId="77777777">
        <w:tc>
          <w:tcPr>
            <w:tcW w:w="1413" w:type="dxa"/>
            <w:tcBorders>
              <w:top w:val="single" w:sz="4" w:space="0" w:color="000000"/>
              <w:left w:val="single" w:sz="4" w:space="0" w:color="000000"/>
              <w:bottom w:val="single" w:sz="4" w:space="0" w:color="000000"/>
              <w:right w:val="single" w:sz="4" w:space="0" w:color="000000"/>
            </w:tcBorders>
          </w:tcPr>
          <w:p w14:paraId="6EED0B62" w14:textId="77777777" w:rsidR="00800E13" w:rsidRDefault="00FC5637">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 xml:space="preserve">Causal aplicable del artículo 113 de la Ley General, vinculándola con el Lineamiento </w:t>
            </w:r>
            <w:r>
              <w:rPr>
                <w:rFonts w:ascii="Palatino Linotype" w:eastAsia="Palatino Linotype" w:hAnsi="Palatino Linotype" w:cs="Palatino Linotype"/>
                <w:b/>
                <w:sz w:val="18"/>
                <w:szCs w:val="18"/>
              </w:rPr>
              <w:lastRenderedPageBreak/>
              <w:t>específico del presente ordenamiento y, cuando corresponda, el supuesto normativo que expresamente le otorga el carácter de información reservada</w:t>
            </w:r>
          </w:p>
        </w:tc>
        <w:tc>
          <w:tcPr>
            <w:tcW w:w="5812" w:type="dxa"/>
            <w:tcBorders>
              <w:top w:val="single" w:sz="4" w:space="0" w:color="000000"/>
              <w:left w:val="single" w:sz="4" w:space="0" w:color="000000"/>
              <w:bottom w:val="single" w:sz="4" w:space="0" w:color="000000"/>
              <w:right w:val="single" w:sz="4" w:space="0" w:color="000000"/>
            </w:tcBorders>
          </w:tcPr>
          <w:p w14:paraId="16DA9DDF" w14:textId="77777777" w:rsidR="00800E13" w:rsidRDefault="00FC5637">
            <w:pPr>
              <w:spacing w:before="100" w:after="200" w:line="276" w:lineRule="auto"/>
            </w:pPr>
            <w:r>
              <w:lastRenderedPageBreak/>
              <w:t xml:space="preserve"> </w:t>
            </w:r>
          </w:p>
          <w:p w14:paraId="5BE743CF" w14:textId="77777777" w:rsidR="00800E13" w:rsidRDefault="00FC5637">
            <w:pPr>
              <w:spacing w:before="100" w:after="200" w:line="276" w:lineRule="auto"/>
              <w:rPr>
                <w:rFonts w:ascii="Calibri" w:eastAsia="Calibri" w:hAnsi="Calibri" w:cs="Calibri"/>
                <w:sz w:val="20"/>
                <w:szCs w:val="20"/>
              </w:rPr>
            </w:pPr>
            <w:r>
              <w:rPr>
                <w:noProof/>
                <w:lang w:val="es-419"/>
              </w:rPr>
              <w:lastRenderedPageBreak/>
              <w:drawing>
                <wp:inline distT="0" distB="0" distL="0" distR="0" wp14:anchorId="746179E3" wp14:editId="5A8DE450">
                  <wp:extent cx="3352800" cy="1611973"/>
                  <wp:effectExtent l="0" t="0" r="0" b="0"/>
                  <wp:docPr id="3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37110" t="30593" r="22267" b="44433"/>
                          <a:stretch>
                            <a:fillRect/>
                          </a:stretch>
                        </pic:blipFill>
                        <pic:spPr>
                          <a:xfrm>
                            <a:off x="0" y="0"/>
                            <a:ext cx="3352800" cy="1611973"/>
                          </a:xfrm>
                          <a:prstGeom prst="rect">
                            <a:avLst/>
                          </a:prstGeom>
                          <a:ln/>
                        </pic:spPr>
                      </pic:pic>
                    </a:graphicData>
                  </a:graphic>
                </wp:inline>
              </w:drawing>
            </w:r>
          </w:p>
          <w:p w14:paraId="52214732" w14:textId="77777777" w:rsidR="00800E13" w:rsidRDefault="00800E13">
            <w:pPr>
              <w:spacing w:before="100" w:after="200" w:line="276" w:lineRule="auto"/>
              <w:rPr>
                <w:rFonts w:ascii="Calibri" w:eastAsia="Calibri" w:hAnsi="Calibri"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61B531B0" w14:textId="77777777" w:rsidR="00800E13" w:rsidRDefault="00FC5637">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Sí </w:t>
            </w:r>
          </w:p>
          <w:p w14:paraId="7F4015AF" w14:textId="77777777" w:rsidR="00800E13" w:rsidRDefault="00FC5637">
            <w:pPr>
              <w:spacing w:before="100" w:after="200" w:line="276"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Pero no es aplicable en el presente caso, ya que se trata de información pública que debe </w:t>
            </w:r>
            <w:r>
              <w:rPr>
                <w:rFonts w:ascii="Palatino Linotype" w:eastAsia="Palatino Linotype" w:hAnsi="Palatino Linotype" w:cs="Palatino Linotype"/>
                <w:sz w:val="18"/>
                <w:szCs w:val="18"/>
              </w:rPr>
              <w:lastRenderedPageBreak/>
              <w:t xml:space="preserve">ser entregada en versión pública. </w:t>
            </w:r>
          </w:p>
          <w:p w14:paraId="588CD83A" w14:textId="77777777" w:rsidR="00800E13" w:rsidRDefault="00FC5637">
            <w:pPr>
              <w:spacing w:before="100" w:after="200" w:line="27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 xml:space="preserve"> </w:t>
            </w:r>
          </w:p>
          <w:p w14:paraId="2E501A70" w14:textId="77777777" w:rsidR="00800E13" w:rsidRDefault="00800E13">
            <w:pPr>
              <w:spacing w:before="100" w:after="200" w:line="276" w:lineRule="auto"/>
              <w:jc w:val="center"/>
              <w:rPr>
                <w:rFonts w:ascii="Palatino Linotype" w:eastAsia="Palatino Linotype" w:hAnsi="Palatino Linotype" w:cs="Palatino Linotype"/>
                <w:b/>
                <w:sz w:val="20"/>
                <w:szCs w:val="20"/>
              </w:rPr>
            </w:pPr>
          </w:p>
        </w:tc>
      </w:tr>
      <w:tr w:rsidR="00800E13" w14:paraId="2E206B73" w14:textId="77777777">
        <w:tc>
          <w:tcPr>
            <w:tcW w:w="1413" w:type="dxa"/>
            <w:tcBorders>
              <w:top w:val="single" w:sz="4" w:space="0" w:color="000000"/>
              <w:left w:val="single" w:sz="4" w:space="0" w:color="000000"/>
              <w:bottom w:val="single" w:sz="4" w:space="0" w:color="000000"/>
              <w:right w:val="single" w:sz="4" w:space="0" w:color="000000"/>
            </w:tcBorders>
          </w:tcPr>
          <w:p w14:paraId="4001BC7C" w14:textId="77777777" w:rsidR="00800E13" w:rsidRDefault="00FC5637">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Fundamento y Motivación Legal</w:t>
            </w:r>
          </w:p>
        </w:tc>
        <w:tc>
          <w:tcPr>
            <w:tcW w:w="5812" w:type="dxa"/>
            <w:tcBorders>
              <w:top w:val="single" w:sz="4" w:space="0" w:color="000000"/>
              <w:left w:val="single" w:sz="4" w:space="0" w:color="000000"/>
              <w:bottom w:val="single" w:sz="4" w:space="0" w:color="000000"/>
              <w:right w:val="single" w:sz="4" w:space="0" w:color="000000"/>
            </w:tcBorders>
          </w:tcPr>
          <w:p w14:paraId="1DA8B1D2" w14:textId="77777777" w:rsidR="00800E13" w:rsidRDefault="00FC5637">
            <w:pPr>
              <w:spacing w:before="100" w:after="200" w:line="276" w:lineRule="auto"/>
              <w:rPr>
                <w:rFonts w:ascii="Calibri" w:eastAsia="Calibri" w:hAnsi="Calibri" w:cs="Calibri"/>
                <w:sz w:val="20"/>
                <w:szCs w:val="20"/>
              </w:rPr>
            </w:pPr>
            <w:r>
              <w:rPr>
                <w:noProof/>
                <w:lang w:val="es-419"/>
              </w:rPr>
              <w:drawing>
                <wp:inline distT="0" distB="0" distL="0" distR="0" wp14:anchorId="107CABCE" wp14:editId="19D7B00A">
                  <wp:extent cx="3507290" cy="1688088"/>
                  <wp:effectExtent l="0" t="0" r="0" b="0"/>
                  <wp:docPr id="3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6775" t="13664" r="22109" b="35207"/>
                          <a:stretch>
                            <a:fillRect/>
                          </a:stretch>
                        </pic:blipFill>
                        <pic:spPr>
                          <a:xfrm>
                            <a:off x="0" y="0"/>
                            <a:ext cx="3507290" cy="1688088"/>
                          </a:xfrm>
                          <a:prstGeom prst="rect">
                            <a:avLst/>
                          </a:prstGeom>
                          <a:ln/>
                        </pic:spPr>
                      </pic:pic>
                    </a:graphicData>
                  </a:graphic>
                </wp:inline>
              </w:drawing>
            </w:r>
          </w:p>
          <w:p w14:paraId="6BBA97C8" w14:textId="77777777" w:rsidR="00800E13" w:rsidRDefault="00FC5637">
            <w:pPr>
              <w:spacing w:before="100" w:after="200" w:line="276" w:lineRule="auto"/>
              <w:rPr>
                <w:rFonts w:ascii="Calibri" w:eastAsia="Calibri" w:hAnsi="Calibri" w:cs="Calibri"/>
                <w:sz w:val="20"/>
                <w:szCs w:val="20"/>
              </w:rPr>
            </w:pPr>
            <w:r>
              <w:rPr>
                <w:noProof/>
                <w:lang w:val="es-419"/>
              </w:rPr>
              <w:lastRenderedPageBreak/>
              <w:drawing>
                <wp:inline distT="0" distB="0" distL="0" distR="0" wp14:anchorId="02893DF0" wp14:editId="6619CC8B">
                  <wp:extent cx="3371733" cy="2465324"/>
                  <wp:effectExtent l="0" t="0" r="0" b="0"/>
                  <wp:docPr id="40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37603" t="19307" r="22125" b="12045"/>
                          <a:stretch>
                            <a:fillRect/>
                          </a:stretch>
                        </pic:blipFill>
                        <pic:spPr>
                          <a:xfrm>
                            <a:off x="0" y="0"/>
                            <a:ext cx="3371733" cy="2465324"/>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705DD355" w14:textId="77777777" w:rsidR="00800E13" w:rsidRDefault="00FC5637">
            <w:pPr>
              <w:spacing w:before="100" w:after="20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NO</w:t>
            </w:r>
          </w:p>
          <w:p w14:paraId="5A81517F" w14:textId="77777777" w:rsidR="00800E13" w:rsidRDefault="00FC5637">
            <w:pPr>
              <w:spacing w:before="100" w:after="20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Porque dicha fundamentación y motivación no se refieren al caso específico que nos ocupa. </w:t>
            </w:r>
          </w:p>
        </w:tc>
      </w:tr>
      <w:tr w:rsidR="00800E13" w14:paraId="0D403C83" w14:textId="77777777">
        <w:tc>
          <w:tcPr>
            <w:tcW w:w="1413" w:type="dxa"/>
            <w:tcBorders>
              <w:top w:val="single" w:sz="4" w:space="0" w:color="000000"/>
              <w:left w:val="single" w:sz="4" w:space="0" w:color="000000"/>
              <w:bottom w:val="single" w:sz="4" w:space="0" w:color="000000"/>
              <w:right w:val="single" w:sz="4" w:space="0" w:color="000000"/>
            </w:tcBorders>
          </w:tcPr>
          <w:p w14:paraId="2CC6ED5A" w14:textId="77777777" w:rsidR="00800E13" w:rsidRDefault="00FC5637">
            <w:pPr>
              <w:spacing w:before="100" w:after="200" w:line="276" w:lineRule="auto"/>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Conexión entre los fundamentos y motivos que dieron origen a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668C4F9D" w14:textId="77777777" w:rsidR="00800E13" w:rsidRDefault="00FC5637">
            <w:pPr>
              <w:spacing w:before="100" w:after="200" w:line="276" w:lineRule="auto"/>
              <w:rPr>
                <w:rFonts w:ascii="Calibri" w:eastAsia="Calibri" w:hAnsi="Calibri" w:cs="Calibri"/>
                <w:sz w:val="20"/>
                <w:szCs w:val="20"/>
              </w:rPr>
            </w:pPr>
            <w:r>
              <w:rPr>
                <w:noProof/>
                <w:lang w:val="es-419"/>
              </w:rPr>
              <w:drawing>
                <wp:inline distT="0" distB="0" distL="0" distR="0" wp14:anchorId="06C8DEB9" wp14:editId="63150ABD">
                  <wp:extent cx="3507290" cy="1688088"/>
                  <wp:effectExtent l="0" t="0" r="0" b="0"/>
                  <wp:docPr id="4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6775" t="13664" r="22109" b="35207"/>
                          <a:stretch>
                            <a:fillRect/>
                          </a:stretch>
                        </pic:blipFill>
                        <pic:spPr>
                          <a:xfrm>
                            <a:off x="0" y="0"/>
                            <a:ext cx="3507290" cy="1688088"/>
                          </a:xfrm>
                          <a:prstGeom prst="rect">
                            <a:avLst/>
                          </a:prstGeom>
                          <a:ln/>
                        </pic:spPr>
                      </pic:pic>
                    </a:graphicData>
                  </a:graphic>
                </wp:inline>
              </w:drawing>
            </w:r>
          </w:p>
          <w:p w14:paraId="2FD72389" w14:textId="77777777" w:rsidR="00800E13" w:rsidRDefault="00FC5637">
            <w:pPr>
              <w:spacing w:before="100" w:after="200" w:line="276" w:lineRule="auto"/>
              <w:rPr>
                <w:rFonts w:ascii="Calibri" w:eastAsia="Calibri" w:hAnsi="Calibri" w:cs="Calibri"/>
                <w:sz w:val="20"/>
                <w:szCs w:val="20"/>
              </w:rPr>
            </w:pPr>
            <w:r>
              <w:rPr>
                <w:noProof/>
                <w:lang w:val="es-419"/>
              </w:rPr>
              <w:lastRenderedPageBreak/>
              <w:drawing>
                <wp:inline distT="0" distB="0" distL="0" distR="0" wp14:anchorId="3949E2F5" wp14:editId="629492DD">
                  <wp:extent cx="3371733" cy="2465324"/>
                  <wp:effectExtent l="0" t="0" r="0" b="0"/>
                  <wp:docPr id="4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37603" t="19307" r="22125" b="12045"/>
                          <a:stretch>
                            <a:fillRect/>
                          </a:stretch>
                        </pic:blipFill>
                        <pic:spPr>
                          <a:xfrm>
                            <a:off x="0" y="0"/>
                            <a:ext cx="3371733" cy="2465324"/>
                          </a:xfrm>
                          <a:prstGeom prst="rect">
                            <a:avLst/>
                          </a:prstGeom>
                          <a:ln/>
                        </pic:spPr>
                      </pic:pic>
                    </a:graphicData>
                  </a:graphic>
                </wp:inline>
              </w:drawing>
            </w:r>
          </w:p>
          <w:p w14:paraId="6B7B0F04" w14:textId="77777777" w:rsidR="00800E13" w:rsidRDefault="00800E13">
            <w:pPr>
              <w:spacing w:before="100" w:after="200" w:line="276" w:lineRule="auto"/>
              <w:rPr>
                <w:rFonts w:ascii="Calibri" w:eastAsia="Calibri" w:hAnsi="Calibri"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6AFBFAE5" w14:textId="77777777" w:rsidR="00800E13" w:rsidRDefault="00FC5637">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No</w:t>
            </w:r>
          </w:p>
          <w:p w14:paraId="5FD51980" w14:textId="77777777" w:rsidR="00800E13" w:rsidRDefault="00FC5637">
            <w:pPr>
              <w:spacing w:before="100" w:after="200" w:line="276"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18"/>
                <w:szCs w:val="18"/>
              </w:rPr>
              <w:t>No se refieren al caso específico que nos ocupa</w:t>
            </w:r>
          </w:p>
        </w:tc>
      </w:tr>
      <w:tr w:rsidR="00800E13" w14:paraId="5C29E3B2"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745E2E7A" w14:textId="77777777" w:rsidR="00800E13" w:rsidRDefault="00FC5637">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color w:val="FFFFFF"/>
              </w:rPr>
              <w:t>Elementos de la prueba de daño</w:t>
            </w:r>
          </w:p>
        </w:tc>
      </w:tr>
      <w:tr w:rsidR="00800E13" w14:paraId="311ED72B" w14:textId="77777777">
        <w:tc>
          <w:tcPr>
            <w:tcW w:w="1413" w:type="dxa"/>
            <w:tcBorders>
              <w:top w:val="single" w:sz="4" w:space="0" w:color="000000"/>
              <w:left w:val="single" w:sz="4" w:space="0" w:color="000000"/>
              <w:bottom w:val="single" w:sz="4" w:space="0" w:color="000000"/>
              <w:right w:val="single" w:sz="4" w:space="0" w:color="000000"/>
            </w:tcBorders>
          </w:tcPr>
          <w:p w14:paraId="4E111AB9" w14:textId="77777777" w:rsidR="00800E13" w:rsidRDefault="00FC5637">
            <w:pPr>
              <w:spacing w:after="120" w:line="256" w:lineRule="auto"/>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Riesgo Real, Demostrable e Identificable</w:t>
            </w:r>
          </w:p>
          <w:p w14:paraId="013B1D1A" w14:textId="77777777" w:rsidR="00800E13" w:rsidRDefault="00FC5637">
            <w:pPr>
              <w:spacing w:before="100" w:after="200"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sz w:val="16"/>
                <w:szCs w:val="16"/>
              </w:rPr>
              <w:t>(Modo, Tiempo y Lugar)</w:t>
            </w:r>
          </w:p>
        </w:tc>
        <w:tc>
          <w:tcPr>
            <w:tcW w:w="5812" w:type="dxa"/>
            <w:tcBorders>
              <w:top w:val="single" w:sz="4" w:space="0" w:color="000000"/>
              <w:left w:val="single" w:sz="4" w:space="0" w:color="000000"/>
              <w:bottom w:val="single" w:sz="4" w:space="0" w:color="000000"/>
              <w:right w:val="single" w:sz="4" w:space="0" w:color="000000"/>
            </w:tcBorders>
          </w:tcPr>
          <w:p w14:paraId="53D82584" w14:textId="77777777" w:rsidR="00800E13" w:rsidRDefault="00FC5637">
            <w:pPr>
              <w:spacing w:before="100" w:after="200" w:line="276" w:lineRule="auto"/>
              <w:jc w:val="center"/>
            </w:pPr>
            <w:r>
              <w:rPr>
                <w:noProof/>
                <w:lang w:val="es-419"/>
              </w:rPr>
              <w:drawing>
                <wp:inline distT="0" distB="0" distL="0" distR="0" wp14:anchorId="78D31B86" wp14:editId="55D3CB74">
                  <wp:extent cx="3335994" cy="691351"/>
                  <wp:effectExtent l="0" t="0" r="0" b="0"/>
                  <wp:docPr id="40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36273" t="34159" r="20771" b="54247"/>
                          <a:stretch>
                            <a:fillRect/>
                          </a:stretch>
                        </pic:blipFill>
                        <pic:spPr>
                          <a:xfrm>
                            <a:off x="0" y="0"/>
                            <a:ext cx="3335994" cy="691351"/>
                          </a:xfrm>
                          <a:prstGeom prst="rect">
                            <a:avLst/>
                          </a:prstGeom>
                          <a:ln/>
                        </pic:spPr>
                      </pic:pic>
                    </a:graphicData>
                  </a:graphic>
                </wp:inline>
              </w:drawing>
            </w:r>
          </w:p>
          <w:p w14:paraId="26242634" w14:textId="77777777" w:rsidR="00800E13" w:rsidRDefault="00FC5637">
            <w:pPr>
              <w:spacing w:before="100" w:after="200" w:line="276" w:lineRule="auto"/>
              <w:jc w:val="center"/>
              <w:rPr>
                <w:rFonts w:ascii="Palatino Linotype" w:eastAsia="Palatino Linotype" w:hAnsi="Palatino Linotype" w:cs="Palatino Linotype"/>
                <w:b/>
                <w:color w:val="FFFFFF"/>
              </w:rPr>
            </w:pPr>
            <w:r>
              <w:rPr>
                <w:noProof/>
                <w:lang w:val="es-419"/>
              </w:rPr>
              <w:lastRenderedPageBreak/>
              <w:drawing>
                <wp:inline distT="0" distB="0" distL="0" distR="0" wp14:anchorId="39311102" wp14:editId="2A665AD6">
                  <wp:extent cx="3150767" cy="2723400"/>
                  <wp:effectExtent l="0" t="0" r="0" b="0"/>
                  <wp:docPr id="40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l="41962" t="29108" r="27126" b="6365"/>
                          <a:stretch>
                            <a:fillRect/>
                          </a:stretch>
                        </pic:blipFill>
                        <pic:spPr>
                          <a:xfrm>
                            <a:off x="0" y="0"/>
                            <a:ext cx="3150767" cy="2723400"/>
                          </a:xfrm>
                          <a:prstGeom prst="rect">
                            <a:avLst/>
                          </a:prstGeom>
                          <a:ln/>
                        </pic:spPr>
                      </pic:pic>
                    </a:graphicData>
                  </a:graphic>
                </wp:inline>
              </w:drawing>
            </w:r>
          </w:p>
          <w:p w14:paraId="53DA5163" w14:textId="77777777" w:rsidR="00800E13" w:rsidRDefault="00FC5637">
            <w:pPr>
              <w:spacing w:before="100" w:after="200" w:line="276" w:lineRule="auto"/>
              <w:ind w:left="708"/>
              <w:jc w:val="center"/>
              <w:rPr>
                <w:rFonts w:ascii="Palatino Linotype" w:eastAsia="Palatino Linotype" w:hAnsi="Palatino Linotype" w:cs="Palatino Linotype"/>
                <w:b/>
                <w:color w:val="FFFFFF"/>
              </w:rPr>
            </w:pPr>
            <w:r>
              <w:rPr>
                <w:noProof/>
                <w:lang w:val="es-419"/>
              </w:rPr>
              <w:drawing>
                <wp:inline distT="0" distB="0" distL="0" distR="0" wp14:anchorId="33B786CE" wp14:editId="22BB561E">
                  <wp:extent cx="2973866" cy="2724395"/>
                  <wp:effectExtent l="0" t="0" r="0" b="0"/>
                  <wp:docPr id="4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41973" t="20494" r="26105" b="17935"/>
                          <a:stretch>
                            <a:fillRect/>
                          </a:stretch>
                        </pic:blipFill>
                        <pic:spPr>
                          <a:xfrm>
                            <a:off x="0" y="0"/>
                            <a:ext cx="2973866" cy="2724395"/>
                          </a:xfrm>
                          <a:prstGeom prst="rect">
                            <a:avLst/>
                          </a:prstGeom>
                          <a:ln/>
                        </pic:spPr>
                      </pic:pic>
                    </a:graphicData>
                  </a:graphic>
                </wp:inline>
              </w:drawing>
            </w:r>
          </w:p>
          <w:p w14:paraId="79711B27" w14:textId="77777777" w:rsidR="00800E13" w:rsidRDefault="00800E13">
            <w:pPr>
              <w:spacing w:before="100" w:after="200" w:line="276" w:lineRule="auto"/>
              <w:jc w:val="center"/>
              <w:rPr>
                <w:rFonts w:ascii="Palatino Linotype" w:eastAsia="Palatino Linotype" w:hAnsi="Palatino Linotype" w:cs="Palatino Linotype"/>
                <w:b/>
                <w:color w:val="FFFFFF"/>
              </w:rPr>
            </w:pPr>
          </w:p>
        </w:tc>
        <w:tc>
          <w:tcPr>
            <w:tcW w:w="1603" w:type="dxa"/>
            <w:tcBorders>
              <w:top w:val="single" w:sz="4" w:space="0" w:color="000000"/>
              <w:left w:val="single" w:sz="4" w:space="0" w:color="000000"/>
              <w:bottom w:val="single" w:sz="4" w:space="0" w:color="000000"/>
              <w:right w:val="single" w:sz="4" w:space="0" w:color="000000"/>
            </w:tcBorders>
          </w:tcPr>
          <w:p w14:paraId="032B9F5B" w14:textId="77777777" w:rsidR="00800E13" w:rsidRDefault="00FC5637">
            <w:pPr>
              <w:spacing w:before="100" w:after="200"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No</w:t>
            </w:r>
          </w:p>
          <w:p w14:paraId="3B8D2706" w14:textId="77777777" w:rsidR="00800E13" w:rsidRDefault="00FC5637">
            <w:pPr>
              <w:spacing w:before="100" w:after="200" w:line="276" w:lineRule="auto"/>
              <w:jc w:val="both"/>
              <w:rPr>
                <w:rFonts w:ascii="Palatino Linotype" w:eastAsia="Palatino Linotype" w:hAnsi="Palatino Linotype" w:cs="Palatino Linotype"/>
                <w:color w:val="FFFFFF"/>
                <w:sz w:val="18"/>
                <w:szCs w:val="18"/>
              </w:rPr>
            </w:pPr>
            <w:r>
              <w:rPr>
                <w:rFonts w:ascii="Palatino Linotype" w:eastAsia="Palatino Linotype" w:hAnsi="Palatino Linotype" w:cs="Palatino Linotype"/>
                <w:sz w:val="18"/>
                <w:szCs w:val="18"/>
              </w:rPr>
              <w:t>No aplicada al  caso específico, en razón de que es información pública y puede ser entregada en versión pública.</w:t>
            </w:r>
          </w:p>
        </w:tc>
      </w:tr>
      <w:tr w:rsidR="00800E13" w14:paraId="1E466E3F" w14:textId="77777777">
        <w:tc>
          <w:tcPr>
            <w:tcW w:w="1413" w:type="dxa"/>
            <w:tcBorders>
              <w:top w:val="single" w:sz="4" w:space="0" w:color="000000"/>
              <w:left w:val="single" w:sz="4" w:space="0" w:color="000000"/>
              <w:bottom w:val="single" w:sz="4" w:space="0" w:color="000000"/>
              <w:right w:val="single" w:sz="4" w:space="0" w:color="000000"/>
            </w:tcBorders>
          </w:tcPr>
          <w:p w14:paraId="073149C4" w14:textId="77777777" w:rsidR="00800E13" w:rsidRDefault="00FC5637">
            <w:pPr>
              <w:spacing w:before="100" w:after="200"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sz w:val="16"/>
                <w:szCs w:val="16"/>
              </w:rPr>
              <w:lastRenderedPageBreak/>
              <w:t>Temporalidad de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08E7A013" w14:textId="77777777" w:rsidR="00800E13" w:rsidRDefault="00FC5637">
            <w:pPr>
              <w:spacing w:before="100" w:after="200" w:line="276" w:lineRule="auto"/>
              <w:jc w:val="center"/>
              <w:rPr>
                <w:rFonts w:ascii="Palatino Linotype" w:eastAsia="Palatino Linotype" w:hAnsi="Palatino Linotype" w:cs="Palatino Linotype"/>
                <w:b/>
                <w:color w:val="FFFFFF"/>
              </w:rPr>
            </w:pPr>
            <w:r>
              <w:rPr>
                <w:noProof/>
                <w:lang w:val="es-419"/>
              </w:rPr>
              <w:drawing>
                <wp:inline distT="0" distB="0" distL="0" distR="0" wp14:anchorId="07E3891B" wp14:editId="3F0F79DF">
                  <wp:extent cx="3324756" cy="570600"/>
                  <wp:effectExtent l="0" t="0" r="0" b="0"/>
                  <wp:docPr id="4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42291" t="48714" r="26451" b="43854"/>
                          <a:stretch>
                            <a:fillRect/>
                          </a:stretch>
                        </pic:blipFill>
                        <pic:spPr>
                          <a:xfrm>
                            <a:off x="0" y="0"/>
                            <a:ext cx="3324756" cy="57060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38F4B166" w14:textId="77777777" w:rsidR="00800E13" w:rsidRDefault="00FC5637">
            <w:pPr>
              <w:spacing w:before="100" w:after="200"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rPr>
              <w:t xml:space="preserve">Sí </w:t>
            </w:r>
          </w:p>
        </w:tc>
      </w:tr>
      <w:tr w:rsidR="00800E13" w14:paraId="0428498A" w14:textId="77777777">
        <w:tc>
          <w:tcPr>
            <w:tcW w:w="1413" w:type="dxa"/>
            <w:tcBorders>
              <w:top w:val="single" w:sz="4" w:space="0" w:color="000000"/>
              <w:left w:val="single" w:sz="4" w:space="0" w:color="000000"/>
              <w:bottom w:val="single" w:sz="4" w:space="0" w:color="000000"/>
              <w:right w:val="single" w:sz="4" w:space="0" w:color="000000"/>
            </w:tcBorders>
          </w:tcPr>
          <w:p w14:paraId="0F0038B6" w14:textId="77777777" w:rsidR="00800E13" w:rsidRDefault="00FC5637">
            <w:pPr>
              <w:spacing w:before="100" w:after="200"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sz w:val="16"/>
                <w:szCs w:val="16"/>
              </w:rPr>
              <w:t>Autoridades competentes.</w:t>
            </w:r>
          </w:p>
        </w:tc>
        <w:tc>
          <w:tcPr>
            <w:tcW w:w="5812" w:type="dxa"/>
            <w:tcBorders>
              <w:top w:val="single" w:sz="4" w:space="0" w:color="000000"/>
              <w:left w:val="single" w:sz="4" w:space="0" w:color="000000"/>
              <w:bottom w:val="single" w:sz="4" w:space="0" w:color="000000"/>
              <w:right w:val="single" w:sz="4" w:space="0" w:color="000000"/>
            </w:tcBorders>
          </w:tcPr>
          <w:p w14:paraId="168C5F15" w14:textId="77777777" w:rsidR="00800E13" w:rsidRDefault="00FC5637">
            <w:pPr>
              <w:spacing w:before="100" w:after="200" w:line="276" w:lineRule="auto"/>
              <w:jc w:val="center"/>
            </w:pPr>
            <w:r>
              <w:rPr>
                <w:noProof/>
                <w:lang w:val="es-419"/>
              </w:rPr>
              <w:drawing>
                <wp:inline distT="0" distB="0" distL="0" distR="0" wp14:anchorId="4FC3282B" wp14:editId="0CE8D064">
                  <wp:extent cx="2696896" cy="1522377"/>
                  <wp:effectExtent l="0" t="0" r="0" b="0"/>
                  <wp:docPr id="4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42964" t="16337" r="27126" b="23005"/>
                          <a:stretch>
                            <a:fillRect/>
                          </a:stretch>
                        </pic:blipFill>
                        <pic:spPr>
                          <a:xfrm>
                            <a:off x="0" y="0"/>
                            <a:ext cx="2696896" cy="1522377"/>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22286E9D" w14:textId="77777777" w:rsidR="00800E13" w:rsidRDefault="00FC5637">
            <w:pPr>
              <w:spacing w:before="100" w:after="200" w:line="276"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rPr>
              <w:t>Sí</w:t>
            </w:r>
          </w:p>
        </w:tc>
      </w:tr>
    </w:tbl>
    <w:p w14:paraId="1899F812" w14:textId="77777777" w:rsidR="00800E13" w:rsidRDefault="00800E13">
      <w:pPr>
        <w:spacing w:before="100" w:after="200" w:line="276" w:lineRule="auto"/>
        <w:rPr>
          <w:rFonts w:ascii="Calibri" w:eastAsia="Calibri" w:hAnsi="Calibri" w:cs="Calibri"/>
          <w:sz w:val="20"/>
          <w:szCs w:val="20"/>
        </w:rPr>
      </w:pPr>
    </w:p>
    <w:p w14:paraId="65CE8235"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este Órgano Garante determina que acuerdo número CIR/IV/01/22/04/2022 del Comité de Transparencia del Ayuntamiento de Atizapán de Zaragoza, Estado de México, de fecha 22 de abril del 20022, además de no cumplir los requisitos establecidos por la Ley de Transparencia y Acceso a la Información Pública del Estado de México y Municipios, se</w:t>
      </w:r>
      <w:r>
        <w:rPr>
          <w:rFonts w:ascii="Palatino Linotype" w:eastAsia="Palatino Linotype" w:hAnsi="Palatino Linotype" w:cs="Palatino Linotype"/>
          <w:b/>
        </w:rPr>
        <w:t xml:space="preserve"> desestima</w:t>
      </w:r>
      <w:r>
        <w:rPr>
          <w:rFonts w:ascii="Palatino Linotype" w:eastAsia="Palatino Linotype" w:hAnsi="Palatino Linotype" w:cs="Palatino Linotype"/>
        </w:rPr>
        <w:t xml:space="preserve"> y no es procedente; en razón de que corresponde a una solicitud diversa y aunado a ello, este Instituto, considera que la información solicitada por el particular es pública y puede ser entregada en versión pública, por las consideraciones siguiente: </w:t>
      </w:r>
    </w:p>
    <w:p w14:paraId="3E6629E2" w14:textId="77777777" w:rsidR="00800E13" w:rsidRDefault="00800E13">
      <w:pPr>
        <w:spacing w:line="360" w:lineRule="auto"/>
        <w:jc w:val="both"/>
        <w:rPr>
          <w:rFonts w:ascii="Palatino Linotype" w:eastAsia="Palatino Linotype" w:hAnsi="Palatino Linotype" w:cs="Palatino Linotype"/>
          <w:sz w:val="22"/>
          <w:szCs w:val="22"/>
        </w:rPr>
      </w:pPr>
    </w:p>
    <w:p w14:paraId="70619BE4"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expedientes que contienen los procedimientos de licitación pública, o bien, de manera excepcional, mediante los procedimientos de invitación restringida y adjudicación directa; es información que este Organismo Garante considera como </w:t>
      </w:r>
      <w:r>
        <w:rPr>
          <w:rFonts w:ascii="Palatino Linotype" w:eastAsia="Palatino Linotype" w:hAnsi="Palatino Linotype" w:cs="Palatino Linotype"/>
        </w:rPr>
        <w:lastRenderedPageBreak/>
        <w:t xml:space="preserve">pública y puede ser entregada en versión pública; 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pública,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6BA65D08" w14:textId="77777777" w:rsidR="00800E13" w:rsidRDefault="00800E13">
      <w:pPr>
        <w:spacing w:line="360" w:lineRule="auto"/>
        <w:jc w:val="both"/>
        <w:rPr>
          <w:rFonts w:ascii="Palatino Linotype" w:eastAsia="Palatino Linotype" w:hAnsi="Palatino Linotype" w:cs="Palatino Linotype"/>
        </w:rPr>
      </w:pPr>
    </w:p>
    <w:p w14:paraId="684BE8A0" w14:textId="77777777" w:rsidR="00800E13" w:rsidRDefault="00FC5637">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w:t>
      </w:r>
      <w:r>
        <w:rPr>
          <w:rFonts w:ascii="Palatino Linotype" w:eastAsia="Palatino Linotype" w:hAnsi="Palatino Linotype" w:cs="Palatino Linotype"/>
        </w:rPr>
        <w:lastRenderedPageBreak/>
        <w:t xml:space="preserve">que se aplican los recursos públicos y con ello transparentar la forma, términos, causas y finalidad en la disposición de esos recursos; como se observa a continuación: </w:t>
      </w:r>
    </w:p>
    <w:p w14:paraId="4328318B" w14:textId="77777777" w:rsidR="00800E13" w:rsidRDefault="00800E13">
      <w:pPr>
        <w:ind w:right="50"/>
        <w:jc w:val="both"/>
        <w:rPr>
          <w:rFonts w:ascii="Palatino Linotype" w:eastAsia="Palatino Linotype" w:hAnsi="Palatino Linotype" w:cs="Palatino Linotype"/>
        </w:rPr>
      </w:pPr>
    </w:p>
    <w:p w14:paraId="78017F27" w14:textId="77777777" w:rsidR="00800E13" w:rsidRDefault="00FC5637">
      <w:pPr>
        <w:spacing w:line="276" w:lineRule="auto"/>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23…</w:t>
      </w:r>
    </w:p>
    <w:p w14:paraId="6C77FD51" w14:textId="77777777" w:rsidR="00800E13" w:rsidRDefault="00800E13">
      <w:pPr>
        <w:spacing w:line="276" w:lineRule="auto"/>
        <w:ind w:left="851" w:right="901"/>
        <w:jc w:val="both"/>
        <w:rPr>
          <w:rFonts w:ascii="Palatino Linotype" w:eastAsia="Palatino Linotype" w:hAnsi="Palatino Linotype" w:cs="Palatino Linotype"/>
          <w:i/>
          <w:sz w:val="22"/>
          <w:szCs w:val="22"/>
        </w:rPr>
      </w:pPr>
    </w:p>
    <w:p w14:paraId="523DF9E5" w14:textId="77777777" w:rsidR="00800E13" w:rsidRDefault="00FC5637">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recursos…(Sic)”</w:t>
      </w:r>
    </w:p>
    <w:p w14:paraId="2EA8AE91" w14:textId="77777777" w:rsidR="00800E13" w:rsidRDefault="00800E13">
      <w:pPr>
        <w:spacing w:line="276" w:lineRule="auto"/>
        <w:ind w:left="851" w:right="901"/>
        <w:jc w:val="both"/>
        <w:rPr>
          <w:rFonts w:ascii="Palatino Linotype" w:eastAsia="Palatino Linotype" w:hAnsi="Palatino Linotype" w:cs="Palatino Linotype"/>
          <w:i/>
          <w:sz w:val="22"/>
          <w:szCs w:val="22"/>
        </w:rPr>
      </w:pPr>
    </w:p>
    <w:p w14:paraId="183DCB7E"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sobre los procedimientos de licitación pública, o bien, de manera excepcional, mediante los procedimientos de invitación restringida y adjudicación directa, se trata de una obligación de transparencia que se debe pública en el IPOMEX (Información pública de oficio mexiquense), de la cual se debe generar expediente respectivo, entre la que podemos encontrar la siguiente conforme a lo señalado por el artículo 92, fracción XXIX, de la Ley de la Materia, que señala:</w:t>
      </w:r>
    </w:p>
    <w:p w14:paraId="15B459F2" w14:textId="77777777" w:rsidR="00800E13" w:rsidRDefault="00800E13">
      <w:pPr>
        <w:ind w:left="992" w:right="1043"/>
        <w:jc w:val="both"/>
        <w:rPr>
          <w:rFonts w:ascii="Palatino Linotype" w:eastAsia="Palatino Linotype" w:hAnsi="Palatino Linotype" w:cs="Palatino Linotype"/>
          <w:i/>
          <w:sz w:val="22"/>
          <w:szCs w:val="22"/>
        </w:rPr>
      </w:pPr>
    </w:p>
    <w:p w14:paraId="42EB6318"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5B4562D0"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XXIX. La información sobre los procesos y resultados sobre procedimientos de </w:t>
      </w:r>
      <w:r>
        <w:rPr>
          <w:rFonts w:ascii="Palatino Linotype" w:eastAsia="Palatino Linotype" w:hAnsi="Palatino Linotype" w:cs="Palatino Linotype"/>
          <w:b/>
          <w:i/>
          <w:sz w:val="22"/>
          <w:szCs w:val="22"/>
          <w:u w:val="single"/>
        </w:rPr>
        <w:t>adjudicación directa, invitación restringida y licitación de cualquier naturaleza</w:t>
      </w:r>
      <w:r>
        <w:rPr>
          <w:rFonts w:ascii="Palatino Linotype" w:eastAsia="Palatino Linotype" w:hAnsi="Palatino Linotype" w:cs="Palatino Linotype"/>
          <w:b/>
          <w:i/>
          <w:sz w:val="22"/>
          <w:szCs w:val="22"/>
        </w:rPr>
        <w:t>, incluyendo la versión pública</w:t>
      </w:r>
      <w:r>
        <w:rPr>
          <w:rFonts w:ascii="Palatino Linotype" w:eastAsia="Palatino Linotype" w:hAnsi="Palatino Linotype" w:cs="Palatino Linotype"/>
          <w:i/>
          <w:sz w:val="22"/>
          <w:szCs w:val="22"/>
        </w:rPr>
        <w:t xml:space="preserve"> del </w:t>
      </w:r>
      <w:r>
        <w:rPr>
          <w:rFonts w:ascii="Palatino Linotype" w:eastAsia="Palatino Linotype" w:hAnsi="Palatino Linotype" w:cs="Palatino Linotype"/>
          <w:b/>
          <w:i/>
          <w:sz w:val="22"/>
          <w:szCs w:val="22"/>
          <w:u w:val="single"/>
        </w:rPr>
        <w:t>expediente respectivo y de los contratos celebrados</w:t>
      </w:r>
      <w:r>
        <w:rPr>
          <w:rFonts w:ascii="Palatino Linotype" w:eastAsia="Palatino Linotype" w:hAnsi="Palatino Linotype" w:cs="Palatino Linotype"/>
          <w:i/>
          <w:sz w:val="22"/>
          <w:szCs w:val="22"/>
        </w:rPr>
        <w:t xml:space="preserve">, que </w:t>
      </w:r>
      <w:r>
        <w:rPr>
          <w:rFonts w:ascii="Palatino Linotype" w:eastAsia="Palatino Linotype" w:hAnsi="Palatino Linotype" w:cs="Palatino Linotype"/>
          <w:b/>
          <w:i/>
          <w:sz w:val="22"/>
          <w:szCs w:val="22"/>
        </w:rPr>
        <w:t>deberán contener, por los menos</w:t>
      </w:r>
      <w:r>
        <w:rPr>
          <w:rFonts w:ascii="Palatino Linotype" w:eastAsia="Palatino Linotype" w:hAnsi="Palatino Linotype" w:cs="Palatino Linotype"/>
          <w:i/>
          <w:sz w:val="22"/>
          <w:szCs w:val="22"/>
        </w:rPr>
        <w:t xml:space="preserve">, lo siguiente: </w:t>
      </w:r>
    </w:p>
    <w:p w14:paraId="0FECB043"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De licitaciones públicas o procedimientos de invitación restringida: </w:t>
      </w:r>
    </w:p>
    <w:p w14:paraId="0632C6FF"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1) La convocatoria o invitación emitida, así como los fundamentos legales aplicados para llevarla a cabo; </w:t>
      </w:r>
    </w:p>
    <w:p w14:paraId="6508D124" w14:textId="77777777" w:rsidR="00800E13" w:rsidRDefault="00FC5637">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2) Los nombres de los participantes o invitados; </w:t>
      </w:r>
    </w:p>
    <w:p w14:paraId="1E4C4E3D" w14:textId="77777777" w:rsidR="00800E13" w:rsidRDefault="00FC5637">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3) El nombre del ganador y las razones que lo justifican; </w:t>
      </w:r>
    </w:p>
    <w:p w14:paraId="70622CCF"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El área solicitante y la responsable de su ejecución; </w:t>
      </w:r>
    </w:p>
    <w:p w14:paraId="015DF950"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Las convocatorias e invitaciones emitidas; </w:t>
      </w:r>
    </w:p>
    <w:p w14:paraId="0D322C23" w14:textId="77777777" w:rsidR="00800E13" w:rsidRDefault="00FC5637">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6) Los dictámenes y fallo de adjudicación; </w:t>
      </w:r>
    </w:p>
    <w:p w14:paraId="58D3E56D" w14:textId="77777777" w:rsidR="00800E13" w:rsidRDefault="00FC5637">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7) El contrato y, en su caso, sus anexos; </w:t>
      </w:r>
    </w:p>
    <w:p w14:paraId="54155A1B" w14:textId="77777777" w:rsidR="00800E13" w:rsidRDefault="00FC5637">
      <w:pPr>
        <w:ind w:left="992" w:right="1043"/>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8) Los mecanismos de vigilancia y supervisión, incluyendo en su caso, los </w:t>
      </w:r>
      <w:r>
        <w:rPr>
          <w:rFonts w:ascii="Palatino Linotype" w:eastAsia="Palatino Linotype" w:hAnsi="Palatino Linotype" w:cs="Palatino Linotype"/>
          <w:i/>
          <w:sz w:val="22"/>
          <w:szCs w:val="22"/>
          <w:u w:val="single"/>
        </w:rPr>
        <w:t xml:space="preserve">estudios de impacto urbano y ambiental, según corresponda; </w:t>
      </w:r>
    </w:p>
    <w:p w14:paraId="522E9553" w14:textId="77777777" w:rsidR="00800E13" w:rsidRDefault="00FC5637">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9) La partida presupuestal, de conformidad con el clasificador por objeto del gasto, en el caso de ser aplicable; </w:t>
      </w:r>
    </w:p>
    <w:p w14:paraId="602370FC" w14:textId="77777777" w:rsidR="00800E13" w:rsidRDefault="00FC5637">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u w:val="single"/>
        </w:rPr>
        <w:t>10) Origen de los recursos especificando si son federales, estatales o municipales, así como el tipo de fondo de participación o aportación respectiva;</w:t>
      </w:r>
      <w:r>
        <w:rPr>
          <w:rFonts w:ascii="Palatino Linotype" w:eastAsia="Palatino Linotype" w:hAnsi="Palatino Linotype" w:cs="Palatino Linotype"/>
          <w:b/>
          <w:i/>
          <w:sz w:val="22"/>
          <w:szCs w:val="22"/>
        </w:rPr>
        <w:t xml:space="preserve"> </w:t>
      </w:r>
    </w:p>
    <w:p w14:paraId="4AB25999" w14:textId="77777777" w:rsidR="00800E13" w:rsidRDefault="00FC5637">
      <w:pPr>
        <w:ind w:left="992" w:right="1043"/>
        <w:jc w:val="both"/>
      </w:pPr>
      <w:r>
        <w:rPr>
          <w:rFonts w:ascii="Palatino Linotype" w:eastAsia="Palatino Linotype" w:hAnsi="Palatino Linotype" w:cs="Palatino Linotype"/>
          <w:i/>
          <w:sz w:val="22"/>
          <w:szCs w:val="22"/>
        </w:rPr>
        <w:t>11) Los convenios modificatorios que, en su caso, sean firmados, precisando el objeto y la fecha de celebración;</w:t>
      </w:r>
      <w:r>
        <w:t xml:space="preserve"> </w:t>
      </w:r>
    </w:p>
    <w:p w14:paraId="37242B8F"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 Los informes de avance físico y financiero sobre las obras o servicios contratados; </w:t>
      </w:r>
    </w:p>
    <w:p w14:paraId="01A7D2C9"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 El convenio de terminación; y </w:t>
      </w:r>
    </w:p>
    <w:p w14:paraId="1E4E2796"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14) El finiquito.</w:t>
      </w:r>
    </w:p>
    <w:p w14:paraId="375172AC"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b) De las adjudicaciones directas: </w:t>
      </w:r>
    </w:p>
    <w:p w14:paraId="4AA8F2E8"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propuesta enviada por el participante; </w:t>
      </w:r>
    </w:p>
    <w:p w14:paraId="4E7B9C47"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Los motivos y fundamentos legales aplicados para llevarla a cabo; </w:t>
      </w:r>
    </w:p>
    <w:p w14:paraId="77271C24"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La autorización del ejercicio de la opción; </w:t>
      </w:r>
    </w:p>
    <w:p w14:paraId="326F94CE"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7DAC62E5" w14:textId="77777777" w:rsidR="00800E13" w:rsidRDefault="00FC5637">
      <w:pPr>
        <w:ind w:left="992" w:right="104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5) El nombre de la persona física o jurídica colectiva adjudicada; </w:t>
      </w:r>
    </w:p>
    <w:p w14:paraId="595AF702"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La unidad administrativa solicitante y la responsable de su ejecución; </w:t>
      </w:r>
    </w:p>
    <w:p w14:paraId="11C2DF79"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7C03CCF7"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38DB1FC9"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Los informes de avance sobre las obras o servicios contratados; </w:t>
      </w:r>
    </w:p>
    <w:p w14:paraId="495F25D4"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El convenio de terminación; y </w:t>
      </w:r>
    </w:p>
    <w:p w14:paraId="623B1E9D" w14:textId="77777777" w:rsidR="00800E13" w:rsidRDefault="00FC563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11) El finiquito.” (Sic) </w:t>
      </w:r>
    </w:p>
    <w:p w14:paraId="11125CC2" w14:textId="77777777" w:rsidR="00800E13" w:rsidRDefault="00800E13">
      <w:pPr>
        <w:spacing w:line="360" w:lineRule="auto"/>
        <w:jc w:val="both"/>
        <w:rPr>
          <w:rFonts w:ascii="Palatino Linotype" w:eastAsia="Palatino Linotype" w:hAnsi="Palatino Linotype" w:cs="Palatino Linotype"/>
        </w:rPr>
      </w:pPr>
    </w:p>
    <w:p w14:paraId="087D2B4A"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al respecto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la forma, temporalidad y criterios (véase </w:t>
      </w:r>
      <w:hyperlink r:id="rId20">
        <w:r>
          <w:rPr>
            <w:rFonts w:ascii="Palatino Linotype" w:eastAsia="Palatino Linotype" w:hAnsi="Palatino Linotype" w:cs="Palatino Linotype"/>
            <w:color w:val="0563C1"/>
            <w:u w:val="single"/>
          </w:rPr>
          <w:t>https://www.transparencia.ipn.mx/Apoyo/SIPOT/LTG_DOF28122020.pdf</w:t>
        </w:r>
      </w:hyperlink>
      <w:r>
        <w:rPr>
          <w:rFonts w:ascii="Palatino Linotype" w:eastAsia="Palatino Linotype" w:hAnsi="Palatino Linotype" w:cs="Palatino Linotype"/>
        </w:rPr>
        <w:t xml:space="preserve">) para publicar la información de los procedimientos </w:t>
      </w:r>
      <w:r>
        <w:t xml:space="preserve">de </w:t>
      </w:r>
      <w:r>
        <w:rPr>
          <w:rFonts w:ascii="Palatino Linotype" w:eastAsia="Palatino Linotype" w:hAnsi="Palatino Linotype" w:cs="Palatino Linotype"/>
        </w:rPr>
        <w:t>adjudicación directa, invitación restringida y licitación de cualquier naturaleza, incluyendo la Versión Pública del Expediente respectivo y de los contratos celebrados, que deberá contener por lo menos lo siguiente:</w:t>
      </w:r>
    </w:p>
    <w:p w14:paraId="44F25AD3" w14:textId="77777777" w:rsidR="00800E13" w:rsidRDefault="00800E13">
      <w:pPr>
        <w:spacing w:line="360" w:lineRule="auto"/>
        <w:jc w:val="both"/>
        <w:rPr>
          <w:rFonts w:ascii="Palatino Linotype" w:eastAsia="Palatino Linotype" w:hAnsi="Palatino Linotype" w:cs="Palatino Linotype"/>
        </w:rPr>
      </w:pPr>
    </w:p>
    <w:p w14:paraId="2093192F"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4639F352" w14:textId="77777777" w:rsidR="00800E13" w:rsidRDefault="00FC5637">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a) De licitaciones públicas o procedimientos de invitación restringida: </w:t>
      </w:r>
    </w:p>
    <w:p w14:paraId="38386310"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663D2138" w14:textId="77777777" w:rsidR="00800E13" w:rsidRDefault="00FC563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 Los nombres de los participantes o invitados; </w:t>
      </w:r>
    </w:p>
    <w:p w14:paraId="52305B54" w14:textId="77777777" w:rsidR="00800E13" w:rsidRDefault="00FC563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El nombre del ganador y las razones que lo justifican; </w:t>
      </w:r>
    </w:p>
    <w:p w14:paraId="242C7444"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El área solicitante y la responsable de su ejecución; </w:t>
      </w:r>
    </w:p>
    <w:p w14:paraId="58752ADF"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Las convocatorias e invitaciones emitidas; </w:t>
      </w:r>
    </w:p>
    <w:p w14:paraId="21FA8282" w14:textId="77777777" w:rsidR="00800E13" w:rsidRDefault="00FC563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6. Los dictámenes y fallo de adjudicación; </w:t>
      </w:r>
    </w:p>
    <w:p w14:paraId="226D725F" w14:textId="77777777" w:rsidR="00800E13" w:rsidRDefault="00FC563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7. El contrato y, en su caso, sus anexos; </w:t>
      </w:r>
    </w:p>
    <w:p w14:paraId="5BC96261"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8. Los mecanismos de vigilancia y supervisión, incluyendo, en su caso, los estudios de impacto urbano y ambiental, según corresponda; </w:t>
      </w:r>
    </w:p>
    <w:p w14:paraId="57D00219"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61ED5145"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6853BC40"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6F69CA93"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 Los informes de avance físico y financiero sobre las obras o servicios contratados; </w:t>
      </w:r>
    </w:p>
    <w:p w14:paraId="488D55C0"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 El convenio de terminación; y </w:t>
      </w:r>
    </w:p>
    <w:p w14:paraId="711F7366"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14. El finiquito.</w:t>
      </w:r>
    </w:p>
    <w:p w14:paraId="5E9B094A"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b) De las adjudicaciones directas: </w:t>
      </w:r>
    </w:p>
    <w:p w14:paraId="7CC031D2"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propuesta enviada por el participante; </w:t>
      </w:r>
    </w:p>
    <w:p w14:paraId="7444529A"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Los motivos y fundamentos legales aplicados para llevarla a cabo; </w:t>
      </w:r>
    </w:p>
    <w:p w14:paraId="7C21CDF6"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La autorización del ejercicio de la opción; </w:t>
      </w:r>
    </w:p>
    <w:p w14:paraId="37E7457D"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En su caso, las cotizaciones consideradas, especificando los nombres de los proveedores y los montos; </w:t>
      </w:r>
    </w:p>
    <w:p w14:paraId="3E618E46"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El nombre de la persona física o moral adjudicada; </w:t>
      </w:r>
    </w:p>
    <w:p w14:paraId="3F9BE04E"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La unidad administrativa solicitante y la responsable de su ejecución; </w:t>
      </w:r>
    </w:p>
    <w:p w14:paraId="59F8F81C"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3F5339F7"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76E392DE"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Los informes de avance sobre las obras o servicios contratados; </w:t>
      </w:r>
    </w:p>
    <w:p w14:paraId="13863C32"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El convenio de terminación; y </w:t>
      </w:r>
    </w:p>
    <w:p w14:paraId="1FC01339"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 El finiquito. </w:t>
      </w:r>
    </w:p>
    <w:p w14:paraId="26AE2902"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w:t>
      </w:r>
      <w:r>
        <w:rPr>
          <w:rFonts w:ascii="Palatino Linotype" w:eastAsia="Palatino Linotype" w:hAnsi="Palatino Linotype" w:cs="Palatino Linotype"/>
          <w:i/>
          <w:sz w:val="22"/>
          <w:szCs w:val="22"/>
        </w:rPr>
        <w:lastRenderedPageBreak/>
        <w:t xml:space="preserve">mismas de las entidades federativas; los ordenamientos legales que regulen a los poderes Legislativo y Judicial y a los organismos autónomos; así como la Ley Federal de Presupuesto y Responsabilidad Hacendaria. </w:t>
      </w:r>
    </w:p>
    <w:p w14:paraId="0267E728"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sobre los actos, contratos y convenios celebrados se presentará en una base de datos en la que cada registro se hará por tipo de procedimiento: </w:t>
      </w:r>
    </w:p>
    <w:p w14:paraId="671B8A33"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Licitación pública </w:t>
      </w:r>
    </w:p>
    <w:p w14:paraId="2691A7DD"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Invitación a cuando menos tres personas (restringida) </w:t>
      </w:r>
    </w:p>
    <w:p w14:paraId="3CE191E4"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Adjudicación directa Para cada tipo de procedimiento se deberá especificar la materia: </w:t>
      </w:r>
    </w:p>
    <w:p w14:paraId="34A6B20B"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Obra pública </w:t>
      </w:r>
    </w:p>
    <w:p w14:paraId="7A091E25"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Servicios relacionados con obra pública </w:t>
      </w:r>
    </w:p>
    <w:p w14:paraId="4AD65C97"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Arrendamiento • Adquisición o </w:t>
      </w:r>
    </w:p>
    <w:p w14:paraId="1CAADD1B"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Servicios Y el carácter: </w:t>
      </w:r>
    </w:p>
    <w:p w14:paraId="61F11CE3"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Nacional </w:t>
      </w:r>
    </w:p>
    <w:p w14:paraId="79EE26A0"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Internacional (en cualquier modalidad específica) </w:t>
      </w:r>
    </w:p>
    <w:p w14:paraId="404CB31F"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 se deberá elaborar versión pública de los mismos. </w:t>
      </w:r>
    </w:p>
    <w:p w14:paraId="598094C9"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asegurarse de que la información publicada en esta sección mantenga correspondencia y coherencia, con lo publicado en el sistema electrónico de información pública gubernamental sobre contrataciones, concursos, licitaciones, adquisiciones, arrendamientos y servicios, que en su caso cada entidad federativa desarrolle y administre.</w:t>
      </w:r>
    </w:p>
    <w:p w14:paraId="34D8CBC5"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Periodo de actualización: trimestral Conservar en el sitio de Internet: información vigente, es decir, los instrumentos jurídicos vigentes, contratos y convenios, aun cuando éstos sean de ejercicios anteriores; la generada en el ejercicio en curso y la correspondiente a dos ejercicios anteriores. ” (Sic)</w:t>
      </w:r>
    </w:p>
    <w:p w14:paraId="7C0E1BDB" w14:textId="77777777" w:rsidR="00800E13" w:rsidRDefault="00800E13">
      <w:pPr>
        <w:spacing w:line="360" w:lineRule="auto"/>
        <w:jc w:val="both"/>
        <w:rPr>
          <w:rFonts w:ascii="Palatino Linotype" w:eastAsia="Palatino Linotype" w:hAnsi="Palatino Linotype" w:cs="Palatino Linotype"/>
        </w:rPr>
      </w:pPr>
    </w:p>
    <w:p w14:paraId="444F91DA" w14:textId="77777777" w:rsidR="00800E13" w:rsidRDefault="00FC5637">
      <w:pPr>
        <w:shd w:val="clear" w:color="auto" w:fill="FFFFFF"/>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También sobre los contratos, de igual forma se trata de una obligación de transparencia en términos del artículo 92 previamente señalado fracción XXXII, que señala:</w:t>
      </w:r>
    </w:p>
    <w:p w14:paraId="3B9B2440" w14:textId="77777777" w:rsidR="00800E13" w:rsidRDefault="00FC563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(Sic)</w:t>
      </w:r>
    </w:p>
    <w:p w14:paraId="49CA6CBD" w14:textId="77777777" w:rsidR="00800E13" w:rsidRDefault="00800E13">
      <w:pPr>
        <w:shd w:val="clear" w:color="auto" w:fill="FFFFFF"/>
        <w:spacing w:line="360" w:lineRule="auto"/>
        <w:jc w:val="both"/>
        <w:rPr>
          <w:rFonts w:ascii="Palatino Linotype" w:eastAsia="Palatino Linotype" w:hAnsi="Palatino Linotype" w:cs="Palatino Linotype"/>
        </w:rPr>
      </w:pPr>
    </w:p>
    <w:p w14:paraId="75BA5F0E" w14:textId="77777777" w:rsidR="00800E13" w:rsidRDefault="00FC5637">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en cuanto a que dar a conocer la información relacionada con el contrato de arrendamiento de unidades vehiculares (patrullas de seguridad pública) de la administración pública municipal 2022-2024, así como el proceso de adjudicación respectivo y fallo de adjudicación, emitido por el Comité de Arrendamientos, Adquisiciones de Inmuebles y Enajenaciones, </w:t>
      </w:r>
      <w:r>
        <w:rPr>
          <w:rFonts w:ascii="Palatino Linotype" w:eastAsia="Palatino Linotype" w:hAnsi="Palatino Linotype" w:cs="Palatino Linotype"/>
          <w:u w:val="single"/>
        </w:rPr>
        <w:t>revelaría el estado de fuerza de las unidades adscritas a la Dirección de Seguridad Pública y Tránsito Municipal de Atizapán de Zaragoza</w:t>
      </w:r>
      <w:r>
        <w:rPr>
          <w:rFonts w:ascii="Palatino Linotype" w:eastAsia="Palatino Linotype" w:hAnsi="Palatino Linotype" w:cs="Palatino Linotype"/>
        </w:rPr>
        <w:t xml:space="preserve">; no es posible, en virtud de que la información requerida por el particular no se considera que encuadre en el supuesto de clasificación, debido a que se requiere información que es considerada como pública como así fue referido por el particular, resultando que el derecho de acceso a la información del particular se viera afectado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09DD9878" w14:textId="77777777" w:rsidR="00800E13" w:rsidRDefault="00800E13">
      <w:pPr>
        <w:shd w:val="clear" w:color="auto" w:fill="FFFFFF"/>
        <w:spacing w:line="360" w:lineRule="auto"/>
        <w:jc w:val="both"/>
        <w:rPr>
          <w:rFonts w:ascii="Palatino Linotype" w:eastAsia="Palatino Linotype" w:hAnsi="Palatino Linotype" w:cs="Palatino Linotype"/>
        </w:rPr>
      </w:pPr>
    </w:p>
    <w:p w14:paraId="152EFB27" w14:textId="77777777" w:rsidR="00800E13" w:rsidRDefault="00FC5637">
      <w:pPr>
        <w:shd w:val="clear" w:color="auto" w:fill="FFFFFF"/>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por lo que la información solicitada no actualizaría un supuesto de reserva en términos del diverso artículo 110 de la Ley en comento, del que se lee, que se clasifica como reservada la información contenida en todas y cada una de las Bases </w:t>
      </w:r>
      <w:r>
        <w:rPr>
          <w:rFonts w:ascii="Palatino Linotype" w:eastAsia="Palatino Linotype" w:hAnsi="Palatino Linotype" w:cs="Palatino Linotype"/>
        </w:rPr>
        <w:lastRenderedPageBreak/>
        <w:t xml:space="preserve">de Datos del Sistema Nacional de Información,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consulta es exclusiva de las instituciones de Seguridad Pública que estén facultadas en cada caso, a través de los servidores públicos que cada institución designe, por lo que el público no tendrá acceso a la información que en ellos se contenga, sin que dicho precepto legal se advierta la reserva de la información de los procedimientos de licitación pública para obtención o arrendamiento de bienes muebles destinados a la seguridad pública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este caso las patrullas. </w:t>
      </w:r>
    </w:p>
    <w:p w14:paraId="4665CC8D" w14:textId="77777777" w:rsidR="00800E13" w:rsidRDefault="00FC5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considera que no es reservada, porque no se revela el estado de fuerza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esto es, no se revela el número de elementos destinados a acciones operativas, no causa daño a la seguridad pública. </w:t>
      </w:r>
    </w:p>
    <w:p w14:paraId="4A651EB4" w14:textId="77777777" w:rsidR="00800E13" w:rsidRDefault="00FC5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no se logra advertir la forma en que la información requerida, pueda afectar la seguridad pública del Municipio de Atizapán de Zaragoza; además, contrario a lo señalado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Instituto no advierte un riesgo real, demostrable e identificable que supere al interés público o bien perjudique la seguridad pública, pues como se precisó en párrafos anteriores, la información requerida no da cuenta de la forma de actuación, estrategias o equipo con el que cuenta </w:t>
      </w:r>
      <w:r>
        <w:rPr>
          <w:rFonts w:ascii="Palatino Linotype" w:eastAsia="Palatino Linotype" w:hAnsi="Palatino Linotype" w:cs="Palatino Linotype"/>
        </w:rPr>
        <w:lastRenderedPageBreak/>
        <w:t>la Dirección de Seguridad Pública, tampoco precisa la capacidad de reacción o la forma de organización para prevenir delitos, ni de actuaciones en averiguaciones previas, carpetas de investigación o bien, la intervención de comunicaciones privadas.</w:t>
      </w:r>
    </w:p>
    <w:p w14:paraId="2457C54C" w14:textId="77777777" w:rsidR="00800E13" w:rsidRDefault="00FC5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preliminar, se robustece con el hecho de que dar a conocer el contrato y el procedimiento de licitación pública para el arrendamiento de las patrullas, no brinda información que pudiera ser utilizada por personas con la finalidad de cometer algún ilícito, pues si bien constituye o se identifica el número de patrullas, este no refleja la capacidad de reacción, ya que este, se conforma entre otras cosas por el equipo con el que cuenta la Dirección de Seguridad Pública, como lo son, el armamento, operativos, estrategias y habilidades; asimismo, no es posible identificar el riesgo de perjuicio que supondría la divulgación dicha información o que constituya procedimientos, métodos, fuentes, especificaciones técnicas, tecnología o equipo útiles a la generación de inteligencia utilizado en la prevención de los delitos del orden común, pues únicamente se estarían revelando información derivada de un procedimiento de licitación pública, sin precisar información específica de sus estrategias, actividades y habilidades para combatir la delincuencia.</w:t>
      </w:r>
    </w:p>
    <w:p w14:paraId="5638A948" w14:textId="77777777" w:rsidR="00800E13" w:rsidRDefault="00FC56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que dar a conocer contrato que acredite la compra y/o arrendamiento de las patrullas y unidades que utilizara el municipio, en el que se advierta  nombre del o los proveedores que vendieron y/o arrendaron dichas unidades, descripción de cada unidad, y monto por el que fueron adquiridas y el soporte documental pública que acredite los recursos para efectuar dicha adquisición</w:t>
      </w:r>
      <w:r>
        <w:rPr>
          <w:rFonts w:ascii="Palatino Linotype" w:eastAsia="Palatino Linotype" w:hAnsi="Palatino Linotype" w:cs="Palatino Linotype"/>
          <w:b/>
          <w:u w:val="single"/>
        </w:rPr>
        <w:t>,</w:t>
      </w:r>
      <w:r>
        <w:rPr>
          <w:rFonts w:ascii="Palatino Linotype" w:eastAsia="Palatino Linotype" w:hAnsi="Palatino Linotype" w:cs="Palatino Linotype"/>
        </w:rPr>
        <w:t xml:space="preserve"> revelaría:</w:t>
      </w:r>
    </w:p>
    <w:p w14:paraId="56C32398" w14:textId="77777777" w:rsidR="00800E13" w:rsidRDefault="00FC5637">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Las características y equipamiento con el que cuentan las unidades adscritas a la Dirección de Seguridad Pública y Tránsito Municipal de Atizapán de Zaragoza. </w:t>
      </w:r>
    </w:p>
    <w:p w14:paraId="17396267" w14:textId="77777777" w:rsidR="00800E13" w:rsidRDefault="00FC5637">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como el sistema de geo-localización con el que cuentan las unidades adscritas a la Dirección de Seguridad Pública y Tránsito Municipal de Atizapán de Zaragoza.</w:t>
      </w:r>
    </w:p>
    <w:p w14:paraId="0F80B747"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pasa desapercibido que, al tratarse de información relacionada con la adquisición de bienes en materia de seguridad pública, pudiera obrar información susceptible de clasificarse. En tal sentido,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analizar el contenido de los documentos a proporcionar, en razón de que, en las especificaciones de los bienes adquiridos pudiera obrar información, entre otra, la siguiente:</w:t>
      </w:r>
    </w:p>
    <w:p w14:paraId="5803D890" w14:textId="77777777" w:rsidR="00800E13" w:rsidRDefault="00800E13">
      <w:pPr>
        <w:spacing w:line="360" w:lineRule="auto"/>
        <w:jc w:val="both"/>
        <w:rPr>
          <w:rFonts w:ascii="Palatino Linotype" w:eastAsia="Palatino Linotype" w:hAnsi="Palatino Linotype" w:cs="Palatino Linotype"/>
        </w:rPr>
      </w:pPr>
    </w:p>
    <w:p w14:paraId="2697E7E0" w14:textId="77777777" w:rsidR="00800E13" w:rsidRDefault="00FC5637">
      <w:pPr>
        <w:numPr>
          <w:ilvl w:val="0"/>
          <w:numId w:val="2"/>
        </w:numPr>
        <w:spacing w:line="360" w:lineRule="auto"/>
        <w:ind w:lef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Equipamiento de seguridad;</w:t>
      </w:r>
    </w:p>
    <w:p w14:paraId="2CA754DE" w14:textId="77777777" w:rsidR="00800E13" w:rsidRDefault="00FC5637">
      <w:pPr>
        <w:numPr>
          <w:ilvl w:val="0"/>
          <w:numId w:val="2"/>
        </w:numPr>
        <w:spacing w:line="360" w:lineRule="auto"/>
        <w:ind w:lef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Armamento;</w:t>
      </w:r>
    </w:p>
    <w:p w14:paraId="2A6F8FFB" w14:textId="77777777" w:rsidR="00800E13" w:rsidRDefault="00FC5637">
      <w:pPr>
        <w:numPr>
          <w:ilvl w:val="0"/>
          <w:numId w:val="2"/>
        </w:numPr>
        <w:spacing w:line="360" w:lineRule="auto"/>
        <w:ind w:lef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Nivel de blindaje de vehículos;</w:t>
      </w:r>
    </w:p>
    <w:p w14:paraId="14F36707" w14:textId="77777777" w:rsidR="00800E13" w:rsidRDefault="00FC5637">
      <w:pPr>
        <w:numPr>
          <w:ilvl w:val="0"/>
          <w:numId w:val="2"/>
        </w:numPr>
        <w:spacing w:line="360" w:lineRule="auto"/>
        <w:ind w:lef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Modificaciones adicionales tanto a carrocería como al motor;</w:t>
      </w:r>
    </w:p>
    <w:p w14:paraId="58C43F06" w14:textId="77777777" w:rsidR="00800E13" w:rsidRDefault="00FC5637">
      <w:pPr>
        <w:numPr>
          <w:ilvl w:val="0"/>
          <w:numId w:val="2"/>
        </w:numPr>
        <w:spacing w:line="360" w:lineRule="auto"/>
        <w:ind w:lef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Placas antibalas;</w:t>
      </w:r>
    </w:p>
    <w:p w14:paraId="7BB2ADF4" w14:textId="77777777" w:rsidR="00800E13" w:rsidRDefault="00FC5637">
      <w:pPr>
        <w:numPr>
          <w:ilvl w:val="0"/>
          <w:numId w:val="2"/>
        </w:numPr>
        <w:spacing w:line="360" w:lineRule="auto"/>
        <w:ind w:lef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Radiofrecuencia.</w:t>
      </w:r>
    </w:p>
    <w:p w14:paraId="10C8759C" w14:textId="77777777" w:rsidR="00800E13" w:rsidRDefault="00FC5637">
      <w:pPr>
        <w:numPr>
          <w:ilvl w:val="0"/>
          <w:numId w:val="2"/>
        </w:numPr>
        <w:spacing w:line="360" w:lineRule="auto"/>
        <w:ind w:lef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Geolocalización (referida por </w:t>
      </w:r>
      <w:r>
        <w:rPr>
          <w:rFonts w:ascii="Palatino Linotype" w:eastAsia="Palatino Linotype" w:hAnsi="Palatino Linotype" w:cs="Palatino Linotype"/>
          <w:b/>
          <w:sz w:val="22"/>
          <w:szCs w:val="22"/>
        </w:rPr>
        <w:t>EL SUJETO OBLIGADO</w:t>
      </w:r>
      <w:r>
        <w:rPr>
          <w:rFonts w:ascii="Palatino Linotype" w:eastAsia="Palatino Linotype" w:hAnsi="Palatino Linotype" w:cs="Palatino Linotype"/>
          <w:sz w:val="22"/>
          <w:szCs w:val="22"/>
        </w:rPr>
        <w:t>)</w:t>
      </w:r>
    </w:p>
    <w:p w14:paraId="7554A0D5" w14:textId="77777777" w:rsidR="00800E13" w:rsidRDefault="00800E13">
      <w:pPr>
        <w:spacing w:line="360" w:lineRule="auto"/>
        <w:jc w:val="both"/>
        <w:rPr>
          <w:rFonts w:ascii="Palatino Linotype" w:eastAsia="Palatino Linotype" w:hAnsi="Palatino Linotype" w:cs="Palatino Linotype"/>
          <w:sz w:val="22"/>
          <w:szCs w:val="22"/>
        </w:rPr>
      </w:pPr>
    </w:p>
    <w:p w14:paraId="4AAB104D"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Los cuales, en su descripción, detallan información como; materiales, calibre, nivel de blindaje, placas antibalas con las que cuenta, medidas, dimensiones, armamento y demás información, como la geolocalización de las patrullas que refiere el ente recurrido, cuya divulgación supone un riesgo para la vida de los policías, por lo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analizar cada uno de los elementos adquiridos a efecto de ponderar entre, hacer pública o clasificar parcial la información. Se insiste, se deberá valorar cada uno de los bienes.</w:t>
      </w:r>
    </w:p>
    <w:p w14:paraId="1F9D3CCE" w14:textId="77777777" w:rsidR="00800E13" w:rsidRDefault="00FC56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Adicional a lo expuesto, se señala que la información que en su caso encuadra en la clasificación como reservada, es de acuerdo al artículo 81 de la Ley de Seguridad del Estado de México, la siguiente:</w:t>
      </w:r>
    </w:p>
    <w:p w14:paraId="6E3274B6" w14:textId="77777777" w:rsidR="00800E13" w:rsidRDefault="00FC5637">
      <w:pPr>
        <w:spacing w:before="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81.-</w:t>
      </w:r>
      <w:r>
        <w:rPr>
          <w:rFonts w:ascii="Palatino Linotype" w:eastAsia="Palatino Linotype" w:hAnsi="Palatino Linotype" w:cs="Palatino Linotype"/>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w:t>
      </w:r>
    </w:p>
    <w:p w14:paraId="20B46E11" w14:textId="77777777" w:rsidR="00800E13" w:rsidRDefault="00FC563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obstante, lo anterior, esta información </w:t>
      </w:r>
      <w:r>
        <w:rPr>
          <w:rFonts w:ascii="Palatino Linotype" w:eastAsia="Palatino Linotype" w:hAnsi="Palatino Linotype" w:cs="Palatino Linotype"/>
          <w:b/>
          <w:i/>
          <w:sz w:val="22"/>
          <w:szCs w:val="22"/>
        </w:rPr>
        <w:t>se considerará reservada en los casos siguientes:</w:t>
      </w:r>
    </w:p>
    <w:p w14:paraId="44EF5712" w14:textId="77777777" w:rsidR="00800E13" w:rsidRDefault="00FC563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Aquella cuya divulgación implique la revelación de </w:t>
      </w:r>
      <w:r>
        <w:rPr>
          <w:rFonts w:ascii="Palatino Linotype" w:eastAsia="Palatino Linotype" w:hAnsi="Palatino Linotype" w:cs="Palatino Linotype"/>
          <w:i/>
          <w:sz w:val="22"/>
          <w:szCs w:val="22"/>
        </w:rPr>
        <w:t xml:space="preserve">normas, procedimientos, métodos, fuentes, </w:t>
      </w:r>
      <w:r>
        <w:rPr>
          <w:rFonts w:ascii="Palatino Linotype" w:eastAsia="Palatino Linotype" w:hAnsi="Palatino Linotype" w:cs="Palatino Linotype"/>
          <w:b/>
          <w:i/>
          <w:sz w:val="22"/>
          <w:szCs w:val="22"/>
        </w:rPr>
        <w:t>especificaciones técnicas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sistemas, tecnología o equipos útiles a la generación de inteligencia para la seguridad pública o el combate a la delincuencia en el Estado de México;</w:t>
      </w:r>
    </w:p>
    <w:p w14:paraId="2CEC1FA9" w14:textId="77777777" w:rsidR="00800E13" w:rsidRDefault="00FC563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Aquella cuya revelación pueda ser utilizada para actualizar o potenciar una amenaza a la seguridad pública o a las instituciones del Estado de México;</w:t>
      </w:r>
    </w:p>
    <w:p w14:paraId="7987733A" w14:textId="77777777" w:rsidR="00800E13" w:rsidRDefault="00FC563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relativa a los servidores públicos integrantes de las instituciones de seguridad pública, cuya revelación pueda poner en riesgo su vida e integridad física con motivo de sus funciones;</w:t>
      </w:r>
    </w:p>
    <w:p w14:paraId="5C5C7A4B" w14:textId="77777777" w:rsidR="00800E13" w:rsidRDefault="00FC563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La que sea producto de una intervención de comunicaciones privadas autorizadas conforme a la Constitución Federal y las disposiciones legales correspondientes; y</w:t>
      </w:r>
    </w:p>
    <w:p w14:paraId="62CC83C2" w14:textId="77777777" w:rsidR="00800E13" w:rsidRDefault="00FC563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w:t>
      </w:r>
      <w:r>
        <w:rPr>
          <w:rFonts w:ascii="Palatino Linotype" w:eastAsia="Palatino Linotype" w:hAnsi="Palatino Linotype" w:cs="Palatino Linotype"/>
          <w:i/>
          <w:sz w:val="22"/>
          <w:szCs w:val="22"/>
        </w:rPr>
        <w:t xml:space="preserve"> La contenida en averiguaciones previas, carpetas de investigación, expedientes y demás archivos relativos a la investigación para la prevención y la investigación de los delitos y faltas administrativas, en términos de las disposiciones aplicables. La inobservancia a lo anterior se sancionará de conformidad con las disposiciones aplicables.” (Sic)</w:t>
      </w:r>
    </w:p>
    <w:p w14:paraId="5AE7949F" w14:textId="77777777" w:rsidR="00800E13" w:rsidRDefault="00800E13">
      <w:pPr>
        <w:ind w:left="851" w:right="900"/>
        <w:jc w:val="both"/>
        <w:rPr>
          <w:rFonts w:ascii="Palatino Linotype" w:eastAsia="Palatino Linotype" w:hAnsi="Palatino Linotype" w:cs="Palatino Linotype"/>
          <w:i/>
          <w:sz w:val="22"/>
          <w:szCs w:val="22"/>
        </w:rPr>
      </w:pPr>
    </w:p>
    <w:p w14:paraId="013D8E3A" w14:textId="77777777" w:rsidR="00800E13" w:rsidRDefault="00FC563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Dentro de las cuales se advierte como información reservada las especificaciones técnicas, sistemas de tecnología o equipos útiles a la generación de inteligencia para la seguridad pública; luego entonces en los documentos que se deban entregar al </w:t>
      </w:r>
      <w:r>
        <w:rPr>
          <w:rFonts w:ascii="Palatino Linotype" w:eastAsia="Palatino Linotype" w:hAnsi="Palatino Linotype" w:cs="Palatino Linotype"/>
          <w:b/>
        </w:rPr>
        <w:t>RECURRENTE</w:t>
      </w:r>
      <w:r>
        <w:rPr>
          <w:rFonts w:ascii="Palatino Linotype" w:eastAsia="Palatino Linotype" w:hAnsi="Palatino Linotype" w:cs="Palatino Linotype"/>
        </w:rPr>
        <w:t>, se encuentran contenidas las especificaciones de las unidades, se deberá remitir en versión pública.</w:t>
      </w:r>
    </w:p>
    <w:p w14:paraId="31860137" w14:textId="77777777" w:rsidR="00800E13" w:rsidRDefault="00FC563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ello, tampoco puede pasar desapercibido que el particular no solicitó dar a conocer las especificaciones técnicas del equipo patrulla y mucho menos el uso y las estrategias implementadas a las mismas, como ya se ha señalado en párrafos anteriores.</w:t>
      </w:r>
    </w:p>
    <w:p w14:paraId="7CE97305" w14:textId="77777777" w:rsidR="00800E13" w:rsidRDefault="00FC5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es de señalar que otros Órganos Garantes han sostenido que la información relativa al modelo, tipo y marca de las patrullas de seguridad pública, no menoscaba de forma alguna las acciones encaminadas a la erradicación persecución y prevención de delitos, ni la defensa del municipio, dado que tanto la descripción de la unidades como el número total de ellas no revelan el estado de fuerza del Municipio pues no es el elemento exclusivo que permite identificarlo, toda vez que no es la única forma con la que el municipio lleva a cabo sus tareas de vigilancia y prevención. </w:t>
      </w:r>
    </w:p>
    <w:p w14:paraId="22EE7C91" w14:textId="77777777" w:rsidR="00800E13" w:rsidRDefault="00800E13">
      <w:pPr>
        <w:spacing w:line="360" w:lineRule="auto"/>
        <w:ind w:right="49"/>
        <w:jc w:val="both"/>
        <w:rPr>
          <w:rFonts w:ascii="Palatino Linotype" w:eastAsia="Palatino Linotype" w:hAnsi="Palatino Linotype" w:cs="Palatino Linotype"/>
        </w:rPr>
      </w:pPr>
    </w:p>
    <w:p w14:paraId="322D9E91" w14:textId="77777777" w:rsidR="00800E13" w:rsidRDefault="00FC5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Sobre ello se pronuncia el Instituto Nacional de Transparencia en la revisión del recurso RRA 10357/18, en el que se señaló que la difusión de la información referente a la capacidad de operación policial de los municipios no representa un riesgo amenaza a la seguridad pública, ni puede menoscabar las reacción de las instituciones, debido a que la capacidad de operación no se limita al número de elementos sino contempla una serie de estrategias, procesos, inteligencia, tecnología, comunicaciones, entre otros. </w:t>
      </w:r>
    </w:p>
    <w:p w14:paraId="1B28FCFD" w14:textId="77777777" w:rsidR="00800E13" w:rsidRDefault="00800E13">
      <w:pPr>
        <w:spacing w:line="360" w:lineRule="auto"/>
        <w:ind w:right="49"/>
        <w:jc w:val="both"/>
        <w:rPr>
          <w:rFonts w:ascii="Palatino Linotype" w:eastAsia="Palatino Linotype" w:hAnsi="Palatino Linotype" w:cs="Palatino Linotype"/>
        </w:rPr>
      </w:pPr>
    </w:p>
    <w:p w14:paraId="0E7E475C" w14:textId="77777777" w:rsidR="00800E13" w:rsidRDefault="00FC5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el INSTITUTO DE TRANSPARENCIA, INFORMACIÓN PÚBLICA Y PROTECCIÓN DE DATOS PERSONALES DEL ESTADO DE JALISCO sustentó en la resolución del recurso 312/2019 que la información relacionada con unidades de patrullaje y vigilancia, se encuentra en constante movimiento dado que el mantenimiento y arreglo de cada modelo es casuístico, de igual manera se incorporan constantemente nuevos vehículos que se encuentren en mejores condiciones de manera que la información no es estática y es del conocimiento público pues dichas unidades transitan las calles dejando a la vista dichos elementos. </w:t>
      </w:r>
    </w:p>
    <w:p w14:paraId="1D8458E9" w14:textId="77777777" w:rsidR="00800E13" w:rsidRDefault="00800E13">
      <w:pPr>
        <w:spacing w:line="360" w:lineRule="auto"/>
        <w:ind w:right="49"/>
        <w:jc w:val="both"/>
        <w:rPr>
          <w:rFonts w:ascii="Palatino Linotype" w:eastAsia="Palatino Linotype" w:hAnsi="Palatino Linotype" w:cs="Palatino Linotype"/>
        </w:rPr>
      </w:pPr>
    </w:p>
    <w:p w14:paraId="795396DE" w14:textId="77777777" w:rsidR="00800E13" w:rsidRDefault="00FC5637">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este Instituto determina </w:t>
      </w:r>
      <w:r>
        <w:rPr>
          <w:rFonts w:ascii="Palatino Linotype" w:eastAsia="Palatino Linotype" w:hAnsi="Palatino Linotype" w:cs="Palatino Linotype"/>
          <w:b/>
        </w:rPr>
        <w:t>ORDENAR</w:t>
      </w:r>
      <w:r>
        <w:rPr>
          <w:rFonts w:ascii="Palatino Linotype" w:eastAsia="Palatino Linotype" w:hAnsi="Palatino Linotype" w:cs="Palatino Linotype"/>
        </w:rPr>
        <w:t xml:space="preserv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 el </w:t>
      </w:r>
      <w:proofErr w:type="spellStart"/>
      <w:r>
        <w:rPr>
          <w:rFonts w:ascii="Palatino Linotype" w:eastAsia="Palatino Linotype" w:hAnsi="Palatino Linotype" w:cs="Palatino Linotype"/>
        </w:rPr>
        <w:t>El</w:t>
      </w:r>
      <w:proofErr w:type="spellEnd"/>
      <w:r>
        <w:rPr>
          <w:rFonts w:ascii="Palatino Linotype" w:eastAsia="Palatino Linotype" w:hAnsi="Palatino Linotype" w:cs="Palatino Linotype"/>
        </w:rPr>
        <w:t xml:space="preserve"> soporte documental en versión pública donde conste el contrato de  arrendamiento de las patrullas de seguridad pública de la Administración Pública Municipal de Atizapán de Zaragoza 2022-2024; así como  el origen del recurso utilizado. </w:t>
      </w:r>
    </w:p>
    <w:p w14:paraId="16CFB3A5" w14:textId="77777777" w:rsidR="00800E13" w:rsidRDefault="00800E13">
      <w:pPr>
        <w:widowControl w:val="0"/>
        <w:tabs>
          <w:tab w:val="left" w:pos="1701"/>
          <w:tab w:val="left" w:pos="1843"/>
        </w:tabs>
        <w:spacing w:line="360" w:lineRule="auto"/>
        <w:jc w:val="both"/>
        <w:rPr>
          <w:rFonts w:ascii="Palatino Linotype" w:eastAsia="Palatino Linotype" w:hAnsi="Palatino Linotype" w:cs="Palatino Linotype"/>
        </w:rPr>
      </w:pPr>
    </w:p>
    <w:p w14:paraId="392B711F"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Para la versión pública de los documentos que se ordenan, en términos del artículo 143 de la Ley de Transparencia y Acceso a la Información Pública del Estado de México y Municipios, deberá omitirse, eliminarse o suprimirse la información </w:t>
      </w:r>
      <w:r>
        <w:rPr>
          <w:rFonts w:ascii="Palatino Linotype" w:eastAsia="Palatino Linotype" w:hAnsi="Palatino Linotype" w:cs="Palatino Linotype"/>
          <w:b/>
        </w:rPr>
        <w:t>confidencial</w:t>
      </w:r>
      <w:r>
        <w:rPr>
          <w:rFonts w:ascii="Palatino Linotype" w:eastAsia="Palatino Linotype" w:hAnsi="Palatino Linotype" w:cs="Palatino Linotype"/>
        </w:rPr>
        <w:t xml:space="preserve">. </w:t>
      </w:r>
    </w:p>
    <w:p w14:paraId="529F843C" w14:textId="77777777" w:rsidR="00800E13" w:rsidRDefault="00800E13">
      <w:pPr>
        <w:spacing w:line="360" w:lineRule="auto"/>
        <w:jc w:val="both"/>
        <w:rPr>
          <w:rFonts w:ascii="Palatino Linotype" w:eastAsia="Palatino Linotype" w:hAnsi="Palatino Linotype" w:cs="Palatino Linotype"/>
        </w:rPr>
      </w:pPr>
    </w:p>
    <w:p w14:paraId="4CA0C0B2"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4E0D50C5" w14:textId="77777777" w:rsidR="00800E13" w:rsidRDefault="00800E13">
      <w:pPr>
        <w:spacing w:line="360" w:lineRule="auto"/>
        <w:jc w:val="both"/>
        <w:rPr>
          <w:rFonts w:ascii="Palatino Linotype" w:eastAsia="Palatino Linotype" w:hAnsi="Palatino Linotype" w:cs="Palatino Linotype"/>
        </w:rPr>
      </w:pPr>
    </w:p>
    <w:p w14:paraId="6FE062D1"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ende,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w:t>
      </w:r>
      <w:r>
        <w:rPr>
          <w:rFonts w:ascii="Palatino Linotype" w:eastAsia="Palatino Linotype" w:hAnsi="Palatino Linotype" w:cs="Palatino Linotype"/>
        </w:rPr>
        <w:lastRenderedPageBreak/>
        <w:t>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E3BD02F" w14:textId="77777777" w:rsidR="00800E13" w:rsidRDefault="00800E13">
      <w:pPr>
        <w:ind w:left="851" w:right="902"/>
        <w:jc w:val="center"/>
        <w:rPr>
          <w:rFonts w:ascii="Palatino Linotype" w:eastAsia="Palatino Linotype" w:hAnsi="Palatino Linotype" w:cs="Palatino Linotype"/>
          <w:b/>
          <w:i/>
          <w:sz w:val="22"/>
          <w:szCs w:val="22"/>
        </w:rPr>
      </w:pPr>
    </w:p>
    <w:p w14:paraId="27AE500D" w14:textId="77777777" w:rsidR="00800E13" w:rsidRDefault="00FC5637">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6541C64E"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27619865"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Aprobar</w:t>
      </w:r>
      <w:r>
        <w:rPr>
          <w:rFonts w:ascii="Palatino Linotype" w:eastAsia="Palatino Linotype" w:hAnsi="Palatino Linotype" w:cs="Palatino Linotype"/>
          <w:i/>
          <w:sz w:val="22"/>
          <w:szCs w:val="22"/>
        </w:rPr>
        <w:t>, modificar o revocar la clasificación de la información;</w:t>
      </w:r>
    </w:p>
    <w:p w14:paraId="66203068" w14:textId="77777777" w:rsidR="00800E13" w:rsidRDefault="00FC5637">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p>
    <w:p w14:paraId="7BEDFE30"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43D73AA"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748B4740"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generen versiones públicas para dar cumplimiento a las obligaciones de transparencia previstas en esta Ley</w:t>
      </w:r>
      <w:r>
        <w:rPr>
          <w:rFonts w:ascii="Palatino Linotype" w:eastAsia="Palatino Linotype" w:hAnsi="Palatino Linotype" w:cs="Palatino Linotype"/>
          <w:i/>
          <w:sz w:val="22"/>
          <w:szCs w:val="22"/>
        </w:rPr>
        <w:t>.”</w:t>
      </w:r>
    </w:p>
    <w:p w14:paraId="1E396441" w14:textId="77777777" w:rsidR="00800E13" w:rsidRDefault="00FC5637">
      <w:pPr>
        <w:ind w:left="851"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w:t>
      </w:r>
    </w:p>
    <w:p w14:paraId="1AC7CAC9"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7DBB4B32"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w:t>
      </w:r>
      <w:r>
        <w:rPr>
          <w:rFonts w:ascii="Palatino Linotype" w:eastAsia="Palatino Linotype" w:hAnsi="Palatino Linotype" w:cs="Palatino Linotype"/>
          <w:i/>
          <w:sz w:val="22"/>
          <w:szCs w:val="22"/>
        </w:rPr>
        <w:t>, a través de la resolución que para tal efecto emita el Comité de Transparencia.</w:t>
      </w:r>
    </w:p>
    <w:p w14:paraId="1540B6A0"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EAADC88"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BDB4764"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w:t>
      </w:r>
      <w:r>
        <w:rPr>
          <w:rFonts w:ascii="Palatino Linotype" w:eastAsia="Palatino Linotype" w:hAnsi="Palatino Linotype" w:cs="Palatino Linotype"/>
          <w:i/>
          <w:sz w:val="22"/>
          <w:szCs w:val="22"/>
        </w:rPr>
        <w:lastRenderedPageBreak/>
        <w:t>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64E9615"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FE0536E"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BED9ED1"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25F29B6F"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6741AD31"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5D9E0FA9"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3CB9E97"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58FB251"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4B88E63"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73B584F"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AB7C1B6"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68F5C5A"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4D6BE7C"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D569A6D"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E6F1959"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72C2554" w14:textId="77777777" w:rsidR="00800E13" w:rsidRDefault="00FC563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3A0D19E" w14:textId="77777777" w:rsidR="00800E13" w:rsidRDefault="00800E13">
      <w:pPr>
        <w:ind w:left="851" w:right="902"/>
        <w:jc w:val="both"/>
        <w:rPr>
          <w:rFonts w:ascii="Palatino Linotype" w:eastAsia="Palatino Linotype" w:hAnsi="Palatino Linotype" w:cs="Palatino Linotype"/>
          <w:i/>
          <w:sz w:val="22"/>
          <w:szCs w:val="22"/>
        </w:rPr>
      </w:pPr>
    </w:p>
    <w:p w14:paraId="2B968CE4" w14:textId="77777777" w:rsidR="00800E13" w:rsidRDefault="00FC5637">
      <w:pPr>
        <w:ind w:left="850" w:right="90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49A7CF49" w14:textId="77777777" w:rsidR="00800E13" w:rsidRDefault="00FC5637">
      <w:pPr>
        <w:ind w:left="850" w:right="901"/>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14:paraId="45C7EFCC" w14:textId="77777777" w:rsidR="00800E13" w:rsidRDefault="00FC5637">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22473B81" w14:textId="77777777" w:rsidR="00800E13" w:rsidRDefault="00FC5637">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C287E6" w14:textId="77777777" w:rsidR="00800E13" w:rsidRDefault="00FC5637">
      <w:pPr>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p w14:paraId="3EE459B2" w14:textId="77777777" w:rsidR="00800E13" w:rsidRDefault="00800E13">
      <w:pPr>
        <w:ind w:left="850" w:right="901"/>
        <w:jc w:val="both"/>
        <w:rPr>
          <w:rFonts w:ascii="Palatino Linotype" w:eastAsia="Palatino Linotype" w:hAnsi="Palatino Linotype" w:cs="Palatino Linotype"/>
          <w:i/>
          <w:sz w:val="22"/>
          <w:szCs w:val="22"/>
        </w:rPr>
      </w:pPr>
    </w:p>
    <w:tbl>
      <w:tblPr>
        <w:tblStyle w:val="affffffff"/>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800E13" w14:paraId="227216E0"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5951E505" w14:textId="77777777" w:rsidR="00800E13" w:rsidRDefault="00800E13">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5CBC51D" w14:textId="77777777" w:rsidR="00800E13" w:rsidRDefault="00FC5637">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6555AA45" w14:textId="77777777" w:rsidR="00800E13" w:rsidRDefault="00FC5637">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800E13" w14:paraId="16AAC73A"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0DE441E1" w14:textId="77777777" w:rsidR="00800E13" w:rsidRDefault="00FC5637">
            <w:pPr>
              <w:jc w:val="center"/>
              <w:rPr>
                <w:rFonts w:ascii="Palatino Linotype" w:eastAsia="Palatino Linotype" w:hAnsi="Palatino Linotype" w:cs="Palatino Linotype"/>
                <w:b/>
                <w:i/>
              </w:rPr>
            </w:pPr>
            <w:r>
              <w:rPr>
                <w:rFonts w:ascii="Palatino Linotype" w:eastAsia="Palatino Linotype" w:hAnsi="Palatino Linotype" w:cs="Palatino Linotype"/>
                <w:b/>
                <w:i/>
              </w:rPr>
              <w:t xml:space="preserve">Sello oficial o logotipo </w:t>
            </w:r>
            <w:r>
              <w:rPr>
                <w:rFonts w:ascii="Palatino Linotype" w:eastAsia="Palatino Linotype" w:hAnsi="Palatino Linotype" w:cs="Palatino Linotype"/>
                <w:b/>
                <w:i/>
              </w:rPr>
              <w:lastRenderedPageBreak/>
              <w:t>del sujeto obligado</w:t>
            </w:r>
          </w:p>
        </w:tc>
        <w:tc>
          <w:tcPr>
            <w:tcW w:w="1990" w:type="dxa"/>
            <w:tcBorders>
              <w:top w:val="single" w:sz="4" w:space="0" w:color="000000"/>
              <w:left w:val="single" w:sz="4" w:space="0" w:color="000000"/>
              <w:bottom w:val="single" w:sz="4" w:space="0" w:color="000000"/>
              <w:right w:val="single" w:sz="4" w:space="0" w:color="000000"/>
            </w:tcBorders>
          </w:tcPr>
          <w:p w14:paraId="08C0188D" w14:textId="77777777" w:rsidR="00800E13" w:rsidRDefault="00FC5637">
            <w:pPr>
              <w:jc w:val="center"/>
              <w:rPr>
                <w:rFonts w:ascii="Palatino Linotype" w:eastAsia="Palatino Linotype" w:hAnsi="Palatino Linotype" w:cs="Palatino Linotype"/>
                <w:i/>
              </w:rPr>
            </w:pPr>
            <w:r>
              <w:rPr>
                <w:rFonts w:ascii="Palatino Linotype" w:eastAsia="Palatino Linotype" w:hAnsi="Palatino Linotype" w:cs="Palatino Linotype"/>
                <w:i/>
              </w:rPr>
              <w:lastRenderedPageBreak/>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C7A9B75" w14:textId="77777777" w:rsidR="00800E13" w:rsidRDefault="00FC5637">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800E13" w14:paraId="757F2749"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0A9A8E1"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7C08B0A" w14:textId="77777777" w:rsidR="00800E13" w:rsidRDefault="00FC5637">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30A2ED87" w14:textId="77777777" w:rsidR="00800E13" w:rsidRDefault="00FC563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800E13" w14:paraId="2B217D84"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A131428"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8F90717" w14:textId="77777777" w:rsidR="00800E13" w:rsidRDefault="00FC5637">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4491DEEA" w14:textId="77777777" w:rsidR="00800E13" w:rsidRDefault="00FC5637">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00E13" w14:paraId="0989D1A9"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ED907DF"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70FC477" w14:textId="77777777" w:rsidR="00800E13" w:rsidRDefault="00FC5637">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22F0C387" w14:textId="77777777" w:rsidR="00800E13" w:rsidRDefault="00FC5637">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800E13" w14:paraId="752F5D0E"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73CFC0B"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99DD596" w14:textId="77777777" w:rsidR="00800E13" w:rsidRDefault="00FC5637">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717C00C" w14:textId="77777777" w:rsidR="00800E13" w:rsidRDefault="00FC563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800E13" w14:paraId="5D5EA05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511D3FA"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7FDFB42" w14:textId="77777777" w:rsidR="00800E13" w:rsidRDefault="00FC5637">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359CD9DC" w14:textId="77777777" w:rsidR="00800E13" w:rsidRDefault="00FC5637">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800E13" w14:paraId="378A8F2A"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23923A3"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518E062" w14:textId="77777777" w:rsidR="00800E13" w:rsidRDefault="00FC5637">
            <w:pPr>
              <w:jc w:val="center"/>
              <w:rPr>
                <w:rFonts w:ascii="Palatino Linotype" w:eastAsia="Palatino Linotype" w:hAnsi="Palatino Linotype" w:cs="Palatino Linotype"/>
                <w:b/>
                <w:i/>
                <w:u w:val="single"/>
              </w:rPr>
            </w:pPr>
            <w:r>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1664E3F9" w14:textId="77777777" w:rsidR="00800E13" w:rsidRDefault="00FC5637">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w:t>
            </w:r>
            <w:r>
              <w:rPr>
                <w:rFonts w:ascii="Palatino Linotype" w:eastAsia="Palatino Linotype" w:hAnsi="Palatino Linotype" w:cs="Palatino Linotype"/>
                <w:b/>
                <w:i/>
                <w:u w:val="single"/>
              </w:rPr>
              <w:t>las partes o páginas del documento que se clasifica como confidencial</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Si el documento fuera confidencial en su totalidad, se anotarán todas las páginas que lo conforman</w:t>
            </w:r>
            <w:r>
              <w:rPr>
                <w:rFonts w:ascii="Palatino Linotype" w:eastAsia="Palatino Linotype" w:hAnsi="Palatino Linotype" w:cs="Palatino Linotype"/>
                <w:i/>
              </w:rPr>
              <w:t>. Si el documento no contiene información confidencial, se tachará este apartado.</w:t>
            </w:r>
          </w:p>
        </w:tc>
      </w:tr>
      <w:tr w:rsidR="00800E13" w14:paraId="6ADBFA72"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9A31194"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FE63401" w14:textId="77777777" w:rsidR="00800E13" w:rsidRDefault="00FC5637">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D65F104" w14:textId="77777777" w:rsidR="00800E13" w:rsidRDefault="00FC563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800E13" w14:paraId="13ED1A2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423D902"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E48E34A" w14:textId="77777777" w:rsidR="00800E13" w:rsidRDefault="00FC5637">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0D446541" w14:textId="77777777" w:rsidR="00800E13" w:rsidRDefault="00FC5637">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800E13" w14:paraId="056B375E"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A10EBBD"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6307386" w14:textId="77777777" w:rsidR="00800E13" w:rsidRDefault="00FC5637">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4BCCA88E" w14:textId="77777777" w:rsidR="00800E13" w:rsidRDefault="00FC5637">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800E13" w14:paraId="177B563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D37B436"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D097C1E" w14:textId="77777777" w:rsidR="00800E13" w:rsidRDefault="00FC5637">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FEB7885" w14:textId="77777777" w:rsidR="00800E13" w:rsidRDefault="00FC5637">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14:paraId="71A66167" w14:textId="77777777" w:rsidR="00800E13" w:rsidRDefault="00FC5637">
      <w:pPr>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16F390D3" w14:textId="77777777" w:rsidR="00800E13" w:rsidRDefault="00800E13">
      <w:pPr>
        <w:spacing w:line="360" w:lineRule="auto"/>
        <w:jc w:val="both"/>
        <w:rPr>
          <w:rFonts w:ascii="Palatino Linotype" w:eastAsia="Palatino Linotype" w:hAnsi="Palatino Linotype" w:cs="Palatino Linotype"/>
        </w:rPr>
      </w:pPr>
    </w:p>
    <w:p w14:paraId="1907B16B"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referir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72E0347" w14:textId="77777777" w:rsidR="00800E13" w:rsidRDefault="00800E13">
      <w:pPr>
        <w:spacing w:line="360" w:lineRule="auto"/>
        <w:jc w:val="both"/>
        <w:rPr>
          <w:rFonts w:ascii="Palatino Linotype" w:eastAsia="Palatino Linotype" w:hAnsi="Palatino Linotype" w:cs="Palatino Linotype"/>
        </w:rPr>
      </w:pPr>
    </w:p>
    <w:p w14:paraId="1B40977B" w14:textId="77777777" w:rsidR="00800E13" w:rsidRDefault="00FC5637">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se omite  comentar que de las constancias que obran en el expediente electrónico del SAIMEX se advierte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el último día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tenía para dar respuesta a la solicitud de información. </w:t>
      </w:r>
    </w:p>
    <w:p w14:paraId="1800179D" w14:textId="77777777" w:rsidR="00800E13" w:rsidRDefault="00800E13">
      <w:pPr>
        <w:widowControl w:val="0"/>
        <w:tabs>
          <w:tab w:val="left" w:pos="1701"/>
          <w:tab w:val="left" w:pos="1843"/>
        </w:tabs>
        <w:spacing w:line="360" w:lineRule="auto"/>
        <w:jc w:val="both"/>
        <w:rPr>
          <w:rFonts w:ascii="Palatino Linotype" w:eastAsia="Palatino Linotype" w:hAnsi="Palatino Linotype" w:cs="Palatino Linotype"/>
        </w:rPr>
      </w:pPr>
    </w:p>
    <w:p w14:paraId="569691EA" w14:textId="77777777" w:rsidR="00800E13" w:rsidRDefault="00FC5637">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es de mencionar que los Sujetos Obligados deberán de rendir sus respuestas a las solicitudes de información formuladas por la ciudadanía en un término que no podrá exceder de 15 días hábiles, contados a partir del día siguiente a la presentación de la solicitud. Robustece lo anterior el numeral 163 de la Ley de Transparencia local que dispone a la literalidad lo siguiente: </w:t>
      </w:r>
    </w:p>
    <w:p w14:paraId="69689A78" w14:textId="77777777" w:rsidR="00800E13" w:rsidRDefault="00800E13">
      <w:pPr>
        <w:widowControl w:val="0"/>
        <w:tabs>
          <w:tab w:val="left" w:pos="1701"/>
          <w:tab w:val="left" w:pos="1843"/>
        </w:tabs>
        <w:spacing w:line="360" w:lineRule="auto"/>
        <w:jc w:val="both"/>
        <w:rPr>
          <w:rFonts w:ascii="Palatino Linotype" w:eastAsia="Palatino Linotype" w:hAnsi="Palatino Linotype" w:cs="Palatino Linotype"/>
        </w:rPr>
      </w:pPr>
    </w:p>
    <w:p w14:paraId="6CFACCFA" w14:textId="77777777" w:rsidR="00800E13" w:rsidRDefault="00FC5637">
      <w:pPr>
        <w:widowControl w:val="0"/>
        <w:tabs>
          <w:tab w:val="left" w:pos="1701"/>
          <w:tab w:val="left" w:pos="1843"/>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163. </w:t>
      </w:r>
      <w:r>
        <w:rPr>
          <w:rFonts w:ascii="Palatino Linotype" w:eastAsia="Palatino Linotype" w:hAnsi="Palatino Linotype" w:cs="Palatino Linotype"/>
          <w:i/>
          <w:sz w:val="22"/>
          <w:szCs w:val="22"/>
        </w:rPr>
        <w:t>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6C96756C" w14:textId="77777777" w:rsidR="00800E13" w:rsidRDefault="00800E13">
      <w:pPr>
        <w:widowControl w:val="0"/>
        <w:tabs>
          <w:tab w:val="left" w:pos="1701"/>
          <w:tab w:val="left" w:pos="1843"/>
        </w:tabs>
        <w:spacing w:line="360" w:lineRule="auto"/>
        <w:jc w:val="both"/>
        <w:rPr>
          <w:rFonts w:ascii="Palatino Linotype" w:eastAsia="Palatino Linotype" w:hAnsi="Palatino Linotype" w:cs="Palatino Linotype"/>
        </w:rPr>
      </w:pPr>
    </w:p>
    <w:p w14:paraId="6323B1EF" w14:textId="77777777" w:rsidR="00800E13" w:rsidRDefault="00FC5637">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este contexto, al tomar en consideración que la solicitud de información de mérito fue realizada el día seis de abril, dicho término inició el día siete de abril, comprendiendo los días ocho, dieciocho, diecinueve, veinte, veintiuno, veintidós, veinticinco, veintiséis, veintisiete, veintiocho, veintinueve de abril, dos y tres de mayo, concluyendo el día cuatro de mayo; a estos se excluyen los días nueve, diez al diecisiete, veintitrés, veinticuatro, treinta de abril y uno de mayo, todos ellos correspondientes al ejercicio dos mil veintidós. Ahora bien, los recursos de revisión se presentaron ante el Instituto mediante el Sistema de Acceso a la Información Mexiquense (SAIMEX) en </w:t>
      </w:r>
      <w:r>
        <w:rPr>
          <w:rFonts w:ascii="Palatino Linotype" w:eastAsia="Palatino Linotype" w:hAnsi="Palatino Linotype" w:cs="Palatino Linotype"/>
        </w:rPr>
        <w:lastRenderedPageBreak/>
        <w:t xml:space="preserve">fecha cuatro de mayo del presente. </w:t>
      </w:r>
    </w:p>
    <w:p w14:paraId="6B6E07D8" w14:textId="77777777" w:rsidR="00800E13" w:rsidRDefault="00800E13">
      <w:pPr>
        <w:widowControl w:val="0"/>
        <w:tabs>
          <w:tab w:val="left" w:pos="1701"/>
          <w:tab w:val="left" w:pos="1843"/>
        </w:tabs>
        <w:spacing w:line="360" w:lineRule="auto"/>
        <w:jc w:val="both"/>
        <w:rPr>
          <w:rFonts w:ascii="Palatino Linotype" w:eastAsia="Palatino Linotype" w:hAnsi="Palatino Linotype" w:cs="Palatino Linotype"/>
        </w:rPr>
      </w:pPr>
    </w:p>
    <w:p w14:paraId="772FEA7E" w14:textId="77777777" w:rsidR="00800E13" w:rsidRDefault="00FC5637">
      <w:pPr>
        <w:widowControl w:val="0"/>
        <w:tabs>
          <w:tab w:val="left" w:pos="1701"/>
          <w:tab w:val="left" w:pos="1843"/>
        </w:tabs>
        <w:spacing w:line="360" w:lineRule="auto"/>
        <w:jc w:val="both"/>
        <w:rPr>
          <w:rFonts w:ascii="Palatino Linotype" w:eastAsia="Palatino Linotype" w:hAnsi="Palatino Linotype" w:cs="Palatino Linotype"/>
        </w:rPr>
      </w:pPr>
      <w:bookmarkStart w:id="3" w:name="_heading=h.gjdgxs" w:colFirst="0" w:colLast="0"/>
      <w:bookmarkEnd w:id="3"/>
      <w:r>
        <w:rPr>
          <w:rFonts w:ascii="Palatino Linotype" w:eastAsia="Palatino Linotype" w:hAnsi="Palatino Linotype" w:cs="Palatino Linotype"/>
        </w:rPr>
        <w:t xml:space="preserve">Del cómputo antes descrito se observa que los recursos de revisión se presentaron de manera anticipada, ya que el plazo para responder las solicitudes de información todavía no había fenecido, por ello no ha lugar a girar vista al Contralor Interno y Órgano de Control y Vigilancia de este Instituto, puesto que la multicitada falla técnica imposibilita al Sujeto Obligado a responder de manera oportuna a la solicitud de información. </w:t>
      </w:r>
    </w:p>
    <w:p w14:paraId="0443DBE3" w14:textId="77777777" w:rsidR="00800E13" w:rsidRDefault="00800E13">
      <w:pPr>
        <w:widowControl w:val="0"/>
        <w:tabs>
          <w:tab w:val="left" w:pos="1701"/>
          <w:tab w:val="left" w:pos="1843"/>
        </w:tabs>
        <w:spacing w:line="360" w:lineRule="auto"/>
        <w:jc w:val="both"/>
        <w:rPr>
          <w:rFonts w:ascii="Palatino Linotype" w:eastAsia="Palatino Linotype" w:hAnsi="Palatino Linotype" w:cs="Palatino Linotype"/>
        </w:rPr>
      </w:pPr>
      <w:bookmarkStart w:id="4" w:name="_heading=h.uc6h8mnpjfvw" w:colFirst="0" w:colLast="0"/>
      <w:bookmarkEnd w:id="4"/>
    </w:p>
    <w:p w14:paraId="3A574D89" w14:textId="77777777" w:rsidR="00800E13" w:rsidRDefault="00FC5637">
      <w:pPr>
        <w:widowControl w:val="0"/>
        <w:tabs>
          <w:tab w:val="left" w:pos="1701"/>
          <w:tab w:val="left" w:pos="1843"/>
        </w:tabs>
        <w:spacing w:line="360" w:lineRule="auto"/>
        <w:jc w:val="both"/>
        <w:rPr>
          <w:rFonts w:ascii="Palatino Linotype" w:eastAsia="Palatino Linotype" w:hAnsi="Palatino Linotype" w:cs="Palatino Linotype"/>
        </w:rPr>
      </w:pPr>
      <w:bookmarkStart w:id="5" w:name="_heading=h.ocgnfkeo9afc" w:colFirst="0" w:colLast="0"/>
      <w:bookmarkEnd w:id="5"/>
      <w:r>
        <w:rPr>
          <w:rFonts w:ascii="Palatino Linotype" w:eastAsia="Palatino Linotype" w:hAnsi="Palatino Linotype" w:cs="Palatino Linotype"/>
        </w:rPr>
        <w:t xml:space="preserve">En tal sentido a fin de privilegiar el derecho de acceso a la información del particular, se dejan a salvo sus derechos para que pueda presentar las solicitudes que considere pertinentes. </w:t>
      </w:r>
    </w:p>
    <w:p w14:paraId="424651D8" w14:textId="77777777" w:rsidR="00800E13" w:rsidRDefault="00800E13">
      <w:pPr>
        <w:spacing w:line="360" w:lineRule="auto"/>
        <w:jc w:val="both"/>
        <w:rPr>
          <w:rFonts w:ascii="Palatino Linotype" w:eastAsia="Palatino Linotype" w:hAnsi="Palatino Linotype" w:cs="Palatino Linotype"/>
        </w:rPr>
      </w:pPr>
    </w:p>
    <w:p w14:paraId="1EBE937A"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02C7827" w14:textId="77777777" w:rsidR="00800E13" w:rsidRDefault="00800E13">
      <w:pPr>
        <w:spacing w:line="360" w:lineRule="auto"/>
        <w:jc w:val="center"/>
        <w:rPr>
          <w:rFonts w:ascii="Palatino Linotype" w:eastAsia="Palatino Linotype" w:hAnsi="Palatino Linotype" w:cs="Palatino Linotype"/>
          <w:b/>
          <w:sz w:val="26"/>
          <w:szCs w:val="26"/>
        </w:rPr>
      </w:pPr>
    </w:p>
    <w:p w14:paraId="150A38ED" w14:textId="77777777" w:rsidR="00800E13" w:rsidRDefault="00FC5637">
      <w:pPr>
        <w:spacing w:line="360" w:lineRule="auto"/>
        <w:jc w:val="cente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RESUELVE</w:t>
      </w:r>
    </w:p>
    <w:p w14:paraId="44369DE3" w14:textId="77777777" w:rsidR="00800E13" w:rsidRDefault="00800E13">
      <w:pPr>
        <w:spacing w:line="360" w:lineRule="auto"/>
        <w:ind w:right="49"/>
        <w:jc w:val="both"/>
        <w:rPr>
          <w:rFonts w:ascii="Palatino Linotype" w:eastAsia="Palatino Linotype" w:hAnsi="Palatino Linotype" w:cs="Palatino Linotype"/>
          <w:b/>
        </w:rPr>
      </w:pPr>
    </w:p>
    <w:p w14:paraId="7E53D35F" w14:textId="77777777" w:rsidR="00800E13" w:rsidRDefault="00FC563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manifestaciones hechas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06957/INFOEM/IP/RR/2022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w:t>
      </w:r>
    </w:p>
    <w:p w14:paraId="70E0CF68" w14:textId="77777777" w:rsidR="00800E13" w:rsidRDefault="00800E13">
      <w:pPr>
        <w:spacing w:line="360" w:lineRule="auto"/>
        <w:ind w:right="49"/>
        <w:jc w:val="both"/>
        <w:rPr>
          <w:rFonts w:ascii="Palatino Linotype" w:eastAsia="Palatino Linotype" w:hAnsi="Palatino Linotype" w:cs="Palatino Linotype"/>
        </w:rPr>
      </w:pPr>
    </w:p>
    <w:p w14:paraId="7B81B832"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 al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haga entrega al Recurrente mediante el Sistema de Acceso a la Información Mexiquense (SAIMEX), de lo siguiente: </w:t>
      </w:r>
    </w:p>
    <w:p w14:paraId="3A845A43" w14:textId="77777777" w:rsidR="00800E13" w:rsidRDefault="00FC5637">
      <w:pPr>
        <w:ind w:left="850" w:right="33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soporte documental en versión pública donde conste el contrato de  arrendamiento de las patrullas de seguridad pública de la Administración Pública Municipal de Atizapán de Zaragoza 2022-2024; así como  el origen del recurso utilizado. </w:t>
      </w:r>
    </w:p>
    <w:p w14:paraId="02879F2D" w14:textId="77777777" w:rsidR="00800E13" w:rsidRDefault="00800E13">
      <w:pPr>
        <w:ind w:left="850" w:right="332"/>
        <w:jc w:val="both"/>
        <w:rPr>
          <w:rFonts w:ascii="Palatino Linotype" w:eastAsia="Palatino Linotype" w:hAnsi="Palatino Linotype" w:cs="Palatino Linotype"/>
          <w:i/>
          <w:sz w:val="22"/>
          <w:szCs w:val="22"/>
        </w:rPr>
      </w:pPr>
    </w:p>
    <w:p w14:paraId="27F224DE" w14:textId="77777777" w:rsidR="00800E13" w:rsidRDefault="00FC5637">
      <w:pPr>
        <w:ind w:left="850" w:right="33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Debiendo notificar al RECURRENTE el Acuerdo de Clasificación de la información que emita en su caso el Comité de Transparencia con motivo de la versión pública.”</w:t>
      </w:r>
    </w:p>
    <w:p w14:paraId="0F7D0FE0" w14:textId="77777777" w:rsidR="00800E13" w:rsidRDefault="00800E13">
      <w:pPr>
        <w:ind w:left="850" w:right="332"/>
        <w:jc w:val="both"/>
        <w:rPr>
          <w:rFonts w:ascii="Palatino Linotype" w:eastAsia="Palatino Linotype" w:hAnsi="Palatino Linotype" w:cs="Palatino Linotype"/>
          <w:i/>
          <w:sz w:val="22"/>
          <w:szCs w:val="22"/>
        </w:rPr>
      </w:pPr>
    </w:p>
    <w:p w14:paraId="4BD6C9D5" w14:textId="77777777" w:rsidR="00800E13" w:rsidRDefault="00800E13">
      <w:pPr>
        <w:spacing w:line="360" w:lineRule="auto"/>
        <w:jc w:val="both"/>
        <w:rPr>
          <w:rFonts w:ascii="Palatino Linotype" w:eastAsia="Palatino Linotype" w:hAnsi="Palatino Linotype" w:cs="Palatino Linotype"/>
          <w:b/>
        </w:rPr>
      </w:pPr>
    </w:p>
    <w:p w14:paraId="0A09D8D5"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NOTIFÍQUESE </w:t>
      </w:r>
      <w:r>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6D01ECC" w14:textId="77777777" w:rsidR="00800E13" w:rsidRDefault="00800E13">
      <w:pPr>
        <w:spacing w:line="360" w:lineRule="auto"/>
        <w:jc w:val="both"/>
        <w:rPr>
          <w:rFonts w:ascii="Palatino Linotype" w:eastAsia="Palatino Linotype" w:hAnsi="Palatino Linotype" w:cs="Palatino Linotype"/>
          <w:sz w:val="22"/>
          <w:szCs w:val="22"/>
        </w:rPr>
      </w:pPr>
    </w:p>
    <w:p w14:paraId="693A5385"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rPr>
        <w:lastRenderedPageBreak/>
        <w:t>el Sujeto Obligado de manera fundada y motivada, podrá solicitar una ampliación de plazo para el cumplimiento de la presente resolución.</w:t>
      </w:r>
    </w:p>
    <w:p w14:paraId="7DA3063B" w14:textId="77777777" w:rsidR="00800E13" w:rsidRDefault="00800E13">
      <w:pPr>
        <w:spacing w:line="360" w:lineRule="auto"/>
        <w:jc w:val="both"/>
        <w:rPr>
          <w:rFonts w:ascii="Palatino Linotype" w:eastAsia="Palatino Linotype" w:hAnsi="Palatino Linotype" w:cs="Palatino Linotype"/>
          <w:sz w:val="22"/>
          <w:szCs w:val="22"/>
        </w:rPr>
      </w:pPr>
    </w:p>
    <w:p w14:paraId="7232FB5E"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8E241C2" w14:textId="77777777" w:rsidR="00800E13" w:rsidRDefault="00800E13">
      <w:pPr>
        <w:spacing w:line="360" w:lineRule="auto"/>
        <w:jc w:val="both"/>
        <w:rPr>
          <w:rFonts w:ascii="Palatino Linotype" w:eastAsia="Palatino Linotype" w:hAnsi="Palatino Linotype" w:cs="Palatino Linotype"/>
        </w:rPr>
      </w:pPr>
    </w:p>
    <w:p w14:paraId="0B0165A7" w14:textId="77777777" w:rsidR="00800E13" w:rsidRDefault="00FC5637">
      <w:pPr>
        <w:widowControl w:val="0"/>
        <w:tabs>
          <w:tab w:val="left" w:pos="1701"/>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b/>
          <w:sz w:val="26"/>
          <w:szCs w:val="26"/>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rPr>
        <w:t xml:space="preserve">Hágase del conocimiento </w:t>
      </w:r>
      <w:r>
        <w:rPr>
          <w:rFonts w:ascii="Palatino Linotype" w:eastAsia="Palatino Linotype" w:hAnsi="Palatino Linotype" w:cs="Palatino Linotype"/>
        </w:rPr>
        <w:t xml:space="preserve">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que la respuesta que dé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derivada de la presente resolución es susceptible de ser impugnada nuevamente, mediante Recurso Revisión, ante el Instituto, en términos del artículo 179, último párrafo de la Ley de Transparencia y Acceso a la Información Pública del Estado de México y Municipios.</w:t>
      </w:r>
    </w:p>
    <w:p w14:paraId="4FA577A8" w14:textId="77777777" w:rsidR="00800E13" w:rsidRDefault="00800E13">
      <w:pPr>
        <w:spacing w:line="360" w:lineRule="auto"/>
        <w:jc w:val="both"/>
        <w:rPr>
          <w:rFonts w:ascii="Palatino Linotype" w:eastAsia="Palatino Linotype" w:hAnsi="Palatino Linotype" w:cs="Palatino Linotype"/>
        </w:rPr>
      </w:pPr>
    </w:p>
    <w:p w14:paraId="19EC4685" w14:textId="77777777" w:rsidR="00800E13" w:rsidRDefault="00FC56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NUEVE DE NOVIEMBRE </w:t>
      </w:r>
      <w:r>
        <w:rPr>
          <w:rFonts w:ascii="Palatino Linotype" w:eastAsia="Palatino Linotype" w:hAnsi="Palatino Linotype" w:cs="Palatino Linotype"/>
        </w:rPr>
        <w:lastRenderedPageBreak/>
        <w:t>DE DOS MIL VEINTIDÓS, ANTE EL SECRETARIO TÉCNICO DEL PLENO, ALEXIS TAPIA RAMÍREZ.</w:t>
      </w:r>
    </w:p>
    <w:p w14:paraId="185A11AB" w14:textId="77777777" w:rsidR="00800E13" w:rsidRDefault="00FC5637">
      <w:pPr>
        <w:spacing w:line="360" w:lineRule="auto"/>
        <w:jc w:val="both"/>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SCMM/BLA/DEMF/PMRE</w:t>
      </w:r>
    </w:p>
    <w:p w14:paraId="52648D2F" w14:textId="77777777" w:rsidR="00800E13" w:rsidRDefault="00FC5637">
      <w:pPr>
        <w:rPr>
          <w:rFonts w:ascii="Palatino Linotype" w:eastAsia="Palatino Linotype" w:hAnsi="Palatino Linotype" w:cs="Palatino Linotype"/>
        </w:rPr>
      </w:pPr>
      <w:r>
        <w:br w:type="page"/>
      </w:r>
    </w:p>
    <w:p w14:paraId="76892986" w14:textId="77777777" w:rsidR="00800E13" w:rsidRDefault="00800E13">
      <w:pPr>
        <w:spacing w:line="360" w:lineRule="auto"/>
        <w:jc w:val="both"/>
        <w:rPr>
          <w:rFonts w:ascii="Palatino Linotype" w:eastAsia="Palatino Linotype" w:hAnsi="Palatino Linotype" w:cs="Palatino Linotype"/>
        </w:rPr>
      </w:pPr>
    </w:p>
    <w:p w14:paraId="070AF7A3" w14:textId="77777777" w:rsidR="00800E13" w:rsidRDefault="00800E13">
      <w:pPr>
        <w:spacing w:line="360" w:lineRule="auto"/>
        <w:jc w:val="both"/>
        <w:rPr>
          <w:rFonts w:ascii="Palatino Linotype" w:eastAsia="Palatino Linotype" w:hAnsi="Palatino Linotype" w:cs="Palatino Linotype"/>
        </w:rPr>
      </w:pPr>
    </w:p>
    <w:p w14:paraId="4ACAE8BA" w14:textId="77777777" w:rsidR="00800E13" w:rsidRDefault="00800E13">
      <w:pPr>
        <w:spacing w:line="360" w:lineRule="auto"/>
        <w:jc w:val="both"/>
        <w:rPr>
          <w:rFonts w:ascii="Palatino Linotype" w:eastAsia="Palatino Linotype" w:hAnsi="Palatino Linotype" w:cs="Palatino Linotype"/>
        </w:rPr>
      </w:pPr>
    </w:p>
    <w:p w14:paraId="654F1078" w14:textId="77777777" w:rsidR="00800E13" w:rsidRDefault="00800E13">
      <w:pPr>
        <w:spacing w:line="360" w:lineRule="auto"/>
        <w:jc w:val="both"/>
        <w:rPr>
          <w:rFonts w:ascii="Palatino Linotype" w:eastAsia="Palatino Linotype" w:hAnsi="Palatino Linotype" w:cs="Palatino Linotype"/>
        </w:rPr>
      </w:pPr>
    </w:p>
    <w:p w14:paraId="2537B0D3" w14:textId="77777777" w:rsidR="00800E13" w:rsidRDefault="00800E13">
      <w:pPr>
        <w:spacing w:line="360" w:lineRule="auto"/>
        <w:jc w:val="both"/>
        <w:rPr>
          <w:rFonts w:ascii="Palatino Linotype" w:eastAsia="Palatino Linotype" w:hAnsi="Palatino Linotype" w:cs="Palatino Linotype"/>
        </w:rPr>
      </w:pPr>
    </w:p>
    <w:p w14:paraId="64875156" w14:textId="77777777" w:rsidR="00800E13" w:rsidRDefault="00800E13">
      <w:pPr>
        <w:spacing w:line="360" w:lineRule="auto"/>
        <w:jc w:val="both"/>
        <w:rPr>
          <w:rFonts w:ascii="Palatino Linotype" w:eastAsia="Palatino Linotype" w:hAnsi="Palatino Linotype" w:cs="Palatino Linotype"/>
        </w:rPr>
      </w:pPr>
    </w:p>
    <w:p w14:paraId="36484368" w14:textId="77777777" w:rsidR="00800E13" w:rsidRDefault="00800E13">
      <w:pPr>
        <w:spacing w:line="360" w:lineRule="auto"/>
        <w:jc w:val="both"/>
        <w:rPr>
          <w:rFonts w:ascii="Palatino Linotype" w:eastAsia="Palatino Linotype" w:hAnsi="Palatino Linotype" w:cs="Palatino Linotype"/>
        </w:rPr>
      </w:pPr>
    </w:p>
    <w:p w14:paraId="0D4ECD98" w14:textId="77777777" w:rsidR="00800E13" w:rsidRDefault="00800E13">
      <w:pPr>
        <w:spacing w:line="360" w:lineRule="auto"/>
        <w:jc w:val="both"/>
        <w:rPr>
          <w:rFonts w:ascii="Palatino Linotype" w:eastAsia="Palatino Linotype" w:hAnsi="Palatino Linotype" w:cs="Palatino Linotype"/>
        </w:rPr>
      </w:pPr>
    </w:p>
    <w:p w14:paraId="2331E769" w14:textId="77777777" w:rsidR="00800E13" w:rsidRDefault="00800E13">
      <w:pPr>
        <w:spacing w:line="360" w:lineRule="auto"/>
        <w:jc w:val="both"/>
        <w:rPr>
          <w:rFonts w:ascii="Palatino Linotype" w:eastAsia="Palatino Linotype" w:hAnsi="Palatino Linotype" w:cs="Palatino Linotype"/>
        </w:rPr>
      </w:pPr>
      <w:bookmarkStart w:id="6" w:name="_heading=h.30j0zll" w:colFirst="0" w:colLast="0"/>
      <w:bookmarkEnd w:id="6"/>
    </w:p>
    <w:p w14:paraId="4C875A8B" w14:textId="77777777" w:rsidR="00800E13" w:rsidRDefault="00800E13">
      <w:pPr>
        <w:spacing w:line="360" w:lineRule="auto"/>
        <w:jc w:val="both"/>
        <w:rPr>
          <w:rFonts w:ascii="Palatino Linotype" w:eastAsia="Palatino Linotype" w:hAnsi="Palatino Linotype" w:cs="Palatino Linotype"/>
        </w:rPr>
      </w:pPr>
    </w:p>
    <w:p w14:paraId="7FA9778F" w14:textId="77777777" w:rsidR="00800E13" w:rsidRDefault="00800E13">
      <w:pPr>
        <w:spacing w:line="360" w:lineRule="auto"/>
        <w:jc w:val="both"/>
        <w:rPr>
          <w:rFonts w:ascii="Palatino Linotype" w:eastAsia="Palatino Linotype" w:hAnsi="Palatino Linotype" w:cs="Palatino Linotype"/>
        </w:rPr>
      </w:pPr>
    </w:p>
    <w:p w14:paraId="235CACD3" w14:textId="77777777" w:rsidR="00800E13" w:rsidRDefault="00800E13">
      <w:pPr>
        <w:spacing w:line="360" w:lineRule="auto"/>
        <w:jc w:val="both"/>
        <w:rPr>
          <w:rFonts w:ascii="Palatino Linotype" w:eastAsia="Palatino Linotype" w:hAnsi="Palatino Linotype" w:cs="Palatino Linotype"/>
        </w:rPr>
      </w:pPr>
    </w:p>
    <w:p w14:paraId="355EE881" w14:textId="77777777" w:rsidR="00800E13" w:rsidRDefault="00800E13">
      <w:pPr>
        <w:spacing w:line="360" w:lineRule="auto"/>
        <w:jc w:val="both"/>
        <w:rPr>
          <w:rFonts w:ascii="Palatino Linotype" w:eastAsia="Palatino Linotype" w:hAnsi="Palatino Linotype" w:cs="Palatino Linotype"/>
        </w:rPr>
      </w:pPr>
    </w:p>
    <w:p w14:paraId="150A6C24" w14:textId="77777777" w:rsidR="00800E13" w:rsidRDefault="00800E13">
      <w:pPr>
        <w:spacing w:line="360" w:lineRule="auto"/>
        <w:jc w:val="both"/>
        <w:rPr>
          <w:rFonts w:ascii="Palatino Linotype" w:eastAsia="Palatino Linotype" w:hAnsi="Palatino Linotype" w:cs="Palatino Linotype"/>
        </w:rPr>
      </w:pPr>
    </w:p>
    <w:p w14:paraId="4BE35B4C" w14:textId="77777777" w:rsidR="00800E13" w:rsidRDefault="00800E13">
      <w:pPr>
        <w:spacing w:line="360" w:lineRule="auto"/>
        <w:jc w:val="both"/>
        <w:rPr>
          <w:rFonts w:ascii="Palatino Linotype" w:eastAsia="Palatino Linotype" w:hAnsi="Palatino Linotype" w:cs="Palatino Linotype"/>
        </w:rPr>
      </w:pPr>
    </w:p>
    <w:p w14:paraId="6C32519E" w14:textId="77777777" w:rsidR="00800E13" w:rsidRDefault="00800E13">
      <w:pPr>
        <w:spacing w:line="360" w:lineRule="auto"/>
        <w:jc w:val="both"/>
        <w:rPr>
          <w:rFonts w:ascii="Palatino Linotype" w:eastAsia="Palatino Linotype" w:hAnsi="Palatino Linotype" w:cs="Palatino Linotype"/>
        </w:rPr>
      </w:pPr>
    </w:p>
    <w:p w14:paraId="61720086" w14:textId="77777777" w:rsidR="00800E13" w:rsidRDefault="00800E13">
      <w:pPr>
        <w:spacing w:line="360" w:lineRule="auto"/>
        <w:jc w:val="both"/>
        <w:rPr>
          <w:rFonts w:ascii="Palatino Linotype" w:eastAsia="Palatino Linotype" w:hAnsi="Palatino Linotype" w:cs="Palatino Linotype"/>
        </w:rPr>
      </w:pPr>
    </w:p>
    <w:p w14:paraId="6D8B04B2" w14:textId="77777777" w:rsidR="00800E13" w:rsidRDefault="00800E13">
      <w:pPr>
        <w:spacing w:line="360" w:lineRule="auto"/>
        <w:jc w:val="both"/>
        <w:rPr>
          <w:rFonts w:ascii="Palatino Linotype" w:eastAsia="Palatino Linotype" w:hAnsi="Palatino Linotype" w:cs="Palatino Linotype"/>
        </w:rPr>
      </w:pPr>
    </w:p>
    <w:sectPr w:rsidR="00800E13">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5AA15" w14:textId="77777777" w:rsidR="00FC5637" w:rsidRDefault="00FC5637">
      <w:r>
        <w:separator/>
      </w:r>
    </w:p>
  </w:endnote>
  <w:endnote w:type="continuationSeparator" w:id="0">
    <w:p w14:paraId="5DC849B3" w14:textId="77777777" w:rsidR="00FC5637" w:rsidRDefault="00FC5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Times New Roman"/>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4D"/>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C683" w14:textId="77777777" w:rsidR="00800E13" w:rsidRDefault="00FC563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5156C">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5156C">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1E2C" w14:textId="77777777" w:rsidR="00800E13" w:rsidRDefault="00FC5637">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5156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5156C">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F4CD7" w14:textId="77777777" w:rsidR="00FC5637" w:rsidRDefault="00FC5637">
      <w:r>
        <w:separator/>
      </w:r>
    </w:p>
  </w:footnote>
  <w:footnote w:type="continuationSeparator" w:id="0">
    <w:p w14:paraId="46F6B497" w14:textId="77777777" w:rsidR="00FC5637" w:rsidRDefault="00FC5637">
      <w:r>
        <w:continuationSeparator/>
      </w:r>
    </w:p>
  </w:footnote>
  <w:footnote w:id="1">
    <w:p w14:paraId="1EA6BDF1" w14:textId="77777777" w:rsidR="00800E13" w:rsidRDefault="00FC5637">
      <w:pPr>
        <w:jc w:val="both"/>
        <w:rPr>
          <w:rFonts w:ascii="Palatino Linotype" w:eastAsia="Palatino Linotype" w:hAnsi="Palatino Linotype" w:cs="Palatino Linotype"/>
          <w:i/>
          <w:sz w:val="16"/>
          <w:szCs w:val="16"/>
        </w:rPr>
      </w:pPr>
      <w:r>
        <w:rPr>
          <w:vertAlign w:val="superscript"/>
        </w:rPr>
        <w:footnoteRef/>
      </w:r>
      <w:r>
        <w:rPr>
          <w:rFonts w:ascii="Calibri" w:eastAsia="Calibri" w:hAnsi="Calibri" w:cs="Calibri"/>
          <w:sz w:val="20"/>
          <w:szCs w:val="20"/>
        </w:rPr>
        <w:t xml:space="preserve"> </w:t>
      </w:r>
      <w:r>
        <w:rPr>
          <w:rFonts w:ascii="Palatino Linotype" w:eastAsia="Palatino Linotype" w:hAnsi="Palatino Linotype" w:cs="Palatino Linotype"/>
          <w:i/>
          <w:sz w:val="16"/>
          <w:szCs w:val="16"/>
        </w:rPr>
        <w:t xml:space="preserve">Artículo 129. En la aplicación de la prueba de daño, el sujeto obligado deberá precisar las razones objetivas por las que la apertura de la información generaría una afectación, justificando que:  </w:t>
      </w:r>
    </w:p>
    <w:p w14:paraId="7DD18F3A" w14:textId="77777777" w:rsidR="00800E13" w:rsidRDefault="00FC563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I. La divulgación de la información representa un riesgo real, demostrable e identificable del perjuicio significativo al interés público o a la seguridad pública;  </w:t>
      </w:r>
    </w:p>
    <w:p w14:paraId="6B70AB9D" w14:textId="77777777" w:rsidR="00800E13" w:rsidRDefault="00FC563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II. El riesgo de perjuicio que supondría la divulgación supera el interés público general de que se difunda; y  </w:t>
      </w:r>
    </w:p>
    <w:p w14:paraId="5C749680" w14:textId="77777777" w:rsidR="00800E13" w:rsidRDefault="00FC5637">
      <w:pPr>
        <w:jc w:val="both"/>
        <w:rPr>
          <w:rFonts w:ascii="Palatino Linotype" w:eastAsia="Palatino Linotype" w:hAnsi="Palatino Linotype" w:cs="Palatino Linotype"/>
          <w:sz w:val="16"/>
          <w:szCs w:val="16"/>
        </w:rPr>
      </w:pPr>
      <w:r>
        <w:rPr>
          <w:rFonts w:ascii="Palatino Linotype" w:eastAsia="Palatino Linotype" w:hAnsi="Palatino Linotype" w:cs="Palatino Linotype"/>
          <w:i/>
          <w:sz w:val="16"/>
          <w:szCs w:val="16"/>
        </w:rPr>
        <w:t>III. La limitación se adecua al principio de proporcionalidad y representa el medio menos restrictivo disponible representa el medio menos restrictivo disponible para evitar el perjuicio.</w:t>
      </w:r>
      <w:r>
        <w:rPr>
          <w:rFonts w:ascii="Palatino Linotype" w:eastAsia="Palatino Linotype" w:hAnsi="Palatino Linotype" w:cs="Palatino Linotype"/>
          <w:sz w:val="16"/>
          <w:szCs w:val="16"/>
        </w:rPr>
        <w:t xml:space="preserve"> Ley de Transparencia y Acceso a la Información Pública del Estado de México y Municipios.</w:t>
      </w:r>
    </w:p>
  </w:footnote>
  <w:footnote w:id="2">
    <w:p w14:paraId="7FBE9F10" w14:textId="77777777" w:rsidR="00800E13" w:rsidRDefault="00FC563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sz w:val="20"/>
          <w:szCs w:val="20"/>
        </w:rPr>
        <w:t xml:space="preserve"> (…)</w:t>
      </w:r>
    </w:p>
  </w:footnote>
  <w:footnote w:id="3">
    <w:p w14:paraId="4EE91E99" w14:textId="77777777" w:rsidR="00800E13" w:rsidRDefault="00FC563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2F12" w14:textId="77777777" w:rsidR="00800E13" w:rsidRDefault="00F0171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CE1C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C36DB" w14:textId="77777777" w:rsidR="00800E13" w:rsidRDefault="00F0171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7DB37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0;margin-top:0;width:540pt;height:10in;z-index:-251659776;mso-position-horizontal:center;mso-position-horizontal-relative:margin;mso-position-vertical:center;mso-position-vertical-relative:margin">
          <v:imagedata r:id="rId1" o:title="image12"/>
          <w10:wrap anchorx="margin" anchory="margin"/>
        </v:shape>
      </w:pict>
    </w:r>
  </w:p>
  <w:tbl>
    <w:tblPr>
      <w:tblStyle w:val="affffffff0"/>
      <w:tblW w:w="9534" w:type="dxa"/>
      <w:tblInd w:w="-142" w:type="dxa"/>
      <w:tblLayout w:type="fixed"/>
      <w:tblLook w:val="0400" w:firstRow="0" w:lastRow="0" w:firstColumn="0" w:lastColumn="0" w:noHBand="0" w:noVBand="1"/>
    </w:tblPr>
    <w:tblGrid>
      <w:gridCol w:w="3261"/>
      <w:gridCol w:w="2551"/>
      <w:gridCol w:w="3722"/>
    </w:tblGrid>
    <w:tr w:rsidR="00800E13" w14:paraId="1DD4AB8E" w14:textId="77777777">
      <w:tc>
        <w:tcPr>
          <w:tcW w:w="3261" w:type="dxa"/>
          <w:vMerge w:val="restart"/>
        </w:tcPr>
        <w:p w14:paraId="18E13804" w14:textId="77777777" w:rsidR="00800E13" w:rsidRDefault="00FC5637">
          <w:pPr>
            <w:rPr>
              <w:rFonts w:ascii="Palatino Linotype" w:eastAsia="Palatino Linotype" w:hAnsi="Palatino Linotype" w:cs="Palatino Linotype"/>
              <w:b/>
            </w:rPr>
          </w:pPr>
          <w:r>
            <w:rPr>
              <w:rFonts w:ascii="Palatino Linotype" w:eastAsia="Palatino Linotype" w:hAnsi="Palatino Linotype" w:cs="Palatino Linotype"/>
              <w:noProof/>
              <w:sz w:val="28"/>
              <w:szCs w:val="28"/>
              <w:lang w:val="es-419"/>
            </w:rPr>
            <w:drawing>
              <wp:inline distT="0" distB="0" distL="0" distR="0" wp14:anchorId="69421E9F" wp14:editId="289D9FE4">
                <wp:extent cx="1692162" cy="852673"/>
                <wp:effectExtent l="0" t="0" r="0" b="0"/>
                <wp:docPr id="4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132EBDBC" w14:textId="77777777" w:rsidR="00800E13" w:rsidRDefault="00FC563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03318554" w14:textId="77777777" w:rsidR="00800E13" w:rsidRDefault="00FC5637">
          <w:pPr>
            <w:jc w:val="both"/>
            <w:rPr>
              <w:rFonts w:ascii="Palatino Linotype" w:eastAsia="Palatino Linotype" w:hAnsi="Palatino Linotype" w:cs="Palatino Linotype"/>
              <w:b/>
            </w:rPr>
          </w:pPr>
          <w:r>
            <w:rPr>
              <w:rFonts w:ascii="Palatino Linotype" w:eastAsia="Palatino Linotype" w:hAnsi="Palatino Linotype" w:cs="Palatino Linotype"/>
              <w:b/>
            </w:rPr>
            <w:t>06957/INFOEM/IP/RR/2022</w:t>
          </w:r>
        </w:p>
      </w:tc>
    </w:tr>
    <w:tr w:rsidR="00800E13" w14:paraId="2B4E0A0B" w14:textId="77777777">
      <w:tc>
        <w:tcPr>
          <w:tcW w:w="3261" w:type="dxa"/>
          <w:vMerge/>
        </w:tcPr>
        <w:p w14:paraId="02C6175F"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47B4526" w14:textId="77777777" w:rsidR="00800E13" w:rsidRDefault="00FC5637">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081867AD" w14:textId="77777777" w:rsidR="00800E13" w:rsidRDefault="00FC5637">
          <w:pPr>
            <w:jc w:val="both"/>
            <w:rPr>
              <w:rFonts w:ascii="Palatino Linotype" w:eastAsia="Palatino Linotype" w:hAnsi="Palatino Linotype" w:cs="Palatino Linotype"/>
              <w:b/>
            </w:rPr>
          </w:pPr>
          <w:r>
            <w:rPr>
              <w:rFonts w:ascii="Palatino Linotype" w:eastAsia="Palatino Linotype" w:hAnsi="Palatino Linotype" w:cs="Palatino Linotype"/>
              <w:b/>
            </w:rPr>
            <w:t>Ayuntamiento de Atizapán de Zaragoza</w:t>
          </w:r>
        </w:p>
      </w:tc>
    </w:tr>
    <w:tr w:rsidR="00800E13" w14:paraId="79C3375F" w14:textId="77777777">
      <w:trPr>
        <w:trHeight w:val="790"/>
      </w:trPr>
      <w:tc>
        <w:tcPr>
          <w:tcW w:w="3261" w:type="dxa"/>
          <w:vMerge/>
        </w:tcPr>
        <w:p w14:paraId="6BE40709"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5EEE2AD" w14:textId="77777777" w:rsidR="00800E13" w:rsidRDefault="00FC56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587ACACE" w14:textId="77777777" w:rsidR="00800E13" w:rsidRDefault="00FC5637">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51301EFD" w14:textId="77777777" w:rsidR="00800E13" w:rsidRDefault="00800E13">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1C89" w14:textId="77777777" w:rsidR="00800E13" w:rsidRDefault="00F0171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20BB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12"/>
          <w10:wrap anchorx="margin" anchory="margin"/>
        </v:shape>
      </w:pict>
    </w:r>
  </w:p>
  <w:tbl>
    <w:tblPr>
      <w:tblStyle w:val="affffffff1"/>
      <w:tblW w:w="9900" w:type="dxa"/>
      <w:tblInd w:w="-833" w:type="dxa"/>
      <w:tblLayout w:type="fixed"/>
      <w:tblLook w:val="0400" w:firstRow="0" w:lastRow="0" w:firstColumn="0" w:lastColumn="0" w:noHBand="0" w:noVBand="1"/>
    </w:tblPr>
    <w:tblGrid>
      <w:gridCol w:w="3805"/>
      <w:gridCol w:w="3000"/>
      <w:gridCol w:w="3095"/>
    </w:tblGrid>
    <w:tr w:rsidR="00800E13" w14:paraId="174EAA28" w14:textId="77777777">
      <w:tc>
        <w:tcPr>
          <w:tcW w:w="3805" w:type="dxa"/>
          <w:vMerge w:val="restart"/>
          <w:shd w:val="clear" w:color="auto" w:fill="auto"/>
        </w:tcPr>
        <w:p w14:paraId="781A85AA" w14:textId="77777777" w:rsidR="00800E13" w:rsidRDefault="00FC5637">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lang w:val="es-419"/>
            </w:rPr>
            <w:drawing>
              <wp:inline distT="0" distB="0" distL="0" distR="0" wp14:anchorId="5687F8DB" wp14:editId="3962CEDD">
                <wp:extent cx="1692162" cy="852673"/>
                <wp:effectExtent l="0" t="0" r="0" b="0"/>
                <wp:docPr id="4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2C86B90E" w14:textId="77777777" w:rsidR="00800E13" w:rsidRDefault="00FC563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47760FF3" w14:textId="77777777" w:rsidR="00800E13" w:rsidRDefault="00FC5637">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06957/INFOEM/IP/RR/2022 </w:t>
          </w:r>
        </w:p>
      </w:tc>
    </w:tr>
    <w:tr w:rsidR="00800E13" w14:paraId="1B53556E" w14:textId="77777777">
      <w:tc>
        <w:tcPr>
          <w:tcW w:w="3805" w:type="dxa"/>
          <w:vMerge/>
          <w:shd w:val="clear" w:color="auto" w:fill="auto"/>
        </w:tcPr>
        <w:p w14:paraId="3FE281F2"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9FEA57" w14:textId="77777777" w:rsidR="00800E13" w:rsidRDefault="00FC5637">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64EE0C1B" w14:textId="77777777" w:rsidR="00800E13" w:rsidRDefault="00800E13">
          <w:pPr>
            <w:jc w:val="both"/>
            <w:rPr>
              <w:rFonts w:ascii="Palatino Linotype" w:eastAsia="Palatino Linotype" w:hAnsi="Palatino Linotype" w:cs="Palatino Linotype"/>
              <w:b/>
            </w:rPr>
          </w:pPr>
        </w:p>
      </w:tc>
    </w:tr>
    <w:tr w:rsidR="00800E13" w14:paraId="5C54CAA2" w14:textId="77777777">
      <w:trPr>
        <w:trHeight w:val="228"/>
      </w:trPr>
      <w:tc>
        <w:tcPr>
          <w:tcW w:w="3805" w:type="dxa"/>
          <w:vMerge/>
          <w:shd w:val="clear" w:color="auto" w:fill="auto"/>
        </w:tcPr>
        <w:p w14:paraId="67012CD5"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321D959" w14:textId="77777777" w:rsidR="00800E13" w:rsidRDefault="00FC5637">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349BE960" w14:textId="77777777" w:rsidR="00800E13" w:rsidRDefault="00FC5637">
          <w:pPr>
            <w:jc w:val="both"/>
            <w:rPr>
              <w:rFonts w:ascii="Palatino Linotype" w:eastAsia="Palatino Linotype" w:hAnsi="Palatino Linotype" w:cs="Palatino Linotype"/>
              <w:b/>
            </w:rPr>
          </w:pPr>
          <w:r>
            <w:rPr>
              <w:rFonts w:ascii="Palatino Linotype" w:eastAsia="Palatino Linotype" w:hAnsi="Palatino Linotype" w:cs="Palatino Linotype"/>
              <w:b/>
            </w:rPr>
            <w:t>Ayuntamiento de Atizapán de Zaragoza</w:t>
          </w:r>
        </w:p>
      </w:tc>
    </w:tr>
    <w:tr w:rsidR="00800E13" w14:paraId="694E1873" w14:textId="77777777">
      <w:tc>
        <w:tcPr>
          <w:tcW w:w="3805" w:type="dxa"/>
          <w:vMerge/>
          <w:shd w:val="clear" w:color="auto" w:fill="auto"/>
        </w:tcPr>
        <w:p w14:paraId="3BEEA2FC" w14:textId="77777777" w:rsidR="00800E13" w:rsidRDefault="00800E1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CEF7A3C" w14:textId="77777777" w:rsidR="00800E13" w:rsidRDefault="00FC56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1A311DBA" w14:textId="77777777" w:rsidR="00800E13" w:rsidRDefault="00FC5637">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740CD03C" w14:textId="77777777" w:rsidR="00800E13" w:rsidRDefault="00800E13">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DB1"/>
    <w:multiLevelType w:val="multilevel"/>
    <w:tmpl w:val="5C5228A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23F93EA3"/>
    <w:multiLevelType w:val="multilevel"/>
    <w:tmpl w:val="749846E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768433067">
    <w:abstractNumId w:val="0"/>
  </w:num>
  <w:num w:numId="2" w16cid:durableId="149636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E13"/>
    <w:rsid w:val="00800E13"/>
    <w:rsid w:val="00F01714"/>
    <w:rsid w:val="00F5156C"/>
    <w:rsid w:val="00FC5637"/>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BAF42A"/>
  <w15:docId w15:val="{2D72A891-6B8A-4B25-9888-B4157080C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419"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d"/>
    <w:tblPr>
      <w:tblStyleRowBandSize w:val="1"/>
      <w:tblStyleColBandSize w:val="1"/>
      <w:tblCellMar>
        <w:top w:w="100" w:type="dxa"/>
        <w:left w:w="100" w:type="dxa"/>
        <w:bottom w:w="100" w:type="dxa"/>
        <w:right w:w="100" w:type="dxa"/>
      </w:tblCellMar>
    </w:tblPr>
  </w:style>
  <w:style w:type="table" w:customStyle="1" w:styleId="a0">
    <w:basedOn w:val="TableNormalffd"/>
    <w:tblPr>
      <w:tblStyleRowBandSize w:val="1"/>
      <w:tblStyleColBandSize w:val="1"/>
      <w:tblCellMar>
        <w:left w:w="115" w:type="dxa"/>
        <w:right w:w="115" w:type="dxa"/>
      </w:tblCellMar>
    </w:tblPr>
  </w:style>
  <w:style w:type="table" w:customStyle="1" w:styleId="a1">
    <w:basedOn w:val="TableNormalffd"/>
    <w:tblPr>
      <w:tblStyleRowBandSize w:val="1"/>
      <w:tblStyleColBandSize w:val="1"/>
      <w:tblCellMar>
        <w:left w:w="115" w:type="dxa"/>
        <w:right w:w="115" w:type="dxa"/>
      </w:tblCellMar>
    </w:tblPr>
  </w:style>
  <w:style w:type="table" w:customStyle="1" w:styleId="a2">
    <w:basedOn w:val="TableNormalffd"/>
    <w:tblPr>
      <w:tblStyleRowBandSize w:val="1"/>
      <w:tblStyleColBandSize w:val="1"/>
      <w:tblCellMar>
        <w:left w:w="115" w:type="dxa"/>
        <w:right w:w="115" w:type="dxa"/>
      </w:tblCellMar>
    </w:tblPr>
  </w:style>
  <w:style w:type="table" w:customStyle="1" w:styleId="a3">
    <w:basedOn w:val="TableNormalffd"/>
    <w:tblPr>
      <w:tblStyleRowBandSize w:val="1"/>
      <w:tblStyleColBandSize w:val="1"/>
      <w:tblCellMar>
        <w:left w:w="115" w:type="dxa"/>
        <w:right w:w="115" w:type="dxa"/>
      </w:tblCellMar>
    </w:tblPr>
  </w:style>
  <w:style w:type="table" w:customStyle="1" w:styleId="a4">
    <w:basedOn w:val="TableNormalffd"/>
    <w:tblPr>
      <w:tblStyleRowBandSize w:val="1"/>
      <w:tblStyleColBandSize w:val="1"/>
      <w:tblCellMar>
        <w:left w:w="115" w:type="dxa"/>
        <w:right w:w="115" w:type="dxa"/>
      </w:tblCellMar>
    </w:tblPr>
  </w:style>
  <w:style w:type="table" w:customStyle="1" w:styleId="a5">
    <w:basedOn w:val="TableNormalffd"/>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d"/>
    <w:tblPr>
      <w:tblStyleRowBandSize w:val="1"/>
      <w:tblStyleColBandSize w:val="1"/>
      <w:tblCellMar>
        <w:left w:w="115" w:type="dxa"/>
        <w:right w:w="115" w:type="dxa"/>
      </w:tblCellMar>
    </w:tblPr>
  </w:style>
  <w:style w:type="table" w:customStyle="1" w:styleId="a7">
    <w:basedOn w:val="TableNormalffd"/>
    <w:tblPr>
      <w:tblStyleRowBandSize w:val="1"/>
      <w:tblStyleColBandSize w:val="1"/>
      <w:tblCellMar>
        <w:left w:w="115" w:type="dxa"/>
        <w:right w:w="115" w:type="dxa"/>
      </w:tblCellMar>
    </w:tblPr>
  </w:style>
  <w:style w:type="table" w:customStyle="1" w:styleId="a8">
    <w:basedOn w:val="TableNormalffd"/>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d"/>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a"/>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c"/>
    <w:tblPr>
      <w:tblStyleRowBandSize w:val="1"/>
      <w:tblStyleColBandSize w:val="1"/>
      <w:tblCellMar>
        <w:left w:w="115" w:type="dxa"/>
        <w:right w:w="115" w:type="dxa"/>
      </w:tblCellMar>
    </w:tblPr>
  </w:style>
  <w:style w:type="table" w:customStyle="1" w:styleId="afff3">
    <w:basedOn w:val="TableNormalfc"/>
    <w:tblPr>
      <w:tblStyleRowBandSize w:val="1"/>
      <w:tblStyleColBandSize w:val="1"/>
      <w:tblCellMar>
        <w:top w:w="100" w:type="dxa"/>
        <w:left w:w="100" w:type="dxa"/>
        <w:bottom w:w="100" w:type="dxa"/>
        <w:right w:w="100" w:type="dxa"/>
      </w:tblCellMar>
    </w:tblPr>
  </w:style>
  <w:style w:type="table" w:customStyle="1" w:styleId="afff4">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c"/>
    <w:tblPr>
      <w:tblStyleRowBandSize w:val="1"/>
      <w:tblStyleColBandSize w:val="1"/>
      <w:tblCellMar>
        <w:top w:w="100" w:type="dxa"/>
        <w:left w:w="100" w:type="dxa"/>
        <w:bottom w:w="100" w:type="dxa"/>
        <w:right w:w="100" w:type="dxa"/>
      </w:tblCellMar>
    </w:tblPr>
  </w:style>
  <w:style w:type="table" w:customStyle="1" w:styleId="afff7">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c"/>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c"/>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4"/>
    <w:tblPr>
      <w:tblStyleRowBandSize w:val="1"/>
      <w:tblStyleColBandSize w:val="1"/>
      <w:tblCellMar>
        <w:left w:w="115" w:type="dxa"/>
        <w:right w:w="115" w:type="dxa"/>
      </w:tblCellMar>
    </w:tblPr>
  </w:style>
  <w:style w:type="table" w:customStyle="1" w:styleId="afffffff7">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afffffff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transparencia.ipn.mx/Apoyo/SIPOT/LTG_DOF281220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FrCFPxwIfTN6GEOmKWHlx+oF1g==">AMUW2mWxhU6XBGU/imqRGjn/oBrt74S6lDrmrgqmXF+x77qxGBm5fhpaeipLgxqPhV2z1iOkjvIvvAWk51yXKOlqRA/kXpbsLAZ0MYuyNrdeGa/NFo9xvXQfEqA+SC5cvMOdhA2JVSUWD0uk3SiFsZAS0T4e7mgWti2UoEtoUklfgrJ5XloSAHrotJrl934PUAkcgyV4Vs0XDRCLxbpgkP9olIo6lOtcLokipSdDlIKA9ofokbFeZSBLbr0H/uHGH7gOOBHqQ8Mo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11255</Words>
  <Characters>61907</Characters>
  <Application>Microsoft Office Word</Application>
  <DocSecurity>0</DocSecurity>
  <Lines>515</Lines>
  <Paragraphs>146</Paragraphs>
  <ScaleCrop>false</ScaleCrop>
  <Company/>
  <LinksUpToDate>false</LinksUpToDate>
  <CharactersWithSpaces>73016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Jorge Luis Penunuri Loredo</cp:lastModifiedBy>
  <cp:revision>3</cp:revision>
  <cp:lastPrinted>2022-11-11T06:01:00Z</cp:lastPrinted>
  <dcterms:created xsi:type="dcterms:W3CDTF">2022-10-27T18:15:00Z</dcterms:created>
  <dcterms:modified xsi:type="dcterms:W3CDTF">2022-11-11T06:01:00Z</dcterms:modified>
</cp:coreProperties>
</file>