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D52CA6">
        <w:rPr>
          <w:rFonts w:ascii="Palatino Linotype" w:eastAsia="Palatino Linotype" w:hAnsi="Palatino Linotype" w:cs="Palatino Linotype"/>
          <w:b/>
        </w:rPr>
        <w:t>dieciséis</w:t>
      </w:r>
      <w:r>
        <w:rPr>
          <w:rFonts w:ascii="Palatino Linotype" w:eastAsia="Palatino Linotype" w:hAnsi="Palatino Linotype" w:cs="Palatino Linotype"/>
          <w:b/>
        </w:rPr>
        <w:t xml:space="preserve"> de febrero del dos mil veintidós</w:t>
      </w:r>
      <w:r>
        <w:rPr>
          <w:rFonts w:ascii="Palatino Linotype" w:eastAsia="Palatino Linotype" w:hAnsi="Palatino Linotype" w:cs="Palatino Linotype"/>
        </w:rPr>
        <w:t>.</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D52CA6">
        <w:rPr>
          <w:rFonts w:ascii="Palatino Linotype" w:eastAsia="Palatino Linotype" w:hAnsi="Palatino Linotype" w:cs="Palatino Linotype"/>
          <w:b/>
        </w:rPr>
        <w:t>0619</w:t>
      </w:r>
      <w:r>
        <w:rPr>
          <w:rFonts w:ascii="Palatino Linotype" w:eastAsia="Palatino Linotype" w:hAnsi="Palatino Linotype" w:cs="Palatino Linotype"/>
          <w:b/>
        </w:rPr>
        <w:t>4/INFOEM/IP/RR/2021</w:t>
      </w:r>
      <w:r>
        <w:rPr>
          <w:rFonts w:ascii="Palatino Linotype" w:eastAsia="Palatino Linotype" w:hAnsi="Palatino Linotype" w:cs="Palatino Linotype"/>
        </w:rPr>
        <w:t xml:space="preserve">, interpuesto por </w:t>
      </w:r>
      <w:r w:rsidR="008B36BE" w:rsidRPr="008B36BE">
        <w:rPr>
          <w:rFonts w:ascii="Palatino Linotype" w:eastAsia="Palatino Linotype" w:hAnsi="Palatino Linotype" w:cs="Palatino Linotype"/>
          <w:b/>
        </w:rPr>
        <w:t>xxxxxxxxxx xxxxxxxxxx xx xxxxxxxxxxxxx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sidR="00D52CA6">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w:t>
      </w:r>
      <w:r>
        <w:rPr>
          <w:rFonts w:ascii="Palatino Linotype" w:eastAsia="Palatino Linotype" w:hAnsi="Palatino Linotype" w:cs="Palatino Linotype"/>
          <w:b/>
        </w:rPr>
        <w:t xml:space="preserve"> </w:t>
      </w:r>
      <w:r w:rsidR="00D52CA6" w:rsidRPr="00D52CA6">
        <w:rPr>
          <w:rFonts w:ascii="Palatino Linotype" w:eastAsia="Palatino Linotype" w:hAnsi="Palatino Linotype" w:cs="Palatino Linotype"/>
          <w:b/>
        </w:rPr>
        <w:t>Secretaría de Desarrollo Social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913A86" w:rsidRDefault="002F08A5">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sidR="00D52CA6">
        <w:rPr>
          <w:rFonts w:ascii="Palatino Linotype" w:eastAsia="Palatino Linotype" w:hAnsi="Palatino Linotype" w:cs="Palatino Linotype"/>
          <w:b/>
        </w:rPr>
        <w:t>cuatro</w:t>
      </w:r>
      <w:r>
        <w:rPr>
          <w:rFonts w:ascii="Palatino Linotype" w:eastAsia="Palatino Linotype" w:hAnsi="Palatino Linotype" w:cs="Palatino Linotype"/>
          <w:b/>
        </w:rPr>
        <w:t xml:space="preserve"> de noviembre de dos mil veintiuno,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sidR="00D52CA6">
        <w:rPr>
          <w:rFonts w:ascii="Palatino Linotype" w:eastAsia="Palatino Linotype" w:hAnsi="Palatino Linotype" w:cs="Palatino Linotype"/>
        </w:rPr>
        <w:t xml:space="preserve"> presentó a través de</w:t>
      </w:r>
      <w:r>
        <w:rPr>
          <w:rFonts w:ascii="Palatino Linotype" w:eastAsia="Palatino Linotype" w:hAnsi="Palatino Linotype" w:cs="Palatino Linotype"/>
        </w:rPr>
        <w:t xml:space="preserv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sidR="00D52CA6">
        <w:rPr>
          <w:rFonts w:ascii="Palatino Linotype" w:eastAsia="Palatino Linotype" w:hAnsi="Palatino Linotype" w:cs="Palatino Linotype"/>
          <w:b/>
        </w:rPr>
        <w:t xml:space="preserve"> </w:t>
      </w:r>
      <w:r w:rsidR="00D52CA6" w:rsidRPr="00D52CA6">
        <w:rPr>
          <w:rFonts w:ascii="Palatino Linotype" w:eastAsia="Palatino Linotype" w:hAnsi="Palatino Linotype" w:cs="Palatino Linotype"/>
        </w:rPr>
        <w:t>de folio</w:t>
      </w:r>
      <w:r w:rsidR="00D52CA6">
        <w:rPr>
          <w:rFonts w:ascii="Palatino Linotype" w:eastAsia="Palatino Linotype" w:hAnsi="Palatino Linotype" w:cs="Palatino Linotype"/>
          <w:b/>
        </w:rPr>
        <w:t xml:space="preserve"> </w:t>
      </w:r>
      <w:r w:rsidR="00D52CA6" w:rsidRPr="00D52CA6">
        <w:rPr>
          <w:rFonts w:ascii="Palatino Linotype" w:eastAsia="Palatino Linotype" w:hAnsi="Palatino Linotype" w:cs="Palatino Linotype"/>
          <w:b/>
          <w:bCs/>
        </w:rPr>
        <w:t>00224/SEDESEM/IP/2021</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913A86" w:rsidRDefault="002F08A5">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sidR="00D52CA6" w:rsidRPr="00D52CA6">
        <w:rPr>
          <w:rFonts w:ascii="Palatino Linotype" w:eastAsia="Palatino Linotype" w:hAnsi="Palatino Linotype" w:cs="Palatino Linotype"/>
          <w:i/>
          <w:sz w:val="22"/>
          <w:szCs w:val="22"/>
        </w:rPr>
        <w:t>solicito el padrón de beneficiaras del "PROGRAMA DE DESARROLLO SOCIAL FAMILIAS FUERTES SALARIO ROSA" 2018, 2019 y 2020</w:t>
      </w:r>
      <w:r>
        <w:rPr>
          <w:rFonts w:ascii="Palatino Linotype" w:eastAsia="Palatino Linotype" w:hAnsi="Palatino Linotype" w:cs="Palatino Linotype"/>
          <w:i/>
          <w:sz w:val="22"/>
          <w:szCs w:val="22"/>
        </w:rPr>
        <w:t>” (Sic).</w:t>
      </w:r>
    </w:p>
    <w:p w:rsidR="00364BD3"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sidR="00364BD3" w:rsidRPr="00364BD3">
        <w:t xml:space="preserve"> </w:t>
      </w:r>
    </w:p>
    <w:p w:rsidR="00D52CA6" w:rsidRDefault="00D52CA6">
      <w:pPr>
        <w:spacing w:before="240" w:after="240" w:line="360" w:lineRule="auto"/>
        <w:ind w:right="49"/>
        <w:jc w:val="both"/>
        <w:rPr>
          <w:rFonts w:ascii="Palatino Linotype" w:eastAsia="Palatino Linotype" w:hAnsi="Palatino Linotype" w:cs="Palatino Linotype"/>
          <w:b/>
        </w:rPr>
      </w:pPr>
    </w:p>
    <w:p w:rsidR="00913A86" w:rsidRDefault="00D52CA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2. Respuesta</w:t>
      </w:r>
      <w:r w:rsidR="002F08A5">
        <w:rPr>
          <w:rFonts w:ascii="Palatino Linotype" w:eastAsia="Palatino Linotype" w:hAnsi="Palatino Linotype" w:cs="Palatino Linotype"/>
          <w:b/>
        </w:rPr>
        <w:t xml:space="preserve">. </w:t>
      </w:r>
      <w:r w:rsidR="002F08A5">
        <w:rPr>
          <w:rFonts w:ascii="Palatino Linotype" w:eastAsia="Palatino Linotype" w:hAnsi="Palatino Linotype" w:cs="Palatino Linotype"/>
        </w:rPr>
        <w:t>En fecha</w:t>
      </w:r>
      <w:r>
        <w:rPr>
          <w:rFonts w:ascii="Palatino Linotype" w:eastAsia="Palatino Linotype" w:hAnsi="Palatino Linotype" w:cs="Palatino Linotype"/>
          <w:b/>
        </w:rPr>
        <w:t xml:space="preserve"> veintiséis</w:t>
      </w:r>
      <w:r w:rsidR="002F08A5">
        <w:rPr>
          <w:rFonts w:ascii="Palatino Linotype" w:eastAsia="Palatino Linotype" w:hAnsi="Palatino Linotype" w:cs="Palatino Linotype"/>
          <w:b/>
        </w:rPr>
        <w:t xml:space="preserve"> de noviembre de dos mil veintiuno</w:t>
      </w:r>
      <w:r w:rsidR="002F08A5">
        <w:rPr>
          <w:rFonts w:ascii="Palatino Linotype" w:eastAsia="Palatino Linotype" w:hAnsi="Palatino Linotype" w:cs="Palatino Linotype"/>
        </w:rPr>
        <w:t xml:space="preserve">, el </w:t>
      </w:r>
      <w:r w:rsidR="002F08A5">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su respuesta a </w:t>
      </w:r>
      <w:r w:rsidR="002F08A5">
        <w:rPr>
          <w:rFonts w:ascii="Palatino Linotype" w:eastAsia="Palatino Linotype" w:hAnsi="Palatino Linotype" w:cs="Palatino Linotype"/>
        </w:rPr>
        <w:t xml:space="preserve">la solicitud de información sustancialmente en los siguientes términos: </w:t>
      </w:r>
    </w:p>
    <w:p w:rsidR="00D52CA6" w:rsidRPr="00D52CA6" w:rsidRDefault="002F08A5" w:rsidP="00D52CA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D52CA6" w:rsidRPr="00D52CA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52CA6" w:rsidRPr="00D52CA6" w:rsidRDefault="00D52CA6" w:rsidP="00D52CA6">
      <w:pPr>
        <w:spacing w:before="240" w:after="240"/>
        <w:ind w:left="567" w:right="900"/>
        <w:jc w:val="both"/>
        <w:rPr>
          <w:rFonts w:ascii="Palatino Linotype" w:eastAsia="Palatino Linotype" w:hAnsi="Palatino Linotype" w:cs="Palatino Linotype"/>
          <w:b/>
          <w:i/>
          <w:sz w:val="22"/>
          <w:szCs w:val="22"/>
          <w:u w:val="single"/>
        </w:rPr>
      </w:pPr>
      <w:r w:rsidRPr="00D52CA6">
        <w:rPr>
          <w:rFonts w:ascii="Palatino Linotype" w:eastAsia="Palatino Linotype" w:hAnsi="Palatino Linotype" w:cs="Palatino Linotype"/>
          <w:b/>
          <w:i/>
          <w:sz w:val="22"/>
          <w:szCs w:val="22"/>
          <w:u w:val="single"/>
        </w:rPr>
        <w:t>Se anexa el oficio de respuesta número SEDESEM/UT/22472021, de fecha 26 de noviembre de 2021, y se adjunta el resolutivo emitido por el Comité de Transparencia, donde se Declara la Incompetencia de esta dependencia de proporcionarle la información del "Padrón de Beneficiarias del Programa de Desarrollo Social "Familias Fuertes Salario Rosa" de los ejercicios fiscales 2018, 2019 y 2020 y se le sugiere respetuosamente dirija su solicitud al Módulo de Información Pública de la Secretaría de la Mujer anteriormente Consejo Estatal de la Mujer y Bienestar Social (CEMyBS), quien podría proporcionarle la información en el ámbito de su competencia.</w:t>
      </w:r>
    </w:p>
    <w:p w:rsidR="00D52CA6" w:rsidRPr="00D52CA6" w:rsidRDefault="00D52CA6" w:rsidP="00D52CA6">
      <w:pPr>
        <w:spacing w:before="240" w:after="240"/>
        <w:ind w:left="567" w:right="900"/>
        <w:jc w:val="both"/>
        <w:rPr>
          <w:rFonts w:ascii="Palatino Linotype" w:eastAsia="Palatino Linotype" w:hAnsi="Palatino Linotype" w:cs="Palatino Linotype"/>
          <w:i/>
          <w:sz w:val="22"/>
          <w:szCs w:val="22"/>
        </w:rPr>
      </w:pPr>
      <w:r w:rsidRPr="00D52CA6">
        <w:rPr>
          <w:rFonts w:ascii="Palatino Linotype" w:eastAsia="Palatino Linotype" w:hAnsi="Palatino Linotype" w:cs="Palatino Linotype"/>
          <w:i/>
          <w:sz w:val="22"/>
          <w:szCs w:val="22"/>
        </w:rPr>
        <w:t>ATENTAMENTE</w:t>
      </w:r>
    </w:p>
    <w:p w:rsidR="00913A86" w:rsidRDefault="00D52CA6" w:rsidP="00D52CA6">
      <w:pPr>
        <w:spacing w:before="240" w:after="240"/>
        <w:ind w:left="567" w:right="900"/>
        <w:jc w:val="both"/>
        <w:rPr>
          <w:rFonts w:ascii="Palatino Linotype" w:eastAsia="Palatino Linotype" w:hAnsi="Palatino Linotype" w:cs="Palatino Linotype"/>
          <w:i/>
          <w:sz w:val="22"/>
          <w:szCs w:val="22"/>
        </w:rPr>
      </w:pPr>
      <w:r w:rsidRPr="00D52CA6">
        <w:rPr>
          <w:rFonts w:ascii="Palatino Linotype" w:eastAsia="Palatino Linotype" w:hAnsi="Palatino Linotype" w:cs="Palatino Linotype"/>
          <w:i/>
          <w:sz w:val="22"/>
          <w:szCs w:val="22"/>
        </w:rPr>
        <w:t>Lic. Leopoldo Ruíz Calderón</w:t>
      </w:r>
      <w:r w:rsidR="002F08A5">
        <w:rPr>
          <w:rFonts w:ascii="Palatino Linotype" w:eastAsia="Palatino Linotype" w:hAnsi="Palatino Linotype" w:cs="Palatino Linotype"/>
          <w:i/>
          <w:sz w:val="22"/>
          <w:szCs w:val="22"/>
        </w:rPr>
        <w:t>”</w:t>
      </w:r>
    </w:p>
    <w:p w:rsidR="00913A86" w:rsidRDefault="002F08A5">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Archivo adjunto: </w:t>
      </w:r>
      <w:r>
        <w:rPr>
          <w:rFonts w:ascii="Palatino Linotype" w:eastAsia="Palatino Linotype" w:hAnsi="Palatino Linotype" w:cs="Palatino Linotype"/>
        </w:rPr>
        <w:t xml:space="preserve">El Sujeto Obligado remitió </w:t>
      </w:r>
      <w:r w:rsidR="00D52CA6">
        <w:rPr>
          <w:rFonts w:ascii="Palatino Linotype" w:eastAsia="Palatino Linotype" w:hAnsi="Palatino Linotype" w:cs="Palatino Linotype"/>
          <w:color w:val="000000"/>
        </w:rPr>
        <w:t>los</w:t>
      </w:r>
      <w:r>
        <w:rPr>
          <w:rFonts w:ascii="Palatino Linotype" w:eastAsia="Palatino Linotype" w:hAnsi="Palatino Linotype" w:cs="Palatino Linotype"/>
          <w:color w:val="000000"/>
        </w:rPr>
        <w:t xml:space="preserve"> archivo</w:t>
      </w:r>
      <w:r w:rsidR="00D52CA6">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electrónico</w:t>
      </w:r>
      <w:r w:rsidR="00D52CA6">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que a continuación se describe</w:t>
      </w:r>
      <w:r w:rsidR="00D52CA6">
        <w:rPr>
          <w:rFonts w:ascii="Palatino Linotype" w:eastAsia="Palatino Linotype" w:hAnsi="Palatino Linotype" w:cs="Palatino Linotype"/>
          <w:color w:val="000000"/>
        </w:rPr>
        <w:t>n</w:t>
      </w:r>
      <w:r>
        <w:rPr>
          <w:rFonts w:ascii="Palatino Linotype" w:eastAsia="Palatino Linotype" w:hAnsi="Palatino Linotype" w:cs="Palatino Linotype"/>
          <w:color w:val="000000"/>
        </w:rPr>
        <w:t xml:space="preserve">: </w:t>
      </w:r>
    </w:p>
    <w:p w:rsidR="00913A86" w:rsidRDefault="002D4C09">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 </w:t>
      </w:r>
      <w:r w:rsidR="002F08A5">
        <w:rPr>
          <w:rFonts w:ascii="Palatino Linotype" w:eastAsia="Palatino Linotype" w:hAnsi="Palatino Linotype" w:cs="Palatino Linotype"/>
          <w:b/>
          <w:i/>
          <w:color w:val="000000"/>
        </w:rPr>
        <w:t>“</w:t>
      </w:r>
      <w:r w:rsidR="00D52CA6" w:rsidRPr="00D52CA6">
        <w:rPr>
          <w:rFonts w:ascii="Palatino Linotype" w:eastAsia="Palatino Linotype" w:hAnsi="Palatino Linotype" w:cs="Palatino Linotype"/>
          <w:b/>
          <w:i/>
          <w:color w:val="000000"/>
        </w:rPr>
        <w:t>224 - RESOLUTIVOCTSDS-ACTA-EXT-011-2021.pdf</w:t>
      </w:r>
      <w:r w:rsidR="002F08A5">
        <w:rPr>
          <w:rFonts w:ascii="Palatino Linotype" w:eastAsia="Palatino Linotype" w:hAnsi="Palatino Linotype" w:cs="Palatino Linotype"/>
          <w:b/>
          <w:i/>
          <w:color w:val="000000"/>
        </w:rPr>
        <w:t xml:space="preserve">”: </w:t>
      </w:r>
      <w:r w:rsidR="00D52CA6">
        <w:rPr>
          <w:rFonts w:ascii="Palatino Linotype" w:eastAsia="Palatino Linotype" w:hAnsi="Palatino Linotype" w:cs="Palatino Linotype"/>
          <w:color w:val="000000"/>
        </w:rPr>
        <w:t>Documento de doce</w:t>
      </w:r>
      <w:r w:rsidR="002F08A5">
        <w:rPr>
          <w:rFonts w:ascii="Palatino Linotype" w:eastAsia="Palatino Linotype" w:hAnsi="Palatino Linotype" w:cs="Palatino Linotype"/>
          <w:color w:val="000000"/>
        </w:rPr>
        <w:t xml:space="preserve"> fojas </w:t>
      </w:r>
      <w:r>
        <w:rPr>
          <w:rFonts w:ascii="Palatino Linotype" w:eastAsia="Palatino Linotype" w:hAnsi="Palatino Linotype" w:cs="Palatino Linotype"/>
          <w:color w:val="000000"/>
        </w:rPr>
        <w:t>que medularmente consiste en el Acuerdo del Comité de Transparencia de la Secretaría de Desarrollo Social</w:t>
      </w:r>
      <w:r w:rsidR="002F08A5">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emitido el 24 de noviembre de 2021, </w:t>
      </w:r>
      <w:r w:rsidR="002F08A5">
        <w:rPr>
          <w:rFonts w:ascii="Palatino Linotype" w:eastAsia="Palatino Linotype" w:hAnsi="Palatino Linotype" w:cs="Palatino Linotype"/>
          <w:color w:val="000000"/>
        </w:rPr>
        <w:t xml:space="preserve">se insertan las siguientes capturas de pantalla a efecto de ilustrar lo señalado: </w:t>
      </w:r>
    </w:p>
    <w:p w:rsidR="00913A86" w:rsidRDefault="008B36BE" w:rsidP="002D4C09">
      <w:pPr>
        <w:spacing w:before="240" w:after="240" w:line="360" w:lineRule="auto"/>
        <w:ind w:left="567" w:right="90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762500" cy="6210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6210300"/>
                    </a:xfrm>
                    <a:prstGeom prst="rect">
                      <a:avLst/>
                    </a:prstGeom>
                    <a:noFill/>
                    <a:ln>
                      <a:noFill/>
                    </a:ln>
                  </pic:spPr>
                </pic:pic>
              </a:graphicData>
            </a:graphic>
          </wp:inline>
        </w:drawing>
      </w:r>
    </w:p>
    <w:p w:rsidR="00913A86" w:rsidRDefault="002D4C09" w:rsidP="002D4C09">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572125" cy="6572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6572250"/>
                    </a:xfrm>
                    <a:prstGeom prst="rect">
                      <a:avLst/>
                    </a:prstGeom>
                    <a:noFill/>
                    <a:ln>
                      <a:noFill/>
                    </a:ln>
                  </pic:spPr>
                </pic:pic>
              </a:graphicData>
            </a:graphic>
          </wp:inline>
        </w:drawing>
      </w:r>
    </w:p>
    <w:p w:rsidR="00913A86" w:rsidRDefault="00913A86" w:rsidP="002D4C09">
      <w:pPr>
        <w:spacing w:before="240" w:after="240" w:line="360" w:lineRule="auto"/>
        <w:ind w:right="900"/>
        <w:rPr>
          <w:rFonts w:ascii="Palatino Linotype" w:eastAsia="Palatino Linotype" w:hAnsi="Palatino Linotype" w:cs="Palatino Linotype"/>
          <w:color w:val="000000"/>
        </w:rPr>
      </w:pPr>
    </w:p>
    <w:p w:rsidR="002D4C09" w:rsidRDefault="002D4C09" w:rsidP="002D4C09">
      <w:pPr>
        <w:spacing w:before="240" w:after="240" w:line="360" w:lineRule="auto"/>
        <w:ind w:right="900"/>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rPr>
        <w:lastRenderedPageBreak/>
        <w:drawing>
          <wp:inline distT="0" distB="0" distL="0" distR="0">
            <wp:extent cx="5572125" cy="69723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6972300"/>
                    </a:xfrm>
                    <a:prstGeom prst="rect">
                      <a:avLst/>
                    </a:prstGeom>
                    <a:noFill/>
                    <a:ln>
                      <a:noFill/>
                    </a:ln>
                  </pic:spPr>
                </pic:pic>
              </a:graphicData>
            </a:graphic>
          </wp:inline>
        </w:drawing>
      </w:r>
    </w:p>
    <w:p w:rsidR="002D4C09" w:rsidRDefault="002D4C09" w:rsidP="002D4C09">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sz w:val="22"/>
        </w:rPr>
        <w:lastRenderedPageBreak/>
        <w:t>“</w:t>
      </w:r>
      <w:r w:rsidRPr="002D4C09">
        <w:rPr>
          <w:rFonts w:ascii="Palatino Linotype" w:eastAsia="Palatino Linotype" w:hAnsi="Palatino Linotype" w:cs="Palatino Linotype"/>
          <w:b/>
          <w:i/>
          <w:sz w:val="22"/>
        </w:rPr>
        <w:t xml:space="preserve">224 - C. </w:t>
      </w:r>
      <w:r w:rsidR="008B36BE" w:rsidRPr="008B36BE">
        <w:rPr>
          <w:rFonts w:ascii="Palatino Linotype" w:eastAsia="Palatino Linotype" w:hAnsi="Palatino Linotype" w:cs="Palatino Linotype"/>
          <w:b/>
          <w:i/>
          <w:sz w:val="22"/>
        </w:rPr>
        <w:t xml:space="preserve">xxxxxxxxxx xxxxxxxxxx xx xxxxxxxxxxxxx </w:t>
      </w:r>
      <w:r w:rsidRPr="002D4C09">
        <w:rPr>
          <w:rFonts w:ascii="Palatino Linotype" w:eastAsia="Palatino Linotype" w:hAnsi="Palatino Linotype" w:cs="Palatino Linotype"/>
          <w:b/>
          <w:i/>
          <w:sz w:val="22"/>
        </w:rPr>
        <w:t>- Unidad de Transparencia - 0224.pdf</w:t>
      </w:r>
      <w:r>
        <w:rPr>
          <w:rFonts w:ascii="Palatino Linotype" w:eastAsia="Palatino Linotype" w:hAnsi="Palatino Linotype" w:cs="Palatino Linotype"/>
          <w:b/>
          <w:i/>
          <w:sz w:val="22"/>
        </w:rPr>
        <w:t>”</w:t>
      </w:r>
      <w:r w:rsidR="0057475F">
        <w:rPr>
          <w:rFonts w:ascii="Palatino Linotype" w:eastAsia="Palatino Linotype" w:hAnsi="Palatino Linotype" w:cs="Palatino Linotype"/>
          <w:b/>
          <w:i/>
          <w:sz w:val="22"/>
        </w:rPr>
        <w:t>: Archivo</w:t>
      </w:r>
      <w:r w:rsidR="0057475F">
        <w:rPr>
          <w:rFonts w:ascii="Palatino Linotype" w:eastAsia="Palatino Linotype" w:hAnsi="Palatino Linotype" w:cs="Palatino Linotype"/>
        </w:rPr>
        <w:t xml:space="preserve"> electrónico de cuatro fojas, en los que se refiere principalmente lo siguiente: </w:t>
      </w:r>
    </w:p>
    <w:p w:rsidR="0057475F" w:rsidRPr="002D4C09" w:rsidRDefault="008B36BE" w:rsidP="0057475F">
      <w:pPr>
        <w:spacing w:before="240" w:after="240" w:line="360" w:lineRule="auto"/>
        <w:ind w:left="567" w:right="851"/>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429125" cy="5972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5972175"/>
                    </a:xfrm>
                    <a:prstGeom prst="rect">
                      <a:avLst/>
                    </a:prstGeom>
                    <a:noFill/>
                    <a:ln>
                      <a:noFill/>
                    </a:ln>
                  </pic:spPr>
                </pic:pic>
              </a:graphicData>
            </a:graphic>
          </wp:inline>
        </w:drawing>
      </w:r>
    </w:p>
    <w:p w:rsidR="00D52EFB" w:rsidRDefault="00D52EFB">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383186" cy="18764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788" cy="1876983"/>
                    </a:xfrm>
                    <a:prstGeom prst="rect">
                      <a:avLst/>
                    </a:prstGeom>
                    <a:noFill/>
                    <a:ln>
                      <a:noFill/>
                    </a:ln>
                  </pic:spPr>
                </pic:pic>
              </a:graphicData>
            </a:graphic>
          </wp:inline>
        </w:drawing>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sidR="00D52EFB">
        <w:rPr>
          <w:rFonts w:ascii="Palatino Linotype" w:eastAsia="Palatino Linotype" w:hAnsi="Palatino Linotype" w:cs="Palatino Linotype"/>
          <w:b/>
        </w:rPr>
        <w:t>ocho de dic</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913A86" w:rsidRDefault="002F08A5">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913A86" w:rsidRDefault="00913A86">
      <w:pPr>
        <w:ind w:right="567"/>
        <w:jc w:val="both"/>
        <w:rPr>
          <w:rFonts w:ascii="Palatino Linotype" w:eastAsia="Palatino Linotype" w:hAnsi="Palatino Linotype" w:cs="Palatino Linotype"/>
          <w:i/>
          <w:sz w:val="22"/>
          <w:szCs w:val="22"/>
        </w:rPr>
      </w:pPr>
    </w:p>
    <w:p w:rsidR="00913A86" w:rsidRDefault="002F08A5">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D52EFB" w:rsidRPr="00D52EFB">
        <w:rPr>
          <w:rFonts w:ascii="Palatino Linotype" w:eastAsia="Palatino Linotype" w:hAnsi="Palatino Linotype" w:cs="Palatino Linotype"/>
          <w:i/>
          <w:sz w:val="22"/>
          <w:szCs w:val="22"/>
        </w:rPr>
        <w:t>Respuesta</w:t>
      </w:r>
      <w:r>
        <w:rPr>
          <w:rFonts w:ascii="Palatino Linotype" w:eastAsia="Palatino Linotype" w:hAnsi="Palatino Linotype" w:cs="Palatino Linotype"/>
          <w:i/>
          <w:sz w:val="22"/>
          <w:szCs w:val="22"/>
        </w:rPr>
        <w:t>” (Sic).</w:t>
      </w:r>
    </w:p>
    <w:p w:rsidR="00913A86" w:rsidRDefault="002F08A5">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D52EFB" w:rsidRPr="00D52EFB">
        <w:rPr>
          <w:rFonts w:ascii="Palatino Linotype" w:eastAsia="Palatino Linotype" w:hAnsi="Palatino Linotype" w:cs="Palatino Linotype"/>
          <w:i/>
          <w:sz w:val="22"/>
          <w:szCs w:val="22"/>
        </w:rPr>
        <w:t>Declaran como incompetentes de un tema que ellos ejecutan y es mas publcan en su portal de internet</w:t>
      </w:r>
      <w:r>
        <w:rPr>
          <w:rFonts w:ascii="Palatino Linotype" w:eastAsia="Palatino Linotype" w:hAnsi="Palatino Linotype" w:cs="Palatino Linotype"/>
          <w:i/>
          <w:sz w:val="22"/>
          <w:szCs w:val="22"/>
        </w:rPr>
        <w:t>”</w:t>
      </w:r>
    </w:p>
    <w:p w:rsidR="00913A86" w:rsidRDefault="00913A86">
      <w:pPr>
        <w:ind w:right="49"/>
        <w:jc w:val="both"/>
        <w:rPr>
          <w:rFonts w:ascii="Palatino Linotype" w:eastAsia="Palatino Linotype" w:hAnsi="Palatino Linotype" w:cs="Palatino Linotype"/>
          <w:i/>
          <w:sz w:val="22"/>
          <w:szCs w:val="22"/>
        </w:rPr>
      </w:pPr>
    </w:p>
    <w:p w:rsidR="00D52EFB"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sidR="00D52EFB">
        <w:rPr>
          <w:rFonts w:ascii="Palatino Linotype" w:eastAsia="Palatino Linotype" w:hAnsi="Palatino Linotype" w:cs="Palatino Linotype"/>
          <w:b/>
        </w:rPr>
        <w:t xml:space="preserve"> trece</w:t>
      </w:r>
      <w:r>
        <w:rPr>
          <w:rFonts w:ascii="Palatino Linotype" w:eastAsia="Palatino Linotype" w:hAnsi="Palatino Linotype" w:cs="Palatino Linotype"/>
          <w:b/>
        </w:rPr>
        <w:t xml:space="preserve"> de diciembre de dos mil veintiuno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913A86" w:rsidRDefault="00913A86">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sidR="00D52EFB">
        <w:rPr>
          <w:rFonts w:ascii="Palatino Linotype" w:eastAsia="Palatino Linotype" w:hAnsi="Palatino Linotype" w:cs="Palatino Linotype"/>
          <w:b/>
        </w:rPr>
        <w:t>veintiuno</w:t>
      </w:r>
      <w:r>
        <w:rPr>
          <w:rFonts w:ascii="Palatino Linotype" w:eastAsia="Palatino Linotype" w:hAnsi="Palatino Linotype" w:cs="Palatino Linotype"/>
          <w:b/>
        </w:rPr>
        <w:t xml:space="preserve"> de diciembre del dos mil veintiuno</w:t>
      </w:r>
      <w:r w:rsidR="00D52EFB">
        <w:rPr>
          <w:rFonts w:ascii="Palatino Linotype" w:eastAsia="Palatino Linotype" w:hAnsi="Palatino Linotype" w:cs="Palatino Linotype"/>
        </w:rPr>
        <w:t>, mediante el archivo electrónico</w:t>
      </w:r>
      <w:r>
        <w:rPr>
          <w:rFonts w:ascii="Palatino Linotype" w:eastAsia="Palatino Linotype" w:hAnsi="Palatino Linotype" w:cs="Palatino Linotype"/>
        </w:rPr>
        <w:t xml:space="preserve">: </w:t>
      </w:r>
      <w:r>
        <w:rPr>
          <w:rFonts w:ascii="Palatino Linotype" w:eastAsia="Palatino Linotype" w:hAnsi="Palatino Linotype" w:cs="Palatino Linotype"/>
          <w:b/>
          <w:i/>
        </w:rPr>
        <w:t>“</w:t>
      </w:r>
      <w:r>
        <w:rPr>
          <w:rFonts w:ascii="Palatino Linotype" w:eastAsia="Palatino Linotype" w:hAnsi="Palatino Linotype" w:cs="Palatino Linotype"/>
          <w:b/>
          <w:i/>
        </w:rPr>
        <w:tab/>
      </w:r>
      <w:r w:rsidR="00D52EFB" w:rsidRPr="00D52EFB">
        <w:rPr>
          <w:rFonts w:ascii="Palatino Linotype" w:eastAsia="Palatino Linotype" w:hAnsi="Palatino Linotype" w:cs="Palatino Linotype"/>
          <w:b/>
          <w:i/>
        </w:rPr>
        <w:t xml:space="preserve">224 - C. </w:t>
      </w:r>
      <w:r w:rsidR="008B36BE" w:rsidRPr="008B36BE">
        <w:rPr>
          <w:rFonts w:ascii="Palatino Linotype" w:eastAsia="Palatino Linotype" w:hAnsi="Palatino Linotype" w:cs="Palatino Linotype"/>
          <w:b/>
          <w:i/>
        </w:rPr>
        <w:t xml:space="preserve">xxxxxxxxxx xxxxxxxxxx xx xxxxxxxxxxxxx </w:t>
      </w:r>
      <w:r w:rsidR="00D52EFB" w:rsidRPr="00D52EFB">
        <w:rPr>
          <w:rFonts w:ascii="Palatino Linotype" w:eastAsia="Palatino Linotype" w:hAnsi="Palatino Linotype" w:cs="Palatino Linotype"/>
          <w:b/>
          <w:i/>
        </w:rPr>
        <w:t>- Informe Justificado - 0224.pdf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el cual se puso a la vista del particular en fecha </w:t>
      </w:r>
      <w:r w:rsidR="00D52EFB">
        <w:rPr>
          <w:rFonts w:ascii="Palatino Linotype" w:eastAsia="Palatino Linotype" w:hAnsi="Palatino Linotype" w:cs="Palatino Linotype"/>
          <w:b/>
        </w:rPr>
        <w:t>tres de febr</w:t>
      </w:r>
      <w:r>
        <w:rPr>
          <w:rFonts w:ascii="Palatino Linotype" w:eastAsia="Palatino Linotype" w:hAnsi="Palatino Linotype" w:cs="Palatino Linotype"/>
          <w:b/>
        </w:rPr>
        <w:t>ero de dos mil veintidós</w:t>
      </w:r>
      <w:r>
        <w:rPr>
          <w:rFonts w:ascii="Palatino Linotype" w:eastAsia="Palatino Linotype" w:hAnsi="Palatino Linotype" w:cs="Palatino Linotype"/>
        </w:rPr>
        <w:t>, asimismo cabe señalar que la parte recurrente fue omisa en emitir pronunciamientos, ofrecer pruebas o alegatos, por lo que se tiene por precluido su derecho.</w:t>
      </w:r>
    </w:p>
    <w:p w:rsidR="00913A86" w:rsidRPr="004F6279" w:rsidRDefault="008B36BE">
      <w:pPr>
        <w:widowControl w:val="0"/>
        <w:spacing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extent cx="5581650" cy="1419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1419225"/>
                    </a:xfrm>
                    <a:prstGeom prst="rect">
                      <a:avLst/>
                    </a:prstGeom>
                    <a:noFill/>
                    <a:ln>
                      <a:noFill/>
                    </a:ln>
                  </pic:spPr>
                </pic:pic>
              </a:graphicData>
            </a:graphic>
          </wp:inline>
        </w:drawing>
      </w: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w:t>
      </w:r>
      <w:r>
        <w:rPr>
          <w:rFonts w:ascii="Palatino Linotype" w:eastAsia="Palatino Linotype" w:hAnsi="Palatino Linotype" w:cs="Palatino Linotype"/>
        </w:rPr>
        <w:t xml:space="preserve">En fecha </w:t>
      </w:r>
      <w:r w:rsidR="00D52EFB">
        <w:rPr>
          <w:rFonts w:ascii="Palatino Linotype" w:eastAsia="Palatino Linotype" w:hAnsi="Palatino Linotype" w:cs="Palatino Linotype"/>
          <w:b/>
        </w:rPr>
        <w:t>diez de febr</w:t>
      </w:r>
      <w:r>
        <w:rPr>
          <w:rFonts w:ascii="Palatino Linotype" w:eastAsia="Palatino Linotype" w:hAnsi="Palatino Linotype" w:cs="Palatino Linotype"/>
          <w:b/>
        </w:rPr>
        <w:t>ero de dos mil veintidós</w:t>
      </w:r>
      <w:r>
        <w:rPr>
          <w:rFonts w:ascii="Palatino Linotype" w:eastAsia="Palatino Linotype" w:hAnsi="Palatino Linotype" w:cs="Palatino Linotype"/>
        </w:rPr>
        <w:t>, este Instituto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1C5C90">
        <w:rPr>
          <w:rFonts w:ascii="Palatino Linotype" w:eastAsia="Palatino Linotype" w:hAnsi="Palatino Linotype" w:cs="Palatino Linotype"/>
          <w:b/>
        </w:rPr>
        <w:t>diez</w:t>
      </w:r>
      <w:r w:rsidRPr="00296B89">
        <w:rPr>
          <w:rFonts w:ascii="Palatino Linotype" w:eastAsia="Palatino Linotype" w:hAnsi="Palatino Linotype" w:cs="Palatino Linotype"/>
          <w:b/>
          <w:color w:val="000000"/>
        </w:rPr>
        <w:t xml:space="preserve"> de febrero </w:t>
      </w:r>
      <w:r w:rsidRPr="00296B89">
        <w:rPr>
          <w:rFonts w:ascii="Palatino Linotype" w:eastAsia="Palatino Linotype" w:hAnsi="Palatino Linotype" w:cs="Palatino Linotype"/>
          <w:b/>
        </w:rPr>
        <w:t>de dos mil veintidós</w:t>
      </w:r>
      <w:r w:rsidRPr="00296B89">
        <w:rPr>
          <w:rFonts w:ascii="Palatino Linotype" w:eastAsia="Palatino Linotype" w:hAnsi="Palatino Linotype" w:cs="Palatino Linotype"/>
        </w:rPr>
        <w:t>,</w:t>
      </w:r>
      <w:r>
        <w:rPr>
          <w:rFonts w:ascii="Palatino Linotype" w:eastAsia="Palatino Linotype" w:hAnsi="Palatino Linotype" w:cs="Palatino Linotype"/>
        </w:rPr>
        <w:t xml:space="preserve"> se procedió a decretar el cierre de instrucción respectivo y no existiendo diligencia pendiente de desahogo, se ordenó emitir la resolución que conforme a derecho proceda.</w:t>
      </w:r>
    </w:p>
    <w:p w:rsidR="00913A86" w:rsidRDefault="002F08A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913A86" w:rsidRDefault="002F08A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13A86" w:rsidRDefault="002F08A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incompetencia para otorgar respuesta a la solicitud de información el día </w:t>
      </w:r>
      <w:r w:rsidR="001C5C90">
        <w:rPr>
          <w:rFonts w:ascii="Palatino Linotype" w:eastAsia="Palatino Linotype" w:hAnsi="Palatino Linotype" w:cs="Palatino Linotype"/>
          <w:b/>
        </w:rPr>
        <w:t>veintiséis</w:t>
      </w:r>
      <w:r>
        <w:rPr>
          <w:rFonts w:ascii="Palatino Linotype" w:eastAsia="Palatino Linotype" w:hAnsi="Palatino Linotype" w:cs="Palatino Linotype"/>
          <w:b/>
        </w:rPr>
        <w:t xml:space="preserve"> de noviembre de dos mil veintiuno</w:t>
      </w:r>
      <w:r>
        <w:rPr>
          <w:rFonts w:ascii="Palatino Linotype" w:eastAsia="Palatino Linotype" w:hAnsi="Palatino Linotype" w:cs="Palatino Linotype"/>
        </w:rPr>
        <w:t xml:space="preserve">, mientras que el solicitante presentó su recurso de revisión el día </w:t>
      </w:r>
      <w:r w:rsidR="001C5C90">
        <w:rPr>
          <w:rFonts w:ascii="Palatino Linotype" w:eastAsia="Palatino Linotype" w:hAnsi="Palatino Linotype" w:cs="Palatino Linotype"/>
          <w:b/>
        </w:rPr>
        <w:t>ocho de dic</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esto es, al </w:t>
      </w:r>
      <w:r w:rsidR="001C5C90">
        <w:rPr>
          <w:rFonts w:ascii="Palatino Linotype" w:eastAsia="Palatino Linotype" w:hAnsi="Palatino Linotype" w:cs="Palatino Linotype"/>
          <w:b/>
        </w:rPr>
        <w:t>octav</w:t>
      </w:r>
      <w:r>
        <w:rPr>
          <w:rFonts w:ascii="Palatino Linotype" w:eastAsia="Palatino Linotype" w:hAnsi="Palatino Linotype" w:cs="Palatino Linotype"/>
          <w:b/>
        </w:rPr>
        <w:t>o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180.</w:t>
      </w:r>
      <w:r>
        <w:rPr>
          <w:rFonts w:ascii="Palatino Linotype" w:eastAsia="Palatino Linotype" w:hAnsi="Palatino Linotype" w:cs="Palatino Linotype"/>
          <w:i/>
          <w:sz w:val="22"/>
          <w:szCs w:val="22"/>
        </w:rPr>
        <w:t xml:space="preserve"> El recurso de revisión contendrá: </w:t>
      </w:r>
    </w:p>
    <w:p w:rsidR="00913A86" w:rsidRDefault="002F08A5">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 El nombre del solicitante que recurre o de su representante y, en su caso, del tercero interesado, así como la dirección o medio que señale para recibir notificaciones;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913A86" w:rsidRDefault="002F08A5">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 IV, VII y VIII.”</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181 del citado ordenamiento dispone, que:</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181.</w:t>
      </w:r>
      <w:r>
        <w:rPr>
          <w:rFonts w:ascii="Palatino Linotype" w:eastAsia="Palatino Linotype" w:hAnsi="Palatino Linotype" w:cs="Palatino Linotype"/>
          <w:i/>
          <w:sz w:val="22"/>
          <w:szCs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913A86" w:rsidRDefault="002F08A5">
      <w:pPr>
        <w:spacing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Sobre el particular, de la revisión al expediente electrónico del SAIMEX se desprende que la parte solicitante, en ejercicio de su derecho de acceso a la información pública, y ahora recurrente, </w:t>
      </w:r>
      <w:r>
        <w:rPr>
          <w:rFonts w:ascii="Palatino Linotype" w:eastAsia="Palatino Linotype" w:hAnsi="Palatino Linotype" w:cs="Palatino Linotype"/>
          <w:b/>
          <w:color w:val="000000"/>
        </w:rPr>
        <w:t>no proporcionó datos que lo hagan identificable, por ende no se tiene certeza sobre su identidad,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toda vez que en el apartado de nombre expresó únicamente “</w:t>
      </w:r>
      <w:r w:rsidR="001C5C90" w:rsidRPr="001C5C90">
        <w:rPr>
          <w:rFonts w:ascii="Palatino Linotype" w:eastAsia="Palatino Linotype" w:hAnsi="Palatino Linotype" w:cs="Palatino Linotype"/>
          <w:b/>
        </w:rPr>
        <w:t>a</w:t>
      </w:r>
      <w:r w:rsidR="008B36BE" w:rsidRPr="008B36BE">
        <w:t xml:space="preserve"> </w:t>
      </w:r>
      <w:r w:rsidR="008B36BE" w:rsidRPr="008B36BE">
        <w:rPr>
          <w:rFonts w:ascii="Palatino Linotype" w:eastAsia="Palatino Linotype" w:hAnsi="Palatino Linotype" w:cs="Palatino Linotype"/>
          <w:b/>
        </w:rPr>
        <w:t>xxxxxxxxxx xxxxxxxxxx xx xxxxxxxxxxxxx</w:t>
      </w:r>
      <w:bookmarkStart w:id="0" w:name="_GoBack"/>
      <w:bookmarkEnd w:id="0"/>
      <w:r>
        <w:rPr>
          <w:rFonts w:ascii="Palatino Linotype" w:eastAsia="Palatino Linotype" w:hAnsi="Palatino Linotype" w:cs="Palatino Linotype"/>
        </w:rPr>
        <w:t>”, lo cual, en estricto sentido provoca que no se colmen los requisitos establecidos en el citado artículo 180 de la Ley de Transparencia.</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Empero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eastAsia="Palatino Linotype" w:hAnsi="Palatino Linotype" w:cs="Palatino Linotype"/>
          <w:b/>
          <w:i/>
        </w:rPr>
        <w:t>sine qua non</w:t>
      </w:r>
      <w:r>
        <w:rPr>
          <w:rFonts w:ascii="Palatino Linotype" w:eastAsia="Palatino Linotype" w:hAnsi="Palatino Linotype" w:cs="Palatino Linotype"/>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Correlativo a ello, cabe mencionar que los artículos 6, apartado A, fracciones I, II, III y IV de la Constitución Política de los Estados Unidos Mexicanos y 5 trigésimo, trigésimo primero y trigésimo segundo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efectos de lo dispuesto en el presente artículo se observará lo siguiente: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Para el ejercicio del derecho de acceso a la información, la Federación, los Estados y el Distrito Federal, en el ámbito de sus respectivas competencias, se regirán por los siguientes principios y bases: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información que se refiere a la vida privada y los datos personales será protegida en los términos y con las excepciones que fijen las leyes. </w:t>
      </w:r>
    </w:p>
    <w:p w:rsidR="00913A86" w:rsidRDefault="002F08A5">
      <w:pPr>
        <w:spacing w:after="120"/>
        <w:ind w:left="851"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Toda persona, sin necesidad de acreditar interés alguno o justificar su utilización, tendrá acceso gratuito a la información pública, a sus datos personales o a la rectificación de éstos.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 III. Toda persona, sin necesidad de acreditar interés alguno o justificar su utilización, tendrá acceso gratuito a la información pública, a sus datos personales o a la rectificación de éstos;</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 Unidos Mexicanos, se destaca lo siguiente:</w:t>
      </w:r>
    </w:p>
    <w:p w:rsidR="00913A86" w:rsidRDefault="002F08A5">
      <w:pPr>
        <w:tabs>
          <w:tab w:val="left" w:pos="7655"/>
        </w:tabs>
        <w:spacing w:after="120"/>
        <w:ind w:left="1134" w:right="1325"/>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13A86" w:rsidRDefault="002F08A5">
      <w:pPr>
        <w:spacing w:after="12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913A86" w:rsidRDefault="002F08A5">
      <w:pPr>
        <w:spacing w:after="12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6/2014 del entonces Instituto Federal de Acceso a la Información y Protección de Datos, el cual se reproduce para una mayor referencia:</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913A86" w:rsidRDefault="002F08A5">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t>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w:t>
      </w:r>
      <w:r w:rsidR="001C5C90">
        <w:rPr>
          <w:rFonts w:ascii="Palatino Linotype" w:eastAsia="Palatino Linotype" w:hAnsi="Palatino Linotype" w:cs="Palatino Linotype"/>
        </w:rPr>
        <w:t xml:space="preserve"> artículos 176 y 179 fracción </w:t>
      </w:r>
      <w:r>
        <w:rPr>
          <w:rFonts w:ascii="Palatino Linotype" w:eastAsia="Palatino Linotype" w:hAnsi="Palatino Linotype" w:cs="Palatino Linotype"/>
          <w:b/>
        </w:rPr>
        <w:t xml:space="preserve">IV </w:t>
      </w:r>
      <w:r>
        <w:rPr>
          <w:rFonts w:ascii="Palatino Linotype" w:eastAsia="Palatino Linotype" w:hAnsi="Palatino Linotype" w:cs="Palatino Linotype"/>
        </w:rPr>
        <w:t>del ordenamiento legal citado, que establecen los supuestos en que puede interponerse el recurso de revisión:</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La declaración de incompetencia por el sujeto obligado;</w:t>
      </w:r>
    </w:p>
    <w:p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913A86" w:rsidRDefault="002F08A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6C1122"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Previo al estudio del presente asunto, es conveniente recordar que la parte solicitante requirió al </w:t>
      </w:r>
      <w:r w:rsidR="004F6279" w:rsidRPr="004F6279">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D97472" w:rsidRPr="006C1122" w:rsidRDefault="00D97472" w:rsidP="006C1122">
      <w:pPr>
        <w:pStyle w:val="Prrafodelista"/>
        <w:numPr>
          <w:ilvl w:val="0"/>
          <w:numId w:val="7"/>
        </w:numPr>
        <w:tabs>
          <w:tab w:val="left" w:pos="7513"/>
        </w:tabs>
        <w:spacing w:line="360" w:lineRule="auto"/>
        <w:ind w:left="567" w:right="908"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w:t>
      </w:r>
      <w:r w:rsidRPr="00D97472">
        <w:rPr>
          <w:rFonts w:ascii="Palatino Linotype" w:eastAsia="Palatino Linotype" w:hAnsi="Palatino Linotype" w:cs="Palatino Linotype"/>
          <w:color w:val="000000"/>
        </w:rPr>
        <w:t>l padrón de beneficiar</w:t>
      </w:r>
      <w:r w:rsidR="006C1122">
        <w:rPr>
          <w:rFonts w:ascii="Palatino Linotype" w:eastAsia="Palatino Linotype" w:hAnsi="Palatino Linotype" w:cs="Palatino Linotype"/>
          <w:color w:val="000000"/>
        </w:rPr>
        <w:t>i</w:t>
      </w:r>
      <w:r w:rsidRPr="00D97472">
        <w:rPr>
          <w:rFonts w:ascii="Palatino Linotype" w:eastAsia="Palatino Linotype" w:hAnsi="Palatino Linotype" w:cs="Palatino Linotype"/>
          <w:color w:val="000000"/>
        </w:rPr>
        <w:t>as del "Programa De Desarrollo Social Familias Fuertes Salario Rosa" 2018, 2019 y 2020</w:t>
      </w:r>
      <w:r>
        <w:rPr>
          <w:rFonts w:ascii="Palatino Linotype" w:eastAsia="Palatino Linotype" w:hAnsi="Palatino Linotype" w:cs="Palatino Linotype"/>
          <w:color w:val="000000"/>
        </w:rPr>
        <w:t>.</w:t>
      </w:r>
    </w:p>
    <w:p w:rsidR="006C1122" w:rsidRDefault="006C1122">
      <w:pPr>
        <w:tabs>
          <w:tab w:val="left" w:pos="7513"/>
        </w:tabs>
        <w:spacing w:line="360" w:lineRule="auto"/>
        <w:ind w:right="49"/>
        <w:jc w:val="both"/>
        <w:rPr>
          <w:rFonts w:ascii="Palatino Linotype" w:eastAsia="Palatino Linotype" w:hAnsi="Palatino Linotype" w:cs="Palatino Linotype"/>
        </w:rPr>
      </w:pPr>
    </w:p>
    <w:p w:rsidR="00913A86" w:rsidRPr="00296B89" w:rsidRDefault="00A57610">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w:t>
      </w:r>
      <w:r w:rsidR="00424BEB">
        <w:rPr>
          <w:rFonts w:ascii="Palatino Linotype" w:eastAsia="Palatino Linotype" w:hAnsi="Palatino Linotype" w:cs="Palatino Linotype"/>
        </w:rPr>
        <w:t xml:space="preserve">í las cosas, el </w:t>
      </w:r>
      <w:r w:rsidR="00424BEB" w:rsidRPr="00424BEB">
        <w:rPr>
          <w:rFonts w:ascii="Palatino Linotype" w:eastAsia="Palatino Linotype" w:hAnsi="Palatino Linotype" w:cs="Palatino Linotype"/>
          <w:b/>
        </w:rPr>
        <w:t>Sujeto Obligado</w:t>
      </w:r>
      <w:r w:rsidR="00424BEB">
        <w:rPr>
          <w:rFonts w:ascii="Palatino Linotype" w:eastAsia="Palatino Linotype" w:hAnsi="Palatino Linotype" w:cs="Palatino Linotype"/>
        </w:rPr>
        <w:t xml:space="preserve"> </w:t>
      </w:r>
      <w:r w:rsidR="000A5DBF">
        <w:rPr>
          <w:rFonts w:ascii="Palatino Linotype" w:eastAsia="Palatino Linotype" w:hAnsi="Palatino Linotype" w:cs="Palatino Linotype"/>
        </w:rPr>
        <w:t xml:space="preserve">por conducto de la Dirección General de </w:t>
      </w:r>
      <w:r w:rsidR="00B81DF9">
        <w:rPr>
          <w:rFonts w:ascii="Palatino Linotype" w:eastAsia="Palatino Linotype" w:hAnsi="Palatino Linotype" w:cs="Palatino Linotype"/>
        </w:rPr>
        <w:t xml:space="preserve">Programas Sociales Estratégicos, </w:t>
      </w:r>
      <w:r w:rsidR="00296B89">
        <w:rPr>
          <w:rFonts w:ascii="Palatino Linotype" w:eastAsia="Palatino Linotype" w:hAnsi="Palatino Linotype" w:cs="Palatino Linotype"/>
        </w:rPr>
        <w:t xml:space="preserve">manifestó </w:t>
      </w:r>
      <w:r w:rsidR="00B5471D">
        <w:rPr>
          <w:rFonts w:ascii="Palatino Linotype" w:eastAsia="Palatino Linotype" w:hAnsi="Palatino Linotype" w:cs="Palatino Linotype"/>
        </w:rPr>
        <w:t xml:space="preserve">en respuesta, </w:t>
      </w:r>
      <w:r w:rsidR="00296B89" w:rsidRPr="00296B89">
        <w:rPr>
          <w:rFonts w:ascii="Palatino Linotype" w:eastAsia="Palatino Linotype" w:hAnsi="Palatino Linotype" w:cs="Palatino Linotype"/>
        </w:rPr>
        <w:t>la</w:t>
      </w:r>
      <w:r w:rsidR="00B5471D">
        <w:rPr>
          <w:rFonts w:ascii="Palatino Linotype" w:eastAsia="Palatino Linotype" w:hAnsi="Palatino Linotype" w:cs="Palatino Linotype"/>
        </w:rPr>
        <w:t xml:space="preserve"> incompetencia de la Secretaría de Desarrollo Social</w:t>
      </w:r>
      <w:r w:rsidR="00296B89" w:rsidRPr="00296B89">
        <w:rPr>
          <w:rFonts w:ascii="Palatino Linotype" w:eastAsia="Palatino Linotype" w:hAnsi="Palatino Linotype" w:cs="Palatino Linotype"/>
        </w:rPr>
        <w:t xml:space="preserve"> para generar la información requerida</w:t>
      </w:r>
      <w:r w:rsidR="00296B89">
        <w:rPr>
          <w:rFonts w:ascii="Palatino Linotype" w:eastAsia="Palatino Linotype" w:hAnsi="Palatino Linotype" w:cs="Palatino Linotype"/>
        </w:rPr>
        <w:t xml:space="preserve">, </w:t>
      </w:r>
      <w:r w:rsidR="00B5471D">
        <w:rPr>
          <w:rFonts w:ascii="Palatino Linotype" w:eastAsia="Palatino Linotype" w:hAnsi="Palatino Linotype" w:cs="Palatino Linotype"/>
        </w:rPr>
        <w:t xml:space="preserve">en </w:t>
      </w:r>
      <w:r w:rsidR="00296B89">
        <w:rPr>
          <w:rFonts w:ascii="Palatino Linotype" w:eastAsia="Palatino Linotype" w:hAnsi="Palatino Linotype" w:cs="Palatino Linotype"/>
        </w:rPr>
        <w:t xml:space="preserve">virtud de que la unidad competente </w:t>
      </w:r>
      <w:r w:rsidR="00B5471D">
        <w:rPr>
          <w:rFonts w:ascii="Palatino Linotype" w:eastAsia="Palatino Linotype" w:hAnsi="Palatino Linotype" w:cs="Palatino Linotype"/>
        </w:rPr>
        <w:t xml:space="preserve">y ejecutora de este programa social durante los años 2018, 2019 y 2020 fue el Consejo Estatal de la Mujer y Bienestar, actualmente conocida como </w:t>
      </w:r>
      <w:r w:rsidR="00296B89">
        <w:rPr>
          <w:rFonts w:ascii="Palatino Linotype" w:eastAsia="Palatino Linotype" w:hAnsi="Palatino Linotype" w:cs="Palatino Linotype"/>
        </w:rPr>
        <w:t>la Sec</w:t>
      </w:r>
      <w:r w:rsidR="00B5471D">
        <w:rPr>
          <w:rFonts w:ascii="Palatino Linotype" w:eastAsia="Palatino Linotype" w:hAnsi="Palatino Linotype" w:cs="Palatino Linotype"/>
        </w:rPr>
        <w:t>retaría de la Mujer.</w:t>
      </w:r>
    </w:p>
    <w:p w:rsidR="00B5471D" w:rsidRDefault="002F08A5">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Conocida la notificación de incompetencia para atender la solicitud, el particular, al no estar conforme con los términos de la misma, interpuso el recurso de revisión que nos ocupa, donde señaló como motivos de inconformidad: “</w:t>
      </w:r>
      <w:r w:rsidR="00B5471D" w:rsidRPr="00B5471D">
        <w:rPr>
          <w:rFonts w:ascii="Palatino Linotype" w:eastAsia="Palatino Linotype" w:hAnsi="Palatino Linotype" w:cs="Palatino Linotype"/>
          <w:i/>
        </w:rPr>
        <w:t>Declaran como incompetentes de un tema que ellos ejecutan y es mas publcan en su portal de internet</w:t>
      </w:r>
      <w:r>
        <w:rPr>
          <w:rFonts w:ascii="Palatino Linotype" w:eastAsia="Palatino Linotype" w:hAnsi="Palatino Linotype" w:cs="Palatino Linotype"/>
          <w:i/>
        </w:rPr>
        <w:t>”</w:t>
      </w:r>
    </w:p>
    <w:p w:rsidR="00364BD3"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se procede al análisis del agravio hecho valer por la ahora parte Recurrente, concerniente a la declaración de incompetencia del </w:t>
      </w:r>
      <w:r>
        <w:rPr>
          <w:rFonts w:ascii="Palatino Linotype" w:eastAsia="Palatino Linotype" w:hAnsi="Palatino Linotype" w:cs="Palatino Linotype"/>
          <w:b/>
        </w:rPr>
        <w:t>Sujeto Obligado</w:t>
      </w:r>
      <w:r w:rsidR="006C1122">
        <w:rPr>
          <w:rFonts w:ascii="Palatino Linotype" w:eastAsia="Palatino Linotype" w:hAnsi="Palatino Linotype" w:cs="Palatino Linotype"/>
        </w:rPr>
        <w:t xml:space="preserve">, manifestada en </w:t>
      </w:r>
      <w:r>
        <w:rPr>
          <w:rFonts w:ascii="Palatino Linotype" w:eastAsia="Palatino Linotype" w:hAnsi="Palatino Linotype" w:cs="Palatino Linotype"/>
        </w:rPr>
        <w:t xml:space="preserve">respuesta a la solicitud de información que apertura el expediente en análisis, para ello resulta pertinente traer a colación el siguiente cuadro a efecto de determinar si con los pronunciamientos vertidos mediante los soportes documentales, se colman los requerimientos de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w:t>
      </w:r>
    </w:p>
    <w:tbl>
      <w:tblPr>
        <w:tblStyle w:val="3"/>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6"/>
        <w:gridCol w:w="2926"/>
        <w:gridCol w:w="2927"/>
      </w:tblGrid>
      <w:tr w:rsidR="00913A86">
        <w:tc>
          <w:tcPr>
            <w:tcW w:w="2926" w:type="dxa"/>
            <w:shd w:val="clear" w:color="auto" w:fill="76923C"/>
          </w:tcPr>
          <w:p w:rsidR="00913A86" w:rsidRDefault="002F08A5">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Solicitud</w:t>
            </w:r>
          </w:p>
        </w:tc>
        <w:tc>
          <w:tcPr>
            <w:tcW w:w="2926" w:type="dxa"/>
            <w:shd w:val="clear" w:color="auto" w:fill="76923C"/>
          </w:tcPr>
          <w:p w:rsidR="00913A86" w:rsidRDefault="002F08A5">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Declaración de incompetencia</w:t>
            </w:r>
          </w:p>
        </w:tc>
        <w:tc>
          <w:tcPr>
            <w:tcW w:w="2927" w:type="dxa"/>
            <w:shd w:val="clear" w:color="auto" w:fill="76923C"/>
          </w:tcPr>
          <w:p w:rsidR="00913A86" w:rsidRDefault="002F08A5">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Colma</w:t>
            </w:r>
          </w:p>
        </w:tc>
      </w:tr>
      <w:tr w:rsidR="00913A86">
        <w:tc>
          <w:tcPr>
            <w:tcW w:w="2926" w:type="dxa"/>
          </w:tcPr>
          <w:p w:rsidR="00913A86" w:rsidRDefault="006C1122">
            <w:pPr>
              <w:spacing w:before="240" w:after="240"/>
              <w:jc w:val="both"/>
              <w:rPr>
                <w:rFonts w:ascii="Palatino Linotype" w:eastAsia="Palatino Linotype" w:hAnsi="Palatino Linotype" w:cs="Palatino Linotype"/>
              </w:rPr>
            </w:pPr>
            <w:r w:rsidRPr="006C1122">
              <w:rPr>
                <w:rFonts w:ascii="Palatino Linotype" w:eastAsia="Palatino Linotype" w:hAnsi="Palatino Linotype" w:cs="Palatino Linotype"/>
                <w:sz w:val="20"/>
                <w:szCs w:val="20"/>
              </w:rPr>
              <w:t>El padrón de beneficiar</w:t>
            </w:r>
            <w:r>
              <w:rPr>
                <w:rFonts w:ascii="Palatino Linotype" w:eastAsia="Palatino Linotype" w:hAnsi="Palatino Linotype" w:cs="Palatino Linotype"/>
                <w:sz w:val="20"/>
                <w:szCs w:val="20"/>
              </w:rPr>
              <w:t>i</w:t>
            </w:r>
            <w:r w:rsidRPr="006C1122">
              <w:rPr>
                <w:rFonts w:ascii="Palatino Linotype" w:eastAsia="Palatino Linotype" w:hAnsi="Palatino Linotype" w:cs="Palatino Linotype"/>
                <w:sz w:val="20"/>
                <w:szCs w:val="20"/>
              </w:rPr>
              <w:t>as del "Programa De Desarrollo Social Familias Fuertes Salario Rosa" 2018, 2019 y 2020.</w:t>
            </w:r>
          </w:p>
        </w:tc>
        <w:tc>
          <w:tcPr>
            <w:tcW w:w="2926" w:type="dxa"/>
          </w:tcPr>
          <w:p w:rsidR="006C1122" w:rsidRDefault="006C1122" w:rsidP="006C1122">
            <w:pPr>
              <w:spacing w:before="240" w:after="240"/>
              <w:jc w:val="both"/>
              <w:rPr>
                <w:rFonts w:ascii="Palatino Linotype" w:eastAsia="Palatino Linotype" w:hAnsi="Palatino Linotype" w:cs="Palatino Linotype"/>
                <w:sz w:val="20"/>
              </w:rPr>
            </w:pPr>
            <w:r>
              <w:rPr>
                <w:rFonts w:ascii="Palatino Linotype" w:eastAsia="Palatino Linotype" w:hAnsi="Palatino Linotype" w:cs="Palatino Linotype"/>
                <w:sz w:val="20"/>
              </w:rPr>
              <w:t xml:space="preserve">Mediante el archivo electrónico, </w:t>
            </w:r>
            <w:r w:rsidRPr="006C1122">
              <w:rPr>
                <w:rFonts w:ascii="Palatino Linotype" w:eastAsia="Palatino Linotype" w:hAnsi="Palatino Linotype" w:cs="Palatino Linotype"/>
                <w:b/>
                <w:i/>
                <w:sz w:val="20"/>
              </w:rPr>
              <w:t>“224 - RESOLUTIVOCTSDS-ACTA-EXT-011-2021.pdf</w:t>
            </w:r>
            <w:r>
              <w:rPr>
                <w:rFonts w:ascii="Palatino Linotype" w:eastAsia="Palatino Linotype" w:hAnsi="Palatino Linotype" w:cs="Palatino Linotype"/>
                <w:b/>
                <w:i/>
                <w:sz w:val="20"/>
              </w:rPr>
              <w:t xml:space="preserve">”, </w:t>
            </w:r>
            <w:r w:rsidRPr="006C1122">
              <w:rPr>
                <w:rFonts w:ascii="Palatino Linotype" w:eastAsia="Palatino Linotype" w:hAnsi="Palatino Linotype" w:cs="Palatino Linotype"/>
                <w:sz w:val="20"/>
              </w:rPr>
              <w:t>co</w:t>
            </w:r>
            <w:r>
              <w:rPr>
                <w:rFonts w:ascii="Palatino Linotype" w:eastAsia="Palatino Linotype" w:hAnsi="Palatino Linotype" w:cs="Palatino Linotype"/>
                <w:sz w:val="20"/>
              </w:rPr>
              <w:t xml:space="preserve">nsistente </w:t>
            </w:r>
            <w:r w:rsidRPr="006C1122">
              <w:rPr>
                <w:rFonts w:ascii="Palatino Linotype" w:eastAsia="Palatino Linotype" w:hAnsi="Palatino Linotype" w:cs="Palatino Linotype"/>
                <w:sz w:val="20"/>
              </w:rPr>
              <w:t xml:space="preserve">en el Acuerdo del Comité de Transparencia de la Secretaría de Desarrollo Social, emitido el 24 de noviembre de 2021, </w:t>
            </w:r>
            <w:r>
              <w:rPr>
                <w:rFonts w:ascii="Palatino Linotype" w:eastAsia="Palatino Linotype" w:hAnsi="Palatino Linotype" w:cs="Palatino Linotype"/>
                <w:sz w:val="20"/>
              </w:rPr>
              <w:t>el Sujeto Obligado se declara incompetente en razón de que en cumplimiento a lo establecido en los párrafos primero y tercero del artículo Quinto transitorio del Decreto número 191, publicado en el periódico oficial “Gaceta de Gobierno” de 19 de septiembre de 2020, mediante el cual se reformaron diversas disposiciones de la Ley Orgánica de la Administración Pública del Estado de México, mismos que de manera específica refieren lo siguiente:</w:t>
            </w:r>
          </w:p>
          <w:p w:rsidR="00913A86" w:rsidRPr="006C1122" w:rsidRDefault="006C1122" w:rsidP="006C1122">
            <w:pPr>
              <w:spacing w:before="240" w:after="240"/>
              <w:jc w:val="both"/>
              <w:rPr>
                <w:rFonts w:ascii="Palatino Linotype" w:eastAsia="Palatino Linotype" w:hAnsi="Palatino Linotype" w:cs="Palatino Linotype"/>
                <w:i/>
                <w:sz w:val="20"/>
              </w:rPr>
            </w:pPr>
            <w:r w:rsidRPr="006C1122">
              <w:rPr>
                <w:rFonts w:ascii="Palatino Linotype" w:eastAsia="Palatino Linotype" w:hAnsi="Palatino Linotype" w:cs="Palatino Linotype"/>
                <w:i/>
                <w:sz w:val="20"/>
              </w:rPr>
              <w:t xml:space="preserve"> “QUINTO. Las referencias realizadas en disposiciones jurídicas, legales, reglamentarias, administrativas, y documentación al Consejo Estatal de la Mujer y Bienestar Social del Estado de México se entenderán hechas a la Secretaría de la Mujer.”</w:t>
            </w:r>
          </w:p>
          <w:p w:rsidR="006C1122" w:rsidRDefault="006C1122" w:rsidP="006C1122">
            <w:pPr>
              <w:spacing w:before="240" w:after="240"/>
              <w:jc w:val="both"/>
              <w:rPr>
                <w:rFonts w:ascii="Palatino Linotype" w:eastAsia="Palatino Linotype" w:hAnsi="Palatino Linotype" w:cs="Palatino Linotype"/>
              </w:rPr>
            </w:pPr>
          </w:p>
        </w:tc>
        <w:tc>
          <w:tcPr>
            <w:tcW w:w="2927" w:type="dxa"/>
          </w:tcPr>
          <w:p w:rsidR="00913A86" w:rsidRDefault="002F08A5">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Si</w:t>
            </w:r>
          </w:p>
        </w:tc>
      </w:tr>
    </w:tbl>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electrónico: </w:t>
      </w:r>
      <w:r>
        <w:rPr>
          <w:rFonts w:ascii="Palatino Linotype" w:eastAsia="Palatino Linotype" w:hAnsi="Palatino Linotype" w:cs="Palatino Linotype"/>
          <w:b/>
          <w:i/>
        </w:rPr>
        <w:t>“</w:t>
      </w:r>
      <w:r w:rsidR="00C6345E" w:rsidRPr="00C6345E">
        <w:rPr>
          <w:rFonts w:ascii="Palatino Linotype" w:eastAsia="Palatino Linotype" w:hAnsi="Palatino Linotype" w:cs="Palatino Linotype"/>
          <w:b/>
          <w:i/>
        </w:rPr>
        <w:t>224 - C. Alexander Petrinelli No Proporcionado -</w:t>
      </w:r>
      <w:r w:rsidR="00C6345E">
        <w:rPr>
          <w:rFonts w:ascii="Palatino Linotype" w:eastAsia="Palatino Linotype" w:hAnsi="Palatino Linotype" w:cs="Palatino Linotype"/>
          <w:b/>
          <w:i/>
        </w:rPr>
        <w:t xml:space="preserve"> Informe Justificado - 0224.pdf</w:t>
      </w:r>
      <w:r>
        <w:rPr>
          <w:rFonts w:ascii="Palatino Linotype" w:eastAsia="Palatino Linotype" w:hAnsi="Palatino Linotype" w:cs="Palatino Linotype"/>
          <w:b/>
          <w:i/>
        </w:rPr>
        <w:t xml:space="preserve">”, </w:t>
      </w:r>
      <w:r w:rsidRPr="004F6279">
        <w:rPr>
          <w:rFonts w:ascii="Palatino Linotype" w:eastAsia="Palatino Linotype" w:hAnsi="Palatino Linotype" w:cs="Palatino Linotype"/>
        </w:rPr>
        <w:t>mediante el cual amplió los argumentos de respuesta vertida inicialmente que dio origen a la interposición del recurso de revisión que nos ocupa,</w:t>
      </w:r>
      <w:r>
        <w:rPr>
          <w:rFonts w:ascii="Palatino Linotype" w:eastAsia="Palatino Linotype" w:hAnsi="Palatino Linotype" w:cs="Palatino Linotype"/>
        </w:rPr>
        <w:t xml:space="preserve">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rsidR="00913A86" w:rsidRDefault="004F627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simplePos x="0" y="0"/>
                <wp:positionH relativeFrom="column">
                  <wp:posOffset>15239</wp:posOffset>
                </wp:positionH>
                <wp:positionV relativeFrom="paragraph">
                  <wp:posOffset>862329</wp:posOffset>
                </wp:positionV>
                <wp:extent cx="5229225" cy="63531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229225" cy="635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093D17" id="Conector recto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pt,67.9pt" to="412.95pt,5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" strokecolor="black [3040]"/>
            </w:pict>
          </mc:Fallback>
        </mc:AlternateContent>
      </w:r>
      <w:r w:rsidR="002F08A5">
        <w:rPr>
          <w:rFonts w:ascii="Palatino Linotype" w:eastAsia="Palatino Linotype" w:hAnsi="Palatino Linotype" w:cs="Palatino Linotype"/>
        </w:rPr>
        <w:t>Ahora bien, para mejor proveer del presente estudio, se insertan capturas de pantalla en las que se aprecia el contenido del informe justificado, el cual se dio medularmente en los siguientes términos:</w:t>
      </w:r>
    </w:p>
    <w:p w:rsidR="00913A86" w:rsidRDefault="00913A86">
      <w:pPr>
        <w:spacing w:line="360" w:lineRule="auto"/>
        <w:ind w:left="567" w:right="851"/>
        <w:jc w:val="both"/>
        <w:rPr>
          <w:rFonts w:ascii="Palatino Linotype" w:eastAsia="Palatino Linotype" w:hAnsi="Palatino Linotype" w:cs="Palatino Linotype"/>
          <w:b/>
          <w:i/>
        </w:rPr>
      </w:pPr>
    </w:p>
    <w:p w:rsidR="00913A86" w:rsidRDefault="00913A86">
      <w:pPr>
        <w:spacing w:line="360" w:lineRule="auto"/>
        <w:ind w:left="567" w:right="851"/>
        <w:jc w:val="both"/>
        <w:rPr>
          <w:rFonts w:ascii="Palatino Linotype" w:eastAsia="Palatino Linotype" w:hAnsi="Palatino Linotype" w:cs="Palatino Linotype"/>
        </w:rPr>
      </w:pPr>
    </w:p>
    <w:p w:rsidR="00913A86" w:rsidRDefault="00913A86">
      <w:pPr>
        <w:spacing w:line="360" w:lineRule="auto"/>
        <w:ind w:left="567" w:right="851"/>
        <w:jc w:val="both"/>
        <w:rPr>
          <w:rFonts w:ascii="Palatino Linotype" w:eastAsia="Palatino Linotype" w:hAnsi="Palatino Linotype" w:cs="Palatino Linotype"/>
        </w:rPr>
      </w:pPr>
    </w:p>
    <w:p w:rsidR="00913A86" w:rsidRDefault="00913A86">
      <w:pPr>
        <w:spacing w:line="360" w:lineRule="auto"/>
        <w:ind w:right="49"/>
        <w:jc w:val="both"/>
        <w:rPr>
          <w:rFonts w:ascii="Palatino Linotype" w:eastAsia="Palatino Linotype" w:hAnsi="Palatino Linotype" w:cs="Palatino Linotype"/>
        </w:rPr>
      </w:pPr>
    </w:p>
    <w:p w:rsidR="00C6345E" w:rsidRDefault="00C6345E" w:rsidP="004F6279">
      <w:pPr>
        <w:spacing w:line="360" w:lineRule="auto"/>
        <w:ind w:right="49"/>
        <w:jc w:val="center"/>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extent cx="5564534" cy="6981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1" r="170" b="542"/>
                    <a:stretch/>
                  </pic:blipFill>
                  <pic:spPr bwMode="auto">
                    <a:xfrm>
                      <a:off x="0" y="0"/>
                      <a:ext cx="5568795" cy="6987171"/>
                    </a:xfrm>
                    <a:prstGeom prst="rect">
                      <a:avLst/>
                    </a:prstGeom>
                    <a:noFill/>
                    <a:ln>
                      <a:noFill/>
                    </a:ln>
                    <a:extLst>
                      <a:ext uri="{53640926-AAD7-44D8-BBD7-CCE9431645EC}">
                        <a14:shadowObscured xmlns:a14="http://schemas.microsoft.com/office/drawing/2010/main"/>
                      </a:ext>
                    </a:extLst>
                  </pic:spPr>
                </pic:pic>
              </a:graphicData>
            </a:graphic>
          </wp:inline>
        </w:drawing>
      </w:r>
    </w:p>
    <w:p w:rsidR="00913A86" w:rsidRDefault="00913A86">
      <w:pPr>
        <w:spacing w:line="360" w:lineRule="auto"/>
        <w:ind w:left="567" w:right="851"/>
        <w:jc w:val="both"/>
        <w:rPr>
          <w:rFonts w:ascii="Palatino Linotype" w:eastAsia="Palatino Linotype" w:hAnsi="Palatino Linotype" w:cs="Palatino Linotype"/>
          <w:b/>
          <w:i/>
        </w:rPr>
      </w:pPr>
    </w:p>
    <w:p w:rsidR="00913A86" w:rsidRPr="00C6345E" w:rsidRDefault="00C6345E" w:rsidP="00C6345E">
      <w:pPr>
        <w:spacing w:line="360" w:lineRule="auto"/>
        <w:ind w:right="8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81650" cy="71342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7134225"/>
                    </a:xfrm>
                    <a:prstGeom prst="rect">
                      <a:avLst/>
                    </a:prstGeom>
                    <a:noFill/>
                    <a:ln>
                      <a:noFill/>
                    </a:ln>
                  </pic:spPr>
                </pic:pic>
              </a:graphicData>
            </a:graphic>
          </wp:inline>
        </w:drawing>
      </w:r>
    </w:p>
    <w:p w:rsidR="00A57610" w:rsidRDefault="00A57610" w:rsidP="00A57610">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3A35E417" wp14:editId="407C2571">
                <wp:simplePos x="0" y="0"/>
                <wp:positionH relativeFrom="column">
                  <wp:posOffset>967105</wp:posOffset>
                </wp:positionH>
                <wp:positionV relativeFrom="paragraph">
                  <wp:posOffset>1310005</wp:posOffset>
                </wp:positionV>
                <wp:extent cx="428625" cy="762000"/>
                <wp:effectExtent l="57150" t="38100" r="85725" b="95250"/>
                <wp:wrapNone/>
                <wp:docPr id="14" name="Rectángulo 14"/>
                <wp:cNvGraphicFramePr/>
                <a:graphic xmlns:a="http://schemas.openxmlformats.org/drawingml/2006/main">
                  <a:graphicData uri="http://schemas.microsoft.com/office/word/2010/wordprocessingShape">
                    <wps:wsp>
                      <wps:cNvSpPr/>
                      <wps:spPr>
                        <a:xfrm>
                          <a:off x="0" y="0"/>
                          <a:ext cx="428625" cy="762000"/>
                        </a:xfrm>
                        <a:prstGeom prst="rect">
                          <a:avLst/>
                        </a:prstGeom>
                        <a:noFill/>
                        <a:ln w="38100"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DFAC9D" id="Rectángulo 14" o:spid="_x0000_s1026" style="position:absolute;margin-left:76.15pt;margin-top:103.15pt;width:33.75pt;height:6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" filled="f" strokecolor="#002060" strokeweight="3pt">
                <v:shadow on="t" color="black" opacity="22937f" origin=",.5" offset="0,.63889mm"/>
              </v:rect>
            </w:pict>
          </mc:Fallback>
        </mc:AlternateContent>
      </w:r>
      <w:r>
        <w:rPr>
          <w:rFonts w:ascii="Palatino Linotype" w:eastAsia="Palatino Linotype" w:hAnsi="Palatino Linotype" w:cs="Palatino Linotype"/>
          <w:noProof/>
          <w:lang w:val="es-MX"/>
        </w:rPr>
        <w:drawing>
          <wp:anchor distT="0" distB="0" distL="114300" distR="114300" simplePos="0" relativeHeight="251659264" behindDoc="0" locked="0" layoutInCell="1" allowOverlap="1" wp14:anchorId="47748631" wp14:editId="5C4CE2A3">
            <wp:simplePos x="0" y="0"/>
            <wp:positionH relativeFrom="column">
              <wp:posOffset>-499110</wp:posOffset>
            </wp:positionH>
            <wp:positionV relativeFrom="paragraph">
              <wp:posOffset>1300480</wp:posOffset>
            </wp:positionV>
            <wp:extent cx="6465366" cy="144780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5366"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rPr>
        <w:t xml:space="preserve">Ahora bien, no debe perderse de vista que el </w:t>
      </w:r>
      <w:r w:rsidRPr="00B81DF9">
        <w:rPr>
          <w:rFonts w:ascii="Palatino Linotype" w:eastAsia="Palatino Linotype" w:hAnsi="Palatino Linotype" w:cs="Palatino Linotype"/>
          <w:b/>
        </w:rPr>
        <w:t>Sujeto Obligado</w:t>
      </w:r>
      <w:r>
        <w:rPr>
          <w:rFonts w:ascii="Palatino Linotype" w:eastAsia="Palatino Linotype" w:hAnsi="Palatino Linotype" w:cs="Palatino Linotype"/>
        </w:rPr>
        <w:t xml:space="preserve"> turnó la solicitud de información pública a la Servidora Pública Habilitada de la </w:t>
      </w:r>
      <w:r w:rsidRPr="00B81DF9">
        <w:rPr>
          <w:rFonts w:ascii="Palatino Linotype" w:eastAsia="Palatino Linotype" w:hAnsi="Palatino Linotype" w:cs="Palatino Linotype"/>
        </w:rPr>
        <w:t>Dirección General de Programas Sociales Estratégicos</w:t>
      </w:r>
      <w:r>
        <w:rPr>
          <w:rFonts w:ascii="Palatino Linotype" w:eastAsia="Palatino Linotype" w:hAnsi="Palatino Linotype" w:cs="Palatino Linotype"/>
        </w:rPr>
        <w:t xml:space="preserve">, sirven de sustento las siguientes capturas de pantalla: </w:t>
      </w:r>
    </w:p>
    <w:p w:rsidR="00A57610" w:rsidRDefault="00A57610" w:rsidP="00A57610">
      <w:pPr>
        <w:tabs>
          <w:tab w:val="left" w:pos="7513"/>
        </w:tabs>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simplePos x="0" y="0"/>
                <wp:positionH relativeFrom="column">
                  <wp:posOffset>215265</wp:posOffset>
                </wp:positionH>
                <wp:positionV relativeFrom="paragraph">
                  <wp:posOffset>1629410</wp:posOffset>
                </wp:positionV>
                <wp:extent cx="5010150" cy="438150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5010150" cy="438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ED0E9B" id="Conector recto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95pt,128.3pt" to="411.45pt,4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" strokecolor="black [3040]"/>
            </w:pict>
          </mc:Fallback>
        </mc:AlternateContent>
      </w:r>
    </w:p>
    <w:p w:rsidR="00A57610" w:rsidRDefault="00A57610" w:rsidP="00A57610">
      <w:pPr>
        <w:tabs>
          <w:tab w:val="left" w:pos="7513"/>
        </w:tabs>
        <w:spacing w:line="360" w:lineRule="auto"/>
        <w:ind w:right="49"/>
        <w:jc w:val="both"/>
        <w:rPr>
          <w:rFonts w:ascii="Palatino Linotype" w:eastAsia="Palatino Linotype" w:hAnsi="Palatino Linotype" w:cs="Palatino Linotype"/>
        </w:rPr>
      </w:pPr>
    </w:p>
    <w:p w:rsidR="00A57610" w:rsidRDefault="00A57610" w:rsidP="00403562">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2336" behindDoc="0" locked="0" layoutInCell="1" allowOverlap="1" wp14:anchorId="1940F3D7" wp14:editId="6BD72DEF">
                <wp:simplePos x="0" y="0"/>
                <wp:positionH relativeFrom="column">
                  <wp:posOffset>253365</wp:posOffset>
                </wp:positionH>
                <wp:positionV relativeFrom="paragraph">
                  <wp:posOffset>586105</wp:posOffset>
                </wp:positionV>
                <wp:extent cx="4638675" cy="904875"/>
                <wp:effectExtent l="57150" t="38100" r="85725" b="104775"/>
                <wp:wrapNone/>
                <wp:docPr id="15" name="Rectángulo 15"/>
                <wp:cNvGraphicFramePr/>
                <a:graphic xmlns:a="http://schemas.openxmlformats.org/drawingml/2006/main">
                  <a:graphicData uri="http://schemas.microsoft.com/office/word/2010/wordprocessingShape">
                    <wps:wsp>
                      <wps:cNvSpPr/>
                      <wps:spPr>
                        <a:xfrm>
                          <a:off x="0" y="0"/>
                          <a:ext cx="4638675" cy="904875"/>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087561" id="Rectángulo 15" o:spid="_x0000_s1026" style="position:absolute;margin-left:19.95pt;margin-top:46.15pt;width:365.25pt;height:7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w:drawing>
          <wp:anchor distT="0" distB="0" distL="114300" distR="114300" simplePos="0" relativeHeight="251661312" behindDoc="0" locked="0" layoutInCell="1" allowOverlap="1" wp14:anchorId="390A17D2" wp14:editId="53409FA4">
            <wp:simplePos x="0" y="0"/>
            <wp:positionH relativeFrom="margin">
              <wp:align>center</wp:align>
            </wp:positionH>
            <wp:positionV relativeFrom="paragraph">
              <wp:posOffset>0</wp:posOffset>
            </wp:positionV>
            <wp:extent cx="5124450" cy="411480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562" w:rsidRDefault="00403562" w:rsidP="00403562">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términos </w:t>
      </w:r>
      <w:r w:rsidR="00A60BC0">
        <w:rPr>
          <w:rFonts w:ascii="Palatino Linotype" w:eastAsia="Palatino Linotype" w:hAnsi="Palatino Linotype" w:cs="Palatino Linotype"/>
        </w:rPr>
        <w:t xml:space="preserve">del Reglamento Interior de la Secretaría de Desarrollo Social, le corresponde a la Dirección General de Programas Sociales Estratégicos, el desarrollo de las siguientes funciones: </w:t>
      </w:r>
    </w:p>
    <w:p w:rsidR="00A60BC0" w:rsidRDefault="00A60BC0" w:rsidP="00403562">
      <w:pPr>
        <w:tabs>
          <w:tab w:val="left" w:pos="7513"/>
        </w:tabs>
        <w:spacing w:line="360" w:lineRule="auto"/>
        <w:ind w:right="49"/>
        <w:jc w:val="both"/>
        <w:rPr>
          <w:rFonts w:ascii="Palatino Linotype" w:eastAsia="Palatino Linotype" w:hAnsi="Palatino Linotype" w:cs="Palatino Linotype"/>
        </w:rPr>
      </w:pP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bCs/>
          <w:i/>
          <w:sz w:val="22"/>
        </w:rPr>
        <w:t>“</w:t>
      </w:r>
      <w:r w:rsidRPr="00A60BC0">
        <w:rPr>
          <w:rFonts w:ascii="Palatino Linotype" w:eastAsia="Palatino Linotype" w:hAnsi="Palatino Linotype" w:cs="Palatino Linotype"/>
          <w:bCs/>
          <w:i/>
          <w:sz w:val="22"/>
        </w:rPr>
        <w:t>Artículo 15 Bis. –</w:t>
      </w:r>
      <w:r w:rsidRPr="00A60BC0">
        <w:rPr>
          <w:rFonts w:ascii="Palatino Linotype" w:eastAsia="Palatino Linotype" w:hAnsi="Palatino Linotype" w:cs="Palatino Linotype"/>
          <w:i/>
          <w:sz w:val="22"/>
        </w:rPr>
        <w:t xml:space="preserve"> Corresponde a la Dirección General de Programas Sociales Estratégicos: </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141"/>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 xml:space="preserve">Proponer a la persona Titular de la Secretaría, en el ámbito de su competencia, programas y acciones de desarrollo social prioritarias que se consideren estratégicas para combatir la pobreza y exclusión social; </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283"/>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Planear, operar y evaluar las políticas, programas y acciones de desarrollo social prioritarias a su cargo;</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425"/>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Programar la distribución oportuna de apoyos de los programas y acciones de desarrollo social prioritarios que se consideren estratégicos, de conformidad con las reglas de operación y demás normativa aplicable;</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425"/>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Verificar que los apoyos de los programas y acciones de desarrollo social a su cargo cumplan con lo establecido en las reglas de operación y las disposiciones jurídicas aplicables;</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283"/>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 xml:space="preserve">Proponer a la persona Titular de la Secretaría las reglas de operación de los programas sociales a su cargo, así como sus modificaciones, y vigilar su cumplimiento; </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283"/>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 xml:space="preserve">Promover la participación de las personas beneficiarias de los programas y acciones de desarrollo social que se consideren estratégicos, para el desarrollo humano; </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425"/>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 xml:space="preserve">Establecer mecanismos de coordinación con los sectores público, social y privado para la ejecución de programas y acciones de desarrollo social a su cargo, así como para la orientación, vinculación y difusión de los mismos; </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425"/>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Supervisar la correcta operación administrativa, operativa y financiera de los programas de desarrollo social a su cargo;</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425"/>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 xml:space="preserve">Gestionar la obtención de recursos estatales y federales a través de la vinculación con dependencias estatales y federales; </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283"/>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Integrar la información de las evaluaciones a los programas a su cargo y presentarla a la persona Titular de la Secretaría;</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425"/>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 xml:space="preserve">Realizar los informes, opiniones, estudios, dictámenes y demás documentación que le sea requerida por la persona Titular de la Secretaría; </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425"/>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Proponer políticas y procedimientos que contribuyan al cumplimiento de los programas y acciones a su cargo;</w:t>
      </w:r>
    </w:p>
    <w:p w:rsidR="00A60BC0" w:rsidRPr="00A60BC0" w:rsidRDefault="00A60BC0" w:rsidP="00A60BC0">
      <w:pPr>
        <w:tabs>
          <w:tab w:val="left" w:pos="7513"/>
        </w:tabs>
        <w:ind w:left="567"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567"/>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Proponer y realizar estudios tendientes a elevar la eficiencia, eficacia y coherencia de los programas y acciones de desarrollo social a su cargo;</w:t>
      </w:r>
    </w:p>
    <w:p w:rsidR="00A60BC0" w:rsidRPr="00A60BC0" w:rsidRDefault="00A60BC0" w:rsidP="00A60BC0">
      <w:pPr>
        <w:tabs>
          <w:tab w:val="left" w:pos="7513"/>
        </w:tabs>
        <w:ind w:right="851"/>
        <w:jc w:val="both"/>
        <w:rPr>
          <w:rFonts w:ascii="Palatino Linotype" w:eastAsia="Palatino Linotype" w:hAnsi="Palatino Linotype" w:cs="Palatino Linotype"/>
          <w:i/>
          <w:sz w:val="22"/>
        </w:rPr>
      </w:pPr>
    </w:p>
    <w:p w:rsidR="00A60BC0" w:rsidRPr="00A60BC0" w:rsidRDefault="00A60BC0" w:rsidP="00A60BC0">
      <w:pPr>
        <w:numPr>
          <w:ilvl w:val="0"/>
          <w:numId w:val="11"/>
        </w:numPr>
        <w:tabs>
          <w:tab w:val="left" w:pos="7513"/>
        </w:tabs>
        <w:ind w:left="567" w:right="851" w:hanging="567"/>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Integrar y remitir a la unidad administrativa correspondiente, la información para mantener actualizado el Padrón Único de Beneficiarios de los programas de desarrollo social a su cargo, y</w:t>
      </w:r>
    </w:p>
    <w:p w:rsidR="00A60BC0" w:rsidRPr="00A60BC0" w:rsidRDefault="00A60BC0" w:rsidP="00A60BC0">
      <w:pPr>
        <w:tabs>
          <w:tab w:val="left" w:pos="7513"/>
        </w:tabs>
        <w:ind w:right="851"/>
        <w:jc w:val="both"/>
        <w:rPr>
          <w:rFonts w:ascii="Palatino Linotype" w:eastAsia="Palatino Linotype" w:hAnsi="Palatino Linotype" w:cs="Palatino Linotype"/>
          <w:i/>
          <w:sz w:val="22"/>
        </w:rPr>
      </w:pPr>
    </w:p>
    <w:p w:rsidR="00A60BC0" w:rsidRDefault="00A60BC0" w:rsidP="00A60BC0">
      <w:pPr>
        <w:pStyle w:val="Prrafodelista"/>
        <w:numPr>
          <w:ilvl w:val="0"/>
          <w:numId w:val="11"/>
        </w:numPr>
        <w:tabs>
          <w:tab w:val="left" w:pos="7513"/>
        </w:tabs>
        <w:ind w:left="567" w:right="851" w:hanging="425"/>
        <w:jc w:val="both"/>
        <w:rPr>
          <w:rFonts w:ascii="Palatino Linotype" w:eastAsia="Palatino Linotype" w:hAnsi="Palatino Linotype" w:cs="Palatino Linotype"/>
          <w:i/>
          <w:sz w:val="22"/>
        </w:rPr>
      </w:pPr>
      <w:r w:rsidRPr="00A60BC0">
        <w:rPr>
          <w:rFonts w:ascii="Palatino Linotype" w:eastAsia="Palatino Linotype" w:hAnsi="Palatino Linotype" w:cs="Palatino Linotype"/>
          <w:i/>
          <w:sz w:val="22"/>
        </w:rPr>
        <w:t>Las demás que le confieren otras disposiciones jurídicas aplicables y aquellas que le encomiende la persona Titular de la Secretaría.</w:t>
      </w:r>
      <w:r>
        <w:rPr>
          <w:rFonts w:ascii="Palatino Linotype" w:eastAsia="Palatino Linotype" w:hAnsi="Palatino Linotype" w:cs="Palatino Linotype"/>
          <w:i/>
          <w:sz w:val="22"/>
        </w:rPr>
        <w:t>”</w:t>
      </w:r>
    </w:p>
    <w:p w:rsidR="00A60BC0" w:rsidRPr="00A60BC0" w:rsidRDefault="00A60BC0" w:rsidP="00A60BC0">
      <w:pPr>
        <w:pStyle w:val="Prrafodelista"/>
        <w:rPr>
          <w:rFonts w:ascii="Palatino Linotype" w:eastAsia="Palatino Linotype" w:hAnsi="Palatino Linotype" w:cs="Palatino Linotype"/>
          <w:i/>
          <w:sz w:val="22"/>
        </w:rPr>
      </w:pPr>
    </w:p>
    <w:p w:rsidR="006F3461" w:rsidRDefault="00FA57E7" w:rsidP="006F3461">
      <w:pPr>
        <w:tabs>
          <w:tab w:val="left" w:pos="751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lo citado con antelación que se advierte que la solicitud de información fue turnada </w:t>
      </w:r>
      <w:r w:rsidR="006F3461">
        <w:rPr>
          <w:rFonts w:ascii="Palatino Linotype" w:eastAsia="Palatino Linotype" w:hAnsi="Palatino Linotype" w:cs="Palatino Linotype"/>
        </w:rPr>
        <w:t>a la unidad competente, ello en razón de que es la encargada se proponer al Titular de la Secretaría, las reglas de operación de los programas a su cargo, así como de gestionar los recursos para los programas sociales, por lo que al haber existido un pronunciamiento por parte</w:t>
      </w:r>
      <w:r w:rsidR="006A01C2">
        <w:rPr>
          <w:rFonts w:ascii="Palatino Linotype" w:eastAsia="Palatino Linotype" w:hAnsi="Palatino Linotype" w:cs="Palatino Linotype"/>
        </w:rPr>
        <w:t xml:space="preserve"> del servidor público habilitado competente</w:t>
      </w:r>
      <w:r w:rsidR="006F3461">
        <w:rPr>
          <w:rFonts w:ascii="Palatino Linotype" w:eastAsia="Palatino Linotype" w:hAnsi="Palatino Linotype" w:cs="Palatino Linotype"/>
        </w:rPr>
        <w:t>,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6F3461" w:rsidRDefault="006F3461" w:rsidP="006F3461">
      <w:pPr>
        <w:tabs>
          <w:tab w:val="left" w:pos="709"/>
        </w:tabs>
        <w:ind w:left="567" w:right="1324"/>
        <w:jc w:val="both"/>
        <w:rPr>
          <w:rFonts w:ascii="Palatino Linotype" w:eastAsia="Palatino Linotype" w:hAnsi="Palatino Linotype" w:cs="Palatino Linotype"/>
          <w:b/>
          <w:i/>
          <w:sz w:val="22"/>
          <w:szCs w:val="22"/>
        </w:rPr>
      </w:pPr>
    </w:p>
    <w:p w:rsidR="006F3461" w:rsidRDefault="006F3461" w:rsidP="006F3461">
      <w:pPr>
        <w:tabs>
          <w:tab w:val="left" w:pos="709"/>
        </w:tabs>
        <w:ind w:left="567" w:right="132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rsidR="006F3461" w:rsidRDefault="006F3461" w:rsidP="006F3461">
      <w:pPr>
        <w:tabs>
          <w:tab w:val="left" w:pos="709"/>
        </w:tabs>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recurso revisión, al respecto.</w:t>
      </w:r>
      <w:r>
        <w:rPr>
          <w:rFonts w:ascii="Palatino Linotype" w:eastAsia="Palatino Linotype" w:hAnsi="Palatino Linotype" w:cs="Palatino Linotype"/>
          <w:b/>
          <w:i/>
          <w:sz w:val="22"/>
          <w:szCs w:val="22"/>
        </w:rPr>
        <w:t>”</w:t>
      </w:r>
    </w:p>
    <w:p w:rsidR="006F3461" w:rsidRDefault="006F3461" w:rsidP="006F3461">
      <w:pPr>
        <w:spacing w:line="360" w:lineRule="auto"/>
        <w:jc w:val="both"/>
        <w:rPr>
          <w:rFonts w:ascii="Palatino Linotype" w:eastAsia="Palatino Linotype" w:hAnsi="Palatino Linotype" w:cs="Palatino Linotype"/>
        </w:rPr>
      </w:pPr>
    </w:p>
    <w:p w:rsidR="006F3461" w:rsidRDefault="007B1D14" w:rsidP="006F3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w:t>
      </w:r>
      <w:r w:rsidR="006F3461">
        <w:rPr>
          <w:rFonts w:ascii="Palatino Linotype" w:eastAsia="Palatino Linotype" w:hAnsi="Palatino Linotype" w:cs="Palatino Linotype"/>
        </w:rPr>
        <w:t xml:space="preserve">mismo el artículo 4 de la </w:t>
      </w:r>
      <w:r w:rsidR="006F3461">
        <w:rPr>
          <w:rFonts w:ascii="Palatino Linotype" w:eastAsia="Palatino Linotype" w:hAnsi="Palatino Linotype" w:cs="Palatino Linotype"/>
          <w:b/>
        </w:rPr>
        <w:t>Ley de Transparencia y Acceso a la Información Pública del Estado de México y Municipios</w:t>
      </w:r>
      <w:r w:rsidR="006F3461">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rsidR="006F3461" w:rsidRDefault="006F3461" w:rsidP="006F3461">
      <w:pPr>
        <w:spacing w:line="360" w:lineRule="auto"/>
        <w:ind w:left="426"/>
        <w:jc w:val="both"/>
        <w:rPr>
          <w:rFonts w:ascii="Palatino Linotype" w:eastAsia="Palatino Linotype" w:hAnsi="Palatino Linotype" w:cs="Palatino Linotype"/>
        </w:rPr>
      </w:pPr>
    </w:p>
    <w:p w:rsidR="006F3461" w:rsidRDefault="004F6279" w:rsidP="006F3461">
      <w:pPr>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006F3461">
        <w:rPr>
          <w:rFonts w:ascii="Palatino Linotype" w:eastAsia="Palatino Linotype" w:hAnsi="Palatino Linotype" w:cs="Palatino Linotype"/>
          <w:b/>
          <w:i/>
          <w:sz w:val="22"/>
          <w:szCs w:val="22"/>
        </w:rPr>
        <w:t>Artículo 4.</w:t>
      </w:r>
      <w:r w:rsidR="006F346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p>
    <w:p w:rsidR="006F3461" w:rsidRDefault="006F3461" w:rsidP="006F3461">
      <w:pPr>
        <w:spacing w:line="360" w:lineRule="auto"/>
        <w:ind w:left="426"/>
        <w:jc w:val="both"/>
        <w:rPr>
          <w:rFonts w:ascii="Palatino Linotype" w:eastAsia="Palatino Linotype" w:hAnsi="Palatino Linotype" w:cs="Palatino Linotype"/>
        </w:rPr>
      </w:pPr>
    </w:p>
    <w:p w:rsidR="006F3461" w:rsidRDefault="006F3461" w:rsidP="006F3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Numerales que compelen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apegarse en todo momento a los criterios ya expuestos, impidiendo a este Órgano Colegiado cuestionar la veracidad de la información.</w:t>
      </w:r>
    </w:p>
    <w:p w:rsidR="00A60BC0" w:rsidRDefault="00A60BC0" w:rsidP="00C6345E">
      <w:pPr>
        <w:spacing w:line="360" w:lineRule="auto"/>
        <w:jc w:val="both"/>
        <w:rPr>
          <w:rFonts w:ascii="Palatino Linotype" w:eastAsia="Calibri" w:hAnsi="Palatino Linotype" w:cs="Tahoma"/>
          <w:bCs/>
          <w:iCs/>
          <w:lang w:eastAsia="es-ES_tradnl"/>
        </w:rPr>
      </w:pPr>
    </w:p>
    <w:p w:rsidR="00C6345E" w:rsidRPr="00C6345E" w:rsidRDefault="000A5DBF" w:rsidP="00C6345E">
      <w:pPr>
        <w:spacing w:line="360" w:lineRule="auto"/>
        <w:jc w:val="both"/>
        <w:rPr>
          <w:rFonts w:ascii="Palatino Linotype" w:eastAsia="Palatino Linotype" w:hAnsi="Palatino Linotype" w:cs="Palatino Linotype"/>
          <w:b/>
          <w:color w:val="000000"/>
        </w:rPr>
      </w:pPr>
      <w:r>
        <w:rPr>
          <w:rFonts w:ascii="Palatino Linotype" w:eastAsia="Calibri" w:hAnsi="Palatino Linotype" w:cs="Tahoma"/>
          <w:bCs/>
          <w:iCs/>
          <w:lang w:eastAsia="es-ES_tradnl"/>
        </w:rPr>
        <w:t>Expuesto lo anterior, r</w:t>
      </w:r>
      <w:r w:rsidR="00C6345E" w:rsidRPr="00C6345E">
        <w:rPr>
          <w:rFonts w:ascii="Palatino Linotype" w:eastAsia="Calibri" w:hAnsi="Palatino Linotype" w:cs="Tahoma"/>
          <w:bCs/>
          <w:iCs/>
          <w:lang w:eastAsia="es-ES_tradnl"/>
        </w:rPr>
        <w:t>esulta necesario puntualizar lo siguiente:</w:t>
      </w:r>
    </w:p>
    <w:p w:rsidR="00C6345E" w:rsidRPr="00C6345E" w:rsidRDefault="00C6345E" w:rsidP="00C6345E">
      <w:pPr>
        <w:spacing w:line="360" w:lineRule="auto"/>
        <w:jc w:val="both"/>
        <w:rPr>
          <w:rFonts w:ascii="Palatino Linotype" w:eastAsia="Calibri" w:hAnsi="Palatino Linotype" w:cs="Tahoma"/>
          <w:bCs/>
          <w:iCs/>
          <w:sz w:val="22"/>
          <w:szCs w:val="22"/>
          <w:lang w:eastAsia="es-ES_tradnl"/>
        </w:rPr>
      </w:pPr>
    </w:p>
    <w:p w:rsidR="00C6345E" w:rsidRPr="00C6345E" w:rsidRDefault="00C6345E" w:rsidP="00C6345E">
      <w:pPr>
        <w:spacing w:line="360" w:lineRule="auto"/>
        <w:ind w:left="567" w:right="567"/>
        <w:jc w:val="both"/>
        <w:rPr>
          <w:rFonts w:ascii="Palatino Linotype" w:eastAsia="Calibri" w:hAnsi="Palatino Linotype" w:cs="Tahoma"/>
          <w:bCs/>
          <w:iCs/>
          <w:lang w:eastAsia="es-ES_tradnl"/>
        </w:rPr>
      </w:pPr>
      <w:r w:rsidRPr="00C6345E">
        <w:rPr>
          <w:rFonts w:ascii="Palatino Linotype" w:eastAsia="Calibri" w:hAnsi="Palatino Linotype" w:cs="Tahoma"/>
          <w:b/>
          <w:bCs/>
          <w:iCs/>
          <w:lang w:eastAsia="es-ES_tradnl"/>
        </w:rPr>
        <w:t>Salario Rosa</w:t>
      </w:r>
      <w:r w:rsidRPr="00C6345E">
        <w:rPr>
          <w:rFonts w:ascii="Palatino Linotype" w:eastAsia="Calibri" w:hAnsi="Palatino Linotype" w:cs="Tahoma"/>
          <w:bCs/>
          <w:iCs/>
          <w:lang w:eastAsia="es-ES_tradnl"/>
        </w:rPr>
        <w:t xml:space="preserve">.- Es uno de los programas sociales impulsados por el Gobierno estatal como parte del proyecto para erradicar la pobreza extrema en la entidad. Dicho programa inició oficialmente el día 15 de febrero de 2018 con un banderazo de 3,000 tarjetas entregadas, es parte del Programa de Desarrollo Social Familias Fuertes, Salario Rosa y atiende, de acuerdo a la Gaceta del </w:t>
      </w:r>
      <w:r w:rsidRPr="006A01C2">
        <w:rPr>
          <w:rFonts w:ascii="Palatino Linotype" w:eastAsia="Calibri" w:hAnsi="Palatino Linotype" w:cs="Tahoma"/>
          <w:b/>
          <w:bCs/>
          <w:iCs/>
          <w:u w:val="single"/>
          <w:lang w:eastAsia="es-ES_tradnl"/>
        </w:rPr>
        <w:t>Consejo Estatal de la Mujer y Bienestar Social,</w:t>
      </w:r>
      <w:r w:rsidRPr="00C6345E">
        <w:rPr>
          <w:rFonts w:ascii="Palatino Linotype" w:eastAsia="Calibri" w:hAnsi="Palatino Linotype" w:cs="Tahoma"/>
          <w:bCs/>
          <w:iCs/>
          <w:lang w:eastAsia="es-ES_tradnl"/>
        </w:rPr>
        <w:t xml:space="preserve"> los derechos sociales de alimentación, educación, salud, trabajo y a la no discriminación.</w:t>
      </w:r>
    </w:p>
    <w:p w:rsidR="00C6345E" w:rsidRPr="00C6345E" w:rsidRDefault="00C6345E" w:rsidP="00C6345E">
      <w:pPr>
        <w:autoSpaceDE w:val="0"/>
        <w:autoSpaceDN w:val="0"/>
        <w:adjustRightInd w:val="0"/>
        <w:spacing w:before="240" w:after="240" w:line="360" w:lineRule="auto"/>
        <w:ind w:right="51"/>
        <w:jc w:val="both"/>
        <w:rPr>
          <w:rFonts w:ascii="Palatino Linotype" w:hAnsi="Palatino Linotype"/>
          <w:lang w:eastAsia="es-ES"/>
        </w:rPr>
      </w:pPr>
      <w:r w:rsidRPr="00C6345E">
        <w:rPr>
          <w:rFonts w:ascii="Palatino Linotype" w:hAnsi="Palatino Linotype"/>
          <w:lang w:eastAsia="es-ES"/>
        </w:rPr>
        <w:t xml:space="preserve">Ahora bien, en fecha 24 de enero de 2006 fue publicado el decreto del ejecutivo del estado por el que se crea el organismo público descentralizado de carácter estatal denominado </w:t>
      </w:r>
      <w:r w:rsidRPr="006A01C2">
        <w:rPr>
          <w:rFonts w:ascii="Palatino Linotype" w:hAnsi="Palatino Linotype"/>
          <w:b/>
          <w:lang w:eastAsia="es-ES"/>
        </w:rPr>
        <w:t>Consejo Estatal de la Mujer y Bienestar Social</w:t>
      </w:r>
      <w:r w:rsidRPr="00C6345E">
        <w:rPr>
          <w:rFonts w:ascii="Palatino Linotype" w:hAnsi="Palatino Linotype"/>
          <w:lang w:eastAsia="es-ES"/>
        </w:rPr>
        <w:t xml:space="preserve"> </w:t>
      </w:r>
      <w:r w:rsidRPr="00C6345E">
        <w:rPr>
          <w:rFonts w:ascii="Palatino Linotype" w:hAnsi="Palatino Linotype"/>
          <w:w w:val="105"/>
          <w:lang w:eastAsia="es-ES"/>
        </w:rPr>
        <w:t>como un</w:t>
      </w:r>
      <w:r w:rsidRPr="00C6345E">
        <w:rPr>
          <w:rFonts w:ascii="Palatino Linotype" w:hAnsi="Palatino Linotype"/>
          <w:spacing w:val="42"/>
          <w:w w:val="105"/>
          <w:lang w:eastAsia="es-ES"/>
        </w:rPr>
        <w:t xml:space="preserve"> </w:t>
      </w:r>
      <w:r w:rsidRPr="00C6345E">
        <w:rPr>
          <w:rFonts w:ascii="Palatino Linotype" w:hAnsi="Palatino Linotype"/>
          <w:w w:val="105"/>
          <w:lang w:eastAsia="es-ES"/>
        </w:rPr>
        <w:t>organismo</w:t>
      </w:r>
      <w:r w:rsidRPr="00C6345E">
        <w:rPr>
          <w:rFonts w:ascii="Palatino Linotype" w:hAnsi="Palatino Linotype"/>
          <w:w w:val="102"/>
          <w:lang w:eastAsia="es-ES"/>
        </w:rPr>
        <w:t xml:space="preserve"> </w:t>
      </w:r>
      <w:r w:rsidRPr="00C6345E">
        <w:rPr>
          <w:rFonts w:ascii="Palatino Linotype" w:hAnsi="Palatino Linotype"/>
          <w:w w:val="105"/>
          <w:lang w:eastAsia="es-ES"/>
        </w:rPr>
        <w:t>público descentralizado de carácter estatal, con personalidad jurídica y patrimonio</w:t>
      </w:r>
      <w:r w:rsidRPr="00C6345E">
        <w:rPr>
          <w:rFonts w:ascii="Palatino Linotype" w:hAnsi="Palatino Linotype"/>
          <w:spacing w:val="-28"/>
          <w:w w:val="105"/>
          <w:lang w:eastAsia="es-ES"/>
        </w:rPr>
        <w:t xml:space="preserve"> </w:t>
      </w:r>
      <w:r w:rsidRPr="00C6345E">
        <w:rPr>
          <w:rFonts w:ascii="Palatino Linotype" w:hAnsi="Palatino Linotype"/>
          <w:w w:val="105"/>
          <w:lang w:eastAsia="es-ES"/>
        </w:rPr>
        <w:t xml:space="preserve">propio, y </w:t>
      </w:r>
      <w:r w:rsidRPr="00C6345E">
        <w:rPr>
          <w:rFonts w:ascii="Palatino Linotype" w:hAnsi="Palatino Linotype"/>
          <w:w w:val="105"/>
          <w:lang w:val="es-MX" w:eastAsia="es-ES"/>
        </w:rPr>
        <w:t>sectorizado a la</w:t>
      </w:r>
      <w:r w:rsidRPr="00C6345E">
        <w:rPr>
          <w:rFonts w:ascii="Palatino Linotype" w:hAnsi="Palatino Linotype"/>
          <w:spacing w:val="31"/>
          <w:w w:val="105"/>
          <w:lang w:val="es-MX" w:eastAsia="es-ES"/>
        </w:rPr>
        <w:t xml:space="preserve"> </w:t>
      </w:r>
      <w:r w:rsidRPr="00C6345E">
        <w:rPr>
          <w:rFonts w:ascii="Palatino Linotype" w:hAnsi="Palatino Linotype"/>
          <w:w w:val="105"/>
          <w:lang w:val="es-MX" w:eastAsia="es-ES"/>
        </w:rPr>
        <w:t>Secretaría</w:t>
      </w:r>
      <w:r w:rsidRPr="00C6345E">
        <w:rPr>
          <w:rFonts w:ascii="Palatino Linotype" w:hAnsi="Palatino Linotype"/>
          <w:lang w:val="es-MX" w:eastAsia="es-ES"/>
        </w:rPr>
        <w:t xml:space="preserve"> </w:t>
      </w:r>
      <w:r w:rsidRPr="00C6345E">
        <w:rPr>
          <w:rFonts w:ascii="Palatino Linotype" w:hAnsi="Palatino Linotype"/>
          <w:w w:val="105"/>
          <w:lang w:val="es-MX" w:eastAsia="es-ES"/>
        </w:rPr>
        <w:t>de Desarrollo</w:t>
      </w:r>
      <w:r w:rsidRPr="00C6345E">
        <w:rPr>
          <w:rFonts w:ascii="Palatino Linotype" w:hAnsi="Palatino Linotype"/>
          <w:spacing w:val="2"/>
          <w:w w:val="105"/>
          <w:lang w:val="es-MX" w:eastAsia="es-ES"/>
        </w:rPr>
        <w:t xml:space="preserve"> </w:t>
      </w:r>
      <w:r w:rsidRPr="00C6345E">
        <w:rPr>
          <w:rFonts w:ascii="Palatino Linotype" w:hAnsi="Palatino Linotype"/>
          <w:w w:val="105"/>
          <w:lang w:val="es-MX" w:eastAsia="es-ES"/>
        </w:rPr>
        <w:t>Social</w:t>
      </w:r>
    </w:p>
    <w:p w:rsidR="00C6345E" w:rsidRPr="00C6345E" w:rsidRDefault="00C6345E" w:rsidP="000A5DBF">
      <w:pPr>
        <w:autoSpaceDE w:val="0"/>
        <w:autoSpaceDN w:val="0"/>
        <w:adjustRightInd w:val="0"/>
        <w:spacing w:before="240" w:after="240" w:line="360" w:lineRule="auto"/>
        <w:ind w:right="51"/>
        <w:jc w:val="both"/>
        <w:rPr>
          <w:rFonts w:ascii="Palatino Linotype" w:hAnsi="Palatino Linotype"/>
          <w:w w:val="105"/>
          <w:lang w:eastAsia="es-ES"/>
        </w:rPr>
      </w:pPr>
      <w:r w:rsidRPr="00C6345E">
        <w:rPr>
          <w:rFonts w:ascii="Palatino Linotype" w:hAnsi="Palatino Linotype"/>
          <w:w w:val="105"/>
          <w:lang w:eastAsia="es-ES"/>
        </w:rPr>
        <w:t xml:space="preserve">De cuyas </w:t>
      </w:r>
      <w:r w:rsidR="000A5DBF">
        <w:rPr>
          <w:rFonts w:ascii="Palatino Linotype" w:hAnsi="Palatino Linotype"/>
          <w:w w:val="105"/>
          <w:lang w:eastAsia="es-ES"/>
        </w:rPr>
        <w:t>atribuciones, en términos de lo</w:t>
      </w:r>
      <w:r w:rsidRPr="00C6345E">
        <w:rPr>
          <w:rFonts w:ascii="Palatino Linotype" w:hAnsi="Palatino Linotype"/>
          <w:w w:val="105"/>
          <w:lang w:eastAsia="es-ES"/>
        </w:rPr>
        <w:t xml:space="preserve"> plasmado en el diverso 5 del citado decreto, refiere que para el cumplimiento de su objeto el CEMYBS tendrá, entre otras a las siguientes: </w:t>
      </w:r>
    </w:p>
    <w:p w:rsidR="00C6345E" w:rsidRPr="00C6345E" w:rsidRDefault="00C6345E" w:rsidP="000A5DBF">
      <w:pPr>
        <w:widowControl w:val="0"/>
        <w:numPr>
          <w:ilvl w:val="1"/>
          <w:numId w:val="9"/>
        </w:numPr>
        <w:autoSpaceDE w:val="0"/>
        <w:autoSpaceDN w:val="0"/>
        <w:adjustRightInd w:val="0"/>
        <w:spacing w:before="161" w:line="360" w:lineRule="auto"/>
        <w:ind w:left="567" w:right="992" w:hanging="141"/>
        <w:jc w:val="both"/>
        <w:rPr>
          <w:rFonts w:ascii="Palatino Linotype" w:eastAsiaTheme="minorEastAsia" w:hAnsi="Palatino Linotype"/>
          <w:lang w:val="es-MX"/>
        </w:rPr>
      </w:pPr>
      <w:r w:rsidRPr="00C6345E">
        <w:rPr>
          <w:rFonts w:ascii="Palatino Linotype" w:eastAsiaTheme="minorEastAsia" w:hAnsi="Palatino Linotype"/>
          <w:w w:val="105"/>
          <w:lang w:val="es-MX"/>
        </w:rPr>
        <w:t>Promover,</w:t>
      </w:r>
      <w:r w:rsidRPr="00C6345E">
        <w:rPr>
          <w:rFonts w:ascii="Palatino Linotype" w:eastAsiaTheme="minorEastAsia" w:hAnsi="Palatino Linotype"/>
          <w:spacing w:val="21"/>
          <w:w w:val="105"/>
          <w:lang w:val="es-MX"/>
        </w:rPr>
        <w:t xml:space="preserve"> </w:t>
      </w:r>
      <w:r w:rsidRPr="00C6345E">
        <w:rPr>
          <w:rFonts w:ascii="Palatino Linotype" w:eastAsiaTheme="minorEastAsia" w:hAnsi="Palatino Linotype"/>
          <w:w w:val="105"/>
          <w:lang w:val="es-MX"/>
        </w:rPr>
        <w:t>coordinar,</w:t>
      </w:r>
      <w:r w:rsidRPr="00C6345E">
        <w:rPr>
          <w:rFonts w:ascii="Palatino Linotype" w:eastAsiaTheme="minorEastAsia" w:hAnsi="Palatino Linotype"/>
          <w:spacing w:val="23"/>
          <w:w w:val="105"/>
          <w:lang w:val="es-MX"/>
        </w:rPr>
        <w:t xml:space="preserve"> </w:t>
      </w:r>
      <w:r w:rsidRPr="00C6345E">
        <w:rPr>
          <w:rFonts w:ascii="Palatino Linotype" w:eastAsiaTheme="minorEastAsia" w:hAnsi="Palatino Linotype"/>
          <w:w w:val="105"/>
          <w:lang w:val="es-MX"/>
        </w:rPr>
        <w:t>operar</w:t>
      </w:r>
      <w:r w:rsidRPr="00C6345E">
        <w:rPr>
          <w:rFonts w:ascii="Palatino Linotype" w:eastAsiaTheme="minorEastAsia" w:hAnsi="Palatino Linotype"/>
          <w:spacing w:val="14"/>
          <w:w w:val="105"/>
          <w:lang w:val="es-MX"/>
        </w:rPr>
        <w:t xml:space="preserve"> </w:t>
      </w:r>
      <w:r w:rsidRPr="00C6345E">
        <w:rPr>
          <w:rFonts w:ascii="Palatino Linotype" w:eastAsiaTheme="minorEastAsia" w:hAnsi="Palatino Linotype"/>
          <w:w w:val="105"/>
          <w:lang w:val="es-MX"/>
        </w:rPr>
        <w:t>y</w:t>
      </w:r>
      <w:r w:rsidRPr="00C6345E">
        <w:rPr>
          <w:rFonts w:ascii="Palatino Linotype" w:eastAsiaTheme="minorEastAsia" w:hAnsi="Palatino Linotype"/>
          <w:spacing w:val="13"/>
          <w:w w:val="105"/>
          <w:lang w:val="es-MX"/>
        </w:rPr>
        <w:t xml:space="preserve"> </w:t>
      </w:r>
      <w:r w:rsidRPr="00C6345E">
        <w:rPr>
          <w:rFonts w:ascii="Palatino Linotype" w:eastAsiaTheme="minorEastAsia" w:hAnsi="Palatino Linotype"/>
          <w:w w:val="105"/>
          <w:lang w:val="es-MX"/>
        </w:rPr>
        <w:t>evaluar</w:t>
      </w:r>
      <w:r w:rsidRPr="00C6345E">
        <w:rPr>
          <w:rFonts w:ascii="Palatino Linotype" w:eastAsiaTheme="minorEastAsia" w:hAnsi="Palatino Linotype"/>
          <w:spacing w:val="22"/>
          <w:w w:val="105"/>
          <w:lang w:val="es-MX"/>
        </w:rPr>
        <w:t xml:space="preserve"> </w:t>
      </w:r>
      <w:r w:rsidRPr="00C6345E">
        <w:rPr>
          <w:rFonts w:ascii="Palatino Linotype" w:eastAsiaTheme="minorEastAsia" w:hAnsi="Palatino Linotype"/>
          <w:w w:val="105"/>
          <w:lang w:val="es-MX"/>
        </w:rPr>
        <w:t>políticas</w:t>
      </w:r>
      <w:r w:rsidRPr="00C6345E">
        <w:rPr>
          <w:rFonts w:ascii="Palatino Linotype" w:eastAsiaTheme="minorEastAsia" w:hAnsi="Palatino Linotype"/>
          <w:spacing w:val="15"/>
          <w:w w:val="105"/>
          <w:lang w:val="es-MX"/>
        </w:rPr>
        <w:t xml:space="preserve"> </w:t>
      </w:r>
      <w:r w:rsidRPr="00C6345E">
        <w:rPr>
          <w:rFonts w:ascii="Palatino Linotype" w:eastAsiaTheme="minorEastAsia" w:hAnsi="Palatino Linotype"/>
          <w:w w:val="105"/>
          <w:lang w:val="es-MX"/>
        </w:rPr>
        <w:t>y</w:t>
      </w:r>
      <w:r w:rsidRPr="00C6345E">
        <w:rPr>
          <w:rFonts w:ascii="Palatino Linotype" w:eastAsiaTheme="minorEastAsia" w:hAnsi="Palatino Linotype"/>
          <w:spacing w:val="27"/>
          <w:w w:val="105"/>
          <w:lang w:val="es-MX"/>
        </w:rPr>
        <w:t xml:space="preserve"> </w:t>
      </w:r>
      <w:r w:rsidRPr="00C6345E">
        <w:rPr>
          <w:rFonts w:ascii="Palatino Linotype" w:eastAsiaTheme="minorEastAsia" w:hAnsi="Palatino Linotype"/>
          <w:w w:val="105"/>
          <w:lang w:val="es-MX"/>
        </w:rPr>
        <w:t>programas</w:t>
      </w:r>
      <w:r w:rsidRPr="00C6345E">
        <w:rPr>
          <w:rFonts w:ascii="Palatino Linotype" w:eastAsiaTheme="minorEastAsia" w:hAnsi="Palatino Linotype"/>
          <w:spacing w:val="22"/>
          <w:w w:val="105"/>
          <w:lang w:val="es-MX"/>
        </w:rPr>
        <w:t xml:space="preserve"> </w:t>
      </w:r>
      <w:r w:rsidRPr="00C6345E">
        <w:rPr>
          <w:rFonts w:ascii="Palatino Linotype" w:eastAsiaTheme="minorEastAsia" w:hAnsi="Palatino Linotype"/>
          <w:w w:val="105"/>
          <w:lang w:val="es-MX"/>
        </w:rPr>
        <w:t>de</w:t>
      </w:r>
      <w:r w:rsidRPr="00C6345E">
        <w:rPr>
          <w:rFonts w:ascii="Palatino Linotype" w:eastAsiaTheme="minorEastAsia" w:hAnsi="Palatino Linotype"/>
          <w:spacing w:val="13"/>
          <w:w w:val="105"/>
          <w:lang w:val="es-MX"/>
        </w:rPr>
        <w:t xml:space="preserve"> </w:t>
      </w:r>
      <w:r w:rsidRPr="00C6345E">
        <w:rPr>
          <w:rFonts w:ascii="Palatino Linotype" w:eastAsiaTheme="minorEastAsia" w:hAnsi="Palatino Linotype"/>
          <w:w w:val="105"/>
          <w:lang w:val="es-MX"/>
        </w:rPr>
        <w:t>apoyo</w:t>
      </w:r>
      <w:r w:rsidRPr="00C6345E">
        <w:rPr>
          <w:rFonts w:ascii="Palatino Linotype" w:eastAsiaTheme="minorEastAsia" w:hAnsi="Palatino Linotype"/>
          <w:spacing w:val="24"/>
          <w:w w:val="105"/>
          <w:lang w:val="es-MX"/>
        </w:rPr>
        <w:t xml:space="preserve"> </w:t>
      </w:r>
      <w:r w:rsidRPr="00C6345E">
        <w:rPr>
          <w:rFonts w:ascii="Palatino Linotype" w:eastAsiaTheme="minorEastAsia" w:hAnsi="Palatino Linotype"/>
          <w:w w:val="105"/>
          <w:lang w:val="es-MX"/>
        </w:rPr>
        <w:t>para</w:t>
      </w:r>
      <w:r w:rsidRPr="00C6345E">
        <w:rPr>
          <w:rFonts w:ascii="Palatino Linotype" w:eastAsiaTheme="minorEastAsia" w:hAnsi="Palatino Linotype"/>
          <w:spacing w:val="16"/>
          <w:w w:val="105"/>
          <w:lang w:val="es-MX"/>
        </w:rPr>
        <w:t xml:space="preserve"> </w:t>
      </w:r>
      <w:r w:rsidRPr="00C6345E">
        <w:rPr>
          <w:rFonts w:ascii="Palatino Linotype" w:eastAsiaTheme="minorEastAsia" w:hAnsi="Palatino Linotype"/>
          <w:w w:val="105"/>
          <w:lang w:val="es-MX"/>
        </w:rPr>
        <w:t>la</w:t>
      </w:r>
      <w:r w:rsidRPr="00C6345E">
        <w:rPr>
          <w:rFonts w:ascii="Palatino Linotype" w:eastAsiaTheme="minorEastAsia" w:hAnsi="Palatino Linotype"/>
          <w:spacing w:val="7"/>
          <w:w w:val="105"/>
          <w:lang w:val="es-MX"/>
        </w:rPr>
        <w:t xml:space="preserve"> </w:t>
      </w:r>
      <w:r w:rsidRPr="00C6345E">
        <w:rPr>
          <w:rFonts w:ascii="Palatino Linotype" w:eastAsiaTheme="minorEastAsia" w:hAnsi="Palatino Linotype"/>
          <w:w w:val="105"/>
          <w:lang w:val="es-MX"/>
        </w:rPr>
        <w:t>mujer,</w:t>
      </w:r>
      <w:r w:rsidRPr="00C6345E">
        <w:rPr>
          <w:rFonts w:ascii="Palatino Linotype" w:eastAsiaTheme="minorEastAsia" w:hAnsi="Palatino Linotype"/>
          <w:w w:val="102"/>
          <w:lang w:val="es-MX"/>
        </w:rPr>
        <w:t xml:space="preserve"> </w:t>
      </w:r>
      <w:r w:rsidRPr="00C6345E">
        <w:rPr>
          <w:rFonts w:ascii="Palatino Linotype" w:eastAsiaTheme="minorEastAsia" w:hAnsi="Palatino Linotype"/>
          <w:w w:val="105"/>
          <w:lang w:val="es-MX"/>
        </w:rPr>
        <w:t>adultos mayores y su bienestar</w:t>
      </w:r>
      <w:r w:rsidRPr="00C6345E">
        <w:rPr>
          <w:rFonts w:ascii="Palatino Linotype" w:eastAsiaTheme="minorEastAsia" w:hAnsi="Palatino Linotype"/>
          <w:spacing w:val="-10"/>
          <w:w w:val="105"/>
          <w:lang w:val="es-MX"/>
        </w:rPr>
        <w:t xml:space="preserve"> </w:t>
      </w:r>
      <w:r w:rsidRPr="00C6345E">
        <w:rPr>
          <w:rFonts w:ascii="Palatino Linotype" w:eastAsiaTheme="minorEastAsia" w:hAnsi="Palatino Linotype"/>
          <w:w w:val="105"/>
          <w:lang w:val="es-MX"/>
        </w:rPr>
        <w:t>social;</w:t>
      </w:r>
    </w:p>
    <w:p w:rsidR="00C6345E" w:rsidRPr="00C6345E" w:rsidRDefault="00C6345E" w:rsidP="000A5DBF">
      <w:pPr>
        <w:widowControl w:val="0"/>
        <w:numPr>
          <w:ilvl w:val="1"/>
          <w:numId w:val="9"/>
        </w:numPr>
        <w:autoSpaceDE w:val="0"/>
        <w:autoSpaceDN w:val="0"/>
        <w:adjustRightInd w:val="0"/>
        <w:spacing w:before="161" w:line="360" w:lineRule="auto"/>
        <w:ind w:left="567" w:right="992" w:hanging="141"/>
        <w:jc w:val="both"/>
        <w:rPr>
          <w:rFonts w:ascii="Palatino Linotype" w:eastAsiaTheme="minorEastAsia" w:hAnsi="Palatino Linotype"/>
          <w:lang w:val="es-MX"/>
        </w:rPr>
      </w:pPr>
      <w:r w:rsidRPr="00C6345E">
        <w:rPr>
          <w:rFonts w:ascii="Palatino Linotype" w:eastAsiaTheme="minorEastAsia" w:hAnsi="Palatino Linotype"/>
          <w:w w:val="70"/>
          <w:lang w:val="es-MX"/>
        </w:rPr>
        <w:t xml:space="preserve">  </w:t>
      </w:r>
      <w:r w:rsidRPr="00C6345E">
        <w:rPr>
          <w:rFonts w:ascii="Palatino Linotype" w:eastAsiaTheme="minorEastAsia" w:hAnsi="Palatino Linotype"/>
          <w:lang w:val="es-MX"/>
        </w:rPr>
        <w:t xml:space="preserve">Elaborar, coordinar  e instrumentar  el Programa  Estatal para la Mujer, Adultos </w:t>
      </w:r>
      <w:r w:rsidRPr="00C6345E">
        <w:rPr>
          <w:rFonts w:ascii="Palatino Linotype" w:eastAsiaTheme="minorEastAsia" w:hAnsi="Palatino Linotype"/>
          <w:spacing w:val="27"/>
          <w:lang w:val="es-MX"/>
        </w:rPr>
        <w:t xml:space="preserve"> </w:t>
      </w:r>
      <w:r w:rsidRPr="00C6345E">
        <w:rPr>
          <w:rFonts w:ascii="Palatino Linotype" w:eastAsiaTheme="minorEastAsia" w:hAnsi="Palatino Linotype"/>
          <w:lang w:val="es-MX"/>
        </w:rPr>
        <w:t>Mayores</w:t>
      </w:r>
      <w:r w:rsidRPr="00C6345E">
        <w:rPr>
          <w:rFonts w:ascii="Palatino Linotype" w:eastAsiaTheme="minorEastAsia" w:hAnsi="Palatino Linotype"/>
          <w:w w:val="102"/>
          <w:lang w:val="es-MX"/>
        </w:rPr>
        <w:t xml:space="preserve"> </w:t>
      </w:r>
      <w:r w:rsidRPr="00C6345E">
        <w:rPr>
          <w:rFonts w:ascii="Palatino Linotype" w:eastAsiaTheme="minorEastAsia" w:hAnsi="Palatino Linotype"/>
          <w:lang w:val="es-MX"/>
        </w:rPr>
        <w:t>y su  Bienestar</w:t>
      </w:r>
      <w:r w:rsidRPr="00C6345E">
        <w:rPr>
          <w:rFonts w:ascii="Palatino Linotype" w:eastAsiaTheme="minorEastAsia" w:hAnsi="Palatino Linotype"/>
          <w:spacing w:val="42"/>
          <w:lang w:val="es-MX"/>
        </w:rPr>
        <w:t xml:space="preserve"> </w:t>
      </w:r>
      <w:r w:rsidRPr="00C6345E">
        <w:rPr>
          <w:rFonts w:ascii="Palatino Linotype" w:eastAsiaTheme="minorEastAsia" w:hAnsi="Palatino Linotype"/>
          <w:lang w:val="es-MX"/>
        </w:rPr>
        <w:t>Social;</w:t>
      </w:r>
    </w:p>
    <w:p w:rsidR="00C6345E" w:rsidRPr="00C6345E" w:rsidRDefault="00C6345E" w:rsidP="000A5DBF">
      <w:pPr>
        <w:widowControl w:val="0"/>
        <w:numPr>
          <w:ilvl w:val="1"/>
          <w:numId w:val="9"/>
        </w:numPr>
        <w:autoSpaceDE w:val="0"/>
        <w:autoSpaceDN w:val="0"/>
        <w:adjustRightInd w:val="0"/>
        <w:spacing w:before="161" w:line="360" w:lineRule="auto"/>
        <w:ind w:left="567" w:right="992" w:hanging="142"/>
        <w:jc w:val="both"/>
        <w:rPr>
          <w:rFonts w:ascii="Palatino Linotype" w:eastAsiaTheme="minorEastAsia" w:hAnsi="Palatino Linotype"/>
          <w:lang w:val="es-MX"/>
        </w:rPr>
      </w:pPr>
      <w:r w:rsidRPr="00C6345E">
        <w:rPr>
          <w:rFonts w:ascii="Palatino Linotype" w:eastAsiaTheme="minorEastAsia" w:hAnsi="Palatino Linotype"/>
          <w:lang w:val="es-MX"/>
        </w:rPr>
        <w:t xml:space="preserve">Coordinar e instrumentar los programas y acciones de atención a la mujer y </w:t>
      </w:r>
      <w:r w:rsidRPr="00C6345E">
        <w:rPr>
          <w:rFonts w:ascii="Palatino Linotype" w:eastAsiaTheme="minorEastAsia" w:hAnsi="Palatino Linotype"/>
          <w:spacing w:val="3"/>
          <w:lang w:val="es-MX"/>
        </w:rPr>
        <w:t xml:space="preserve"> </w:t>
      </w:r>
      <w:r w:rsidRPr="00C6345E">
        <w:rPr>
          <w:rFonts w:ascii="Palatino Linotype" w:eastAsiaTheme="minorEastAsia" w:hAnsi="Palatino Linotype"/>
          <w:lang w:val="es-MX"/>
        </w:rPr>
        <w:t>adultos mayores, derivadas de los acuerdos nacionales e internacionales que le</w:t>
      </w:r>
      <w:r w:rsidRPr="00C6345E">
        <w:rPr>
          <w:rFonts w:ascii="Palatino Linotype" w:eastAsiaTheme="minorEastAsia" w:hAnsi="Palatino Linotype"/>
          <w:spacing w:val="33"/>
          <w:lang w:val="es-MX"/>
        </w:rPr>
        <w:t xml:space="preserve"> </w:t>
      </w:r>
      <w:r w:rsidRPr="00C6345E">
        <w:rPr>
          <w:rFonts w:ascii="Palatino Linotype" w:eastAsiaTheme="minorEastAsia" w:hAnsi="Palatino Linotype"/>
          <w:lang w:val="es-MX"/>
        </w:rPr>
        <w:t>sean</w:t>
      </w:r>
      <w:r w:rsidRPr="00C6345E">
        <w:rPr>
          <w:rFonts w:ascii="Palatino Linotype" w:eastAsiaTheme="minorEastAsia" w:hAnsi="Palatino Linotype"/>
          <w:w w:val="101"/>
          <w:lang w:val="es-MX"/>
        </w:rPr>
        <w:t xml:space="preserve"> </w:t>
      </w:r>
      <w:r w:rsidRPr="00C6345E">
        <w:rPr>
          <w:rFonts w:ascii="Palatino Linotype" w:eastAsiaTheme="minorEastAsia" w:hAnsi="Palatino Linotype"/>
          <w:lang w:val="es-MX"/>
        </w:rPr>
        <w:t>encomendados;</w:t>
      </w:r>
    </w:p>
    <w:p w:rsidR="00C6345E" w:rsidRPr="00C6345E" w:rsidRDefault="00C6345E" w:rsidP="000A5DBF">
      <w:pPr>
        <w:widowControl w:val="0"/>
        <w:numPr>
          <w:ilvl w:val="1"/>
          <w:numId w:val="10"/>
        </w:numPr>
        <w:autoSpaceDE w:val="0"/>
        <w:autoSpaceDN w:val="0"/>
        <w:adjustRightInd w:val="0"/>
        <w:spacing w:before="161" w:line="360" w:lineRule="auto"/>
        <w:ind w:left="567" w:right="851" w:hanging="142"/>
        <w:jc w:val="both"/>
        <w:rPr>
          <w:rFonts w:ascii="Palatino Linotype" w:eastAsiaTheme="minorEastAsia" w:hAnsi="Palatino Linotype"/>
          <w:lang w:val="es-MX"/>
        </w:rPr>
      </w:pPr>
      <w:r w:rsidRPr="00C6345E">
        <w:rPr>
          <w:rFonts w:ascii="Palatino Linotype" w:eastAsiaTheme="minorEastAsia" w:hAnsi="Palatino Linotype"/>
          <w:lang w:val="es-MX"/>
        </w:rPr>
        <w:t>Promover la superación educativa de la mujer y adultos mayores ante</w:t>
      </w:r>
      <w:r w:rsidRPr="00C6345E">
        <w:rPr>
          <w:rFonts w:ascii="Palatino Linotype" w:eastAsiaTheme="minorEastAsia" w:hAnsi="Palatino Linotype"/>
          <w:spacing w:val="17"/>
          <w:lang w:val="es-MX"/>
        </w:rPr>
        <w:t xml:space="preserve"> </w:t>
      </w:r>
      <w:r w:rsidRPr="00C6345E">
        <w:rPr>
          <w:rFonts w:ascii="Palatino Linotype" w:eastAsiaTheme="minorEastAsia" w:hAnsi="Palatino Linotype"/>
          <w:lang w:val="es-MX"/>
        </w:rPr>
        <w:t>instituciones públicas y</w:t>
      </w:r>
      <w:r w:rsidRPr="00C6345E">
        <w:rPr>
          <w:rFonts w:ascii="Palatino Linotype" w:eastAsiaTheme="minorEastAsia" w:hAnsi="Palatino Linotype"/>
          <w:spacing w:val="6"/>
          <w:lang w:val="es-MX"/>
        </w:rPr>
        <w:t xml:space="preserve"> </w:t>
      </w:r>
      <w:r w:rsidRPr="00C6345E">
        <w:rPr>
          <w:rFonts w:ascii="Palatino Linotype" w:eastAsiaTheme="minorEastAsia" w:hAnsi="Palatino Linotype"/>
          <w:lang w:val="es-MX"/>
        </w:rPr>
        <w:t>privadas;</w:t>
      </w:r>
    </w:p>
    <w:p w:rsidR="00C6345E" w:rsidRPr="00C6345E" w:rsidRDefault="00C6345E" w:rsidP="00C6345E">
      <w:pPr>
        <w:autoSpaceDE w:val="0"/>
        <w:autoSpaceDN w:val="0"/>
        <w:adjustRightInd w:val="0"/>
        <w:spacing w:before="240" w:after="240" w:line="360" w:lineRule="auto"/>
        <w:ind w:right="51"/>
        <w:jc w:val="both"/>
        <w:rPr>
          <w:rFonts w:ascii="Palatino Linotype" w:hAnsi="Palatino Linotype"/>
          <w:lang w:eastAsia="es-ES"/>
        </w:rPr>
      </w:pPr>
      <w:r w:rsidRPr="00C6345E">
        <w:rPr>
          <w:rFonts w:ascii="Palatino Linotype" w:hAnsi="Palatino Linotype"/>
          <w:lang w:eastAsia="es-ES"/>
        </w:rPr>
        <w:t xml:space="preserve">Ahora bien, mediante Acuerdo del Ejecutivo del Estado de México, publicado en el Periódico Oficial “Gaceta del Gobierno” el día 19 de enero de 2018, se establece la implementación de la Tarjeta Salario Rosa, como el mecanismo para la entrega del programa social Salario Rosa, pudiendo ser además, uno de los instrumentos para acceder a los programas y acciones de desarrollo social que ejecutan las dependencias y organismos auxiliares del Gobierno del Estado de México y el medio de identificación de los beneficiarios, así del citado acuerdo se precisa que corresponde su ejecución al Consejo Estatal de la Mujer y Bienestar Social del Estado de México: </w:t>
      </w:r>
    </w:p>
    <w:p w:rsidR="00C6345E" w:rsidRDefault="000A5DBF" w:rsidP="000A5DBF">
      <w:pPr>
        <w:autoSpaceDE w:val="0"/>
        <w:autoSpaceDN w:val="0"/>
        <w:adjustRightInd w:val="0"/>
        <w:spacing w:before="240" w:after="240"/>
        <w:ind w:left="567" w:right="567"/>
        <w:jc w:val="both"/>
        <w:rPr>
          <w:rFonts w:ascii="Palatino Linotype" w:hAnsi="Palatino Linotype"/>
          <w:i/>
          <w:lang w:eastAsia="es-ES"/>
        </w:rPr>
      </w:pPr>
      <w:r>
        <w:rPr>
          <w:rFonts w:ascii="Palatino Linotype" w:hAnsi="Palatino Linotype"/>
          <w:i/>
          <w:lang w:eastAsia="es-ES"/>
        </w:rPr>
        <w:t>“</w:t>
      </w:r>
      <w:r w:rsidR="00C6345E" w:rsidRPr="00C6345E">
        <w:rPr>
          <w:rFonts w:ascii="Palatino Linotype" w:hAnsi="Palatino Linotype"/>
          <w:i/>
          <w:lang w:eastAsia="es-ES"/>
        </w:rPr>
        <w:t xml:space="preserve">ARTÍCULO SEGUNDO. </w:t>
      </w:r>
      <w:r w:rsidR="00C6345E" w:rsidRPr="00C6345E">
        <w:rPr>
          <w:rFonts w:ascii="Palatino Linotype" w:hAnsi="Palatino Linotype"/>
          <w:b/>
          <w:i/>
          <w:u w:val="single"/>
          <w:lang w:eastAsia="es-ES"/>
        </w:rPr>
        <w:t>La Tarjeta Salario Rosa, será el mecanismo plástico para aplicación y entrega del programa social Salario Rosa,</w:t>
      </w:r>
      <w:r w:rsidR="00C6345E" w:rsidRPr="00C6345E">
        <w:rPr>
          <w:rFonts w:ascii="Palatino Linotype" w:hAnsi="Palatino Linotype"/>
          <w:i/>
          <w:lang w:eastAsia="es-ES"/>
        </w:rPr>
        <w:t xml:space="preserve"> </w:t>
      </w:r>
      <w:r w:rsidR="00C6345E" w:rsidRPr="00C6345E">
        <w:rPr>
          <w:rFonts w:ascii="Palatino Linotype" w:hAnsi="Palatino Linotype"/>
          <w:b/>
          <w:i/>
          <w:u w:val="single"/>
          <w:lang w:eastAsia="es-ES"/>
        </w:rPr>
        <w:t>el cual será ejecutado por el Consejo Estatal de la Mujer y Bienestar Social del Estado de México</w:t>
      </w:r>
      <w:r w:rsidR="00C6345E" w:rsidRPr="00C6345E">
        <w:rPr>
          <w:rFonts w:ascii="Palatino Linotype" w:hAnsi="Palatino Linotype"/>
          <w:i/>
          <w:lang w:eastAsia="es-ES"/>
        </w:rPr>
        <w:t>, una vez publicadas sus reglas de operación anuales, y a su vez podrá ser uno de los mecanismos plásticos para la entrega de los programas y acciones en materia de desarrollo social que ejecuten las dependencias y organismos auxiliares del Gobierno del Estado de México y medio de identificación de los beneficiarios, a fin de hacer más eficaz la ejecución de sus programas o acciones de desarrollo social, atendiendo de manera integral y transversal a los sectores de la población en condiciones de pobreza, marginación, exclusión y vulnerabilidad</w:t>
      </w:r>
      <w:r>
        <w:rPr>
          <w:rFonts w:ascii="Palatino Linotype" w:hAnsi="Palatino Linotype"/>
          <w:i/>
          <w:lang w:eastAsia="es-ES"/>
        </w:rPr>
        <w:t>”</w:t>
      </w:r>
    </w:p>
    <w:p w:rsidR="000A5DBF" w:rsidRPr="00C6345E" w:rsidRDefault="000A5DBF" w:rsidP="000A5DBF">
      <w:pPr>
        <w:autoSpaceDE w:val="0"/>
        <w:autoSpaceDN w:val="0"/>
        <w:adjustRightInd w:val="0"/>
        <w:spacing w:before="240" w:after="240"/>
        <w:ind w:left="567" w:right="567"/>
        <w:jc w:val="both"/>
        <w:rPr>
          <w:rFonts w:ascii="Palatino Linotype" w:hAnsi="Palatino Linotype"/>
          <w:i/>
          <w:lang w:eastAsia="es-ES"/>
        </w:rPr>
      </w:pPr>
      <w:r>
        <w:rPr>
          <w:rFonts w:ascii="Palatino Linotype" w:hAnsi="Palatino Linotype"/>
          <w:i/>
          <w:lang w:eastAsia="es-ES"/>
        </w:rPr>
        <w:t>(Énfasis añadido)</w:t>
      </w:r>
    </w:p>
    <w:p w:rsidR="004F6279" w:rsidRPr="004F6279" w:rsidRDefault="00C6345E" w:rsidP="00C6345E">
      <w:pPr>
        <w:autoSpaceDE w:val="0"/>
        <w:autoSpaceDN w:val="0"/>
        <w:adjustRightInd w:val="0"/>
        <w:spacing w:before="240" w:after="240" w:line="360" w:lineRule="auto"/>
        <w:ind w:right="51"/>
        <w:jc w:val="both"/>
        <w:rPr>
          <w:rFonts w:ascii="Palatino Linotype" w:hAnsi="Palatino Linotype"/>
          <w:b/>
          <w:lang w:eastAsia="es-ES"/>
        </w:rPr>
      </w:pPr>
      <w:r w:rsidRPr="00C6345E">
        <w:rPr>
          <w:rFonts w:ascii="Palatino Linotype" w:hAnsi="Palatino Linotype"/>
          <w:lang w:eastAsia="es-ES"/>
        </w:rPr>
        <w:t>No pasa inadvertido que, el Consejo Estatal de la Muj</w:t>
      </w:r>
      <w:r w:rsidR="000A5DBF">
        <w:rPr>
          <w:rFonts w:ascii="Palatino Linotype" w:hAnsi="Palatino Linotype"/>
          <w:lang w:eastAsia="es-ES"/>
        </w:rPr>
        <w:t>er y Bienestar Social desapareció</w:t>
      </w:r>
      <w:r w:rsidRPr="00C6345E">
        <w:rPr>
          <w:rFonts w:ascii="Palatino Linotype" w:hAnsi="Palatino Linotype"/>
          <w:lang w:eastAsia="es-ES"/>
        </w:rPr>
        <w:t xml:space="preserve"> como organismo público descentralizado, por lo que el día 30 de octubre de 2020, la Secretaría de Finanzas </w:t>
      </w:r>
      <w:r w:rsidRPr="00C6345E">
        <w:rPr>
          <w:rFonts w:ascii="Palatino Linotype" w:hAnsi="Palatino Linotype"/>
          <w:b/>
          <w:lang w:eastAsia="es-ES"/>
        </w:rPr>
        <w:t>autoriza la estructura organizacional de la Secretaría de la Mujer integrada por 22 unidades administrativas.</w:t>
      </w:r>
    </w:p>
    <w:p w:rsidR="00C6345E" w:rsidRPr="00C6345E" w:rsidRDefault="00C6345E" w:rsidP="00C6345E">
      <w:pPr>
        <w:autoSpaceDE w:val="0"/>
        <w:autoSpaceDN w:val="0"/>
        <w:adjustRightInd w:val="0"/>
        <w:spacing w:before="240" w:after="240" w:line="360" w:lineRule="auto"/>
        <w:ind w:right="51"/>
        <w:jc w:val="both"/>
        <w:rPr>
          <w:rFonts w:ascii="Palatino Linotype" w:hAnsi="Palatino Linotype"/>
          <w:lang w:eastAsia="es-ES"/>
        </w:rPr>
      </w:pPr>
      <w:r w:rsidRPr="00C6345E">
        <w:rPr>
          <w:rFonts w:ascii="Palatino Linotype" w:hAnsi="Palatino Linotype"/>
          <w:lang w:eastAsia="es-ES"/>
        </w:rPr>
        <w:t xml:space="preserve">En este contexto, en el marco del </w:t>
      </w:r>
      <w:r w:rsidRPr="00C6345E">
        <w:rPr>
          <w:rFonts w:ascii="Palatino Linotype" w:hAnsi="Palatino Linotype"/>
          <w:b/>
          <w:lang w:eastAsia="es-ES"/>
        </w:rPr>
        <w:t>Decreto 191 por el que se reforman, adicionan y derogan diversas disposiciones de la Ley Orgánica de la Administración Pública del Estado de México, publicado en el Periódico Oficial “Gaceta del Gobierno”, el 29 de septiembre de 2020</w:t>
      </w:r>
      <w:r w:rsidRPr="00C6345E">
        <w:rPr>
          <w:rFonts w:ascii="Palatino Linotype" w:hAnsi="Palatino Linotype"/>
          <w:lang w:eastAsia="es-ES"/>
        </w:rPr>
        <w:t xml:space="preserve">, se crea la Secretaría de la Mujer, teniendo como misión garantizar a las mexiquenses el acceso igualitario a oportunidades en todos los ámbitos, así como el empoderamiento de niñas, adolescentes y mujeres y el ejercicio pleno de sus derechos, en términos de lo preceptuado en el artículo 33 de la Ley Orgánica de la Administración Pública estatal. </w:t>
      </w:r>
    </w:p>
    <w:p w:rsidR="00C6345E" w:rsidRPr="00C6345E" w:rsidRDefault="00C6345E" w:rsidP="00C6345E">
      <w:pPr>
        <w:autoSpaceDE w:val="0"/>
        <w:autoSpaceDN w:val="0"/>
        <w:adjustRightInd w:val="0"/>
        <w:spacing w:before="240" w:after="240" w:line="360" w:lineRule="auto"/>
        <w:ind w:right="51"/>
        <w:jc w:val="both"/>
        <w:rPr>
          <w:rFonts w:ascii="Palatino Linotype" w:hAnsi="Palatino Linotype"/>
          <w:b/>
          <w:i/>
          <w:u w:val="single"/>
          <w:lang w:eastAsia="es-ES"/>
        </w:rPr>
      </w:pPr>
      <w:r w:rsidRPr="00C6345E">
        <w:rPr>
          <w:rFonts w:ascii="Palatino Linotype" w:hAnsi="Palatino Linotype"/>
          <w:lang w:eastAsia="es-ES"/>
        </w:rPr>
        <w:t>Adem</w:t>
      </w:r>
      <w:r w:rsidR="000A5DBF">
        <w:rPr>
          <w:rFonts w:ascii="Palatino Linotype" w:hAnsi="Palatino Linotype"/>
          <w:lang w:eastAsia="es-ES"/>
        </w:rPr>
        <w:t xml:space="preserve">ás, del decreto en cuestión  el </w:t>
      </w:r>
      <w:r w:rsidRPr="00C6345E">
        <w:rPr>
          <w:rFonts w:ascii="Palatino Linotype" w:hAnsi="Palatino Linotype"/>
          <w:lang w:eastAsia="es-ES"/>
        </w:rPr>
        <w:t xml:space="preserve">artículo </w:t>
      </w:r>
      <w:r w:rsidRPr="00C6345E">
        <w:rPr>
          <w:rFonts w:ascii="Palatino Linotype" w:hAnsi="Palatino Linotype"/>
          <w:b/>
          <w:lang w:eastAsia="es-ES"/>
        </w:rPr>
        <w:t>QUINTO</w:t>
      </w:r>
      <w:r w:rsidRPr="00C6345E">
        <w:rPr>
          <w:rFonts w:ascii="Palatino Linotype" w:hAnsi="Palatino Linotype"/>
          <w:lang w:eastAsia="es-ES"/>
        </w:rPr>
        <w:t xml:space="preserve"> transitorio refiere que: “</w:t>
      </w:r>
      <w:r w:rsidRPr="00C6345E">
        <w:rPr>
          <w:rFonts w:ascii="Palatino Linotype" w:hAnsi="Palatino Linotype"/>
          <w:i/>
          <w:lang w:eastAsia="es-ES"/>
        </w:rPr>
        <w:t xml:space="preserve">… las referencias realizadas en disposiciones jurídicas, legales, reglamentarias, administrativas, y </w:t>
      </w:r>
      <w:r w:rsidRPr="00C6345E">
        <w:rPr>
          <w:rFonts w:ascii="Palatino Linotype" w:hAnsi="Palatino Linotype"/>
          <w:b/>
          <w:i/>
          <w:lang w:eastAsia="es-ES"/>
        </w:rPr>
        <w:t>documentación de Consejo Estatal de la Mujer y Bienestar Social del Estado de México se entenderán hechas a la Secretaría de la Mujer</w:t>
      </w:r>
      <w:r w:rsidRPr="00C6345E">
        <w:rPr>
          <w:rFonts w:ascii="Palatino Linotype" w:hAnsi="Palatino Linotype"/>
          <w:i/>
          <w:lang w:eastAsia="es-ES"/>
        </w:rPr>
        <w:t xml:space="preserve">. </w:t>
      </w:r>
      <w:r w:rsidRPr="00C6345E">
        <w:rPr>
          <w:rFonts w:ascii="Palatino Linotype" w:hAnsi="Palatino Linotype"/>
          <w:b/>
          <w:i/>
          <w:u w:val="single"/>
          <w:lang w:eastAsia="es-ES"/>
        </w:rPr>
        <w:t>Los recursos humanos, materiales y financieros</w:t>
      </w:r>
      <w:r w:rsidRPr="00C6345E">
        <w:rPr>
          <w:rFonts w:ascii="Palatino Linotype" w:hAnsi="Palatino Linotype"/>
          <w:i/>
          <w:lang w:eastAsia="es-ES"/>
        </w:rPr>
        <w:t xml:space="preserve"> </w:t>
      </w:r>
      <w:r w:rsidRPr="00C6345E">
        <w:rPr>
          <w:rFonts w:ascii="Palatino Linotype" w:hAnsi="Palatino Linotype"/>
          <w:b/>
          <w:i/>
          <w:u w:val="single"/>
          <w:lang w:eastAsia="es-ES"/>
        </w:rPr>
        <w:t xml:space="preserve">del Consejo Estatal de la Mujer y Bienestar Social del Estado de México serán transferidos a partir de la entrada en vigor del presente Decreto a la Secretaría de la Mujer. </w:t>
      </w:r>
    </w:p>
    <w:p w:rsidR="00C6345E" w:rsidRPr="00C6345E" w:rsidRDefault="00C6345E" w:rsidP="00C6345E">
      <w:pPr>
        <w:autoSpaceDE w:val="0"/>
        <w:autoSpaceDN w:val="0"/>
        <w:adjustRightInd w:val="0"/>
        <w:spacing w:before="240" w:after="240" w:line="360" w:lineRule="auto"/>
        <w:ind w:right="51"/>
        <w:jc w:val="both"/>
        <w:rPr>
          <w:lang w:eastAsia="es-ES"/>
        </w:rPr>
      </w:pPr>
      <w:r w:rsidRPr="00C6345E">
        <w:rPr>
          <w:rFonts w:ascii="Palatino Linotype" w:hAnsi="Palatino Linotype"/>
          <w:b/>
          <w:i/>
          <w:lang w:eastAsia="es-ES"/>
        </w:rPr>
        <w:t>Los asuntos, actos, procedimientos, programas o proyectos que se encuentren en trámite o curso en el Consejo Estatal de la Mujer y Bienestar Social del Estado de México serán atendidos hasta su conclusión por la Secretaría de la Mujer</w:t>
      </w:r>
      <w:r w:rsidRPr="00C6345E">
        <w:rPr>
          <w:rFonts w:ascii="Palatino Linotype" w:hAnsi="Palatino Linotype"/>
          <w:i/>
          <w:lang w:eastAsia="es-ES"/>
        </w:rPr>
        <w:t>. Se respetarán los derechos laborales de las personas servidoras públicas adscritas al Consejo Estatal de la Mujer y Bienestar Social del Estado de México de conformidad con las disposiciones jurídicas aplicables. El Sistema de Protección Integral de Niñas, Niños y Adolescentes del Estado de México continuará rigiéndose por sus respectivas disposiciones jurídicas y dependerá de la Secretaría de la Mujer, misma que ejercerá las atribuciones que en dichas disposiciones se otorgaban a la Secretaría General de Gobierno, hasta en tanto sea realice la sectorización correspondiente</w:t>
      </w:r>
      <w:r w:rsidRPr="00C6345E">
        <w:rPr>
          <w:lang w:eastAsia="es-ES"/>
        </w:rPr>
        <w:t>…”</w:t>
      </w:r>
    </w:p>
    <w:p w:rsidR="00331249" w:rsidRDefault="00331249" w:rsidP="00C6345E">
      <w:pPr>
        <w:autoSpaceDE w:val="0"/>
        <w:autoSpaceDN w:val="0"/>
        <w:adjustRightInd w:val="0"/>
        <w:spacing w:before="240" w:after="240" w:line="360" w:lineRule="auto"/>
        <w:ind w:right="51"/>
        <w:jc w:val="both"/>
        <w:rPr>
          <w:rFonts w:ascii="Palatino Linotype" w:hAnsi="Palatino Linotype"/>
          <w:lang w:eastAsia="es-ES"/>
        </w:rPr>
      </w:pPr>
      <w:r>
        <w:rPr>
          <w:rFonts w:ascii="Palatino Linotype" w:hAnsi="Palatino Linotype"/>
          <w:lang w:eastAsia="es-ES"/>
        </w:rPr>
        <w:t>Ahora bien, con el propósito de robustecer todo lo expuesto deben traerse a colación las Reglas de Operación del Programa d</w:t>
      </w:r>
      <w:r w:rsidRPr="00331249">
        <w:rPr>
          <w:rFonts w:ascii="Palatino Linotype" w:hAnsi="Palatino Linotype"/>
          <w:lang w:eastAsia="es-ES"/>
        </w:rPr>
        <w:t>e Desarrollo Social Familias Fuertes Salario Rosa</w:t>
      </w:r>
      <w:r>
        <w:rPr>
          <w:rFonts w:ascii="Palatino Linotype" w:hAnsi="Palatino Linotype"/>
          <w:lang w:eastAsia="es-ES"/>
        </w:rPr>
        <w:t xml:space="preserve"> del año 2020, las cuales establecen que el Consejo Estatal de </w:t>
      </w:r>
      <w:r w:rsidR="007B1D14">
        <w:rPr>
          <w:rFonts w:ascii="Palatino Linotype" w:hAnsi="Palatino Linotype"/>
          <w:lang w:eastAsia="es-ES"/>
        </w:rPr>
        <w:t xml:space="preserve">la Mujer y Bienestar Social es la instancia ejecutora de este programa social, </w:t>
      </w:r>
      <w:r>
        <w:rPr>
          <w:rFonts w:ascii="Palatino Linotype" w:hAnsi="Palatino Linotype"/>
          <w:lang w:eastAsia="es-ES"/>
        </w:rPr>
        <w:t>lo siguiente</w:t>
      </w:r>
      <w:r w:rsidR="007B1D14">
        <w:rPr>
          <w:rFonts w:ascii="Palatino Linotype" w:hAnsi="Palatino Linotype"/>
          <w:lang w:eastAsia="es-ES"/>
        </w:rPr>
        <w:t xml:space="preserve"> encuentra sustento en </w:t>
      </w:r>
      <w:r>
        <w:rPr>
          <w:rFonts w:ascii="Palatino Linotype" w:hAnsi="Palatino Linotype"/>
          <w:lang w:eastAsia="es-ES"/>
        </w:rPr>
        <w:t xml:space="preserve">su mecánica operativa: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Pr>
          <w:rFonts w:ascii="Palatino Linotype" w:hAnsi="Palatino Linotype"/>
          <w:i/>
          <w:sz w:val="22"/>
          <w:lang w:eastAsia="es-ES"/>
        </w:rPr>
        <w:t>“</w:t>
      </w:r>
      <w:r w:rsidRPr="00331249">
        <w:rPr>
          <w:rFonts w:ascii="Palatino Linotype" w:hAnsi="Palatino Linotype"/>
          <w:i/>
          <w:sz w:val="22"/>
          <w:lang w:eastAsia="es-ES"/>
        </w:rPr>
        <w:t xml:space="preserve">9. Mecánica operativa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 xml:space="preserve">9.1 Operación del Programa </w:t>
      </w:r>
    </w:p>
    <w:p w:rsidR="00331249" w:rsidRPr="00331249" w:rsidRDefault="00331249" w:rsidP="00331249">
      <w:pPr>
        <w:autoSpaceDE w:val="0"/>
        <w:autoSpaceDN w:val="0"/>
        <w:adjustRightInd w:val="0"/>
        <w:spacing w:before="240" w:after="240"/>
        <w:ind w:left="567" w:right="851"/>
        <w:jc w:val="both"/>
        <w:rPr>
          <w:rFonts w:ascii="Palatino Linotype" w:hAnsi="Palatino Linotype"/>
          <w:b/>
          <w:i/>
          <w:sz w:val="22"/>
          <w:lang w:eastAsia="es-ES"/>
        </w:rPr>
      </w:pPr>
      <w:r w:rsidRPr="00331249">
        <w:rPr>
          <w:rFonts w:ascii="Palatino Linotype" w:hAnsi="Palatino Linotype"/>
          <w:b/>
          <w:i/>
          <w:sz w:val="22"/>
          <w:lang w:eastAsia="es-ES"/>
        </w:rPr>
        <w:t>a) El Gobierno del Estado de México emitirá la convocatoria a través del CEMyBS</w:t>
      </w:r>
      <w:r>
        <w:rPr>
          <w:rStyle w:val="Refdenotaalpie"/>
          <w:rFonts w:ascii="Palatino Linotype" w:hAnsi="Palatino Linotype"/>
          <w:b/>
          <w:i/>
          <w:sz w:val="22"/>
          <w:lang w:eastAsia="es-ES"/>
        </w:rPr>
        <w:footnoteReference w:id="1"/>
      </w:r>
      <w:r w:rsidRPr="00331249">
        <w:rPr>
          <w:rFonts w:ascii="Palatino Linotype" w:hAnsi="Palatino Linotype"/>
          <w:b/>
          <w:i/>
          <w:sz w:val="22"/>
          <w:lang w:eastAsia="es-ES"/>
        </w:rPr>
        <w:t xml:space="preserve">, siempre y cuando no exista lista de espera que cumpla la meta del ejercicio fiscal correspondiente;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b/>
          <w:i/>
          <w:sz w:val="22"/>
          <w:lang w:eastAsia="es-ES"/>
        </w:rPr>
        <w:t>b) En caso de no existir lista de espera que cubra la meta del ejercicio fiscal correspondiente, las solicitantes podrán realizar su registro en la página oficial del CEMyBS</w:t>
      </w:r>
      <w:r w:rsidRPr="00331249">
        <w:rPr>
          <w:rFonts w:ascii="Palatino Linotype" w:hAnsi="Palatino Linotype"/>
          <w:i/>
          <w:sz w:val="22"/>
          <w:lang w:eastAsia="es-ES"/>
        </w:rPr>
        <w:t xml:space="preserve">, o acudir personalmente a los módulos que determine la instancia ejecutora, previa autorización de la instancia normativa, en los plazos que se establezcan en la convocatoria correspondiente, en ambos casos deberán enviar y/o presentar la documentación respectiva, con la que se integrará su expediente.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 xml:space="preserve">Para el caso del registro en módulos, se levantará un acta de apertura y de cierre de los mismos, siempre y cuando no exista lista de espera que cubra la meta del ejercicio fiscal correspondiente;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c) La instancia ejecutora</w:t>
      </w:r>
      <w:r>
        <w:rPr>
          <w:rStyle w:val="Refdenotaalpie"/>
          <w:rFonts w:ascii="Palatino Linotype" w:hAnsi="Palatino Linotype"/>
          <w:i/>
          <w:sz w:val="22"/>
          <w:lang w:eastAsia="es-ES"/>
        </w:rPr>
        <w:footnoteReference w:id="2"/>
      </w:r>
      <w:r w:rsidRPr="00331249">
        <w:rPr>
          <w:rFonts w:ascii="Palatino Linotype" w:hAnsi="Palatino Linotype"/>
          <w:i/>
          <w:sz w:val="22"/>
          <w:lang w:eastAsia="es-ES"/>
        </w:rPr>
        <w:t xml:space="preserve"> presentará a la instancia normativa una propuesta de solicitantes, de acuerdo con los criterios de selección y priorización, para que, en su caso, determine su ingreso al Programa;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 xml:space="preserve">d) La instancia normativa determinará las solicitudes que procedan, de acuerdo con los criterios establecidos en las presentes reglas;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 xml:space="preserve">e) La instancia ejecutora notificará a las solicitantes que fueron aceptadas en el Programa, a través de los medios que determine la instancia normativa. Las solicitantes que no hayan sido beneficiadas y cumplan con los requisitos establecidos en las presentes reglas, formarán parte de la lista de espera;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 xml:space="preserve">f) Cuando la beneficiaria no acuda por causa injustificada a recibir el medio de entrega, dentro de los 30 días hábiles posteriores a la fecha de publicación de los folios, la instancia ejecutora cancelará el apoyo y realizará las sustituciones que se presenten durante la ejecución del Programa, dando de alta a otra solicitante que se encuentre en lista de espera, lo cual deberá informar a la instancia normativa en la sesión ordinaria siguiente a su ejecución;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 xml:space="preserve">g) El mecanismo y calendario para la recepción del medio de entrega y las capacitaciones, será determinado por la instancia normativa, lo que se hará del conocimiento de las beneficiarias, a través de la instancia ejecutora.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 xml:space="preserve">h) Las beneficiarias deberán participar en las capacitaciones establecidas en el catálogo aprobado por la instancia normativa, así como en las actividades de desarrollo comunitario, en su caso;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 xml:space="preserve">i) En caso de cancelaciones del apoyo previstas en el numeral 7.1.9.2 de las presentes reglas, la instancia ejecutora realizará las sustituciones que se presenten durante la ejecución del Programa, previa aprobación de la instancia normativa, dando de alta a otra solicitante que se encuentre en lista de espera, la beneficiaria sustituta recibirá el número de apoyos del Programa pendientes por entregar, lo cual deberá informar a la instancia normativa.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331249">
        <w:rPr>
          <w:rFonts w:ascii="Palatino Linotype" w:hAnsi="Palatino Linotype"/>
          <w:i/>
          <w:sz w:val="22"/>
          <w:lang w:eastAsia="es-ES"/>
        </w:rPr>
        <w:t xml:space="preserve">j) La instancia ejecutora proporcionará el medio de entrega en los lugares y fechas que se establezcan para tal efecto; </w:t>
      </w:r>
    </w:p>
    <w:p w:rsidR="00331249" w:rsidRPr="00331249" w:rsidRDefault="00331249" w:rsidP="00331249">
      <w:pPr>
        <w:autoSpaceDE w:val="0"/>
        <w:autoSpaceDN w:val="0"/>
        <w:adjustRightInd w:val="0"/>
        <w:spacing w:before="240" w:after="240"/>
        <w:ind w:left="567" w:right="851"/>
        <w:jc w:val="both"/>
        <w:rPr>
          <w:rFonts w:ascii="Palatino Linotype" w:hAnsi="Palatino Linotype"/>
          <w:b/>
          <w:i/>
          <w:sz w:val="22"/>
          <w:lang w:eastAsia="es-ES"/>
        </w:rPr>
      </w:pPr>
      <w:r w:rsidRPr="00331249">
        <w:rPr>
          <w:rFonts w:ascii="Palatino Linotype" w:hAnsi="Palatino Linotype"/>
          <w:b/>
          <w:i/>
          <w:sz w:val="22"/>
          <w:lang w:eastAsia="es-ES"/>
        </w:rPr>
        <w:t xml:space="preserve">k) Para el caso de las beneficiarias que deseen continuar en el programa, la instancia normativa determinará la forma y plazos en los que recibirá las solicitudes, lo cual será publicado en la página oficial del CEMByS; y </w:t>
      </w:r>
    </w:p>
    <w:p w:rsidR="00331249" w:rsidRDefault="00331249" w:rsidP="00331249">
      <w:pPr>
        <w:autoSpaceDE w:val="0"/>
        <w:autoSpaceDN w:val="0"/>
        <w:adjustRightInd w:val="0"/>
        <w:spacing w:before="240" w:after="240"/>
        <w:ind w:left="567" w:right="851"/>
        <w:jc w:val="both"/>
        <w:rPr>
          <w:rFonts w:ascii="Palatino Linotype" w:hAnsi="Palatino Linotype"/>
          <w:i/>
          <w:sz w:val="22"/>
          <w:lang w:eastAsia="es-ES"/>
        </w:rPr>
      </w:pPr>
      <w:r w:rsidRPr="00EC27EE">
        <w:rPr>
          <w:rFonts w:ascii="Palatino Linotype" w:hAnsi="Palatino Linotype"/>
          <w:b/>
          <w:i/>
          <w:sz w:val="22"/>
          <w:lang w:eastAsia="es-ES"/>
        </w:rPr>
        <w:t>l) La instancia ejecutora integrará el Padrón de beneficiarias</w:t>
      </w:r>
      <w:r w:rsidRPr="00331249">
        <w:rPr>
          <w:rFonts w:ascii="Palatino Linotype" w:hAnsi="Palatino Linotype"/>
          <w:i/>
          <w:sz w:val="22"/>
          <w:lang w:eastAsia="es-ES"/>
        </w:rPr>
        <w:t>.</w:t>
      </w:r>
      <w:r>
        <w:rPr>
          <w:rFonts w:ascii="Palatino Linotype" w:hAnsi="Palatino Linotype"/>
          <w:i/>
          <w:sz w:val="22"/>
          <w:lang w:eastAsia="es-ES"/>
        </w:rPr>
        <w:t>”</w:t>
      </w:r>
    </w:p>
    <w:p w:rsidR="007B1D14" w:rsidRPr="00331249" w:rsidRDefault="007B1D14" w:rsidP="00331249">
      <w:pPr>
        <w:autoSpaceDE w:val="0"/>
        <w:autoSpaceDN w:val="0"/>
        <w:adjustRightInd w:val="0"/>
        <w:spacing w:before="240" w:after="240"/>
        <w:ind w:left="567" w:right="851"/>
        <w:jc w:val="both"/>
        <w:rPr>
          <w:rFonts w:ascii="Palatino Linotype" w:hAnsi="Palatino Linotype"/>
          <w:i/>
          <w:sz w:val="22"/>
          <w:lang w:eastAsia="es-ES"/>
        </w:rPr>
      </w:pPr>
      <w:r>
        <w:rPr>
          <w:rFonts w:ascii="Palatino Linotype" w:hAnsi="Palatino Linotype"/>
          <w:i/>
          <w:sz w:val="22"/>
          <w:lang w:eastAsia="es-ES"/>
        </w:rPr>
        <w:t>(Énfasis añadido)</w:t>
      </w:r>
    </w:p>
    <w:p w:rsidR="007B1D14" w:rsidRDefault="007B1D14" w:rsidP="00C6345E">
      <w:pPr>
        <w:autoSpaceDE w:val="0"/>
        <w:autoSpaceDN w:val="0"/>
        <w:adjustRightInd w:val="0"/>
        <w:spacing w:before="240" w:after="240" w:line="360" w:lineRule="auto"/>
        <w:ind w:right="51"/>
        <w:jc w:val="both"/>
        <w:rPr>
          <w:rFonts w:ascii="Palatino Linotype" w:hAnsi="Palatino Linotype"/>
          <w:lang w:eastAsia="es-ES"/>
        </w:rPr>
      </w:pPr>
      <w:r>
        <w:rPr>
          <w:rFonts w:ascii="Palatino Linotype" w:hAnsi="Palatino Linotype"/>
          <w:lang w:eastAsia="es-ES"/>
        </w:rPr>
        <w:t>En contraposición a lo anterior, el Acuerdo del Secretario de Desarrollo Social, por el que se Modifican las Reglas de Operación del P</w:t>
      </w:r>
      <w:r w:rsidRPr="007B1D14">
        <w:rPr>
          <w:rFonts w:ascii="Palatino Linotype" w:hAnsi="Palatino Linotype"/>
          <w:lang w:eastAsia="es-ES"/>
        </w:rPr>
        <w:t>rogr</w:t>
      </w:r>
      <w:r>
        <w:rPr>
          <w:rFonts w:ascii="Palatino Linotype" w:hAnsi="Palatino Linotype"/>
          <w:lang w:eastAsia="es-ES"/>
        </w:rPr>
        <w:t>ama de Desarrollo Social Familias Fuertes Salario R</w:t>
      </w:r>
      <w:r w:rsidRPr="007B1D14">
        <w:rPr>
          <w:rFonts w:ascii="Palatino Linotype" w:hAnsi="Palatino Linotype"/>
          <w:lang w:eastAsia="es-ES"/>
        </w:rPr>
        <w:t>osa</w:t>
      </w:r>
      <w:r>
        <w:rPr>
          <w:rFonts w:ascii="Palatino Linotype" w:hAnsi="Palatino Linotype"/>
          <w:lang w:eastAsia="es-ES"/>
        </w:rPr>
        <w:t>, publicado el 17 de febrero de 2021 en el Periódico Oficial “Gaceta de Gobierno” disponen la siguiente mecánica operativa para este programa social:</w:t>
      </w:r>
    </w:p>
    <w:p w:rsidR="00C646B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Pr>
          <w:rFonts w:ascii="Palatino Linotype" w:hAnsi="Palatino Linotype"/>
          <w:lang w:eastAsia="es-ES"/>
        </w:rPr>
        <w:t xml:space="preserve"> “</w:t>
      </w:r>
      <w:r w:rsidRPr="007B1D14">
        <w:rPr>
          <w:rFonts w:ascii="Palatino Linotype" w:hAnsi="Palatino Linotype"/>
          <w:i/>
          <w:sz w:val="22"/>
          <w:lang w:eastAsia="es-ES"/>
        </w:rPr>
        <w:t xml:space="preserve">10. Mecánica operativa </w:t>
      </w:r>
    </w:p>
    <w:p w:rsidR="00C646B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 xml:space="preserve">10.1 Operación del Programa </w:t>
      </w:r>
    </w:p>
    <w:p w:rsidR="00C646BE" w:rsidRPr="00C646BE" w:rsidRDefault="007B1D14" w:rsidP="007B1D14">
      <w:pPr>
        <w:autoSpaceDE w:val="0"/>
        <w:autoSpaceDN w:val="0"/>
        <w:adjustRightInd w:val="0"/>
        <w:spacing w:before="240" w:after="240"/>
        <w:ind w:left="567" w:right="851"/>
        <w:jc w:val="both"/>
        <w:rPr>
          <w:rFonts w:ascii="Palatino Linotype" w:hAnsi="Palatino Linotype"/>
          <w:b/>
          <w:i/>
          <w:sz w:val="22"/>
          <w:lang w:eastAsia="es-ES"/>
        </w:rPr>
      </w:pPr>
      <w:r w:rsidRPr="00C646BE">
        <w:rPr>
          <w:rFonts w:ascii="Palatino Linotype" w:hAnsi="Palatino Linotype"/>
          <w:b/>
          <w:i/>
          <w:sz w:val="22"/>
          <w:lang w:eastAsia="es-ES"/>
        </w:rPr>
        <w:t xml:space="preserve">a) El Gobierno del Estado de México emitirá la convocatoria del Programa a través de la Secretaría de Desarrollo Social del Gobierno del Estado de México, siempre y cuando no exista lista de espera o ésta no cumpla la meta del ejercicio fiscal correspondiente; </w:t>
      </w:r>
    </w:p>
    <w:p w:rsidR="00C646B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C646BE">
        <w:rPr>
          <w:rFonts w:ascii="Palatino Linotype" w:hAnsi="Palatino Linotype"/>
          <w:b/>
          <w:i/>
          <w:sz w:val="22"/>
          <w:lang w:eastAsia="es-ES"/>
        </w:rPr>
        <w:t>b) En caso de emitirse convocatoria las solicitantes podrán realizar su registro en la página oficial de la Secretaría de Desarrollo Social del Gobierno del Estado de México</w:t>
      </w:r>
      <w:r w:rsidRPr="007B1D14">
        <w:rPr>
          <w:rFonts w:ascii="Palatino Linotype" w:hAnsi="Palatino Linotype"/>
          <w:i/>
          <w:sz w:val="22"/>
          <w:lang w:eastAsia="es-ES"/>
        </w:rPr>
        <w:t xml:space="preserve">, o acudir personalmente a los módulos que determine la instancia ejecutora, previa autorización de la instancia normativa, en los plazos que se establezcan en la convocatoria correspondiente, en ambos casos deberán enviar y/o presentar la documentación respectiva, con la que se integrará su expediente. Para el caso de instalación de módulos, se levantará un acta de apertura y de cierre de los mismos; </w:t>
      </w:r>
    </w:p>
    <w:p w:rsidR="00C646B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c) La instancia ejecutora</w:t>
      </w:r>
      <w:r w:rsidR="00C646BE">
        <w:rPr>
          <w:rStyle w:val="Refdenotaalpie"/>
          <w:rFonts w:ascii="Palatino Linotype" w:hAnsi="Palatino Linotype"/>
          <w:i/>
          <w:sz w:val="22"/>
          <w:lang w:eastAsia="es-ES"/>
        </w:rPr>
        <w:footnoteReference w:id="3"/>
      </w:r>
      <w:r w:rsidRPr="007B1D14">
        <w:rPr>
          <w:rFonts w:ascii="Palatino Linotype" w:hAnsi="Palatino Linotype"/>
          <w:i/>
          <w:sz w:val="22"/>
          <w:lang w:eastAsia="es-ES"/>
        </w:rPr>
        <w:t xml:space="preserve"> presentará a la instancia normativa una propuesta de solicitantes, de acuerdo con los criterios de selección y priorización, para que, en su caso, determine su registro al Programa; </w:t>
      </w:r>
    </w:p>
    <w:p w:rsidR="00C646B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 xml:space="preserve">d) La instancia normativa autorizará las solicitudes que procedan, de acuerdo con los criterios establecidos en las presentes reglas; </w:t>
      </w:r>
    </w:p>
    <w:p w:rsidR="00EC27E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 xml:space="preserve">e) La instancia ejecutora notificará a las solicitantes que fueron aceptadas en el Programa, a través de los medios que determine la instancia normativa. Las solicitantes que no hayan sido beneficiadas y cumplan con los requisitos establecidos en las presentes Reglas, formarán parte de la lista de espera; </w:t>
      </w:r>
    </w:p>
    <w:p w:rsidR="00EC27E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 xml:space="preserve">f) Cuando la beneficiaria no acuda a la convocatoria sin causa justificada para recibir el medio de entrega, la instancia ejecutora cancelará el apoyo, dando de alta a otra solicitante que se encuentre en lista de espera, previa autorización de la instancia normativa; </w:t>
      </w:r>
    </w:p>
    <w:p w:rsidR="00EC27E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 xml:space="preserve">g) El mecanismo y calendario para la recepción del medio de entrega y las capacitaciones, será determinado por la instancia normativa, lo que se hará del conocimiento de las beneficiarias, a través de la instancia ejecutora; </w:t>
      </w:r>
    </w:p>
    <w:p w:rsidR="00EC27E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 xml:space="preserve">h) Las beneficiarias deberán participar en las capacitaciones establecidas en el catálogo aprobado por la instancia normativa, así como en las actividades de desarrollo comunitario, en su caso; </w:t>
      </w:r>
    </w:p>
    <w:p w:rsidR="00EC27E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 xml:space="preserve">i) En caso de cancelaciones del apoyo previstas en el numeral 8.1.9.2 de las presentes reglas, la instancia ejecutora realizará las sustituciones que se presenten durante la ejecución del Programa, previa aprobación de la instancia normativa, dando de alta a otra solicitante que se encuentre en lista de espera, la beneficiaria sustituta recibirá el número de apoyos del Programa pendientes por entregar; </w:t>
      </w:r>
    </w:p>
    <w:p w:rsidR="00EC27E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 xml:space="preserve">j) La instancia ejecutora proporcionará el medio de entrega en los lugares y fechas que se establezcan para tal efecto; </w:t>
      </w:r>
    </w:p>
    <w:p w:rsidR="00EC27EE"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 xml:space="preserve">k) Para el caso de las beneficiarias que deseen continuar en el programa, la instancia normativa determinará la forma y plazos en los que recibirá las solicitudes; </w:t>
      </w:r>
    </w:p>
    <w:p w:rsidR="00EC27EE" w:rsidRPr="00EC27EE" w:rsidRDefault="007B1D14" w:rsidP="007B1D14">
      <w:pPr>
        <w:autoSpaceDE w:val="0"/>
        <w:autoSpaceDN w:val="0"/>
        <w:adjustRightInd w:val="0"/>
        <w:spacing w:before="240" w:after="240"/>
        <w:ind w:left="567" w:right="851"/>
        <w:jc w:val="both"/>
        <w:rPr>
          <w:rFonts w:ascii="Palatino Linotype" w:hAnsi="Palatino Linotype"/>
          <w:b/>
          <w:i/>
          <w:sz w:val="22"/>
          <w:lang w:eastAsia="es-ES"/>
        </w:rPr>
      </w:pPr>
      <w:r w:rsidRPr="00EC27EE">
        <w:rPr>
          <w:rFonts w:ascii="Palatino Linotype" w:hAnsi="Palatino Linotype"/>
          <w:b/>
          <w:i/>
          <w:sz w:val="22"/>
          <w:lang w:eastAsia="es-ES"/>
        </w:rPr>
        <w:t xml:space="preserve">l) La instancia ejecutora integrará el Padrón de beneficiarias; y </w:t>
      </w:r>
    </w:p>
    <w:p w:rsidR="00331249" w:rsidRDefault="007B1D14" w:rsidP="007B1D14">
      <w:pPr>
        <w:autoSpaceDE w:val="0"/>
        <w:autoSpaceDN w:val="0"/>
        <w:adjustRightInd w:val="0"/>
        <w:spacing w:before="240" w:after="240"/>
        <w:ind w:left="567" w:right="851"/>
        <w:jc w:val="both"/>
        <w:rPr>
          <w:rFonts w:ascii="Palatino Linotype" w:hAnsi="Palatino Linotype"/>
          <w:i/>
          <w:sz w:val="22"/>
          <w:lang w:eastAsia="es-ES"/>
        </w:rPr>
      </w:pPr>
      <w:r w:rsidRPr="007B1D14">
        <w:rPr>
          <w:rFonts w:ascii="Palatino Linotype" w:hAnsi="Palatino Linotype"/>
          <w:i/>
          <w:sz w:val="22"/>
          <w:lang w:eastAsia="es-ES"/>
        </w:rPr>
        <w:t>m) Las demás que determine la instancia normativa.</w:t>
      </w:r>
      <w:r w:rsidR="00EC27EE">
        <w:rPr>
          <w:rFonts w:ascii="Palatino Linotype" w:hAnsi="Palatino Linotype"/>
          <w:i/>
          <w:sz w:val="22"/>
          <w:lang w:eastAsia="es-ES"/>
        </w:rPr>
        <w:t>”</w:t>
      </w:r>
    </w:p>
    <w:p w:rsidR="00EC27EE" w:rsidRPr="007B1D14" w:rsidRDefault="00EC27EE" w:rsidP="007B1D14">
      <w:pPr>
        <w:autoSpaceDE w:val="0"/>
        <w:autoSpaceDN w:val="0"/>
        <w:adjustRightInd w:val="0"/>
        <w:spacing w:before="240" w:after="240"/>
        <w:ind w:left="567" w:right="851"/>
        <w:jc w:val="both"/>
        <w:rPr>
          <w:rFonts w:ascii="Palatino Linotype" w:hAnsi="Palatino Linotype"/>
          <w:i/>
          <w:sz w:val="22"/>
          <w:lang w:eastAsia="es-ES"/>
        </w:rPr>
      </w:pPr>
      <w:r>
        <w:rPr>
          <w:rFonts w:ascii="Palatino Linotype" w:hAnsi="Palatino Linotype"/>
          <w:i/>
          <w:sz w:val="22"/>
          <w:lang w:eastAsia="es-ES"/>
        </w:rPr>
        <w:t>(Énfasis añadido)</w:t>
      </w:r>
    </w:p>
    <w:p w:rsidR="00EC27EE" w:rsidRPr="003A7CF8" w:rsidRDefault="00EC27EE" w:rsidP="00C6345E">
      <w:pPr>
        <w:autoSpaceDE w:val="0"/>
        <w:autoSpaceDN w:val="0"/>
        <w:adjustRightInd w:val="0"/>
        <w:spacing w:before="240" w:after="240" w:line="360" w:lineRule="auto"/>
        <w:ind w:right="51"/>
        <w:jc w:val="both"/>
        <w:rPr>
          <w:rFonts w:ascii="Palatino Linotype" w:hAnsi="Palatino Linotype"/>
          <w:lang w:eastAsia="es-ES"/>
        </w:rPr>
      </w:pPr>
      <w:r>
        <w:rPr>
          <w:rFonts w:ascii="Palatino Linotype" w:hAnsi="Palatino Linotype"/>
          <w:lang w:eastAsia="es-ES"/>
        </w:rPr>
        <w:t xml:space="preserve">De lo citado con antelación, se advierte que </w:t>
      </w:r>
      <w:r w:rsidR="003A7CF8">
        <w:rPr>
          <w:rFonts w:ascii="Palatino Linotype" w:hAnsi="Palatino Linotype"/>
          <w:lang w:eastAsia="es-ES"/>
        </w:rPr>
        <w:t xml:space="preserve">en los años 2018, 2019 y 2020, el programa social “Familias Fuertes Salario Rosa” fue ejecutado por el </w:t>
      </w:r>
      <w:r w:rsidR="003A7CF8" w:rsidRPr="003A7CF8">
        <w:rPr>
          <w:rFonts w:ascii="Palatino Linotype" w:hAnsi="Palatino Linotype"/>
          <w:lang w:eastAsia="es-ES"/>
        </w:rPr>
        <w:t>Consejo Estatal de la Mujer y Bienestar Social</w:t>
      </w:r>
      <w:r w:rsidR="003A7CF8">
        <w:rPr>
          <w:rFonts w:ascii="Palatino Linotype" w:hAnsi="Palatino Linotype"/>
          <w:lang w:eastAsia="es-ES"/>
        </w:rPr>
        <w:t xml:space="preserve">, esto mediante su Dirección de Bienestar Social para la Mujer, no obstante, a partir de la entrada en vigor del Decreto 191 </w:t>
      </w:r>
      <w:r w:rsidR="003A7CF8" w:rsidRPr="003A7CF8">
        <w:rPr>
          <w:rFonts w:ascii="Palatino Linotype" w:hAnsi="Palatino Linotype"/>
          <w:lang w:eastAsia="es-ES"/>
        </w:rPr>
        <w:t>por el que se reforman, adicionan y derogan diversas disposiciones de la Ley Orgánica de la Administración Pública del Estado de México, publicado en el Periódico Oficial “Gaceta del Gobierno”, el 29 de septiembre de 2020</w:t>
      </w:r>
      <w:r w:rsidR="003A7CF8">
        <w:rPr>
          <w:rFonts w:ascii="Palatino Linotype" w:hAnsi="Palatino Linotype"/>
          <w:lang w:eastAsia="es-ES"/>
        </w:rPr>
        <w:t>, con el cual se crea la Secretaría de la Mujer, es que se m</w:t>
      </w:r>
      <w:r w:rsidR="003A7CF8" w:rsidRPr="003A7CF8">
        <w:rPr>
          <w:rFonts w:ascii="Palatino Linotype" w:hAnsi="Palatino Linotype"/>
          <w:lang w:eastAsia="es-ES"/>
        </w:rPr>
        <w:t xml:space="preserve">odifican </w:t>
      </w:r>
      <w:r w:rsidR="003A7CF8">
        <w:rPr>
          <w:rFonts w:ascii="Palatino Linotype" w:hAnsi="Palatino Linotype"/>
          <w:lang w:eastAsia="es-ES"/>
        </w:rPr>
        <w:t xml:space="preserve">mediante </w:t>
      </w:r>
      <w:r w:rsidR="003A7CF8" w:rsidRPr="003A7CF8">
        <w:rPr>
          <w:rFonts w:ascii="Palatino Linotype" w:hAnsi="Palatino Linotype"/>
          <w:lang w:eastAsia="es-ES"/>
        </w:rPr>
        <w:t>las Reglas de Operación del Programa de Desarrollo Social Familias Fuertes Salario Rosa, publicado el 17 de febrero de 2021 en el Periódico Oficial “Gaceta de Gobierno”</w:t>
      </w:r>
      <w:r w:rsidR="003A7CF8">
        <w:rPr>
          <w:rFonts w:ascii="Palatino Linotype" w:hAnsi="Palatino Linotype"/>
          <w:lang w:eastAsia="es-ES"/>
        </w:rPr>
        <w:t xml:space="preserve">, el cual delega como instancia ejecutora a la Secretaría de Desarrollo Social, por conducto de la Dirección General de Programas Sociales Estratégicos, es de destacarse que la conformación del padrón de beneficiarias le compete a dicha Secretaría desde ese entonces, mientras que el </w:t>
      </w:r>
      <w:r w:rsidR="003A7CF8" w:rsidRPr="003A7CF8">
        <w:rPr>
          <w:rFonts w:ascii="Palatino Linotype" w:hAnsi="Palatino Linotype"/>
          <w:lang w:eastAsia="es-ES"/>
        </w:rPr>
        <w:t>Consejo Estatal de la Mujer y Bienestar Social</w:t>
      </w:r>
      <w:r w:rsidR="003A7CF8">
        <w:rPr>
          <w:rFonts w:ascii="Palatino Linotype" w:hAnsi="Palatino Linotype"/>
          <w:lang w:eastAsia="es-ES"/>
        </w:rPr>
        <w:t>, conformó los padrones de los ejercicios 2018, 2019 y 2020.</w:t>
      </w:r>
    </w:p>
    <w:p w:rsidR="00C6345E" w:rsidRPr="00C6345E" w:rsidRDefault="003A7CF8" w:rsidP="00C6345E">
      <w:pPr>
        <w:autoSpaceDE w:val="0"/>
        <w:autoSpaceDN w:val="0"/>
        <w:adjustRightInd w:val="0"/>
        <w:spacing w:before="240" w:after="240" w:line="360" w:lineRule="auto"/>
        <w:ind w:right="51"/>
        <w:jc w:val="both"/>
        <w:rPr>
          <w:rFonts w:ascii="Palatino Linotype" w:hAnsi="Palatino Linotype"/>
          <w:lang w:eastAsia="es-ES"/>
        </w:rPr>
      </w:pPr>
      <w:r>
        <w:rPr>
          <w:rFonts w:ascii="Palatino Linotype" w:hAnsi="Palatino Linotype"/>
          <w:lang w:eastAsia="es-ES"/>
        </w:rPr>
        <w:t xml:space="preserve">De ahí que se insista que los </w:t>
      </w:r>
      <w:r w:rsidR="00C6345E" w:rsidRPr="00C6345E">
        <w:rPr>
          <w:rFonts w:ascii="Palatino Linotype" w:hAnsi="Palatino Linotype"/>
          <w:lang w:eastAsia="es-ES"/>
        </w:rPr>
        <w:t>documentos relativos al Padrón de beneficia</w:t>
      </w:r>
      <w:r w:rsidR="000A5DBF">
        <w:rPr>
          <w:rFonts w:ascii="Palatino Linotype" w:hAnsi="Palatino Linotype"/>
          <w:lang w:eastAsia="es-ES"/>
        </w:rPr>
        <w:t xml:space="preserve">rias del mismo programa para los </w:t>
      </w:r>
      <w:r w:rsidR="00C6345E" w:rsidRPr="00C6345E">
        <w:rPr>
          <w:rFonts w:ascii="Palatino Linotype" w:hAnsi="Palatino Linotype"/>
          <w:lang w:eastAsia="es-ES"/>
        </w:rPr>
        <w:t>ejercicio</w:t>
      </w:r>
      <w:r w:rsidR="000A5DBF">
        <w:rPr>
          <w:rFonts w:ascii="Palatino Linotype" w:hAnsi="Palatino Linotype"/>
          <w:lang w:eastAsia="es-ES"/>
        </w:rPr>
        <w:t>s</w:t>
      </w:r>
      <w:r w:rsidR="00C6345E" w:rsidRPr="00C6345E">
        <w:rPr>
          <w:rFonts w:ascii="Palatino Linotype" w:hAnsi="Palatino Linotype"/>
          <w:lang w:eastAsia="es-ES"/>
        </w:rPr>
        <w:t xml:space="preserve"> fiscal</w:t>
      </w:r>
      <w:r w:rsidR="000A5DBF">
        <w:rPr>
          <w:rFonts w:ascii="Palatino Linotype" w:hAnsi="Palatino Linotype"/>
          <w:lang w:eastAsia="es-ES"/>
        </w:rPr>
        <w:t>es 2018, 2019 y</w:t>
      </w:r>
      <w:r w:rsidR="00C6345E" w:rsidRPr="00C6345E">
        <w:rPr>
          <w:rFonts w:ascii="Palatino Linotype" w:hAnsi="Palatino Linotype"/>
          <w:lang w:eastAsia="es-ES"/>
        </w:rPr>
        <w:t xml:space="preserve"> 2020, al  ha</w:t>
      </w:r>
      <w:r w:rsidR="000A5DBF">
        <w:rPr>
          <w:rFonts w:ascii="Palatino Linotype" w:hAnsi="Palatino Linotype"/>
          <w:lang w:eastAsia="es-ES"/>
        </w:rPr>
        <w:t>ber sido ejecutados por el entonces</w:t>
      </w:r>
      <w:r w:rsidR="00C6345E" w:rsidRPr="00C6345E">
        <w:rPr>
          <w:rFonts w:ascii="Palatino Linotype" w:hAnsi="Palatino Linotype"/>
          <w:lang w:eastAsia="es-ES"/>
        </w:rPr>
        <w:t xml:space="preserve"> Consejo Estatal de la Mujer y Bienestar Social del Estado de México y que a su vez, éste se haya sustituido por la Secretaría de Mujer en atención al artículo </w:t>
      </w:r>
      <w:r w:rsidR="00C6345E" w:rsidRPr="00C6345E">
        <w:rPr>
          <w:rFonts w:ascii="Palatino Linotype" w:hAnsi="Palatino Linotype"/>
          <w:b/>
          <w:lang w:eastAsia="es-ES"/>
        </w:rPr>
        <w:t>QUINTO</w:t>
      </w:r>
      <w:r w:rsidR="00C6345E" w:rsidRPr="00C6345E">
        <w:rPr>
          <w:rFonts w:ascii="Palatino Linotype" w:hAnsi="Palatino Linotype"/>
          <w:lang w:eastAsia="es-ES"/>
        </w:rPr>
        <w:t xml:space="preserve"> transitorio  deja en evidencia que la parte documental, así como los recursos materiales, humanos y financieros, así como los procedimientos y programas pasan a formar parte de la Secretaria de la Mujer, estos últimos únicamente hasta su conclusión. </w:t>
      </w:r>
    </w:p>
    <w:p w:rsidR="00C6345E" w:rsidRPr="00C6345E" w:rsidRDefault="00C6345E" w:rsidP="00C6345E">
      <w:pPr>
        <w:spacing w:line="360" w:lineRule="auto"/>
        <w:ind w:right="49"/>
        <w:jc w:val="both"/>
        <w:rPr>
          <w:rFonts w:ascii="Palatino Linotype" w:hAnsi="Palatino Linotype" w:cs="Arial"/>
          <w:i/>
          <w:lang w:eastAsia="es-ES"/>
        </w:rPr>
      </w:pPr>
      <w:r w:rsidRPr="00C6345E">
        <w:rPr>
          <w:rFonts w:ascii="Palatino Linotype" w:hAnsi="Palatino Linotype" w:cs="Arial"/>
          <w:lang w:eastAsia="es-ES"/>
        </w:rPr>
        <w:t xml:space="preserve">Con lo cual, queda de manifiesto que el </w:t>
      </w:r>
      <w:r w:rsidRPr="00C6345E">
        <w:rPr>
          <w:rFonts w:ascii="Palatino Linotype" w:hAnsi="Palatino Linotype" w:cs="Arial"/>
          <w:b/>
          <w:lang w:eastAsia="es-ES"/>
        </w:rPr>
        <w:t xml:space="preserve">Sujeto Obligado </w:t>
      </w:r>
      <w:r w:rsidRPr="00C6345E">
        <w:rPr>
          <w:rFonts w:ascii="Palatino Linotype" w:hAnsi="Palatino Linotype" w:cs="Arial"/>
          <w:lang w:eastAsia="es-ES"/>
        </w:rPr>
        <w:t xml:space="preserve">no cuenta con competencia para atender los requerimientos señalados por el particular, por ende no se encuentra constreñido a entregar la información requerida ante la falta de atribuciones para generar, poseer o administrar lo solicitado. Resultando aplicable el criterio 13/17 emitido por el Pleno del Instituto Nacional de Transparencia, Acceso a la Información y Protección de Datos Personales, el cual, para pronta referencia se reproduce a continuación: </w:t>
      </w:r>
      <w:r w:rsidRPr="00C6345E">
        <w:rPr>
          <w:rFonts w:ascii="Palatino Linotype" w:hAnsi="Palatino Linotype" w:cs="Arial"/>
          <w:i/>
          <w:lang w:eastAsia="es-ES"/>
        </w:rPr>
        <w:t xml:space="preserve">La incompetencia implica la ausencia de atribuciones del sujeto obligado para poseer la información solicitada; es decir, se trata de una cuestión de derecho, en tanto que </w:t>
      </w:r>
      <w:r w:rsidRPr="00C6345E">
        <w:rPr>
          <w:rFonts w:ascii="Palatino Linotype" w:hAnsi="Palatino Linotype" w:cs="Arial"/>
          <w:b/>
          <w:i/>
          <w:u w:val="single"/>
          <w:lang w:eastAsia="es-ES"/>
        </w:rPr>
        <w:t>no existan facultades para contar con lo requerido;</w:t>
      </w:r>
      <w:r w:rsidRPr="00C6345E">
        <w:rPr>
          <w:rFonts w:ascii="Palatino Linotype" w:hAnsi="Palatino Linotype" w:cs="Arial"/>
          <w:i/>
          <w:lang w:eastAsia="es-ES"/>
        </w:rPr>
        <w:t xml:space="preserve"> por lo que la incompetencia es una cualidad atribuida al sujeto obligado que la declara.”</w:t>
      </w:r>
    </w:p>
    <w:p w:rsidR="00C6345E" w:rsidRDefault="00C6345E" w:rsidP="00C6345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debe precisarse que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Sujeto Obligado ante el cual se formule la solicitud de acceso.</w:t>
      </w:r>
    </w:p>
    <w:p w:rsidR="00C6345E" w:rsidRDefault="00C6345E" w:rsidP="00C6345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que los Comités de Transparencia tienen entre sus atribuciones confirmar, modificar o revocar la declaración de incompetencia que realicen los titulares de las unidades administrativas.</w:t>
      </w:r>
    </w:p>
    <w:p w:rsidR="00C6345E" w:rsidRDefault="00C6345E" w:rsidP="00C6345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cuando las Unidades de Transparencia determinen la notoria incompetencia por parte de los Sujetos Obligados deberán comunicar al solicitante la misma dentro de los tres días posteriores a la recepción de la solicitud.</w:t>
      </w:r>
    </w:p>
    <w:p w:rsidR="00C6345E" w:rsidRPr="000A5DBF" w:rsidRDefault="00C6345E" w:rsidP="000A5D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que consiste dicho concepto; sobre dicha situación, según Cabanellas, Guillermo (1993), en el “Diccionario Jurídico Elemental” (p. 32 y 161), precisó los siguientes conceptos:</w:t>
      </w:r>
    </w:p>
    <w:p w:rsidR="00C6345E" w:rsidRDefault="00C6345E" w:rsidP="00C6345E">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Competencia: </w:t>
      </w:r>
      <w:r>
        <w:rPr>
          <w:rFonts w:ascii="Palatino Linotype" w:eastAsia="Palatino Linotype" w:hAnsi="Palatino Linotype" w:cs="Palatino Linotype"/>
          <w:color w:val="000000"/>
          <w:sz w:val="22"/>
          <w:szCs w:val="22"/>
        </w:rPr>
        <w:t>La capacidad de una autoridad para conocer sobre una materia o asunto.</w:t>
      </w:r>
    </w:p>
    <w:p w:rsidR="00C6345E" w:rsidRDefault="00C6345E" w:rsidP="00C6345E">
      <w:pPr>
        <w:spacing w:line="360" w:lineRule="auto"/>
        <w:ind w:left="780"/>
        <w:jc w:val="both"/>
        <w:rPr>
          <w:rFonts w:ascii="Palatino Linotype" w:eastAsia="Palatino Linotype" w:hAnsi="Palatino Linotype" w:cs="Palatino Linotype"/>
          <w:color w:val="000000"/>
          <w:sz w:val="22"/>
          <w:szCs w:val="22"/>
        </w:rPr>
      </w:pPr>
    </w:p>
    <w:p w:rsidR="00C6345E" w:rsidRDefault="00C6345E" w:rsidP="00C6345E">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Incompetencia:</w:t>
      </w:r>
      <w:r>
        <w:rPr>
          <w:rFonts w:ascii="Palatino Linotype" w:eastAsia="Palatino Linotype" w:hAnsi="Palatino Linotype" w:cs="Palatino Linotype"/>
          <w:color w:val="000000"/>
          <w:sz w:val="22"/>
          <w:szCs w:val="22"/>
        </w:rPr>
        <w:t xml:space="preserve"> Falta de Competencia.</w:t>
      </w:r>
    </w:p>
    <w:p w:rsidR="000A5DBF" w:rsidRDefault="000A5DBF" w:rsidP="00C6345E">
      <w:pPr>
        <w:spacing w:line="360" w:lineRule="auto"/>
        <w:jc w:val="both"/>
        <w:rPr>
          <w:rFonts w:ascii="Palatino Linotype" w:eastAsia="Palatino Linotype" w:hAnsi="Palatino Linotype" w:cs="Palatino Linotype"/>
          <w:color w:val="000000"/>
          <w:sz w:val="22"/>
          <w:szCs w:val="22"/>
        </w:rPr>
      </w:pPr>
    </w:p>
    <w:p w:rsidR="00C6345E" w:rsidRDefault="00C6345E" w:rsidP="00C63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w:t>
      </w:r>
      <w:r>
        <w:rPr>
          <w:rFonts w:ascii="Palatino Linotype" w:eastAsia="Palatino Linotype" w:hAnsi="Palatino Linotype" w:cs="Palatino Linotype"/>
          <w:b/>
          <w:color w:val="000000"/>
          <w:sz w:val="22"/>
          <w:szCs w:val="22"/>
        </w:rPr>
        <w:t>la incompetencia</w:t>
      </w:r>
      <w:r>
        <w:rPr>
          <w:rFonts w:ascii="Palatino Linotype" w:eastAsia="Palatino Linotype" w:hAnsi="Palatino Linotype" w:cs="Palatino Linotype"/>
          <w:color w:val="000000"/>
          <w:sz w:val="22"/>
          <w:szCs w:val="22"/>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C6345E" w:rsidRDefault="00C6345E" w:rsidP="00C6345E">
      <w:pPr>
        <w:spacing w:line="360" w:lineRule="auto"/>
        <w:jc w:val="both"/>
        <w:rPr>
          <w:rFonts w:ascii="Palatino Linotype" w:eastAsia="Palatino Linotype" w:hAnsi="Palatino Linotype" w:cs="Palatino Linotype"/>
          <w:color w:val="000000"/>
          <w:sz w:val="22"/>
          <w:szCs w:val="22"/>
        </w:rPr>
      </w:pPr>
    </w:p>
    <w:p w:rsidR="00C6345E" w:rsidRPr="000A5DBF" w:rsidRDefault="00C6345E" w:rsidP="00C6345E">
      <w:pPr>
        <w:spacing w:line="360" w:lineRule="auto"/>
        <w:ind w:left="567" w:right="567"/>
        <w:jc w:val="both"/>
        <w:rPr>
          <w:rFonts w:ascii="Palatino Linotype" w:eastAsia="Palatino Linotype" w:hAnsi="Palatino Linotype" w:cs="Palatino Linotype"/>
          <w:i/>
          <w:color w:val="000000"/>
          <w:sz w:val="22"/>
          <w:szCs w:val="22"/>
        </w:rPr>
      </w:pPr>
      <w:r w:rsidRPr="000A5DBF">
        <w:rPr>
          <w:rFonts w:ascii="Palatino Linotype" w:eastAsia="Palatino Linotype" w:hAnsi="Palatino Linotype" w:cs="Palatino Linotype"/>
          <w:b/>
          <w:i/>
          <w:color w:val="000000"/>
          <w:sz w:val="22"/>
          <w:szCs w:val="22"/>
        </w:rPr>
        <w:t xml:space="preserve">“LEGITIMACIÓN DE FUNCIONARIOS PÚBLICOS. LOS TRIBUNALES DE AMPARO, POR ESTAR VINCULADOS CON EL CONCEPTO DE COMPETENCIA A QUE SE REFIERE EL ARTÍCULO 16 CONSTITUCIONAL, NO PUEDEN CONOCER DE AQUÉLLA. </w:t>
      </w:r>
      <w:r w:rsidRPr="000A5DBF">
        <w:rPr>
          <w:rFonts w:ascii="Palatino Linotype" w:eastAsia="Palatino Linotype" w:hAnsi="Palatino Linotype" w:cs="Palatino Linotype"/>
          <w:i/>
          <w:color w:val="000000"/>
          <w:sz w:val="22"/>
          <w:szCs w:val="22"/>
        </w:rPr>
        <w:t>El artículo </w:t>
      </w:r>
      <w:hyperlink r:id="rId19">
        <w:r w:rsidRPr="000A5DBF">
          <w:rPr>
            <w:rFonts w:ascii="Palatino Linotype" w:eastAsia="Palatino Linotype" w:hAnsi="Palatino Linotype" w:cs="Palatino Linotype"/>
            <w:i/>
            <w:color w:val="0000FF"/>
            <w:sz w:val="22"/>
            <w:szCs w:val="22"/>
            <w:u w:val="single"/>
          </w:rPr>
          <w:t>16 constitucional</w:t>
        </w:r>
      </w:hyperlink>
      <w:r w:rsidRPr="000A5DBF">
        <w:rPr>
          <w:rFonts w:ascii="Palatino Linotype" w:eastAsia="Palatino Linotype" w:hAnsi="Palatino Linotype" w:cs="Palatino Linotype"/>
          <w:i/>
          <w:color w:val="000000"/>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C6345E" w:rsidRDefault="00C6345E" w:rsidP="00C6345E">
      <w:pPr>
        <w:spacing w:line="360" w:lineRule="auto"/>
        <w:jc w:val="both"/>
        <w:rPr>
          <w:rFonts w:ascii="Palatino Linotype" w:eastAsia="Palatino Linotype" w:hAnsi="Palatino Linotype" w:cs="Palatino Linotype"/>
          <w:color w:val="000000"/>
          <w:sz w:val="22"/>
          <w:szCs w:val="22"/>
        </w:rPr>
      </w:pPr>
    </w:p>
    <w:p w:rsidR="00C6345E" w:rsidRDefault="00C6345E" w:rsidP="00C6345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misma manera, resulta necesario traer a colación, el Criterio 13/17, emitido por el Instituto Nacional de Transparencia, Acceso a la Información y Protección de Datos Personales, que dispone lo siguiente: </w:t>
      </w:r>
    </w:p>
    <w:p w:rsidR="00C6345E" w:rsidRDefault="00C6345E" w:rsidP="00C6345E">
      <w:pPr>
        <w:spacing w:line="360" w:lineRule="auto"/>
        <w:jc w:val="both"/>
        <w:rPr>
          <w:rFonts w:ascii="Palatino Linotype" w:eastAsia="Palatino Linotype" w:hAnsi="Palatino Linotype" w:cs="Palatino Linotype"/>
          <w:color w:val="000000"/>
          <w:sz w:val="22"/>
          <w:szCs w:val="22"/>
        </w:rPr>
      </w:pPr>
    </w:p>
    <w:p w:rsidR="00C6345E" w:rsidRPr="000A5DBF" w:rsidRDefault="00C6345E" w:rsidP="00C6345E">
      <w:pPr>
        <w:spacing w:line="360" w:lineRule="auto"/>
        <w:ind w:left="567" w:right="567"/>
        <w:jc w:val="both"/>
        <w:rPr>
          <w:rFonts w:ascii="Palatino Linotype" w:eastAsia="Palatino Linotype" w:hAnsi="Palatino Linotype" w:cs="Palatino Linotype"/>
          <w:i/>
          <w:color w:val="000000"/>
          <w:sz w:val="22"/>
          <w:szCs w:val="20"/>
        </w:rPr>
      </w:pPr>
      <w:r w:rsidRPr="000A5DBF">
        <w:rPr>
          <w:rFonts w:ascii="Palatino Linotype" w:eastAsia="Palatino Linotype" w:hAnsi="Palatino Linotype" w:cs="Palatino Linotype"/>
          <w:i/>
          <w:color w:val="000000"/>
          <w:sz w:val="22"/>
          <w:szCs w:val="20"/>
        </w:rPr>
        <w:t>“</w:t>
      </w:r>
      <w:r w:rsidRPr="000A5DBF">
        <w:rPr>
          <w:rFonts w:ascii="Palatino Linotype" w:eastAsia="Palatino Linotype" w:hAnsi="Palatino Linotype" w:cs="Palatino Linotype"/>
          <w:b/>
          <w:i/>
          <w:color w:val="000000"/>
          <w:sz w:val="22"/>
          <w:szCs w:val="20"/>
        </w:rPr>
        <w:t xml:space="preserve">Incompetencia. </w:t>
      </w:r>
      <w:r w:rsidRPr="000A5DBF">
        <w:rPr>
          <w:rFonts w:ascii="Palatino Linotype" w:eastAsia="Palatino Linotype" w:hAnsi="Palatino Linotype" w:cs="Palatino Linotype"/>
          <w:i/>
          <w:color w:val="000000"/>
          <w:sz w:val="22"/>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0A5DBF" w:rsidRDefault="000A5DBF" w:rsidP="00C6345E">
      <w:pPr>
        <w:spacing w:line="360" w:lineRule="auto"/>
        <w:jc w:val="both"/>
        <w:rPr>
          <w:rFonts w:ascii="Palatino Linotype" w:eastAsia="Palatino Linotype" w:hAnsi="Palatino Linotype" w:cs="Palatino Linotype"/>
          <w:color w:val="000000"/>
        </w:rPr>
      </w:pPr>
    </w:p>
    <w:p w:rsidR="00C6345E" w:rsidRDefault="00C6345E" w:rsidP="00C6345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la </w:t>
      </w:r>
      <w:r>
        <w:rPr>
          <w:rFonts w:ascii="Palatino Linotype" w:eastAsia="Palatino Linotype" w:hAnsi="Palatino Linotype" w:cs="Palatino Linotype"/>
          <w:b/>
          <w:color w:val="000000"/>
        </w:rPr>
        <w:t xml:space="preserve">incompetencia </w:t>
      </w:r>
      <w:r>
        <w:rPr>
          <w:rFonts w:ascii="Palatino Linotype" w:eastAsia="Palatino Linotype" w:hAnsi="Palatino Linotype" w:cs="Palatino Linotype"/>
          <w:color w:val="000000"/>
        </w:rPr>
        <w:t>implica que de conformidad con las atribuciones conferidas al Sujeto Obligado, no habría razón por la cual éste deba contar con la información solicitada, en cuyo caso, tendría que orientar al particular para que acuda a la instancia competente.</w:t>
      </w:r>
    </w:p>
    <w:p w:rsidR="00C6345E" w:rsidRDefault="00C6345E" w:rsidP="00C6345E">
      <w:pPr>
        <w:spacing w:line="360" w:lineRule="auto"/>
        <w:jc w:val="both"/>
        <w:rPr>
          <w:rFonts w:ascii="Palatino Linotype" w:eastAsia="Palatino Linotype" w:hAnsi="Palatino Linotype" w:cs="Palatino Linotype"/>
          <w:color w:val="000000"/>
        </w:rPr>
      </w:pPr>
    </w:p>
    <w:p w:rsidR="00913A86" w:rsidRPr="000A5DBF" w:rsidRDefault="00C6345E" w:rsidP="000A5DB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913A86" w:rsidRPr="000A5DBF" w:rsidRDefault="000A5DBF" w:rsidP="000A5D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tal como se mencionó en los a</w:t>
      </w:r>
      <w:r w:rsidR="006F3461">
        <w:rPr>
          <w:rFonts w:ascii="Palatino Linotype" w:eastAsia="Palatino Linotype" w:hAnsi="Palatino Linotype" w:cs="Palatino Linotype"/>
        </w:rPr>
        <w:t xml:space="preserve">ntecedentes, en fecha </w:t>
      </w:r>
      <w:r w:rsidR="006F3461" w:rsidRPr="006F3461">
        <w:rPr>
          <w:rFonts w:ascii="Palatino Linotype" w:eastAsia="Palatino Linotype" w:hAnsi="Palatino Linotype" w:cs="Palatino Linotype"/>
          <w:b/>
        </w:rPr>
        <w:t>veintiséis</w:t>
      </w:r>
      <w:r w:rsidRPr="006F3461">
        <w:rPr>
          <w:rFonts w:ascii="Palatino Linotype" w:eastAsia="Palatino Linotype" w:hAnsi="Palatino Linotype" w:cs="Palatino Linotype"/>
          <w:b/>
        </w:rPr>
        <w:t xml:space="preserve"> de noviembre del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la incompetencia para atender la solicitud de información, es de precisar que esta situación aconteció al </w:t>
      </w:r>
      <w:r w:rsidR="006F3461">
        <w:rPr>
          <w:rFonts w:ascii="Palatino Linotype" w:eastAsia="Palatino Linotype" w:hAnsi="Palatino Linotype" w:cs="Palatino Linotype"/>
          <w:b/>
        </w:rPr>
        <w:t>décimo quinto</w:t>
      </w:r>
      <w:r>
        <w:rPr>
          <w:rFonts w:ascii="Palatino Linotype" w:eastAsia="Palatino Linotype" w:hAnsi="Palatino Linotype" w:cs="Palatino Linotype"/>
          <w:b/>
        </w:rPr>
        <w:t xml:space="preserve"> día hábil</w:t>
      </w:r>
      <w:r w:rsidR="006F3461">
        <w:rPr>
          <w:rFonts w:ascii="Palatino Linotype" w:eastAsia="Palatino Linotype" w:hAnsi="Palatino Linotype" w:cs="Palatino Linotype"/>
        </w:rPr>
        <w:t>, lo cual si bien es cierto, contraviene</w:t>
      </w:r>
      <w:r>
        <w:rPr>
          <w:rFonts w:ascii="Palatino Linotype" w:eastAsia="Palatino Linotype" w:hAnsi="Palatino Linotype" w:cs="Palatino Linotype"/>
        </w:rPr>
        <w:t xml:space="preserve"> a lo establecido en el artículo 167 de la Ley de Transparencia y Acceso a la Información Pública del Estado de </w:t>
      </w:r>
      <w:r w:rsidR="002F08A5">
        <w:rPr>
          <w:rFonts w:ascii="Palatino Linotype" w:eastAsia="Palatino Linotype" w:hAnsi="Palatino Linotype" w:cs="Palatino Linotype"/>
        </w:rPr>
        <w:t>México y Municipios, el cual refiere que cuando las unidades de transparencia determinen la notoria incompetencia deben realizar lo siguiente:</w:t>
      </w:r>
    </w:p>
    <w:p w:rsidR="00913A86" w:rsidRDefault="002F08A5">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Hacerlo del conocimiento del Particular, dentro de los tres días hábiles, posteriores a la presentación de la solicitud de información, y</w:t>
      </w:r>
    </w:p>
    <w:p w:rsidR="00913A86" w:rsidRDefault="00913A86">
      <w:pPr>
        <w:spacing w:line="360" w:lineRule="auto"/>
        <w:ind w:left="720"/>
        <w:jc w:val="both"/>
        <w:rPr>
          <w:rFonts w:ascii="Palatino Linotype" w:eastAsia="Palatino Linotype" w:hAnsi="Palatino Linotype" w:cs="Palatino Linotype"/>
        </w:rPr>
      </w:pPr>
    </w:p>
    <w:p w:rsidR="00913A86" w:rsidRDefault="002F08A5">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caso de conocer el Sujeto Obligado competente, orientarlo a presentar la solicitud ante el mismo.</w:t>
      </w:r>
    </w:p>
    <w:p w:rsidR="006F3461" w:rsidRDefault="006F3461">
      <w:pPr>
        <w:spacing w:line="360" w:lineRule="auto"/>
        <w:jc w:val="both"/>
        <w:rPr>
          <w:rFonts w:ascii="Palatino Linotype" w:eastAsia="Palatino Linotype" w:hAnsi="Palatino Linotype" w:cs="Palatino Linotype"/>
          <w:szCs w:val="22"/>
        </w:rPr>
      </w:pPr>
    </w:p>
    <w:p w:rsidR="00913A86" w:rsidRPr="006F3461" w:rsidRDefault="006F3461">
      <w:pPr>
        <w:spacing w:line="360" w:lineRule="auto"/>
        <w:jc w:val="both"/>
        <w:rPr>
          <w:rFonts w:ascii="Palatino Linotype" w:eastAsia="Palatino Linotype" w:hAnsi="Palatino Linotype" w:cs="Palatino Linotype"/>
          <w:szCs w:val="22"/>
        </w:rPr>
      </w:pPr>
      <w:r w:rsidRPr="006F3461">
        <w:rPr>
          <w:rFonts w:ascii="Palatino Linotype" w:eastAsia="Palatino Linotype" w:hAnsi="Palatino Linotype" w:cs="Palatino Linotype"/>
          <w:szCs w:val="22"/>
        </w:rPr>
        <w:t xml:space="preserve">No menos cierto es que </w:t>
      </w:r>
      <w:r>
        <w:rPr>
          <w:rFonts w:ascii="Palatino Linotype" w:eastAsia="Palatino Linotype" w:hAnsi="Palatino Linotype" w:cs="Palatino Linotype"/>
          <w:szCs w:val="22"/>
        </w:rPr>
        <w:t xml:space="preserve">su pronunciamiento se encuentra dentro del plazo para otorgar respuesta a la solicitud,  previsto en el artículo 163, aunado a que </w:t>
      </w:r>
      <w:r w:rsidRPr="006F3461">
        <w:rPr>
          <w:rFonts w:ascii="Palatino Linotype" w:eastAsia="Palatino Linotype" w:hAnsi="Palatino Linotype" w:cs="Palatino Linotype"/>
          <w:szCs w:val="22"/>
        </w:rPr>
        <w:t xml:space="preserve">del análisis a lo remitido en respuesta por el </w:t>
      </w:r>
      <w:r w:rsidRPr="006F3461">
        <w:rPr>
          <w:rFonts w:ascii="Palatino Linotype" w:eastAsia="Palatino Linotype" w:hAnsi="Palatino Linotype" w:cs="Palatino Linotype"/>
          <w:b/>
          <w:szCs w:val="22"/>
        </w:rPr>
        <w:t>Sujeto Obligado</w:t>
      </w:r>
      <w:r w:rsidRPr="006F3461">
        <w:rPr>
          <w:rFonts w:ascii="Palatino Linotype" w:eastAsia="Palatino Linotype" w:hAnsi="Palatino Linotype" w:cs="Palatino Linotype"/>
          <w:szCs w:val="22"/>
        </w:rPr>
        <w:t>, se advierte que</w:t>
      </w:r>
      <w:r>
        <w:rPr>
          <w:rFonts w:ascii="Palatino Linotype" w:eastAsia="Palatino Linotype" w:hAnsi="Palatino Linotype" w:cs="Palatino Linotype"/>
          <w:szCs w:val="22"/>
        </w:rPr>
        <w:t xml:space="preserve"> es incompetente para dar respuesta a la solicitud de información</w:t>
      </w:r>
      <w:r w:rsidRPr="006F3461">
        <w:rPr>
          <w:rFonts w:ascii="Palatino Linotype" w:eastAsia="Palatino Linotype" w:hAnsi="Palatino Linotype" w:cs="Palatino Linotype"/>
          <w:szCs w:val="22"/>
        </w:rPr>
        <w:t xml:space="preserve">. Por lo que se exhorta al Sujeto Obligado a observar en estricto sentido los plazos establecidos por la legislación aplicable en la materia para </w:t>
      </w:r>
      <w:r>
        <w:rPr>
          <w:rFonts w:ascii="Palatino Linotype" w:eastAsia="Palatino Linotype" w:hAnsi="Palatino Linotype" w:cs="Palatino Linotype"/>
          <w:szCs w:val="22"/>
        </w:rPr>
        <w:t xml:space="preserve">manifestar su incompetencia al momento de </w:t>
      </w:r>
      <w:r w:rsidRPr="006F3461">
        <w:rPr>
          <w:rFonts w:ascii="Palatino Linotype" w:eastAsia="Palatino Linotype" w:hAnsi="Palatino Linotype" w:cs="Palatino Linotype"/>
          <w:szCs w:val="22"/>
        </w:rPr>
        <w:t>dar respuesta a las solicitudes de información que les corresponda atender.</w:t>
      </w:r>
    </w:p>
    <w:p w:rsidR="006F3461" w:rsidRDefault="006F3461">
      <w:pPr>
        <w:spacing w:line="360" w:lineRule="auto"/>
        <w:jc w:val="both"/>
        <w:rPr>
          <w:rFonts w:ascii="Palatino Linotype" w:eastAsia="Palatino Linotype" w:hAnsi="Palatino Linotype" w:cs="Palatino Linotype"/>
        </w:rPr>
      </w:pPr>
    </w:p>
    <w:p w:rsidR="006F3461" w:rsidRDefault="006F3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w:t>
      </w:r>
      <w:r w:rsidR="002F08A5">
        <w:rPr>
          <w:rFonts w:ascii="Palatino Linotype" w:eastAsia="Palatino Linotype" w:hAnsi="Palatino Linotype" w:cs="Palatino Linotype"/>
        </w:rPr>
        <w:t>n el presente caso, de la re</w:t>
      </w:r>
      <w:r>
        <w:rPr>
          <w:rFonts w:ascii="Palatino Linotype" w:eastAsia="Palatino Linotype" w:hAnsi="Palatino Linotype" w:cs="Palatino Linotype"/>
        </w:rPr>
        <w:t xml:space="preserve">visión de las constancias del expediente </w:t>
      </w:r>
      <w:r w:rsidR="002F08A5">
        <w:rPr>
          <w:rFonts w:ascii="Palatino Linotype" w:eastAsia="Palatino Linotype" w:hAnsi="Palatino Linotype" w:cs="Palatino Linotype"/>
        </w:rPr>
        <w:t>electrónico, localizados en el Sistema de Acceso a la Información Mexiquense (SAIMEX)</w:t>
      </w:r>
      <w:r>
        <w:rPr>
          <w:rFonts w:ascii="Palatino Linotype" w:eastAsia="Palatino Linotype" w:hAnsi="Palatino Linotype" w:cs="Palatino Linotype"/>
        </w:rPr>
        <w:t xml:space="preserve">, se advierte que la Secretaría de Desarrollo Social no </w:t>
      </w:r>
      <w:r w:rsidR="002F08A5">
        <w:rPr>
          <w:rFonts w:ascii="Palatino Linotype" w:eastAsia="Palatino Linotype" w:hAnsi="Palatino Linotype" w:cs="Palatino Linotype"/>
        </w:rPr>
        <w:t xml:space="preserve">cumplió con </w:t>
      </w:r>
      <w:r>
        <w:rPr>
          <w:rFonts w:ascii="Palatino Linotype" w:eastAsia="Palatino Linotype" w:hAnsi="Palatino Linotype" w:cs="Palatino Linotype"/>
        </w:rPr>
        <w:t xml:space="preserve">uno de </w:t>
      </w:r>
      <w:r w:rsidR="002F08A5">
        <w:rPr>
          <w:rFonts w:ascii="Palatino Linotype" w:eastAsia="Palatino Linotype" w:hAnsi="Palatino Linotype" w:cs="Palatino Linotype"/>
        </w:rPr>
        <w:t xml:space="preserve">los dos parámetros previamente establecidos, pues </w:t>
      </w:r>
      <w:r>
        <w:rPr>
          <w:rFonts w:ascii="Palatino Linotype" w:eastAsia="Palatino Linotype" w:hAnsi="Palatino Linotype" w:cs="Palatino Linotype"/>
        </w:rPr>
        <w:t xml:space="preserve">no </w:t>
      </w:r>
      <w:r w:rsidR="002F08A5">
        <w:rPr>
          <w:rFonts w:ascii="Palatino Linotype" w:eastAsia="Palatino Linotype" w:hAnsi="Palatino Linotype" w:cs="Palatino Linotype"/>
        </w:rPr>
        <w:t>dio contestación dentro de los tres días hábiles posteriores a la presentaci</w:t>
      </w:r>
      <w:r w:rsidR="000B2093">
        <w:rPr>
          <w:rFonts w:ascii="Palatino Linotype" w:eastAsia="Palatino Linotype" w:hAnsi="Palatino Linotype" w:cs="Palatino Linotype"/>
        </w:rPr>
        <w:t xml:space="preserve">ón del requerimiento; no obstante, no debemos perder de vista el </w:t>
      </w:r>
      <w:r w:rsidR="002F08A5">
        <w:rPr>
          <w:rFonts w:ascii="Palatino Linotype" w:eastAsia="Palatino Linotype" w:hAnsi="Palatino Linotype" w:cs="Palatino Linotype"/>
        </w:rPr>
        <w:t xml:space="preserve">hecho </w:t>
      </w:r>
      <w:r w:rsidR="000B2093">
        <w:rPr>
          <w:rFonts w:ascii="Palatino Linotype" w:eastAsia="Palatino Linotype" w:hAnsi="Palatino Linotype" w:cs="Palatino Linotype"/>
        </w:rPr>
        <w:t xml:space="preserve">de que orientó al particular para efecto de que formule su solicitud </w:t>
      </w:r>
      <w:r w:rsidR="002F08A5">
        <w:rPr>
          <w:rFonts w:ascii="Palatino Linotype" w:eastAsia="Palatino Linotype" w:hAnsi="Palatino Linotype" w:cs="Palatino Linotype"/>
        </w:rPr>
        <w:t>a</w:t>
      </w:r>
      <w:r w:rsidR="000B2093">
        <w:rPr>
          <w:rFonts w:ascii="Palatino Linotype" w:eastAsia="Palatino Linotype" w:hAnsi="Palatino Linotype" w:cs="Palatino Linotype"/>
        </w:rPr>
        <w:t>nte el Sujeto Obligado competente,</w:t>
      </w:r>
      <w:r w:rsidR="002F08A5">
        <w:rPr>
          <w:rFonts w:ascii="Palatino Linotype" w:eastAsia="Palatino Linotype" w:hAnsi="Palatino Linotype" w:cs="Palatino Linotype"/>
        </w:rPr>
        <w:t xml:space="preserve"> tanto en respuesta como en informe justificado, sin pasar de vista que este último punto es una facultad potestativa del Sujeto</w:t>
      </w:r>
      <w:r w:rsidR="000B2093">
        <w:rPr>
          <w:rFonts w:ascii="Palatino Linotype" w:eastAsia="Palatino Linotype" w:hAnsi="Palatino Linotype" w:cs="Palatino Linotype"/>
        </w:rPr>
        <w:t xml:space="preserve"> Obligado, por lo que, se tiene por atendido el requerimiento</w:t>
      </w:r>
      <w:r w:rsidR="002F08A5">
        <w:rPr>
          <w:rFonts w:ascii="Palatino Linotype" w:eastAsia="Palatino Linotype" w:hAnsi="Palatino Linotype" w:cs="Palatino Linotype"/>
        </w:rPr>
        <w:t xml:space="preserve"> de información.</w:t>
      </w:r>
    </w:p>
    <w:p w:rsidR="006F3461" w:rsidRDefault="006F3461">
      <w:pPr>
        <w:spacing w:line="360" w:lineRule="auto"/>
        <w:jc w:val="both"/>
        <w:rPr>
          <w:rFonts w:ascii="Palatino Linotype" w:eastAsia="Palatino Linotype" w:hAnsi="Palatino Linotype" w:cs="Palatino Linotype"/>
        </w:rPr>
      </w:pPr>
    </w:p>
    <w:p w:rsidR="00913A86" w:rsidRDefault="002F08A5">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Sujeto Obligado.</w:t>
      </w:r>
    </w:p>
    <w:p w:rsidR="00913A86" w:rsidRDefault="00913A86">
      <w:pPr>
        <w:spacing w:line="360" w:lineRule="auto"/>
        <w:jc w:val="both"/>
        <w:rPr>
          <w:rFonts w:ascii="Palatino Linotype" w:eastAsia="Palatino Linotype" w:hAnsi="Palatino Linotype" w:cs="Palatino Linotype"/>
        </w:rPr>
      </w:pPr>
    </w:p>
    <w:p w:rsidR="000B2093" w:rsidRDefault="002F08A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913A86" w:rsidRDefault="002F08A5">
      <w:pPr>
        <w:numPr>
          <w:ilvl w:val="0"/>
          <w:numId w:val="3"/>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913A86" w:rsidRDefault="002F08A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sidR="000A5DBF">
        <w:rPr>
          <w:rFonts w:ascii="Palatino Linotype" w:eastAsia="Palatino Linotype" w:hAnsi="Palatino Linotype" w:cs="Palatino Linotype"/>
          <w:b/>
        </w:rPr>
        <w:t xml:space="preserve"> 0619</w:t>
      </w:r>
      <w:r>
        <w:rPr>
          <w:rFonts w:ascii="Palatino Linotype" w:eastAsia="Palatino Linotype" w:hAnsi="Palatino Linotype" w:cs="Palatino Linotype"/>
          <w:b/>
        </w:rPr>
        <w:t xml:space="preserve">4/INFOEM/IP/RR/2021,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b/>
        </w:rPr>
        <w:t>Notifíquese al Titular de la Unidad de Transparencia, vía Sistema de Acceso a la Información Mexiquense (SAIMEX),</w:t>
      </w:r>
      <w:r>
        <w:rPr>
          <w:rFonts w:ascii="Palatino Linotype" w:eastAsia="Palatino Linotype" w:hAnsi="Palatino Linotype" w:cs="Palatino Linotype"/>
        </w:rPr>
        <w:t xml:space="preserve"> para su conocimiento.</w:t>
      </w:r>
    </w:p>
    <w:p w:rsidR="00913A86" w:rsidRPr="00364BD3" w:rsidRDefault="002F08A5">
      <w:pPr>
        <w:spacing w:before="240" w:after="240" w:line="360" w:lineRule="auto"/>
        <w:jc w:val="both"/>
        <w:rPr>
          <w:rFonts w:ascii="Palatino Linotype" w:eastAsia="Palatino Linotype" w:hAnsi="Palatino Linotype" w:cs="Palatino Linotype"/>
          <w:b/>
          <w:color w:val="FF0000"/>
          <w:highlight w:val="yellow"/>
        </w:rPr>
      </w:pPr>
      <w:bookmarkStart w:id="1" w:name="_heading=h.gjdgxs" w:colFirst="0" w:colLast="0"/>
      <w:bookmarkEnd w:id="1"/>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Notifíquese vía Sistema de Acceso a la Información Mexiquense (SAIMEX)</w:t>
      </w:r>
      <w:r w:rsidRPr="00364BD3">
        <w:rPr>
          <w:rFonts w:ascii="Palatino Linotype" w:eastAsia="Palatino Linotype" w:hAnsi="Palatino Linotype" w:cs="Palatino Linotype"/>
          <w:b/>
          <w:color w:val="000000" w:themeColor="text1"/>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rsidR="00913A86" w:rsidRDefault="00321734">
      <w:pPr>
        <w:spacing w:before="240" w:after="240" w:line="360" w:lineRule="auto"/>
        <w:jc w:val="both"/>
        <w:rPr>
          <w:rFonts w:ascii="Palatino Linotype" w:eastAsia="Palatino Linotype" w:hAnsi="Palatino Linotype" w:cs="Palatino Linotype"/>
        </w:rPr>
        <w:sectPr w:rsidR="00913A86">
          <w:headerReference w:type="default" r:id="rId20"/>
          <w:footerReference w:type="default" r:id="rId21"/>
          <w:headerReference w:type="first" r:id="rId22"/>
          <w:footerReference w:type="first" r:id="rId23"/>
          <w:pgSz w:w="12240" w:h="15840"/>
          <w:pgMar w:top="1417" w:right="1750" w:bottom="1417" w:left="1701" w:header="708" w:footer="708"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simplePos x="0" y="0"/>
                <wp:positionH relativeFrom="column">
                  <wp:posOffset>167640</wp:posOffset>
                </wp:positionH>
                <wp:positionV relativeFrom="paragraph">
                  <wp:posOffset>3053079</wp:posOffset>
                </wp:positionV>
                <wp:extent cx="5219700" cy="427672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219700" cy="427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F267B" id="Conector recto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2pt,240.4pt" to="424.2pt,5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" strokecolor="black [3040]"/>
            </w:pict>
          </mc:Fallback>
        </mc:AlternateContent>
      </w:r>
      <w:r w:rsidR="002F08A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(AUSENCIA JUSTIFICADA); MARÍA DEL ROSARIO MEJÍA AYALA; LUIS GUSTAVO PARRA NORIEGA Y GU</w:t>
      </w:r>
      <w:r w:rsidR="00423D0F">
        <w:rPr>
          <w:rFonts w:ascii="Palatino Linotype" w:eastAsia="Palatino Linotype" w:hAnsi="Palatino Linotype" w:cs="Palatino Linotype"/>
        </w:rPr>
        <w:t>ADALUPE RAMÍREZ PEÑA; EN LA SEX</w:t>
      </w:r>
      <w:r w:rsidR="002F08A5">
        <w:rPr>
          <w:rFonts w:ascii="Palatino Linotype" w:eastAsia="Palatino Linotype" w:hAnsi="Palatino Linotype" w:cs="Palatino Linotype"/>
        </w:rPr>
        <w:t>TA SE</w:t>
      </w:r>
      <w:r w:rsidR="00423D0F">
        <w:rPr>
          <w:rFonts w:ascii="Palatino Linotype" w:eastAsia="Palatino Linotype" w:hAnsi="Palatino Linotype" w:cs="Palatino Linotype"/>
        </w:rPr>
        <w:t>SIÓ</w:t>
      </w:r>
      <w:r w:rsidR="00F42FA8">
        <w:rPr>
          <w:rFonts w:ascii="Palatino Linotype" w:eastAsia="Palatino Linotype" w:hAnsi="Palatino Linotype" w:cs="Palatino Linotype"/>
        </w:rPr>
        <w:t>N ORDINARIA CELEBRADA EL DIECISÉIS DE</w:t>
      </w:r>
      <w:r w:rsidR="002F08A5">
        <w:rPr>
          <w:rFonts w:ascii="Palatino Linotype" w:eastAsia="Palatino Linotype" w:hAnsi="Palatino Linotype" w:cs="Palatino Linotype"/>
        </w:rPr>
        <w:t xml:space="preserve"> FEBRERO DEL DOS MIL VEINTIDÓS, ANTE EL SECRETARIO TÉCNICO DEL PLENO, ALEXIS TAPIA RAMÍREZ.</w:t>
      </w: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913A86">
      <w:headerReference w:type="first" r:id="rId24"/>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57F" w:rsidRDefault="0021057F">
      <w:r>
        <w:separator/>
      </w:r>
    </w:p>
  </w:endnote>
  <w:endnote w:type="continuationSeparator" w:id="0">
    <w:p w:rsidR="0021057F" w:rsidRDefault="00210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B36BE">
      <w:rPr>
        <w:rFonts w:ascii="Arial" w:eastAsia="Arial" w:hAnsi="Arial" w:cs="Arial"/>
        <w:b/>
        <w:noProof/>
        <w:color w:val="000000"/>
        <w:sz w:val="20"/>
        <w:szCs w:val="20"/>
      </w:rPr>
      <w:t>14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B36BE">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rsidR="00913A86" w:rsidRDefault="00913A86">
    <w:pPr>
      <w:pBdr>
        <w:top w:val="nil"/>
        <w:left w:val="nil"/>
        <w:bottom w:val="nil"/>
        <w:right w:val="nil"/>
        <w:between w:val="nil"/>
      </w:pBdr>
      <w:tabs>
        <w:tab w:val="center" w:pos="4252"/>
        <w:tab w:val="right" w:pos="8504"/>
      </w:tabs>
      <w:rPr>
        <w:color w:val="000000"/>
      </w:rPr>
    </w:pPr>
  </w:p>
  <w:p w:rsidR="00913A86" w:rsidRDefault="00913A8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B36B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B36BE">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57F" w:rsidRDefault="0021057F">
      <w:r>
        <w:separator/>
      </w:r>
    </w:p>
  </w:footnote>
  <w:footnote w:type="continuationSeparator" w:id="0">
    <w:p w:rsidR="0021057F" w:rsidRDefault="0021057F">
      <w:r>
        <w:continuationSeparator/>
      </w:r>
    </w:p>
  </w:footnote>
  <w:footnote w:id="1">
    <w:p w:rsidR="00331249" w:rsidRPr="00331249" w:rsidRDefault="00331249">
      <w:pPr>
        <w:pStyle w:val="Textonotapie"/>
        <w:rPr>
          <w:rFonts w:ascii="Palatino Linotype" w:hAnsi="Palatino Linotype"/>
          <w:lang w:val="es-ES"/>
        </w:rPr>
      </w:pPr>
      <w:r>
        <w:rPr>
          <w:rStyle w:val="Refdenotaalpie"/>
        </w:rPr>
        <w:footnoteRef/>
      </w:r>
      <w:r>
        <w:t xml:space="preserve"> </w:t>
      </w:r>
      <w:r w:rsidRPr="00331249">
        <w:rPr>
          <w:rFonts w:ascii="Palatino Linotype" w:hAnsi="Palatino Linotype"/>
          <w:lang w:val="es-ES"/>
        </w:rPr>
        <w:t>2. Glosario de términos Para efecto de las presentes reglas, se entiende por:</w:t>
      </w:r>
    </w:p>
    <w:p w:rsidR="00331249" w:rsidRPr="00331249" w:rsidRDefault="00331249">
      <w:pPr>
        <w:pStyle w:val="Textonotapie"/>
        <w:rPr>
          <w:lang w:val="es-ES"/>
        </w:rPr>
      </w:pPr>
      <w:r w:rsidRPr="00331249">
        <w:rPr>
          <w:rFonts w:ascii="Palatino Linotype" w:hAnsi="Palatino Linotype"/>
          <w:b/>
          <w:lang w:val="es-ES"/>
        </w:rPr>
        <w:t>CEMyBS</w:t>
      </w:r>
      <w:r w:rsidRPr="00331249">
        <w:rPr>
          <w:rFonts w:ascii="Palatino Linotype" w:hAnsi="Palatino Linotype"/>
          <w:lang w:val="es-ES"/>
        </w:rPr>
        <w:t>, al Consejo Estatal de la Mujer y Bienestar Social</w:t>
      </w:r>
    </w:p>
  </w:footnote>
  <w:footnote w:id="2">
    <w:p w:rsidR="00331249" w:rsidRPr="00331249" w:rsidRDefault="00331249">
      <w:pPr>
        <w:pStyle w:val="Textonotapie"/>
        <w:rPr>
          <w:rFonts w:ascii="Palatino Linotype" w:hAnsi="Palatino Linotype"/>
        </w:rPr>
      </w:pPr>
      <w:r>
        <w:rPr>
          <w:rStyle w:val="Refdenotaalpie"/>
        </w:rPr>
        <w:footnoteRef/>
      </w:r>
      <w:r>
        <w:t xml:space="preserve"> </w:t>
      </w:r>
      <w:r w:rsidRPr="00331249">
        <w:rPr>
          <w:rFonts w:ascii="Palatino Linotype" w:hAnsi="Palatino Linotype"/>
          <w:lang w:val="es-ES"/>
        </w:rPr>
        <w:t>8.2 Instancia ejecutora</w:t>
      </w:r>
      <w:r>
        <w:rPr>
          <w:rFonts w:ascii="Palatino Linotype" w:hAnsi="Palatino Linotype"/>
          <w:lang w:val="es-ES"/>
        </w:rPr>
        <w:t>:</w:t>
      </w:r>
      <w:r w:rsidRPr="00331249">
        <w:rPr>
          <w:rFonts w:ascii="Palatino Linotype" w:hAnsi="Palatino Linotype"/>
          <w:lang w:val="es-ES"/>
        </w:rPr>
        <w:t xml:space="preserve"> La Dirección de Bienestar Social para la Mujer del CEMyBS.</w:t>
      </w:r>
    </w:p>
  </w:footnote>
  <w:footnote w:id="3">
    <w:p w:rsidR="00C646BE" w:rsidRPr="00C646BE" w:rsidRDefault="00C646BE">
      <w:pPr>
        <w:pStyle w:val="Textonotapie"/>
        <w:rPr>
          <w:rFonts w:ascii="Palatino Linotype" w:hAnsi="Palatino Linotype"/>
        </w:rPr>
      </w:pPr>
      <w:r w:rsidRPr="00C646BE">
        <w:rPr>
          <w:rStyle w:val="Refdenotaalpie"/>
          <w:rFonts w:ascii="Palatino Linotype" w:hAnsi="Palatino Linotype"/>
        </w:rPr>
        <w:footnoteRef/>
      </w:r>
      <w:r w:rsidRPr="00C646BE">
        <w:rPr>
          <w:rFonts w:ascii="Palatino Linotype" w:hAnsi="Palatino Linotype"/>
        </w:rPr>
        <w:t xml:space="preserve"> Instancia ejecutora: a la Dirección General de Programas Sociales Estratégicos.</w:t>
      </w:r>
      <w:r w:rsidRPr="00C646BE">
        <w:rPr>
          <w:rFonts w:ascii="Palatino Linotype" w:hAnsi="Palatino Linotype"/>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D4C09">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32B23CF" wp14:editId="79096E19">
          <wp:simplePos x="0" y="0"/>
          <wp:positionH relativeFrom="page">
            <wp:align>left</wp:align>
          </wp:positionH>
          <wp:positionV relativeFrom="paragraph">
            <wp:posOffset>-394970</wp:posOffset>
          </wp:positionV>
          <wp:extent cx="7635600" cy="9943200"/>
          <wp:effectExtent l="0" t="0" r="3810" b="1270"/>
          <wp:wrapNone/>
          <wp:docPr id="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1"/>
      <w:tblW w:w="6240" w:type="dxa"/>
      <w:tblInd w:w="3746" w:type="dxa"/>
      <w:tblLayout w:type="fixed"/>
      <w:tblLook w:val="0400" w:firstRow="0" w:lastRow="0" w:firstColumn="0" w:lastColumn="0" w:noHBand="0" w:noVBand="1"/>
    </w:tblPr>
    <w:tblGrid>
      <w:gridCol w:w="2553"/>
      <w:gridCol w:w="3687"/>
    </w:tblGrid>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913A86" w:rsidRDefault="00D52C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0619</w:t>
          </w:r>
          <w:r w:rsidR="002F08A5">
            <w:rPr>
              <w:rFonts w:ascii="Palatino Linotype" w:eastAsia="Palatino Linotype" w:hAnsi="Palatino Linotype" w:cs="Palatino Linotype"/>
              <w:b/>
              <w:sz w:val="22"/>
              <w:szCs w:val="22"/>
            </w:rPr>
            <w:t>4/INFOEM/IP/RR/2021</w:t>
          </w:r>
        </w:p>
      </w:tc>
    </w:tr>
    <w:tr w:rsidR="00913A86">
      <w:trPr>
        <w:trHeight w:val="228"/>
      </w:trPr>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913A86" w:rsidRDefault="00D52CA6">
          <w:pPr>
            <w:ind w:right="664"/>
            <w:jc w:val="both"/>
            <w:rPr>
              <w:rFonts w:ascii="Palatino Linotype" w:eastAsia="Palatino Linotype" w:hAnsi="Palatino Linotype" w:cs="Palatino Linotype"/>
              <w:b/>
              <w:sz w:val="22"/>
              <w:szCs w:val="22"/>
            </w:rPr>
          </w:pPr>
          <w:r w:rsidRPr="00D52CA6">
            <w:rPr>
              <w:rFonts w:ascii="Palatino Linotype" w:eastAsia="Palatino Linotype" w:hAnsi="Palatino Linotype" w:cs="Palatino Linotype"/>
              <w:b/>
              <w:sz w:val="22"/>
              <w:szCs w:val="22"/>
            </w:rPr>
            <w:t>Secretaría de Desarrollo Social</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913A86" w:rsidRDefault="002F08A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42FA8" w:rsidRDefault="00F42FA8">
    <w:pPr>
      <w:rPr>
        <w:rFonts w:ascii="Cambria" w:eastAsia="Cambria" w:hAnsi="Cambria" w:cs="Cambria"/>
        <w:color w:val="000000"/>
      </w:rPr>
    </w:pPr>
    <w:r>
      <w:rPr>
        <w:rFonts w:ascii="Cambria" w:eastAsia="Cambria" w:hAnsi="Cambria" w:cs="Cambria"/>
        <w:color w:val="000000"/>
      </w:rPr>
      <w:tab/>
    </w:r>
  </w:p>
  <w:p w:rsidR="00F42FA8" w:rsidRDefault="00F42FA8">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-343534</wp:posOffset>
          </wp:positionV>
          <wp:extent cx="7635600" cy="9943200"/>
          <wp:effectExtent l="0" t="0" r="0" b="0"/>
          <wp:wrapNone/>
          <wp:docPr id="5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2"/>
      <w:tblW w:w="6240" w:type="dxa"/>
      <w:tblInd w:w="3685" w:type="dxa"/>
      <w:tblLayout w:type="fixed"/>
      <w:tblLook w:val="0400" w:firstRow="0" w:lastRow="0" w:firstColumn="0" w:lastColumn="0" w:noHBand="0" w:noVBand="1"/>
    </w:tblPr>
    <w:tblGrid>
      <w:gridCol w:w="2553"/>
      <w:gridCol w:w="3687"/>
    </w:tblGrid>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913A86" w:rsidRDefault="00D52C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0619</w:t>
          </w:r>
          <w:r w:rsidR="002F08A5">
            <w:rPr>
              <w:rFonts w:ascii="Palatino Linotype" w:eastAsia="Palatino Linotype" w:hAnsi="Palatino Linotype" w:cs="Palatino Linotype"/>
              <w:b/>
              <w:sz w:val="22"/>
              <w:szCs w:val="22"/>
            </w:rPr>
            <w:t>4/INFOEM/IP/RR/2021</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913A86" w:rsidRDefault="008B36BE" w:rsidP="008B36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 xxxxxxxxxx xx xxxxxxxxxxxxx</w:t>
          </w:r>
        </w:p>
      </w:tc>
    </w:tr>
    <w:tr w:rsidR="00913A86">
      <w:trPr>
        <w:trHeight w:val="228"/>
      </w:trPr>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913A86" w:rsidRDefault="00D52CA6">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Desarrollo Social</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913A86" w:rsidRDefault="002F08A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F3628"/>
    <w:multiLevelType w:val="multilevel"/>
    <w:tmpl w:val="B0E6F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4D5E81"/>
    <w:multiLevelType w:val="multilevel"/>
    <w:tmpl w:val="AA5E7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D70C22"/>
    <w:multiLevelType w:val="hybridMultilevel"/>
    <w:tmpl w:val="4FF835E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394AAB"/>
    <w:multiLevelType w:val="hybridMultilevel"/>
    <w:tmpl w:val="085059D4"/>
    <w:lvl w:ilvl="0" w:tplc="1A6AA1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FA50276"/>
    <w:multiLevelType w:val="multilevel"/>
    <w:tmpl w:val="0F208FEC"/>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5">
    <w:nsid w:val="37561106"/>
    <w:multiLevelType w:val="multilevel"/>
    <w:tmpl w:val="73EA37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32B007A"/>
    <w:multiLevelType w:val="multilevel"/>
    <w:tmpl w:val="002E21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nsid w:val="4A1E16A5"/>
    <w:multiLevelType w:val="hybridMultilevel"/>
    <w:tmpl w:val="5FFE32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4CE5147"/>
    <w:multiLevelType w:val="hybridMultilevel"/>
    <w:tmpl w:val="C57C9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C8E2F86"/>
    <w:multiLevelType w:val="hybridMultilevel"/>
    <w:tmpl w:val="E5B6F54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DCF5196"/>
    <w:multiLevelType w:val="multilevel"/>
    <w:tmpl w:val="573C27C8"/>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4"/>
  </w:num>
  <w:num w:numId="2">
    <w:abstractNumId w:val="10"/>
  </w:num>
  <w:num w:numId="3">
    <w:abstractNumId w:val="5"/>
  </w:num>
  <w:num w:numId="4">
    <w:abstractNumId w:val="1"/>
  </w:num>
  <w:num w:numId="5">
    <w:abstractNumId w:val="0"/>
  </w:num>
  <w:num w:numId="6">
    <w:abstractNumId w:val="6"/>
  </w:num>
  <w:num w:numId="7">
    <w:abstractNumId w:val="8"/>
  </w:num>
  <w:num w:numId="8">
    <w:abstractNumId w:val="7"/>
  </w:num>
  <w:num w:numId="9">
    <w:abstractNumId w:val="2"/>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86"/>
    <w:rsid w:val="000A5DBF"/>
    <w:rsid w:val="000B2093"/>
    <w:rsid w:val="001C5C90"/>
    <w:rsid w:val="0021057F"/>
    <w:rsid w:val="00296B89"/>
    <w:rsid w:val="002D4C09"/>
    <w:rsid w:val="002F08A5"/>
    <w:rsid w:val="002F0D08"/>
    <w:rsid w:val="00321734"/>
    <w:rsid w:val="00331249"/>
    <w:rsid w:val="00364BD3"/>
    <w:rsid w:val="003A7CF8"/>
    <w:rsid w:val="00403562"/>
    <w:rsid w:val="00423D0F"/>
    <w:rsid w:val="00424BEB"/>
    <w:rsid w:val="00470EF5"/>
    <w:rsid w:val="0049482F"/>
    <w:rsid w:val="004F6279"/>
    <w:rsid w:val="0057475F"/>
    <w:rsid w:val="006A01C2"/>
    <w:rsid w:val="006C1122"/>
    <w:rsid w:val="006F3461"/>
    <w:rsid w:val="007B1D14"/>
    <w:rsid w:val="008B36BE"/>
    <w:rsid w:val="00913A86"/>
    <w:rsid w:val="00A57610"/>
    <w:rsid w:val="00A60BC0"/>
    <w:rsid w:val="00B5471D"/>
    <w:rsid w:val="00B81DF9"/>
    <w:rsid w:val="00C6345E"/>
    <w:rsid w:val="00C646BE"/>
    <w:rsid w:val="00D52CA6"/>
    <w:rsid w:val="00D52EFB"/>
    <w:rsid w:val="00D97472"/>
    <w:rsid w:val="00E546AF"/>
    <w:rsid w:val="00EC27EE"/>
    <w:rsid w:val="00F42FA8"/>
    <w:rsid w:val="00FA57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1360241-C885-4BE5-9533-E3C6CC98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987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n9tbJ5PchrOqA0/GN9coKAblzQ==">AMUW2mUrx321AFuJXeWl7ULZLK49KGitAsQAjQhST0vvMSD1Wd9HHDpUhDqE6+2GT46Aujt7xH4dk6TIVRjd6fJjw+46LC1qMDuBm4SjrWHn8ctUWD1JMuUYsVVrpUZUoG3taklwuwJA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AC5EBB-D2DF-474C-98AB-E925ABFF1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8736</Words>
  <Characters>48049</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2</cp:revision>
  <dcterms:created xsi:type="dcterms:W3CDTF">2022-02-25T20:31:00Z</dcterms:created>
  <dcterms:modified xsi:type="dcterms:W3CDTF">2022-02-25T20:31:00Z</dcterms:modified>
</cp:coreProperties>
</file>