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7C83C" w14:textId="77777777" w:rsidR="00CC7AD7" w:rsidRDefault="0069674E">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mayo de dos mil veintidós. </w:t>
      </w:r>
    </w:p>
    <w:p w14:paraId="4AA97A77"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00934/INFOEM/IP/RR/2022</w:t>
      </w:r>
      <w:r>
        <w:rPr>
          <w:rFonts w:ascii="Palatino Linotype" w:eastAsia="Palatino Linotype" w:hAnsi="Palatino Linotype" w:cs="Palatino Linotype"/>
        </w:rPr>
        <w:t>, interpuesto por una persona usuario del Sistema de Acceso a la Información Mexiquense (SAIMEX) que no proporcionó nombre o seudónimo y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Valle de Bravo,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2CC0ACF" w14:textId="77777777" w:rsidR="00CC7AD7" w:rsidRDefault="0069674E">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48C79066"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00056/VABRAVO/IP/2022, </w:t>
      </w:r>
      <w:r>
        <w:rPr>
          <w:rFonts w:ascii="Palatino Linotype" w:eastAsia="Palatino Linotype" w:hAnsi="Palatino Linotype" w:cs="Palatino Linotype"/>
        </w:rPr>
        <w:t xml:space="preserve">mediante la cual requirió la información siguiente: </w:t>
      </w:r>
    </w:p>
    <w:p w14:paraId="2AFB73CB" w14:textId="77777777" w:rsidR="00CC7AD7" w:rsidRDefault="0069674E">
      <w:pPr>
        <w:spacing w:line="276" w:lineRule="auto"/>
        <w:ind w:left="851" w:right="616"/>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“solicito nombres, cargos, y salarios del personal adscrito a la oficina municipal de enlace de la secretaria de relaciones exteriores, asi como del personal comisionado en las oficinas de Toluca Mexico.”(sic)</w:t>
      </w:r>
    </w:p>
    <w:p w14:paraId="0B960B51"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14:paraId="163CCA5E" w14:textId="77777777" w:rsidR="00CC7AD7" w:rsidRDefault="0069674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14:paraId="352C2482" w14:textId="77777777" w:rsidR="00CC7AD7" w:rsidRDefault="00CC7AD7">
      <w:pPr>
        <w:spacing w:line="360" w:lineRule="auto"/>
        <w:jc w:val="both"/>
        <w:rPr>
          <w:rFonts w:ascii="Palatino Linotype" w:eastAsia="Palatino Linotype" w:hAnsi="Palatino Linotype" w:cs="Palatino Linotype"/>
        </w:rPr>
      </w:pPr>
    </w:p>
    <w:p w14:paraId="79815714" w14:textId="77777777" w:rsidR="00CC7AD7" w:rsidRDefault="0069674E">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Se hace de su conocimiento que, la información solicitada no corresponde al Sujeto Obligado, en este caso, el Ayuntamiento de Valle de Bravo. Por lo cual, en atención a lo dispuesto por el Artículo 167 de la Ley de Transparencia y Acceso a la Información Pública del Estado de México y sus Municipios, no se puede dar respuesta.”(Sic)</w:t>
      </w:r>
    </w:p>
    <w:p w14:paraId="71F6A1E2" w14:textId="77777777" w:rsidR="00CC7AD7" w:rsidRDefault="00CC7AD7">
      <w:pPr>
        <w:spacing w:line="360" w:lineRule="auto"/>
        <w:ind w:right="49"/>
        <w:jc w:val="both"/>
        <w:rPr>
          <w:rFonts w:ascii="Palatino Linotype" w:eastAsia="Palatino Linotype" w:hAnsi="Palatino Linotype" w:cs="Palatino Linotype"/>
        </w:rPr>
      </w:pPr>
    </w:p>
    <w:p w14:paraId="1DAD529D" w14:textId="77777777" w:rsidR="00CC7AD7" w:rsidRDefault="0069674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al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el archivo electrónico identificado como </w:t>
      </w:r>
      <w:r>
        <w:rPr>
          <w:rFonts w:ascii="Palatino Linotype" w:eastAsia="Palatino Linotype" w:hAnsi="Palatino Linotype" w:cs="Palatino Linotype"/>
          <w:b/>
          <w:i/>
        </w:rPr>
        <w:t xml:space="preserve">“56 – incompetencia del SO.pdf” </w:t>
      </w:r>
      <w:r>
        <w:rPr>
          <w:rFonts w:ascii="Palatino Linotype" w:eastAsia="Palatino Linotype" w:hAnsi="Palatino Linotype" w:cs="Palatino Linotype"/>
        </w:rPr>
        <w:t xml:space="preserve">en el que se advierte lo siguiente: </w:t>
      </w:r>
    </w:p>
    <w:p w14:paraId="1D472016" w14:textId="77777777" w:rsidR="00CC7AD7" w:rsidRDefault="00CC7AD7">
      <w:pPr>
        <w:spacing w:line="360" w:lineRule="auto"/>
        <w:ind w:right="49"/>
        <w:jc w:val="both"/>
        <w:rPr>
          <w:rFonts w:ascii="Palatino Linotype" w:eastAsia="Palatino Linotype" w:hAnsi="Palatino Linotype" w:cs="Palatino Linotype"/>
        </w:rPr>
      </w:pPr>
    </w:p>
    <w:p w14:paraId="4CA6B7AB" w14:textId="77777777" w:rsidR="00CC7AD7" w:rsidRDefault="0069674E">
      <w:pPr>
        <w:spacing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14:anchorId="21736941" wp14:editId="63999629">
            <wp:extent cx="5612354" cy="3689644"/>
            <wp:effectExtent l="12700" t="12700" r="12700" b="127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354" cy="3689644"/>
                    </a:xfrm>
                    <a:prstGeom prst="rect">
                      <a:avLst/>
                    </a:prstGeom>
                    <a:ln w="12700">
                      <a:solidFill>
                        <a:srgbClr val="000000"/>
                      </a:solidFill>
                      <a:prstDash val="solid"/>
                    </a:ln>
                  </pic:spPr>
                </pic:pic>
              </a:graphicData>
            </a:graphic>
          </wp:inline>
        </w:drawing>
      </w:r>
    </w:p>
    <w:p w14:paraId="32E1067F" w14:textId="77777777" w:rsidR="00CC7AD7" w:rsidRDefault="0069674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dieciséis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14:paraId="7DC2F4C6" w14:textId="77777777" w:rsidR="00CC7AD7" w:rsidRDefault="0069674E">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3B354A70" w14:textId="77777777" w:rsidR="00CC7AD7" w:rsidRDefault="00CC7AD7">
      <w:pPr>
        <w:spacing w:line="360" w:lineRule="auto"/>
        <w:ind w:left="851" w:right="900"/>
        <w:jc w:val="both"/>
        <w:rPr>
          <w:rFonts w:ascii="Palatino Linotype" w:eastAsia="Palatino Linotype" w:hAnsi="Palatino Linotype" w:cs="Palatino Linotype"/>
          <w:i/>
          <w:sz w:val="2"/>
          <w:szCs w:val="2"/>
        </w:rPr>
      </w:pPr>
    </w:p>
    <w:p w14:paraId="067583EE" w14:textId="77777777" w:rsidR="00CC7AD7" w:rsidRDefault="0069674E">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respuedta, no me orientan cual es el suketo competente." (Sic)</w:t>
      </w:r>
    </w:p>
    <w:p w14:paraId="655301BF" w14:textId="77777777" w:rsidR="00CC7AD7" w:rsidRDefault="0069674E">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la inconformidad: </w:t>
      </w:r>
    </w:p>
    <w:p w14:paraId="3C76F6BF" w14:textId="77777777" w:rsidR="00CC7AD7" w:rsidRDefault="0069674E">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no se me proporcia el sujetto obligado competente." (Sic)</w:t>
      </w:r>
    </w:p>
    <w:p w14:paraId="3AE4C89E" w14:textId="77777777" w:rsidR="00CC7AD7" w:rsidRDefault="00CC7AD7">
      <w:pPr>
        <w:spacing w:line="360" w:lineRule="auto"/>
        <w:jc w:val="both"/>
        <w:rPr>
          <w:rFonts w:ascii="Palatino Linotype" w:eastAsia="Palatino Linotype" w:hAnsi="Palatino Linotype" w:cs="Palatino Linotype"/>
          <w:sz w:val="2"/>
          <w:szCs w:val="2"/>
        </w:rPr>
      </w:pPr>
    </w:p>
    <w:p w14:paraId="75F116F5"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analizará sobre su admisión o su desechamiento.</w:t>
      </w:r>
    </w:p>
    <w:p w14:paraId="3D0AB2BC" w14:textId="77777777" w:rsidR="00CC7AD7" w:rsidRDefault="0069674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veintiuno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Pr>
          <w:rFonts w:ascii="Palatino Linotype" w:eastAsia="Palatino Linotype" w:hAnsi="Palatino Linotype" w:cs="Palatino Linotype"/>
        </w:rPr>
        <w:lastRenderedPageBreak/>
        <w:t>manifestaran lo que a su derecho resultara conveniente, ofrecieran pruebas, formularan alegatos y el Sujeto Obligado presentara su informe justificado.</w:t>
      </w:r>
    </w:p>
    <w:p w14:paraId="5E77A858" w14:textId="77777777" w:rsidR="00CC7AD7" w:rsidRDefault="0069674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uno y nueve de marzo y el veinte de abril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en informe justificado los archivos electrónicos descritos en el orden siguiente: </w:t>
      </w:r>
    </w:p>
    <w:p w14:paraId="2F820DD7" w14:textId="77777777" w:rsidR="00CC7AD7" w:rsidRDefault="0069674E">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“56 y 57 Admon.pdf”: </w:t>
      </w:r>
      <w:r>
        <w:rPr>
          <w:rFonts w:ascii="Palatino Linotype" w:eastAsia="Palatino Linotype" w:hAnsi="Palatino Linotype" w:cs="Palatino Linotype"/>
          <w:color w:val="000000"/>
        </w:rPr>
        <w:t xml:space="preserve">Oficio número CA/0112/FEBRERO/2022 del uno de marzo de dos mil veintidós, suscrito y signado por el Coordinador de Administración, por medio del cual informó: </w:t>
      </w:r>
    </w:p>
    <w:p w14:paraId="2B59AABA" w14:textId="77777777" w:rsidR="00CC7AD7" w:rsidRDefault="0069674E">
      <w:pPr>
        <w:widowControl w:val="0"/>
        <w:pBdr>
          <w:top w:val="nil"/>
          <w:left w:val="nil"/>
          <w:bottom w:val="nil"/>
          <w:right w:val="nil"/>
          <w:between w:val="nil"/>
        </w:pBdr>
        <w:spacing w:line="360" w:lineRule="auto"/>
        <w:ind w:left="720"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drawing>
          <wp:inline distT="0" distB="0" distL="0" distR="0" wp14:anchorId="1622A1E7" wp14:editId="49A9C9D3">
            <wp:extent cx="5103292" cy="2280255"/>
            <wp:effectExtent l="12700" t="12700" r="12700" b="1270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03292" cy="2280255"/>
                    </a:xfrm>
                    <a:prstGeom prst="rect">
                      <a:avLst/>
                    </a:prstGeom>
                    <a:ln w="12700">
                      <a:solidFill>
                        <a:srgbClr val="000000"/>
                      </a:solidFill>
                      <a:prstDash val="solid"/>
                    </a:ln>
                  </pic:spPr>
                </pic:pic>
              </a:graphicData>
            </a:graphic>
          </wp:inline>
        </w:drawing>
      </w:r>
    </w:p>
    <w:p w14:paraId="29F76F33" w14:textId="77777777" w:rsidR="00CC7AD7" w:rsidRDefault="0069674E">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“56 - tesoreria.pdf”: </w:t>
      </w:r>
      <w:r>
        <w:rPr>
          <w:rFonts w:ascii="Palatino Linotype" w:eastAsia="Palatino Linotype" w:hAnsi="Palatino Linotype" w:cs="Palatino Linotype"/>
          <w:color w:val="000000"/>
        </w:rPr>
        <w:t>Oficio número TM/113/marzo/2022 del nueve de marzo de dos mil veintidós suscrito por el Tesorero Municipal del Valle de Bravo pr medio del cual en su parte sustantiva refirió:</w:t>
      </w:r>
      <w:r>
        <w:rPr>
          <w:rFonts w:ascii="Palatino Linotype" w:eastAsia="Palatino Linotype" w:hAnsi="Palatino Linotype" w:cs="Palatino Linotype"/>
          <w:b/>
          <w:i/>
          <w:color w:val="000000"/>
        </w:rPr>
        <w:t xml:space="preserve"> </w:t>
      </w:r>
    </w:p>
    <w:p w14:paraId="1471B1E6" w14:textId="77777777" w:rsidR="00CC7AD7" w:rsidRDefault="0069674E">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drawing>
          <wp:inline distT="0" distB="0" distL="0" distR="0" wp14:anchorId="11B07241" wp14:editId="391BEFD8">
            <wp:extent cx="5138438" cy="1443042"/>
            <wp:effectExtent l="12700" t="12700" r="12700" b="1270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38438" cy="1443042"/>
                    </a:xfrm>
                    <a:prstGeom prst="rect">
                      <a:avLst/>
                    </a:prstGeom>
                    <a:ln w="12700">
                      <a:solidFill>
                        <a:srgbClr val="4F81BD"/>
                      </a:solidFill>
                      <a:prstDash val="solid"/>
                    </a:ln>
                  </pic:spPr>
                </pic:pic>
              </a:graphicData>
            </a:graphic>
          </wp:inline>
        </w:drawing>
      </w:r>
    </w:p>
    <w:p w14:paraId="68C28B23" w14:textId="77777777" w:rsidR="00CC7AD7" w:rsidRDefault="00CC7AD7">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i/>
        </w:rPr>
      </w:pPr>
    </w:p>
    <w:p w14:paraId="0A609B9B" w14:textId="77777777" w:rsidR="00CC7AD7" w:rsidRDefault="0069674E">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“56 - alcance RR 934.pdf”: </w:t>
      </w:r>
      <w:r>
        <w:rPr>
          <w:rFonts w:ascii="Palatino Linotype" w:eastAsia="Palatino Linotype" w:hAnsi="Palatino Linotype" w:cs="Palatino Linotype"/>
          <w:color w:val="000000"/>
        </w:rPr>
        <w:t xml:space="preserve">Oficio  PM/UTAIPM/414/2022 de fecha veinte de abril del dos mil veintidós, cuyo contenido se observa en la siguiente imagen. </w:t>
      </w:r>
    </w:p>
    <w:p w14:paraId="373E2D46" w14:textId="77777777" w:rsidR="00CC7AD7" w:rsidRDefault="00CC7AD7">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i/>
          <w:color w:val="000000"/>
        </w:rPr>
      </w:pPr>
    </w:p>
    <w:p w14:paraId="675BB776" w14:textId="77777777" w:rsidR="00CC7AD7" w:rsidRDefault="0069674E">
      <w:pPr>
        <w:widowControl w:val="0"/>
        <w:pBdr>
          <w:top w:val="nil"/>
          <w:left w:val="nil"/>
          <w:bottom w:val="nil"/>
          <w:right w:val="nil"/>
          <w:between w:val="nil"/>
        </w:pBdr>
        <w:spacing w:after="240" w:line="360" w:lineRule="auto"/>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lastRenderedPageBreak/>
        <w:drawing>
          <wp:inline distT="0" distB="0" distL="0" distR="0" wp14:anchorId="7FCD0F33" wp14:editId="78CD20A5">
            <wp:extent cx="5171342" cy="643219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171342" cy="6432190"/>
                    </a:xfrm>
                    <a:prstGeom prst="rect">
                      <a:avLst/>
                    </a:prstGeom>
                    <a:ln/>
                  </pic:spPr>
                </pic:pic>
              </a:graphicData>
            </a:graphic>
          </wp:inline>
        </w:drawing>
      </w:r>
    </w:p>
    <w:p w14:paraId="449A0C53" w14:textId="77777777" w:rsidR="00CC7AD7" w:rsidRDefault="0069674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en fechas </w:t>
      </w:r>
      <w:r>
        <w:rPr>
          <w:rFonts w:ascii="Palatino Linotype" w:eastAsia="Palatino Linotype" w:hAnsi="Palatino Linotype" w:cs="Palatino Linotype"/>
          <w:b/>
        </w:rPr>
        <w:t>siete y veintiuno de abril de dos mil veintidós</w:t>
      </w:r>
      <w:r>
        <w:rPr>
          <w:rFonts w:ascii="Palatino Linotype" w:eastAsia="Palatino Linotype" w:hAnsi="Palatino Linotype" w:cs="Palatino Linotype"/>
        </w:rPr>
        <w:t xml:space="preserve"> se notificaron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para su conocimiento y para efectos de que manifestara lo que a su derecho asistiera y conviniera. </w:t>
      </w:r>
    </w:p>
    <w:p w14:paraId="64D7998D" w14:textId="77777777" w:rsidR="00CC7AD7" w:rsidRDefault="0069674E">
      <w:pPr>
        <w:widowControl w:val="0"/>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no formuló alegatos ni ofreció medios de prueba. </w:t>
      </w:r>
    </w:p>
    <w:p w14:paraId="3E2AA86A" w14:textId="77777777" w:rsidR="00CC7AD7" w:rsidRDefault="0069674E">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14:paraId="058BBD75" w14:textId="77777777" w:rsidR="00CC7AD7" w:rsidRDefault="0069674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tres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CEFE7E7" w14:textId="77777777" w:rsidR="00CC7AD7" w:rsidRDefault="0069674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7AA05DCF" w14:textId="77777777" w:rsidR="00CC7AD7" w:rsidRDefault="0069674E">
      <w:pPr>
        <w:widowControl w:val="0"/>
        <w:spacing w:before="240" w:after="240" w:line="360" w:lineRule="auto"/>
        <w:jc w:val="center"/>
        <w:rPr>
          <w:rFonts w:ascii="Palatino Linotype" w:eastAsia="Palatino Linotype" w:hAnsi="Palatino Linotype" w:cs="Palatino Linotype"/>
          <w:b/>
        </w:rPr>
      </w:pPr>
      <w:bookmarkStart w:id="2" w:name="_heading=h.tyjcwt" w:colFirst="0" w:colLast="0"/>
      <w:bookmarkEnd w:id="2"/>
      <w:r>
        <w:rPr>
          <w:rFonts w:ascii="Palatino Linotype" w:eastAsia="Palatino Linotype" w:hAnsi="Palatino Linotype" w:cs="Palatino Linotype"/>
          <w:b/>
        </w:rPr>
        <w:t>II. C O N S I D E R A N D O</w:t>
      </w:r>
    </w:p>
    <w:p w14:paraId="753BC6AE"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142046A" w14:textId="77777777" w:rsidR="00CC7AD7" w:rsidRDefault="0069674E">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B00C15"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once de febrero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dieciséis de febrero de dos mil veintidós</w:t>
      </w:r>
      <w:r>
        <w:rPr>
          <w:rFonts w:ascii="Palatino Linotype" w:eastAsia="Palatino Linotype" w:hAnsi="Palatino Linotype" w:cs="Palatino Linotype"/>
        </w:rPr>
        <w:t>, esto es, el tercer día hábil posterior al que tuvo conocimiento de la respuesta impugnada; evidenciándose que la interposición del recurso se encuentra dentro de los márgenes temporales previstos en el citado precepto legal.</w:t>
      </w:r>
    </w:p>
    <w:p w14:paraId="78CC5698" w14:textId="77777777" w:rsidR="00CC7AD7" w:rsidRDefault="0069674E">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Es de suma importancia mencionar que, si bien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nombre </w:t>
      </w:r>
      <w:r>
        <w:rPr>
          <w:rFonts w:ascii="Palatino Linotype" w:eastAsia="Palatino Linotype" w:hAnsi="Palatino Linotype" w:cs="Palatino Linotype"/>
          <w:color w:val="222222"/>
        </w:rPr>
        <w:t xml:space="preserve">como se advierte en el detalle de seguimiento del SAIMEX, sin embargo, el no proporcionar un nombre no es motivo para archivar la solicitud de acceso a la información pública como concluida, conforme a lo previsto en el artículo 155, </w:t>
      </w:r>
      <w:r>
        <w:rPr>
          <w:rFonts w:ascii="Palatino Linotype" w:eastAsia="Palatino Linotype" w:hAnsi="Palatino Linotype" w:cs="Palatino Linotype"/>
          <w:color w:val="222222"/>
        </w:rPr>
        <w:lastRenderedPageBreak/>
        <w:t>penúltimo párrafo de la Ley de Transparencia y Acceso a la Información Pública del Estado de México y Municipios que establece lo siguiente:</w:t>
      </w:r>
    </w:p>
    <w:p w14:paraId="522304AC" w14:textId="77777777" w:rsidR="00CC7AD7" w:rsidRDefault="0069674E">
      <w:pPr>
        <w:shd w:val="clear" w:color="auto" w:fill="FFFFFF"/>
        <w:spacing w:before="120" w:after="120" w:line="360"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24771347" w14:textId="77777777" w:rsidR="00CC7AD7" w:rsidRDefault="0069674E">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por lo que, en el presente caso, al haber sido presentado el recurso de revisión vía SAIMEX, dicho requisito resulta innecesario.</w:t>
      </w:r>
    </w:p>
    <w:p w14:paraId="072B47A3"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267FE93"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IV del ordenamiento legal citado, que a la letra dice: </w:t>
      </w:r>
    </w:p>
    <w:p w14:paraId="0A9E1663" w14:textId="77777777" w:rsidR="00CC7AD7" w:rsidRDefault="0069674E">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DCD844B" w14:textId="77777777" w:rsidR="00CC7AD7" w:rsidRDefault="0069674E">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0591129" w14:textId="77777777" w:rsidR="00CC7AD7" w:rsidRDefault="0069674E">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IV. </w:t>
      </w:r>
      <w:r>
        <w:rPr>
          <w:rFonts w:ascii="Palatino Linotype" w:eastAsia="Palatino Linotype" w:hAnsi="Palatino Linotype" w:cs="Palatino Linotype"/>
          <w:i/>
          <w:sz w:val="22"/>
          <w:szCs w:val="22"/>
        </w:rPr>
        <w:t>La declaración de incompetencia por el sujeto obligado;</w:t>
      </w:r>
    </w:p>
    <w:p w14:paraId="73F3F230" w14:textId="77777777" w:rsidR="00CC7AD7" w:rsidRDefault="0069674E">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09F004A"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14:paraId="1EDB11D8" w14:textId="77777777" w:rsidR="00CC7AD7" w:rsidRDefault="0069674E">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Tercero. Análisis de las causales de sobreseimiento. </w:t>
      </w:r>
      <w:r>
        <w:rPr>
          <w:rFonts w:ascii="Palatino Linotype" w:eastAsia="Palatino Linotype" w:hAnsi="Palatino Linotype" w:cs="Palatino Linotype"/>
          <w:color w:val="000000"/>
        </w:rPr>
        <w:t xml:space="preserve">Derivado de los documentos enviados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etapa correspondiente a las manifestaciones, conviene analizar las causas de sobreseimiento que establece la Ley de Transparencia y Acceso a la Información Pública del Estado de México y Municipios bajo los argumentos siguientes:</w:t>
      </w:r>
    </w:p>
    <w:p w14:paraId="554841CA"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importante precisar que, en el asunto que se resuelve,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u w:val="single"/>
        </w:rPr>
        <w:t>los nombres, cargos y salarios del personal adscrito a la oficina municipal de enlace de la Secretaría de Relaciones Exteriores; así como del personal comisionado en las oficinas en Toluca</w:t>
      </w:r>
      <w:r>
        <w:rPr>
          <w:rFonts w:ascii="Palatino Linotype" w:eastAsia="Palatino Linotype" w:hAnsi="Palatino Linotype" w:cs="Palatino Linotype"/>
          <w:color w:val="000000"/>
        </w:rPr>
        <w:t xml:space="preserve">. </w:t>
      </w:r>
    </w:p>
    <w:p w14:paraId="5010D6AC"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1085ABA"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En su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manifestó que en la información solicitada no corresponde al Ayuntamiento de Valle de Bravo, por lo cual no puede dar respuesta, en términos de lo dispuesto en el artículo 167 de la Ley de Transparencia y Acceso a la Información Pública del Estado de México y Municipios. </w:t>
      </w:r>
    </w:p>
    <w:p w14:paraId="288D6E09" w14:textId="77777777" w:rsidR="00CC7AD7" w:rsidRDefault="00CC7AD7">
      <w:pPr>
        <w:pBdr>
          <w:top w:val="nil"/>
          <w:left w:val="nil"/>
          <w:bottom w:val="nil"/>
          <w:right w:val="nil"/>
          <w:between w:val="nil"/>
        </w:pBdr>
        <w:ind w:left="720"/>
        <w:rPr>
          <w:rFonts w:ascii="Palatino Linotype" w:eastAsia="Palatino Linotype" w:hAnsi="Palatino Linotype" w:cs="Palatino Linotype"/>
          <w:color w:val="000000"/>
        </w:rPr>
      </w:pPr>
    </w:p>
    <w:p w14:paraId="54C3084A"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es conveniente referir, que si bien es cierto, se vulneró el derecho de acceso a la información pública del particular, al no atenderse el requerimiento formulado, también lo es que, una vez interpuesto el medio de inconformidad,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remitió en informe justificado, los oficios suscritos por los titulares de la Tesorería Municipal y de la Dirección de Administración de Valle de Bravo, quienes son competentes para atender la solicitud de información, de </w:t>
      </w:r>
      <w:r>
        <w:rPr>
          <w:rFonts w:ascii="Palatino Linotype" w:eastAsia="Palatino Linotype" w:hAnsi="Palatino Linotype" w:cs="Palatino Linotype"/>
          <w:color w:val="000000"/>
        </w:rPr>
        <w:lastRenderedPageBreak/>
        <w:t xml:space="preserve">conformidad con los dispuesto en los artículos 2.5, 2.14 y 2.15 fracción IX del </w:t>
      </w:r>
      <w:r>
        <w:rPr>
          <w:rFonts w:ascii="Palatino Linotype" w:eastAsia="Palatino Linotype" w:hAnsi="Palatino Linotype" w:cs="Palatino Linotype"/>
          <w:b/>
          <w:color w:val="000000"/>
        </w:rPr>
        <w:t>Reglamento Orgánico de la Administración Pública Municipal de Valle de Bravo</w:t>
      </w:r>
      <w:r>
        <w:rPr>
          <w:rFonts w:ascii="Palatino Linotype" w:eastAsia="Palatino Linotype" w:hAnsi="Palatino Linotype" w:cs="Palatino Linotype"/>
          <w:color w:val="000000"/>
        </w:rPr>
        <w:t xml:space="preserve">, que a la letra dicen: </w:t>
      </w:r>
    </w:p>
    <w:p w14:paraId="5921E17D"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3D453C0"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2.5.</w:t>
      </w:r>
      <w:r>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039DB057"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2.14</w:t>
      </w:r>
      <w:r>
        <w:rPr>
          <w:rFonts w:ascii="Palatino Linotype" w:eastAsia="Palatino Linotype" w:hAnsi="Palatino Linotype" w:cs="Palatino Linotype"/>
          <w:i/>
          <w:sz w:val="22"/>
          <w:szCs w:val="22"/>
        </w:rPr>
        <w:t xml:space="preserve">.- La Dirección de Administración es la dependencia dotada de recursos técnicos humanos y materiales para diseñar, establecer, aplicar, actualizar y difundir las políticas y lineamientos para la contratación, control, adquisición de bienes y servicios, asignación y administración de las tecnologías de la información y la prestación de los servicios generales al gobierno municipal de Valle de Bravo, a fin de lograr la optimización de los recursos humanos y materiales. </w:t>
      </w:r>
    </w:p>
    <w:p w14:paraId="5382A6F0"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2.15</w:t>
      </w:r>
      <w:r>
        <w:rPr>
          <w:rFonts w:ascii="Palatino Linotype" w:eastAsia="Palatino Linotype" w:hAnsi="Palatino Linotype" w:cs="Palatino Linotype"/>
          <w:i/>
          <w:sz w:val="22"/>
          <w:szCs w:val="22"/>
        </w:rPr>
        <w:t>.- El titular de la Dirección de Administración tiene las siguientes atribuciones, funciones, facultades y responsabilidades:</w:t>
      </w:r>
    </w:p>
    <w:p w14:paraId="564B1AE8"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540855"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Dirigir y coordinar la administración de los recursos materiales y humanos del Ayuntamiento.</w:t>
      </w:r>
    </w:p>
    <w:p w14:paraId="24D05463" w14:textId="77777777" w:rsidR="00CC7AD7" w:rsidRDefault="0069674E">
      <w:pPr>
        <w:pBdr>
          <w:top w:val="nil"/>
          <w:left w:val="nil"/>
          <w:bottom w:val="nil"/>
          <w:right w:val="nil"/>
          <w:between w:val="nil"/>
        </w:pBdr>
        <w:tabs>
          <w:tab w:val="left" w:pos="426"/>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7421395"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de los preceptos normativos en cita, se desprende que los Servidores Públicos Habilitados que atendieron los requerimientos, cuentan con las facultades, competencias y funciones para generar, administrar y poseer la información pública solicitada. </w:t>
      </w:r>
    </w:p>
    <w:p w14:paraId="6CF62F1E"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B7A72A2"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bookmarkStart w:id="4" w:name="_heading=h.30j0zll" w:colFirst="0" w:colLast="0"/>
      <w:bookmarkEnd w:id="4"/>
      <w:r>
        <w:rPr>
          <w:rFonts w:ascii="Palatino Linotype" w:eastAsia="Palatino Linotype" w:hAnsi="Palatino Linotype" w:cs="Palatino Linotype"/>
          <w:color w:val="000000"/>
        </w:rPr>
        <w:t xml:space="preserve">Cabe señalar que, la Coordinación Administrativa remitió la relación de los servidores públicos comisionados tanto a la oficina municipal como a la oficina en Toluca de la Secretaría de Relaciones Exteriores; sin embargo, del contenido del oficio número TM/113/marzo/2022 del nueve de marzo de dos mil veintidós, suscrito por el Tesorero Municipal, se advierte que únicamente refirió cantidades, </w:t>
      </w:r>
      <w:r>
        <w:rPr>
          <w:rFonts w:ascii="Palatino Linotype" w:eastAsia="Palatino Linotype" w:hAnsi="Palatino Linotype" w:cs="Palatino Linotype"/>
          <w:color w:val="000000"/>
        </w:rPr>
        <w:lastRenderedPageBreak/>
        <w:t xml:space="preserve">sin precisar el servidor público al que corresponden, no obstante, en un alcance al informe justificado la Titular de la Unidad de Transparencia en ejercicio de sus atribuciones envió el oficio PM/UTAIPM/414/2022 en el que se precisa el nombre, cargo y sueldo quincenal de los servidores públicos comisionados a la Secretaría de Relaciones Exteriores, tanto en la oficina municipal de Valle de Bravo como en Toluca, tal como se muestra en la siguiente captura de pantalla. </w:t>
      </w:r>
    </w:p>
    <w:p w14:paraId="638C7782"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1ED19B15"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706A435D" wp14:editId="37A73681">
            <wp:extent cx="5557145" cy="2857192"/>
            <wp:effectExtent l="12700" t="12700" r="12700" b="1270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557145" cy="2857192"/>
                    </a:xfrm>
                    <a:prstGeom prst="rect">
                      <a:avLst/>
                    </a:prstGeom>
                    <a:ln w="12700">
                      <a:solidFill>
                        <a:srgbClr val="000000"/>
                      </a:solidFill>
                      <a:prstDash val="solid"/>
                    </a:ln>
                  </pic:spPr>
                </pic:pic>
              </a:graphicData>
            </a:graphic>
          </wp:inline>
        </w:drawing>
      </w:r>
    </w:p>
    <w:p w14:paraId="6A373AD6" w14:textId="77777777" w:rsidR="00CC7AD7" w:rsidRDefault="0069674E">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Por lo tanto</w:t>
      </w:r>
      <w:r>
        <w:rPr>
          <w:rFonts w:ascii="Palatino Linotype" w:eastAsia="Palatino Linotype" w:hAnsi="Palatino Linotype" w:cs="Palatino Linotype"/>
          <w:color w:val="000000"/>
        </w:rPr>
        <w:t>, es necesario señalar que al haberse pronunciado el servidor público habilitado competente,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63D90526" w14:textId="77777777" w:rsidR="00CC7AD7" w:rsidRDefault="00CC7AD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7A761BE" w14:textId="77777777" w:rsidR="00CC7AD7" w:rsidRDefault="0069674E">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0B5D6ED3" w14:textId="77777777" w:rsidR="00CC7AD7" w:rsidRDefault="0069674E">
      <w:pPr>
        <w:spacing w:before="240" w:after="36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713BFE"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este sentido, y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0517409D" w14:textId="77777777" w:rsidR="00CC7AD7" w:rsidRDefault="0069674E">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será sobreseído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en todo o en parte,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una vez admitido, se actualicen alguno de los siguientes supuestos</w:t>
      </w:r>
      <w:r>
        <w:rPr>
          <w:rFonts w:ascii="Palatino Linotype" w:eastAsia="Palatino Linotype" w:hAnsi="Palatino Linotype" w:cs="Palatino Linotype"/>
          <w:i/>
          <w:color w:val="000000"/>
          <w:sz w:val="22"/>
          <w:szCs w:val="22"/>
        </w:rPr>
        <w:t>: </w:t>
      </w:r>
    </w:p>
    <w:p w14:paraId="6816897F" w14:textId="77777777" w:rsidR="00CC7AD7" w:rsidRDefault="0069674E">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i/>
          <w:color w:val="000000"/>
          <w:sz w:val="22"/>
          <w:szCs w:val="22"/>
        </w:rPr>
        <w:t>(…)</w:t>
      </w:r>
    </w:p>
    <w:p w14:paraId="43A5AB66" w14:textId="77777777" w:rsidR="00CC7AD7" w:rsidRDefault="0069674E">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r>
        <w:rPr>
          <w:rFonts w:ascii="Palatino Linotype" w:eastAsia="Palatino Linotype" w:hAnsi="Palatino Linotype" w:cs="Palatino Linotype"/>
          <w:i/>
          <w:color w:val="000000"/>
          <w:sz w:val="22"/>
          <w:szCs w:val="22"/>
        </w:rPr>
        <w:t>”</w:t>
      </w:r>
    </w:p>
    <w:p w14:paraId="45AD2EDD"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De lo establecido en el precepto legal citado se advierte que el sobreseimiento del recurso de revisión procede en los siguientes casos:</w:t>
      </w:r>
    </w:p>
    <w:p w14:paraId="1FEBA0B7" w14:textId="77777777" w:rsidR="00CC7AD7" w:rsidRDefault="0069674E">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a) Cuando el Sujeto Obligado modifique el acto impugnado. </w:t>
      </w:r>
    </w:p>
    <w:p w14:paraId="2D814A73" w14:textId="77777777" w:rsidR="00CC7AD7" w:rsidRDefault="0069674E">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b) Cuando el Sujeto Obligado revoque el acto impugnado; </w:t>
      </w:r>
    </w:p>
    <w:p w14:paraId="5411D992"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Quedando en ambos casos el acto combatido sin materia o sin efectos.</w:t>
      </w:r>
    </w:p>
    <w:p w14:paraId="4BD48DEE"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Como se observa de lo anterior, un acto impugnado es modificado en aquellos casos en los que el Sujeto Obligado después de haber otorgado una respuesta, o haber omitido hacerlo (acto de no hacer), emite una o una diversa de manera posterior y en ésta subsan</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las deficiencias que hubiera tenido, quedando satisfecho el derecho subjetivo accionado por la parte recurrente.</w:t>
      </w:r>
    </w:p>
    <w:p w14:paraId="3455BFC6"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8AAE060"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este orden de ideas, un acto impugnado queda sin efectos, cuando aún existiendo jurídicamente (esto es, que no se ha modificado, ni revocado) ya no genera ninguna consecuencia legal.</w:t>
      </w:r>
    </w:p>
    <w:p w14:paraId="2E6EADB9"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670B6CCB" w14:textId="77777777" w:rsidR="00CC7AD7" w:rsidRDefault="0069674E">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Ahora bien, en el caso concreto, es evidente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revocó su respuesta, ya que, a través de su pronunciamiento emitido en la etapa de manifestaciones, proporcionó la información requerida.</w:t>
      </w:r>
    </w:p>
    <w:p w14:paraId="3C5998BD"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antes de que se dicte resolución definitiva, entrega la información solicitada o </w:t>
      </w:r>
      <w:r>
        <w:rPr>
          <w:rFonts w:ascii="Palatino Linotype" w:eastAsia="Palatino Linotype" w:hAnsi="Palatino Linotype" w:cs="Palatino Linotype"/>
          <w:color w:val="000000"/>
          <w:u w:val="single"/>
        </w:rPr>
        <w:t>completa la respuesta que en un primer momento fue incompleta</w:t>
      </w:r>
      <w:r>
        <w:rPr>
          <w:rFonts w:ascii="Palatino Linotype" w:eastAsia="Palatino Linotype" w:hAnsi="Palatino Linotype" w:cs="Palatino Linotype"/>
          <w:color w:val="000000"/>
        </w:rPr>
        <w:t xml:space="preserve"> o no correspondió con lo solicitado; el recurso de revisión que al efecto se haya interpuesto queda sin materia lo que imposibilita el estudio de fondo de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54456134" w14:textId="77777777" w:rsidR="00CC7AD7" w:rsidRDefault="00CC7AD7">
      <w:pPr>
        <w:pBdr>
          <w:top w:val="nil"/>
          <w:left w:val="nil"/>
          <w:bottom w:val="nil"/>
          <w:right w:val="nil"/>
          <w:between w:val="nil"/>
        </w:pBdr>
        <w:ind w:left="720"/>
        <w:rPr>
          <w:rFonts w:ascii="Palatino Linotype" w:eastAsia="Palatino Linotype" w:hAnsi="Palatino Linotype" w:cs="Palatino Linotype"/>
          <w:color w:val="000000"/>
        </w:rPr>
      </w:pPr>
    </w:p>
    <w:p w14:paraId="04AED9DE"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para que se actualice el sobreseimiento de un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entregar o completar la información al momento de rendir su </w:t>
      </w:r>
      <w:r>
        <w:rPr>
          <w:rFonts w:ascii="Palatino Linotype" w:eastAsia="Palatino Linotype" w:hAnsi="Palatino Linotype" w:cs="Palatino Linotype"/>
          <w:b/>
          <w:color w:val="000000"/>
          <w:u w:val="single"/>
        </w:rPr>
        <w:t>informe de justificación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dentro de los siete días</w:t>
      </w:r>
      <w:r>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pero antes del cierre de instrucción. </w:t>
      </w:r>
    </w:p>
    <w:p w14:paraId="42E8C22F" w14:textId="77777777" w:rsidR="00CC7AD7" w:rsidRDefault="00CC7AD7">
      <w:pPr>
        <w:pBdr>
          <w:top w:val="nil"/>
          <w:left w:val="nil"/>
          <w:bottom w:val="nil"/>
          <w:right w:val="nil"/>
          <w:between w:val="nil"/>
        </w:pBdr>
        <w:ind w:left="720"/>
        <w:rPr>
          <w:rFonts w:ascii="Palatino Linotype" w:eastAsia="Palatino Linotype" w:hAnsi="Palatino Linotype" w:cs="Palatino Linotype"/>
          <w:color w:val="000000"/>
        </w:rPr>
      </w:pPr>
    </w:p>
    <w:p w14:paraId="766E692D"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Pleno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la información enviada,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u w:val="single"/>
        </w:rPr>
        <w:t>el acto que le dio origen al recurso de revisión, por lo que trae como consecuencia que el mismo quede sin materia</w:t>
      </w:r>
      <w:r>
        <w:rPr>
          <w:rFonts w:ascii="Palatino Linotype" w:eastAsia="Palatino Linotype" w:hAnsi="Palatino Linotype" w:cs="Palatino Linotype"/>
          <w:color w:val="000000"/>
        </w:rPr>
        <w:t xml:space="preserve">, actualizándose de este modo, la hipótesis jurídica contenida en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del citado artículo </w:t>
      </w:r>
      <w:r>
        <w:rPr>
          <w:rFonts w:ascii="Palatino Linotype" w:eastAsia="Palatino Linotype" w:hAnsi="Palatino Linotype" w:cs="Palatino Linotype"/>
          <w:b/>
          <w:color w:val="000000"/>
        </w:rPr>
        <w:t>192</w:t>
      </w:r>
      <w:r>
        <w:rPr>
          <w:rFonts w:ascii="Palatino Linotype" w:eastAsia="Palatino Linotype" w:hAnsi="Palatino Linotype" w:cs="Palatino Linotype"/>
          <w:color w:val="000000"/>
        </w:rPr>
        <w:t>.</w:t>
      </w:r>
    </w:p>
    <w:p w14:paraId="04C5D6F7" w14:textId="77777777" w:rsidR="00CC7AD7" w:rsidRDefault="00CC7AD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4D47FB2"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siendo el </w:t>
      </w:r>
      <w:r>
        <w:rPr>
          <w:rFonts w:ascii="Palatino Linotype" w:eastAsia="Palatino Linotype" w:hAnsi="Palatino Linotype" w:cs="Palatino Linotype"/>
          <w:i/>
          <w:color w:val="000000"/>
        </w:rPr>
        <w:t>sobreseimiento</w:t>
      </w:r>
      <w:r>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la </w:t>
      </w:r>
      <w:r>
        <w:rPr>
          <w:rFonts w:ascii="Palatino Linotype" w:eastAsia="Palatino Linotype" w:hAnsi="Palatino Linotype" w:cs="Palatino Linotype"/>
          <w:color w:val="000000"/>
        </w:rPr>
        <w:lastRenderedPageBreak/>
        <w:t xml:space="preserve">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rPr>
        <w:t>SOBRESEIMIENTO, NO PERMITE ENTRAR AL ESTUDIO DE LAS CUESTIONES DE FONDO</w:t>
      </w:r>
    </w:p>
    <w:p w14:paraId="5733B1D2" w14:textId="77777777" w:rsidR="00CC7AD7" w:rsidRDefault="00CC7AD7">
      <w:pPr>
        <w:pBdr>
          <w:top w:val="nil"/>
          <w:left w:val="nil"/>
          <w:bottom w:val="nil"/>
          <w:right w:val="nil"/>
          <w:between w:val="nil"/>
        </w:pBdr>
        <w:ind w:left="720"/>
        <w:rPr>
          <w:rFonts w:ascii="Palatino Linotype" w:eastAsia="Palatino Linotype" w:hAnsi="Palatino Linotype" w:cs="Palatino Linotype"/>
          <w:color w:val="000000"/>
        </w:rPr>
      </w:pPr>
    </w:p>
    <w:p w14:paraId="75399D2D" w14:textId="77777777" w:rsidR="00CC7AD7" w:rsidRDefault="0069674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en términos del artículo 186 fracción I 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3E4FCA06" w14:textId="77777777" w:rsidR="00CC7AD7" w:rsidRDefault="0069674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60619A1" w14:textId="77777777" w:rsidR="00CC7AD7" w:rsidRDefault="0069674E">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311F9FA" w14:textId="77777777" w:rsidR="00CC7AD7" w:rsidRDefault="0069674E">
      <w:pPr>
        <w:spacing w:before="240" w:after="240" w:line="360" w:lineRule="auto"/>
        <w:jc w:val="both"/>
        <w:rPr>
          <w:rFonts w:ascii="Palatino Linotype" w:eastAsia="Palatino Linotype" w:hAnsi="Palatino Linotype" w:cs="Palatino Linotype"/>
          <w:b/>
        </w:rPr>
      </w:pPr>
      <w:bookmarkStart w:id="5" w:name="_heading=h.3znysh7" w:colFirst="0" w:colLast="0"/>
      <w:bookmarkEnd w:id="5"/>
      <w:r>
        <w:rPr>
          <w:rFonts w:ascii="Palatino Linotype" w:eastAsia="Palatino Linotype" w:hAnsi="Palatino Linotype" w:cs="Palatino Linotype"/>
          <w:b/>
        </w:rPr>
        <w:t xml:space="preserve">PRIMERO. </w:t>
      </w:r>
      <w:r>
        <w:rPr>
          <w:rFonts w:ascii="Palatino Linotype" w:eastAsia="Palatino Linotype" w:hAnsi="Palatino Linotype" w:cs="Palatino Linotype"/>
          <w:highlight w:val="white"/>
        </w:rPr>
        <w:t xml:space="preserve">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00934/INFOEM/IP/RR/2022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a la solicitud de acceso a la información </w:t>
      </w:r>
      <w:r>
        <w:rPr>
          <w:rFonts w:ascii="Palatino Linotype" w:eastAsia="Palatino Linotype" w:hAnsi="Palatino Linotype" w:cs="Palatino Linotype"/>
          <w:b/>
        </w:rPr>
        <w:t>00056/VABRAVO/IP/2022</w:t>
      </w:r>
      <w:r>
        <w:rPr>
          <w:rFonts w:ascii="Palatino Linotype" w:eastAsia="Palatino Linotype" w:hAnsi="Palatino Linotype" w:cs="Palatino Linotype"/>
        </w:rPr>
        <w:t xml:space="preserve"> el recurso de revisión quedó sin materia en términos del Considerando Tercero de la presente resolución</w:t>
      </w:r>
      <w:r>
        <w:rPr>
          <w:rFonts w:ascii="Palatino Linotype" w:eastAsia="Palatino Linotype" w:hAnsi="Palatino Linotype" w:cs="Palatino Linotype"/>
          <w:b/>
        </w:rPr>
        <w:t>.</w:t>
      </w:r>
    </w:p>
    <w:p w14:paraId="63AFA00B" w14:textId="77777777" w:rsidR="00CC7AD7" w:rsidRDefault="0069674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SEGUNDO.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Sujeto Obligado la presente resolución, para su conocimiento. </w:t>
      </w:r>
    </w:p>
    <w:p w14:paraId="639BB6FD" w14:textId="77777777" w:rsidR="00CC7AD7" w:rsidRDefault="006967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7C7F574" w14:textId="77777777" w:rsidR="00CC7AD7" w:rsidRDefault="0069674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DE MAYO DE DOS MIL VEINTIDÓS, ANTE EL SECRETARIO TÉCNICO DEL PLENO, ALEXIS TAPIA RAMÍREZ.</w:t>
      </w:r>
    </w:p>
    <w:p w14:paraId="7D205268" w14:textId="77777777" w:rsidR="00CC7AD7" w:rsidRDefault="00CC7AD7">
      <w:pPr>
        <w:spacing w:before="240" w:after="240"/>
        <w:jc w:val="both"/>
        <w:rPr>
          <w:rFonts w:ascii="Palatino Linotype" w:eastAsia="Palatino Linotype" w:hAnsi="Palatino Linotype" w:cs="Palatino Linotype"/>
          <w:sz w:val="20"/>
          <w:szCs w:val="20"/>
        </w:rPr>
      </w:pPr>
    </w:p>
    <w:p w14:paraId="5C0655DE" w14:textId="77777777" w:rsidR="00CC7AD7" w:rsidRDefault="00CC7AD7">
      <w:pPr>
        <w:spacing w:before="240" w:after="240"/>
        <w:jc w:val="both"/>
        <w:rPr>
          <w:rFonts w:ascii="Palatino Linotype" w:eastAsia="Palatino Linotype" w:hAnsi="Palatino Linotype" w:cs="Palatino Linotype"/>
          <w:sz w:val="20"/>
          <w:szCs w:val="20"/>
        </w:rPr>
      </w:pPr>
    </w:p>
    <w:p w14:paraId="7A1909AD" w14:textId="77777777" w:rsidR="00CC7AD7" w:rsidRDefault="00CC7AD7">
      <w:pPr>
        <w:spacing w:before="240" w:after="240"/>
        <w:jc w:val="both"/>
        <w:rPr>
          <w:rFonts w:ascii="Palatino Linotype" w:eastAsia="Palatino Linotype" w:hAnsi="Palatino Linotype" w:cs="Palatino Linotype"/>
          <w:sz w:val="20"/>
          <w:szCs w:val="20"/>
        </w:rPr>
      </w:pPr>
    </w:p>
    <w:p w14:paraId="2D951E7F" w14:textId="77777777" w:rsidR="00CC7AD7" w:rsidRDefault="00CC7AD7">
      <w:pPr>
        <w:spacing w:before="240" w:after="240"/>
        <w:jc w:val="both"/>
        <w:rPr>
          <w:rFonts w:ascii="Palatino Linotype" w:eastAsia="Palatino Linotype" w:hAnsi="Palatino Linotype" w:cs="Palatino Linotype"/>
          <w:sz w:val="20"/>
          <w:szCs w:val="20"/>
        </w:rPr>
      </w:pPr>
    </w:p>
    <w:p w14:paraId="4CBFB04C" w14:textId="77777777" w:rsidR="00CC7AD7" w:rsidRDefault="00CC7AD7">
      <w:pPr>
        <w:spacing w:before="240" w:after="240"/>
        <w:jc w:val="both"/>
        <w:rPr>
          <w:rFonts w:ascii="Palatino Linotype" w:eastAsia="Palatino Linotype" w:hAnsi="Palatino Linotype" w:cs="Palatino Linotype"/>
          <w:sz w:val="20"/>
          <w:szCs w:val="20"/>
        </w:rPr>
      </w:pPr>
    </w:p>
    <w:p w14:paraId="70DB3C5B" w14:textId="77777777" w:rsidR="00CC7AD7" w:rsidRDefault="00CC7AD7">
      <w:pPr>
        <w:spacing w:before="240" w:after="240"/>
        <w:jc w:val="both"/>
        <w:rPr>
          <w:rFonts w:ascii="Palatino Linotype" w:eastAsia="Palatino Linotype" w:hAnsi="Palatino Linotype" w:cs="Palatino Linotype"/>
          <w:sz w:val="20"/>
          <w:szCs w:val="20"/>
        </w:rPr>
      </w:pPr>
    </w:p>
    <w:p w14:paraId="25A76CB7" w14:textId="77777777" w:rsidR="00CC7AD7" w:rsidRDefault="00CC7AD7">
      <w:pPr>
        <w:spacing w:before="240" w:after="240"/>
        <w:jc w:val="both"/>
        <w:rPr>
          <w:rFonts w:ascii="Palatino Linotype" w:eastAsia="Palatino Linotype" w:hAnsi="Palatino Linotype" w:cs="Palatino Linotype"/>
          <w:sz w:val="20"/>
          <w:szCs w:val="20"/>
        </w:rPr>
      </w:pPr>
    </w:p>
    <w:p w14:paraId="2302737C" w14:textId="77777777" w:rsidR="00CC7AD7" w:rsidRDefault="00CC7AD7">
      <w:pPr>
        <w:spacing w:before="240" w:after="240"/>
        <w:jc w:val="both"/>
        <w:rPr>
          <w:rFonts w:ascii="Palatino Linotype" w:eastAsia="Palatino Linotype" w:hAnsi="Palatino Linotype" w:cs="Palatino Linotype"/>
          <w:sz w:val="20"/>
          <w:szCs w:val="20"/>
        </w:rPr>
      </w:pPr>
    </w:p>
    <w:p w14:paraId="30152F12" w14:textId="77777777" w:rsidR="00CC7AD7" w:rsidRDefault="00CC7AD7">
      <w:pPr>
        <w:spacing w:before="240" w:after="240"/>
        <w:jc w:val="both"/>
        <w:rPr>
          <w:rFonts w:ascii="Palatino Linotype" w:eastAsia="Palatino Linotype" w:hAnsi="Palatino Linotype" w:cs="Palatino Linotype"/>
          <w:sz w:val="20"/>
          <w:szCs w:val="20"/>
        </w:rPr>
      </w:pPr>
    </w:p>
    <w:p w14:paraId="37BB82E8" w14:textId="77777777" w:rsidR="00CC7AD7" w:rsidRDefault="00CC7AD7">
      <w:pPr>
        <w:spacing w:before="240" w:after="240"/>
        <w:jc w:val="both"/>
        <w:rPr>
          <w:rFonts w:ascii="Palatino Linotype" w:eastAsia="Palatino Linotype" w:hAnsi="Palatino Linotype" w:cs="Palatino Linotype"/>
          <w:sz w:val="20"/>
          <w:szCs w:val="20"/>
        </w:rPr>
      </w:pPr>
    </w:p>
    <w:p w14:paraId="2F99CF0E" w14:textId="77777777" w:rsidR="00CC7AD7" w:rsidRDefault="00CC7AD7">
      <w:pPr>
        <w:spacing w:before="240" w:after="240"/>
        <w:jc w:val="both"/>
        <w:rPr>
          <w:rFonts w:ascii="Palatino Linotype" w:eastAsia="Palatino Linotype" w:hAnsi="Palatino Linotype" w:cs="Palatino Linotype"/>
          <w:sz w:val="20"/>
          <w:szCs w:val="20"/>
        </w:rPr>
      </w:pPr>
    </w:p>
    <w:p w14:paraId="3AA91E95" w14:textId="77777777" w:rsidR="00CC7AD7" w:rsidRDefault="00CC7AD7">
      <w:pPr>
        <w:spacing w:before="240" w:after="240"/>
        <w:jc w:val="both"/>
        <w:rPr>
          <w:rFonts w:ascii="Palatino Linotype" w:eastAsia="Palatino Linotype" w:hAnsi="Palatino Linotype" w:cs="Palatino Linotype"/>
          <w:sz w:val="20"/>
          <w:szCs w:val="20"/>
        </w:rPr>
      </w:pPr>
    </w:p>
    <w:p w14:paraId="05071373" w14:textId="77777777" w:rsidR="00CC7AD7" w:rsidRDefault="00CC7AD7">
      <w:pPr>
        <w:spacing w:before="240" w:after="240"/>
        <w:jc w:val="both"/>
        <w:rPr>
          <w:rFonts w:ascii="Palatino Linotype" w:eastAsia="Palatino Linotype" w:hAnsi="Palatino Linotype" w:cs="Palatino Linotype"/>
          <w:sz w:val="20"/>
          <w:szCs w:val="20"/>
        </w:rPr>
      </w:pPr>
    </w:p>
    <w:p w14:paraId="7B81C3AB" w14:textId="77777777" w:rsidR="00CC7AD7" w:rsidRDefault="00CC7AD7">
      <w:pPr>
        <w:spacing w:before="240" w:after="240"/>
        <w:jc w:val="both"/>
        <w:rPr>
          <w:rFonts w:ascii="Palatino Linotype" w:eastAsia="Palatino Linotype" w:hAnsi="Palatino Linotype" w:cs="Palatino Linotype"/>
          <w:sz w:val="20"/>
          <w:szCs w:val="20"/>
        </w:rPr>
      </w:pPr>
    </w:p>
    <w:p w14:paraId="3C3C6D5C" w14:textId="77777777" w:rsidR="00CC7AD7" w:rsidRDefault="00CC7AD7">
      <w:pPr>
        <w:spacing w:before="240" w:after="240"/>
        <w:jc w:val="both"/>
        <w:rPr>
          <w:rFonts w:ascii="Palatino Linotype" w:eastAsia="Palatino Linotype" w:hAnsi="Palatino Linotype" w:cs="Palatino Linotype"/>
          <w:sz w:val="20"/>
          <w:szCs w:val="20"/>
        </w:rPr>
      </w:pPr>
    </w:p>
    <w:p w14:paraId="753C2E2C" w14:textId="77777777" w:rsidR="00CC7AD7" w:rsidRDefault="00CC7AD7">
      <w:pPr>
        <w:spacing w:before="240" w:after="240"/>
        <w:jc w:val="both"/>
        <w:rPr>
          <w:rFonts w:ascii="Palatino Linotype" w:eastAsia="Palatino Linotype" w:hAnsi="Palatino Linotype" w:cs="Palatino Linotype"/>
          <w:sz w:val="20"/>
          <w:szCs w:val="20"/>
        </w:rPr>
      </w:pPr>
    </w:p>
    <w:p w14:paraId="20C44054" w14:textId="77777777" w:rsidR="00CC7AD7" w:rsidRDefault="00CC7AD7">
      <w:pPr>
        <w:spacing w:before="240" w:after="240"/>
        <w:jc w:val="both"/>
        <w:rPr>
          <w:rFonts w:ascii="Palatino Linotype" w:eastAsia="Palatino Linotype" w:hAnsi="Palatino Linotype" w:cs="Palatino Linotype"/>
          <w:sz w:val="20"/>
          <w:szCs w:val="20"/>
        </w:rPr>
      </w:pPr>
    </w:p>
    <w:p w14:paraId="23E49130" w14:textId="77777777" w:rsidR="00CC7AD7" w:rsidRDefault="00CC7AD7">
      <w:pPr>
        <w:spacing w:before="240" w:after="240"/>
        <w:jc w:val="both"/>
        <w:rPr>
          <w:rFonts w:ascii="Palatino Linotype" w:eastAsia="Palatino Linotype" w:hAnsi="Palatino Linotype" w:cs="Palatino Linotype"/>
          <w:sz w:val="20"/>
          <w:szCs w:val="20"/>
        </w:rPr>
      </w:pPr>
    </w:p>
    <w:p w14:paraId="12A29A88" w14:textId="77777777" w:rsidR="00CC7AD7" w:rsidRDefault="00CC7AD7">
      <w:pPr>
        <w:spacing w:before="240" w:after="240"/>
        <w:jc w:val="both"/>
        <w:rPr>
          <w:rFonts w:ascii="Palatino Linotype" w:eastAsia="Palatino Linotype" w:hAnsi="Palatino Linotype" w:cs="Palatino Linotype"/>
          <w:sz w:val="20"/>
          <w:szCs w:val="20"/>
        </w:rPr>
      </w:pPr>
    </w:p>
    <w:p w14:paraId="030F20D0" w14:textId="77777777" w:rsidR="00CC7AD7" w:rsidRDefault="00CC7AD7">
      <w:pPr>
        <w:spacing w:before="240" w:after="240"/>
        <w:jc w:val="both"/>
        <w:rPr>
          <w:rFonts w:ascii="Palatino Linotype" w:eastAsia="Palatino Linotype" w:hAnsi="Palatino Linotype" w:cs="Palatino Linotype"/>
          <w:sz w:val="20"/>
          <w:szCs w:val="20"/>
        </w:rPr>
      </w:pPr>
    </w:p>
    <w:p w14:paraId="766A7106" w14:textId="77777777" w:rsidR="00CC7AD7" w:rsidRDefault="00CC7AD7">
      <w:pPr>
        <w:spacing w:before="240" w:after="240"/>
        <w:jc w:val="both"/>
        <w:rPr>
          <w:rFonts w:ascii="Palatino Linotype" w:eastAsia="Palatino Linotype" w:hAnsi="Palatino Linotype" w:cs="Palatino Linotype"/>
          <w:sz w:val="20"/>
          <w:szCs w:val="20"/>
        </w:rPr>
      </w:pPr>
    </w:p>
    <w:p w14:paraId="6C7EEC7D" w14:textId="77777777" w:rsidR="00CC7AD7" w:rsidRDefault="00CC7AD7">
      <w:pPr>
        <w:spacing w:before="240" w:after="240"/>
        <w:jc w:val="both"/>
        <w:rPr>
          <w:rFonts w:ascii="Palatino Linotype" w:eastAsia="Palatino Linotype" w:hAnsi="Palatino Linotype" w:cs="Palatino Linotype"/>
          <w:sz w:val="20"/>
          <w:szCs w:val="20"/>
        </w:rPr>
      </w:pPr>
    </w:p>
    <w:p w14:paraId="5C436B2C" w14:textId="77777777" w:rsidR="00CC7AD7" w:rsidRDefault="00CC7AD7">
      <w:pPr>
        <w:spacing w:before="240" w:after="240"/>
        <w:jc w:val="both"/>
        <w:rPr>
          <w:rFonts w:ascii="Palatino Linotype" w:eastAsia="Palatino Linotype" w:hAnsi="Palatino Linotype" w:cs="Palatino Linotype"/>
          <w:sz w:val="20"/>
          <w:szCs w:val="20"/>
        </w:rPr>
      </w:pPr>
    </w:p>
    <w:sectPr w:rsidR="00CC7AD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6FFD3" w14:textId="77777777" w:rsidR="004A3DE6" w:rsidRDefault="004A3DE6">
      <w:r>
        <w:separator/>
      </w:r>
    </w:p>
  </w:endnote>
  <w:endnote w:type="continuationSeparator" w:id="0">
    <w:p w14:paraId="054717B7" w14:textId="77777777" w:rsidR="004A3DE6" w:rsidRDefault="004A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EB0B9" w14:textId="77777777" w:rsidR="00CC7AD7" w:rsidRDefault="006967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66DB">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66DB">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389E9614" w14:textId="77777777" w:rsidR="00CC7AD7" w:rsidRDefault="00CC7AD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A597C" w14:textId="77777777" w:rsidR="00CC7AD7" w:rsidRDefault="006967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C18C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C18CC">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6007AA8F" w14:textId="77777777" w:rsidR="00CC7AD7" w:rsidRDefault="00CC7AD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CD2B0" w14:textId="77777777" w:rsidR="004A3DE6" w:rsidRDefault="004A3DE6">
      <w:r>
        <w:separator/>
      </w:r>
    </w:p>
  </w:footnote>
  <w:footnote w:type="continuationSeparator" w:id="0">
    <w:p w14:paraId="198BDCC8" w14:textId="77777777" w:rsidR="004A3DE6" w:rsidRDefault="004A3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A636C" w14:textId="77777777" w:rsidR="00CC7AD7" w:rsidRDefault="0069674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4B48281" wp14:editId="1BFF3574">
          <wp:simplePos x="0" y="0"/>
          <wp:positionH relativeFrom="column">
            <wp:posOffset>-708022</wp:posOffset>
          </wp:positionH>
          <wp:positionV relativeFrom="paragraph">
            <wp:posOffset>-415287</wp:posOffset>
          </wp:positionV>
          <wp:extent cx="7809865" cy="10165715"/>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095" w:type="dxa"/>
      <w:tblInd w:w="3261" w:type="dxa"/>
      <w:tblLayout w:type="fixed"/>
      <w:tblLook w:val="0400" w:firstRow="0" w:lastRow="0" w:firstColumn="0" w:lastColumn="0" w:noHBand="0" w:noVBand="1"/>
    </w:tblPr>
    <w:tblGrid>
      <w:gridCol w:w="2409"/>
      <w:gridCol w:w="3686"/>
    </w:tblGrid>
    <w:tr w:rsidR="00CC7AD7" w14:paraId="1DA69186" w14:textId="77777777">
      <w:tc>
        <w:tcPr>
          <w:tcW w:w="2409" w:type="dxa"/>
          <w:shd w:val="clear" w:color="auto" w:fill="auto"/>
        </w:tcPr>
        <w:p w14:paraId="6D94DEBA"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6" w:type="dxa"/>
          <w:shd w:val="clear" w:color="auto" w:fill="auto"/>
          <w:vAlign w:val="center"/>
        </w:tcPr>
        <w:p w14:paraId="03318421" w14:textId="77777777" w:rsidR="00CC7AD7" w:rsidRDefault="0069674E">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00934/INFOEM/IP/RR/2022</w:t>
          </w:r>
        </w:p>
      </w:tc>
    </w:tr>
    <w:tr w:rsidR="00CC7AD7" w14:paraId="494175BA" w14:textId="77777777">
      <w:trPr>
        <w:trHeight w:val="228"/>
      </w:trPr>
      <w:tc>
        <w:tcPr>
          <w:tcW w:w="2409" w:type="dxa"/>
          <w:shd w:val="clear" w:color="auto" w:fill="auto"/>
          <w:vAlign w:val="center"/>
        </w:tcPr>
        <w:p w14:paraId="1A29899E"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6" w:type="dxa"/>
          <w:shd w:val="clear" w:color="auto" w:fill="auto"/>
          <w:vAlign w:val="center"/>
        </w:tcPr>
        <w:p w14:paraId="469124E6" w14:textId="77777777" w:rsidR="00CC7AD7" w:rsidRDefault="0069674E">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CC7AD7" w14:paraId="78E66AD9" w14:textId="77777777">
      <w:tc>
        <w:tcPr>
          <w:tcW w:w="2409" w:type="dxa"/>
          <w:shd w:val="clear" w:color="auto" w:fill="auto"/>
          <w:vAlign w:val="center"/>
        </w:tcPr>
        <w:p w14:paraId="6F4E492B" w14:textId="77777777" w:rsidR="00CC7AD7" w:rsidRDefault="0069674E">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6" w:type="dxa"/>
          <w:shd w:val="clear" w:color="auto" w:fill="auto"/>
          <w:vAlign w:val="center"/>
        </w:tcPr>
        <w:p w14:paraId="2959E657" w14:textId="77777777" w:rsidR="00CC7AD7" w:rsidRDefault="0069674E">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A9DFF78" w14:textId="77777777" w:rsidR="00CC7AD7" w:rsidRDefault="0069674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D3D65" w14:textId="77777777" w:rsidR="00CC7AD7" w:rsidRDefault="006967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8B26B86" wp14:editId="5FD3B8FD">
          <wp:simplePos x="0" y="0"/>
          <wp:positionH relativeFrom="column">
            <wp:posOffset>-756282</wp:posOffset>
          </wp:positionH>
          <wp:positionV relativeFrom="paragraph">
            <wp:posOffset>-424177</wp:posOffset>
          </wp:positionV>
          <wp:extent cx="7809865" cy="10165715"/>
          <wp:effectExtent l="0" t="0" r="0" b="0"/>
          <wp:wrapNone/>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184" w:type="dxa"/>
      <w:tblInd w:w="2747" w:type="dxa"/>
      <w:tblLayout w:type="fixed"/>
      <w:tblLook w:val="0400" w:firstRow="0" w:lastRow="0" w:firstColumn="0" w:lastColumn="0" w:noHBand="0" w:noVBand="1"/>
    </w:tblPr>
    <w:tblGrid>
      <w:gridCol w:w="2551"/>
      <w:gridCol w:w="3633"/>
    </w:tblGrid>
    <w:tr w:rsidR="00CC7AD7" w14:paraId="2A9750B8" w14:textId="77777777">
      <w:tc>
        <w:tcPr>
          <w:tcW w:w="2551" w:type="dxa"/>
          <w:shd w:val="clear" w:color="auto" w:fill="auto"/>
          <w:vAlign w:val="center"/>
        </w:tcPr>
        <w:p w14:paraId="0E89283B"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33" w:type="dxa"/>
          <w:shd w:val="clear" w:color="auto" w:fill="auto"/>
          <w:vAlign w:val="center"/>
        </w:tcPr>
        <w:p w14:paraId="3ED91F6C" w14:textId="77777777" w:rsidR="00CC7AD7" w:rsidRDefault="0069674E">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00934/INFOEM/IP/RR/2022</w:t>
          </w:r>
        </w:p>
      </w:tc>
    </w:tr>
    <w:tr w:rsidR="00CC7AD7" w14:paraId="42B4FC8B" w14:textId="77777777">
      <w:trPr>
        <w:trHeight w:val="130"/>
      </w:trPr>
      <w:tc>
        <w:tcPr>
          <w:tcW w:w="2551" w:type="dxa"/>
          <w:shd w:val="clear" w:color="auto" w:fill="auto"/>
          <w:vAlign w:val="center"/>
        </w:tcPr>
        <w:p w14:paraId="0A007E8F"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33" w:type="dxa"/>
          <w:shd w:val="clear" w:color="auto" w:fill="auto"/>
          <w:vAlign w:val="center"/>
        </w:tcPr>
        <w:p w14:paraId="5003F403" w14:textId="77777777" w:rsidR="00CC7AD7" w:rsidRDefault="00CC7AD7">
          <w:pPr>
            <w:jc w:val="both"/>
            <w:rPr>
              <w:rFonts w:ascii="Palatino Linotype" w:eastAsia="Palatino Linotype" w:hAnsi="Palatino Linotype" w:cs="Palatino Linotype"/>
              <w:b/>
            </w:rPr>
          </w:pPr>
        </w:p>
      </w:tc>
    </w:tr>
    <w:tr w:rsidR="00CC7AD7" w14:paraId="3B4E6FAE" w14:textId="77777777">
      <w:trPr>
        <w:trHeight w:val="228"/>
      </w:trPr>
      <w:tc>
        <w:tcPr>
          <w:tcW w:w="2551" w:type="dxa"/>
          <w:shd w:val="clear" w:color="auto" w:fill="auto"/>
          <w:vAlign w:val="center"/>
        </w:tcPr>
        <w:p w14:paraId="34493817"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33" w:type="dxa"/>
          <w:shd w:val="clear" w:color="auto" w:fill="auto"/>
          <w:vAlign w:val="center"/>
        </w:tcPr>
        <w:p w14:paraId="77F98ACA" w14:textId="77777777" w:rsidR="00CC7AD7" w:rsidRDefault="0069674E">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CC7AD7" w14:paraId="7ABCB151" w14:textId="77777777">
      <w:tc>
        <w:tcPr>
          <w:tcW w:w="2551" w:type="dxa"/>
          <w:shd w:val="clear" w:color="auto" w:fill="auto"/>
          <w:vAlign w:val="center"/>
        </w:tcPr>
        <w:p w14:paraId="4B1F2945" w14:textId="77777777" w:rsidR="00CC7AD7" w:rsidRDefault="0069674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33" w:type="dxa"/>
          <w:shd w:val="clear" w:color="auto" w:fill="auto"/>
          <w:vAlign w:val="center"/>
        </w:tcPr>
        <w:p w14:paraId="057F2BB7" w14:textId="77777777" w:rsidR="00CC7AD7" w:rsidRDefault="0069674E">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3EB6637" w14:textId="77777777" w:rsidR="00CC7AD7" w:rsidRDefault="00CC7AD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D61B1"/>
    <w:multiLevelType w:val="multilevel"/>
    <w:tmpl w:val="28B28AF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06CF3"/>
    <w:multiLevelType w:val="multilevel"/>
    <w:tmpl w:val="0B28747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AD7"/>
    <w:rsid w:val="00216A60"/>
    <w:rsid w:val="004566DB"/>
    <w:rsid w:val="004A3DE6"/>
    <w:rsid w:val="004C18CC"/>
    <w:rsid w:val="00512461"/>
    <w:rsid w:val="0069674E"/>
    <w:rsid w:val="00882CD5"/>
    <w:rsid w:val="009D6FF5"/>
    <w:rsid w:val="00CC7AD7"/>
    <w:rsid w:val="00D31C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9C542"/>
  <w15:docId w15:val="{FD7F9B40-5497-4717-B011-B2645DA4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
    <w:name w:val="4"/>
    <w:basedOn w:val="TableNormal2"/>
    <w:rPr>
      <w:sz w:val="22"/>
      <w:szCs w:val="22"/>
    </w:rPr>
    <w:tblPr>
      <w:tblStyleRowBandSize w:val="1"/>
      <w:tblStyleColBandSize w:val="1"/>
      <w:tblCellMar>
        <w:left w:w="108" w:type="dxa"/>
        <w:right w:w="108" w:type="dxa"/>
      </w:tblCellMar>
    </w:tblPr>
  </w:style>
  <w:style w:type="table" w:customStyle="1" w:styleId="3">
    <w:name w:val="3"/>
    <w:basedOn w:val="TableNormal2"/>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table" w:customStyle="1" w:styleId="a">
    <w:basedOn w:val="TableNormal2"/>
    <w:rPr>
      <w:sz w:val="22"/>
      <w:szCs w:val="22"/>
    </w:rPr>
    <w:tblPr>
      <w:tblStyleRowBandSize w:val="1"/>
      <w:tblStyleColBandSize w:val="1"/>
      <w:tblCellMar>
        <w:left w:w="115" w:type="dxa"/>
        <w:right w:w="115" w:type="dxa"/>
      </w:tblCellMar>
    </w:tblPr>
  </w:style>
  <w:style w:type="table" w:customStyle="1" w:styleId="a0">
    <w:basedOn w:val="TableNormal2"/>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1"/>
    <w:rPr>
      <w:sz w:val="22"/>
      <w:szCs w:val="22"/>
    </w:rPr>
    <w:tblPr>
      <w:tblStyleRowBandSize w:val="1"/>
      <w:tblStyleColBandSize w:val="1"/>
      <w:tblCellMar>
        <w:left w:w="115" w:type="dxa"/>
        <w:right w:w="115" w:type="dxa"/>
      </w:tblCellMar>
    </w:tblPr>
  </w:style>
  <w:style w:type="table" w:customStyle="1" w:styleId="a4">
    <w:basedOn w:val="TableNormal0"/>
    <w:rPr>
      <w:sz w:val="22"/>
      <w:szCs w:val="22"/>
    </w:rPr>
    <w:tblPr>
      <w:tblStyleRowBandSize w:val="1"/>
      <w:tblStyleColBandSize w:val="1"/>
      <w:tblCellMar>
        <w:left w:w="115" w:type="dxa"/>
        <w:right w:w="115" w:type="dxa"/>
      </w:tblCellMar>
    </w:tblPr>
  </w:style>
  <w:style w:type="table" w:customStyle="1" w:styleId="a5">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JjQgfhXqDSuNMesARt/bhT0jzw==">AMUW2mWAJePW0V//IxaRTzuYU2CSDhfrffFmemhWbxITRyRgZkizh3QCdnTdWQ7NCb4r162aQVKCDZWmpEbvH5o+oUUzw+FWXU/OBGor6Yd/H9RVeFZ1t2xXCfqq7TBVzDuHZm8riQCHLnbhwlK4YapSe4kvfwO2ahcnxctrJQRQVQq0il271+A=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3267</Words>
  <Characters>17974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2022-05-13T19:23:00Z</cp:lastPrinted>
  <dcterms:created xsi:type="dcterms:W3CDTF">2022-06-08T01:25:00Z</dcterms:created>
  <dcterms:modified xsi:type="dcterms:W3CDTF">2022-06-08T01:25:00Z</dcterms:modified>
</cp:coreProperties>
</file>