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0CAB" w:rsidRDefault="005608BE">
      <w:pPr>
        <w:spacing w:before="240" w:after="240" w:line="360" w:lineRule="auto"/>
        <w:jc w:val="both"/>
      </w:pPr>
      <w:bookmarkStart w:id="0" w:name="_heading=h.tyjcwt" w:colFirst="0" w:colLast="0"/>
      <w:bookmarkStart w:id="1" w:name="_GoBack"/>
      <w:bookmarkEnd w:id="0"/>
      <w:bookmarkEnd w:id="1"/>
      <w:r>
        <w:t>Resolución del Pleno del Instituto de Transparencia, Acceso a la Información Pública y Protección de Datos Personales del Estado de México y Municipios, con domicilio en Metepec, Estado de Méxi</w:t>
      </w:r>
      <w:r>
        <w:rPr>
          <w:highlight w:val="white"/>
        </w:rPr>
        <w:t>co, a treinta de mar</w:t>
      </w:r>
      <w:r>
        <w:t xml:space="preserve">zo de dos mil veintidós. </w:t>
      </w:r>
    </w:p>
    <w:p w:rsidR="00A90CAB" w:rsidRDefault="005608BE">
      <w:pPr>
        <w:spacing w:before="240" w:after="240" w:line="360" w:lineRule="auto"/>
        <w:jc w:val="both"/>
      </w:pPr>
      <w:r>
        <w:rPr>
          <w:b/>
        </w:rPr>
        <w:t>VISTO</w:t>
      </w:r>
      <w:r>
        <w:t xml:space="preserve"> el expediente formado con motivo del recurso de revisión </w:t>
      </w:r>
      <w:r>
        <w:rPr>
          <w:b/>
        </w:rPr>
        <w:t>00749/INFOEM/IP/RR/2022</w:t>
      </w:r>
      <w:r>
        <w:t>, interpuesto por una persona de manera anónima, en lo sucesivo</w:t>
      </w:r>
      <w:r>
        <w:rPr>
          <w:b/>
        </w:rPr>
        <w:t xml:space="preserve"> </w:t>
      </w:r>
      <w:r>
        <w:t xml:space="preserve">la parte </w:t>
      </w:r>
      <w:r>
        <w:rPr>
          <w:b/>
        </w:rPr>
        <w:t>Recurrente,</w:t>
      </w:r>
      <w:r>
        <w:t xml:space="preserve"> en contra de la respuesta a su solicitud de acceso a la información por parte del </w:t>
      </w:r>
      <w:r>
        <w:rPr>
          <w:b/>
        </w:rPr>
        <w:t xml:space="preserve">Ayuntamiento de Tepetlaoxtoc, </w:t>
      </w:r>
      <w:r>
        <w:t xml:space="preserve">en lo sucesivo el </w:t>
      </w:r>
      <w:r>
        <w:rPr>
          <w:b/>
        </w:rPr>
        <w:t xml:space="preserve">Sujeto Obligado, </w:t>
      </w:r>
      <w:r>
        <w:t xml:space="preserve">se procede a dictar la presente resolución con base en los siguientes: </w:t>
      </w:r>
    </w:p>
    <w:p w:rsidR="00A90CAB" w:rsidRDefault="005608BE">
      <w:pPr>
        <w:spacing w:before="240" w:after="240" w:line="360" w:lineRule="auto"/>
        <w:jc w:val="center"/>
        <w:rPr>
          <w:b/>
          <w:sz w:val="28"/>
          <w:szCs w:val="28"/>
        </w:rPr>
      </w:pPr>
      <w:r>
        <w:rPr>
          <w:b/>
        </w:rPr>
        <w:t>I. A N T E C E D E N T E S</w:t>
      </w:r>
    </w:p>
    <w:p w:rsidR="00A90CAB" w:rsidRDefault="005608BE">
      <w:pPr>
        <w:spacing w:before="240" w:after="240" w:line="360" w:lineRule="auto"/>
        <w:jc w:val="both"/>
      </w:pPr>
      <w:r>
        <w:rPr>
          <w:b/>
        </w:rPr>
        <w:t>1. Solicitud de acceso a la información.</w:t>
      </w:r>
      <w:r>
        <w:t xml:space="preserve"> Con fecha </w:t>
      </w:r>
      <w:r>
        <w:rPr>
          <w:b/>
        </w:rPr>
        <w:t>diez de enero de dos mil veintidós,</w:t>
      </w:r>
      <w:r>
        <w:t xml:space="preserve"> la parte </w:t>
      </w:r>
      <w:r>
        <w:rPr>
          <w:b/>
        </w:rPr>
        <w:t xml:space="preserve">Recurrente </w:t>
      </w:r>
      <w:r>
        <w:t xml:space="preserve">presentó, través del Sistema de Acceso a la Información Mexiquense, en lo subsecuente el </w:t>
      </w:r>
      <w:r>
        <w:rPr>
          <w:b/>
        </w:rPr>
        <w:t>SAIMEX,</w:t>
      </w:r>
      <w:r>
        <w:t xml:space="preserve"> ante el </w:t>
      </w:r>
      <w:r>
        <w:rPr>
          <w:b/>
        </w:rPr>
        <w:t>Sujeto Obligado</w:t>
      </w:r>
      <w:r>
        <w:t>, la solicitud de acceso a la información pública, a la que se le asignó el número</w:t>
      </w:r>
      <w:r>
        <w:rPr>
          <w:b/>
        </w:rPr>
        <w:t xml:space="preserve"> 00011/TEPETLAO/IP/2022, </w:t>
      </w:r>
      <w:r>
        <w:t xml:space="preserve">mediante la cual requirió la información siguiente: </w:t>
      </w:r>
    </w:p>
    <w:p w:rsidR="00A90CAB" w:rsidRDefault="005608BE">
      <w:pPr>
        <w:ind w:left="851" w:right="902"/>
        <w:jc w:val="both"/>
        <w:rPr>
          <w:i/>
          <w:sz w:val="22"/>
          <w:szCs w:val="22"/>
        </w:rPr>
      </w:pPr>
      <w:bookmarkStart w:id="2" w:name="_heading=h.gjdgxs" w:colFirst="0" w:colLast="0"/>
      <w:bookmarkEnd w:id="2"/>
      <w:r>
        <w:rPr>
          <w:i/>
          <w:sz w:val="22"/>
          <w:szCs w:val="22"/>
        </w:rPr>
        <w:t>“</w:t>
      </w:r>
      <w:r>
        <w:rPr>
          <w:i/>
          <w:color w:val="000000"/>
          <w:sz w:val="22"/>
          <w:szCs w:val="22"/>
        </w:rPr>
        <w:t>Que auditorías financieras el Órgano Interno de Control ha practicado, cuáles han sido los resultados, y, en su caso las sanciones que se han impuesto a los responsables. • Se solicitan los dictámenes a los estados financieros correspondientes a los ejercicios 2019 y 2020, realizados por los despachos externos</w:t>
      </w:r>
      <w:r>
        <w:rPr>
          <w:i/>
          <w:sz w:val="22"/>
          <w:szCs w:val="22"/>
        </w:rPr>
        <w:t>.” (sic)</w:t>
      </w:r>
    </w:p>
    <w:p w:rsidR="00A90CAB" w:rsidRDefault="00A90CAB">
      <w:pPr>
        <w:ind w:right="900"/>
        <w:jc w:val="both"/>
      </w:pPr>
    </w:p>
    <w:p w:rsidR="00A90CAB" w:rsidRDefault="005608BE">
      <w:pPr>
        <w:spacing w:line="360" w:lineRule="auto"/>
        <w:ind w:right="900"/>
        <w:jc w:val="both"/>
      </w:pPr>
      <w:r>
        <w:t xml:space="preserve">La parte </w:t>
      </w:r>
      <w:r>
        <w:rPr>
          <w:b/>
        </w:rPr>
        <w:t>recurrente</w:t>
      </w:r>
      <w:r>
        <w:t xml:space="preserve"> no adjuntó archivos.</w:t>
      </w:r>
    </w:p>
    <w:p w:rsidR="00A90CAB" w:rsidRDefault="005608BE">
      <w:pPr>
        <w:spacing w:before="240" w:after="240" w:line="360" w:lineRule="auto"/>
        <w:jc w:val="both"/>
      </w:pPr>
      <w:r>
        <w:rPr>
          <w:b/>
        </w:rPr>
        <w:t>Modalidad de Entrega:</w:t>
      </w:r>
      <w:r>
        <w:t xml:space="preserve"> A través de </w:t>
      </w:r>
      <w:r>
        <w:rPr>
          <w:b/>
        </w:rPr>
        <w:t>SAIMEX</w:t>
      </w:r>
      <w:r>
        <w:t>.</w:t>
      </w:r>
    </w:p>
    <w:p w:rsidR="00A90CAB" w:rsidRDefault="005608BE">
      <w:pPr>
        <w:spacing w:before="240" w:after="240" w:line="360" w:lineRule="auto"/>
        <w:jc w:val="both"/>
      </w:pPr>
      <w:r>
        <w:rPr>
          <w:b/>
        </w:rPr>
        <w:lastRenderedPageBreak/>
        <w:t xml:space="preserve">2. Respuesta. </w:t>
      </w:r>
      <w:r>
        <w:t xml:space="preserve">Con fecha </w:t>
      </w:r>
      <w:r>
        <w:rPr>
          <w:b/>
        </w:rPr>
        <w:t xml:space="preserve">diez de febrero de dos mil veintidós, </w:t>
      </w:r>
      <w:r>
        <w:t xml:space="preserve">el </w:t>
      </w:r>
      <w:r>
        <w:rPr>
          <w:b/>
        </w:rPr>
        <w:t xml:space="preserve">Sujeto Obligado </w:t>
      </w:r>
      <w:r>
        <w:t xml:space="preserve">envió su respuesta a la solicitud de acceso a la información a través de </w:t>
      </w:r>
      <w:r>
        <w:rPr>
          <w:b/>
        </w:rPr>
        <w:t>SAIMEX</w:t>
      </w:r>
      <w:r>
        <w:t xml:space="preserve">, sustancialmente en los términos siguientes: </w:t>
      </w:r>
    </w:p>
    <w:p w:rsidR="00A90CAB" w:rsidRDefault="005608BE">
      <w:pPr>
        <w:spacing w:before="240" w:after="240" w:line="276" w:lineRule="auto"/>
        <w:ind w:left="567" w:right="616"/>
        <w:jc w:val="both"/>
      </w:pPr>
      <w:r>
        <w:rPr>
          <w:i/>
          <w:sz w:val="22"/>
          <w:szCs w:val="22"/>
        </w:rPr>
        <w:t>“… En respuesta a la solicitud recibida, nos permitimos hacer de su conocimiento que con fundamento en el artículo 53, Fracciones: II, V y VI de la Ley de Transparencia y Acceso a la Información Pública del Estado de México y Municipios, le contestamos que…” (sic)</w:t>
      </w:r>
    </w:p>
    <w:p w:rsidR="00A90CAB" w:rsidRDefault="005608BE">
      <w:pPr>
        <w:spacing w:before="240" w:after="240" w:line="360" w:lineRule="auto"/>
        <w:ind w:right="49"/>
        <w:jc w:val="both"/>
      </w:pPr>
      <w:r>
        <w:t xml:space="preserve">El </w:t>
      </w:r>
      <w:r>
        <w:rPr>
          <w:b/>
        </w:rPr>
        <w:t>Sujeto Obligado</w:t>
      </w:r>
      <w:r>
        <w:t xml:space="preserve"> adjuntó a su respuesta el archivo </w:t>
      </w:r>
      <w:r>
        <w:rPr>
          <w:b/>
          <w:i/>
        </w:rPr>
        <w:t>“RESPUESTA 00011.pdf”</w:t>
      </w:r>
      <w:r>
        <w:rPr>
          <w:i/>
        </w:rPr>
        <w:t xml:space="preserve">, </w:t>
      </w:r>
      <w:r>
        <w:t>que consiste en el número TEPE/OIC/082/2022 de fecha 10 de febrero de dos mil veintidós, signado por el Contralor Interno Municipal a través del cual informa que en los archivos de concentración de la administración 2022-2024 no se encuentra algún registro de auditorías realizadas, tal como se advierte a continuación:</w:t>
      </w:r>
    </w:p>
    <w:p w:rsidR="00A90CAB" w:rsidRDefault="005608BE">
      <w:pPr>
        <w:spacing w:before="240" w:after="240" w:line="360" w:lineRule="auto"/>
        <w:ind w:right="49"/>
        <w:jc w:val="both"/>
      </w:pPr>
      <w:r>
        <w:rPr>
          <w:noProof/>
          <w:lang w:val="es-MX"/>
        </w:rPr>
        <w:lastRenderedPageBreak/>
        <w:drawing>
          <wp:inline distT="0" distB="0" distL="0" distR="0">
            <wp:extent cx="5553693" cy="6424121"/>
            <wp:effectExtent l="0" t="0" r="0" b="0"/>
            <wp:docPr id="3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553693" cy="6424121"/>
                    </a:xfrm>
                    <a:prstGeom prst="rect">
                      <a:avLst/>
                    </a:prstGeom>
                    <a:ln/>
                  </pic:spPr>
                </pic:pic>
              </a:graphicData>
            </a:graphic>
          </wp:inline>
        </w:drawing>
      </w:r>
    </w:p>
    <w:p w:rsidR="00A90CAB" w:rsidRDefault="005608BE">
      <w:pPr>
        <w:spacing w:before="240" w:after="240" w:line="360" w:lineRule="auto"/>
        <w:ind w:right="49"/>
        <w:jc w:val="both"/>
      </w:pPr>
      <w:r>
        <w:rPr>
          <w:b/>
        </w:rPr>
        <w:t xml:space="preserve">3. Interposición del recurso de revisión. </w:t>
      </w:r>
      <w:r>
        <w:t xml:space="preserve">Inconforme con los términos de la respuesta emitida por parte del </w:t>
      </w:r>
      <w:r>
        <w:rPr>
          <w:b/>
        </w:rPr>
        <w:t>Sujeto Obligado</w:t>
      </w:r>
      <w:r>
        <w:t xml:space="preserve">, el </w:t>
      </w:r>
      <w:r>
        <w:rPr>
          <w:b/>
        </w:rPr>
        <w:t xml:space="preserve">once de febrero de dos mil </w:t>
      </w:r>
      <w:r>
        <w:rPr>
          <w:b/>
        </w:rPr>
        <w:lastRenderedPageBreak/>
        <w:t>veintidós,</w:t>
      </w:r>
      <w:r>
        <w:t xml:space="preserve"> la parte </w:t>
      </w:r>
      <w:r>
        <w:rPr>
          <w:b/>
        </w:rPr>
        <w:t>Recurrente</w:t>
      </w:r>
      <w:r>
        <w:t xml:space="preserve"> interpuso el recurso de revisión a través de </w:t>
      </w:r>
      <w:r>
        <w:rPr>
          <w:b/>
        </w:rPr>
        <w:t xml:space="preserve">SAIMEX, </w:t>
      </w:r>
      <w:r>
        <w:t>en donde se manifestó de la siguiente manera:</w:t>
      </w:r>
    </w:p>
    <w:p w:rsidR="00A90CAB" w:rsidRDefault="005608BE">
      <w:pPr>
        <w:tabs>
          <w:tab w:val="left" w:pos="2745"/>
        </w:tabs>
        <w:spacing w:line="360" w:lineRule="auto"/>
        <w:jc w:val="both"/>
        <w:rPr>
          <w:b/>
        </w:rPr>
      </w:pPr>
      <w:bookmarkStart w:id="3" w:name="_heading=h.2s8eyo1" w:colFirst="0" w:colLast="0"/>
      <w:bookmarkEnd w:id="3"/>
      <w:r>
        <w:rPr>
          <w:b/>
        </w:rPr>
        <w:t xml:space="preserve">Acto impugnado: </w:t>
      </w:r>
      <w:r>
        <w:rPr>
          <w:b/>
        </w:rPr>
        <w:tab/>
      </w:r>
    </w:p>
    <w:p w:rsidR="00A90CAB" w:rsidRDefault="00A90CAB">
      <w:pPr>
        <w:spacing w:line="360" w:lineRule="auto"/>
        <w:ind w:left="851" w:right="900"/>
        <w:jc w:val="both"/>
        <w:rPr>
          <w:i/>
          <w:sz w:val="2"/>
          <w:szCs w:val="2"/>
        </w:rPr>
      </w:pPr>
    </w:p>
    <w:p w:rsidR="00A90CAB" w:rsidRDefault="005608BE">
      <w:pPr>
        <w:ind w:left="851" w:right="900"/>
        <w:jc w:val="both"/>
        <w:rPr>
          <w:i/>
          <w:sz w:val="22"/>
          <w:szCs w:val="22"/>
        </w:rPr>
      </w:pPr>
      <w:r>
        <w:rPr>
          <w:i/>
          <w:sz w:val="22"/>
          <w:szCs w:val="22"/>
        </w:rPr>
        <w:t>“</w:t>
      </w:r>
      <w:r>
        <w:rPr>
          <w:b/>
          <w:i/>
          <w:color w:val="000000"/>
          <w:sz w:val="22"/>
          <w:szCs w:val="22"/>
        </w:rPr>
        <w:t>a entrega de la informacion no corresponde</w:t>
      </w:r>
      <w:r>
        <w:rPr>
          <w:i/>
          <w:color w:val="000000"/>
          <w:sz w:val="22"/>
          <w:szCs w:val="22"/>
        </w:rPr>
        <w:t xml:space="preserve"> a lo solicitado, </w:t>
      </w:r>
      <w:r>
        <w:rPr>
          <w:b/>
          <w:i/>
          <w:color w:val="000000"/>
          <w:sz w:val="22"/>
          <w:szCs w:val="22"/>
        </w:rPr>
        <w:t>amen que no acredita de manera fehaciente su dicho</w:t>
      </w:r>
      <w:r>
        <w:rPr>
          <w:i/>
          <w:color w:val="000000"/>
          <w:sz w:val="22"/>
          <w:szCs w:val="22"/>
        </w:rPr>
        <w:t xml:space="preserve"> sin perder de vista la limitacion de la clasificacion de informacion</w:t>
      </w:r>
      <w:r>
        <w:rPr>
          <w:i/>
          <w:sz w:val="22"/>
          <w:szCs w:val="22"/>
        </w:rPr>
        <w:t>.” (sic)</w:t>
      </w:r>
    </w:p>
    <w:p w:rsidR="00A90CAB" w:rsidRDefault="00A90CAB">
      <w:pPr>
        <w:ind w:left="851" w:right="900"/>
        <w:jc w:val="both"/>
        <w:rPr>
          <w:i/>
          <w:sz w:val="22"/>
          <w:szCs w:val="22"/>
        </w:rPr>
      </w:pPr>
    </w:p>
    <w:p w:rsidR="00A90CAB" w:rsidRDefault="00A90CAB">
      <w:pPr>
        <w:spacing w:line="360" w:lineRule="auto"/>
        <w:jc w:val="both"/>
        <w:rPr>
          <w:sz w:val="2"/>
          <w:szCs w:val="2"/>
        </w:rPr>
      </w:pPr>
    </w:p>
    <w:p w:rsidR="00A90CAB" w:rsidRDefault="005608BE">
      <w:pPr>
        <w:spacing w:line="360" w:lineRule="auto"/>
        <w:jc w:val="both"/>
      </w:pPr>
      <w:r>
        <w:rPr>
          <w:b/>
        </w:rPr>
        <w:t>Y Razones o motivos de inconformidad</w:t>
      </w:r>
      <w:r>
        <w:t>:</w:t>
      </w:r>
    </w:p>
    <w:p w:rsidR="00A90CAB" w:rsidRDefault="00A90CAB">
      <w:pPr>
        <w:spacing w:line="360" w:lineRule="auto"/>
        <w:jc w:val="both"/>
        <w:rPr>
          <w:sz w:val="2"/>
          <w:szCs w:val="2"/>
        </w:rPr>
      </w:pPr>
    </w:p>
    <w:p w:rsidR="00A90CAB" w:rsidRDefault="005608BE">
      <w:pPr>
        <w:ind w:left="851" w:right="900"/>
        <w:jc w:val="both"/>
        <w:rPr>
          <w:i/>
          <w:sz w:val="22"/>
          <w:szCs w:val="22"/>
        </w:rPr>
      </w:pPr>
      <w:bookmarkStart w:id="4" w:name="_heading=h.30j0zll" w:colFirst="0" w:colLast="0"/>
      <w:bookmarkEnd w:id="4"/>
      <w:r>
        <w:rPr>
          <w:sz w:val="22"/>
          <w:szCs w:val="22"/>
        </w:rPr>
        <w:t xml:space="preserve"> </w:t>
      </w:r>
      <w:r>
        <w:rPr>
          <w:b/>
          <w:i/>
          <w:sz w:val="22"/>
          <w:szCs w:val="22"/>
        </w:rPr>
        <w:t>“</w:t>
      </w:r>
      <w:r>
        <w:rPr>
          <w:b/>
          <w:i/>
          <w:color w:val="000000"/>
          <w:sz w:val="22"/>
          <w:szCs w:val="22"/>
        </w:rPr>
        <w:t>la entrega de la informacion no corresponde</w:t>
      </w:r>
      <w:r>
        <w:rPr>
          <w:i/>
          <w:color w:val="000000"/>
          <w:sz w:val="22"/>
          <w:szCs w:val="22"/>
        </w:rPr>
        <w:t xml:space="preserve"> a lo solicitado, </w:t>
      </w:r>
      <w:r>
        <w:rPr>
          <w:b/>
          <w:i/>
          <w:color w:val="000000"/>
          <w:sz w:val="22"/>
          <w:szCs w:val="22"/>
        </w:rPr>
        <w:t>amen que no acredita de manera fehaciente su dicho</w:t>
      </w:r>
      <w:r>
        <w:rPr>
          <w:i/>
          <w:color w:val="000000"/>
          <w:sz w:val="22"/>
          <w:szCs w:val="22"/>
        </w:rPr>
        <w:t xml:space="preserve"> sin perder de vista la limitacion de la clasificacion de informacion</w:t>
      </w:r>
      <w:r>
        <w:rPr>
          <w:i/>
          <w:sz w:val="22"/>
          <w:szCs w:val="22"/>
        </w:rPr>
        <w:t>.” (sic)</w:t>
      </w:r>
    </w:p>
    <w:p w:rsidR="00A90CAB" w:rsidRDefault="005608BE">
      <w:pPr>
        <w:spacing w:before="240" w:after="240" w:line="360" w:lineRule="auto"/>
        <w:ind w:right="51"/>
        <w:jc w:val="both"/>
      </w:pPr>
      <w:r>
        <w:rPr>
          <w:b/>
        </w:rPr>
        <w:t xml:space="preserve">Anexos: </w:t>
      </w:r>
      <w:r>
        <w:t xml:space="preserve">La parte </w:t>
      </w:r>
      <w:r>
        <w:rPr>
          <w:b/>
        </w:rPr>
        <w:t>Recurrente</w:t>
      </w:r>
      <w:r>
        <w:t xml:space="preserve"> no adjuntó archivos.</w:t>
      </w:r>
    </w:p>
    <w:p w:rsidR="00A90CAB" w:rsidRDefault="005608BE">
      <w:pPr>
        <w:spacing w:before="240" w:after="240" w:line="360" w:lineRule="auto"/>
        <w:ind w:right="51"/>
        <w:jc w:val="both"/>
      </w:pPr>
      <w:r>
        <w:rPr>
          <w:b/>
        </w:rPr>
        <w:t>4. Turno.</w:t>
      </w:r>
      <w:r>
        <w:rPr>
          <w:b/>
          <w:sz w:val="28"/>
          <w:szCs w:val="28"/>
        </w:rPr>
        <w:t xml:space="preserve"> </w:t>
      </w:r>
      <w: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Pr>
          <w:b/>
        </w:rPr>
        <w:t xml:space="preserve">Guadalupe Ramírez Peña, </w:t>
      </w:r>
      <w:r>
        <w:t>a efecto de que analizara sobre su admisión o su desechamiento.</w:t>
      </w:r>
    </w:p>
    <w:p w:rsidR="00A90CAB" w:rsidRDefault="005608BE">
      <w:pPr>
        <w:spacing w:after="240" w:line="360" w:lineRule="auto"/>
        <w:jc w:val="both"/>
        <w:rPr>
          <w:b/>
        </w:rPr>
      </w:pPr>
      <w:r>
        <w:rPr>
          <w:b/>
        </w:rPr>
        <w:t>5. Admisión del Recurso de revisión.</w:t>
      </w:r>
      <w:r>
        <w:rPr>
          <w:sz w:val="28"/>
          <w:szCs w:val="28"/>
        </w:rPr>
        <w:t xml:space="preserve"> </w:t>
      </w:r>
      <w:r>
        <w:t>Con fecha</w:t>
      </w:r>
      <w:r>
        <w:rPr>
          <w:b/>
        </w:rPr>
        <w:t xml:space="preserve"> dieciséis de febrero de dos mil veintidós, </w:t>
      </w:r>
      <w: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Pr>
          <w:b/>
        </w:rPr>
        <w:t xml:space="preserve">Sujeto Obligado </w:t>
      </w:r>
      <w:r>
        <w:t>presentara su informe justificado.</w:t>
      </w:r>
    </w:p>
    <w:p w:rsidR="00A90CAB" w:rsidRDefault="005608BE">
      <w:pPr>
        <w:spacing w:before="240" w:after="240" w:line="360" w:lineRule="auto"/>
        <w:jc w:val="both"/>
      </w:pPr>
      <w:r>
        <w:rPr>
          <w:b/>
        </w:rPr>
        <w:t>6. Manifestaciones</w:t>
      </w:r>
      <w:r>
        <w:t>.</w:t>
      </w:r>
      <w:r>
        <w:rPr>
          <w:sz w:val="28"/>
          <w:szCs w:val="28"/>
        </w:rPr>
        <w:t xml:space="preserve"> </w:t>
      </w:r>
      <w:r>
        <w:t xml:space="preserve">La parte </w:t>
      </w:r>
      <w:r>
        <w:rPr>
          <w:b/>
        </w:rPr>
        <w:t xml:space="preserve">Recurrente </w:t>
      </w:r>
      <w:r>
        <w:t xml:space="preserve">y el </w:t>
      </w:r>
      <w:r>
        <w:rPr>
          <w:b/>
        </w:rPr>
        <w:t xml:space="preserve">Sujeto Obligado </w:t>
      </w:r>
      <w:r>
        <w:t>fueron omisos en emitir sus alegatos, pruebas e informe justificado en el plazo establecido para tal efecto.</w:t>
      </w:r>
    </w:p>
    <w:p w:rsidR="00A90CAB" w:rsidRDefault="005608BE">
      <w:pPr>
        <w:spacing w:before="240" w:after="240" w:line="360" w:lineRule="auto"/>
        <w:jc w:val="both"/>
      </w:pPr>
      <w:r>
        <w:rPr>
          <w:noProof/>
          <w:lang w:val="es-MX"/>
        </w:rPr>
        <w:drawing>
          <wp:inline distT="0" distB="0" distL="0" distR="0">
            <wp:extent cx="5612130" cy="2743200"/>
            <wp:effectExtent l="0" t="0" r="0" b="0"/>
            <wp:docPr id="3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612130" cy="2743200"/>
                    </a:xfrm>
                    <a:prstGeom prst="rect">
                      <a:avLst/>
                    </a:prstGeom>
                    <a:ln/>
                  </pic:spPr>
                </pic:pic>
              </a:graphicData>
            </a:graphic>
          </wp:inline>
        </w:drawing>
      </w:r>
    </w:p>
    <w:p w:rsidR="00A90CAB" w:rsidRDefault="005608BE">
      <w:pPr>
        <w:spacing w:before="240" w:after="240" w:line="360" w:lineRule="auto"/>
        <w:jc w:val="both"/>
      </w:pPr>
      <w:r>
        <w:rPr>
          <w:b/>
        </w:rPr>
        <w:t xml:space="preserve">7. Cierre de instrucción. </w:t>
      </w:r>
      <w:r>
        <w:t xml:space="preserve">Una vez transcurrido el periodo otorgado a las partes para realizar sus manifestaciones y no habiendo documentos que integrar al expediente, con fecha </w:t>
      </w:r>
      <w:r>
        <w:rPr>
          <w:b/>
        </w:rPr>
        <w:t>veinticinco de marzo de dos mil veintidós</w:t>
      </w:r>
      <w:r>
        <w:t>, la Comisionada Ponente determinó el cierre de instrucción en términos de la fracción VI del artículo 185 de la Ley de Transparencia y Acceso a la Información Pública del Estado de México y Municipios.</w:t>
      </w:r>
    </w:p>
    <w:p w:rsidR="00A90CAB" w:rsidRDefault="005608BE">
      <w:pPr>
        <w:widowControl w:val="0"/>
        <w:spacing w:before="240" w:after="240" w:line="360" w:lineRule="auto"/>
        <w:jc w:val="both"/>
      </w:pPr>
      <w:r>
        <w:t xml:space="preserve">En razón de que fue debidamente sustanciado el expediente electrónico y no existe diligencia pendiente de desahogo, se emite la Resolución que conforme a Derecho proceda, de acuerdo con los siguientes: </w:t>
      </w:r>
    </w:p>
    <w:p w:rsidR="00A90CAB" w:rsidRDefault="005608BE">
      <w:pPr>
        <w:widowControl w:val="0"/>
        <w:spacing w:before="240" w:after="240" w:line="360" w:lineRule="auto"/>
        <w:jc w:val="center"/>
        <w:rPr>
          <w:b/>
        </w:rPr>
      </w:pPr>
      <w:r>
        <w:rPr>
          <w:b/>
        </w:rPr>
        <w:t>II. C O N S I D E R A N D O S</w:t>
      </w:r>
    </w:p>
    <w:p w:rsidR="00A90CAB" w:rsidRDefault="005608BE">
      <w:pPr>
        <w:spacing w:before="240" w:after="240" w:line="360" w:lineRule="auto"/>
        <w:jc w:val="both"/>
      </w:pPr>
      <w:r>
        <w:rPr>
          <w:b/>
        </w:rPr>
        <w:t>Primero. Competencia.</w:t>
      </w:r>
      <w: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A90CAB" w:rsidRDefault="005608BE">
      <w:pPr>
        <w:spacing w:before="240" w:after="240" w:line="360" w:lineRule="auto"/>
        <w:jc w:val="both"/>
      </w:pPr>
      <w:bookmarkStart w:id="5" w:name="_heading=h.1fob9te" w:colFirst="0" w:colLast="0"/>
      <w:bookmarkEnd w:id="5"/>
      <w:r>
        <w:rPr>
          <w:b/>
        </w:rPr>
        <w:t>Segundo. Oportunidad y Procedibilidad del Recurso de Revisión</w:t>
      </w:r>
      <w:r>
        <w:t xml:space="preserve">.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 en el estudio se advierte que el presente recurso fue interpuesto dentro del plazo de quince días hábiles, previsto en el primer artículo señalado anteriormente como referencia, toda vez que el </w:t>
      </w:r>
      <w:r>
        <w:rPr>
          <w:b/>
        </w:rPr>
        <w:t xml:space="preserve">Sujeto Obligado </w:t>
      </w:r>
      <w:r>
        <w:t xml:space="preserve">remitió la respuesta a la solicitud de información el día </w:t>
      </w:r>
      <w:r>
        <w:rPr>
          <w:b/>
        </w:rPr>
        <w:t xml:space="preserve">diez de febrero de dos mil veintidós, </w:t>
      </w:r>
      <w:r>
        <w:t xml:space="preserve">mientras que el recurso de revisión interpuesto por la parte </w:t>
      </w:r>
      <w:r>
        <w:rPr>
          <w:b/>
        </w:rPr>
        <w:t>Recurrente</w:t>
      </w:r>
      <w:r>
        <w:t xml:space="preserve">, se tuvo por presentado el día </w:t>
      </w:r>
      <w:r>
        <w:rPr>
          <w:b/>
        </w:rPr>
        <w:t>once de febrero de dos mil veintidós</w:t>
      </w:r>
      <w:r>
        <w:t>, esto es, al siguiente día en que tuvo conocimiento de la respuesta impugnada.</w:t>
      </w:r>
    </w:p>
    <w:p w:rsidR="00A90CAB" w:rsidRDefault="005608BE">
      <w:pPr>
        <w:spacing w:before="240" w:after="240" w:line="360" w:lineRule="auto"/>
        <w:jc w:val="both"/>
      </w:pPr>
      <w:bookmarkStart w:id="6" w:name="_heading=h.3znysh7" w:colFirst="0" w:colLast="0"/>
      <w:bookmarkEnd w:id="6"/>
      <w:r>
        <w:t xml:space="preserve">En este sentido, al considerar la fecha en que se formuló la solicitud y la fecha en que respondió a ésta el </w:t>
      </w:r>
      <w:r>
        <w:rPr>
          <w:b/>
        </w:rPr>
        <w:t>Sujeto Obligado</w:t>
      </w:r>
      <w:r>
        <w:t>; así como la fecha en que se interpuso el recurso de revisión, se concluye que el presente recurso de revisión se encuentra dentro de los márgenes temporales previstos las disposiciones legales referidas.</w:t>
      </w:r>
    </w:p>
    <w:p w:rsidR="00A90CAB" w:rsidRDefault="005608BE">
      <w:pPr>
        <w:spacing w:before="240" w:after="240" w:line="360" w:lineRule="auto"/>
        <w:jc w:val="both"/>
        <w:rPr>
          <w:rFonts w:ascii="Times New Roman" w:eastAsia="Times New Roman" w:hAnsi="Times New Roman" w:cs="Times New Roman"/>
        </w:rPr>
      </w:pPr>
      <w:bookmarkStart w:id="7" w:name="_heading=h.17dp8vu" w:colFirst="0" w:colLast="0"/>
      <w:bookmarkEnd w:id="7"/>
      <w:r>
        <w:rPr>
          <w:color w:val="000000"/>
        </w:rPr>
        <w:t xml:space="preserve">Al mismo tiempo, por cuanto hace a la procedibilidad del recurso de revisión, es de suma importancia señalar que la parte </w:t>
      </w:r>
      <w:r>
        <w:rPr>
          <w:b/>
          <w:color w:val="000000"/>
        </w:rPr>
        <w:t>Recurrente</w:t>
      </w:r>
      <w:r>
        <w:rPr>
          <w:color w:val="000000"/>
        </w:rPr>
        <w:t xml:space="preserve"> </w:t>
      </w:r>
      <w:r>
        <w:rPr>
          <w:b/>
          <w:color w:val="000000"/>
        </w:rPr>
        <w:t xml:space="preserve">no proporcionó nombre o seudónimo con el cual sea identificad, </w:t>
      </w:r>
      <w:r>
        <w:rPr>
          <w:color w:val="000000"/>
        </w:rPr>
        <w:t xml:space="preserve">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A90CAB" w:rsidRDefault="005608BE">
      <w:pPr>
        <w:spacing w:before="240" w:after="240" w:line="276" w:lineRule="auto"/>
        <w:ind w:left="851" w:right="900"/>
        <w:jc w:val="both"/>
        <w:rPr>
          <w:rFonts w:ascii="Times New Roman" w:eastAsia="Times New Roman" w:hAnsi="Times New Roman" w:cs="Times New Roman"/>
        </w:rPr>
      </w:pPr>
      <w:r>
        <w:rPr>
          <w:i/>
          <w:color w:val="000000"/>
          <w:sz w:val="22"/>
          <w:szCs w:val="22"/>
        </w:rPr>
        <w:t>"</w:t>
      </w:r>
      <w:r>
        <w:rPr>
          <w:b/>
          <w:i/>
          <w:color w:val="000000"/>
          <w:sz w:val="22"/>
          <w:szCs w:val="22"/>
        </w:rPr>
        <w:t>Las solicitudes anónimas</w:t>
      </w:r>
      <w:r>
        <w:rPr>
          <w:i/>
          <w:color w:val="000000"/>
          <w:sz w:val="22"/>
          <w:szCs w:val="22"/>
        </w:rPr>
        <w:t xml:space="preserve">, con nombre incompleto o seudónimo </w:t>
      </w:r>
      <w:r>
        <w:rPr>
          <w:b/>
          <w:i/>
          <w:color w:val="000000"/>
          <w:sz w:val="22"/>
          <w:szCs w:val="22"/>
        </w:rPr>
        <w:t>serán procedentes para su trámite por parte del sujeto obligado ante quien se presente</w:t>
      </w:r>
      <w:r>
        <w:rPr>
          <w:i/>
          <w:color w:val="000000"/>
          <w:sz w:val="22"/>
          <w:szCs w:val="22"/>
        </w:rPr>
        <w:t>. No podrá requerirse información adicional con motivo del nombre proporcionado por el solicitante."</w:t>
      </w:r>
    </w:p>
    <w:p w:rsidR="00A90CAB" w:rsidRDefault="005608BE">
      <w:pPr>
        <w:spacing w:before="240" w:after="240" w:line="360" w:lineRule="auto"/>
        <w:jc w:val="both"/>
      </w:pPr>
      <w:r>
        <w:t>Asimismo, tras la revisión del escrito de interposición, se concluye la acreditación plena de todos y cada uno de los elementos formales exigidos por el artículo 180 de la Ley de Transparencia y Acceso a la Información Pública del Estado de México y Municipios, y en consecuencia resulta conforme a derecho entrar al estudio de fondo y resolver el presente medio de impugnación.</w:t>
      </w:r>
    </w:p>
    <w:p w:rsidR="00A90CAB" w:rsidRDefault="005608BE">
      <w:pPr>
        <w:spacing w:before="240" w:after="240" w:line="360" w:lineRule="auto"/>
        <w:jc w:val="both"/>
      </w:pPr>
      <w:r>
        <w:t>Finalmente, se advierte que resulta procedente la interposición del recurso, según lo manifestado por el recurrente en sus motivos de inconformidad, de acuerdo al artículo 179, fracción V del ordenamiento legal citado, que a la letra dice: </w:t>
      </w:r>
    </w:p>
    <w:p w:rsidR="00A90CAB" w:rsidRDefault="005608BE">
      <w:pPr>
        <w:spacing w:before="240" w:after="240" w:line="276" w:lineRule="auto"/>
        <w:ind w:left="851" w:right="902"/>
        <w:jc w:val="both"/>
        <w:rPr>
          <w:i/>
          <w:sz w:val="22"/>
          <w:szCs w:val="22"/>
        </w:rPr>
      </w:pPr>
      <w:r>
        <w:rPr>
          <w:i/>
          <w:sz w:val="22"/>
          <w:szCs w:val="22"/>
        </w:rPr>
        <w:t>“</w:t>
      </w:r>
      <w:r>
        <w:rPr>
          <w:b/>
          <w:i/>
          <w:sz w:val="22"/>
          <w:szCs w:val="22"/>
        </w:rPr>
        <w:t>Artículo 179.</w:t>
      </w:r>
      <w:r>
        <w:rPr>
          <w:i/>
          <w:sz w:val="22"/>
          <w:szCs w:val="22"/>
        </w:rPr>
        <w:t xml:space="preserve"> El recurso de revisión es un medio de protección que la Ley otorga a los particulares, para hacer valer su derecho de acceso a la información pública, y procederá en contra de las siguientes causas:</w:t>
      </w:r>
    </w:p>
    <w:p w:rsidR="00A90CAB" w:rsidRDefault="005608BE">
      <w:pPr>
        <w:spacing w:before="240" w:after="240" w:line="276" w:lineRule="auto"/>
        <w:ind w:left="993" w:right="902"/>
        <w:jc w:val="both"/>
        <w:rPr>
          <w:b/>
          <w:i/>
          <w:sz w:val="22"/>
          <w:szCs w:val="22"/>
        </w:rPr>
      </w:pPr>
      <w:r>
        <w:rPr>
          <w:b/>
          <w:i/>
          <w:sz w:val="22"/>
          <w:szCs w:val="22"/>
        </w:rPr>
        <w:t>...</w:t>
      </w:r>
    </w:p>
    <w:p w:rsidR="00A90CAB" w:rsidRDefault="005608BE">
      <w:pPr>
        <w:spacing w:before="240" w:after="240" w:line="276" w:lineRule="auto"/>
        <w:ind w:left="993" w:right="902"/>
        <w:jc w:val="both"/>
        <w:rPr>
          <w:i/>
          <w:sz w:val="22"/>
          <w:szCs w:val="22"/>
        </w:rPr>
      </w:pPr>
      <w:r>
        <w:rPr>
          <w:b/>
          <w:i/>
          <w:sz w:val="22"/>
          <w:szCs w:val="22"/>
        </w:rPr>
        <w:t xml:space="preserve">VI. </w:t>
      </w:r>
      <w:r>
        <w:rPr>
          <w:i/>
          <w:sz w:val="22"/>
          <w:szCs w:val="22"/>
        </w:rPr>
        <w:t>La entrega de información que no corresponda con lo solicitado;”</w:t>
      </w:r>
    </w:p>
    <w:p w:rsidR="00A90CAB" w:rsidRDefault="005608BE">
      <w:pPr>
        <w:spacing w:before="280" w:after="280" w:line="360" w:lineRule="auto"/>
        <w:jc w:val="both"/>
      </w:pPr>
      <w:r>
        <w:rPr>
          <w:b/>
        </w:rPr>
        <w:t xml:space="preserve">Tercero. Materia de la revisión. </w:t>
      </w:r>
      <w:r>
        <w:t xml:space="preserve">De la revisión a las constancias y documentos que obran en el expediente electrónico se advierte, que el tema sobre el que este Órgano Garante de Transparencia y Acceso a la Información se pronunciará será: </w:t>
      </w:r>
      <w:r>
        <w:rPr>
          <w:b/>
        </w:rPr>
        <w:t xml:space="preserve">verificar si la respuesta otorgada por el Sujeto Obligado es adecuada y suficiente para satisfacer el derecho de acceso a la información pública </w:t>
      </w:r>
      <w:r>
        <w:t xml:space="preserve">de la parte </w:t>
      </w:r>
      <w:r>
        <w:rPr>
          <w:b/>
        </w:rPr>
        <w:t>Recurrente</w:t>
      </w:r>
      <w:r>
        <w:t>, o en su defecto, en caso de ser procedente, ordenar la entrega de información oportuna.</w:t>
      </w:r>
    </w:p>
    <w:p w:rsidR="00A90CAB" w:rsidRDefault="005608BE">
      <w:pPr>
        <w:spacing w:before="240" w:after="240" w:line="360" w:lineRule="auto"/>
        <w:ind w:right="51"/>
        <w:jc w:val="both"/>
      </w:pPr>
      <w:bookmarkStart w:id="8" w:name="_heading=h.2et92p0" w:colFirst="0" w:colLast="0"/>
      <w:bookmarkEnd w:id="8"/>
      <w:r>
        <w:rPr>
          <w:b/>
        </w:rPr>
        <w:t xml:space="preserve">Cuarto. Estudio del asunto. </w:t>
      </w:r>
      <w:r>
        <w:t xml:space="preserve">Del análisis de la solicitud de información, motivo del recurso de revisión que ahora se resuelve se advierte que la parte </w:t>
      </w:r>
      <w:r>
        <w:rPr>
          <w:b/>
        </w:rPr>
        <w:t>Recurrente</w:t>
      </w:r>
      <w:r>
        <w:t xml:space="preserve"> requirió al </w:t>
      </w:r>
      <w:r>
        <w:rPr>
          <w:b/>
        </w:rPr>
        <w:t xml:space="preserve">Sujeto Obligado </w:t>
      </w:r>
      <w:r>
        <w:t>le proporcione, información consistente en lo siguiente:</w:t>
      </w:r>
    </w:p>
    <w:p w:rsidR="00A90CAB" w:rsidRDefault="005608BE">
      <w:pPr>
        <w:numPr>
          <w:ilvl w:val="0"/>
          <w:numId w:val="2"/>
        </w:numPr>
        <w:pBdr>
          <w:top w:val="nil"/>
          <w:left w:val="nil"/>
          <w:bottom w:val="nil"/>
          <w:right w:val="nil"/>
          <w:between w:val="nil"/>
        </w:pBdr>
        <w:spacing w:before="120" w:after="120" w:line="360" w:lineRule="auto"/>
        <w:ind w:right="49" w:hanging="357"/>
        <w:jc w:val="both"/>
        <w:rPr>
          <w:color w:val="000000"/>
        </w:rPr>
      </w:pPr>
      <w:r>
        <w:rPr>
          <w:color w:val="000000"/>
        </w:rPr>
        <w:t>Que auditorías financieras el Órgano Interno de Control ha practicado, cuáles han sido los resultados, y, en su caso las sanciones que se han impuesto a los responsables. Se solicitan los dictámenes a los estados financieros correspondientes a los ejercicios 2019 y 2020, realizados por los despachos externos.</w:t>
      </w:r>
    </w:p>
    <w:p w:rsidR="00A90CAB" w:rsidRDefault="005608BE">
      <w:pPr>
        <w:spacing w:before="240" w:after="240" w:line="360" w:lineRule="auto"/>
        <w:ind w:right="51"/>
        <w:jc w:val="both"/>
        <w:rPr>
          <w:b/>
          <w:u w:val="single"/>
        </w:rPr>
      </w:pPr>
      <w:r>
        <w:t xml:space="preserve">En respuesta el </w:t>
      </w:r>
      <w:r>
        <w:rPr>
          <w:b/>
        </w:rPr>
        <w:t>Sujeto Obligado</w:t>
      </w:r>
      <w:r>
        <w:t>, a través de la Unidad de Transparencia hizo del conocimiento del particular un oficio número TEPE/OIC/082/2022, signado por el Contralor Interno Municipal, en el cual refiere q</w:t>
      </w:r>
      <w:r>
        <w:rPr>
          <w:b/>
          <w:u w:val="single"/>
        </w:rPr>
        <w:t xml:space="preserve">ue en los archivos de concentración </w:t>
      </w:r>
      <w:r>
        <w:t xml:space="preserve">que obran en resguardo de esa autoridad de control, </w:t>
      </w:r>
      <w:r>
        <w:rPr>
          <w:b/>
          <w:u w:val="single"/>
        </w:rPr>
        <w:t>no se encuentra ningún registro con relación a auditorias realizadas.</w:t>
      </w:r>
    </w:p>
    <w:p w:rsidR="00A90CAB" w:rsidRDefault="005608BE">
      <w:pPr>
        <w:spacing w:before="240" w:after="240" w:line="360" w:lineRule="auto"/>
        <w:ind w:right="51"/>
        <w:jc w:val="both"/>
      </w:pPr>
      <w:r>
        <w:t xml:space="preserve"> No obstante, al no estar conforme con los términos de la respuesta emitida, el particular presentó el recurso de revisión que nos ocupa, mediante el cual señaló, como motivo de inconformidad, que la información que el </w:t>
      </w:r>
      <w:r>
        <w:rPr>
          <w:b/>
        </w:rPr>
        <w:t>Sujeto Obligado</w:t>
      </w:r>
      <w:r>
        <w:t xml:space="preserve"> le presentó no correspondía con la información solicitada y que el </w:t>
      </w:r>
      <w:r>
        <w:rPr>
          <w:b/>
        </w:rPr>
        <w:t>Sujeto Obligado</w:t>
      </w:r>
      <w:r>
        <w:t xml:space="preserve"> no acreditaba fehacientemente su dicho, asimismo se inconforma por una supuesta clasificación de información.</w:t>
      </w:r>
      <w:r>
        <w:rPr>
          <w:rFonts w:ascii="Verdana" w:eastAsia="Verdana" w:hAnsi="Verdana" w:cs="Verdana"/>
          <w:color w:val="000000"/>
          <w:sz w:val="14"/>
          <w:szCs w:val="14"/>
        </w:rPr>
        <w:t xml:space="preserve"> </w:t>
      </w:r>
    </w:p>
    <w:p w:rsidR="00A90CAB" w:rsidRDefault="005608BE">
      <w:pPr>
        <w:spacing w:before="240" w:after="240" w:line="360" w:lineRule="auto"/>
        <w:jc w:val="both"/>
      </w:pPr>
      <w:r>
        <w:t>Así, admitido el presente recurso de revisión, en términos del artículo 185 fracción II</w:t>
      </w:r>
      <w:r>
        <w:rPr>
          <w:vertAlign w:val="superscript"/>
        </w:rPr>
        <w:footnoteReference w:id="1"/>
      </w:r>
      <w: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 siendo omisas ambas partes. </w:t>
      </w:r>
    </w:p>
    <w:p w:rsidR="00A90CAB" w:rsidRDefault="005608BE">
      <w:pPr>
        <w:spacing w:before="240" w:after="240" w:line="360" w:lineRule="auto"/>
        <w:jc w:val="both"/>
      </w:pPr>
      <w:r>
        <w:rPr>
          <w:color w:val="000000"/>
        </w:rPr>
        <w:t>En primer lugar</w:t>
      </w:r>
      <w:r>
        <w:t xml:space="preserve">, es conveniente analizar si la respuesta del Sujeto Obligado cumple con los requisitos y procedimientos del derecho de acceso a la información pública, en atención a que en la Ley de Transparencia y Acceso a la Información Pública del Estado de México y Municipios en su </w:t>
      </w:r>
      <w:r>
        <w:rPr>
          <w:color w:val="000000"/>
        </w:rPr>
        <w:t>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rsidR="00A90CAB" w:rsidRDefault="005608BE">
      <w:pPr>
        <w:spacing w:before="240" w:after="240" w:line="276" w:lineRule="auto"/>
        <w:ind w:left="709" w:right="760"/>
        <w:jc w:val="both"/>
        <w:rPr>
          <w:i/>
          <w:sz w:val="22"/>
          <w:szCs w:val="22"/>
        </w:rPr>
      </w:pPr>
      <w:r>
        <w:rPr>
          <w:i/>
          <w:sz w:val="22"/>
          <w:szCs w:val="22"/>
        </w:rPr>
        <w:t>“</w:t>
      </w:r>
      <w:r>
        <w:rPr>
          <w:b/>
          <w:i/>
          <w:sz w:val="22"/>
          <w:szCs w:val="22"/>
        </w:rPr>
        <w:t>Artículo 4.</w:t>
      </w:r>
      <w:r>
        <w:rPr>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A90CAB" w:rsidRDefault="005608BE">
      <w:pPr>
        <w:spacing w:before="240" w:after="240" w:line="276" w:lineRule="auto"/>
        <w:ind w:left="709" w:right="760"/>
        <w:jc w:val="both"/>
        <w:rPr>
          <w:i/>
          <w:sz w:val="22"/>
          <w:szCs w:val="22"/>
        </w:rPr>
      </w:pPr>
      <w:r>
        <w:rPr>
          <w:b/>
          <w:i/>
          <w:sz w:val="22"/>
          <w:szCs w:val="22"/>
        </w:rPr>
        <w:t>Toda la información generada, obtenida, adquirida, transformada, administrada o en posesión de los sujetos obligados es pública y accesible de manera permanente a cualquier persona</w:t>
      </w:r>
      <w:r>
        <w:rPr>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A90CAB" w:rsidRDefault="005608BE">
      <w:pPr>
        <w:spacing w:before="240" w:after="240" w:line="276" w:lineRule="auto"/>
        <w:ind w:left="709" w:right="760"/>
        <w:jc w:val="both"/>
        <w:rPr>
          <w:i/>
          <w:sz w:val="22"/>
          <w:szCs w:val="22"/>
        </w:rPr>
      </w:pPr>
      <w:r>
        <w:rPr>
          <w:b/>
          <w:i/>
          <w:sz w:val="22"/>
          <w:szCs w:val="22"/>
        </w:rPr>
        <w:t>Los sujetos obligados deben poner en práctica, políticas y programas de acceso a la información que se apeguen a criterios de publicidad, veracidad, oportunidad, precisión y suficiencia en beneficio de los solicitantes</w:t>
      </w:r>
      <w:r>
        <w:rPr>
          <w:i/>
          <w:sz w:val="22"/>
          <w:szCs w:val="22"/>
        </w:rPr>
        <w:t>.”(Sic)</w:t>
      </w:r>
    </w:p>
    <w:p w:rsidR="00A90CAB" w:rsidRDefault="005608BE">
      <w:pPr>
        <w:spacing w:before="240" w:after="240" w:line="360" w:lineRule="auto"/>
        <w:jc w:val="both"/>
      </w:pPr>
      <w:r>
        <w:t>De lo anterior, se desprende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rsidR="00A90CAB" w:rsidRDefault="005608BE">
      <w:pPr>
        <w:spacing w:before="240" w:after="240" w:line="276" w:lineRule="auto"/>
        <w:ind w:left="567" w:right="758"/>
        <w:jc w:val="both"/>
        <w:rPr>
          <w:i/>
          <w:sz w:val="22"/>
          <w:szCs w:val="22"/>
        </w:rPr>
      </w:pPr>
      <w:r>
        <w:rPr>
          <w:i/>
          <w:sz w:val="22"/>
          <w:szCs w:val="22"/>
        </w:rPr>
        <w:t>“</w:t>
      </w:r>
      <w:r>
        <w:rPr>
          <w:b/>
          <w:i/>
          <w:sz w:val="22"/>
          <w:szCs w:val="22"/>
        </w:rPr>
        <w:t>Artículo12.-</w:t>
      </w:r>
      <w:r>
        <w:rPr>
          <w:i/>
          <w:sz w:val="22"/>
          <w:szCs w:val="22"/>
        </w:rPr>
        <w:t xml:space="preserve"> Quienes generen, recopilen, administren, manejen, procesen, archiven o conserven información pública serán responsables de la misma en los términos de las disposiciones jurídicas aplicables. </w:t>
      </w:r>
    </w:p>
    <w:p w:rsidR="00A90CAB" w:rsidRDefault="005608BE">
      <w:pPr>
        <w:spacing w:before="240" w:after="240" w:line="276" w:lineRule="auto"/>
        <w:ind w:left="567" w:right="758"/>
        <w:jc w:val="both"/>
        <w:rPr>
          <w:i/>
          <w:sz w:val="22"/>
          <w:szCs w:val="22"/>
        </w:rPr>
      </w:pPr>
      <w:r>
        <w:rPr>
          <w:b/>
          <w:i/>
          <w:sz w:val="22"/>
          <w:szCs w:val="22"/>
        </w:rPr>
        <w:t>Los sujetos obligados sólo proporcionarán la información pública que se les requiera y que obre en sus archivos y en el estado en que ésta se encuentre</w:t>
      </w:r>
      <w:r>
        <w:rPr>
          <w:i/>
          <w:sz w:val="22"/>
          <w:szCs w:val="22"/>
        </w:rPr>
        <w:t xml:space="preserve">. </w:t>
      </w:r>
      <w:r>
        <w:rPr>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rsidR="00A90CAB" w:rsidRDefault="005608BE">
      <w:pPr>
        <w:spacing w:before="240" w:after="240" w:line="360" w:lineRule="auto"/>
        <w:ind w:right="-93"/>
        <w:jc w:val="both"/>
        <w:rPr>
          <w:color w:val="000000"/>
        </w:rPr>
      </w:pPr>
      <w:r>
        <w:rPr>
          <w:color w:val="000000"/>
        </w:rPr>
        <w:t xml:space="preserve">Es decir, todo </w:t>
      </w:r>
      <w:r>
        <w:rPr>
          <w:b/>
          <w:color w:val="000000"/>
        </w:rPr>
        <w:t>SUJETO OBLIGADO</w:t>
      </w:r>
      <w:r>
        <w:rPr>
          <w:color w:val="000000"/>
        </w:rPr>
        <w:t xml:space="preserve"> que genere, recopile, administre, procese, archive, posea o conserve información es responsables de la misma, teniendo a su vez la obligación de proporcionarla cuando se le requiera, sin necesidad de resumirla, efectuar procedimientos para obtenerla, calcular y practicar investigaciones; es decir, los Sujetos Obligados sólo se concretarán a proporcionar la información solicitada que tengan en su poder en el estado que se encuentran, sin necesidad de concretarse al interés o términos específicos del solicitante. </w:t>
      </w:r>
    </w:p>
    <w:p w:rsidR="00A90CAB" w:rsidRDefault="005608BE">
      <w:pPr>
        <w:spacing w:before="240" w:after="240" w:line="360" w:lineRule="auto"/>
        <w:jc w:val="both"/>
        <w:rPr>
          <w:color w:val="000000"/>
        </w:rPr>
      </w:pPr>
      <w:r>
        <w:t xml:space="preserve">En esa tesitura, el artículo 24 en su último párrafo de la Ley de la Materia, dispone que los Sujetos Obligados </w:t>
      </w:r>
      <w:r>
        <w:rPr>
          <w:color w:val="000000"/>
        </w:rPr>
        <w:t xml:space="preserve">sólo proporcionarán la información pública que </w:t>
      </w:r>
      <w:r>
        <w:t>generen</w:t>
      </w:r>
      <w:r>
        <w:rPr>
          <w:color w:val="000000"/>
        </w:rPr>
        <w:t>,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rsidR="00A90CAB" w:rsidRDefault="005608BE">
      <w:pPr>
        <w:spacing w:before="240" w:after="240" w:line="360" w:lineRule="auto"/>
        <w:ind w:right="49"/>
        <w:jc w:val="both"/>
      </w:pPr>
      <w: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A90CAB" w:rsidRDefault="005608BE">
      <w:pPr>
        <w:spacing w:before="240" w:after="240" w:line="360" w:lineRule="auto"/>
        <w:jc w:val="both"/>
      </w:pPr>
      <w: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A90CAB" w:rsidRDefault="005608BE">
      <w:pPr>
        <w:spacing w:before="240" w:after="240" w:line="276" w:lineRule="auto"/>
        <w:ind w:left="851" w:right="899"/>
        <w:jc w:val="both"/>
        <w:rPr>
          <w:i/>
          <w:sz w:val="22"/>
          <w:szCs w:val="22"/>
        </w:rPr>
      </w:pPr>
      <w:r>
        <w:rPr>
          <w:i/>
          <w:sz w:val="22"/>
          <w:szCs w:val="22"/>
        </w:rPr>
        <w:t>“</w:t>
      </w:r>
      <w:r>
        <w:rPr>
          <w:b/>
          <w:i/>
          <w:sz w:val="22"/>
          <w:szCs w:val="22"/>
        </w:rPr>
        <w:t xml:space="preserve">Artículo 3. </w:t>
      </w:r>
      <w:r>
        <w:rPr>
          <w:i/>
          <w:sz w:val="22"/>
          <w:szCs w:val="22"/>
        </w:rPr>
        <w:t>Para los efectos de la presente Ley se entenderá por:</w:t>
      </w:r>
    </w:p>
    <w:p w:rsidR="00A90CAB" w:rsidRDefault="005608BE">
      <w:pPr>
        <w:spacing w:before="240" w:after="240" w:line="276" w:lineRule="auto"/>
        <w:ind w:left="851" w:right="899"/>
        <w:jc w:val="both"/>
        <w:rPr>
          <w:i/>
          <w:sz w:val="22"/>
          <w:szCs w:val="22"/>
        </w:rPr>
      </w:pPr>
      <w:r>
        <w:rPr>
          <w:i/>
          <w:sz w:val="22"/>
          <w:szCs w:val="22"/>
        </w:rPr>
        <w:t>…</w:t>
      </w:r>
    </w:p>
    <w:p w:rsidR="00A90CAB" w:rsidRDefault="005608BE">
      <w:pPr>
        <w:spacing w:before="240" w:after="240" w:line="276" w:lineRule="auto"/>
        <w:ind w:left="851" w:right="899"/>
        <w:jc w:val="both"/>
        <w:rPr>
          <w:i/>
          <w:color w:val="000000"/>
          <w:sz w:val="22"/>
          <w:szCs w:val="22"/>
        </w:rPr>
      </w:pPr>
      <w:r>
        <w:rPr>
          <w:b/>
          <w:i/>
          <w:color w:val="000000"/>
          <w:sz w:val="22"/>
          <w:szCs w:val="22"/>
        </w:rPr>
        <w:t>XI. Documento:</w:t>
      </w:r>
      <w:r>
        <w:rPr>
          <w:i/>
          <w:color w:val="000000"/>
          <w:sz w:val="22"/>
          <w:szCs w:val="22"/>
        </w:rPr>
        <w:t xml:space="preserve"> Los expedientes, reportes, estudios, actas</w:t>
      </w:r>
      <w:r>
        <w:rPr>
          <w:b/>
          <w:i/>
          <w:color w:val="000000"/>
          <w:sz w:val="22"/>
          <w:szCs w:val="22"/>
        </w:rPr>
        <w:t>,</w:t>
      </w:r>
      <w:r>
        <w:rPr>
          <w:i/>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rsidR="00A90CAB" w:rsidRDefault="005608BE">
      <w:pPr>
        <w:spacing w:before="240" w:after="240" w:line="360" w:lineRule="auto"/>
        <w:jc w:val="both"/>
      </w:pPr>
      <w: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A90CAB" w:rsidRDefault="005608BE">
      <w:pPr>
        <w:spacing w:before="240" w:after="240" w:line="276" w:lineRule="auto"/>
        <w:ind w:left="851" w:right="899"/>
        <w:jc w:val="both"/>
        <w:rPr>
          <w:b/>
          <w:i/>
          <w:sz w:val="22"/>
          <w:szCs w:val="22"/>
        </w:rPr>
      </w:pPr>
      <w:r>
        <w:rPr>
          <w:b/>
          <w:sz w:val="22"/>
          <w:szCs w:val="22"/>
        </w:rPr>
        <w:t>“</w:t>
      </w:r>
      <w:r>
        <w:rPr>
          <w:b/>
          <w:i/>
          <w:sz w:val="22"/>
          <w:szCs w:val="22"/>
        </w:rPr>
        <w:t>CRITERIO 0002-11</w:t>
      </w:r>
    </w:p>
    <w:p w:rsidR="00A90CAB" w:rsidRDefault="005608BE">
      <w:pPr>
        <w:spacing w:before="240" w:after="240" w:line="276" w:lineRule="auto"/>
        <w:ind w:left="851" w:right="899"/>
        <w:jc w:val="both"/>
        <w:rPr>
          <w:i/>
          <w:sz w:val="22"/>
          <w:szCs w:val="22"/>
        </w:rPr>
      </w:pPr>
      <w:r>
        <w:rPr>
          <w:b/>
          <w:i/>
          <w:sz w:val="22"/>
          <w:szCs w:val="22"/>
        </w:rPr>
        <w:t>INFORMACIÓN PÚBLICA, CONCEPTO DE, EN MATERIA DE TRANSPARENCIA. INTERPRETACIÓN SISTEMÁTICA DE LOS ARTÍCULOS 2°, FRACCIÓN V, XV, Y XVI, 3°, 4°, 11 Y 41.</w:t>
      </w:r>
      <w:r>
        <w:rPr>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A90CAB" w:rsidRDefault="005608BE">
      <w:pPr>
        <w:spacing w:before="240" w:after="240" w:line="276" w:lineRule="auto"/>
        <w:ind w:left="851" w:right="899"/>
        <w:jc w:val="both"/>
        <w:rPr>
          <w:i/>
          <w:sz w:val="22"/>
          <w:szCs w:val="22"/>
        </w:rPr>
      </w:pPr>
      <w:r>
        <w:rPr>
          <w:i/>
          <w:sz w:val="22"/>
          <w:szCs w:val="22"/>
        </w:rPr>
        <w:t>En consecuencia el acceso a la información se refiere a que se cumplan cualquiera de los siguientes tres supuestos:</w:t>
      </w:r>
    </w:p>
    <w:p w:rsidR="00A90CAB" w:rsidRDefault="005608BE">
      <w:pPr>
        <w:spacing w:before="240" w:after="240" w:line="276" w:lineRule="auto"/>
        <w:ind w:left="851" w:right="899"/>
        <w:jc w:val="both"/>
        <w:rPr>
          <w:i/>
          <w:sz w:val="22"/>
          <w:szCs w:val="22"/>
        </w:rPr>
      </w:pPr>
      <w:r>
        <w:rPr>
          <w:i/>
          <w:sz w:val="22"/>
          <w:szCs w:val="22"/>
        </w:rPr>
        <w:t>1) Que se trate de información registrada en cualquier soporte documental, que en ejercicio de las atribuciones conferidas, sea generada por los Sujetos Obligados;</w:t>
      </w:r>
    </w:p>
    <w:p w:rsidR="00A90CAB" w:rsidRDefault="005608BE">
      <w:pPr>
        <w:spacing w:before="240" w:after="240" w:line="276" w:lineRule="auto"/>
        <w:ind w:left="851" w:right="899"/>
        <w:jc w:val="both"/>
        <w:rPr>
          <w:i/>
          <w:sz w:val="22"/>
          <w:szCs w:val="22"/>
        </w:rPr>
      </w:pPr>
      <w:r>
        <w:rPr>
          <w:i/>
          <w:sz w:val="22"/>
          <w:szCs w:val="22"/>
        </w:rPr>
        <w:t>2) Que se trate de información registrada en cualquier soporte documental, que en ejercicio de las atribuciones conferidas, sea administrada por los Sujetos Obligados, y</w:t>
      </w:r>
    </w:p>
    <w:p w:rsidR="00A90CAB" w:rsidRDefault="005608BE">
      <w:pPr>
        <w:spacing w:before="240" w:after="240" w:line="276" w:lineRule="auto"/>
        <w:ind w:left="851" w:right="899"/>
        <w:jc w:val="both"/>
        <w:rPr>
          <w:i/>
          <w:sz w:val="22"/>
          <w:szCs w:val="22"/>
        </w:rPr>
      </w:pPr>
      <w:r>
        <w:rPr>
          <w:i/>
          <w:sz w:val="22"/>
          <w:szCs w:val="22"/>
        </w:rPr>
        <w:t xml:space="preserve">3) Que se trate de información registrada en cualquier soporte documental, que en ejercicio de las atribuciones conferidas, se encuentre en posesión de los Sujetos Obligados.” </w:t>
      </w:r>
    </w:p>
    <w:p w:rsidR="00A90CAB" w:rsidRDefault="005608BE">
      <w:pPr>
        <w:spacing w:before="240" w:after="240" w:line="360" w:lineRule="auto"/>
        <w:ind w:right="-93"/>
        <w:jc w:val="both"/>
      </w:pPr>
      <w:r>
        <w:rPr>
          <w:color w:val="000000"/>
        </w:rPr>
        <w:t>En virtud de lo anterior</w:t>
      </w:r>
      <w:r>
        <w:t xml:space="preserve">, se determina que la respuesta emitida por el </w:t>
      </w:r>
      <w:r>
        <w:rPr>
          <w:b/>
        </w:rPr>
        <w:t>SUJETO OBLIGADO</w:t>
      </w:r>
      <w:r>
        <w:t>, cumple con lo establecido por los artículos 4, 12 y 24 último párrafo de la Ley de Transparencia y Acceso a la Información Pública del Estado de México y Municipios, conforme a lo siguiente:</w:t>
      </w:r>
    </w:p>
    <w:p w:rsidR="00A90CAB" w:rsidRDefault="005608BE">
      <w:pPr>
        <w:spacing w:before="240" w:after="240" w:line="360" w:lineRule="auto"/>
        <w:jc w:val="both"/>
      </w:pPr>
      <w:r>
        <w:t>En lo tocante al motivo de inconformidad del particular respecto a la clasificación de información, es de señalar que se entiende por la clasificación de la información, por lo que se traen a colación los artículos 3 fracciones XX, XXI y XLV; 91, 122, 125, 128, 129, 132, 137, 140 y 143  de la Ley de Transparencia y Acceso a la Información Pública del Estado de México y Municipios, que consagran:</w:t>
      </w:r>
    </w:p>
    <w:p w:rsidR="00A90CAB" w:rsidRDefault="005608BE">
      <w:pPr>
        <w:spacing w:before="240" w:after="240" w:line="276" w:lineRule="auto"/>
        <w:ind w:left="993" w:right="900"/>
        <w:jc w:val="both"/>
        <w:rPr>
          <w:i/>
          <w:sz w:val="22"/>
          <w:szCs w:val="22"/>
        </w:rPr>
      </w:pPr>
      <w:r>
        <w:rPr>
          <w:b/>
          <w:i/>
          <w:sz w:val="22"/>
          <w:szCs w:val="22"/>
        </w:rPr>
        <w:t>“Artículo 3</w:t>
      </w:r>
      <w:r>
        <w:rPr>
          <w:i/>
          <w:sz w:val="22"/>
          <w:szCs w:val="22"/>
        </w:rPr>
        <w:t>. Para los efectos de la presente Ley se entenderá por:</w:t>
      </w:r>
    </w:p>
    <w:p w:rsidR="00A90CAB" w:rsidRDefault="005608BE">
      <w:pPr>
        <w:spacing w:before="240" w:after="240" w:line="276" w:lineRule="auto"/>
        <w:ind w:left="993" w:right="900"/>
        <w:jc w:val="both"/>
        <w:rPr>
          <w:i/>
          <w:sz w:val="22"/>
          <w:szCs w:val="22"/>
        </w:rPr>
      </w:pPr>
      <w:r>
        <w:rPr>
          <w:i/>
          <w:sz w:val="22"/>
          <w:szCs w:val="22"/>
        </w:rPr>
        <w:t>(…)</w:t>
      </w:r>
    </w:p>
    <w:p w:rsidR="00A90CAB" w:rsidRDefault="005608BE">
      <w:pPr>
        <w:spacing w:before="240" w:after="240" w:line="276" w:lineRule="auto"/>
        <w:ind w:left="993" w:right="900"/>
        <w:jc w:val="both"/>
        <w:rPr>
          <w:i/>
          <w:sz w:val="22"/>
          <w:szCs w:val="22"/>
        </w:rPr>
      </w:pPr>
      <w:r>
        <w:rPr>
          <w:b/>
          <w:i/>
          <w:sz w:val="22"/>
          <w:szCs w:val="22"/>
        </w:rPr>
        <w:t>XX. Información clasificada:</w:t>
      </w:r>
      <w:r>
        <w:rPr>
          <w:i/>
          <w:sz w:val="22"/>
          <w:szCs w:val="22"/>
        </w:rPr>
        <w:t xml:space="preserve"> Aquella considerada por la presente Ley como reservada o confidencial;</w:t>
      </w:r>
    </w:p>
    <w:p w:rsidR="00A90CAB" w:rsidRDefault="005608BE">
      <w:pPr>
        <w:spacing w:before="240" w:after="240" w:line="276" w:lineRule="auto"/>
        <w:ind w:left="993" w:right="900"/>
        <w:jc w:val="both"/>
        <w:rPr>
          <w:i/>
          <w:sz w:val="22"/>
          <w:szCs w:val="22"/>
        </w:rPr>
      </w:pPr>
      <w:r>
        <w:rPr>
          <w:b/>
          <w:i/>
          <w:sz w:val="22"/>
          <w:szCs w:val="22"/>
        </w:rPr>
        <w:t xml:space="preserve">XXI. Información confidencial: </w:t>
      </w:r>
      <w:r>
        <w:rPr>
          <w:i/>
          <w:sz w:val="22"/>
          <w:szCs w:val="22"/>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A90CAB" w:rsidRDefault="005608BE">
      <w:pPr>
        <w:spacing w:before="240" w:after="240" w:line="276" w:lineRule="auto"/>
        <w:ind w:left="993" w:right="900"/>
        <w:jc w:val="both"/>
        <w:rPr>
          <w:i/>
          <w:sz w:val="22"/>
          <w:szCs w:val="22"/>
        </w:rPr>
      </w:pPr>
      <w:r>
        <w:rPr>
          <w:i/>
          <w:sz w:val="22"/>
          <w:szCs w:val="22"/>
        </w:rPr>
        <w:t>(…)</w:t>
      </w:r>
    </w:p>
    <w:p w:rsidR="00A90CAB" w:rsidRDefault="005608BE">
      <w:pPr>
        <w:ind w:left="851" w:right="851"/>
        <w:jc w:val="both"/>
        <w:rPr>
          <w:rFonts w:ascii="Times New Roman" w:eastAsia="Times New Roman" w:hAnsi="Times New Roman" w:cs="Times New Roman"/>
        </w:rPr>
      </w:pPr>
      <w:r>
        <w:rPr>
          <w:b/>
          <w:i/>
          <w:color w:val="000000"/>
          <w:sz w:val="22"/>
          <w:szCs w:val="22"/>
        </w:rPr>
        <w:t>XLV. Versión pública:</w:t>
      </w:r>
      <w:r>
        <w:rPr>
          <w:i/>
          <w:color w:val="000000"/>
          <w:sz w:val="22"/>
          <w:szCs w:val="22"/>
        </w:rPr>
        <w:t xml:space="preserve"> Documento en el que se elimine, suprime o borra la información clasificada como reservada o confidencial para permitir su acceso.</w:t>
      </w:r>
    </w:p>
    <w:p w:rsidR="00A90CAB" w:rsidRDefault="005608BE">
      <w:pPr>
        <w:ind w:left="851" w:right="851"/>
        <w:jc w:val="both"/>
        <w:rPr>
          <w:rFonts w:ascii="Times New Roman" w:eastAsia="Times New Roman" w:hAnsi="Times New Roman" w:cs="Times New Roman"/>
        </w:rPr>
      </w:pPr>
      <w:r>
        <w:rPr>
          <w:b/>
          <w:i/>
          <w:color w:val="000000"/>
          <w:sz w:val="22"/>
          <w:szCs w:val="22"/>
        </w:rPr>
        <w:t>…</w:t>
      </w:r>
    </w:p>
    <w:p w:rsidR="00A90CAB" w:rsidRDefault="00A90CAB">
      <w:pPr>
        <w:rPr>
          <w:rFonts w:ascii="Times New Roman" w:eastAsia="Times New Roman" w:hAnsi="Times New Roman" w:cs="Times New Roman"/>
        </w:rPr>
      </w:pPr>
    </w:p>
    <w:p w:rsidR="00A90CAB" w:rsidRDefault="005608BE">
      <w:pPr>
        <w:ind w:left="851" w:right="851"/>
        <w:jc w:val="both"/>
        <w:rPr>
          <w:rFonts w:ascii="Times New Roman" w:eastAsia="Times New Roman" w:hAnsi="Times New Roman" w:cs="Times New Roman"/>
        </w:rPr>
      </w:pPr>
      <w:r>
        <w:rPr>
          <w:b/>
          <w:i/>
          <w:color w:val="000000"/>
          <w:sz w:val="22"/>
          <w:szCs w:val="22"/>
        </w:rPr>
        <w:t>Artículo 91.</w:t>
      </w:r>
      <w:r>
        <w:rPr>
          <w:i/>
          <w:color w:val="000000"/>
          <w:sz w:val="22"/>
          <w:szCs w:val="22"/>
        </w:rPr>
        <w:t xml:space="preserve"> El acceso a la información pública será restringido excepcionalmente, cuando ésta sea clasificada como reservada o confidencial.</w:t>
      </w:r>
    </w:p>
    <w:p w:rsidR="00A90CAB" w:rsidRDefault="00A90CAB">
      <w:pPr>
        <w:rPr>
          <w:rFonts w:ascii="Times New Roman" w:eastAsia="Times New Roman" w:hAnsi="Times New Roman" w:cs="Times New Roman"/>
        </w:rPr>
      </w:pPr>
    </w:p>
    <w:p w:rsidR="00A90CAB" w:rsidRDefault="005608BE">
      <w:pPr>
        <w:ind w:left="851" w:right="851"/>
        <w:jc w:val="both"/>
        <w:rPr>
          <w:rFonts w:ascii="Times New Roman" w:eastAsia="Times New Roman" w:hAnsi="Times New Roman" w:cs="Times New Roman"/>
        </w:rPr>
      </w:pPr>
      <w:r>
        <w:rPr>
          <w:b/>
          <w:i/>
          <w:color w:val="000000"/>
          <w:sz w:val="22"/>
          <w:szCs w:val="22"/>
        </w:rPr>
        <w:t>Artículo 122.</w:t>
      </w:r>
      <w:r>
        <w:rPr>
          <w:i/>
          <w:color w:val="000000"/>
          <w:sz w:val="22"/>
          <w:szCs w:val="22"/>
        </w:rPr>
        <w:t xml:space="preserve"> La clasificación es el proceso mediante el cual el sujeto obligado determina que la información en su poder actualiza alguno de los supuestos de reserva o confidencialidad, de conformidad con lo dispuesto en el presente título.</w:t>
      </w:r>
    </w:p>
    <w:p w:rsidR="00A90CAB" w:rsidRDefault="005608BE">
      <w:pPr>
        <w:ind w:left="851" w:right="851"/>
        <w:jc w:val="both"/>
        <w:rPr>
          <w:rFonts w:ascii="Times New Roman" w:eastAsia="Times New Roman" w:hAnsi="Times New Roman" w:cs="Times New Roman"/>
        </w:rPr>
      </w:pPr>
      <w:r>
        <w:rPr>
          <w:i/>
          <w:color w:val="000000"/>
          <w:sz w:val="22"/>
          <w:szCs w:val="22"/>
        </w:rPr>
        <w:t>Los supuestos de reserva o confidencialidad previstos en las leyes deberán ser acordes con las bases, principios y disposiciones establecidos en la Ley General y, en ningún caso, podrán contravenirla.</w:t>
      </w:r>
    </w:p>
    <w:p w:rsidR="00A90CAB" w:rsidRDefault="005608BE">
      <w:pPr>
        <w:ind w:left="851" w:right="851"/>
        <w:jc w:val="both"/>
        <w:rPr>
          <w:rFonts w:ascii="Times New Roman" w:eastAsia="Times New Roman" w:hAnsi="Times New Roman" w:cs="Times New Roman"/>
        </w:rPr>
      </w:pPr>
      <w:r>
        <w:rPr>
          <w:i/>
          <w:color w:val="000000"/>
          <w:sz w:val="22"/>
          <w:szCs w:val="22"/>
        </w:rPr>
        <w:t>Los titulares de las áreas de los sujetos obligados serán los responsables de clasificar la información, de conformidad con lo dispuesto en la presente Ley y demás disposiciones jurídicas aplicables.</w:t>
      </w:r>
    </w:p>
    <w:p w:rsidR="00A90CAB" w:rsidRDefault="005608BE">
      <w:pPr>
        <w:ind w:left="851" w:right="851"/>
        <w:jc w:val="both"/>
        <w:rPr>
          <w:rFonts w:ascii="Times New Roman" w:eastAsia="Times New Roman" w:hAnsi="Times New Roman" w:cs="Times New Roman"/>
        </w:rPr>
      </w:pPr>
      <w:r>
        <w:rPr>
          <w:b/>
          <w:i/>
          <w:color w:val="000000"/>
          <w:sz w:val="22"/>
          <w:szCs w:val="22"/>
        </w:rPr>
        <w:t>Artículo 125.</w:t>
      </w:r>
      <w:r>
        <w:rPr>
          <w:i/>
          <w:color w:val="000000"/>
          <w:sz w:val="22"/>
          <w:szCs w:val="22"/>
        </w:rPr>
        <w:t xml:space="preserve"> La información clasificada como reservada, de acuerdo a lo establecido en esta Ley podrá permanecer con tal carácter hasta por un periodo de cinco años, contados a partir de su clasificación, salvo que antes del cumplimiento del periodo de restricción, dejaran de existir los motivos de su reserva.</w:t>
      </w:r>
    </w:p>
    <w:p w:rsidR="00A90CAB" w:rsidRDefault="005608BE">
      <w:pPr>
        <w:ind w:left="851" w:right="851"/>
        <w:jc w:val="both"/>
        <w:rPr>
          <w:rFonts w:ascii="Times New Roman" w:eastAsia="Times New Roman" w:hAnsi="Times New Roman" w:cs="Times New Roman"/>
        </w:rPr>
      </w:pPr>
      <w:r>
        <w:rPr>
          <w:i/>
          <w:color w:val="000000"/>
          <w:sz w:val="22"/>
          <w:szCs w:val="22"/>
        </w:rPr>
        <w:t>Los titulares de las áreas deberán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A90CAB" w:rsidRDefault="005608BE">
      <w:pPr>
        <w:ind w:left="851" w:right="851"/>
        <w:jc w:val="both"/>
        <w:rPr>
          <w:rFonts w:ascii="Times New Roman" w:eastAsia="Times New Roman" w:hAnsi="Times New Roman" w:cs="Times New Roman"/>
        </w:rPr>
      </w:pPr>
      <w:r>
        <w:rPr>
          <w:i/>
          <w:color w:val="000000"/>
          <w:sz w:val="22"/>
          <w:szCs w:val="22"/>
        </w:rPr>
        <w:t>Excepcionalmente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w:t>
      </w:r>
    </w:p>
    <w:p w:rsidR="00A90CAB" w:rsidRDefault="005608BE">
      <w:pPr>
        <w:ind w:left="851" w:right="851"/>
        <w:jc w:val="both"/>
        <w:rPr>
          <w:rFonts w:ascii="Times New Roman" w:eastAsia="Times New Roman" w:hAnsi="Times New Roman" w:cs="Times New Roman"/>
        </w:rPr>
      </w:pPr>
      <w:r>
        <w:rPr>
          <w:i/>
          <w:color w:val="000000"/>
          <w:sz w:val="22"/>
          <w:szCs w:val="22"/>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A90CAB" w:rsidRDefault="005608BE">
      <w:pPr>
        <w:ind w:left="851" w:right="851"/>
        <w:jc w:val="both"/>
        <w:rPr>
          <w:rFonts w:ascii="Times New Roman" w:eastAsia="Times New Roman" w:hAnsi="Times New Roman" w:cs="Times New Roman"/>
        </w:rPr>
      </w:pPr>
      <w:r>
        <w:rPr>
          <w:b/>
          <w:i/>
          <w:color w:val="000000"/>
          <w:sz w:val="22"/>
          <w:szCs w:val="22"/>
        </w:rPr>
        <w:t>Artículo 128.</w:t>
      </w:r>
      <w:r>
        <w:rPr>
          <w:i/>
          <w:color w:val="000000"/>
          <w:sz w:val="22"/>
          <w:szCs w:val="22"/>
        </w:rPr>
        <w:t xml:space="preserve"> En los casos en que se niegue el acceso a la información, por actualizarse alguno de los supuestos de clasificación, el Comité de Transparencia deberá confirmar, modificar o revocar la decisión.</w:t>
      </w:r>
    </w:p>
    <w:p w:rsidR="00A90CAB" w:rsidRDefault="005608BE">
      <w:pPr>
        <w:ind w:left="851" w:right="851"/>
        <w:jc w:val="both"/>
        <w:rPr>
          <w:rFonts w:ascii="Times New Roman" w:eastAsia="Times New Roman" w:hAnsi="Times New Roman" w:cs="Times New Roman"/>
        </w:rPr>
      </w:pPr>
      <w:r>
        <w:rPr>
          <w:i/>
          <w:color w:val="000000"/>
          <w:sz w:val="22"/>
          <w:szCs w:val="22"/>
        </w:rPr>
        <w:t>Para motivar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 Además, el sujeto obligado deberá, en todo momento, aplicar una prueba de daño.</w:t>
      </w:r>
    </w:p>
    <w:p w:rsidR="00A90CAB" w:rsidRDefault="005608BE">
      <w:pPr>
        <w:ind w:left="851" w:right="851"/>
        <w:jc w:val="both"/>
        <w:rPr>
          <w:rFonts w:ascii="Times New Roman" w:eastAsia="Times New Roman" w:hAnsi="Times New Roman" w:cs="Times New Roman"/>
        </w:rPr>
      </w:pPr>
      <w:r>
        <w:rPr>
          <w:i/>
          <w:color w:val="000000"/>
          <w:sz w:val="22"/>
          <w:szCs w:val="22"/>
        </w:rPr>
        <w:t>Tratándose de aquélla información que actualice los supuestos de clasificación, deberá señalarse el plazo al que estará sujeto la reserva.</w:t>
      </w:r>
    </w:p>
    <w:p w:rsidR="00A90CAB" w:rsidRDefault="00A90CAB">
      <w:pPr>
        <w:rPr>
          <w:rFonts w:ascii="Times New Roman" w:eastAsia="Times New Roman" w:hAnsi="Times New Roman" w:cs="Times New Roman"/>
        </w:rPr>
      </w:pPr>
    </w:p>
    <w:p w:rsidR="00A90CAB" w:rsidRDefault="005608BE">
      <w:pPr>
        <w:ind w:left="851" w:right="851"/>
        <w:jc w:val="both"/>
        <w:rPr>
          <w:rFonts w:ascii="Times New Roman" w:eastAsia="Times New Roman" w:hAnsi="Times New Roman" w:cs="Times New Roman"/>
        </w:rPr>
      </w:pPr>
      <w:r>
        <w:rPr>
          <w:b/>
          <w:i/>
          <w:color w:val="000000"/>
          <w:sz w:val="22"/>
          <w:szCs w:val="22"/>
        </w:rPr>
        <w:t>Artículo 129.</w:t>
      </w:r>
      <w:r>
        <w:rPr>
          <w:i/>
          <w:color w:val="000000"/>
          <w:sz w:val="22"/>
          <w:szCs w:val="22"/>
        </w:rPr>
        <w:t xml:space="preserve"> En la aplicación de la prueba de daño, el sujeto obligado deberá precisar las razones objetivas por las que la apertura de la información generaría una afectación, justificando que:</w:t>
      </w:r>
    </w:p>
    <w:p w:rsidR="00A90CAB" w:rsidRDefault="005608BE">
      <w:pPr>
        <w:ind w:left="851" w:right="851"/>
        <w:jc w:val="both"/>
        <w:rPr>
          <w:rFonts w:ascii="Times New Roman" w:eastAsia="Times New Roman" w:hAnsi="Times New Roman" w:cs="Times New Roman"/>
        </w:rPr>
      </w:pPr>
      <w:r>
        <w:rPr>
          <w:i/>
          <w:color w:val="000000"/>
          <w:sz w:val="22"/>
          <w:szCs w:val="22"/>
        </w:rPr>
        <w:t>I. La divulgación de la información representa un riesgo real, demostrable e identificable del perjuicio significativo al interés público o a la seguridad pública;</w:t>
      </w:r>
    </w:p>
    <w:p w:rsidR="00A90CAB" w:rsidRDefault="005608BE">
      <w:pPr>
        <w:ind w:left="851" w:right="851"/>
        <w:jc w:val="both"/>
        <w:rPr>
          <w:rFonts w:ascii="Times New Roman" w:eastAsia="Times New Roman" w:hAnsi="Times New Roman" w:cs="Times New Roman"/>
        </w:rPr>
      </w:pPr>
      <w:r>
        <w:rPr>
          <w:i/>
          <w:color w:val="000000"/>
          <w:sz w:val="22"/>
          <w:szCs w:val="22"/>
        </w:rPr>
        <w:t>II. El riesgo de perjuicio que supondría la divulgación supera el interés público general de que se difunda; y</w:t>
      </w:r>
    </w:p>
    <w:p w:rsidR="00A90CAB" w:rsidRDefault="005608BE">
      <w:pPr>
        <w:ind w:left="851" w:right="851"/>
        <w:jc w:val="both"/>
        <w:rPr>
          <w:rFonts w:ascii="Times New Roman" w:eastAsia="Times New Roman" w:hAnsi="Times New Roman" w:cs="Times New Roman"/>
        </w:rPr>
      </w:pPr>
      <w:r>
        <w:rPr>
          <w:i/>
          <w:color w:val="000000"/>
          <w:sz w:val="22"/>
          <w:szCs w:val="22"/>
        </w:rPr>
        <w:t>III. La limitación se adecua al principio de proporcionalidad y representa el medio menos restrictivo disponible representa el medio menos restrictivo disponible para evitar el perjuicio.</w:t>
      </w:r>
    </w:p>
    <w:p w:rsidR="00A90CAB" w:rsidRDefault="00A90CAB">
      <w:pPr>
        <w:rPr>
          <w:rFonts w:ascii="Times New Roman" w:eastAsia="Times New Roman" w:hAnsi="Times New Roman" w:cs="Times New Roman"/>
        </w:rPr>
      </w:pPr>
    </w:p>
    <w:p w:rsidR="00A90CAB" w:rsidRDefault="005608BE">
      <w:pPr>
        <w:ind w:left="851" w:right="851"/>
        <w:jc w:val="both"/>
        <w:rPr>
          <w:rFonts w:ascii="Times New Roman" w:eastAsia="Times New Roman" w:hAnsi="Times New Roman" w:cs="Times New Roman"/>
        </w:rPr>
      </w:pPr>
      <w:r>
        <w:rPr>
          <w:b/>
          <w:i/>
          <w:color w:val="000000"/>
          <w:sz w:val="22"/>
          <w:szCs w:val="22"/>
        </w:rPr>
        <w:t>Artículo 132.</w:t>
      </w:r>
      <w:r>
        <w:rPr>
          <w:i/>
          <w:color w:val="000000"/>
          <w:sz w:val="22"/>
          <w:szCs w:val="22"/>
        </w:rPr>
        <w:t xml:space="preserve"> La clasificación de la información se llevará a cabo en el momento en que:</w:t>
      </w:r>
    </w:p>
    <w:p w:rsidR="00A90CAB" w:rsidRDefault="005608BE">
      <w:pPr>
        <w:ind w:left="851" w:right="851"/>
        <w:jc w:val="both"/>
        <w:rPr>
          <w:rFonts w:ascii="Times New Roman" w:eastAsia="Times New Roman" w:hAnsi="Times New Roman" w:cs="Times New Roman"/>
        </w:rPr>
      </w:pPr>
      <w:r>
        <w:rPr>
          <w:i/>
          <w:color w:val="000000"/>
          <w:sz w:val="22"/>
          <w:szCs w:val="22"/>
        </w:rPr>
        <w:t>I. Se reciba una solicitud de acceso a la información;</w:t>
      </w:r>
    </w:p>
    <w:p w:rsidR="00A90CAB" w:rsidRDefault="005608BE">
      <w:pPr>
        <w:ind w:left="851" w:right="851"/>
        <w:jc w:val="both"/>
        <w:rPr>
          <w:rFonts w:ascii="Times New Roman" w:eastAsia="Times New Roman" w:hAnsi="Times New Roman" w:cs="Times New Roman"/>
        </w:rPr>
      </w:pPr>
      <w:r>
        <w:rPr>
          <w:i/>
          <w:color w:val="000000"/>
          <w:sz w:val="22"/>
          <w:szCs w:val="22"/>
        </w:rPr>
        <w:t>II. Se determine mediante resolución de autoridad competente; o</w:t>
      </w:r>
    </w:p>
    <w:p w:rsidR="00A90CAB" w:rsidRDefault="005608BE">
      <w:pPr>
        <w:ind w:left="851" w:right="851"/>
        <w:jc w:val="both"/>
        <w:rPr>
          <w:rFonts w:ascii="Times New Roman" w:eastAsia="Times New Roman" w:hAnsi="Times New Roman" w:cs="Times New Roman"/>
        </w:rPr>
      </w:pPr>
      <w:r>
        <w:rPr>
          <w:i/>
          <w:color w:val="000000"/>
          <w:sz w:val="22"/>
          <w:szCs w:val="22"/>
        </w:rPr>
        <w:t>III. Se generen versiones públicas para dar cumplimiento a las obligaciones de transparencia previstas en esta Ley.</w:t>
      </w:r>
    </w:p>
    <w:p w:rsidR="00A90CAB" w:rsidRDefault="005608BE">
      <w:pPr>
        <w:ind w:left="851" w:right="851"/>
        <w:jc w:val="both"/>
        <w:rPr>
          <w:rFonts w:ascii="Times New Roman" w:eastAsia="Times New Roman" w:hAnsi="Times New Roman" w:cs="Times New Roman"/>
        </w:rPr>
      </w:pPr>
      <w:r>
        <w:rPr>
          <w:i/>
          <w:color w:val="000000"/>
          <w:sz w:val="22"/>
          <w:szCs w:val="22"/>
        </w:rPr>
        <w:t>Tratándose de información reservada, los titulares de las áreas deberán revisar la clasificación al momento de la recepción de una solicitud, para verificar si subsisten las causas que le dieron origen.</w:t>
      </w:r>
    </w:p>
    <w:p w:rsidR="00A90CAB" w:rsidRDefault="005608BE">
      <w:pPr>
        <w:ind w:left="851" w:right="851"/>
        <w:jc w:val="both"/>
        <w:rPr>
          <w:rFonts w:ascii="Times New Roman" w:eastAsia="Times New Roman" w:hAnsi="Times New Roman" w:cs="Times New Roman"/>
        </w:rPr>
      </w:pPr>
      <w:r>
        <w:rPr>
          <w:b/>
          <w:i/>
          <w:color w:val="000000"/>
          <w:sz w:val="22"/>
          <w:szCs w:val="22"/>
        </w:rPr>
        <w:t>Artículo 137.</w:t>
      </w:r>
      <w:r>
        <w:rPr>
          <w:i/>
          <w:color w:val="000000"/>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A90CAB" w:rsidRDefault="00A90CAB">
      <w:pPr>
        <w:rPr>
          <w:rFonts w:ascii="Times New Roman" w:eastAsia="Times New Roman" w:hAnsi="Times New Roman" w:cs="Times New Roman"/>
        </w:rPr>
      </w:pPr>
    </w:p>
    <w:p w:rsidR="00A90CAB" w:rsidRDefault="005608BE">
      <w:pPr>
        <w:ind w:left="851" w:right="851"/>
        <w:jc w:val="center"/>
        <w:rPr>
          <w:rFonts w:ascii="Times New Roman" w:eastAsia="Times New Roman" w:hAnsi="Times New Roman" w:cs="Times New Roman"/>
        </w:rPr>
      </w:pPr>
      <w:r>
        <w:rPr>
          <w:b/>
          <w:i/>
          <w:color w:val="000000"/>
          <w:sz w:val="22"/>
          <w:szCs w:val="22"/>
        </w:rPr>
        <w:t>Capítulo II</w:t>
      </w:r>
    </w:p>
    <w:p w:rsidR="00A90CAB" w:rsidRDefault="005608BE">
      <w:pPr>
        <w:ind w:left="851" w:right="851"/>
        <w:jc w:val="center"/>
        <w:rPr>
          <w:rFonts w:ascii="Times New Roman" w:eastAsia="Times New Roman" w:hAnsi="Times New Roman" w:cs="Times New Roman"/>
        </w:rPr>
      </w:pPr>
      <w:r>
        <w:rPr>
          <w:b/>
          <w:i/>
          <w:color w:val="000000"/>
          <w:sz w:val="22"/>
          <w:szCs w:val="22"/>
        </w:rPr>
        <w:t>De la Información Reservada</w:t>
      </w:r>
    </w:p>
    <w:p w:rsidR="00A90CAB" w:rsidRDefault="00A90CAB">
      <w:pPr>
        <w:rPr>
          <w:rFonts w:ascii="Times New Roman" w:eastAsia="Times New Roman" w:hAnsi="Times New Roman" w:cs="Times New Roman"/>
        </w:rPr>
      </w:pPr>
    </w:p>
    <w:p w:rsidR="00A90CAB" w:rsidRDefault="005608BE">
      <w:pPr>
        <w:ind w:left="851" w:right="851"/>
        <w:jc w:val="both"/>
        <w:rPr>
          <w:rFonts w:ascii="Times New Roman" w:eastAsia="Times New Roman" w:hAnsi="Times New Roman" w:cs="Times New Roman"/>
        </w:rPr>
      </w:pPr>
      <w:r>
        <w:rPr>
          <w:b/>
          <w:i/>
          <w:color w:val="000000"/>
          <w:sz w:val="22"/>
          <w:szCs w:val="22"/>
        </w:rPr>
        <w:t>Artículo 140.</w:t>
      </w:r>
      <w:r>
        <w:rPr>
          <w:i/>
          <w:color w:val="000000"/>
          <w:sz w:val="22"/>
          <w:szCs w:val="22"/>
        </w:rPr>
        <w:t xml:space="preserve"> El acceso a la información pública será restringido excepcionalmente, cuando por razones de interés público, ésta sea clasificada como reservada, conforme a los criterios siguientes:</w:t>
      </w:r>
    </w:p>
    <w:p w:rsidR="00A90CAB" w:rsidRDefault="005608BE">
      <w:pPr>
        <w:ind w:left="851" w:right="851"/>
        <w:jc w:val="both"/>
        <w:rPr>
          <w:rFonts w:ascii="Times New Roman" w:eastAsia="Times New Roman" w:hAnsi="Times New Roman" w:cs="Times New Roman"/>
        </w:rPr>
      </w:pPr>
      <w:r>
        <w:rPr>
          <w:i/>
          <w:color w:val="000000"/>
          <w:sz w:val="22"/>
          <w:szCs w:val="22"/>
        </w:rPr>
        <w:t>I. Comprometa la seguridad pública y cuente con un propósito genuino y un efecto demostrable;</w:t>
      </w:r>
    </w:p>
    <w:p w:rsidR="00A90CAB" w:rsidRDefault="005608BE">
      <w:pPr>
        <w:ind w:left="851" w:right="851"/>
        <w:jc w:val="both"/>
        <w:rPr>
          <w:rFonts w:ascii="Times New Roman" w:eastAsia="Times New Roman" w:hAnsi="Times New Roman" w:cs="Times New Roman"/>
        </w:rPr>
      </w:pPr>
      <w:r>
        <w:rPr>
          <w:i/>
          <w:color w:val="000000"/>
          <w:sz w:val="22"/>
          <w:szCs w:val="22"/>
        </w:rPr>
        <w:t>II. Pueda menoscabar la conducción de las negociaciones y relaciones internacionales;</w:t>
      </w:r>
    </w:p>
    <w:p w:rsidR="00A90CAB" w:rsidRDefault="005608BE">
      <w:pPr>
        <w:ind w:left="851" w:right="851"/>
        <w:jc w:val="both"/>
        <w:rPr>
          <w:rFonts w:ascii="Times New Roman" w:eastAsia="Times New Roman" w:hAnsi="Times New Roman" w:cs="Times New Roman"/>
        </w:rPr>
      </w:pPr>
      <w:r>
        <w:rPr>
          <w:i/>
          <w:color w:val="000000"/>
          <w:sz w:val="22"/>
          <w:szCs w:val="22"/>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A90CAB" w:rsidRDefault="005608BE">
      <w:pPr>
        <w:ind w:left="851" w:right="851"/>
        <w:jc w:val="both"/>
        <w:rPr>
          <w:rFonts w:ascii="Times New Roman" w:eastAsia="Times New Roman" w:hAnsi="Times New Roman" w:cs="Times New Roman"/>
        </w:rPr>
      </w:pPr>
      <w:r>
        <w:rPr>
          <w:i/>
          <w:color w:val="000000"/>
          <w:sz w:val="22"/>
          <w:szCs w:val="22"/>
        </w:rPr>
        <w:t>IV. Ponga en riesgo la vida, la seguridad o la salud de una persona física;</w:t>
      </w:r>
    </w:p>
    <w:p w:rsidR="00A90CAB" w:rsidRDefault="005608BE">
      <w:pPr>
        <w:ind w:left="851" w:right="851"/>
        <w:jc w:val="both"/>
        <w:rPr>
          <w:rFonts w:ascii="Times New Roman" w:eastAsia="Times New Roman" w:hAnsi="Times New Roman" w:cs="Times New Roman"/>
        </w:rPr>
      </w:pPr>
      <w:r>
        <w:rPr>
          <w:i/>
          <w:color w:val="000000"/>
          <w:sz w:val="22"/>
          <w:szCs w:val="22"/>
        </w:rPr>
        <w:t>V. Aquella cuya divulgación obstruya o pueda causar un serio perjuicio a:</w:t>
      </w:r>
    </w:p>
    <w:p w:rsidR="00A90CAB" w:rsidRDefault="005608BE">
      <w:pPr>
        <w:ind w:left="851" w:right="851"/>
        <w:jc w:val="both"/>
        <w:rPr>
          <w:rFonts w:ascii="Times New Roman" w:eastAsia="Times New Roman" w:hAnsi="Times New Roman" w:cs="Times New Roman"/>
        </w:rPr>
      </w:pPr>
      <w:r>
        <w:rPr>
          <w:i/>
          <w:color w:val="000000"/>
          <w:sz w:val="22"/>
          <w:szCs w:val="22"/>
        </w:rPr>
        <w:t>1. Las actividades de fiscalización, verificación, inspección, comprobación y auditoría sobre el cumplimiento de las Leyes; o</w:t>
      </w:r>
    </w:p>
    <w:p w:rsidR="00A90CAB" w:rsidRDefault="005608BE">
      <w:pPr>
        <w:ind w:left="851" w:right="851"/>
        <w:jc w:val="both"/>
        <w:rPr>
          <w:rFonts w:ascii="Times New Roman" w:eastAsia="Times New Roman" w:hAnsi="Times New Roman" w:cs="Times New Roman"/>
        </w:rPr>
      </w:pPr>
      <w:r>
        <w:rPr>
          <w:i/>
          <w:color w:val="000000"/>
          <w:sz w:val="22"/>
          <w:szCs w:val="22"/>
        </w:rPr>
        <w:t>2. La recaudación de las contribuciones.</w:t>
      </w:r>
    </w:p>
    <w:p w:rsidR="00A90CAB" w:rsidRDefault="005608BE">
      <w:pPr>
        <w:ind w:left="851" w:right="851"/>
        <w:jc w:val="both"/>
        <w:rPr>
          <w:rFonts w:ascii="Times New Roman" w:eastAsia="Times New Roman" w:hAnsi="Times New Roman" w:cs="Times New Roman"/>
        </w:rPr>
      </w:pPr>
      <w:r>
        <w:rPr>
          <w:i/>
          <w:color w:val="000000"/>
          <w:sz w:val="22"/>
          <w:szCs w:val="22"/>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A90CAB" w:rsidRDefault="005608BE">
      <w:pPr>
        <w:ind w:left="851" w:right="851"/>
        <w:jc w:val="both"/>
        <w:rPr>
          <w:rFonts w:ascii="Times New Roman" w:eastAsia="Times New Roman" w:hAnsi="Times New Roman" w:cs="Times New Roman"/>
        </w:rPr>
      </w:pPr>
      <w:r>
        <w:rPr>
          <w:i/>
          <w:color w:val="000000"/>
          <w:sz w:val="22"/>
          <w:szCs w:val="22"/>
        </w:rPr>
        <w:t>VII. La que contengan las opiniones, recomendaciones o puntos de vista que formen parte del proceso deliberativo de los servidores públicos, hasta en tanto sea adoptada la decisión definitiva, la cual deberá estar documentada;</w:t>
      </w:r>
    </w:p>
    <w:p w:rsidR="00A90CAB" w:rsidRDefault="005608BE">
      <w:pPr>
        <w:ind w:left="851" w:right="851"/>
        <w:jc w:val="both"/>
        <w:rPr>
          <w:rFonts w:ascii="Times New Roman" w:eastAsia="Times New Roman" w:hAnsi="Times New Roman" w:cs="Times New Roman"/>
        </w:rPr>
      </w:pPr>
      <w:r>
        <w:rPr>
          <w:i/>
          <w:color w:val="000000"/>
          <w:sz w:val="22"/>
          <w:szCs w:val="22"/>
        </w:rPr>
        <w:t>VIII. Vulnere la conducción de los expedientes judiciales o de los procedimientos administrativos seguidos en forma de juicio, en tanto no hayan quedado firmes;</w:t>
      </w:r>
    </w:p>
    <w:p w:rsidR="00A90CAB" w:rsidRDefault="005608BE">
      <w:pPr>
        <w:ind w:left="851" w:right="851"/>
        <w:jc w:val="both"/>
        <w:rPr>
          <w:rFonts w:ascii="Times New Roman" w:eastAsia="Times New Roman" w:hAnsi="Times New Roman" w:cs="Times New Roman"/>
        </w:rPr>
      </w:pPr>
      <w:r>
        <w:rPr>
          <w:i/>
          <w:color w:val="000000"/>
          <w:sz w:val="22"/>
          <w:szCs w:val="22"/>
        </w:rPr>
        <w:t>IX. Se encuentre contenida dentro de las investigaciones de hechos que la Ley señale como delitos y se tramiten ante el Ministerio Público;</w:t>
      </w:r>
    </w:p>
    <w:p w:rsidR="00A90CAB" w:rsidRDefault="005608BE">
      <w:pPr>
        <w:ind w:left="851" w:right="851"/>
        <w:jc w:val="both"/>
        <w:rPr>
          <w:rFonts w:ascii="Times New Roman" w:eastAsia="Times New Roman" w:hAnsi="Times New Roman" w:cs="Times New Roman"/>
        </w:rPr>
      </w:pPr>
      <w:r>
        <w:rPr>
          <w:i/>
          <w:color w:val="000000"/>
          <w:sz w:val="22"/>
          <w:szCs w:val="22"/>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A90CAB" w:rsidRDefault="005608BE">
      <w:pPr>
        <w:ind w:left="851" w:right="851"/>
        <w:jc w:val="both"/>
        <w:rPr>
          <w:rFonts w:ascii="Times New Roman" w:eastAsia="Times New Roman" w:hAnsi="Times New Roman" w:cs="Times New Roman"/>
        </w:rPr>
      </w:pPr>
      <w:r>
        <w:rPr>
          <w:i/>
          <w:color w:val="000000"/>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A90CAB" w:rsidRDefault="005608BE">
      <w:pPr>
        <w:ind w:left="851" w:right="851"/>
        <w:jc w:val="both"/>
        <w:rPr>
          <w:rFonts w:ascii="Times New Roman" w:eastAsia="Times New Roman" w:hAnsi="Times New Roman" w:cs="Times New Roman"/>
        </w:rPr>
      </w:pPr>
      <w:r>
        <w:rPr>
          <w:i/>
          <w:color w:val="000000"/>
          <w:sz w:val="22"/>
          <w:szCs w:val="22"/>
        </w:rPr>
        <w:t>XI. Las que por disposición expresa de una ley tengan tal carácter, siempre que sean acordes con las bases, principios y disposiciones establecidos en esta Ley y no la contravengan; así como las previstas en tratados internacionales</w:t>
      </w:r>
    </w:p>
    <w:p w:rsidR="00A90CAB" w:rsidRDefault="00A90CAB">
      <w:pPr>
        <w:rPr>
          <w:rFonts w:ascii="Times New Roman" w:eastAsia="Times New Roman" w:hAnsi="Times New Roman" w:cs="Times New Roman"/>
        </w:rPr>
      </w:pPr>
    </w:p>
    <w:p w:rsidR="00A90CAB" w:rsidRDefault="005608BE">
      <w:pPr>
        <w:ind w:left="851" w:right="851"/>
        <w:jc w:val="center"/>
        <w:rPr>
          <w:rFonts w:ascii="Times New Roman" w:eastAsia="Times New Roman" w:hAnsi="Times New Roman" w:cs="Times New Roman"/>
        </w:rPr>
      </w:pPr>
      <w:r>
        <w:rPr>
          <w:b/>
          <w:i/>
          <w:color w:val="000000"/>
          <w:sz w:val="22"/>
          <w:szCs w:val="22"/>
        </w:rPr>
        <w:t>Capítulo III</w:t>
      </w:r>
    </w:p>
    <w:p w:rsidR="00A90CAB" w:rsidRDefault="005608BE">
      <w:pPr>
        <w:ind w:left="851" w:right="851"/>
        <w:jc w:val="center"/>
        <w:rPr>
          <w:rFonts w:ascii="Times New Roman" w:eastAsia="Times New Roman" w:hAnsi="Times New Roman" w:cs="Times New Roman"/>
        </w:rPr>
      </w:pPr>
      <w:r>
        <w:rPr>
          <w:b/>
          <w:i/>
          <w:color w:val="000000"/>
          <w:sz w:val="22"/>
          <w:szCs w:val="22"/>
        </w:rPr>
        <w:t>De la Información Confidencial</w:t>
      </w:r>
    </w:p>
    <w:p w:rsidR="00A90CAB" w:rsidRDefault="005608BE">
      <w:pPr>
        <w:ind w:left="851" w:right="851"/>
        <w:jc w:val="both"/>
        <w:rPr>
          <w:rFonts w:ascii="Times New Roman" w:eastAsia="Times New Roman" w:hAnsi="Times New Roman" w:cs="Times New Roman"/>
        </w:rPr>
      </w:pPr>
      <w:r>
        <w:rPr>
          <w:b/>
          <w:i/>
          <w:color w:val="000000"/>
          <w:sz w:val="22"/>
          <w:szCs w:val="22"/>
        </w:rPr>
        <w:t>Artículo 143.</w:t>
      </w:r>
      <w:r>
        <w:rPr>
          <w:i/>
          <w:color w:val="000000"/>
          <w:sz w:val="22"/>
          <w:szCs w:val="22"/>
        </w:rPr>
        <w:t xml:space="preserve"> Para los efectos de esta Ley se considera información confidencial, la clasificada como tal, de manera permanente, por su naturaleza, cuando:</w:t>
      </w:r>
    </w:p>
    <w:p w:rsidR="00A90CAB" w:rsidRDefault="005608BE">
      <w:pPr>
        <w:ind w:left="851" w:right="851"/>
        <w:jc w:val="both"/>
        <w:rPr>
          <w:rFonts w:ascii="Times New Roman" w:eastAsia="Times New Roman" w:hAnsi="Times New Roman" w:cs="Times New Roman"/>
        </w:rPr>
      </w:pPr>
      <w:r>
        <w:rPr>
          <w:i/>
          <w:color w:val="000000"/>
          <w:sz w:val="22"/>
          <w:szCs w:val="22"/>
        </w:rPr>
        <w:t>I. Se refiera a la información privada y los datos personales concernientes a una persona física o jurídico colectiva identificada o identificable;</w:t>
      </w:r>
    </w:p>
    <w:p w:rsidR="00A90CAB" w:rsidRDefault="005608BE">
      <w:pPr>
        <w:ind w:left="851" w:right="851"/>
        <w:jc w:val="both"/>
        <w:rPr>
          <w:rFonts w:ascii="Times New Roman" w:eastAsia="Times New Roman" w:hAnsi="Times New Roman" w:cs="Times New Roman"/>
        </w:rPr>
      </w:pPr>
      <w:r>
        <w:rPr>
          <w:i/>
          <w:color w:val="000000"/>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rsidR="00A90CAB" w:rsidRDefault="005608BE">
      <w:pPr>
        <w:ind w:left="851" w:right="851"/>
        <w:jc w:val="both"/>
        <w:rPr>
          <w:rFonts w:ascii="Times New Roman" w:eastAsia="Times New Roman" w:hAnsi="Times New Roman" w:cs="Times New Roman"/>
        </w:rPr>
      </w:pPr>
      <w:r>
        <w:rPr>
          <w:i/>
          <w:color w:val="000000"/>
          <w:sz w:val="22"/>
          <w:szCs w:val="22"/>
        </w:rPr>
        <w:t>III. La que presenten los particulares a los sujetos obligados, de conformidad con lo dispuesto por las leyes o los tratados internacionales.</w:t>
      </w:r>
    </w:p>
    <w:p w:rsidR="00A90CAB" w:rsidRDefault="005608BE">
      <w:pPr>
        <w:ind w:left="851" w:right="851"/>
        <w:jc w:val="both"/>
        <w:rPr>
          <w:rFonts w:ascii="Times New Roman" w:eastAsia="Times New Roman" w:hAnsi="Times New Roman" w:cs="Times New Roman"/>
        </w:rPr>
      </w:pPr>
      <w:r>
        <w:rPr>
          <w:i/>
          <w:color w:val="000000"/>
          <w:sz w:val="22"/>
          <w:szCs w:val="22"/>
        </w:rPr>
        <w:t>La información confidencial no estará sujeta a temporalidad alguna y sólo podrán tener acceso a ella los titulares de la misma, sus representantes y los servidores públicos facultados para ello.</w:t>
      </w:r>
    </w:p>
    <w:p w:rsidR="00A90CAB" w:rsidRDefault="005608BE">
      <w:pPr>
        <w:ind w:left="851" w:right="851"/>
        <w:jc w:val="both"/>
        <w:rPr>
          <w:rFonts w:ascii="Times New Roman" w:eastAsia="Times New Roman" w:hAnsi="Times New Roman" w:cs="Times New Roman"/>
        </w:rPr>
      </w:pPr>
      <w:r>
        <w:rPr>
          <w:i/>
          <w:color w:val="000000"/>
          <w:sz w:val="22"/>
          <w:szCs w:val="22"/>
        </w:rPr>
        <w:t>No se considerará confidencial la información que se encuentre en los registros públicos o en fuentes de acceso público, ni tampoco la que sea considerada por la presente ley como información pública.”</w:t>
      </w:r>
    </w:p>
    <w:p w:rsidR="00A90CAB" w:rsidRDefault="00A90CAB">
      <w:pPr>
        <w:rPr>
          <w:rFonts w:ascii="Times New Roman" w:eastAsia="Times New Roman" w:hAnsi="Times New Roman" w:cs="Times New Roman"/>
        </w:rPr>
      </w:pPr>
    </w:p>
    <w:p w:rsidR="00A90CAB" w:rsidRDefault="005608BE">
      <w:pPr>
        <w:spacing w:before="240" w:after="240" w:line="360" w:lineRule="auto"/>
        <w:jc w:val="both"/>
        <w:rPr>
          <w:rFonts w:ascii="Times New Roman" w:eastAsia="Times New Roman" w:hAnsi="Times New Roman" w:cs="Times New Roman"/>
        </w:rPr>
      </w:pPr>
      <w:r>
        <w:rPr>
          <w:color w:val="000000"/>
        </w:rPr>
        <w:t>Ordenamientos normativos que establecen, que el derecho de acceso a la información no es absoluto, se encuentra restringido excepcionalmente, en lo que respecta a la publicidad de la información que encuadre en algún supuesto de clasificación como reservada o confidencial, la primera de ellas cuando la publicidad represente un riesgo real, demostrable o identificable del perjuicio significativo al interés público o a la seguridad pública; y la clasificación confidencial, relativa a la información privada y los datos personales concernientes a una persona física o jurídico colectiva identificada o identificable.</w:t>
      </w:r>
    </w:p>
    <w:p w:rsidR="00A90CAB" w:rsidRDefault="005608BE">
      <w:pPr>
        <w:spacing w:before="240" w:after="240" w:line="360" w:lineRule="auto"/>
        <w:jc w:val="both"/>
        <w:rPr>
          <w:b/>
          <w:color w:val="000000"/>
        </w:rPr>
      </w:pPr>
      <w:r>
        <w:rPr>
          <w:color w:val="000000"/>
        </w:rPr>
        <w:t xml:space="preserve">Ahora bien, en el caso particular, como quedó precisado en párrafos anteriores, el </w:t>
      </w:r>
      <w:r>
        <w:rPr>
          <w:b/>
          <w:color w:val="000000"/>
        </w:rPr>
        <w:t>SUJETO OBLIGADO</w:t>
      </w:r>
      <w:r>
        <w:rPr>
          <w:color w:val="000000"/>
        </w:rPr>
        <w:t xml:space="preserve"> manifestó que en sus archivos de concentración no se localizó registro de auditorías realizadas, sin que se aprecie que pretenda clasificar la información como reservada o confidencial, como lo refiere en sus motivos de inconformidad el </w:t>
      </w:r>
      <w:r>
        <w:rPr>
          <w:b/>
          <w:color w:val="000000"/>
        </w:rPr>
        <w:t xml:space="preserve">RECURRENTE. </w:t>
      </w:r>
    </w:p>
    <w:p w:rsidR="00A90CAB" w:rsidRDefault="005608BE">
      <w:pPr>
        <w:spacing w:before="240" w:after="240" w:line="360" w:lineRule="auto"/>
        <w:jc w:val="both"/>
        <w:rPr>
          <w:color w:val="000000"/>
        </w:rPr>
      </w:pPr>
      <w:r>
        <w:rPr>
          <w:color w:val="000000"/>
        </w:rPr>
        <w:t xml:space="preserve">Por otra parte respecto a los motivos de inconformad relativos a que el </w:t>
      </w:r>
      <w:r>
        <w:rPr>
          <w:b/>
          <w:color w:val="000000"/>
        </w:rPr>
        <w:t>Sujeto Obligado</w:t>
      </w:r>
      <w:r>
        <w:rPr>
          <w:color w:val="000000"/>
        </w:rPr>
        <w:t xml:space="preserve"> no acredita fehacientemente su dicho, conviene destacar que, al haber existido un pronunciamiento por parte del </w:t>
      </w:r>
      <w:r>
        <w:rPr>
          <w:b/>
          <w:color w:val="000000"/>
        </w:rPr>
        <w:t>Sujeto Obligado</w:t>
      </w:r>
      <w:r>
        <w:rPr>
          <w:color w:val="000000"/>
        </w:rPr>
        <w:t>, respecto del requerimiento de información, este Organismo Garante no está facultado para manifestarse sobre la veracidad de lo manifestado, pues no existe precepto legal alguno en la Ley de la materia que lo faculte para ello.</w:t>
      </w:r>
    </w:p>
    <w:p w:rsidR="00A90CAB" w:rsidRDefault="005608BE">
      <w:pPr>
        <w:spacing w:before="240" w:after="240" w:line="360" w:lineRule="auto"/>
        <w:jc w:val="both"/>
        <w:rPr>
          <w:rFonts w:ascii="Times New Roman" w:eastAsia="Times New Roman" w:hAnsi="Times New Roman" w:cs="Times New Roman"/>
        </w:rPr>
      </w:pPr>
      <w:r>
        <w:rPr>
          <w:color w:val="000000"/>
        </w:rPr>
        <w:t>Lo anterior se sustenta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rsidR="00A90CAB" w:rsidRDefault="005608BE">
      <w:pPr>
        <w:spacing w:before="240" w:after="240"/>
        <w:ind w:left="993" w:right="1041"/>
        <w:jc w:val="both"/>
        <w:rPr>
          <w:i/>
          <w:color w:val="000000"/>
          <w:sz w:val="22"/>
          <w:szCs w:val="22"/>
        </w:rPr>
      </w:pPr>
      <w:r>
        <w:rPr>
          <w:i/>
          <w:color w:val="000000"/>
          <w:sz w:val="22"/>
          <w:szCs w:val="22"/>
        </w:rPr>
        <w:t>“</w:t>
      </w:r>
      <w:r>
        <w:rPr>
          <w:b/>
          <w:i/>
          <w:color w:val="000000"/>
          <w:sz w:val="22"/>
          <w:szCs w:val="22"/>
        </w:rPr>
        <w:t>El Instituto Federal de Acceso a la Información y Protección de Datos no cuenta con facultades para pronunciarse respecto de la veracidad de los documentos proporcionados por los sujetos obligados.</w:t>
      </w:r>
      <w:r>
        <w:rPr>
          <w:i/>
          <w:color w:val="000000"/>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A90CAB" w:rsidRDefault="005608BE">
      <w:pPr>
        <w:spacing w:before="240" w:after="240" w:line="360" w:lineRule="auto"/>
        <w:jc w:val="both"/>
      </w:pPr>
      <w:r>
        <w:t>Más aún cuando la respuesta fue proporcionada por el servidor público habilitado competente, siendo esta la Contraloría Interna Municipal, al ser el área encargada de realizar las auditorías de acuerdo con el artículo 112 de la Ley Orgánica Municipal del Estado de México.</w:t>
      </w:r>
    </w:p>
    <w:p w:rsidR="00A90CAB" w:rsidRDefault="005608BE">
      <w:pPr>
        <w:spacing w:before="240" w:after="240" w:line="360" w:lineRule="auto"/>
        <w:ind w:left="1418" w:right="900"/>
        <w:jc w:val="both"/>
        <w:rPr>
          <w:i/>
          <w:sz w:val="22"/>
          <w:szCs w:val="22"/>
        </w:rPr>
      </w:pPr>
      <w:r>
        <w:rPr>
          <w:b/>
          <w:i/>
          <w:sz w:val="22"/>
          <w:szCs w:val="22"/>
        </w:rPr>
        <w:t>Artículo 112.-</w:t>
      </w:r>
      <w:r>
        <w:rPr>
          <w:i/>
          <w:sz w:val="22"/>
          <w:szCs w:val="22"/>
        </w:rPr>
        <w:t xml:space="preserve"> El órgano interno de control municipal, tendrá a su cargo las funciones siguientes: </w:t>
      </w:r>
    </w:p>
    <w:p w:rsidR="00A90CAB" w:rsidRDefault="005608BE">
      <w:pPr>
        <w:pBdr>
          <w:top w:val="nil"/>
          <w:left w:val="nil"/>
          <w:bottom w:val="nil"/>
          <w:right w:val="nil"/>
          <w:between w:val="nil"/>
        </w:pBdr>
        <w:spacing w:before="240" w:line="360" w:lineRule="auto"/>
        <w:ind w:left="1080"/>
        <w:jc w:val="both"/>
        <w:rPr>
          <w:i/>
          <w:color w:val="000000"/>
          <w:sz w:val="22"/>
          <w:szCs w:val="22"/>
        </w:rPr>
      </w:pPr>
      <w:r>
        <w:rPr>
          <w:b/>
          <w:i/>
          <w:color w:val="000000"/>
          <w:sz w:val="22"/>
          <w:szCs w:val="22"/>
        </w:rPr>
        <w:t>I.</w:t>
      </w:r>
      <w:r>
        <w:rPr>
          <w:i/>
          <w:color w:val="000000"/>
          <w:sz w:val="22"/>
          <w:szCs w:val="22"/>
        </w:rPr>
        <w:t xml:space="preserve">  a </w:t>
      </w:r>
      <w:r>
        <w:rPr>
          <w:b/>
          <w:i/>
          <w:color w:val="000000"/>
          <w:sz w:val="22"/>
          <w:szCs w:val="22"/>
        </w:rPr>
        <w:t>VIII.</w:t>
      </w:r>
      <w:r>
        <w:rPr>
          <w:i/>
          <w:color w:val="000000"/>
          <w:sz w:val="22"/>
          <w:szCs w:val="22"/>
        </w:rPr>
        <w:t xml:space="preserve"> … </w:t>
      </w:r>
    </w:p>
    <w:p w:rsidR="00A90CAB" w:rsidRDefault="005608BE">
      <w:pPr>
        <w:pBdr>
          <w:top w:val="nil"/>
          <w:left w:val="nil"/>
          <w:bottom w:val="nil"/>
          <w:right w:val="nil"/>
          <w:between w:val="nil"/>
        </w:pBdr>
        <w:spacing w:line="360" w:lineRule="auto"/>
        <w:ind w:left="1080"/>
        <w:jc w:val="both"/>
        <w:rPr>
          <w:i/>
          <w:color w:val="000000"/>
          <w:sz w:val="22"/>
          <w:szCs w:val="22"/>
        </w:rPr>
      </w:pPr>
      <w:r>
        <w:rPr>
          <w:b/>
          <w:i/>
          <w:color w:val="000000"/>
          <w:sz w:val="22"/>
          <w:szCs w:val="22"/>
        </w:rPr>
        <w:t>IX.</w:t>
      </w:r>
      <w:r>
        <w:rPr>
          <w:i/>
          <w:color w:val="000000"/>
          <w:sz w:val="22"/>
          <w:szCs w:val="22"/>
        </w:rPr>
        <w:t xml:space="preserve"> </w:t>
      </w:r>
      <w:r>
        <w:rPr>
          <w:b/>
          <w:i/>
          <w:color w:val="000000"/>
          <w:sz w:val="22"/>
          <w:szCs w:val="22"/>
          <w:u w:val="single"/>
        </w:rPr>
        <w:t xml:space="preserve">Designar a los auditores externos </w:t>
      </w:r>
      <w:r>
        <w:rPr>
          <w:i/>
          <w:color w:val="000000"/>
          <w:sz w:val="22"/>
          <w:szCs w:val="22"/>
        </w:rPr>
        <w:t xml:space="preserve">y proponer al ayuntamiento, en su caso, a los Comisarios de los Organismos Auxiliares; </w:t>
      </w:r>
    </w:p>
    <w:p w:rsidR="00A90CAB" w:rsidRDefault="005608BE">
      <w:pPr>
        <w:pBdr>
          <w:top w:val="nil"/>
          <w:left w:val="nil"/>
          <w:bottom w:val="nil"/>
          <w:right w:val="nil"/>
          <w:between w:val="nil"/>
        </w:pBdr>
        <w:spacing w:line="360" w:lineRule="auto"/>
        <w:ind w:left="1080"/>
        <w:jc w:val="both"/>
        <w:rPr>
          <w:i/>
          <w:color w:val="000000"/>
          <w:sz w:val="22"/>
          <w:szCs w:val="22"/>
        </w:rPr>
      </w:pPr>
      <w:r>
        <w:rPr>
          <w:b/>
          <w:i/>
          <w:color w:val="000000"/>
          <w:sz w:val="22"/>
          <w:szCs w:val="22"/>
        </w:rPr>
        <w:t>X.</w:t>
      </w:r>
      <w:r>
        <w:rPr>
          <w:i/>
          <w:color w:val="000000"/>
          <w:sz w:val="22"/>
          <w:szCs w:val="22"/>
        </w:rPr>
        <w:t xml:space="preserve"> …</w:t>
      </w:r>
    </w:p>
    <w:p w:rsidR="00A90CAB" w:rsidRDefault="005608BE">
      <w:pPr>
        <w:pBdr>
          <w:top w:val="nil"/>
          <w:left w:val="nil"/>
          <w:bottom w:val="nil"/>
          <w:right w:val="nil"/>
          <w:between w:val="nil"/>
        </w:pBdr>
        <w:spacing w:line="360" w:lineRule="auto"/>
        <w:ind w:left="1080"/>
        <w:jc w:val="both"/>
        <w:rPr>
          <w:b/>
          <w:i/>
          <w:color w:val="000000"/>
          <w:sz w:val="22"/>
          <w:szCs w:val="22"/>
          <w:u w:val="single"/>
        </w:rPr>
      </w:pPr>
      <w:r>
        <w:rPr>
          <w:b/>
          <w:i/>
          <w:color w:val="000000"/>
          <w:sz w:val="22"/>
          <w:szCs w:val="22"/>
          <w:u w:val="single"/>
        </w:rPr>
        <w:t xml:space="preserve">XI. Realizar auditorías y evaluaciones e informar del resultado de las mismas al ayuntamiento; </w:t>
      </w:r>
    </w:p>
    <w:p w:rsidR="00A90CAB" w:rsidRDefault="005608BE">
      <w:pPr>
        <w:pBdr>
          <w:top w:val="nil"/>
          <w:left w:val="nil"/>
          <w:bottom w:val="nil"/>
          <w:right w:val="nil"/>
          <w:between w:val="nil"/>
        </w:pBdr>
        <w:spacing w:line="360" w:lineRule="auto"/>
        <w:ind w:left="1080"/>
        <w:jc w:val="both"/>
        <w:rPr>
          <w:i/>
          <w:color w:val="000000"/>
          <w:sz w:val="22"/>
          <w:szCs w:val="22"/>
        </w:rPr>
      </w:pPr>
      <w:r>
        <w:rPr>
          <w:b/>
          <w:i/>
          <w:color w:val="000000"/>
          <w:sz w:val="22"/>
          <w:szCs w:val="22"/>
        </w:rPr>
        <w:t>XII.</w:t>
      </w:r>
      <w:r>
        <w:rPr>
          <w:i/>
          <w:color w:val="000000"/>
          <w:sz w:val="22"/>
          <w:szCs w:val="22"/>
        </w:rPr>
        <w:t xml:space="preserve"> Participar en la entrega-recepción de las unidades administrativas de las dependencias, organismos auxiliares y fideicomisos del municipio; </w:t>
      </w:r>
    </w:p>
    <w:p w:rsidR="00A90CAB" w:rsidRDefault="005608BE">
      <w:pPr>
        <w:pBdr>
          <w:top w:val="nil"/>
          <w:left w:val="nil"/>
          <w:bottom w:val="nil"/>
          <w:right w:val="nil"/>
          <w:between w:val="nil"/>
        </w:pBdr>
        <w:spacing w:line="360" w:lineRule="auto"/>
        <w:ind w:left="1080"/>
        <w:jc w:val="both"/>
        <w:rPr>
          <w:i/>
          <w:color w:val="000000"/>
          <w:sz w:val="22"/>
          <w:szCs w:val="22"/>
        </w:rPr>
      </w:pPr>
      <w:r>
        <w:rPr>
          <w:i/>
          <w:color w:val="000000"/>
          <w:sz w:val="22"/>
          <w:szCs w:val="22"/>
        </w:rPr>
        <w:t>XIII. Dictaminar los estados financieros de la tesorería municipal y</w:t>
      </w:r>
      <w:r>
        <w:rPr>
          <w:color w:val="000000"/>
        </w:rPr>
        <w:t xml:space="preserve"> </w:t>
      </w:r>
      <w:r>
        <w:rPr>
          <w:i/>
          <w:color w:val="000000"/>
          <w:sz w:val="22"/>
          <w:szCs w:val="22"/>
        </w:rPr>
        <w:t xml:space="preserve">verificar que se remitan los informes correspondientes al Órgano Superior de Fiscalización del Estado de México; </w:t>
      </w:r>
    </w:p>
    <w:p w:rsidR="00A90CAB" w:rsidRDefault="005608BE">
      <w:pPr>
        <w:pBdr>
          <w:top w:val="nil"/>
          <w:left w:val="nil"/>
          <w:bottom w:val="nil"/>
          <w:right w:val="nil"/>
          <w:between w:val="nil"/>
        </w:pBdr>
        <w:spacing w:after="240" w:line="360" w:lineRule="auto"/>
        <w:ind w:left="1080"/>
        <w:jc w:val="both"/>
        <w:rPr>
          <w:i/>
          <w:color w:val="000000"/>
          <w:sz w:val="22"/>
          <w:szCs w:val="22"/>
        </w:rPr>
      </w:pPr>
      <w:r>
        <w:rPr>
          <w:b/>
          <w:i/>
          <w:color w:val="000000"/>
          <w:sz w:val="22"/>
          <w:szCs w:val="22"/>
        </w:rPr>
        <w:t>XIV.</w:t>
      </w:r>
      <w:r>
        <w:rPr>
          <w:i/>
          <w:color w:val="000000"/>
          <w:sz w:val="22"/>
          <w:szCs w:val="22"/>
        </w:rPr>
        <w:t xml:space="preserve"> a. </w:t>
      </w:r>
      <w:r>
        <w:rPr>
          <w:b/>
          <w:i/>
          <w:color w:val="000000"/>
          <w:sz w:val="22"/>
          <w:szCs w:val="22"/>
        </w:rPr>
        <w:t>XX.</w:t>
      </w:r>
      <w:r>
        <w:rPr>
          <w:i/>
          <w:color w:val="000000"/>
          <w:sz w:val="22"/>
          <w:szCs w:val="22"/>
        </w:rPr>
        <w:t xml:space="preserve"> … </w:t>
      </w:r>
    </w:p>
    <w:p w:rsidR="00A90CAB" w:rsidRDefault="005608BE">
      <w:pPr>
        <w:spacing w:before="240" w:after="240" w:line="360" w:lineRule="auto"/>
        <w:ind w:right="49"/>
        <w:jc w:val="both"/>
      </w:pPr>
      <w:r>
        <w:t>Quien además señaló haber realizado la búsqueda en los archivos de concentración que obran bajo su resguardo, al respecto los lineamientos que norman la Entrega-Recepción de los Ayuntamientos, sus Dependencias y Organismos Descentralizados Municipales del Estado de México, en el artículo 2, fracción III y VII, señalan que se entenderá por;</w:t>
      </w:r>
    </w:p>
    <w:p w:rsidR="00A90CAB" w:rsidRDefault="005608BE">
      <w:pPr>
        <w:spacing w:before="240" w:after="240" w:line="276" w:lineRule="auto"/>
        <w:ind w:left="1134" w:right="616"/>
        <w:jc w:val="both"/>
        <w:rPr>
          <w:i/>
          <w:sz w:val="22"/>
          <w:szCs w:val="22"/>
        </w:rPr>
      </w:pPr>
      <w:r>
        <w:rPr>
          <w:b/>
          <w:i/>
          <w:sz w:val="22"/>
          <w:szCs w:val="22"/>
        </w:rPr>
        <w:t>III. Acta de entrega-recepción:</w:t>
      </w:r>
      <w:r>
        <w:rPr>
          <w:i/>
          <w:sz w:val="22"/>
          <w:szCs w:val="22"/>
        </w:rPr>
        <w:t xml:space="preserve"> Al instrumento jurídico que formaliza el acto de entrega-recepción, en el que se establecen los datos de los participantes, la relación de la información y el soporte documental de la gestión municipal, observaciones, firmas y anexos;</w:t>
      </w:r>
    </w:p>
    <w:p w:rsidR="00A90CAB" w:rsidRDefault="005608BE">
      <w:pPr>
        <w:spacing w:before="240" w:after="240" w:line="276" w:lineRule="auto"/>
        <w:ind w:left="1134" w:right="616"/>
        <w:jc w:val="both"/>
        <w:rPr>
          <w:i/>
          <w:sz w:val="22"/>
          <w:szCs w:val="22"/>
        </w:rPr>
      </w:pPr>
      <w:r>
        <w:rPr>
          <w:b/>
          <w:i/>
          <w:sz w:val="22"/>
          <w:szCs w:val="22"/>
        </w:rPr>
        <w:t>VII. Archivo de concentración:</w:t>
      </w:r>
      <w:r>
        <w:rPr>
          <w:i/>
          <w:sz w:val="22"/>
          <w:szCs w:val="22"/>
        </w:rPr>
        <w:t xml:space="preserve"> Al integrado por documentos transferidos desde las áreas o unidades productoras, cuyo uso y consulta son esporádicos y que permanecen en él hasta su disposición documental;</w:t>
      </w:r>
    </w:p>
    <w:p w:rsidR="00A90CAB" w:rsidRDefault="005608BE">
      <w:pPr>
        <w:spacing w:before="240" w:after="240" w:line="360" w:lineRule="auto"/>
        <w:jc w:val="both"/>
      </w:pPr>
      <w:r>
        <w:t>En tal sentido, si bien es cierto que el Contralor Municipal, es quien se encarga de llevar a cabo las auditorias financieras,  el Contralor Municipal actual manifestó que  de acuerdo a los lineamientos de la entrega-recepción, en los archivos de concentración correspondientes no se encontró registro alguno relacionado con auditorias financieras realizadas en la administración anterior.</w:t>
      </w:r>
    </w:p>
    <w:p w:rsidR="00A90CAB" w:rsidRDefault="005608BE">
      <w:pPr>
        <w:spacing w:before="240" w:after="240" w:line="360" w:lineRule="auto"/>
        <w:jc w:val="both"/>
      </w:pPr>
      <w:r>
        <w:rPr>
          <w:color w:val="000000"/>
        </w:rPr>
        <w:t>Aunado a que al</w:t>
      </w:r>
      <w:r>
        <w:t xml:space="preserve"> derivar la respuesta del Contralor Interno Municipal y referir que en los archivos de concentración que obran en su poder no se encontró registro de la información solicitada, se tiene por colmado el derecho de acceso a la información, al encontrarnos en presencia de un hecho negativo. Así, si se considera el hecho negativo, es obvio que éste no puede fácticamente obrar en los archivos del SUJETO OBLIGADO, ya que no puede probarse por ser lógica y materialmente imposible. Asimismo, no se trata de un caso por el cual la negación del hecho implique la afirmación del mismo, simplemente se está ante una notoria y evidente inexistencia fáctica de la información solicitada.</w:t>
      </w:r>
    </w:p>
    <w:p w:rsidR="00A90CAB" w:rsidRDefault="005608BE">
      <w:pPr>
        <w:spacing w:before="240" w:after="240" w:line="360" w:lineRule="auto"/>
        <w:jc w:val="both"/>
      </w:pPr>
      <w:r>
        <w:t>Así, de conformidad con lo establecido en el artículo 12 de la Ley de Transparencia y Acceso a la Información Pública del Estado de México y Municipios EL SUJETO OBLIGADO sólo proporcionará la información que obra en sus archivos, lo que a contrario sensu significa que no se está obligado a proporcionar lo que no obre en sus archivos.</w:t>
      </w:r>
    </w:p>
    <w:p w:rsidR="00A90CAB" w:rsidRDefault="005608BE">
      <w:pPr>
        <w:spacing w:before="240" w:after="240" w:line="360" w:lineRule="auto"/>
        <w:jc w:val="both"/>
      </w:pPr>
      <w:r>
        <w:t>Por lo que, se debe destacar entonces que el Pleno de este Organismo Garante, ha sostenido que ante presencia de un hecho negativo, resultaría innecesaria una declaratoria de inexistencia en términos de 19, 169 y 170 de la Ley de Transparencia y Acceso a la Información Pública del Estado de México y Municipios, y ante una hecho negativo resultan aplicables las siguientes tesis:</w:t>
      </w:r>
    </w:p>
    <w:p w:rsidR="00A90CAB" w:rsidRDefault="005608BE">
      <w:pPr>
        <w:spacing w:before="240" w:after="240" w:line="276" w:lineRule="auto"/>
        <w:ind w:left="567" w:right="616"/>
        <w:jc w:val="both"/>
        <w:rPr>
          <w:i/>
          <w:color w:val="000000"/>
          <w:sz w:val="22"/>
          <w:szCs w:val="22"/>
        </w:rPr>
      </w:pPr>
      <w:r>
        <w:rPr>
          <w:i/>
          <w:sz w:val="22"/>
          <w:szCs w:val="22"/>
        </w:rPr>
        <w:t>“HECHOS NEGATIVOS, NO SON SUSCEPTIBLES DE DEMOSTRACIÓN. Tratándose de un hecho negativo, el Juez no tiene por qué invocar prueba alguna de la que se desprenda, ya que es bien sabido que esta clase de hechos no son susceptibles de demostración. Amparo en revisión 2022/61. José García Florín (Menor). 9 de octubre de 1961. Cinco votos. Ponente: José Rivera Pérez Campos.”</w:t>
      </w:r>
    </w:p>
    <w:p w:rsidR="00A90CAB" w:rsidRDefault="005608BE">
      <w:pPr>
        <w:spacing w:before="240" w:after="240" w:line="360" w:lineRule="auto"/>
        <w:jc w:val="both"/>
      </w:pPr>
      <w:r>
        <w:t xml:space="preserve">Finalmente respecto a sus motivos de inconformidad relativos a que la  información no es la solicitada, de la revisión a la solicitud de información, en contraste con las documentales que entrega el </w:t>
      </w:r>
      <w:r>
        <w:rPr>
          <w:b/>
        </w:rPr>
        <w:t>SUJETO OBLIGADO</w:t>
      </w:r>
      <w:r>
        <w:t xml:space="preserve"> esta Autoridad observa que la respuesta proporcionada cumple con lo solicitado por el </w:t>
      </w:r>
      <w:r>
        <w:rPr>
          <w:b/>
        </w:rPr>
        <w:t xml:space="preserve">RECURRENTE. </w:t>
      </w:r>
      <w:r>
        <w:t xml:space="preserve"> </w:t>
      </w:r>
    </w:p>
    <w:p w:rsidR="00A90CAB" w:rsidRDefault="005608BE">
      <w:pPr>
        <w:spacing w:before="240" w:after="240" w:line="360" w:lineRule="auto"/>
        <w:jc w:val="both"/>
      </w:pPr>
      <w: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A90CAB" w:rsidRDefault="005608BE">
      <w:pPr>
        <w:numPr>
          <w:ilvl w:val="0"/>
          <w:numId w:val="1"/>
        </w:numPr>
        <w:pBdr>
          <w:top w:val="nil"/>
          <w:left w:val="nil"/>
          <w:bottom w:val="nil"/>
          <w:right w:val="nil"/>
          <w:between w:val="nil"/>
        </w:pBdr>
        <w:spacing w:before="240" w:after="240" w:line="360" w:lineRule="auto"/>
        <w:jc w:val="center"/>
        <w:rPr>
          <w:b/>
        </w:rPr>
      </w:pPr>
      <w:r>
        <w:rPr>
          <w:b/>
        </w:rPr>
        <w:t>R E S U E L V E:</w:t>
      </w:r>
    </w:p>
    <w:p w:rsidR="00A90CAB" w:rsidRDefault="005608BE">
      <w:pPr>
        <w:spacing w:before="240" w:after="240" w:line="360" w:lineRule="auto"/>
        <w:jc w:val="both"/>
        <w:rPr>
          <w:b/>
        </w:rPr>
      </w:pPr>
      <w:bookmarkStart w:id="9" w:name="_heading=h.3dy6vkm" w:colFirst="0" w:colLast="0"/>
      <w:bookmarkEnd w:id="9"/>
      <w:r>
        <w:rPr>
          <w:b/>
        </w:rPr>
        <w:t xml:space="preserve">Primero. </w:t>
      </w:r>
      <w:r>
        <w:t>Resultan</w:t>
      </w:r>
      <w:r>
        <w:rPr>
          <w:b/>
        </w:rPr>
        <w:t xml:space="preserve"> Infundados </w:t>
      </w:r>
      <w:r>
        <w:t xml:space="preserve">los motivos de inconformidad hechos valer por la parte </w:t>
      </w:r>
      <w:r>
        <w:rPr>
          <w:b/>
        </w:rPr>
        <w:t xml:space="preserve">Recurrente </w:t>
      </w:r>
      <w:r>
        <w:t xml:space="preserve">en el recurso de revisión </w:t>
      </w:r>
      <w:r>
        <w:rPr>
          <w:b/>
        </w:rPr>
        <w:t xml:space="preserve">00749/INFOEM/IP/RR/2022, </w:t>
      </w:r>
      <w:r>
        <w:t xml:space="preserve">por lo que, en términos del Considerando </w:t>
      </w:r>
      <w:r>
        <w:rPr>
          <w:b/>
        </w:rPr>
        <w:t>Cuarto</w:t>
      </w:r>
      <w:r>
        <w:t xml:space="preserve"> de la presente resolución, se</w:t>
      </w:r>
      <w:r>
        <w:rPr>
          <w:b/>
        </w:rPr>
        <w:t xml:space="preserve"> Confirma </w:t>
      </w:r>
      <w:r>
        <w:t>la respuesta</w:t>
      </w:r>
      <w:r>
        <w:rPr>
          <w:b/>
        </w:rPr>
        <w:t xml:space="preserve"> </w:t>
      </w:r>
      <w:r>
        <w:t xml:space="preserve">del </w:t>
      </w:r>
      <w:r>
        <w:rPr>
          <w:b/>
        </w:rPr>
        <w:t>Sujeto Obligado.</w:t>
      </w:r>
    </w:p>
    <w:p w:rsidR="00A90CAB" w:rsidRDefault="005608BE">
      <w:pPr>
        <w:spacing w:before="240" w:after="240" w:line="360" w:lineRule="auto"/>
        <w:jc w:val="both"/>
        <w:rPr>
          <w:b/>
        </w:rPr>
      </w:pPr>
      <w:bookmarkStart w:id="10" w:name="_heading=h.1t3h5sf" w:colFirst="0" w:colLast="0"/>
      <w:bookmarkEnd w:id="10"/>
      <w:r>
        <w:rPr>
          <w:b/>
        </w:rPr>
        <w:t xml:space="preserve">Segundo. Notifíquese, </w:t>
      </w:r>
      <w:r>
        <w:t>vía</w:t>
      </w:r>
      <w:r>
        <w:rPr>
          <w:b/>
        </w:rPr>
        <w:t xml:space="preserve"> SAIMEX, </w:t>
      </w:r>
      <w:r>
        <w:t xml:space="preserve">al Responsable de la Unidad de Transparencia del </w:t>
      </w:r>
      <w:r>
        <w:rPr>
          <w:b/>
        </w:rPr>
        <w:t>Sujeto Obligado</w:t>
      </w:r>
      <w:r>
        <w:t xml:space="preserve"> la presente resolución, para su conocimiento.</w:t>
      </w:r>
    </w:p>
    <w:p w:rsidR="00A90CAB" w:rsidRDefault="005608BE">
      <w:pPr>
        <w:spacing w:before="240" w:after="240" w:line="360" w:lineRule="auto"/>
        <w:jc w:val="both"/>
      </w:pPr>
      <w:bookmarkStart w:id="11" w:name="_heading=h.4d34og8" w:colFirst="0" w:colLast="0"/>
      <w:bookmarkEnd w:id="11"/>
      <w:r>
        <w:rPr>
          <w:b/>
        </w:rPr>
        <w:t xml:space="preserve">Tercero.  Notifíquese, </w:t>
      </w:r>
      <w:r>
        <w:t xml:space="preserve">vía </w:t>
      </w:r>
      <w:r>
        <w:rPr>
          <w:b/>
        </w:rPr>
        <w:t>SAIMEX</w:t>
      </w:r>
      <w:r>
        <w:t xml:space="preserve">, a la parte </w:t>
      </w:r>
      <w:r>
        <w:rPr>
          <w:b/>
        </w:rPr>
        <w:t>Recurrente</w:t>
      </w:r>
      <w: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A90CAB" w:rsidRDefault="005608BE">
      <w:pPr>
        <w:spacing w:before="240" w:after="240" w:line="360" w:lineRule="auto"/>
        <w:jc w:val="both"/>
      </w:pPr>
      <w:bookmarkStart w:id="12" w:name="_heading=h.lnxbz9" w:colFirst="0" w:colLast="0"/>
      <w:bookmarkEnd w:id="12"/>
      <w: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w:t>
      </w:r>
      <w:r w:rsidR="00C959A3">
        <w:t xml:space="preserve">SHARON CRISTINA MORALES MARTÍNEZ; </w:t>
      </w:r>
      <w:r>
        <w:t>LUIS GUSTAVO PARRA NORIEGA</w:t>
      </w:r>
      <w:r w:rsidR="00C959A3" w:rsidRPr="00C959A3">
        <w:t xml:space="preserve"> </w:t>
      </w:r>
      <w:r w:rsidR="00C959A3">
        <w:t>Y GUADALUPE RAMÍREZ PEÑA</w:t>
      </w:r>
      <w:r>
        <w:t>; EN LA DECIMA SEGUNDA SESIÓN ORDINARIA CELEBRADA EL TREINTA DE MARZO DE DOS MIL VEINTIDÓS, ANTE EL SECRETARIO TÉCNICO DEL PLENO, ALEXIS TAPIA RAMÍREZ.</w:t>
      </w:r>
    </w:p>
    <w:p w:rsidR="00A90CAB" w:rsidRDefault="00A90CAB">
      <w:pPr>
        <w:spacing w:before="240" w:after="240" w:line="360" w:lineRule="auto"/>
        <w:jc w:val="both"/>
      </w:pPr>
    </w:p>
    <w:p w:rsidR="00A90CAB" w:rsidRDefault="00C959A3">
      <w:pPr>
        <w:spacing w:before="240" w:after="240"/>
        <w:jc w:val="both"/>
        <w:rPr>
          <w:sz w:val="20"/>
          <w:szCs w:val="20"/>
        </w:rPr>
      </w:pPr>
      <w:r>
        <w:rPr>
          <w:noProof/>
          <w:sz w:val="20"/>
          <w:szCs w:val="20"/>
          <w:lang w:val="es-MX"/>
        </w:rPr>
        <mc:AlternateContent>
          <mc:Choice Requires="wps">
            <w:drawing>
              <wp:anchor distT="0" distB="0" distL="114300" distR="114300" simplePos="0" relativeHeight="251659264" behindDoc="0" locked="0" layoutInCell="1" allowOverlap="1">
                <wp:simplePos x="0" y="0"/>
                <wp:positionH relativeFrom="column">
                  <wp:posOffset>143023</wp:posOffset>
                </wp:positionH>
                <wp:positionV relativeFrom="paragraph">
                  <wp:posOffset>35766</wp:posOffset>
                </wp:positionV>
                <wp:extent cx="5391398" cy="3657600"/>
                <wp:effectExtent l="38100" t="19050" r="76200" b="95250"/>
                <wp:wrapNone/>
                <wp:docPr id="1" name="Conector recto 1"/>
                <wp:cNvGraphicFramePr/>
                <a:graphic xmlns:a="http://schemas.openxmlformats.org/drawingml/2006/main">
                  <a:graphicData uri="http://schemas.microsoft.com/office/word/2010/wordprocessingShape">
                    <wps:wsp>
                      <wps:cNvCnPr/>
                      <wps:spPr>
                        <a:xfrm>
                          <a:off x="0" y="0"/>
                          <a:ext cx="5391398" cy="36576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B5C240E"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25pt,2.8pt" to="435.75pt,29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" strokecolor="#4f81bd [3204]" strokeweight="2pt">
                <v:shadow on="t" color="black" opacity="24903f" origin=",.5" offset="0,.55556mm"/>
              </v:line>
            </w:pict>
          </mc:Fallback>
        </mc:AlternateContent>
      </w:r>
    </w:p>
    <w:p w:rsidR="00A90CAB" w:rsidRDefault="00A90CAB">
      <w:pPr>
        <w:spacing w:before="240" w:after="240"/>
        <w:jc w:val="both"/>
        <w:rPr>
          <w:sz w:val="20"/>
          <w:szCs w:val="20"/>
        </w:rPr>
      </w:pPr>
    </w:p>
    <w:p w:rsidR="00A90CAB" w:rsidRDefault="00A90CAB">
      <w:pPr>
        <w:spacing w:before="240" w:after="240"/>
        <w:jc w:val="both"/>
        <w:rPr>
          <w:sz w:val="20"/>
          <w:szCs w:val="20"/>
        </w:rPr>
      </w:pPr>
    </w:p>
    <w:p w:rsidR="00A90CAB" w:rsidRDefault="00A90CAB">
      <w:pPr>
        <w:spacing w:before="240" w:after="240"/>
        <w:jc w:val="both"/>
        <w:rPr>
          <w:sz w:val="20"/>
          <w:szCs w:val="20"/>
        </w:rPr>
      </w:pPr>
    </w:p>
    <w:p w:rsidR="00A90CAB" w:rsidRDefault="00A90CAB">
      <w:pPr>
        <w:spacing w:before="240" w:after="240"/>
        <w:jc w:val="both"/>
        <w:rPr>
          <w:sz w:val="20"/>
          <w:szCs w:val="20"/>
        </w:rPr>
      </w:pPr>
    </w:p>
    <w:p w:rsidR="00A90CAB" w:rsidRDefault="00A90CAB">
      <w:pPr>
        <w:spacing w:before="240" w:after="240"/>
        <w:jc w:val="both"/>
        <w:rPr>
          <w:sz w:val="20"/>
          <w:szCs w:val="20"/>
        </w:rPr>
      </w:pPr>
    </w:p>
    <w:p w:rsidR="00A90CAB" w:rsidRDefault="00A90CAB">
      <w:pPr>
        <w:spacing w:before="240" w:after="240"/>
        <w:jc w:val="both"/>
        <w:rPr>
          <w:sz w:val="20"/>
          <w:szCs w:val="20"/>
        </w:rPr>
      </w:pPr>
    </w:p>
    <w:p w:rsidR="00A90CAB" w:rsidRDefault="00A90CAB">
      <w:pPr>
        <w:spacing w:before="240" w:after="240"/>
        <w:jc w:val="both"/>
        <w:rPr>
          <w:sz w:val="20"/>
          <w:szCs w:val="20"/>
        </w:rPr>
      </w:pPr>
    </w:p>
    <w:p w:rsidR="00A90CAB" w:rsidRDefault="00A90CAB">
      <w:pPr>
        <w:spacing w:before="240" w:after="240"/>
        <w:jc w:val="both"/>
        <w:rPr>
          <w:sz w:val="20"/>
          <w:szCs w:val="20"/>
        </w:rPr>
      </w:pPr>
    </w:p>
    <w:p w:rsidR="00A90CAB" w:rsidRDefault="00A90CAB">
      <w:pPr>
        <w:spacing w:before="240" w:after="240"/>
        <w:jc w:val="both"/>
        <w:rPr>
          <w:sz w:val="20"/>
          <w:szCs w:val="20"/>
        </w:rPr>
      </w:pPr>
    </w:p>
    <w:p w:rsidR="00A90CAB" w:rsidRDefault="00A90CAB">
      <w:pPr>
        <w:spacing w:before="240" w:after="240"/>
        <w:jc w:val="both"/>
        <w:rPr>
          <w:sz w:val="20"/>
          <w:szCs w:val="20"/>
        </w:rPr>
      </w:pPr>
    </w:p>
    <w:p w:rsidR="00A90CAB" w:rsidRDefault="00A90CAB">
      <w:pPr>
        <w:spacing w:before="240" w:after="240"/>
        <w:jc w:val="both"/>
        <w:rPr>
          <w:sz w:val="20"/>
          <w:szCs w:val="20"/>
        </w:rPr>
      </w:pPr>
    </w:p>
    <w:p w:rsidR="00A90CAB" w:rsidRDefault="00A90CAB">
      <w:pPr>
        <w:spacing w:before="240" w:after="240"/>
        <w:jc w:val="both"/>
        <w:rPr>
          <w:sz w:val="20"/>
          <w:szCs w:val="20"/>
        </w:rPr>
      </w:pPr>
    </w:p>
    <w:p w:rsidR="00A90CAB" w:rsidRDefault="00A90CAB">
      <w:pPr>
        <w:spacing w:before="240" w:after="240"/>
        <w:jc w:val="both"/>
        <w:rPr>
          <w:sz w:val="20"/>
          <w:szCs w:val="20"/>
        </w:rPr>
      </w:pPr>
    </w:p>
    <w:sectPr w:rsidR="00A90CAB">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43FA" w:rsidRDefault="004643FA">
      <w:r>
        <w:separator/>
      </w:r>
    </w:p>
  </w:endnote>
  <w:endnote w:type="continuationSeparator" w:id="0">
    <w:p w:rsidR="004643FA" w:rsidRDefault="00464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CAB" w:rsidRDefault="005608BE">
    <w:pPr>
      <w:pBdr>
        <w:top w:val="nil"/>
        <w:left w:val="nil"/>
        <w:bottom w:val="nil"/>
        <w:right w:val="nil"/>
        <w:between w:val="nil"/>
      </w:pBdr>
      <w:tabs>
        <w:tab w:val="center" w:pos="4252"/>
        <w:tab w:val="right" w:pos="8504"/>
      </w:tabs>
      <w:jc w:val="right"/>
      <w:rPr>
        <w:color w:val="000000"/>
        <w:sz w:val="20"/>
        <w:szCs w:val="20"/>
      </w:rPr>
    </w:pPr>
    <w:r>
      <w:rPr>
        <w:b/>
        <w:color w:val="000000"/>
        <w:sz w:val="20"/>
        <w:szCs w:val="20"/>
      </w:rPr>
      <w:t xml:space="preserve">Página </w:t>
    </w:r>
    <w:r>
      <w:rPr>
        <w:b/>
        <w:color w:val="000000"/>
        <w:sz w:val="20"/>
        <w:szCs w:val="20"/>
      </w:rPr>
      <w:fldChar w:fldCharType="begin"/>
    </w:r>
    <w:r>
      <w:rPr>
        <w:b/>
        <w:color w:val="000000"/>
        <w:sz w:val="20"/>
        <w:szCs w:val="20"/>
      </w:rPr>
      <w:instrText>PAGE</w:instrText>
    </w:r>
    <w:r>
      <w:rPr>
        <w:b/>
        <w:color w:val="000000"/>
        <w:sz w:val="20"/>
        <w:szCs w:val="20"/>
      </w:rPr>
      <w:fldChar w:fldCharType="separate"/>
    </w:r>
    <w:r w:rsidR="005703F9">
      <w:rPr>
        <w:b/>
        <w:noProof/>
        <w:color w:val="000000"/>
        <w:sz w:val="20"/>
        <w:szCs w:val="20"/>
      </w:rPr>
      <w:t>21</w:t>
    </w:r>
    <w:r>
      <w:rPr>
        <w:b/>
        <w:color w:val="000000"/>
        <w:sz w:val="20"/>
        <w:szCs w:val="20"/>
      </w:rPr>
      <w:fldChar w:fldCharType="end"/>
    </w:r>
    <w:r>
      <w:rPr>
        <w:color w:val="000000"/>
        <w:sz w:val="20"/>
        <w:szCs w:val="20"/>
      </w:rPr>
      <w:t xml:space="preserve"> de </w:t>
    </w:r>
    <w:r>
      <w:rPr>
        <w:b/>
        <w:color w:val="000000"/>
        <w:sz w:val="20"/>
        <w:szCs w:val="20"/>
      </w:rPr>
      <w:fldChar w:fldCharType="begin"/>
    </w:r>
    <w:r>
      <w:rPr>
        <w:b/>
        <w:color w:val="000000"/>
        <w:sz w:val="20"/>
        <w:szCs w:val="20"/>
      </w:rPr>
      <w:instrText>NUMPAGES</w:instrText>
    </w:r>
    <w:r>
      <w:rPr>
        <w:b/>
        <w:color w:val="000000"/>
        <w:sz w:val="20"/>
        <w:szCs w:val="20"/>
      </w:rPr>
      <w:fldChar w:fldCharType="separate"/>
    </w:r>
    <w:r w:rsidR="005703F9">
      <w:rPr>
        <w:b/>
        <w:noProof/>
        <w:color w:val="000000"/>
        <w:sz w:val="20"/>
        <w:szCs w:val="20"/>
      </w:rPr>
      <w:t>24</w:t>
    </w:r>
    <w:r>
      <w:rPr>
        <w:b/>
        <w:color w:val="000000"/>
        <w:sz w:val="20"/>
        <w:szCs w:val="20"/>
      </w:rPr>
      <w:fldChar w:fldCharType="end"/>
    </w:r>
  </w:p>
  <w:p w:rsidR="00A90CAB" w:rsidRDefault="00A90CAB">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CAB" w:rsidRDefault="005608BE">
    <w:pPr>
      <w:pBdr>
        <w:top w:val="nil"/>
        <w:left w:val="nil"/>
        <w:bottom w:val="nil"/>
        <w:right w:val="nil"/>
        <w:between w:val="nil"/>
      </w:pBdr>
      <w:tabs>
        <w:tab w:val="center" w:pos="4252"/>
        <w:tab w:val="right" w:pos="8504"/>
      </w:tabs>
      <w:jc w:val="right"/>
      <w:rPr>
        <w:color w:val="000000"/>
        <w:sz w:val="20"/>
        <w:szCs w:val="20"/>
      </w:rPr>
    </w:pPr>
    <w:r>
      <w:rPr>
        <w:b/>
        <w:color w:val="000000"/>
        <w:sz w:val="20"/>
        <w:szCs w:val="20"/>
      </w:rPr>
      <w:t xml:space="preserve">Página </w:t>
    </w:r>
    <w:r>
      <w:rPr>
        <w:b/>
        <w:color w:val="000000"/>
        <w:sz w:val="20"/>
        <w:szCs w:val="20"/>
      </w:rPr>
      <w:fldChar w:fldCharType="begin"/>
    </w:r>
    <w:r>
      <w:rPr>
        <w:b/>
        <w:color w:val="000000"/>
        <w:sz w:val="20"/>
        <w:szCs w:val="20"/>
      </w:rPr>
      <w:instrText>PAGE</w:instrText>
    </w:r>
    <w:r>
      <w:rPr>
        <w:b/>
        <w:color w:val="000000"/>
        <w:sz w:val="20"/>
        <w:szCs w:val="20"/>
      </w:rPr>
      <w:fldChar w:fldCharType="separate"/>
    </w:r>
    <w:r w:rsidR="005703F9">
      <w:rPr>
        <w:b/>
        <w:noProof/>
        <w:color w:val="000000"/>
        <w:sz w:val="20"/>
        <w:szCs w:val="20"/>
      </w:rPr>
      <w:t>1</w:t>
    </w:r>
    <w:r>
      <w:rPr>
        <w:b/>
        <w:color w:val="000000"/>
        <w:sz w:val="20"/>
        <w:szCs w:val="20"/>
      </w:rPr>
      <w:fldChar w:fldCharType="end"/>
    </w:r>
    <w:r>
      <w:rPr>
        <w:color w:val="000000"/>
        <w:sz w:val="20"/>
        <w:szCs w:val="20"/>
      </w:rPr>
      <w:t xml:space="preserve"> de </w:t>
    </w:r>
    <w:r>
      <w:rPr>
        <w:b/>
        <w:color w:val="000000"/>
        <w:sz w:val="20"/>
        <w:szCs w:val="20"/>
      </w:rPr>
      <w:fldChar w:fldCharType="begin"/>
    </w:r>
    <w:r>
      <w:rPr>
        <w:b/>
        <w:color w:val="000000"/>
        <w:sz w:val="20"/>
        <w:szCs w:val="20"/>
      </w:rPr>
      <w:instrText>NUMPAGES</w:instrText>
    </w:r>
    <w:r>
      <w:rPr>
        <w:b/>
        <w:color w:val="000000"/>
        <w:sz w:val="20"/>
        <w:szCs w:val="20"/>
      </w:rPr>
      <w:fldChar w:fldCharType="separate"/>
    </w:r>
    <w:r w:rsidR="005703F9">
      <w:rPr>
        <w:b/>
        <w:noProof/>
        <w:color w:val="000000"/>
        <w:sz w:val="20"/>
        <w:szCs w:val="20"/>
      </w:rPr>
      <w:t>24</w:t>
    </w:r>
    <w:r>
      <w:rPr>
        <w:b/>
        <w:color w:val="000000"/>
        <w:sz w:val="20"/>
        <w:szCs w:val="20"/>
      </w:rPr>
      <w:fldChar w:fldCharType="end"/>
    </w:r>
  </w:p>
  <w:p w:rsidR="00A90CAB" w:rsidRDefault="00A90CAB">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43FA" w:rsidRDefault="004643FA">
      <w:r>
        <w:separator/>
      </w:r>
    </w:p>
  </w:footnote>
  <w:footnote w:type="continuationSeparator" w:id="0">
    <w:p w:rsidR="004643FA" w:rsidRDefault="004643FA">
      <w:r>
        <w:continuationSeparator/>
      </w:r>
    </w:p>
  </w:footnote>
  <w:footnote w:id="1">
    <w:p w:rsidR="00A90CAB" w:rsidRDefault="005608BE">
      <w:pPr>
        <w:pBdr>
          <w:top w:val="nil"/>
          <w:left w:val="nil"/>
          <w:bottom w:val="nil"/>
          <w:right w:val="nil"/>
          <w:between w:val="nil"/>
        </w:pBdr>
        <w:ind w:left="720" w:hanging="720"/>
        <w:jc w:val="both"/>
        <w:rPr>
          <w:color w:val="000000"/>
          <w:sz w:val="16"/>
          <w:szCs w:val="16"/>
        </w:rPr>
      </w:pPr>
      <w:r>
        <w:rPr>
          <w:vertAlign w:val="superscript"/>
        </w:rPr>
        <w:footnoteRef/>
      </w:r>
      <w:r>
        <w:rPr>
          <w:color w:val="000000"/>
          <w:sz w:val="16"/>
          <w:szCs w:val="16"/>
        </w:rPr>
        <w:t xml:space="preserve"> “</w:t>
      </w:r>
      <w:r>
        <w:rPr>
          <w:b/>
          <w:color w:val="000000"/>
          <w:sz w:val="16"/>
          <w:szCs w:val="16"/>
        </w:rPr>
        <w:t>Artículo 185.</w:t>
      </w:r>
      <w:r>
        <w:rPr>
          <w:color w:val="000000"/>
          <w:sz w:val="16"/>
          <w:szCs w:val="16"/>
        </w:rPr>
        <w:t xml:space="preserve"> El Instituto resolverá el recurso de revisión conforme a lo siguiente: (…)</w:t>
      </w:r>
    </w:p>
    <w:p w:rsidR="00A90CAB" w:rsidRDefault="005608BE">
      <w:pPr>
        <w:pBdr>
          <w:top w:val="nil"/>
          <w:left w:val="nil"/>
          <w:bottom w:val="nil"/>
          <w:right w:val="nil"/>
          <w:between w:val="nil"/>
        </w:pBdr>
        <w:jc w:val="both"/>
        <w:rPr>
          <w:color w:val="000000"/>
          <w:sz w:val="16"/>
          <w:szCs w:val="16"/>
        </w:rPr>
      </w:pPr>
      <w:r>
        <w:rPr>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CAB" w:rsidRDefault="005608BE">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simplePos x="0" y="0"/>
          <wp:positionH relativeFrom="column">
            <wp:posOffset>-1099818</wp:posOffset>
          </wp:positionH>
          <wp:positionV relativeFrom="paragraph">
            <wp:posOffset>-370000</wp:posOffset>
          </wp:positionV>
          <wp:extent cx="7809865" cy="10165715"/>
          <wp:effectExtent l="0" t="0" r="0" b="0"/>
          <wp:wrapNone/>
          <wp:docPr id="3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0"/>
      <w:tblW w:w="5953" w:type="dxa"/>
      <w:tblInd w:w="3261" w:type="dxa"/>
      <w:tblLayout w:type="fixed"/>
      <w:tblLook w:val="0400" w:firstRow="0" w:lastRow="0" w:firstColumn="0" w:lastColumn="0" w:noHBand="0" w:noVBand="1"/>
    </w:tblPr>
    <w:tblGrid>
      <w:gridCol w:w="2489"/>
      <w:gridCol w:w="3464"/>
    </w:tblGrid>
    <w:tr w:rsidR="00A90CAB">
      <w:tc>
        <w:tcPr>
          <w:tcW w:w="2489" w:type="dxa"/>
          <w:shd w:val="clear" w:color="auto" w:fill="auto"/>
        </w:tcPr>
        <w:p w:rsidR="00A90CAB" w:rsidRDefault="005608BE">
          <w:pPr>
            <w:rPr>
              <w:b/>
              <w:sz w:val="22"/>
              <w:szCs w:val="22"/>
            </w:rPr>
          </w:pPr>
          <w:r>
            <w:rPr>
              <w:b/>
              <w:sz w:val="22"/>
              <w:szCs w:val="22"/>
            </w:rPr>
            <w:t>Recurso de Revisión:</w:t>
          </w:r>
        </w:p>
      </w:tc>
      <w:tc>
        <w:tcPr>
          <w:tcW w:w="3464" w:type="dxa"/>
          <w:shd w:val="clear" w:color="auto" w:fill="auto"/>
          <w:vAlign w:val="center"/>
        </w:tcPr>
        <w:p w:rsidR="00A90CAB" w:rsidRDefault="005608BE">
          <w:pPr>
            <w:ind w:right="175"/>
            <w:jc w:val="both"/>
            <w:rPr>
              <w:b/>
              <w:sz w:val="22"/>
              <w:szCs w:val="22"/>
            </w:rPr>
          </w:pPr>
          <w:r>
            <w:rPr>
              <w:b/>
              <w:sz w:val="22"/>
              <w:szCs w:val="22"/>
            </w:rPr>
            <w:t>00749/INFOEM/IP/RR/2022</w:t>
          </w:r>
        </w:p>
      </w:tc>
    </w:tr>
    <w:tr w:rsidR="00A90CAB">
      <w:trPr>
        <w:trHeight w:val="228"/>
      </w:trPr>
      <w:tc>
        <w:tcPr>
          <w:tcW w:w="2489" w:type="dxa"/>
          <w:shd w:val="clear" w:color="auto" w:fill="auto"/>
          <w:vAlign w:val="center"/>
        </w:tcPr>
        <w:p w:rsidR="00A90CAB" w:rsidRDefault="005608BE">
          <w:pPr>
            <w:rPr>
              <w:b/>
              <w:sz w:val="22"/>
              <w:szCs w:val="22"/>
            </w:rPr>
          </w:pPr>
          <w:r>
            <w:rPr>
              <w:b/>
              <w:sz w:val="22"/>
              <w:szCs w:val="22"/>
            </w:rPr>
            <w:t>Sujeto Obligado:</w:t>
          </w:r>
        </w:p>
      </w:tc>
      <w:tc>
        <w:tcPr>
          <w:tcW w:w="3464" w:type="dxa"/>
          <w:shd w:val="clear" w:color="auto" w:fill="auto"/>
          <w:vAlign w:val="center"/>
        </w:tcPr>
        <w:p w:rsidR="00A90CAB" w:rsidRDefault="005608BE">
          <w:pPr>
            <w:ind w:left="-45" w:right="176"/>
            <w:jc w:val="both"/>
            <w:rPr>
              <w:b/>
              <w:sz w:val="22"/>
              <w:szCs w:val="22"/>
            </w:rPr>
          </w:pPr>
          <w:r>
            <w:rPr>
              <w:b/>
              <w:sz w:val="22"/>
              <w:szCs w:val="22"/>
            </w:rPr>
            <w:t>Ayuntamiento de Tepetlaoxtoc</w:t>
          </w:r>
        </w:p>
      </w:tc>
    </w:tr>
    <w:tr w:rsidR="00A90CAB">
      <w:tc>
        <w:tcPr>
          <w:tcW w:w="2489" w:type="dxa"/>
          <w:shd w:val="clear" w:color="auto" w:fill="auto"/>
          <w:vAlign w:val="center"/>
        </w:tcPr>
        <w:p w:rsidR="00A90CAB" w:rsidRDefault="005608BE">
          <w:pPr>
            <w:ind w:right="-108"/>
            <w:rPr>
              <w:b/>
              <w:sz w:val="22"/>
              <w:szCs w:val="22"/>
            </w:rPr>
          </w:pPr>
          <w:r>
            <w:rPr>
              <w:b/>
              <w:sz w:val="22"/>
              <w:szCs w:val="22"/>
            </w:rPr>
            <w:t>Comisionada ponente:</w:t>
          </w:r>
        </w:p>
      </w:tc>
      <w:tc>
        <w:tcPr>
          <w:tcW w:w="3464" w:type="dxa"/>
          <w:shd w:val="clear" w:color="auto" w:fill="auto"/>
          <w:vAlign w:val="center"/>
        </w:tcPr>
        <w:p w:rsidR="00A90CAB" w:rsidRDefault="005608BE">
          <w:pPr>
            <w:ind w:right="175"/>
            <w:jc w:val="both"/>
            <w:rPr>
              <w:b/>
              <w:sz w:val="22"/>
              <w:szCs w:val="22"/>
            </w:rPr>
          </w:pPr>
          <w:r>
            <w:rPr>
              <w:b/>
              <w:sz w:val="22"/>
              <w:szCs w:val="22"/>
            </w:rPr>
            <w:t>Guadalupe Ramírez Peña</w:t>
          </w:r>
        </w:p>
      </w:tc>
    </w:tr>
  </w:tbl>
  <w:p w:rsidR="00A90CAB" w:rsidRDefault="005608BE">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CAB" w:rsidRDefault="00A90CAB">
    <w:pPr>
      <w:widowControl w:val="0"/>
      <w:pBdr>
        <w:top w:val="nil"/>
        <w:left w:val="nil"/>
        <w:bottom w:val="nil"/>
        <w:right w:val="nil"/>
        <w:between w:val="nil"/>
      </w:pBdr>
      <w:spacing w:line="276" w:lineRule="auto"/>
      <w:rPr>
        <w:color w:val="000000"/>
        <w:sz w:val="16"/>
        <w:szCs w:val="16"/>
      </w:rPr>
    </w:pPr>
    <w:bookmarkStart w:id="13" w:name="_heading=h.35nkun2" w:colFirst="0" w:colLast="0"/>
    <w:bookmarkEnd w:id="13"/>
  </w:p>
  <w:tbl>
    <w:tblPr>
      <w:tblStyle w:val="a"/>
      <w:tblW w:w="5670" w:type="dxa"/>
      <w:tblInd w:w="3261" w:type="dxa"/>
      <w:tblLayout w:type="fixed"/>
      <w:tblLook w:val="0400" w:firstRow="0" w:lastRow="0" w:firstColumn="0" w:lastColumn="0" w:noHBand="0" w:noVBand="1"/>
    </w:tblPr>
    <w:tblGrid>
      <w:gridCol w:w="2551"/>
      <w:gridCol w:w="3119"/>
    </w:tblGrid>
    <w:tr w:rsidR="00A90CAB">
      <w:tc>
        <w:tcPr>
          <w:tcW w:w="2551" w:type="dxa"/>
          <w:shd w:val="clear" w:color="auto" w:fill="auto"/>
        </w:tcPr>
        <w:p w:rsidR="00A90CAB" w:rsidRDefault="005608BE">
          <w:pPr>
            <w:rPr>
              <w:b/>
              <w:sz w:val="22"/>
              <w:szCs w:val="22"/>
            </w:rPr>
          </w:pPr>
          <w:bookmarkStart w:id="14" w:name="_heading=h.1ksv4uv" w:colFirst="0" w:colLast="0"/>
          <w:bookmarkEnd w:id="14"/>
          <w:r>
            <w:rPr>
              <w:b/>
              <w:sz w:val="22"/>
              <w:szCs w:val="22"/>
            </w:rPr>
            <w:t>Recurso de Revisión:</w:t>
          </w:r>
        </w:p>
      </w:tc>
      <w:tc>
        <w:tcPr>
          <w:tcW w:w="3119" w:type="dxa"/>
          <w:shd w:val="clear" w:color="auto" w:fill="auto"/>
          <w:vAlign w:val="center"/>
        </w:tcPr>
        <w:p w:rsidR="00A90CAB" w:rsidRDefault="005608BE">
          <w:pPr>
            <w:tabs>
              <w:tab w:val="left" w:pos="3153"/>
            </w:tabs>
            <w:ind w:left="-45"/>
            <w:jc w:val="both"/>
            <w:rPr>
              <w:b/>
              <w:sz w:val="22"/>
              <w:szCs w:val="22"/>
            </w:rPr>
          </w:pPr>
          <w:r>
            <w:rPr>
              <w:b/>
              <w:sz w:val="22"/>
              <w:szCs w:val="22"/>
            </w:rPr>
            <w:t>00749/INFOEM/IP/RR/2022</w:t>
          </w:r>
        </w:p>
      </w:tc>
    </w:tr>
    <w:tr w:rsidR="00A90CAB">
      <w:trPr>
        <w:trHeight w:val="80"/>
      </w:trPr>
      <w:tc>
        <w:tcPr>
          <w:tcW w:w="2551" w:type="dxa"/>
          <w:shd w:val="clear" w:color="auto" w:fill="auto"/>
          <w:vAlign w:val="center"/>
        </w:tcPr>
        <w:p w:rsidR="00A90CAB" w:rsidRDefault="005608BE">
          <w:pPr>
            <w:rPr>
              <w:b/>
              <w:sz w:val="22"/>
              <w:szCs w:val="22"/>
            </w:rPr>
          </w:pPr>
          <w:r>
            <w:rPr>
              <w:b/>
              <w:sz w:val="22"/>
              <w:szCs w:val="22"/>
            </w:rPr>
            <w:t>Recurrente:</w:t>
          </w:r>
        </w:p>
        <w:p w:rsidR="00A90CAB" w:rsidRDefault="005608BE">
          <w:pPr>
            <w:rPr>
              <w:b/>
              <w:sz w:val="22"/>
              <w:szCs w:val="22"/>
            </w:rPr>
          </w:pPr>
          <w:r>
            <w:rPr>
              <w:b/>
              <w:sz w:val="22"/>
              <w:szCs w:val="22"/>
            </w:rPr>
            <w:t>Sujeto Obligado:</w:t>
          </w:r>
        </w:p>
      </w:tc>
      <w:tc>
        <w:tcPr>
          <w:tcW w:w="3119" w:type="dxa"/>
          <w:shd w:val="clear" w:color="auto" w:fill="auto"/>
          <w:vAlign w:val="center"/>
        </w:tcPr>
        <w:p w:rsidR="00A90CAB" w:rsidRDefault="005608BE">
          <w:pPr>
            <w:jc w:val="both"/>
            <w:rPr>
              <w:b/>
              <w:sz w:val="22"/>
              <w:szCs w:val="22"/>
            </w:rPr>
          </w:pPr>
          <w:r>
            <w:rPr>
              <w:noProof/>
              <w:lang w:val="es-MX"/>
            </w:rPr>
            <w:drawing>
              <wp:anchor distT="0" distB="0" distL="0" distR="0" simplePos="0" relativeHeight="251659264" behindDoc="1" locked="0" layoutInCell="1" hidden="0" allowOverlap="1">
                <wp:simplePos x="0" y="0"/>
                <wp:positionH relativeFrom="column">
                  <wp:posOffset>-4872989</wp:posOffset>
                </wp:positionH>
                <wp:positionV relativeFrom="paragraph">
                  <wp:posOffset>-549909</wp:posOffset>
                </wp:positionV>
                <wp:extent cx="7809865" cy="10165715"/>
                <wp:effectExtent l="0" t="0" r="0" b="0"/>
                <wp:wrapNone/>
                <wp:docPr id="3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p w:rsidR="00A90CAB" w:rsidRDefault="005608BE">
          <w:pPr>
            <w:jc w:val="both"/>
            <w:rPr>
              <w:b/>
              <w:sz w:val="20"/>
              <w:szCs w:val="20"/>
            </w:rPr>
          </w:pPr>
          <w:r>
            <w:rPr>
              <w:b/>
              <w:sz w:val="20"/>
              <w:szCs w:val="20"/>
            </w:rPr>
            <w:t>Ayuntamiento de Tepetlaoxtoc</w:t>
          </w:r>
        </w:p>
      </w:tc>
    </w:tr>
    <w:tr w:rsidR="00A90CAB">
      <w:trPr>
        <w:trHeight w:val="228"/>
      </w:trPr>
      <w:tc>
        <w:tcPr>
          <w:tcW w:w="2551" w:type="dxa"/>
          <w:shd w:val="clear" w:color="auto" w:fill="auto"/>
          <w:vAlign w:val="center"/>
        </w:tcPr>
        <w:p w:rsidR="00A90CAB" w:rsidRDefault="005608BE">
          <w:pPr>
            <w:rPr>
              <w:b/>
              <w:sz w:val="22"/>
              <w:szCs w:val="22"/>
            </w:rPr>
          </w:pPr>
          <w:r>
            <w:rPr>
              <w:b/>
              <w:sz w:val="22"/>
              <w:szCs w:val="22"/>
            </w:rPr>
            <w:t>Comisionada ponente:</w:t>
          </w:r>
        </w:p>
      </w:tc>
      <w:tc>
        <w:tcPr>
          <w:tcW w:w="3119" w:type="dxa"/>
          <w:shd w:val="clear" w:color="auto" w:fill="auto"/>
          <w:vAlign w:val="center"/>
        </w:tcPr>
        <w:p w:rsidR="00A90CAB" w:rsidRDefault="005608BE">
          <w:pPr>
            <w:ind w:left="-45" w:right="176"/>
            <w:jc w:val="both"/>
            <w:rPr>
              <w:b/>
              <w:sz w:val="22"/>
              <w:szCs w:val="22"/>
            </w:rPr>
          </w:pPr>
          <w:r>
            <w:rPr>
              <w:b/>
              <w:sz w:val="22"/>
              <w:szCs w:val="22"/>
            </w:rPr>
            <w:t>Guadalupe Ramírez Peña</w:t>
          </w:r>
        </w:p>
      </w:tc>
    </w:tr>
    <w:tr w:rsidR="00A90CAB">
      <w:tc>
        <w:tcPr>
          <w:tcW w:w="2551" w:type="dxa"/>
          <w:shd w:val="clear" w:color="auto" w:fill="auto"/>
        </w:tcPr>
        <w:p w:rsidR="00A90CAB" w:rsidRDefault="00A90CAB">
          <w:pPr>
            <w:rPr>
              <w:b/>
              <w:sz w:val="22"/>
              <w:szCs w:val="22"/>
            </w:rPr>
          </w:pPr>
        </w:p>
      </w:tc>
      <w:tc>
        <w:tcPr>
          <w:tcW w:w="3119" w:type="dxa"/>
          <w:shd w:val="clear" w:color="auto" w:fill="auto"/>
          <w:vAlign w:val="center"/>
        </w:tcPr>
        <w:p w:rsidR="00A90CAB" w:rsidRDefault="00A90CAB">
          <w:pPr>
            <w:ind w:left="-45" w:right="-533"/>
            <w:jc w:val="both"/>
            <w:rPr>
              <w:b/>
              <w:sz w:val="22"/>
              <w:szCs w:val="22"/>
            </w:rPr>
          </w:pPr>
        </w:p>
      </w:tc>
    </w:tr>
  </w:tbl>
  <w:p w:rsidR="00A90CAB" w:rsidRDefault="00A90CAB">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450EE5"/>
    <w:multiLevelType w:val="multilevel"/>
    <w:tmpl w:val="255A69EC"/>
    <w:lvl w:ilvl="0">
      <w:start w:val="1"/>
      <w:numFmt w:val="decimal"/>
      <w:pStyle w:val="Listaconvietas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2A73B06"/>
    <w:multiLevelType w:val="multilevel"/>
    <w:tmpl w:val="1554B45A"/>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CAB"/>
    <w:rsid w:val="004643FA"/>
    <w:rsid w:val="005608BE"/>
    <w:rsid w:val="005703F9"/>
    <w:rsid w:val="00A90CAB"/>
    <w:rsid w:val="00C959A3"/>
    <w:rsid w:val="00E1611A"/>
    <w:rsid w:val="00FB4C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181B2A-CC5A-41F2-AD8C-72802DF77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3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6">
    <w:name w:val="6"/>
    <w:basedOn w:val="TableNormal1"/>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5">
    <w:name w:val="5"/>
    <w:basedOn w:val="TableNormal1"/>
    <w:tblPr>
      <w:tblStyleRowBandSize w:val="1"/>
      <w:tblStyleColBandSize w:val="1"/>
      <w:tblCellMar>
        <w:left w:w="115" w:type="dxa"/>
        <w:right w:w="115" w:type="dxa"/>
      </w:tblCellMar>
    </w:tblPr>
  </w:style>
  <w:style w:type="table" w:customStyle="1" w:styleId="4">
    <w:name w:val="4"/>
    <w:basedOn w:val="TableNormal1"/>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5417B2"/>
    <w:rPr>
      <w:color w:val="605E5C"/>
      <w:shd w:val="clear" w:color="auto" w:fill="E1DFDD"/>
    </w:rPr>
  </w:style>
  <w:style w:type="table" w:customStyle="1" w:styleId="3">
    <w:name w:val="3"/>
    <w:basedOn w:val="TableNormal1"/>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
    <w:name w:val="2"/>
    <w:basedOn w:val="TableNormal1"/>
    <w:tblPr>
      <w:tblStyleRowBandSize w:val="1"/>
      <w:tblStyleColBandSize w:val="1"/>
      <w:tblCellMar>
        <w:left w:w="115" w:type="dxa"/>
        <w:right w:w="115" w:type="dxa"/>
      </w:tblCellMar>
    </w:tblPr>
  </w:style>
  <w:style w:type="table" w:customStyle="1" w:styleId="1">
    <w:name w:val="1"/>
    <w:basedOn w:val="TableNormal1"/>
    <w:tblPr>
      <w:tblStyleRowBandSize w:val="1"/>
      <w:tblStyleColBandSize w:val="1"/>
      <w:tblCellMar>
        <w:left w:w="115" w:type="dxa"/>
        <w:right w:w="115" w:type="dxa"/>
      </w:tblCellMar>
    </w:tbl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iL8P4RlfgcGSi1yAA6f7YNMHZw==">AMUW2mW8LguQ/J0iKxonmVZEKUuUa0LCUVv55MfCIMjWZIU/p5NlVWXHihUeeuEmeWCh/ZE0+JFdyNmk/9AUDYoQNfinYBv3UprenBMdhcJ4wrQsvArVd8eIblPFHQtRo+336s2RrGZVRdKPXBd+O7Nab6A233pGvuh+IO8imQ0iI47k15QF8jkVDzE0NL86V0HXPEpTGyVU5QAjglHAkcSL5X99VwaoMip0jvTLG/6X6K4496qqHp5iH/gUdd7qtwTxmmMscivoeJiTIUwIctLJpzgmX2jGsCySkc61QLdV4NuvGq1Wwu+0mOw7Ce/2u3ACAev/ed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5722</Words>
  <Characters>31474</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2022-03-31T22:51:00Z</cp:lastPrinted>
  <dcterms:created xsi:type="dcterms:W3CDTF">2022-04-05T22:42:00Z</dcterms:created>
  <dcterms:modified xsi:type="dcterms:W3CDTF">2022-04-05T22:42:00Z</dcterms:modified>
</cp:coreProperties>
</file>