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2E06B" w14:textId="77777777" w:rsidR="003104F3" w:rsidRPr="00563A62" w:rsidRDefault="00563A62">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563A6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nueve de febrero de dos mil veintitrés. </w:t>
      </w:r>
    </w:p>
    <w:p w14:paraId="59A82B8E" w14:textId="65A1A606"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VISTO</w:t>
      </w:r>
      <w:r w:rsidRPr="00563A62">
        <w:rPr>
          <w:rFonts w:ascii="Palatino Linotype" w:eastAsia="Palatino Linotype" w:hAnsi="Palatino Linotype" w:cs="Palatino Linotype"/>
        </w:rPr>
        <w:t xml:space="preserve"> el expediente formado con motivo del recurso de revisión </w:t>
      </w:r>
      <w:r w:rsidRPr="00563A62">
        <w:rPr>
          <w:rFonts w:ascii="Palatino Linotype" w:eastAsia="Palatino Linotype" w:hAnsi="Palatino Linotype" w:cs="Palatino Linotype"/>
          <w:b/>
        </w:rPr>
        <w:t>13189/INFOEM/IP/RR/2022</w:t>
      </w:r>
      <w:r w:rsidRPr="00563A62">
        <w:rPr>
          <w:rFonts w:ascii="Palatino Linotype" w:eastAsia="Palatino Linotype" w:hAnsi="Palatino Linotype" w:cs="Palatino Linotype"/>
        </w:rPr>
        <w:t xml:space="preserve">, interpuesto por </w:t>
      </w:r>
      <w:r w:rsidR="00367BD0">
        <w:rPr>
          <w:rFonts w:ascii="Palatino Linotype" w:eastAsia="Palatino Linotype" w:hAnsi="Palatino Linotype" w:cs="Palatino Linotype"/>
          <w:b/>
        </w:rPr>
        <w:t xml:space="preserve">XXXX XXXXXXXXX XXXXXXX </w:t>
      </w:r>
      <w:bookmarkStart w:id="1" w:name="_GoBack"/>
      <w:bookmarkEnd w:id="1"/>
      <w:r w:rsidRPr="00563A62">
        <w:rPr>
          <w:rFonts w:ascii="Palatino Linotype" w:eastAsia="Palatino Linotype" w:hAnsi="Palatino Linotype" w:cs="Palatino Linotype"/>
        </w:rPr>
        <w:t>quien en lo sucesivo</w:t>
      </w:r>
      <w:r w:rsidRPr="00563A62">
        <w:rPr>
          <w:rFonts w:ascii="Palatino Linotype" w:eastAsia="Palatino Linotype" w:hAnsi="Palatino Linotype" w:cs="Palatino Linotype"/>
          <w:b/>
        </w:rPr>
        <w:t xml:space="preserve"> </w:t>
      </w:r>
      <w:r w:rsidRPr="00563A62">
        <w:rPr>
          <w:rFonts w:ascii="Palatino Linotype" w:eastAsia="Palatino Linotype" w:hAnsi="Palatino Linotype" w:cs="Palatino Linotype"/>
        </w:rPr>
        <w:t xml:space="preserve">será identificado en su calidad de </w:t>
      </w:r>
      <w:r w:rsidRPr="00563A62">
        <w:rPr>
          <w:rFonts w:ascii="Palatino Linotype" w:eastAsia="Palatino Linotype" w:hAnsi="Palatino Linotype" w:cs="Palatino Linotype"/>
          <w:b/>
        </w:rPr>
        <w:t>Recurrente,</w:t>
      </w:r>
      <w:r w:rsidRPr="00563A62">
        <w:rPr>
          <w:rFonts w:ascii="Palatino Linotype" w:eastAsia="Palatino Linotype" w:hAnsi="Palatino Linotype" w:cs="Palatino Linotype"/>
        </w:rPr>
        <w:t xml:space="preserve"> en contra de la respuesta de la </w:t>
      </w:r>
      <w:r w:rsidRPr="00563A62">
        <w:rPr>
          <w:rFonts w:ascii="Palatino Linotype" w:eastAsia="Palatino Linotype" w:hAnsi="Palatino Linotype" w:cs="Palatino Linotype"/>
          <w:b/>
        </w:rPr>
        <w:t xml:space="preserve">Secretaría del Trabajo, </w:t>
      </w:r>
      <w:r w:rsidRPr="00563A62">
        <w:rPr>
          <w:rFonts w:ascii="Palatino Linotype" w:eastAsia="Palatino Linotype" w:hAnsi="Palatino Linotype" w:cs="Palatino Linotype"/>
        </w:rPr>
        <w:t xml:space="preserve">se procede a dictar la presente resolución con base en los siguientes: </w:t>
      </w:r>
    </w:p>
    <w:p w14:paraId="239BD9C1" w14:textId="77777777" w:rsidR="003104F3" w:rsidRPr="00563A62" w:rsidRDefault="00563A62">
      <w:pPr>
        <w:spacing w:before="240" w:after="240" w:line="360" w:lineRule="auto"/>
        <w:jc w:val="center"/>
        <w:rPr>
          <w:rFonts w:ascii="Palatino Linotype" w:eastAsia="Palatino Linotype" w:hAnsi="Palatino Linotype" w:cs="Palatino Linotype"/>
          <w:b/>
          <w:sz w:val="28"/>
          <w:szCs w:val="28"/>
        </w:rPr>
      </w:pPr>
      <w:bookmarkStart w:id="2" w:name="_heading=h.3znysh7" w:colFirst="0" w:colLast="0"/>
      <w:bookmarkEnd w:id="2"/>
      <w:r w:rsidRPr="00563A62">
        <w:rPr>
          <w:rFonts w:ascii="Palatino Linotype" w:eastAsia="Palatino Linotype" w:hAnsi="Palatino Linotype" w:cs="Palatino Linotype"/>
          <w:b/>
        </w:rPr>
        <w:t>I. A N T E C E D E N T E S</w:t>
      </w:r>
    </w:p>
    <w:p w14:paraId="2CFD7B8F"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1. Solicitud de acceso a la información.</w:t>
      </w:r>
      <w:r w:rsidRPr="00563A62">
        <w:rPr>
          <w:rFonts w:ascii="Palatino Linotype" w:eastAsia="Palatino Linotype" w:hAnsi="Palatino Linotype" w:cs="Palatino Linotype"/>
        </w:rPr>
        <w:t xml:space="preserve"> El </w:t>
      </w:r>
      <w:r w:rsidRPr="00563A62">
        <w:rPr>
          <w:rFonts w:ascii="Palatino Linotype" w:eastAsia="Palatino Linotype" w:hAnsi="Palatino Linotype" w:cs="Palatino Linotype"/>
          <w:b/>
        </w:rPr>
        <w:t>quince de julio de dos mil veintidós,</w:t>
      </w:r>
      <w:r w:rsidRPr="00563A62">
        <w:rPr>
          <w:rFonts w:ascii="Palatino Linotype" w:eastAsia="Palatino Linotype" w:hAnsi="Palatino Linotype" w:cs="Palatino Linotype"/>
        </w:rPr>
        <w:t xml:space="preserve"> el </w:t>
      </w:r>
      <w:r w:rsidRPr="00563A62">
        <w:rPr>
          <w:rFonts w:ascii="Palatino Linotype" w:eastAsia="Palatino Linotype" w:hAnsi="Palatino Linotype" w:cs="Palatino Linotype"/>
          <w:b/>
        </w:rPr>
        <w:t xml:space="preserve">Recurrente </w:t>
      </w:r>
      <w:r w:rsidRPr="00563A62">
        <w:rPr>
          <w:rFonts w:ascii="Palatino Linotype" w:eastAsia="Palatino Linotype" w:hAnsi="Palatino Linotype" w:cs="Palatino Linotype"/>
        </w:rPr>
        <w:t>presentó a través del Sistema de Acceso a la Información Mexiquense (</w:t>
      </w:r>
      <w:r w:rsidRPr="00563A62">
        <w:rPr>
          <w:rFonts w:ascii="Palatino Linotype" w:eastAsia="Palatino Linotype" w:hAnsi="Palatino Linotype" w:cs="Palatino Linotype"/>
          <w:b/>
        </w:rPr>
        <w:t>SAIMEX),</w:t>
      </w:r>
      <w:r w:rsidRPr="00563A62">
        <w:rPr>
          <w:rFonts w:ascii="Palatino Linotype" w:eastAsia="Palatino Linotype" w:hAnsi="Palatino Linotype" w:cs="Palatino Linotype"/>
        </w:rPr>
        <w:t xml:space="preserve"> la solicitud de acceso a la información pública registrada con el número </w:t>
      </w:r>
      <w:r w:rsidRPr="00563A62">
        <w:rPr>
          <w:rFonts w:ascii="Palatino Linotype" w:eastAsia="Palatino Linotype" w:hAnsi="Palatino Linotype" w:cs="Palatino Linotype"/>
          <w:b/>
        </w:rPr>
        <w:t xml:space="preserve">00065/ST/IP/2022, </w:t>
      </w:r>
      <w:r w:rsidRPr="00563A62">
        <w:rPr>
          <w:rFonts w:ascii="Palatino Linotype" w:eastAsia="Palatino Linotype" w:hAnsi="Palatino Linotype" w:cs="Palatino Linotype"/>
        </w:rPr>
        <w:t xml:space="preserve">mediante la cual requirió la información siguiente: </w:t>
      </w:r>
    </w:p>
    <w:p w14:paraId="1379EA81"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bookmarkStart w:id="3" w:name="_heading=h.gjdgxs" w:colFirst="0" w:colLast="0"/>
      <w:bookmarkEnd w:id="3"/>
      <w:r w:rsidRPr="00563A62">
        <w:rPr>
          <w:rFonts w:ascii="Palatino Linotype" w:eastAsia="Palatino Linotype" w:hAnsi="Palatino Linotype" w:cs="Palatino Linotype"/>
          <w:i/>
          <w:sz w:val="22"/>
          <w:szCs w:val="22"/>
        </w:rPr>
        <w:t>“solicito un listado donde conste nombre, grado máximo de estudios, sueldo neto al mes, fecha de ingreso y categoría o puesto de todos los que laboran en la secretaría del trabajo.” (Sic)</w:t>
      </w:r>
    </w:p>
    <w:p w14:paraId="47260A44"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Modalidad de Entrega:</w:t>
      </w:r>
      <w:r w:rsidRPr="00563A62">
        <w:rPr>
          <w:rFonts w:ascii="Palatino Linotype" w:eastAsia="Palatino Linotype" w:hAnsi="Palatino Linotype" w:cs="Palatino Linotype"/>
        </w:rPr>
        <w:t xml:space="preserve"> A través del Sistema de Acceso a la Información Mexiquense (SAIMEX).</w:t>
      </w:r>
    </w:p>
    <w:p w14:paraId="19649D69"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 xml:space="preserve">2. Respuesta. </w:t>
      </w:r>
      <w:r w:rsidRPr="00563A62">
        <w:rPr>
          <w:rFonts w:ascii="Palatino Linotype" w:eastAsia="Palatino Linotype" w:hAnsi="Palatino Linotype" w:cs="Palatino Linotype"/>
        </w:rPr>
        <w:t xml:space="preserve"> El </w:t>
      </w:r>
      <w:r w:rsidRPr="00563A62">
        <w:rPr>
          <w:rFonts w:ascii="Palatino Linotype" w:eastAsia="Palatino Linotype" w:hAnsi="Palatino Linotype" w:cs="Palatino Linotype"/>
          <w:b/>
        </w:rPr>
        <w:t>cuatro de agosto de dos mil veintidós</w:t>
      </w:r>
      <w:r w:rsidRPr="00563A62">
        <w:rPr>
          <w:rFonts w:ascii="Palatino Linotype" w:eastAsia="Palatino Linotype" w:hAnsi="Palatino Linotype" w:cs="Palatino Linotype"/>
        </w:rPr>
        <w:t xml:space="preserve">, el </w:t>
      </w:r>
      <w:r w:rsidRPr="00563A62">
        <w:rPr>
          <w:rFonts w:ascii="Palatino Linotype" w:eastAsia="Palatino Linotype" w:hAnsi="Palatino Linotype" w:cs="Palatino Linotype"/>
          <w:b/>
        </w:rPr>
        <w:t>Sujeto Obligado</w:t>
      </w:r>
      <w:r w:rsidRPr="00563A62">
        <w:rPr>
          <w:rFonts w:ascii="Palatino Linotype" w:eastAsia="Palatino Linotype" w:hAnsi="Palatino Linotype" w:cs="Palatino Linotype"/>
        </w:rPr>
        <w:t xml:space="preserve"> respondió a la solicitud de información en los términos siguientes:</w:t>
      </w:r>
    </w:p>
    <w:p w14:paraId="43F77C4B"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lastRenderedPageBreak/>
        <w:t>“Con base en el Reglamento Interior y el Manual General de Organización ambos de esta Secretaría, correspondió a la Subdirección de Organización y Personal de la Coordinación Administrativa de esta Dependencia, atender su solicitud. Por lo que adjunto al presente en archivo PDF el oficio de respuesta con la información proporcionada por la servidora pública habilitada de la unidad administrativa antes mencionada</w:t>
      </w:r>
      <w:r w:rsidRPr="00563A62">
        <w:rPr>
          <w:rFonts w:ascii="Palatino Linotype" w:eastAsia="Palatino Linotype" w:hAnsi="Palatino Linotype" w:cs="Palatino Linotype"/>
          <w:b/>
          <w:i/>
          <w:sz w:val="22"/>
          <w:szCs w:val="22"/>
        </w:rPr>
        <w:t>.” (</w:t>
      </w:r>
      <w:r w:rsidRPr="00563A62">
        <w:rPr>
          <w:rFonts w:ascii="Palatino Linotype" w:eastAsia="Palatino Linotype" w:hAnsi="Palatino Linotype" w:cs="Palatino Linotype"/>
          <w:i/>
          <w:sz w:val="22"/>
          <w:szCs w:val="22"/>
        </w:rPr>
        <w:t>Sic)</w:t>
      </w:r>
    </w:p>
    <w:p w14:paraId="0868171A" w14:textId="77777777" w:rsidR="003104F3" w:rsidRPr="00563A62" w:rsidRDefault="00563A62">
      <w:pPr>
        <w:spacing w:before="240" w:after="240" w:line="360" w:lineRule="auto"/>
        <w:ind w:right="49"/>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Pronunciamiento al que  el </w:t>
      </w:r>
      <w:r w:rsidRPr="00563A62">
        <w:rPr>
          <w:rFonts w:ascii="Palatino Linotype" w:eastAsia="Palatino Linotype" w:hAnsi="Palatino Linotype" w:cs="Palatino Linotype"/>
          <w:b/>
        </w:rPr>
        <w:t xml:space="preserve">Sujeto Obligado </w:t>
      </w:r>
      <w:r w:rsidRPr="00563A62">
        <w:rPr>
          <w:rFonts w:ascii="Palatino Linotype" w:eastAsia="Palatino Linotype" w:hAnsi="Palatino Linotype" w:cs="Palatino Linotype"/>
        </w:rPr>
        <w:t xml:space="preserve">adjuntó los archivos electrónicos siguientes: </w:t>
      </w:r>
    </w:p>
    <w:p w14:paraId="1C4AE95C" w14:textId="77777777" w:rsidR="003104F3" w:rsidRPr="00563A62" w:rsidRDefault="00563A62">
      <w:pPr>
        <w:spacing w:before="240" w:after="240" w:line="360" w:lineRule="auto"/>
        <w:ind w:right="49"/>
        <w:jc w:val="both"/>
        <w:rPr>
          <w:rFonts w:ascii="Palatino Linotype" w:eastAsia="Palatino Linotype" w:hAnsi="Palatino Linotype" w:cs="Palatino Linotype"/>
        </w:rPr>
      </w:pPr>
      <w:r w:rsidRPr="00563A62">
        <w:rPr>
          <w:rFonts w:ascii="Palatino Linotype" w:eastAsia="Palatino Linotype" w:hAnsi="Palatino Linotype" w:cs="Palatino Linotype"/>
          <w:b/>
          <w:i/>
        </w:rPr>
        <w:t xml:space="preserve">Resp.SPH.00065.pdf: </w:t>
      </w:r>
      <w:r w:rsidRPr="00563A62">
        <w:rPr>
          <w:rFonts w:ascii="Palatino Linotype" w:eastAsia="Palatino Linotype" w:hAnsi="Palatino Linotype" w:cs="Palatino Linotype"/>
        </w:rPr>
        <w:t xml:space="preserve">Oficio número 20900002000100S/0500/2022 de fecha veintiocho de julio de dos mil veintidós, suscrito y signado por la Subdirección de Organización y Personal por medio del remitió las ligas electrónicas en las que se encuentra la información solicitada; así como la versión pública de la fichas curriculares de las servidores y servidores públicos de la Secretaría del Trabajo. </w:t>
      </w:r>
    </w:p>
    <w:p w14:paraId="00E728A5" w14:textId="77777777" w:rsidR="003104F3" w:rsidRPr="00563A62" w:rsidRDefault="00563A62">
      <w:pPr>
        <w:spacing w:before="240" w:after="240" w:line="360" w:lineRule="auto"/>
        <w:ind w:right="49"/>
        <w:jc w:val="both"/>
        <w:rPr>
          <w:rFonts w:ascii="Palatino Linotype" w:eastAsia="Palatino Linotype" w:hAnsi="Palatino Linotype" w:cs="Palatino Linotype"/>
          <w:i/>
        </w:rPr>
      </w:pPr>
      <w:r w:rsidRPr="00563A62">
        <w:rPr>
          <w:rFonts w:ascii="Palatino Linotype" w:eastAsia="Palatino Linotype" w:hAnsi="Palatino Linotype" w:cs="Palatino Linotype"/>
          <w:b/>
          <w:i/>
        </w:rPr>
        <w:t xml:space="preserve">Resp.00065.pdf: </w:t>
      </w:r>
      <w:r w:rsidRPr="00563A62">
        <w:rPr>
          <w:rFonts w:ascii="Palatino Linotype" w:eastAsia="Palatino Linotype" w:hAnsi="Palatino Linotype" w:cs="Palatino Linotype"/>
        </w:rPr>
        <w:t>Oficio número 20900008000000S/561/2022 de fecha cuatro de agosto de dos mil veintidós, que emitió el Titular de la Unidad de Transparencia por medio del cual informó que:  “…</w:t>
      </w:r>
      <w:r w:rsidRPr="00563A62">
        <w:rPr>
          <w:rFonts w:ascii="Palatino Linotype" w:eastAsia="Palatino Linotype" w:hAnsi="Palatino Linotype" w:cs="Palatino Linotype"/>
          <w:i/>
        </w:rPr>
        <w:t>con base en el Reglamento Interior y el Manual General de Organización, ambos de esta Secretaría, correspondió a la Subdirección de Organización y Personal de la Coordinación Administrativa de esta Dependencia, atender su solicitud. Por lo que adjunto al presente en archivo PDF el oficio de respuesta con la información proporcionada por la servidora pública habilitada de la unidad administrativa antes mencionada.”</w:t>
      </w:r>
    </w:p>
    <w:p w14:paraId="3F0EFA96" w14:textId="77777777" w:rsidR="003104F3" w:rsidRPr="00563A62" w:rsidRDefault="00563A62">
      <w:pPr>
        <w:spacing w:before="240" w:after="240" w:line="360" w:lineRule="auto"/>
        <w:ind w:right="49"/>
        <w:jc w:val="both"/>
        <w:rPr>
          <w:rFonts w:ascii="Palatino Linotype" w:eastAsia="Palatino Linotype" w:hAnsi="Palatino Linotype" w:cs="Palatino Linotype"/>
          <w:b/>
          <w:i/>
        </w:rPr>
      </w:pPr>
      <w:r w:rsidRPr="00563A62">
        <w:rPr>
          <w:rFonts w:ascii="Palatino Linotype" w:eastAsia="Palatino Linotype" w:hAnsi="Palatino Linotype" w:cs="Palatino Linotype"/>
          <w:b/>
        </w:rPr>
        <w:t xml:space="preserve">3. Interposición del recurso de revisión.  </w:t>
      </w:r>
      <w:r w:rsidRPr="00563A62">
        <w:rPr>
          <w:rFonts w:ascii="Palatino Linotype" w:eastAsia="Palatino Linotype" w:hAnsi="Palatino Linotype" w:cs="Palatino Linotype"/>
        </w:rPr>
        <w:t xml:space="preserve">El </w:t>
      </w:r>
      <w:r w:rsidRPr="00563A62">
        <w:rPr>
          <w:rFonts w:ascii="Palatino Linotype" w:eastAsia="Palatino Linotype" w:hAnsi="Palatino Linotype" w:cs="Palatino Linotype"/>
          <w:b/>
        </w:rPr>
        <w:t xml:space="preserve">nueve de agosto de dos mil veintidós </w:t>
      </w:r>
      <w:r w:rsidRPr="00563A62">
        <w:rPr>
          <w:rFonts w:ascii="Palatino Linotype" w:eastAsia="Palatino Linotype" w:hAnsi="Palatino Linotype" w:cs="Palatino Linotype"/>
        </w:rPr>
        <w:t xml:space="preserve">la </w:t>
      </w:r>
      <w:r w:rsidRPr="00563A62">
        <w:rPr>
          <w:rFonts w:ascii="Palatino Linotype" w:eastAsia="Palatino Linotype" w:hAnsi="Palatino Linotype" w:cs="Palatino Linotype"/>
          <w:b/>
        </w:rPr>
        <w:t xml:space="preserve">Recurrente </w:t>
      </w:r>
      <w:r w:rsidRPr="00563A62">
        <w:rPr>
          <w:rFonts w:ascii="Palatino Linotype" w:eastAsia="Palatino Linotype" w:hAnsi="Palatino Linotype" w:cs="Palatino Linotype"/>
        </w:rPr>
        <w:t>inconforme con la respuesta, interpuso el recurso de revisión en el que expresó lo siguiente:</w:t>
      </w:r>
    </w:p>
    <w:p w14:paraId="3CB0329F" w14:textId="77777777" w:rsidR="003104F3" w:rsidRPr="00563A62" w:rsidRDefault="00563A62">
      <w:pPr>
        <w:spacing w:before="240" w:after="240" w:line="360" w:lineRule="auto"/>
        <w:ind w:right="49"/>
        <w:jc w:val="both"/>
        <w:rPr>
          <w:rFonts w:ascii="Palatino Linotype" w:eastAsia="Palatino Linotype" w:hAnsi="Palatino Linotype" w:cs="Palatino Linotype"/>
          <w:i/>
          <w:sz w:val="2"/>
          <w:szCs w:val="2"/>
        </w:rPr>
      </w:pPr>
      <w:r w:rsidRPr="00563A62">
        <w:rPr>
          <w:rFonts w:ascii="Palatino Linotype" w:eastAsia="Palatino Linotype" w:hAnsi="Palatino Linotype" w:cs="Palatino Linotype"/>
          <w:b/>
        </w:rPr>
        <w:lastRenderedPageBreak/>
        <w:t xml:space="preserve">Acto impugnado: </w:t>
      </w:r>
    </w:p>
    <w:p w14:paraId="4E92D2CE"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“la respuesta." (Sic)</w:t>
      </w:r>
    </w:p>
    <w:p w14:paraId="71AE08E4" w14:textId="77777777" w:rsidR="003104F3" w:rsidRPr="00563A62" w:rsidRDefault="00563A62">
      <w:pPr>
        <w:spacing w:before="240" w:after="240" w:line="360" w:lineRule="auto"/>
        <w:ind w:right="616"/>
        <w:jc w:val="both"/>
        <w:rPr>
          <w:rFonts w:ascii="Palatino Linotype" w:eastAsia="Palatino Linotype" w:hAnsi="Palatino Linotype" w:cs="Palatino Linotype"/>
          <w:b/>
          <w:sz w:val="22"/>
          <w:szCs w:val="22"/>
        </w:rPr>
      </w:pPr>
      <w:r w:rsidRPr="00563A62">
        <w:rPr>
          <w:rFonts w:ascii="Palatino Linotype" w:eastAsia="Palatino Linotype" w:hAnsi="Palatino Linotype" w:cs="Palatino Linotype"/>
          <w:b/>
        </w:rPr>
        <w:t>Razones o motivos de inconformidad</w:t>
      </w:r>
      <w:r w:rsidRPr="00563A62">
        <w:rPr>
          <w:rFonts w:ascii="Palatino Linotype" w:eastAsia="Palatino Linotype" w:hAnsi="Palatino Linotype" w:cs="Palatino Linotype"/>
          <w:b/>
          <w:sz w:val="22"/>
          <w:szCs w:val="22"/>
        </w:rPr>
        <w:t xml:space="preserve">: </w:t>
      </w:r>
    </w:p>
    <w:p w14:paraId="3C980DC9"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“me niega otorgar documentos de acceso público y me manda a liga de ipomex y esta información no está actualizada. " (Sic)</w:t>
      </w:r>
    </w:p>
    <w:p w14:paraId="3055B4B5" w14:textId="77777777" w:rsidR="003104F3" w:rsidRPr="00563A62" w:rsidRDefault="003104F3">
      <w:pPr>
        <w:spacing w:before="240" w:after="240" w:line="360" w:lineRule="auto"/>
        <w:jc w:val="both"/>
        <w:rPr>
          <w:rFonts w:ascii="Palatino Linotype" w:eastAsia="Palatino Linotype" w:hAnsi="Palatino Linotype" w:cs="Palatino Linotype"/>
          <w:sz w:val="2"/>
          <w:szCs w:val="2"/>
        </w:rPr>
      </w:pPr>
    </w:p>
    <w:p w14:paraId="630251AD"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4. Turno.</w:t>
      </w:r>
      <w:r w:rsidRPr="00563A62">
        <w:rPr>
          <w:rFonts w:ascii="Palatino Linotype" w:eastAsia="Palatino Linotype" w:hAnsi="Palatino Linotype" w:cs="Palatino Linotype"/>
          <w:b/>
          <w:sz w:val="28"/>
          <w:szCs w:val="28"/>
        </w:rPr>
        <w:t xml:space="preserve"> </w:t>
      </w:r>
      <w:r w:rsidRPr="00563A6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63A62">
        <w:rPr>
          <w:rFonts w:ascii="Palatino Linotype" w:eastAsia="Palatino Linotype" w:hAnsi="Palatino Linotype" w:cs="Palatino Linotype"/>
          <w:b/>
        </w:rPr>
        <w:t xml:space="preserve">Guadalupe Ramírez Peña, </w:t>
      </w:r>
      <w:r w:rsidRPr="00563A62">
        <w:rPr>
          <w:rFonts w:ascii="Palatino Linotype" w:eastAsia="Palatino Linotype" w:hAnsi="Palatino Linotype" w:cs="Palatino Linotype"/>
        </w:rPr>
        <w:t>a efecto de que analizara sobre su admisión o su desechamiento.</w:t>
      </w:r>
    </w:p>
    <w:p w14:paraId="6B045673" w14:textId="77777777" w:rsidR="003104F3" w:rsidRPr="00563A62" w:rsidRDefault="00563A62">
      <w:pPr>
        <w:spacing w:before="240" w:after="240" w:line="360" w:lineRule="auto"/>
        <w:jc w:val="both"/>
        <w:rPr>
          <w:rFonts w:ascii="Palatino Linotype" w:eastAsia="Palatino Linotype" w:hAnsi="Palatino Linotype" w:cs="Palatino Linotype"/>
          <w:b/>
        </w:rPr>
      </w:pPr>
      <w:r w:rsidRPr="00563A62">
        <w:rPr>
          <w:rFonts w:ascii="Palatino Linotype" w:eastAsia="Palatino Linotype" w:hAnsi="Palatino Linotype" w:cs="Palatino Linotype"/>
          <w:b/>
        </w:rPr>
        <w:t>5.</w:t>
      </w:r>
      <w:r w:rsidRPr="00563A62">
        <w:rPr>
          <w:rFonts w:ascii="Palatino Linotype" w:eastAsia="Palatino Linotype" w:hAnsi="Palatino Linotype" w:cs="Palatino Linotype"/>
          <w:b/>
          <w:i/>
        </w:rPr>
        <w:t xml:space="preserve"> </w:t>
      </w:r>
      <w:r w:rsidRPr="00563A62">
        <w:rPr>
          <w:rFonts w:ascii="Palatino Linotype" w:eastAsia="Palatino Linotype" w:hAnsi="Palatino Linotype" w:cs="Palatino Linotype"/>
          <w:b/>
        </w:rPr>
        <w:t>Admisión del Recurso de revisión.</w:t>
      </w:r>
      <w:r w:rsidRPr="00563A62">
        <w:rPr>
          <w:rFonts w:ascii="Palatino Linotype" w:eastAsia="Palatino Linotype" w:hAnsi="Palatino Linotype" w:cs="Palatino Linotype"/>
          <w:sz w:val="28"/>
          <w:szCs w:val="28"/>
        </w:rPr>
        <w:t xml:space="preserve"> El</w:t>
      </w:r>
      <w:r w:rsidRPr="00563A62">
        <w:rPr>
          <w:rFonts w:ascii="Palatino Linotype" w:eastAsia="Palatino Linotype" w:hAnsi="Palatino Linotype" w:cs="Palatino Linotype"/>
          <w:b/>
        </w:rPr>
        <w:t xml:space="preserve"> doce de agosto de dos mil veintidós, </w:t>
      </w:r>
      <w:r w:rsidRPr="00563A6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563A62">
        <w:rPr>
          <w:rFonts w:ascii="Palatino Linotype" w:eastAsia="Palatino Linotype" w:hAnsi="Palatino Linotype" w:cs="Palatino Linotype"/>
          <w:b/>
        </w:rPr>
        <w:t>Sujeto Obligado</w:t>
      </w:r>
      <w:r w:rsidRPr="00563A62">
        <w:rPr>
          <w:rFonts w:ascii="Palatino Linotype" w:eastAsia="Palatino Linotype" w:hAnsi="Palatino Linotype" w:cs="Palatino Linotype"/>
        </w:rPr>
        <w:t xml:space="preserve"> presentara su informe justificado.</w:t>
      </w:r>
    </w:p>
    <w:p w14:paraId="20757C9B" w14:textId="77777777" w:rsidR="003104F3" w:rsidRPr="00563A62" w:rsidRDefault="00563A62">
      <w:pPr>
        <w:widowControl w:val="0"/>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6. Manifestaciones</w:t>
      </w:r>
      <w:r w:rsidRPr="00563A62">
        <w:rPr>
          <w:rFonts w:ascii="Palatino Linotype" w:eastAsia="Palatino Linotype" w:hAnsi="Palatino Linotype" w:cs="Palatino Linotype"/>
        </w:rPr>
        <w:t xml:space="preserve">. El </w:t>
      </w:r>
      <w:r w:rsidRPr="00563A62">
        <w:rPr>
          <w:rFonts w:ascii="Palatino Linotype" w:eastAsia="Palatino Linotype" w:hAnsi="Palatino Linotype" w:cs="Palatino Linotype"/>
          <w:b/>
        </w:rPr>
        <w:t xml:space="preserve">veintitrés de agosto de dos mil veintidós, </w:t>
      </w:r>
      <w:r w:rsidRPr="00563A62">
        <w:rPr>
          <w:rFonts w:ascii="Palatino Linotype" w:eastAsia="Palatino Linotype" w:hAnsi="Palatino Linotype" w:cs="Palatino Linotype"/>
        </w:rPr>
        <w:t xml:space="preserve">el </w:t>
      </w:r>
      <w:r w:rsidRPr="00563A62">
        <w:rPr>
          <w:rFonts w:ascii="Palatino Linotype" w:eastAsia="Palatino Linotype" w:hAnsi="Palatino Linotype" w:cs="Palatino Linotype"/>
          <w:b/>
        </w:rPr>
        <w:t xml:space="preserve">Sujeto Obligado </w:t>
      </w:r>
      <w:r w:rsidRPr="00563A62">
        <w:rPr>
          <w:rFonts w:ascii="Palatino Linotype" w:eastAsia="Palatino Linotype" w:hAnsi="Palatino Linotype" w:cs="Palatino Linotype"/>
        </w:rPr>
        <w:t xml:space="preserve">rindió su informe justificado consistente en los siguientes documentos: </w:t>
      </w:r>
    </w:p>
    <w:p w14:paraId="5639FF7A" w14:textId="77777777" w:rsidR="003104F3" w:rsidRPr="00563A62" w:rsidRDefault="00563A62">
      <w:pPr>
        <w:widowControl w:val="0"/>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b/>
        </w:rPr>
      </w:pPr>
      <w:r w:rsidRPr="00563A62">
        <w:rPr>
          <w:rFonts w:ascii="Palatino Linotype" w:eastAsia="Palatino Linotype" w:hAnsi="Palatino Linotype" w:cs="Palatino Linotype"/>
          <w:b/>
          <w:i/>
        </w:rPr>
        <w:t>IJ.13189-00065.pdf:</w:t>
      </w:r>
      <w:r w:rsidRPr="00563A62">
        <w:rPr>
          <w:rFonts w:ascii="Palatino Linotype" w:eastAsia="Palatino Linotype" w:hAnsi="Palatino Linotype" w:cs="Palatino Linotype"/>
        </w:rPr>
        <w:t xml:space="preserve"> Escrito de fecha veintitrés de agosto de dos mil veintidós por medio del cual manifestó que en atención a los motivos de inconformidad </w:t>
      </w:r>
      <w:r w:rsidRPr="00563A62">
        <w:rPr>
          <w:rFonts w:ascii="Palatino Linotype" w:eastAsia="Palatino Linotype" w:hAnsi="Palatino Linotype" w:cs="Palatino Linotype"/>
        </w:rPr>
        <w:lastRenderedPageBreak/>
        <w:t xml:space="preserve">expresados por el </w:t>
      </w:r>
      <w:r w:rsidRPr="00563A62">
        <w:rPr>
          <w:rFonts w:ascii="Palatino Linotype" w:eastAsia="Palatino Linotype" w:hAnsi="Palatino Linotype" w:cs="Palatino Linotype"/>
          <w:b/>
        </w:rPr>
        <w:t xml:space="preserve">Recurrente </w:t>
      </w:r>
      <w:r w:rsidRPr="00563A62">
        <w:rPr>
          <w:rFonts w:ascii="Palatino Linotype" w:eastAsia="Palatino Linotype" w:hAnsi="Palatino Linotype" w:cs="Palatino Linotype"/>
        </w:rPr>
        <w:t xml:space="preserve">procedió a verificar en el portal de IPOMEX, las ligas proporcionadas en respuesta y realizando captura de pantalla de  las imágenes, las cuales insertó en el oficio de respuesta. </w:t>
      </w:r>
    </w:p>
    <w:p w14:paraId="0A0ADBDE" w14:textId="77777777" w:rsidR="003104F3" w:rsidRPr="00563A62" w:rsidRDefault="00563A62">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rPr>
      </w:pPr>
      <w:r w:rsidRPr="00563A62">
        <w:rPr>
          <w:rFonts w:ascii="Palatino Linotype" w:eastAsia="Palatino Linotype" w:hAnsi="Palatino Linotype" w:cs="Palatino Linotype"/>
          <w:b/>
          <w:i/>
        </w:rPr>
        <w:t xml:space="preserve">IJ.13189.SPH-0006508.pdf: </w:t>
      </w:r>
      <w:r w:rsidRPr="00563A62">
        <w:rPr>
          <w:rFonts w:ascii="Palatino Linotype" w:eastAsia="Palatino Linotype" w:hAnsi="Palatino Linotype" w:cs="Palatino Linotype"/>
        </w:rPr>
        <w:t xml:space="preserve">Oficio número 20900002000400S/0557/2022 de fecha dieciséis de agosto de dos mil veintidós, suscrito y signado por la Servidora Pública Habilitada de la Subdirección de Personal por medio del cual informó que una vez realizada la consulta en las diferentes ligas electrónicas se pudo verificar que la información recurrida, se encuentra completa y actualizada de conformidad con lo establecido en el artículo 11 de la Ley de Transparencia y Acceso a la Información Pública del Estado de México y Municipios y apego a los “Lineamientos Técnicos Generales para la Publicación, Homologación y Estandarización de la información que deben difundir los Sujetos Obligados en los Portales de Internet”; pronunciamiento al que agregó las capturas de pantalla. </w:t>
      </w:r>
    </w:p>
    <w:p w14:paraId="5DA18061" w14:textId="77777777" w:rsidR="003104F3" w:rsidRPr="00563A62" w:rsidRDefault="003104F3">
      <w:pPr>
        <w:widowControl w:val="0"/>
        <w:pBdr>
          <w:top w:val="nil"/>
          <w:left w:val="nil"/>
          <w:bottom w:val="nil"/>
          <w:right w:val="nil"/>
          <w:between w:val="nil"/>
        </w:pBdr>
        <w:spacing w:line="360" w:lineRule="auto"/>
        <w:ind w:left="360"/>
        <w:jc w:val="both"/>
        <w:rPr>
          <w:rFonts w:ascii="Palatino Linotype" w:eastAsia="Palatino Linotype" w:hAnsi="Palatino Linotype" w:cs="Palatino Linotype"/>
          <w:b/>
          <w:i/>
        </w:rPr>
      </w:pPr>
    </w:p>
    <w:p w14:paraId="17C6F3F0" w14:textId="77777777" w:rsidR="003104F3" w:rsidRPr="00563A62" w:rsidRDefault="00563A62">
      <w:pPr>
        <w:widowControl w:val="0"/>
        <w:pBdr>
          <w:top w:val="nil"/>
          <w:left w:val="nil"/>
          <w:bottom w:val="nil"/>
          <w:right w:val="nil"/>
          <w:between w:val="nil"/>
        </w:pBdr>
        <w:spacing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Documentos que el treinta y uno de enero de dos mil veintitrés se pusieron a la vista de la </w:t>
      </w:r>
      <w:r w:rsidRPr="00563A62">
        <w:rPr>
          <w:rFonts w:ascii="Palatino Linotype" w:eastAsia="Palatino Linotype" w:hAnsi="Palatino Linotype" w:cs="Palatino Linotype"/>
          <w:b/>
        </w:rPr>
        <w:t xml:space="preserve">Recurrente </w:t>
      </w:r>
      <w:r w:rsidRPr="00563A62">
        <w:rPr>
          <w:rFonts w:ascii="Palatino Linotype" w:eastAsia="Palatino Linotype" w:hAnsi="Palatino Linotype" w:cs="Palatino Linotype"/>
        </w:rPr>
        <w:t xml:space="preserve">para su conocimiento. </w:t>
      </w:r>
    </w:p>
    <w:p w14:paraId="46890AD7" w14:textId="77777777" w:rsidR="003104F3" w:rsidRPr="00563A62" w:rsidRDefault="00563A62">
      <w:pPr>
        <w:widowControl w:val="0"/>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7.</w:t>
      </w:r>
      <w:r w:rsidRPr="00563A62">
        <w:rPr>
          <w:rFonts w:ascii="Palatino Linotype" w:eastAsia="Palatino Linotype" w:hAnsi="Palatino Linotype" w:cs="Palatino Linotype"/>
        </w:rPr>
        <w:t xml:space="preserve"> </w:t>
      </w:r>
      <w:r w:rsidRPr="00563A62">
        <w:rPr>
          <w:rFonts w:ascii="Palatino Linotype" w:eastAsia="Palatino Linotype" w:hAnsi="Palatino Linotype" w:cs="Palatino Linotype"/>
          <w:b/>
        </w:rPr>
        <w:t xml:space="preserve">Ampliación del plazo para emitir resolución. </w:t>
      </w:r>
      <w:r w:rsidRPr="00563A62">
        <w:rPr>
          <w:rFonts w:ascii="Palatino Linotype" w:eastAsia="Palatino Linotype" w:hAnsi="Palatino Linotype" w:cs="Palatino Linotype"/>
        </w:rPr>
        <w:t xml:space="preserve">El </w:t>
      </w:r>
      <w:r w:rsidRPr="00563A62">
        <w:rPr>
          <w:rFonts w:ascii="Palatino Linotype" w:eastAsia="Palatino Linotype" w:hAnsi="Palatino Linotype" w:cs="Palatino Linotype"/>
          <w:b/>
        </w:rPr>
        <w:t>treinta y uno de enero de dos mil veintitrés</w:t>
      </w:r>
      <w:r w:rsidRPr="00563A62">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1271ACFB"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563A62">
        <w:rPr>
          <w:rFonts w:ascii="Palatino Linotype" w:eastAsia="Palatino Linotype" w:hAnsi="Palatino Linotype" w:cs="Palatino Linotype"/>
        </w:rPr>
        <w:lastRenderedPageBreak/>
        <w:t>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2E05C89D"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EEE080D"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B7AC77"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D6057F4" w14:textId="77777777" w:rsidR="003104F3" w:rsidRPr="00563A62" w:rsidRDefault="00563A62">
      <w:pPr>
        <w:spacing w:before="240" w:after="240" w:line="360" w:lineRule="auto"/>
        <w:jc w:val="both"/>
        <w:rPr>
          <w:rFonts w:ascii="Palatino Linotype" w:eastAsia="Palatino Linotype" w:hAnsi="Palatino Linotype" w:cs="Palatino Linotype"/>
          <w:strike/>
        </w:rPr>
      </w:pPr>
      <w:r w:rsidRPr="00563A6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41AF5E5" w14:textId="77777777" w:rsidR="003104F3" w:rsidRPr="00563A62" w:rsidRDefault="00563A62">
      <w:pPr>
        <w:numPr>
          <w:ilvl w:val="0"/>
          <w:numId w:val="3"/>
        </w:num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79582C41" w14:textId="77777777" w:rsidR="003104F3" w:rsidRPr="00563A62" w:rsidRDefault="00563A62">
      <w:pPr>
        <w:numPr>
          <w:ilvl w:val="0"/>
          <w:numId w:val="3"/>
        </w:num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Actividad Procesal del interesado. Acciones u omisiones del interesado.</w:t>
      </w:r>
    </w:p>
    <w:p w14:paraId="46A6A031" w14:textId="77777777" w:rsidR="003104F3" w:rsidRPr="00563A62" w:rsidRDefault="00563A62">
      <w:pPr>
        <w:numPr>
          <w:ilvl w:val="0"/>
          <w:numId w:val="3"/>
        </w:num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Conducta de la Autoridad: Las Acciones u omisiones realizadas en el procedimiento. Así como si la autoridad actuó con la debida diligencia.</w:t>
      </w:r>
    </w:p>
    <w:p w14:paraId="015C44E8" w14:textId="77777777" w:rsidR="003104F3" w:rsidRPr="00563A62" w:rsidRDefault="00563A62">
      <w:pPr>
        <w:spacing w:before="240" w:after="240" w:line="360" w:lineRule="auto"/>
        <w:ind w:left="567"/>
        <w:jc w:val="both"/>
        <w:rPr>
          <w:rFonts w:ascii="Palatino Linotype" w:eastAsia="Palatino Linotype" w:hAnsi="Palatino Linotype" w:cs="Palatino Linotype"/>
        </w:rPr>
      </w:pPr>
      <w:r w:rsidRPr="00563A62">
        <w:rPr>
          <w:rFonts w:ascii="Palatino Linotype" w:eastAsia="Palatino Linotype" w:hAnsi="Palatino Linotype" w:cs="Palatino Linotype"/>
        </w:rPr>
        <w:t>d) La afectación generada en la situación jurídica de la persona involucrada en el proceso: Violación a sus derechos humanos.</w:t>
      </w:r>
    </w:p>
    <w:p w14:paraId="4BCC283C"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230693A" w14:textId="77777777" w:rsidR="003104F3" w:rsidRPr="00563A62" w:rsidRDefault="00563A62">
      <w:pPr>
        <w:spacing w:before="240" w:after="240" w:line="360" w:lineRule="auto"/>
        <w:jc w:val="both"/>
        <w:rPr>
          <w:rFonts w:ascii="Palatino Linotype" w:eastAsia="Palatino Linotype" w:hAnsi="Palatino Linotype" w:cs="Palatino Linotype"/>
          <w:b/>
        </w:rPr>
      </w:pPr>
      <w:r w:rsidRPr="00563A6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63A6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63A62">
        <w:rPr>
          <w:rFonts w:ascii="Palatino Linotype" w:eastAsia="Palatino Linotype" w:hAnsi="Palatino Linotype" w:cs="Palatino Linotype"/>
        </w:rPr>
        <w:t>, visible en la Gaceta del Seminario Judicial de la Federación con el registro digital 205635.</w:t>
      </w:r>
    </w:p>
    <w:p w14:paraId="4641BCCC"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2F4B925"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16FB4E1"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 </w:t>
      </w:r>
      <w:r w:rsidRPr="00563A62">
        <w:rPr>
          <w:rFonts w:ascii="Palatino Linotype" w:eastAsia="Palatino Linotype" w:hAnsi="Palatino Linotype" w:cs="Palatino Linotype"/>
          <w:i/>
        </w:rPr>
        <w:t>“PLAZO RAZONABLE PARA RESOLVER. DIMENSIÓN Y EFECTOS DE ESTE CONCEPTO CUANDO SE ADUCE EXCESIVA CARGA DE TRABAJO.”</w:t>
      </w:r>
      <w:r w:rsidRPr="00563A62">
        <w:rPr>
          <w:rFonts w:ascii="Palatino Linotype" w:eastAsia="Palatino Linotype" w:hAnsi="Palatino Linotype" w:cs="Palatino Linotype"/>
        </w:rPr>
        <w:t xml:space="preserve"> consultable en el Seminario Judicial de la Federación y su gaceta, con el registro digital 2002351.</w:t>
      </w:r>
    </w:p>
    <w:p w14:paraId="157AFFEC"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i/>
        </w:rPr>
        <w:t>“PLAZO RAZONABLE PARA RESOLVER. CONCEPTO Y ELEMENTOS QUE LO INTEGRAN A LA LUZ DEL DERECHO INTERNACIONAL DE LOS DERECHOS HUMANOS.”</w:t>
      </w:r>
      <w:r w:rsidRPr="00563A62">
        <w:rPr>
          <w:rFonts w:ascii="Palatino Linotype" w:eastAsia="Palatino Linotype" w:hAnsi="Palatino Linotype" w:cs="Palatino Linotype"/>
        </w:rPr>
        <w:t>, visible en el Seminario Judicial de la Federación y su gaceta, con el registro digital 2002350.</w:t>
      </w:r>
    </w:p>
    <w:p w14:paraId="2AB8AE98"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0A0EB6FE"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 xml:space="preserve">8. Cierre de instrucción. </w:t>
      </w:r>
      <w:r w:rsidRPr="00563A62">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563A62">
        <w:rPr>
          <w:rFonts w:ascii="Palatino Linotype" w:eastAsia="Palatino Linotype" w:hAnsi="Palatino Linotype" w:cs="Palatino Linotype"/>
          <w:b/>
        </w:rPr>
        <w:t>siete de febrero de dos mil veintitrés</w:t>
      </w:r>
      <w:r w:rsidRPr="00563A6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18EE378" w14:textId="77777777" w:rsidR="003104F3" w:rsidRPr="00563A62" w:rsidRDefault="00563A62">
      <w:pPr>
        <w:widowControl w:val="0"/>
        <w:spacing w:before="240" w:after="240" w:line="360" w:lineRule="auto"/>
        <w:jc w:val="both"/>
        <w:rPr>
          <w:rFonts w:ascii="Palatino Linotype" w:eastAsia="Palatino Linotype" w:hAnsi="Palatino Linotype" w:cs="Palatino Linotype"/>
          <w:b/>
        </w:rPr>
      </w:pPr>
      <w:r w:rsidRPr="00563A62">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563A62">
        <w:rPr>
          <w:rFonts w:ascii="Palatino Linotype" w:eastAsia="Palatino Linotype" w:hAnsi="Palatino Linotype" w:cs="Palatino Linotype"/>
          <w:b/>
        </w:rPr>
        <w:t xml:space="preserve"> </w:t>
      </w:r>
    </w:p>
    <w:p w14:paraId="11B97173" w14:textId="77777777" w:rsidR="003104F3" w:rsidRPr="00563A62" w:rsidRDefault="00563A62">
      <w:pPr>
        <w:widowControl w:val="0"/>
        <w:spacing w:before="240" w:after="240" w:line="360" w:lineRule="auto"/>
        <w:jc w:val="center"/>
        <w:rPr>
          <w:rFonts w:ascii="Palatino Linotype" w:eastAsia="Palatino Linotype" w:hAnsi="Palatino Linotype" w:cs="Palatino Linotype"/>
          <w:b/>
        </w:rPr>
      </w:pPr>
      <w:r w:rsidRPr="00563A62">
        <w:rPr>
          <w:rFonts w:ascii="Palatino Linotype" w:eastAsia="Palatino Linotype" w:hAnsi="Palatino Linotype" w:cs="Palatino Linotype"/>
          <w:b/>
        </w:rPr>
        <w:t>II. C O N S I D E R A N D O S</w:t>
      </w:r>
    </w:p>
    <w:p w14:paraId="12421030"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Primero. Competencia.</w:t>
      </w:r>
      <w:r w:rsidRPr="00563A6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sidRPr="00563A62">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0B73B8E3" w14:textId="77777777" w:rsidR="003104F3" w:rsidRPr="00563A62" w:rsidRDefault="00563A62">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563A62">
        <w:rPr>
          <w:rFonts w:ascii="Palatino Linotype" w:eastAsia="Palatino Linotype" w:hAnsi="Palatino Linotype" w:cs="Palatino Linotype"/>
          <w:b/>
        </w:rPr>
        <w:t>Segundo. Oportunidad y Procedibilidad del Recurso de Revisión</w:t>
      </w:r>
      <w:r w:rsidRPr="00563A6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1889FD3" w14:textId="77777777" w:rsidR="003104F3" w:rsidRPr="00563A62" w:rsidRDefault="00563A62">
      <w:pPr>
        <w:spacing w:before="240" w:after="240" w:line="360" w:lineRule="auto"/>
        <w:ind w:right="49"/>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63A62">
        <w:rPr>
          <w:rFonts w:ascii="Palatino Linotype" w:eastAsia="Palatino Linotype" w:hAnsi="Palatino Linotype" w:cs="Palatino Linotype"/>
          <w:b/>
        </w:rPr>
        <w:t>Sujeto Obligado</w:t>
      </w:r>
      <w:r w:rsidRPr="00563A62">
        <w:rPr>
          <w:rFonts w:ascii="Palatino Linotype" w:eastAsia="Palatino Linotype" w:hAnsi="Palatino Linotype" w:cs="Palatino Linotype"/>
        </w:rPr>
        <w:t xml:space="preserve"> respondió a la solicitud de información el </w:t>
      </w:r>
      <w:r w:rsidRPr="00563A62">
        <w:rPr>
          <w:rFonts w:ascii="Palatino Linotype" w:eastAsia="Palatino Linotype" w:hAnsi="Palatino Linotype" w:cs="Palatino Linotype"/>
          <w:b/>
        </w:rPr>
        <w:t xml:space="preserve">cuatro de agosto de dos mil veintidós, </w:t>
      </w:r>
      <w:r w:rsidRPr="00563A62">
        <w:rPr>
          <w:rFonts w:ascii="Palatino Linotype" w:eastAsia="Palatino Linotype" w:hAnsi="Palatino Linotype" w:cs="Palatino Linotype"/>
        </w:rPr>
        <w:t xml:space="preserve">mientras que el recurso de revisión se interpuso el </w:t>
      </w:r>
      <w:r w:rsidRPr="00563A62">
        <w:rPr>
          <w:rFonts w:ascii="Palatino Linotype" w:eastAsia="Palatino Linotype" w:hAnsi="Palatino Linotype" w:cs="Palatino Linotype"/>
          <w:b/>
        </w:rPr>
        <w:t>nueve de agosto de dos mil veintidós</w:t>
      </w:r>
      <w:r w:rsidRPr="00563A62">
        <w:rPr>
          <w:rFonts w:ascii="Palatino Linotype" w:eastAsia="Palatino Linotype" w:hAnsi="Palatino Linotype" w:cs="Palatino Linotype"/>
        </w:rPr>
        <w:t>, esto es, el tercer día hábil posterior en que tuvo conocimiento de la respuesta impugnada.</w:t>
      </w:r>
    </w:p>
    <w:p w14:paraId="216846CF"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En este sentido, al considerar la fecha en que se formuló la solicitud y la fecha en que respondió a esta el </w:t>
      </w:r>
      <w:r w:rsidRPr="00563A62">
        <w:rPr>
          <w:rFonts w:ascii="Palatino Linotype" w:eastAsia="Palatino Linotype" w:hAnsi="Palatino Linotype" w:cs="Palatino Linotype"/>
          <w:b/>
        </w:rPr>
        <w:t>Sujeto Obligado</w:t>
      </w:r>
      <w:r w:rsidRPr="00563A62">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38712F11" w14:textId="77777777" w:rsidR="003104F3" w:rsidRPr="00563A62" w:rsidRDefault="00563A62">
      <w:pPr>
        <w:spacing w:before="240" w:after="240" w:line="360" w:lineRule="auto"/>
        <w:jc w:val="both"/>
        <w:rPr>
          <w:rFonts w:ascii="Palatino Linotype" w:eastAsia="Palatino Linotype" w:hAnsi="Palatino Linotype" w:cs="Palatino Linotype"/>
          <w:b/>
        </w:rPr>
      </w:pPr>
      <w:r w:rsidRPr="00563A62">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563A62">
        <w:rPr>
          <w:rFonts w:ascii="Palatino Linotype" w:eastAsia="Palatino Linotype" w:hAnsi="Palatino Linotype" w:cs="Palatino Linotype"/>
          <w:b/>
        </w:rPr>
        <w:t xml:space="preserve"> SAIMEX. </w:t>
      </w:r>
    </w:p>
    <w:p w14:paraId="69277E08"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lastRenderedPageBreak/>
        <w:t xml:space="preserve">Finalmente, se advierte que resulta procedente la interposición del recurso, según lo manifestado por la </w:t>
      </w:r>
      <w:r w:rsidRPr="00563A62">
        <w:rPr>
          <w:rFonts w:ascii="Palatino Linotype" w:eastAsia="Palatino Linotype" w:hAnsi="Palatino Linotype" w:cs="Palatino Linotype"/>
          <w:b/>
        </w:rPr>
        <w:t>Recurrente</w:t>
      </w:r>
      <w:r w:rsidRPr="00563A62">
        <w:rPr>
          <w:rFonts w:ascii="Palatino Linotype" w:eastAsia="Palatino Linotype" w:hAnsi="Palatino Linotype" w:cs="Palatino Linotype"/>
        </w:rPr>
        <w:t xml:space="preserve"> en sus motivos de inconformidad, de acuerdo al artículo 179, fracciones I y VIII  del ordenamiento legal citado, que a la letra dice: </w:t>
      </w:r>
    </w:p>
    <w:p w14:paraId="2B1AF776" w14:textId="77777777" w:rsidR="003104F3" w:rsidRPr="00563A62" w:rsidRDefault="00563A62">
      <w:pPr>
        <w:tabs>
          <w:tab w:val="left" w:pos="7088"/>
        </w:tabs>
        <w:spacing w:before="240" w:after="240"/>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w:t>
      </w:r>
      <w:r w:rsidRPr="00563A62">
        <w:rPr>
          <w:rFonts w:ascii="Palatino Linotype" w:eastAsia="Palatino Linotype" w:hAnsi="Palatino Linotype" w:cs="Palatino Linotype"/>
          <w:b/>
          <w:i/>
          <w:sz w:val="22"/>
          <w:szCs w:val="22"/>
        </w:rPr>
        <w:t>Artículo 179.</w:t>
      </w:r>
      <w:r w:rsidRPr="00563A6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4943BB0" w14:textId="77777777" w:rsidR="003104F3" w:rsidRPr="00563A62" w:rsidRDefault="00563A62">
      <w:pPr>
        <w:tabs>
          <w:tab w:val="left" w:pos="7088"/>
        </w:tabs>
        <w:spacing w:before="240" w:after="240"/>
        <w:ind w:left="993"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I. La negativa a la información solicitada;</w:t>
      </w:r>
    </w:p>
    <w:p w14:paraId="05C2B644" w14:textId="77777777" w:rsidR="003104F3" w:rsidRPr="00563A62" w:rsidRDefault="00563A62">
      <w:pPr>
        <w:tabs>
          <w:tab w:val="left" w:pos="7088"/>
        </w:tabs>
        <w:spacing w:before="240" w:after="240"/>
        <w:ind w:left="993" w:right="616"/>
        <w:jc w:val="both"/>
        <w:rPr>
          <w:rFonts w:ascii="Palatino Linotype" w:eastAsia="Palatino Linotype" w:hAnsi="Palatino Linotype" w:cs="Palatino Linotype"/>
          <w:b/>
          <w:i/>
          <w:sz w:val="22"/>
          <w:szCs w:val="22"/>
        </w:rPr>
      </w:pPr>
      <w:r w:rsidRPr="00563A62">
        <w:rPr>
          <w:rFonts w:ascii="Palatino Linotype" w:eastAsia="Palatino Linotype" w:hAnsi="Palatino Linotype" w:cs="Palatino Linotype"/>
          <w:b/>
          <w:i/>
          <w:sz w:val="22"/>
          <w:szCs w:val="22"/>
        </w:rPr>
        <w:t>…</w:t>
      </w:r>
    </w:p>
    <w:p w14:paraId="19D714B0" w14:textId="77777777" w:rsidR="003104F3" w:rsidRPr="00563A62" w:rsidRDefault="00563A62">
      <w:pPr>
        <w:tabs>
          <w:tab w:val="left" w:pos="7088"/>
        </w:tabs>
        <w:spacing w:before="240" w:after="240"/>
        <w:ind w:left="993" w:right="616"/>
        <w:jc w:val="both"/>
        <w:rPr>
          <w:rFonts w:ascii="Palatino Linotype" w:eastAsia="Palatino Linotype" w:hAnsi="Palatino Linotype" w:cs="Palatino Linotype"/>
          <w:b/>
          <w:i/>
          <w:sz w:val="22"/>
          <w:szCs w:val="22"/>
        </w:rPr>
      </w:pPr>
      <w:r w:rsidRPr="00563A62">
        <w:rPr>
          <w:rFonts w:ascii="Palatino Linotype" w:eastAsia="Palatino Linotype" w:hAnsi="Palatino Linotype" w:cs="Palatino Linotype"/>
          <w:b/>
          <w:i/>
          <w:sz w:val="22"/>
          <w:szCs w:val="22"/>
        </w:rPr>
        <w:t>VIII. La notificación, entrega o puesta a disposición de información en una modalidad o formato distinto al solicitado</w:t>
      </w:r>
    </w:p>
    <w:p w14:paraId="6B417070" w14:textId="77777777" w:rsidR="003104F3" w:rsidRPr="00563A62" w:rsidRDefault="00563A62">
      <w:pPr>
        <w:tabs>
          <w:tab w:val="left" w:pos="7088"/>
        </w:tabs>
        <w:spacing w:before="240" w:after="240"/>
        <w:ind w:left="993"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w:t>
      </w:r>
      <w:r w:rsidRPr="00563A62">
        <w:rPr>
          <w:rFonts w:ascii="Palatino Linotype" w:eastAsia="Palatino Linotype" w:hAnsi="Palatino Linotype" w:cs="Palatino Linotype"/>
          <w:i/>
          <w:sz w:val="22"/>
          <w:szCs w:val="22"/>
        </w:rPr>
        <w:t>”</w:t>
      </w:r>
    </w:p>
    <w:p w14:paraId="488363FC"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 xml:space="preserve">Tercero. Materia de la revisión. </w:t>
      </w:r>
      <w:r w:rsidRPr="00563A62">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563A6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63A62">
        <w:rPr>
          <w:rFonts w:ascii="Palatino Linotype" w:eastAsia="Palatino Linotype" w:hAnsi="Palatino Linotype" w:cs="Palatino Linotype"/>
        </w:rPr>
        <w:t xml:space="preserve">del </w:t>
      </w:r>
      <w:r w:rsidRPr="00563A62">
        <w:rPr>
          <w:rFonts w:ascii="Palatino Linotype" w:eastAsia="Palatino Linotype" w:hAnsi="Palatino Linotype" w:cs="Palatino Linotype"/>
          <w:b/>
        </w:rPr>
        <w:t>Recurrente</w:t>
      </w:r>
      <w:r w:rsidRPr="00563A62">
        <w:rPr>
          <w:rFonts w:ascii="Palatino Linotype" w:eastAsia="Palatino Linotype" w:hAnsi="Palatino Linotype" w:cs="Palatino Linotype"/>
        </w:rPr>
        <w:t>, o en su defecto, en caso de ser procedente, ordenar la entrega de información.</w:t>
      </w:r>
    </w:p>
    <w:p w14:paraId="739F9894"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 xml:space="preserve">Cuarto. Estudio del asunto. </w:t>
      </w:r>
      <w:r w:rsidRPr="00563A62">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CAD6465" w14:textId="77777777" w:rsidR="003104F3" w:rsidRPr="00563A62" w:rsidRDefault="00563A62">
      <w:pPr>
        <w:tabs>
          <w:tab w:val="left" w:pos="709"/>
        </w:tabs>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563A6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2F14FA2" w14:textId="77777777" w:rsidR="003104F3" w:rsidRPr="00563A62" w:rsidRDefault="00563A62">
      <w:pPr>
        <w:tabs>
          <w:tab w:val="left" w:pos="709"/>
        </w:tabs>
        <w:ind w:left="851" w:right="616"/>
        <w:jc w:val="both"/>
        <w:rPr>
          <w:rFonts w:ascii="Palatino Linotype" w:eastAsia="Palatino Linotype" w:hAnsi="Palatino Linotype" w:cs="Palatino Linotype"/>
          <w:b/>
          <w:i/>
          <w:sz w:val="22"/>
          <w:szCs w:val="22"/>
        </w:rPr>
      </w:pPr>
      <w:r w:rsidRPr="00563A6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E88C4A1" w14:textId="77777777" w:rsidR="003104F3" w:rsidRPr="00563A62" w:rsidRDefault="00563A62">
      <w:pPr>
        <w:tabs>
          <w:tab w:val="left" w:pos="709"/>
        </w:tabs>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63A6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FEC38F8" w14:textId="77777777" w:rsidR="003104F3" w:rsidRPr="00563A62" w:rsidRDefault="00563A62">
      <w:pPr>
        <w:tabs>
          <w:tab w:val="left" w:pos="709"/>
        </w:tabs>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w:t>
      </w:r>
    </w:p>
    <w:p w14:paraId="74524BE5"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“Artículo 6o.</w:t>
      </w:r>
    </w:p>
    <w:p w14:paraId="14368D2D"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w:t>
      </w:r>
    </w:p>
    <w:p w14:paraId="0BD2A9EE"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 xml:space="preserve">A. Para el ejercicio del derecho de acceso a la información, la Federación y </w:t>
      </w:r>
      <w:r w:rsidRPr="00563A62">
        <w:rPr>
          <w:rFonts w:ascii="Palatino Linotype" w:eastAsia="Palatino Linotype" w:hAnsi="Palatino Linotype" w:cs="Palatino Linotype"/>
          <w:b/>
          <w:i/>
          <w:sz w:val="22"/>
          <w:szCs w:val="22"/>
          <w:u w:val="single"/>
        </w:rPr>
        <w:t>las entidades federativas</w:t>
      </w:r>
      <w:r w:rsidRPr="00563A62">
        <w:rPr>
          <w:rFonts w:ascii="Palatino Linotype" w:eastAsia="Palatino Linotype" w:hAnsi="Palatino Linotype" w:cs="Palatino Linotype"/>
          <w:b/>
          <w:i/>
          <w:sz w:val="22"/>
          <w:szCs w:val="22"/>
        </w:rPr>
        <w:t>,</w:t>
      </w:r>
      <w:r w:rsidRPr="00563A62">
        <w:rPr>
          <w:rFonts w:ascii="Palatino Linotype" w:eastAsia="Palatino Linotype" w:hAnsi="Palatino Linotype" w:cs="Palatino Linotype"/>
          <w:i/>
          <w:sz w:val="22"/>
          <w:szCs w:val="22"/>
        </w:rPr>
        <w:t xml:space="preserve"> en el ámbito de sus respectivas competencias, se regirán por los siguientes principios y bases:</w:t>
      </w:r>
    </w:p>
    <w:p w14:paraId="2BCDB3E1"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w:t>
      </w:r>
    </w:p>
    <w:p w14:paraId="0D7A7CDB"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 xml:space="preserve">I. </w:t>
      </w:r>
      <w:r w:rsidRPr="00563A6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63A62">
        <w:rPr>
          <w:rFonts w:ascii="Palatino Linotype" w:eastAsia="Palatino Linotype" w:hAnsi="Palatino Linotype" w:cs="Palatino Linotype"/>
          <w:i/>
          <w:sz w:val="22"/>
          <w:szCs w:val="22"/>
        </w:rPr>
        <w:t xml:space="preserve"> Ejecutivo, Legislativo </w:t>
      </w:r>
      <w:r w:rsidRPr="00563A62">
        <w:rPr>
          <w:rFonts w:ascii="Palatino Linotype" w:eastAsia="Palatino Linotype" w:hAnsi="Palatino Linotype" w:cs="Palatino Linotype"/>
          <w:b/>
          <w:i/>
          <w:sz w:val="22"/>
          <w:szCs w:val="22"/>
          <w:u w:val="single"/>
        </w:rPr>
        <w:t>y Judicial</w:t>
      </w:r>
      <w:r w:rsidRPr="00563A6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63A62">
        <w:rPr>
          <w:rFonts w:ascii="Palatino Linotype" w:eastAsia="Palatino Linotype" w:hAnsi="Palatino Linotype" w:cs="Palatino Linotype"/>
          <w:b/>
          <w:i/>
          <w:sz w:val="22"/>
          <w:szCs w:val="22"/>
        </w:rPr>
        <w:t>es pública y sólo podrá ser reservada temporalmente por razones de interés público y seguridad nacional,</w:t>
      </w:r>
      <w:r w:rsidRPr="00563A6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F14A74A"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w:t>
      </w:r>
    </w:p>
    <w:p w14:paraId="46629188" w14:textId="77777777" w:rsidR="003104F3" w:rsidRPr="00563A62" w:rsidRDefault="00563A62">
      <w:pPr>
        <w:ind w:left="851" w:right="616"/>
        <w:jc w:val="both"/>
        <w:rPr>
          <w:rFonts w:ascii="Palatino Linotype" w:eastAsia="Palatino Linotype" w:hAnsi="Palatino Linotype" w:cs="Palatino Linotype"/>
          <w:b/>
          <w:i/>
          <w:sz w:val="22"/>
          <w:szCs w:val="22"/>
        </w:rPr>
      </w:pPr>
      <w:r w:rsidRPr="00563A6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E75EB77"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w:t>
      </w:r>
    </w:p>
    <w:p w14:paraId="1CD72500"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 xml:space="preserve">III. </w:t>
      </w:r>
      <w:r w:rsidRPr="00563A6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63A62">
        <w:rPr>
          <w:rFonts w:ascii="Palatino Linotype" w:eastAsia="Palatino Linotype" w:hAnsi="Palatino Linotype" w:cs="Palatino Linotype"/>
          <w:i/>
          <w:sz w:val="22"/>
          <w:szCs w:val="22"/>
        </w:rPr>
        <w:t xml:space="preserve"> a sus datos personales o a la rectificación de éstos.</w:t>
      </w:r>
    </w:p>
    <w:p w14:paraId="04B332A4"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lastRenderedPageBreak/>
        <w:t> </w:t>
      </w:r>
    </w:p>
    <w:p w14:paraId="69AA758C"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 xml:space="preserve">IV. </w:t>
      </w:r>
      <w:r w:rsidRPr="00563A6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B6C6FFF" w14:textId="77777777" w:rsidR="003104F3" w:rsidRPr="00563A62" w:rsidRDefault="003104F3">
      <w:pPr>
        <w:ind w:left="851" w:right="616"/>
        <w:jc w:val="both"/>
        <w:rPr>
          <w:rFonts w:ascii="Palatino Linotype" w:eastAsia="Palatino Linotype" w:hAnsi="Palatino Linotype" w:cs="Palatino Linotype"/>
          <w:i/>
          <w:sz w:val="22"/>
          <w:szCs w:val="22"/>
        </w:rPr>
      </w:pPr>
    </w:p>
    <w:p w14:paraId="1A11784F"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 xml:space="preserve">V. </w:t>
      </w:r>
      <w:r w:rsidRPr="00563A6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B412D0B"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w:t>
      </w:r>
    </w:p>
    <w:p w14:paraId="7E69B744"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 xml:space="preserve">VI. </w:t>
      </w:r>
      <w:r w:rsidRPr="00563A6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8A8955A"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w:t>
      </w:r>
    </w:p>
    <w:p w14:paraId="36767C08"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 xml:space="preserve">VII. </w:t>
      </w:r>
      <w:r w:rsidRPr="00563A6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A810CAE" w14:textId="77777777" w:rsidR="003104F3" w:rsidRPr="00563A62" w:rsidRDefault="003104F3">
      <w:pPr>
        <w:ind w:right="616"/>
        <w:jc w:val="both"/>
        <w:rPr>
          <w:rFonts w:ascii="Palatino Linotype" w:eastAsia="Palatino Linotype" w:hAnsi="Palatino Linotype" w:cs="Palatino Linotype"/>
          <w:i/>
          <w:sz w:val="22"/>
          <w:szCs w:val="22"/>
        </w:rPr>
      </w:pPr>
    </w:p>
    <w:p w14:paraId="43D05DE1"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BAE6585" w14:textId="77777777" w:rsidR="003104F3" w:rsidRPr="00563A62" w:rsidRDefault="00563A62">
      <w:pPr>
        <w:spacing w:before="12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En primer lugar, es conveniente analizar si la respuesta del </w:t>
      </w:r>
      <w:r w:rsidRPr="00563A62">
        <w:rPr>
          <w:rFonts w:ascii="Palatino Linotype" w:eastAsia="Palatino Linotype" w:hAnsi="Palatino Linotype" w:cs="Palatino Linotype"/>
          <w:b/>
        </w:rPr>
        <w:t>Sujeto Obligado</w:t>
      </w:r>
      <w:r w:rsidRPr="00563A6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w:t>
      </w:r>
      <w:r w:rsidRPr="00563A62">
        <w:rPr>
          <w:rFonts w:ascii="Palatino Linotype" w:eastAsia="Palatino Linotype" w:hAnsi="Palatino Linotype" w:cs="Palatino Linotype"/>
        </w:rPr>
        <w:lastRenderedPageBreak/>
        <w:t>Sujetos Obligados es pública y accesible de manera permanente a cualquier persona, privilegiando el principio de máxima publicidad, como así lo establece dicha determinación, que a continuación se transcribe para un mejor entendimiento:</w:t>
      </w:r>
    </w:p>
    <w:p w14:paraId="5C795E8E" w14:textId="77777777" w:rsidR="003104F3" w:rsidRPr="00563A62" w:rsidRDefault="00563A62">
      <w:pPr>
        <w:spacing w:before="240"/>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w:t>
      </w:r>
      <w:r w:rsidRPr="00563A62">
        <w:rPr>
          <w:rFonts w:ascii="Palatino Linotype" w:eastAsia="Palatino Linotype" w:hAnsi="Palatino Linotype" w:cs="Palatino Linotype"/>
          <w:b/>
          <w:i/>
          <w:sz w:val="22"/>
          <w:szCs w:val="22"/>
        </w:rPr>
        <w:t>Artículo 4.</w:t>
      </w:r>
      <w:r w:rsidRPr="00563A6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72D531D"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63A6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0DA5E18"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63A62">
        <w:rPr>
          <w:rFonts w:ascii="Palatino Linotype" w:eastAsia="Palatino Linotype" w:hAnsi="Palatino Linotype" w:cs="Palatino Linotype"/>
          <w:i/>
          <w:sz w:val="22"/>
          <w:szCs w:val="22"/>
        </w:rPr>
        <w:t>.”(Sic)</w:t>
      </w:r>
    </w:p>
    <w:p w14:paraId="3458A166" w14:textId="77777777" w:rsidR="003104F3" w:rsidRPr="00563A62" w:rsidRDefault="003104F3">
      <w:pPr>
        <w:ind w:left="851" w:right="760"/>
        <w:jc w:val="both"/>
        <w:rPr>
          <w:rFonts w:ascii="Palatino Linotype" w:eastAsia="Palatino Linotype" w:hAnsi="Palatino Linotype" w:cs="Palatino Linotype"/>
          <w:i/>
        </w:rPr>
      </w:pPr>
    </w:p>
    <w:p w14:paraId="4734A85C"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A2BB740"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w:t>
      </w:r>
      <w:r w:rsidRPr="00563A62">
        <w:rPr>
          <w:rFonts w:ascii="Palatino Linotype" w:eastAsia="Palatino Linotype" w:hAnsi="Palatino Linotype" w:cs="Palatino Linotype"/>
          <w:b/>
          <w:i/>
          <w:sz w:val="22"/>
          <w:szCs w:val="22"/>
        </w:rPr>
        <w:t>Artículo 12.-</w:t>
      </w:r>
      <w:r w:rsidRPr="00563A6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A21E653"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563A62">
        <w:rPr>
          <w:rFonts w:ascii="Palatino Linotype" w:eastAsia="Palatino Linotype" w:hAnsi="Palatino Linotype" w:cs="Palatino Linotype"/>
          <w:i/>
          <w:sz w:val="22"/>
          <w:szCs w:val="22"/>
        </w:rPr>
        <w:t xml:space="preserve">. </w:t>
      </w:r>
      <w:r w:rsidRPr="00563A6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18DA9FC" w14:textId="77777777" w:rsidR="003104F3" w:rsidRPr="00563A62" w:rsidRDefault="003104F3">
      <w:pPr>
        <w:spacing w:line="360" w:lineRule="auto"/>
        <w:ind w:right="-93"/>
        <w:jc w:val="both"/>
        <w:rPr>
          <w:rFonts w:ascii="Palatino Linotype" w:eastAsia="Palatino Linotype" w:hAnsi="Palatino Linotype" w:cs="Palatino Linotype"/>
        </w:rPr>
      </w:pPr>
    </w:p>
    <w:p w14:paraId="42BF0C5A" w14:textId="77777777" w:rsidR="003104F3" w:rsidRPr="00563A62" w:rsidRDefault="00563A62">
      <w:pP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649B070" w14:textId="77777777" w:rsidR="003104F3" w:rsidRPr="00563A62" w:rsidRDefault="003104F3">
      <w:pPr>
        <w:spacing w:line="360" w:lineRule="auto"/>
        <w:jc w:val="both"/>
        <w:rPr>
          <w:rFonts w:ascii="Palatino Linotype" w:eastAsia="Palatino Linotype" w:hAnsi="Palatino Linotype" w:cs="Palatino Linotype"/>
        </w:rPr>
      </w:pPr>
    </w:p>
    <w:p w14:paraId="44028710" w14:textId="77777777" w:rsidR="003104F3" w:rsidRPr="00563A62" w:rsidRDefault="00563A62">
      <w:pPr>
        <w:spacing w:line="360" w:lineRule="auto"/>
        <w:ind w:right="49"/>
        <w:jc w:val="both"/>
        <w:rPr>
          <w:rFonts w:ascii="Palatino Linotype" w:eastAsia="Palatino Linotype" w:hAnsi="Palatino Linotype" w:cs="Palatino Linotype"/>
        </w:rPr>
      </w:pPr>
      <w:r w:rsidRPr="00563A6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0044A81" w14:textId="77777777" w:rsidR="003104F3" w:rsidRPr="00563A62" w:rsidRDefault="003104F3">
      <w:pPr>
        <w:spacing w:line="360" w:lineRule="auto"/>
        <w:ind w:right="49"/>
        <w:jc w:val="both"/>
        <w:rPr>
          <w:rFonts w:ascii="Palatino Linotype" w:eastAsia="Palatino Linotype" w:hAnsi="Palatino Linotype" w:cs="Palatino Linotype"/>
        </w:rPr>
      </w:pPr>
    </w:p>
    <w:p w14:paraId="2FAAFA9A" w14:textId="77777777" w:rsidR="003104F3" w:rsidRPr="00563A62" w:rsidRDefault="00563A62">
      <w:pP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Por otra parte, conviene mencionar que la Ley de Transparencia vigente en el Estado de México refiere: </w:t>
      </w:r>
    </w:p>
    <w:p w14:paraId="4D5CA137" w14:textId="77777777" w:rsidR="003104F3" w:rsidRPr="00563A62" w:rsidRDefault="003104F3">
      <w:pPr>
        <w:spacing w:line="360" w:lineRule="auto"/>
        <w:jc w:val="both"/>
        <w:rPr>
          <w:rFonts w:ascii="Palatino Linotype" w:eastAsia="Palatino Linotype" w:hAnsi="Palatino Linotype" w:cs="Palatino Linotype"/>
        </w:rPr>
      </w:pPr>
    </w:p>
    <w:p w14:paraId="75A18874"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Artículo 18.</w:t>
      </w:r>
      <w:r w:rsidRPr="00563A62">
        <w:rPr>
          <w:rFonts w:ascii="Palatino Linotype" w:eastAsia="Palatino Linotype" w:hAnsi="Palatino Linotype" w:cs="Palatino Linotype"/>
          <w:i/>
          <w:sz w:val="22"/>
          <w:szCs w:val="22"/>
        </w:rPr>
        <w:t xml:space="preserve"> </w:t>
      </w:r>
      <w:r w:rsidRPr="00563A62">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563A62">
        <w:rPr>
          <w:rFonts w:ascii="Palatino Linotype" w:eastAsia="Palatino Linotype" w:hAnsi="Palatino Linotype" w:cs="Palatino Linotype"/>
          <w:i/>
          <w:sz w:val="22"/>
          <w:szCs w:val="22"/>
        </w:rPr>
        <w:t xml:space="preserve"> y reutilización de la información que generen.</w:t>
      </w:r>
    </w:p>
    <w:p w14:paraId="50FCC34D" w14:textId="77777777" w:rsidR="003104F3" w:rsidRPr="00563A62" w:rsidRDefault="003104F3">
      <w:pPr>
        <w:ind w:left="851" w:right="616"/>
        <w:jc w:val="both"/>
        <w:rPr>
          <w:rFonts w:ascii="Palatino Linotype" w:eastAsia="Palatino Linotype" w:hAnsi="Palatino Linotype" w:cs="Palatino Linotype"/>
          <w:b/>
          <w:i/>
          <w:sz w:val="22"/>
          <w:szCs w:val="22"/>
        </w:rPr>
      </w:pPr>
    </w:p>
    <w:p w14:paraId="0BDD2FE0"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 xml:space="preserve">Artículo 19. </w:t>
      </w:r>
      <w:r w:rsidRPr="00563A62">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563A62">
        <w:rPr>
          <w:rFonts w:ascii="Palatino Linotype" w:eastAsia="Palatino Linotype" w:hAnsi="Palatino Linotype" w:cs="Palatino Linotype"/>
          <w:i/>
          <w:sz w:val="22"/>
          <w:szCs w:val="22"/>
        </w:rPr>
        <w:t>.</w:t>
      </w:r>
    </w:p>
    <w:p w14:paraId="3F82621E" w14:textId="77777777" w:rsidR="003104F3" w:rsidRPr="00563A62" w:rsidRDefault="003104F3">
      <w:pPr>
        <w:ind w:left="851" w:right="616"/>
        <w:jc w:val="both"/>
        <w:rPr>
          <w:rFonts w:ascii="Palatino Linotype" w:eastAsia="Palatino Linotype" w:hAnsi="Palatino Linotype" w:cs="Palatino Linotype"/>
          <w:i/>
          <w:sz w:val="22"/>
          <w:szCs w:val="22"/>
        </w:rPr>
      </w:pPr>
    </w:p>
    <w:p w14:paraId="07FAE627"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3F5C240F" w14:textId="77777777" w:rsidR="003104F3" w:rsidRPr="00563A62" w:rsidRDefault="003104F3">
      <w:pPr>
        <w:ind w:left="851" w:right="616"/>
        <w:jc w:val="both"/>
        <w:rPr>
          <w:rFonts w:ascii="Palatino Linotype" w:eastAsia="Palatino Linotype" w:hAnsi="Palatino Linotype" w:cs="Palatino Linotype"/>
          <w:i/>
          <w:sz w:val="22"/>
          <w:szCs w:val="22"/>
        </w:rPr>
      </w:pPr>
    </w:p>
    <w:p w14:paraId="4CE02EA3"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F69FF3A" w14:textId="77777777" w:rsidR="003104F3" w:rsidRPr="00563A62" w:rsidRDefault="003104F3">
      <w:pPr>
        <w:ind w:left="851" w:right="851"/>
        <w:jc w:val="both"/>
        <w:rPr>
          <w:rFonts w:ascii="Palatino Linotype" w:eastAsia="Palatino Linotype" w:hAnsi="Palatino Linotype" w:cs="Palatino Linotype"/>
          <w:i/>
          <w:sz w:val="22"/>
          <w:szCs w:val="22"/>
        </w:rPr>
      </w:pPr>
    </w:p>
    <w:p w14:paraId="30713002" w14:textId="77777777" w:rsidR="003104F3" w:rsidRPr="00563A62" w:rsidRDefault="00563A62">
      <w:pPr>
        <w:ind w:left="851" w:right="851"/>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Énfasis añadido.</w:t>
      </w:r>
    </w:p>
    <w:p w14:paraId="014B91B3" w14:textId="77777777" w:rsidR="003104F3" w:rsidRPr="00563A62" w:rsidRDefault="003104F3">
      <w:pPr>
        <w:spacing w:line="360" w:lineRule="auto"/>
        <w:jc w:val="both"/>
        <w:rPr>
          <w:rFonts w:ascii="Palatino Linotype" w:eastAsia="Palatino Linotype" w:hAnsi="Palatino Linotype" w:cs="Palatino Linotype"/>
        </w:rPr>
      </w:pPr>
    </w:p>
    <w:p w14:paraId="4B2132C1" w14:textId="77777777" w:rsidR="003104F3" w:rsidRPr="00563A62" w:rsidRDefault="00563A62">
      <w:pP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3A4EED4" w14:textId="77777777" w:rsidR="003104F3" w:rsidRPr="00563A62" w:rsidRDefault="003104F3">
      <w:pPr>
        <w:spacing w:line="360" w:lineRule="auto"/>
        <w:jc w:val="both"/>
        <w:rPr>
          <w:rFonts w:ascii="Palatino Linotype" w:eastAsia="Palatino Linotype" w:hAnsi="Palatino Linotype" w:cs="Palatino Linotype"/>
        </w:rPr>
      </w:pPr>
    </w:p>
    <w:p w14:paraId="796B22B7" w14:textId="77777777" w:rsidR="003104F3" w:rsidRPr="00563A62" w:rsidRDefault="00563A62">
      <w:pP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sidRPr="00563A62">
        <w:rPr>
          <w:rFonts w:ascii="Palatino Linotype" w:eastAsia="Palatino Linotype" w:hAnsi="Palatino Linotype" w:cs="Palatino Linotype"/>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E1FAF4F" w14:textId="77777777" w:rsidR="003104F3" w:rsidRPr="00563A62" w:rsidRDefault="003104F3">
      <w:pPr>
        <w:ind w:left="851" w:right="899"/>
        <w:jc w:val="both"/>
        <w:rPr>
          <w:rFonts w:ascii="Palatino Linotype" w:eastAsia="Palatino Linotype" w:hAnsi="Palatino Linotype" w:cs="Palatino Linotype"/>
          <w:i/>
          <w:sz w:val="22"/>
          <w:szCs w:val="22"/>
        </w:rPr>
      </w:pPr>
    </w:p>
    <w:p w14:paraId="409521AC" w14:textId="77777777" w:rsidR="003104F3" w:rsidRPr="00563A62" w:rsidRDefault="00563A62">
      <w:pPr>
        <w:ind w:left="851" w:right="899"/>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w:t>
      </w:r>
      <w:r w:rsidRPr="00563A62">
        <w:rPr>
          <w:rFonts w:ascii="Palatino Linotype" w:eastAsia="Palatino Linotype" w:hAnsi="Palatino Linotype" w:cs="Palatino Linotype"/>
          <w:b/>
          <w:i/>
          <w:sz w:val="22"/>
          <w:szCs w:val="22"/>
        </w:rPr>
        <w:t xml:space="preserve">Artículo 3. </w:t>
      </w:r>
      <w:r w:rsidRPr="00563A62">
        <w:rPr>
          <w:rFonts w:ascii="Palatino Linotype" w:eastAsia="Palatino Linotype" w:hAnsi="Palatino Linotype" w:cs="Palatino Linotype"/>
          <w:i/>
          <w:sz w:val="22"/>
          <w:szCs w:val="22"/>
        </w:rPr>
        <w:t>Para los efectos de la presente Ley se entenderá por:</w:t>
      </w:r>
    </w:p>
    <w:p w14:paraId="34399143" w14:textId="77777777" w:rsidR="003104F3" w:rsidRPr="00563A62" w:rsidRDefault="00563A62">
      <w:pPr>
        <w:ind w:left="851" w:right="899"/>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w:t>
      </w:r>
    </w:p>
    <w:p w14:paraId="1F867FA6"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XI. Documento:</w:t>
      </w:r>
      <w:r w:rsidRPr="00563A62">
        <w:rPr>
          <w:rFonts w:ascii="Palatino Linotype" w:eastAsia="Palatino Linotype" w:hAnsi="Palatino Linotype" w:cs="Palatino Linotype"/>
          <w:i/>
          <w:sz w:val="22"/>
          <w:szCs w:val="22"/>
        </w:rPr>
        <w:t xml:space="preserve"> Los expedientes, reportes, estudios, actas</w:t>
      </w:r>
      <w:r w:rsidRPr="00563A62">
        <w:rPr>
          <w:rFonts w:ascii="Palatino Linotype" w:eastAsia="Palatino Linotype" w:hAnsi="Palatino Linotype" w:cs="Palatino Linotype"/>
          <w:b/>
          <w:i/>
          <w:sz w:val="22"/>
          <w:szCs w:val="22"/>
        </w:rPr>
        <w:t>,</w:t>
      </w:r>
      <w:r w:rsidRPr="00563A6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563A62">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563A62">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563A62">
        <w:rPr>
          <w:rFonts w:ascii="Palatino Linotype" w:eastAsia="Palatino Linotype" w:hAnsi="Palatino Linotype" w:cs="Palatino Linotype"/>
          <w:b/>
          <w:i/>
          <w:sz w:val="22"/>
          <w:szCs w:val="22"/>
          <w:u w:val="single"/>
        </w:rPr>
        <w:t>electrónico, informático</w:t>
      </w:r>
      <w:r w:rsidRPr="00563A62">
        <w:rPr>
          <w:rFonts w:ascii="Palatino Linotype" w:eastAsia="Palatino Linotype" w:hAnsi="Palatino Linotype" w:cs="Palatino Linotype"/>
          <w:i/>
          <w:sz w:val="22"/>
          <w:szCs w:val="22"/>
        </w:rPr>
        <w:t xml:space="preserve"> u holográfico…” (Sic)</w:t>
      </w:r>
    </w:p>
    <w:p w14:paraId="05DBC1A6" w14:textId="77777777" w:rsidR="003104F3" w:rsidRPr="00563A62" w:rsidRDefault="003104F3">
      <w:pPr>
        <w:ind w:left="851" w:right="899"/>
        <w:jc w:val="both"/>
        <w:rPr>
          <w:rFonts w:ascii="Palatino Linotype" w:eastAsia="Palatino Linotype" w:hAnsi="Palatino Linotype" w:cs="Palatino Linotype"/>
          <w:sz w:val="22"/>
          <w:szCs w:val="22"/>
        </w:rPr>
      </w:pPr>
    </w:p>
    <w:p w14:paraId="5AA0B593" w14:textId="77777777" w:rsidR="003104F3" w:rsidRPr="00563A62" w:rsidRDefault="00563A62">
      <w:pP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262B20D" w14:textId="77777777" w:rsidR="003104F3" w:rsidRPr="00563A62" w:rsidRDefault="003104F3">
      <w:pPr>
        <w:ind w:left="851" w:right="899"/>
        <w:jc w:val="both"/>
        <w:rPr>
          <w:rFonts w:ascii="Palatino Linotype" w:eastAsia="Palatino Linotype" w:hAnsi="Palatino Linotype" w:cs="Palatino Linotype"/>
        </w:rPr>
      </w:pPr>
    </w:p>
    <w:p w14:paraId="7F557AE7" w14:textId="77777777" w:rsidR="003104F3" w:rsidRPr="00563A62" w:rsidRDefault="00563A62">
      <w:pPr>
        <w:ind w:left="851" w:right="616"/>
        <w:jc w:val="both"/>
        <w:rPr>
          <w:rFonts w:ascii="Palatino Linotype" w:eastAsia="Palatino Linotype" w:hAnsi="Palatino Linotype" w:cs="Palatino Linotype"/>
          <w:b/>
          <w:i/>
          <w:sz w:val="22"/>
          <w:szCs w:val="22"/>
        </w:rPr>
      </w:pPr>
      <w:r w:rsidRPr="00563A62">
        <w:rPr>
          <w:rFonts w:ascii="Palatino Linotype" w:eastAsia="Palatino Linotype" w:hAnsi="Palatino Linotype" w:cs="Palatino Linotype"/>
          <w:b/>
          <w:sz w:val="22"/>
          <w:szCs w:val="22"/>
        </w:rPr>
        <w:t>“</w:t>
      </w:r>
      <w:r w:rsidRPr="00563A62">
        <w:rPr>
          <w:rFonts w:ascii="Palatino Linotype" w:eastAsia="Palatino Linotype" w:hAnsi="Palatino Linotype" w:cs="Palatino Linotype"/>
          <w:b/>
          <w:i/>
          <w:sz w:val="22"/>
          <w:szCs w:val="22"/>
        </w:rPr>
        <w:t>CRITERIO 0002-11</w:t>
      </w:r>
    </w:p>
    <w:p w14:paraId="0D58FC7D"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63A6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DAF199"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F73382C"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23ED5AA"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14:paraId="0F97A0E5" w14:textId="77777777" w:rsidR="003104F3" w:rsidRPr="00563A62" w:rsidRDefault="00563A62">
      <w:pPr>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47042544" w14:textId="77777777" w:rsidR="003104F3" w:rsidRPr="00563A62" w:rsidRDefault="00563A62">
      <w:pPr>
        <w:spacing w:before="280" w:after="28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De ahí que el </w:t>
      </w:r>
      <w:r w:rsidRPr="00563A62">
        <w:rPr>
          <w:rFonts w:ascii="Palatino Linotype" w:eastAsia="Palatino Linotype" w:hAnsi="Palatino Linotype" w:cs="Palatino Linotype"/>
          <w:b/>
        </w:rPr>
        <w:t>Sujeto Obligado</w:t>
      </w:r>
      <w:r w:rsidRPr="00563A6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63A62">
        <w:rPr>
          <w:rFonts w:ascii="Palatino Linotype" w:eastAsia="Palatino Linotype" w:hAnsi="Palatino Linotype" w:cs="Palatino Linotype"/>
          <w:vertAlign w:val="superscript"/>
        </w:rPr>
        <w:footnoteReference w:id="1"/>
      </w:r>
      <w:r w:rsidRPr="00563A62">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63A62">
        <w:rPr>
          <w:rFonts w:ascii="Palatino Linotype" w:eastAsia="Palatino Linotype" w:hAnsi="Palatino Linotype" w:cs="Palatino Linotype"/>
          <w:vertAlign w:val="superscript"/>
        </w:rPr>
        <w:footnoteReference w:id="2"/>
      </w:r>
      <w:r w:rsidRPr="00563A62">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051684C3" w14:textId="77777777" w:rsidR="003104F3" w:rsidRPr="00563A62" w:rsidRDefault="00563A62">
      <w:pPr>
        <w:spacing w:before="280" w:after="28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Bajo ese contexto, es conveniente reiterar que el entonces solicitante requirió al </w:t>
      </w:r>
      <w:r w:rsidRPr="00563A62">
        <w:rPr>
          <w:rFonts w:ascii="Palatino Linotype" w:eastAsia="Palatino Linotype" w:hAnsi="Palatino Linotype" w:cs="Palatino Linotype"/>
          <w:b/>
        </w:rPr>
        <w:t xml:space="preserve">Sujeto Obligado </w:t>
      </w:r>
      <w:r w:rsidRPr="00563A62">
        <w:rPr>
          <w:rFonts w:ascii="Palatino Linotype" w:eastAsia="Palatino Linotype" w:hAnsi="Palatino Linotype" w:cs="Palatino Linotype"/>
        </w:rPr>
        <w:t xml:space="preserve">de todos los servidores públicos que laboran en la Secretaría del Trabajo, la siguiente información: </w:t>
      </w:r>
    </w:p>
    <w:p w14:paraId="4BEFE543" w14:textId="77777777" w:rsidR="003104F3" w:rsidRPr="00563A62" w:rsidRDefault="00563A62">
      <w:pPr>
        <w:spacing w:before="280" w:after="280" w:line="360" w:lineRule="auto"/>
        <w:jc w:val="both"/>
        <w:rPr>
          <w:rFonts w:ascii="Palatino Linotype" w:eastAsia="Palatino Linotype" w:hAnsi="Palatino Linotype" w:cs="Palatino Linotype"/>
          <w:b/>
          <w:u w:val="single"/>
        </w:rPr>
      </w:pPr>
      <w:r w:rsidRPr="00563A62">
        <w:rPr>
          <w:rFonts w:ascii="Palatino Linotype" w:eastAsia="Palatino Linotype" w:hAnsi="Palatino Linotype" w:cs="Palatino Linotype"/>
        </w:rPr>
        <w:lastRenderedPageBreak/>
        <w:t xml:space="preserve">1. Listado con el </w:t>
      </w:r>
      <w:r w:rsidRPr="00563A62">
        <w:rPr>
          <w:rFonts w:ascii="Palatino Linotype" w:eastAsia="Palatino Linotype" w:hAnsi="Palatino Linotype" w:cs="Palatino Linotype"/>
          <w:b/>
          <w:u w:val="single"/>
        </w:rPr>
        <w:t xml:space="preserve">nombre, grado máximo de estudios, sueldo neto mensual, fecha de ingreso y categoría o puesto.  </w:t>
      </w:r>
    </w:p>
    <w:p w14:paraId="4D3B0C90" w14:textId="77777777" w:rsidR="003104F3" w:rsidRPr="00563A62" w:rsidRDefault="00563A62">
      <w:pPr>
        <w:spacing w:before="280" w:after="28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En su respuesta, el </w:t>
      </w:r>
      <w:r w:rsidRPr="00563A62">
        <w:rPr>
          <w:rFonts w:ascii="Palatino Linotype" w:eastAsia="Palatino Linotype" w:hAnsi="Palatino Linotype" w:cs="Palatino Linotype"/>
          <w:b/>
        </w:rPr>
        <w:t xml:space="preserve">Sujeto Obligado </w:t>
      </w:r>
      <w:r w:rsidRPr="00563A62">
        <w:rPr>
          <w:rFonts w:ascii="Palatino Linotype" w:eastAsia="Palatino Linotype" w:hAnsi="Palatino Linotype" w:cs="Palatino Linotype"/>
        </w:rPr>
        <w:t>entregó las ligas electrónicas en las que se pueden consultar  los datos específicos del personal que labora en la dependencia.</w:t>
      </w:r>
    </w:p>
    <w:p w14:paraId="6D5DC641" w14:textId="77777777" w:rsidR="003104F3" w:rsidRPr="00563A62" w:rsidRDefault="00563A62">
      <w:pPr>
        <w:spacing w:before="240" w:after="240" w:line="360" w:lineRule="auto"/>
        <w:ind w:right="49"/>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Una vez conocida la respuesta, el </w:t>
      </w:r>
      <w:r w:rsidRPr="00563A62">
        <w:rPr>
          <w:rFonts w:ascii="Palatino Linotype" w:eastAsia="Palatino Linotype" w:hAnsi="Palatino Linotype" w:cs="Palatino Linotype"/>
          <w:b/>
        </w:rPr>
        <w:t xml:space="preserve">Recurrente </w:t>
      </w:r>
      <w:r w:rsidRPr="00563A62">
        <w:rPr>
          <w:rFonts w:ascii="Palatino Linotype" w:eastAsia="Palatino Linotype" w:hAnsi="Palatino Linotype" w:cs="Palatino Linotype"/>
        </w:rPr>
        <w:t xml:space="preserve">manifestó como razones o motivos de inconformidad que el </w:t>
      </w:r>
      <w:r w:rsidRPr="00563A62">
        <w:rPr>
          <w:rFonts w:ascii="Palatino Linotype" w:eastAsia="Palatino Linotype" w:hAnsi="Palatino Linotype" w:cs="Palatino Linotype"/>
          <w:b/>
        </w:rPr>
        <w:t>Sujeto Obligado se negó a otorgar los documentos</w:t>
      </w:r>
      <w:r w:rsidRPr="00563A62">
        <w:rPr>
          <w:rFonts w:ascii="Palatino Linotype" w:eastAsia="Palatino Linotype" w:hAnsi="Palatino Linotype" w:cs="Palatino Linotype"/>
        </w:rPr>
        <w:t xml:space="preserve"> y manda a la liga de IPOMEX y </w:t>
      </w:r>
      <w:r w:rsidRPr="00563A62">
        <w:rPr>
          <w:rFonts w:ascii="Palatino Linotype" w:eastAsia="Palatino Linotype" w:hAnsi="Palatino Linotype" w:cs="Palatino Linotype"/>
          <w:b/>
        </w:rPr>
        <w:t>esta información no está actualizada</w:t>
      </w:r>
      <w:r w:rsidRPr="00563A62">
        <w:rPr>
          <w:rFonts w:ascii="Palatino Linotype" w:eastAsia="Palatino Linotype" w:hAnsi="Palatino Linotype" w:cs="Palatino Linotype"/>
        </w:rPr>
        <w:t xml:space="preserve">. </w:t>
      </w:r>
    </w:p>
    <w:p w14:paraId="418B9291" w14:textId="77777777" w:rsidR="003104F3" w:rsidRPr="00563A62" w:rsidRDefault="00563A62">
      <w:pPr>
        <w:spacing w:before="240" w:after="240" w:line="360" w:lineRule="auto"/>
        <w:ind w:right="49"/>
        <w:jc w:val="both"/>
        <w:rPr>
          <w:rFonts w:ascii="Palatino Linotype" w:eastAsia="Palatino Linotype" w:hAnsi="Palatino Linotype" w:cs="Palatino Linotype"/>
        </w:rPr>
      </w:pPr>
      <w:r w:rsidRPr="00563A62">
        <w:rPr>
          <w:rFonts w:ascii="Palatino Linotype" w:eastAsia="Palatino Linotype" w:hAnsi="Palatino Linotype" w:cs="Palatino Linotype"/>
        </w:rPr>
        <w:t>En este contexto, es importante referir que es de suma importancia invocar el contenido de los artículos 162, 163, 164 y 165 de la Ley de Transparencia y Acceso a la Información Pública del Estado de México y Municipios, que rezan así:</w:t>
      </w:r>
    </w:p>
    <w:p w14:paraId="22828E55" w14:textId="77777777" w:rsidR="003104F3" w:rsidRPr="00563A62" w:rsidRDefault="00563A62">
      <w:pPr>
        <w:spacing w:after="120"/>
        <w:ind w:left="851" w:right="900"/>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“Artículo 162.</w:t>
      </w:r>
      <w:r w:rsidRPr="00563A62">
        <w:rPr>
          <w:rFonts w:ascii="Palatino Linotype" w:eastAsia="Palatino Linotype" w:hAnsi="Palatino Linotype" w:cs="Palatino Linotype"/>
          <w:i/>
          <w:sz w:val="22"/>
          <w:szCs w:val="22"/>
        </w:rPr>
        <w:t xml:space="preserve"> Las unidades de transparencia deberán </w:t>
      </w:r>
      <w:r w:rsidRPr="00563A62">
        <w:rPr>
          <w:rFonts w:ascii="Palatino Linotype" w:eastAsia="Palatino Linotype" w:hAnsi="Palatino Linotype" w:cs="Palatino Linotype"/>
          <w:b/>
          <w:i/>
          <w:sz w:val="22"/>
          <w:szCs w:val="22"/>
        </w:rPr>
        <w:t>garantizar que las solicitudes se turnen a todas las Áreas competentes</w:t>
      </w:r>
      <w:r w:rsidRPr="00563A62">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  </w:t>
      </w:r>
    </w:p>
    <w:p w14:paraId="059B1B90" w14:textId="77777777" w:rsidR="003104F3" w:rsidRPr="00563A62" w:rsidRDefault="00563A62">
      <w:pPr>
        <w:spacing w:after="120"/>
        <w:ind w:left="851" w:right="900"/>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Artículo 163.</w:t>
      </w:r>
      <w:r w:rsidRPr="00563A62">
        <w:rPr>
          <w:rFonts w:ascii="Palatino Linotype" w:eastAsia="Palatino Linotype" w:hAnsi="Palatino Linotype" w:cs="Palatino Linotype"/>
          <w:i/>
          <w:sz w:val="22"/>
          <w:szCs w:val="22"/>
        </w:rPr>
        <w:t xml:space="preserve"> La </w:t>
      </w:r>
      <w:r w:rsidRPr="00563A62">
        <w:rPr>
          <w:rFonts w:ascii="Palatino Linotype" w:eastAsia="Palatino Linotype" w:hAnsi="Palatino Linotype" w:cs="Palatino Linotype"/>
          <w:b/>
          <w:i/>
          <w:sz w:val="22"/>
          <w:szCs w:val="22"/>
        </w:rPr>
        <w:t>Unidad de Transparencia deberá notificar la respuesta a la solicitud al interesado en el menor tiempo posible</w:t>
      </w:r>
      <w:r w:rsidRPr="00563A62">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14:paraId="2A7D1E22" w14:textId="77777777" w:rsidR="003104F3" w:rsidRPr="00563A62" w:rsidRDefault="00563A62">
      <w:pPr>
        <w:spacing w:after="120"/>
        <w:ind w:left="851" w:right="900"/>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1CF9C862" w14:textId="77777777" w:rsidR="003104F3" w:rsidRPr="00563A62" w:rsidRDefault="00563A62">
      <w:pPr>
        <w:spacing w:after="120"/>
        <w:ind w:left="851" w:right="900"/>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Artículo 164.</w:t>
      </w:r>
      <w:r w:rsidRPr="00563A62">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w:t>
      </w:r>
      <w:r w:rsidRPr="00563A62">
        <w:rPr>
          <w:rFonts w:ascii="Palatino Linotype" w:eastAsia="Palatino Linotype" w:hAnsi="Palatino Linotype" w:cs="Palatino Linotype"/>
          <w:i/>
          <w:sz w:val="22"/>
          <w:szCs w:val="22"/>
        </w:rPr>
        <w:lastRenderedPageBreak/>
        <w:t xml:space="preserve">en la modalidad solicitada, el sujeto obligado deberá ofrecer otra u otras modalidades de entrega.  </w:t>
      </w:r>
    </w:p>
    <w:p w14:paraId="35891CC3" w14:textId="77777777" w:rsidR="003104F3" w:rsidRPr="00563A62" w:rsidRDefault="00563A62">
      <w:pPr>
        <w:spacing w:after="120"/>
        <w:ind w:left="851" w:right="900"/>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xml:space="preserve">En cualquier caso, se deberá fundar y motivar la necesidad de ofrecer otras modalidades.  </w:t>
      </w:r>
    </w:p>
    <w:p w14:paraId="6821316A" w14:textId="77777777" w:rsidR="003104F3" w:rsidRPr="00563A62" w:rsidRDefault="00563A62">
      <w:pPr>
        <w:spacing w:after="120"/>
        <w:ind w:left="851" w:right="900"/>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Artículo 165.</w:t>
      </w:r>
      <w:r w:rsidRPr="00563A62">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5C71A1C6" w14:textId="77777777" w:rsidR="003104F3" w:rsidRPr="00563A62" w:rsidRDefault="00563A62">
      <w:pPr>
        <w:spacing w:before="240" w:after="240" w:line="360" w:lineRule="auto"/>
        <w:ind w:right="49"/>
        <w:jc w:val="both"/>
        <w:rPr>
          <w:rFonts w:ascii="Palatino Linotype" w:eastAsia="Palatino Linotype" w:hAnsi="Palatino Linotype" w:cs="Palatino Linotype"/>
        </w:rPr>
      </w:pPr>
      <w:r w:rsidRPr="00563A62">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0E5802D9" w14:textId="77777777" w:rsidR="003104F3" w:rsidRPr="00563A62" w:rsidRDefault="00563A62">
      <w:pPr>
        <w:spacing w:before="240" w:after="240" w:line="360" w:lineRule="auto"/>
        <w:ind w:right="49"/>
        <w:jc w:val="both"/>
        <w:rPr>
          <w:rFonts w:ascii="Palatino Linotype" w:eastAsia="Palatino Linotype" w:hAnsi="Palatino Linotype" w:cs="Palatino Linotype"/>
        </w:rPr>
      </w:pPr>
      <w:r w:rsidRPr="00563A62">
        <w:rPr>
          <w:rFonts w:ascii="Palatino Linotype" w:eastAsia="Palatino Linotype" w:hAnsi="Palatino Linotype" w:cs="Palatino Linotype"/>
        </w:rPr>
        <w:t>Es así que, la Unidad de Transparencia es la responsable de hacer las notificaciones correspondientes, además de llevar a cabo todas las gestiones necesarias para facilitar el acceso a la información.</w:t>
      </w:r>
    </w:p>
    <w:p w14:paraId="6171F11B"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En este tenor, conviene referir que el Manual General de Organización de la Secretaría del Trabajo señala que la Coordinación Administrativa, a través de la Subdirección de Personal  es competente para gestionar, controlar y supervisar las actividades en materia de desarrollo y administración de personal de los servidores públicos adscritos a esa Dependencia; cuyas funciones son las siguientes: </w:t>
      </w:r>
    </w:p>
    <w:p w14:paraId="6B3B9470"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xml:space="preserve">FUNCIONES: </w:t>
      </w:r>
    </w:p>
    <w:p w14:paraId="67BA81A6"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w:t>
      </w:r>
    </w:p>
    <w:p w14:paraId="790CABF8"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xml:space="preserve">− </w:t>
      </w:r>
      <w:r w:rsidRPr="00563A62">
        <w:rPr>
          <w:rFonts w:ascii="Palatino Linotype" w:eastAsia="Palatino Linotype" w:hAnsi="Palatino Linotype" w:cs="Palatino Linotype"/>
          <w:b/>
          <w:i/>
          <w:sz w:val="22"/>
          <w:szCs w:val="22"/>
          <w:u w:val="single"/>
        </w:rPr>
        <w:t>Revisar, controlar y gestionar el pago de sueldos,</w:t>
      </w:r>
      <w:r w:rsidRPr="00563A62">
        <w:rPr>
          <w:rFonts w:ascii="Palatino Linotype" w:eastAsia="Palatino Linotype" w:hAnsi="Palatino Linotype" w:cs="Palatino Linotype"/>
          <w:i/>
          <w:sz w:val="22"/>
          <w:szCs w:val="22"/>
        </w:rPr>
        <w:t xml:space="preserve"> estímulos, indemnizaciones, finiquitos, viáticos fijos y prima dominical, así como dar seguimiento a la aplicación de prestaciones como vacaciones, días económicos, incapacidades, licencias y permisos de las personas servidoras públicas de la Secretaría. </w:t>
      </w:r>
    </w:p>
    <w:p w14:paraId="762E5428"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lastRenderedPageBreak/>
        <w:t xml:space="preserve">− </w:t>
      </w:r>
      <w:r w:rsidRPr="00563A62">
        <w:rPr>
          <w:rFonts w:ascii="Palatino Linotype" w:eastAsia="Palatino Linotype" w:hAnsi="Palatino Linotype" w:cs="Palatino Linotype"/>
          <w:b/>
          <w:i/>
          <w:sz w:val="22"/>
          <w:szCs w:val="22"/>
          <w:u w:val="single"/>
        </w:rPr>
        <w:t>Efectuar el proceso de reclutamiento, selección de personal, contratación y administración de sueldos y salarios</w:t>
      </w:r>
      <w:r w:rsidRPr="00563A62">
        <w:rPr>
          <w:rFonts w:ascii="Palatino Linotype" w:eastAsia="Palatino Linotype" w:hAnsi="Palatino Linotype" w:cs="Palatino Linotype"/>
          <w:i/>
          <w:sz w:val="22"/>
          <w:szCs w:val="22"/>
        </w:rPr>
        <w:t xml:space="preserve">, entre otros, que determine la Secretaría de Finanzas. </w:t>
      </w:r>
    </w:p>
    <w:p w14:paraId="6A5F8787"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xml:space="preserve">− Elaborar y analizar estadísticas referentes a la </w:t>
      </w:r>
      <w:r w:rsidRPr="00563A62">
        <w:rPr>
          <w:rFonts w:ascii="Palatino Linotype" w:eastAsia="Palatino Linotype" w:hAnsi="Palatino Linotype" w:cs="Palatino Linotype"/>
          <w:b/>
          <w:i/>
          <w:sz w:val="22"/>
          <w:szCs w:val="22"/>
          <w:u w:val="single"/>
        </w:rPr>
        <w:t>integración de plazas, número de personas servidoras públicas</w:t>
      </w:r>
      <w:r w:rsidRPr="00563A62">
        <w:rPr>
          <w:rFonts w:ascii="Palatino Linotype" w:eastAsia="Palatino Linotype" w:hAnsi="Palatino Linotype" w:cs="Palatino Linotype"/>
          <w:i/>
          <w:sz w:val="22"/>
          <w:szCs w:val="22"/>
        </w:rPr>
        <w:t xml:space="preserve">, gastos de servicios personales y otros indicadores en la materia. </w:t>
      </w:r>
    </w:p>
    <w:p w14:paraId="6DDF2FC4"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xml:space="preserve">− Llevar el registro de las personas servidoras públicas de la Secretaría del Trabajo que hayan sido separadas del servicio por incapacidad permanente para trabajar y a quienes se les rescindió la relación laboral por causas imputables a los mismos. </w:t>
      </w:r>
    </w:p>
    <w:p w14:paraId="2638575C"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xml:space="preserve">− </w:t>
      </w:r>
      <w:r w:rsidRPr="00563A62">
        <w:rPr>
          <w:rFonts w:ascii="Palatino Linotype" w:eastAsia="Palatino Linotype" w:hAnsi="Palatino Linotype" w:cs="Palatino Linotype"/>
          <w:b/>
          <w:i/>
          <w:sz w:val="22"/>
          <w:szCs w:val="22"/>
          <w:u w:val="single"/>
        </w:rPr>
        <w:t>Realizar la contratación y pago del personal eventual,</w:t>
      </w:r>
      <w:r w:rsidRPr="00563A62">
        <w:rPr>
          <w:rFonts w:ascii="Palatino Linotype" w:eastAsia="Palatino Linotype" w:hAnsi="Palatino Linotype" w:cs="Palatino Linotype"/>
          <w:i/>
          <w:sz w:val="22"/>
          <w:szCs w:val="22"/>
        </w:rPr>
        <w:t xml:space="preserve"> de conformidad con la normatividad aplicable en la materia. </w:t>
      </w:r>
    </w:p>
    <w:p w14:paraId="5A7C204A"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Controlar y supervisar los registros de asistencia, ausencias y comisiones del personal de la Secretaría del Trabajo, de conformidad con la normatividad establecida.</w:t>
      </w:r>
    </w:p>
    <w:p w14:paraId="66EF95BD"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xml:space="preserve"> − Aplicar a las personas servidoras públicas de la Secretaría del Trabajo, en el ámbito de su competencia, las sanciones que determine la persona titular de la Coordinación Administrativa con base en las condiciones generales de trabajo y demás disposiciones legales aplicables. </w:t>
      </w:r>
    </w:p>
    <w:p w14:paraId="10507238"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xml:space="preserve">− Reportar a la persona titular de la Secretaría de la Contraloría los movimientos de altas y bajas del personal obligado a presentar manifestación de bienes. </w:t>
      </w:r>
    </w:p>
    <w:p w14:paraId="793A79CD" w14:textId="77777777" w:rsidR="003104F3" w:rsidRPr="00563A62" w:rsidRDefault="00563A62">
      <w:pPr>
        <w:spacing w:before="240" w:after="240" w:line="276" w:lineRule="auto"/>
        <w:ind w:left="851" w:right="616"/>
        <w:jc w:val="both"/>
        <w:rPr>
          <w:rFonts w:ascii="Palatino Linotype" w:eastAsia="Palatino Linotype" w:hAnsi="Palatino Linotype" w:cs="Palatino Linotype"/>
          <w:b/>
          <w:i/>
          <w:sz w:val="22"/>
          <w:szCs w:val="22"/>
          <w:u w:val="single"/>
        </w:rPr>
      </w:pPr>
      <w:r w:rsidRPr="00563A62">
        <w:rPr>
          <w:rFonts w:ascii="Palatino Linotype" w:eastAsia="Palatino Linotype" w:hAnsi="Palatino Linotype" w:cs="Palatino Linotype"/>
          <w:i/>
          <w:sz w:val="22"/>
          <w:szCs w:val="22"/>
        </w:rPr>
        <w:t xml:space="preserve">− </w:t>
      </w:r>
      <w:r w:rsidRPr="00563A62">
        <w:rPr>
          <w:rFonts w:ascii="Palatino Linotype" w:eastAsia="Palatino Linotype" w:hAnsi="Palatino Linotype" w:cs="Palatino Linotype"/>
          <w:b/>
          <w:i/>
          <w:sz w:val="22"/>
          <w:szCs w:val="22"/>
          <w:u w:val="single"/>
        </w:rPr>
        <w:t xml:space="preserve">Elaborar la plantilla de personal para efectos de presupuesto, ampliación de recursos y estudios de reestructuración, así como mantenerla periódicamente actualizada. </w:t>
      </w:r>
    </w:p>
    <w:p w14:paraId="535F94CC"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Gestionar ante la Dirección General de Personal de la Secretaría de Finanzas los movimientos de altas, bajas, cambios, conversiones, promociones y licencias, entre otros, a los que tienen derecho las personas servidoras públicas adscritas a la dependencia.</w:t>
      </w:r>
    </w:p>
    <w:p w14:paraId="14DC4289"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lastRenderedPageBreak/>
        <w:t xml:space="preserve"> − Ejecutar las normas, procedimientos y mecanismos establecidos para el otorgamiento de estímulos y recompensas, mediante la evaluación del desempeño, promoviendo la motivación e incentivación de la persona servidora pública, así como su desarrollo en las labores que se le encomienden. </w:t>
      </w:r>
    </w:p>
    <w:p w14:paraId="60F12EE0" w14:textId="77777777" w:rsidR="003104F3" w:rsidRPr="00563A62" w:rsidRDefault="00563A62">
      <w:pPr>
        <w:spacing w:before="240" w:after="240" w:line="276" w:lineRule="auto"/>
        <w:ind w:left="851" w:right="616"/>
        <w:jc w:val="both"/>
        <w:rPr>
          <w:rFonts w:ascii="Palatino Linotype" w:eastAsia="Palatino Linotype" w:hAnsi="Palatino Linotype" w:cs="Palatino Linotype"/>
          <w:b/>
          <w:i/>
          <w:sz w:val="22"/>
          <w:szCs w:val="22"/>
        </w:rPr>
      </w:pPr>
      <w:r w:rsidRPr="00563A62">
        <w:rPr>
          <w:rFonts w:ascii="Palatino Linotype" w:eastAsia="Palatino Linotype" w:hAnsi="Palatino Linotype" w:cs="Palatino Linotype"/>
          <w:b/>
          <w:i/>
          <w:sz w:val="22"/>
          <w:szCs w:val="22"/>
        </w:rPr>
        <w:t xml:space="preserve">− Verificar la asignación de puestos, códigos y categorías al personal contratado, con base en el catálogo general de puestos por grupo y rama. </w:t>
      </w:r>
    </w:p>
    <w:p w14:paraId="1FA02E8E"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Aplicar el Reglamento del Proceso Escalafonario de las Personas Servidoras Públicas Generales del Poder Ejecutivo del Estado de México, con el objeto de promover los ascensos escalafonarios del personal adscrito a la Secretaría del Trabajo.</w:t>
      </w:r>
    </w:p>
    <w:p w14:paraId="5F26B5A1" w14:textId="77777777" w:rsidR="003104F3" w:rsidRPr="00563A62" w:rsidRDefault="00563A62">
      <w:pPr>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Tramitar ante las instancias correspondientes documentación relacionada con la entrega y recepción de oficinas de la Secretaría del Trabajo, a fin de dar cumplimiento a las disposiciones en la materia. − Dar seguimiento a la aplicación de las medidas de seguridad e higiene que señala el reglamento, la comisión y subcomisiones, así como las que se deriven de otras disposiciones legales en la materia. − Colaborar en la formulación, instrumentación y control de programas y proyectos de apoyo administrativo en los que la Coordinación Administrativa participe. − Coordinar la ejecución del programa interno de protección civil, de acuerdo con la normatividad establecida y evaluar los resultados. − Certificar copias de documentos existentes en sus archivos y la impresión documental de los datos contenidos en los sistemas informáticos que operen, con relación a los asuntos de su competencia. − Desarrollar las demás funciones inherentes al área de su competencia.</w:t>
      </w:r>
    </w:p>
    <w:p w14:paraId="6B12DC98" w14:textId="77777777" w:rsidR="003104F3" w:rsidRPr="00563A62" w:rsidRDefault="00563A62">
      <w:pPr>
        <w:spacing w:before="240" w:after="240" w:line="360" w:lineRule="auto"/>
        <w:ind w:right="49"/>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En este tenor, cabe señalar que el Titular de la Unidad de Transparencia en cumplimiento a lo dispuesto por el artículo 162 de la Ley de Transparencia Local, previamente citado, turnó al requerimiento al Servidor Público Habilitado, titular de la Subdirección de Personal  de la Coordinación Administrativa, quien cuenta con las facultades, competencias y funciones para generar, administrar y poseer la información pública solicitada. </w:t>
      </w:r>
    </w:p>
    <w:p w14:paraId="4DA59DC4"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bookmarkStart w:id="5" w:name="_heading=h.2et92p0" w:colFirst="0" w:colLast="0"/>
      <w:bookmarkEnd w:id="5"/>
      <w:r w:rsidRPr="00563A62">
        <w:rPr>
          <w:rFonts w:ascii="Palatino Linotype" w:eastAsia="Palatino Linotype" w:hAnsi="Palatino Linotype" w:cs="Palatino Linotype"/>
        </w:rPr>
        <w:lastRenderedPageBreak/>
        <w:t xml:space="preserve">Es así que, en respuesta a la solicitud de información  la Servidora Pública Habilitada de la Subdirección de Personal  manifestó que los datos solicitados se encuentran publicados en el Portal de Información Pública de Oficio (IPOMEX) proporcionando las ligas electrónicas para su consulta, tal como se advierte en la siguiente imagen. </w:t>
      </w:r>
    </w:p>
    <w:p w14:paraId="65A24D6E"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noProof/>
          <w:lang w:val="es-MX"/>
        </w:rPr>
        <w:drawing>
          <wp:inline distT="0" distB="0" distL="0" distR="0" wp14:anchorId="3F5C3B80" wp14:editId="50638114">
            <wp:extent cx="5499098" cy="5879717"/>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499098" cy="5879717"/>
                    </a:xfrm>
                    <a:prstGeom prst="rect">
                      <a:avLst/>
                    </a:prstGeom>
                    <a:ln/>
                  </pic:spPr>
                </pic:pic>
              </a:graphicData>
            </a:graphic>
          </wp:inline>
        </w:drawing>
      </w:r>
    </w:p>
    <w:p w14:paraId="1E815E03"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lastRenderedPageBreak/>
        <w:t>En tal sentido, es oportuno traer a colación el artículo 161</w:t>
      </w:r>
      <w:r w:rsidRPr="00563A62">
        <w:rPr>
          <w:rFonts w:ascii="Palatino Linotype" w:eastAsia="Palatino Linotype" w:hAnsi="Palatino Linotype" w:cs="Palatino Linotype"/>
          <w:vertAlign w:val="superscript"/>
        </w:rPr>
        <w:footnoteReference w:id="3"/>
      </w:r>
      <w:r w:rsidRPr="00563A62">
        <w:rPr>
          <w:rFonts w:ascii="Palatino Linotype" w:eastAsia="Palatino Linotype" w:hAnsi="Palatino Linotype" w:cs="Palatino Linotype"/>
        </w:rPr>
        <w:t xml:space="preserve"> de la Ley de Transparencia y Acceso a la Información Pública del Estado de México y Municipios</w:t>
      </w:r>
      <w:r w:rsidRPr="00563A62">
        <w:rPr>
          <w:rFonts w:ascii="Palatino Linotype" w:eastAsia="Palatino Linotype" w:hAnsi="Palatino Linotype" w:cs="Palatino Linotype"/>
          <w:i/>
        </w:rPr>
        <w:t xml:space="preserve">, </w:t>
      </w:r>
      <w:r w:rsidRPr="00563A62">
        <w:rPr>
          <w:rFonts w:ascii="Palatino Linotype" w:eastAsia="Palatino Linotype" w:hAnsi="Palatino Linotype" w:cs="Palatino Linotype"/>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40065E4" w14:textId="77777777" w:rsidR="003104F3" w:rsidRPr="00563A62" w:rsidRDefault="00563A62">
      <w:pPr>
        <w:spacing w:before="120" w:after="120" w:line="276" w:lineRule="auto"/>
        <w:ind w:left="284" w:right="51"/>
        <w:jc w:val="both"/>
        <w:rPr>
          <w:rFonts w:ascii="Palatino Linotype" w:eastAsia="Palatino Linotype" w:hAnsi="Palatino Linotype" w:cs="Palatino Linotype"/>
        </w:rPr>
      </w:pPr>
      <w:r w:rsidRPr="00563A62">
        <w:rPr>
          <w:rFonts w:ascii="Palatino Linotype" w:eastAsia="Palatino Linotype" w:hAnsi="Palatino Linotype" w:cs="Palatino Linotype"/>
        </w:rPr>
        <w:t>a) La fuente</w:t>
      </w:r>
    </w:p>
    <w:p w14:paraId="7E51BCA2" w14:textId="77777777" w:rsidR="003104F3" w:rsidRPr="00563A62" w:rsidRDefault="00563A62">
      <w:pPr>
        <w:spacing w:before="120" w:after="120" w:line="276" w:lineRule="auto"/>
        <w:ind w:left="284" w:right="51"/>
        <w:jc w:val="both"/>
        <w:rPr>
          <w:rFonts w:ascii="Palatino Linotype" w:eastAsia="Palatino Linotype" w:hAnsi="Palatino Linotype" w:cs="Palatino Linotype"/>
        </w:rPr>
      </w:pPr>
      <w:r w:rsidRPr="00563A62">
        <w:rPr>
          <w:rFonts w:ascii="Palatino Linotype" w:eastAsia="Palatino Linotype" w:hAnsi="Palatino Linotype" w:cs="Palatino Linotype"/>
        </w:rPr>
        <w:t>b) El lugar y</w:t>
      </w:r>
    </w:p>
    <w:p w14:paraId="20BE86C5" w14:textId="77777777" w:rsidR="003104F3" w:rsidRPr="00563A62" w:rsidRDefault="00563A62">
      <w:pPr>
        <w:spacing w:before="120" w:after="120" w:line="276" w:lineRule="auto"/>
        <w:ind w:left="284" w:right="51"/>
        <w:jc w:val="both"/>
        <w:rPr>
          <w:rFonts w:ascii="Palatino Linotype" w:eastAsia="Palatino Linotype" w:hAnsi="Palatino Linotype" w:cs="Palatino Linotype"/>
        </w:rPr>
      </w:pPr>
      <w:r w:rsidRPr="00563A62">
        <w:rPr>
          <w:rFonts w:ascii="Palatino Linotype" w:eastAsia="Palatino Linotype" w:hAnsi="Palatino Linotype" w:cs="Palatino Linotype"/>
        </w:rPr>
        <w:t>c) La forma</w:t>
      </w:r>
    </w:p>
    <w:p w14:paraId="4844E70B" w14:textId="77777777" w:rsidR="003104F3" w:rsidRPr="00563A62" w:rsidRDefault="00563A62">
      <w:pPr>
        <w:spacing w:before="240" w:after="240" w:line="360" w:lineRule="auto"/>
        <w:ind w:right="49"/>
        <w:jc w:val="both"/>
        <w:rPr>
          <w:rFonts w:ascii="Palatino Linotype" w:eastAsia="Palatino Linotype" w:hAnsi="Palatino Linotype" w:cs="Palatino Linotype"/>
        </w:rPr>
      </w:pPr>
      <w:r w:rsidRPr="00563A62">
        <w:rPr>
          <w:rFonts w:ascii="Palatino Linotype" w:eastAsia="Palatino Linotype" w:hAnsi="Palatino Linotype" w:cs="Palatino Linotype"/>
        </w:rPr>
        <w:t>Asimismo, se establece que la fuente de la información deberá ser:</w:t>
      </w:r>
    </w:p>
    <w:p w14:paraId="166062AC" w14:textId="77777777" w:rsidR="003104F3" w:rsidRPr="00563A62" w:rsidRDefault="00563A62">
      <w:pPr>
        <w:spacing w:before="120" w:after="120" w:line="276" w:lineRule="auto"/>
        <w:ind w:left="284" w:right="51"/>
        <w:jc w:val="both"/>
        <w:rPr>
          <w:rFonts w:ascii="Palatino Linotype" w:eastAsia="Palatino Linotype" w:hAnsi="Palatino Linotype" w:cs="Palatino Linotype"/>
        </w:rPr>
      </w:pPr>
      <w:r w:rsidRPr="00563A62">
        <w:rPr>
          <w:rFonts w:ascii="Palatino Linotype" w:eastAsia="Palatino Linotype" w:hAnsi="Palatino Linotype" w:cs="Palatino Linotype"/>
        </w:rPr>
        <w:t>a) Precisa</w:t>
      </w:r>
    </w:p>
    <w:p w14:paraId="0AB61384" w14:textId="77777777" w:rsidR="003104F3" w:rsidRPr="00563A62" w:rsidRDefault="00563A62">
      <w:pPr>
        <w:spacing w:before="120" w:after="120" w:line="276" w:lineRule="auto"/>
        <w:ind w:left="284" w:right="51"/>
        <w:jc w:val="both"/>
        <w:rPr>
          <w:rFonts w:ascii="Palatino Linotype" w:eastAsia="Palatino Linotype" w:hAnsi="Palatino Linotype" w:cs="Palatino Linotype"/>
        </w:rPr>
      </w:pPr>
      <w:r w:rsidRPr="00563A62">
        <w:rPr>
          <w:rFonts w:ascii="Palatino Linotype" w:eastAsia="Palatino Linotype" w:hAnsi="Palatino Linotype" w:cs="Palatino Linotype"/>
        </w:rPr>
        <w:t>b) Concreta</w:t>
      </w:r>
    </w:p>
    <w:p w14:paraId="061756D2" w14:textId="77777777" w:rsidR="003104F3" w:rsidRPr="00563A62" w:rsidRDefault="00563A62">
      <w:pPr>
        <w:spacing w:before="120" w:after="120" w:line="276" w:lineRule="auto"/>
        <w:ind w:left="284" w:right="51"/>
        <w:jc w:val="both"/>
        <w:rPr>
          <w:rFonts w:ascii="Palatino Linotype" w:eastAsia="Palatino Linotype" w:hAnsi="Palatino Linotype" w:cs="Palatino Linotype"/>
        </w:rPr>
      </w:pPr>
      <w:r w:rsidRPr="00563A62">
        <w:rPr>
          <w:rFonts w:ascii="Palatino Linotype" w:eastAsia="Palatino Linotype" w:hAnsi="Palatino Linotype" w:cs="Palatino Linotype"/>
        </w:rPr>
        <w:t>c) Y no debe implicar que el solicitante realice una búsqueda en toda la información que se encuentre disponible.</w:t>
      </w:r>
    </w:p>
    <w:p w14:paraId="486A5BAE" w14:textId="77777777" w:rsidR="003104F3" w:rsidRPr="00563A62" w:rsidRDefault="00563A62">
      <w:pPr>
        <w:spacing w:before="240" w:after="240" w:line="360" w:lineRule="auto"/>
        <w:ind w:right="49"/>
        <w:jc w:val="both"/>
        <w:rPr>
          <w:rFonts w:ascii="Palatino Linotype" w:eastAsia="Palatino Linotype" w:hAnsi="Palatino Linotype" w:cs="Palatino Linotype"/>
        </w:rPr>
      </w:pPr>
      <w:r w:rsidRPr="00563A62">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14:paraId="334BEE30"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lastRenderedPageBreak/>
        <w:t xml:space="preserve">Es así que, en el presente asunto se procede a consultar las ligas electrónicas proporcionadas en respuesta, a fin de determinar si de las mismas es posible obtener los datos relativos al </w:t>
      </w:r>
      <w:r w:rsidRPr="00563A62">
        <w:rPr>
          <w:rFonts w:ascii="Palatino Linotype" w:eastAsia="Palatino Linotype" w:hAnsi="Palatino Linotype" w:cs="Palatino Linotype"/>
          <w:b/>
          <w:i/>
          <w:sz w:val="22"/>
          <w:szCs w:val="22"/>
        </w:rPr>
        <w:t>nombre, grado máximo de estudios, sueldo neto al mes, fecha de ingreso y categoría o puesto</w:t>
      </w:r>
      <w:r w:rsidRPr="00563A62">
        <w:rPr>
          <w:rFonts w:ascii="Palatino Linotype" w:eastAsia="Palatino Linotype" w:hAnsi="Palatino Linotype" w:cs="Palatino Linotype"/>
          <w:i/>
          <w:sz w:val="22"/>
          <w:szCs w:val="22"/>
        </w:rPr>
        <w:t xml:space="preserve"> </w:t>
      </w:r>
      <w:r w:rsidRPr="00563A62">
        <w:rPr>
          <w:rFonts w:ascii="Palatino Linotype" w:eastAsia="Palatino Linotype" w:hAnsi="Palatino Linotype" w:cs="Palatino Linotype"/>
          <w:sz w:val="22"/>
          <w:szCs w:val="22"/>
        </w:rPr>
        <w:t xml:space="preserve">de todos los servidores públicos adscritos a la Secretaría del Trabajo. </w:t>
      </w:r>
    </w:p>
    <w:p w14:paraId="02FD8853"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1.-  </w:t>
      </w:r>
      <w:hyperlink r:id="rId9">
        <w:r w:rsidRPr="00563A62">
          <w:rPr>
            <w:rFonts w:ascii="Palatino Linotype" w:eastAsia="Palatino Linotype" w:hAnsi="Palatino Linotype" w:cs="Palatino Linotype"/>
            <w:u w:val="single"/>
          </w:rPr>
          <w:t>https://ipomex.org.mx/ipo3/lgt/indice/TRABAJO/art_92_vii.web</w:t>
        </w:r>
      </w:hyperlink>
    </w:p>
    <w:p w14:paraId="5363864F"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De la consulta realizada el hipervínculo proporcionado por el </w:t>
      </w:r>
      <w:r w:rsidRPr="00563A62">
        <w:rPr>
          <w:rFonts w:ascii="Palatino Linotype" w:eastAsia="Palatino Linotype" w:hAnsi="Palatino Linotype" w:cs="Palatino Linotype"/>
          <w:b/>
        </w:rPr>
        <w:t xml:space="preserve">Sujeto Obligado </w:t>
      </w:r>
      <w:r w:rsidRPr="00563A62">
        <w:rPr>
          <w:rFonts w:ascii="Palatino Linotype" w:eastAsia="Palatino Linotype" w:hAnsi="Palatino Linotype" w:cs="Palatino Linotype"/>
        </w:rPr>
        <w:t xml:space="preserve">en su respuesta, se puede advertir que la dirección electrónica dirige al Directorio de todos los servidores públicos, en el que se  visualizan los registros que corresponden al año dos mil veintidós. </w:t>
      </w:r>
    </w:p>
    <w:p w14:paraId="2C245A59"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noProof/>
          <w:lang w:val="es-MX"/>
        </w:rPr>
        <w:drawing>
          <wp:inline distT="0" distB="0" distL="0" distR="0" wp14:anchorId="145BC578" wp14:editId="1FB340F9">
            <wp:extent cx="5612130" cy="2950210"/>
            <wp:effectExtent l="0" t="0" r="0" b="0"/>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12130" cy="2950210"/>
                    </a:xfrm>
                    <a:prstGeom prst="rect">
                      <a:avLst/>
                    </a:prstGeom>
                    <a:ln/>
                  </pic:spPr>
                </pic:pic>
              </a:graphicData>
            </a:graphic>
          </wp:inline>
        </w:drawing>
      </w:r>
    </w:p>
    <w:p w14:paraId="09AAC40E" w14:textId="77777777" w:rsidR="003104F3" w:rsidRPr="00563A62" w:rsidRDefault="003104F3">
      <w:pPr>
        <w:tabs>
          <w:tab w:val="left" w:pos="709"/>
        </w:tabs>
        <w:spacing w:before="240" w:after="240" w:line="360" w:lineRule="auto"/>
        <w:jc w:val="both"/>
        <w:rPr>
          <w:rFonts w:ascii="Palatino Linotype" w:eastAsia="Palatino Linotype" w:hAnsi="Palatino Linotype" w:cs="Palatino Linotype"/>
        </w:rPr>
      </w:pPr>
    </w:p>
    <w:p w14:paraId="772FF7A4"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lastRenderedPageBreak/>
        <w:t xml:space="preserve">En este sentido, cabe referir que el artículo 92 fracción VII  de la Ley de Transparencia y Acceso a la Información Pública del Estado de México y Municipios establece:  </w:t>
      </w:r>
    </w:p>
    <w:p w14:paraId="063C5561" w14:textId="77777777" w:rsidR="003104F3" w:rsidRPr="00563A62" w:rsidRDefault="00563A62">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“Artículo 92</w:t>
      </w:r>
      <w:r w:rsidRPr="00563A62">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3A41505" w14:textId="77777777" w:rsidR="003104F3" w:rsidRPr="00563A62" w:rsidRDefault="00563A62">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w:t>
      </w:r>
    </w:p>
    <w:p w14:paraId="58C75627" w14:textId="77777777" w:rsidR="003104F3" w:rsidRPr="00563A62" w:rsidRDefault="00563A62">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7241013D" w14:textId="77777777" w:rsidR="003104F3" w:rsidRPr="00563A62" w:rsidRDefault="00563A62">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 xml:space="preserve">El directorio deberá incluir, al menos el </w:t>
      </w:r>
      <w:r w:rsidRPr="00563A62">
        <w:rPr>
          <w:rFonts w:ascii="Palatino Linotype" w:eastAsia="Palatino Linotype" w:hAnsi="Palatino Linotype" w:cs="Palatino Linotype"/>
          <w:b/>
          <w:i/>
          <w:sz w:val="22"/>
          <w:szCs w:val="22"/>
          <w:u w:val="single"/>
        </w:rPr>
        <w:t>nombre, cargo o nombramiento oficial asignado, nivel del puesto en la estructura orgánica, fecha de alta en el cargo</w:t>
      </w:r>
      <w:r w:rsidRPr="00563A62">
        <w:rPr>
          <w:rFonts w:ascii="Palatino Linotype" w:eastAsia="Palatino Linotype" w:hAnsi="Palatino Linotype" w:cs="Palatino Linotype"/>
          <w:i/>
          <w:sz w:val="22"/>
          <w:szCs w:val="22"/>
        </w:rPr>
        <w:t>, número telefónico, domicilio para recibir correspondencia y dirección de correo electrónico oficiales, datos que deberán señalarse de forma independiente por dependencia y entidad pública de cada sujeto obligado;</w:t>
      </w:r>
    </w:p>
    <w:p w14:paraId="42D970A7"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Disposición normativa que prevé los datos mínimos que los Sujetos Obligados deben publicar de manera permanente y actualizada en el directorio de todos los servidores públicos; siendo estos, el nombre, el cargo, categoría o nivel de puesto y fecha de ingreso. </w:t>
      </w:r>
    </w:p>
    <w:p w14:paraId="2AC39B4C"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En este entendido, al realizar la consulta en los datos registrados en el Directorio de Servidores Públicos, se advierte que se encuentra publicada la siguiente información: </w:t>
      </w:r>
    </w:p>
    <w:p w14:paraId="2D298A47"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noProof/>
          <w:lang w:val="es-MX"/>
        </w:rPr>
        <w:lastRenderedPageBreak/>
        <w:drawing>
          <wp:inline distT="0" distB="0" distL="0" distR="0" wp14:anchorId="3AD042A9" wp14:editId="629A1BB1">
            <wp:extent cx="5612130" cy="3925570"/>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2130" cy="3925570"/>
                    </a:xfrm>
                    <a:prstGeom prst="rect">
                      <a:avLst/>
                    </a:prstGeom>
                    <a:ln/>
                  </pic:spPr>
                </pic:pic>
              </a:graphicData>
            </a:graphic>
          </wp:inline>
        </w:drawing>
      </w:r>
    </w:p>
    <w:p w14:paraId="2DAA8D33"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Imagen en la que se puede observar el número de servidores públicos registrados en cada una de las áreas que conforman la estructura orgánica del Sujeto Obligado, por lo que, para efectos de ejemplificar en el presente asunto, se inserta captura de pantalla de uno de los registros de la Secretaría con el objeto de visualizar los datos contenidos en el registro 001, periodo 4°, ejercicio 2022. </w:t>
      </w:r>
    </w:p>
    <w:p w14:paraId="02F7BB57"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noProof/>
          <w:lang w:val="es-MX"/>
        </w:rPr>
        <w:lastRenderedPageBreak/>
        <w:drawing>
          <wp:inline distT="0" distB="0" distL="0" distR="0" wp14:anchorId="4D254E62" wp14:editId="2B3CF3D3">
            <wp:extent cx="5610424" cy="6087326"/>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610424" cy="6087326"/>
                    </a:xfrm>
                    <a:prstGeom prst="rect">
                      <a:avLst/>
                    </a:prstGeom>
                    <a:ln/>
                  </pic:spPr>
                </pic:pic>
              </a:graphicData>
            </a:graphic>
          </wp:inline>
        </w:drawing>
      </w:r>
      <w:r w:rsidRPr="00563A62">
        <w:rPr>
          <w:noProof/>
          <w:lang w:val="es-MX"/>
        </w:rPr>
        <mc:AlternateContent>
          <mc:Choice Requires="wpg">
            <w:drawing>
              <wp:anchor distT="0" distB="0" distL="114300" distR="114300" simplePos="0" relativeHeight="251658240" behindDoc="0" locked="0" layoutInCell="1" hidden="0" allowOverlap="1" wp14:anchorId="5C62A08B" wp14:editId="4EB5EBDB">
                <wp:simplePos x="0" y="0"/>
                <wp:positionH relativeFrom="column">
                  <wp:posOffset>-12699</wp:posOffset>
                </wp:positionH>
                <wp:positionV relativeFrom="paragraph">
                  <wp:posOffset>2413000</wp:posOffset>
                </wp:positionV>
                <wp:extent cx="3152775" cy="1114425"/>
                <wp:effectExtent l="0" t="0" r="0" b="0"/>
                <wp:wrapNone/>
                <wp:docPr id="39" name="Rectángulo 39"/>
                <wp:cNvGraphicFramePr/>
                <a:graphic xmlns:a="http://schemas.openxmlformats.org/drawingml/2006/main">
                  <a:graphicData uri="http://schemas.microsoft.com/office/word/2010/wordprocessingShape">
                    <wps:wsp>
                      <wps:cNvSpPr/>
                      <wps:spPr>
                        <a:xfrm>
                          <a:off x="3783900" y="3237075"/>
                          <a:ext cx="3124200" cy="1085850"/>
                        </a:xfrm>
                        <a:prstGeom prst="rect">
                          <a:avLst/>
                        </a:prstGeom>
                        <a:noFill/>
                        <a:ln w="28575" cap="flat" cmpd="sng">
                          <a:solidFill>
                            <a:srgbClr val="FF0000"/>
                          </a:solidFill>
                          <a:prstDash val="solid"/>
                          <a:round/>
                          <a:headEnd type="none" w="sm" len="sm"/>
                          <a:tailEnd type="none" w="sm" len="sm"/>
                        </a:ln>
                      </wps:spPr>
                      <wps:txbx>
                        <w:txbxContent>
                          <w:p w14:paraId="51A09012" w14:textId="77777777" w:rsidR="003104F3" w:rsidRDefault="003104F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-12699</wp:posOffset>
                </wp:positionH>
                <wp:positionV relativeFrom="paragraph">
                  <wp:posOffset>2413000</wp:posOffset>
                </wp:positionV>
                <wp:extent cx="3152775" cy="1114425"/>
                <wp:effectExtent b="0" l="0" r="0" t="0"/>
                <wp:wrapNone/>
                <wp:docPr id="39"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3152775" cy="1114425"/>
                        </a:xfrm>
                        <a:prstGeom prst="rect"/>
                        <a:ln/>
                      </pic:spPr>
                    </pic:pic>
                  </a:graphicData>
                </a:graphic>
              </wp:anchor>
            </w:drawing>
          </mc:Fallback>
        </mc:AlternateContent>
      </w:r>
    </w:p>
    <w:p w14:paraId="74DABBF7" w14:textId="77777777" w:rsidR="003104F3" w:rsidRPr="00563A62" w:rsidRDefault="003104F3">
      <w:pPr>
        <w:tabs>
          <w:tab w:val="left" w:pos="709"/>
        </w:tabs>
        <w:spacing w:before="240" w:after="240" w:line="360" w:lineRule="auto"/>
        <w:jc w:val="both"/>
        <w:rPr>
          <w:rFonts w:ascii="Palatino Linotype" w:eastAsia="Palatino Linotype" w:hAnsi="Palatino Linotype" w:cs="Palatino Linotype"/>
        </w:rPr>
      </w:pPr>
    </w:p>
    <w:p w14:paraId="0669D7E4" w14:textId="77777777" w:rsidR="003104F3" w:rsidRPr="00563A62" w:rsidRDefault="003104F3">
      <w:pPr>
        <w:tabs>
          <w:tab w:val="left" w:pos="709"/>
        </w:tabs>
        <w:spacing w:before="240" w:after="240" w:line="360" w:lineRule="auto"/>
        <w:jc w:val="both"/>
        <w:rPr>
          <w:rFonts w:ascii="Palatino Linotype" w:eastAsia="Palatino Linotype" w:hAnsi="Palatino Linotype" w:cs="Palatino Linotype"/>
        </w:rPr>
      </w:pPr>
    </w:p>
    <w:p w14:paraId="258BF243" w14:textId="77777777" w:rsidR="003104F3" w:rsidRPr="00563A62" w:rsidRDefault="003104F3">
      <w:pPr>
        <w:tabs>
          <w:tab w:val="left" w:pos="709"/>
        </w:tabs>
        <w:spacing w:before="240" w:after="240" w:line="360" w:lineRule="auto"/>
        <w:jc w:val="both"/>
        <w:rPr>
          <w:rFonts w:ascii="Palatino Linotype" w:eastAsia="Palatino Linotype" w:hAnsi="Palatino Linotype" w:cs="Palatino Linotype"/>
        </w:rPr>
      </w:pPr>
    </w:p>
    <w:p w14:paraId="04D9C32B"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b/>
        </w:rPr>
      </w:pPr>
      <w:r w:rsidRPr="00563A62">
        <w:rPr>
          <w:rFonts w:ascii="Palatino Linotype" w:eastAsia="Palatino Linotype" w:hAnsi="Palatino Linotype" w:cs="Palatino Linotype"/>
        </w:rPr>
        <w:lastRenderedPageBreak/>
        <w:t xml:space="preserve">Por consiguiente, al realizar la consulta en la liga proporcionada por el Servidor Público Habilitado, se tiene que de los registros localizados en el directorio, se pueden obtener los datos solicitados referentes al </w:t>
      </w:r>
      <w:r w:rsidRPr="00563A62">
        <w:rPr>
          <w:rFonts w:ascii="Palatino Linotype" w:eastAsia="Palatino Linotype" w:hAnsi="Palatino Linotype" w:cs="Palatino Linotype"/>
          <w:b/>
          <w:u w:val="single"/>
        </w:rPr>
        <w:t>nombre, fecha de ingreso y categoría o puesto</w:t>
      </w:r>
      <w:r w:rsidRPr="00563A62">
        <w:rPr>
          <w:rFonts w:ascii="Palatino Linotype" w:eastAsia="Palatino Linotype" w:hAnsi="Palatino Linotype" w:cs="Palatino Linotype"/>
        </w:rPr>
        <w:t xml:space="preserve"> de los servidores públicos adscritos al </w:t>
      </w:r>
      <w:r w:rsidRPr="00563A62">
        <w:rPr>
          <w:rFonts w:ascii="Palatino Linotype" w:eastAsia="Palatino Linotype" w:hAnsi="Palatino Linotype" w:cs="Palatino Linotype"/>
          <w:b/>
        </w:rPr>
        <w:t xml:space="preserve">Sujeto Obligado. </w:t>
      </w:r>
    </w:p>
    <w:p w14:paraId="3120FF65" w14:textId="77777777" w:rsidR="003104F3" w:rsidRPr="00563A62" w:rsidRDefault="00563A62">
      <w:pPr>
        <w:tabs>
          <w:tab w:val="left" w:pos="709"/>
        </w:tabs>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2. </w:t>
      </w:r>
      <w:hyperlink r:id="rId14">
        <w:r w:rsidRPr="00563A62">
          <w:rPr>
            <w:rFonts w:ascii="Palatino Linotype" w:eastAsia="Palatino Linotype" w:hAnsi="Palatino Linotype" w:cs="Palatino Linotype"/>
            <w:u w:val="single"/>
          </w:rPr>
          <w:t>https://ipomex.org.mx/ipo3/lgt/indice/TRABAJO/art_92_viii.web</w:t>
        </w:r>
      </w:hyperlink>
    </w:p>
    <w:p w14:paraId="59F29710"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La segunda dirección electrónica proporcionada por el</w:t>
      </w:r>
      <w:r w:rsidRPr="00563A62">
        <w:rPr>
          <w:rFonts w:ascii="Palatino Linotype" w:eastAsia="Palatino Linotype" w:hAnsi="Palatino Linotype" w:cs="Palatino Linotype"/>
          <w:b/>
        </w:rPr>
        <w:t xml:space="preserve"> Sujeto Obligado </w:t>
      </w:r>
      <w:r w:rsidRPr="00563A62">
        <w:rPr>
          <w:rFonts w:ascii="Palatino Linotype" w:eastAsia="Palatino Linotype" w:hAnsi="Palatino Linotype" w:cs="Palatino Linotype"/>
        </w:rPr>
        <w:t xml:space="preserve">dirige a la fracción VIII A. Remuneraciones en el que se advierten los registros de 2018 a 2022, tal como se muestra en la siguiente imagen. </w:t>
      </w:r>
    </w:p>
    <w:p w14:paraId="4A9A24B1"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167E7903"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noProof/>
          <w:lang w:val="es-MX"/>
        </w:rPr>
        <w:drawing>
          <wp:inline distT="0" distB="0" distL="0" distR="0" wp14:anchorId="342617F6" wp14:editId="34720552">
            <wp:extent cx="5612130" cy="2639060"/>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12130" cy="2639060"/>
                    </a:xfrm>
                    <a:prstGeom prst="rect">
                      <a:avLst/>
                    </a:prstGeom>
                    <a:ln/>
                  </pic:spPr>
                </pic:pic>
              </a:graphicData>
            </a:graphic>
          </wp:inline>
        </w:drawing>
      </w:r>
      <w:r w:rsidRPr="00563A62">
        <w:rPr>
          <w:rFonts w:ascii="Palatino Linotype" w:eastAsia="Palatino Linotype" w:hAnsi="Palatino Linotype" w:cs="Palatino Linotype"/>
        </w:rPr>
        <w:t xml:space="preserve"> </w:t>
      </w:r>
    </w:p>
    <w:p w14:paraId="0CF53259"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35993409"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En relación a las remuneraciones, el artículo 92 fracción VIII de la Ley de Transparencia Local dispone. </w:t>
      </w:r>
    </w:p>
    <w:p w14:paraId="516DFD7B" w14:textId="77777777" w:rsidR="003104F3" w:rsidRPr="00563A62" w:rsidRDefault="00563A62">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“Artículo 92</w:t>
      </w:r>
      <w:r w:rsidRPr="00563A62">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w:t>
      </w:r>
      <w:r w:rsidRPr="00563A62">
        <w:rPr>
          <w:rFonts w:ascii="Palatino Linotype" w:eastAsia="Palatino Linotype" w:hAnsi="Palatino Linotype" w:cs="Palatino Linotype"/>
          <w:i/>
          <w:sz w:val="22"/>
          <w:szCs w:val="22"/>
        </w:rPr>
        <w:lastRenderedPageBreak/>
        <w:t>funciones u objeto social, según corresponda, la información, por lo menos, de los temas, documentos y políticas que a continuación se señalan:</w:t>
      </w:r>
    </w:p>
    <w:p w14:paraId="03A24B14" w14:textId="77777777" w:rsidR="003104F3" w:rsidRPr="00563A62" w:rsidRDefault="00563A62">
      <w:pPr>
        <w:tabs>
          <w:tab w:val="left" w:pos="709"/>
        </w:tabs>
        <w:spacing w:before="240" w:after="240" w:line="276" w:lineRule="auto"/>
        <w:ind w:left="851"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w:t>
      </w:r>
    </w:p>
    <w:p w14:paraId="0426E741" w14:textId="77777777" w:rsidR="003104F3" w:rsidRPr="00563A62" w:rsidRDefault="00563A62">
      <w:pPr>
        <w:tabs>
          <w:tab w:val="left" w:pos="709"/>
        </w:tabs>
        <w:spacing w:before="240" w:after="240" w:line="276" w:lineRule="auto"/>
        <w:ind w:left="851" w:right="616"/>
        <w:jc w:val="both"/>
        <w:rPr>
          <w:rFonts w:ascii="Palatino Linotype" w:eastAsia="Palatino Linotype" w:hAnsi="Palatino Linotype" w:cs="Palatino Linotype"/>
          <w:b/>
          <w:i/>
          <w:sz w:val="22"/>
          <w:szCs w:val="22"/>
        </w:rPr>
      </w:pPr>
      <w:r w:rsidRPr="00563A62">
        <w:rPr>
          <w:rFonts w:ascii="Palatino Linotype" w:eastAsia="Palatino Linotype" w:hAnsi="Palatino Linotype" w:cs="Palatino Linotype"/>
          <w:b/>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38269CD"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En este sentido, la Ley de Transparencia de la Entidad establece como obligación de transparencia común que los sujetos obligados deben publicar de manera permanente y actualizada las remuneraciones de todos  los servidores públicos en el que se incluyan la totalidad de las prestaciones a las que son acreedores y estableciendo la periodicidad de las mismas. </w:t>
      </w:r>
    </w:p>
    <w:p w14:paraId="1D21B85D"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31AA87ED"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Por lo que, al realizar la consulta en la dirección electrónica proporcionada por el </w:t>
      </w:r>
      <w:r w:rsidRPr="00563A62">
        <w:rPr>
          <w:rFonts w:ascii="Palatino Linotype" w:eastAsia="Palatino Linotype" w:hAnsi="Palatino Linotype" w:cs="Palatino Linotype"/>
          <w:b/>
        </w:rPr>
        <w:t xml:space="preserve">Sujeto Obligado </w:t>
      </w:r>
      <w:r w:rsidRPr="00563A62">
        <w:rPr>
          <w:rFonts w:ascii="Palatino Linotype" w:eastAsia="Palatino Linotype" w:hAnsi="Palatino Linotype" w:cs="Palatino Linotype"/>
        </w:rPr>
        <w:t xml:space="preserve">en su repuesta,  se advierten diversos registros de los cuales se insertan las siguientes imágenes, para mayor claridad. </w:t>
      </w:r>
    </w:p>
    <w:p w14:paraId="762D5527"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4428B300"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noProof/>
          <w:lang w:val="es-MX"/>
        </w:rPr>
        <w:drawing>
          <wp:inline distT="0" distB="0" distL="0" distR="0" wp14:anchorId="1542E32C" wp14:editId="4211D44B">
            <wp:extent cx="5612130" cy="2266950"/>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b="30814"/>
                    <a:stretch>
                      <a:fillRect/>
                    </a:stretch>
                  </pic:blipFill>
                  <pic:spPr>
                    <a:xfrm>
                      <a:off x="0" y="0"/>
                      <a:ext cx="5612130" cy="2266950"/>
                    </a:xfrm>
                    <a:prstGeom prst="rect">
                      <a:avLst/>
                    </a:prstGeom>
                    <a:ln/>
                  </pic:spPr>
                </pic:pic>
              </a:graphicData>
            </a:graphic>
          </wp:inline>
        </w:drawing>
      </w:r>
    </w:p>
    <w:p w14:paraId="6867EE53"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762ED27F"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noProof/>
          <w:lang w:val="es-MX"/>
        </w:rPr>
        <w:drawing>
          <wp:inline distT="0" distB="0" distL="0" distR="0" wp14:anchorId="410A1BC2" wp14:editId="3BD7CB80">
            <wp:extent cx="5612130" cy="3819525"/>
            <wp:effectExtent l="0" t="0" r="0" b="0"/>
            <wp:docPr id="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612130" cy="3819525"/>
                    </a:xfrm>
                    <a:prstGeom prst="rect">
                      <a:avLst/>
                    </a:prstGeom>
                    <a:ln/>
                  </pic:spPr>
                </pic:pic>
              </a:graphicData>
            </a:graphic>
          </wp:inline>
        </w:drawing>
      </w:r>
    </w:p>
    <w:p w14:paraId="7D4E4500"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3EB9FC5F"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0013AD98"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En este entendido, de la consulta realizada en el hipervínculo entregado por la Servidora Pública Habilitada que dirige a la fracción VIII A correspondiente a remuneraciones de todos los servidores públicos; se advierte el registro del </w:t>
      </w:r>
      <w:r w:rsidRPr="00563A62">
        <w:rPr>
          <w:rFonts w:ascii="Palatino Linotype" w:eastAsia="Palatino Linotype" w:hAnsi="Palatino Linotype" w:cs="Palatino Linotype"/>
          <w:b/>
          <w:u w:val="single"/>
        </w:rPr>
        <w:t>nombre, clave o nivel de puesto, denominación del cargo y monto mensual bruto y neto</w:t>
      </w:r>
      <w:r w:rsidRPr="00563A62">
        <w:rPr>
          <w:rFonts w:ascii="Palatino Linotype" w:eastAsia="Palatino Linotype" w:hAnsi="Palatino Linotype" w:cs="Palatino Linotype"/>
        </w:rPr>
        <w:t xml:space="preserve"> de los servidores públicos adscritos a la Secretaría del Trabajo. </w:t>
      </w:r>
    </w:p>
    <w:p w14:paraId="0DF754F9"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64838323"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244AC36E"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633821EF"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7B7AB8E5"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lastRenderedPageBreak/>
        <w:t xml:space="preserve">3. </w:t>
      </w:r>
      <w:hyperlink r:id="rId18">
        <w:r w:rsidRPr="00563A62">
          <w:rPr>
            <w:rFonts w:ascii="Palatino Linotype" w:eastAsia="Palatino Linotype" w:hAnsi="Palatino Linotype" w:cs="Palatino Linotype"/>
            <w:u w:val="single"/>
          </w:rPr>
          <w:t>https://ipomex.org.mx/ipo3/lgt/indice/TRABAJO/art_92_xxi.web</w:t>
        </w:r>
      </w:hyperlink>
    </w:p>
    <w:p w14:paraId="2E1418B0"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5403D634"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En el tercer punto del oficio de respuesta, la Servidora Pública Habilitada de la Subdirección de Personal entregó el hipervínculo que dirige a la información curricular y sanciones administrativas en la que se encuentra registrada información concerniente al nombre, denominación del cargo, nivel máximo de estudios,  la carrera genérica y la liga electrónica en la que se puede consultar el documento que contiene la trayectoria laboral y académica, tal como se muestra en las siguientes imágenes. </w:t>
      </w:r>
    </w:p>
    <w:p w14:paraId="323D608F"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noProof/>
          <w:lang w:val="es-MX"/>
        </w:rPr>
        <w:drawing>
          <wp:inline distT="0" distB="0" distL="0" distR="0" wp14:anchorId="60A6C829" wp14:editId="7959C4DA">
            <wp:extent cx="5505450" cy="2667000"/>
            <wp:effectExtent l="9525" t="9525" r="9525" b="9525"/>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505450" cy="2667000"/>
                    </a:xfrm>
                    <a:prstGeom prst="rect">
                      <a:avLst/>
                    </a:prstGeom>
                    <a:ln w="9525">
                      <a:solidFill>
                        <a:srgbClr val="000000"/>
                      </a:solidFill>
                      <a:prstDash val="solid"/>
                    </a:ln>
                  </pic:spPr>
                </pic:pic>
              </a:graphicData>
            </a:graphic>
          </wp:inline>
        </w:drawing>
      </w:r>
      <w:r w:rsidRPr="00563A62">
        <w:rPr>
          <w:noProof/>
          <w:lang w:val="es-MX"/>
        </w:rPr>
        <mc:AlternateContent>
          <mc:Choice Requires="wpg">
            <w:drawing>
              <wp:anchor distT="0" distB="0" distL="114300" distR="114300" simplePos="0" relativeHeight="251659264" behindDoc="0" locked="0" layoutInCell="1" hidden="0" allowOverlap="1" wp14:anchorId="03E1D7FC" wp14:editId="0A278A89">
                <wp:simplePos x="0" y="0"/>
                <wp:positionH relativeFrom="column">
                  <wp:posOffset>546100</wp:posOffset>
                </wp:positionH>
                <wp:positionV relativeFrom="paragraph">
                  <wp:posOffset>330200</wp:posOffset>
                </wp:positionV>
                <wp:extent cx="2981325" cy="400050"/>
                <wp:effectExtent l="0" t="0" r="0" b="0"/>
                <wp:wrapNone/>
                <wp:docPr id="41" name="Rectángulo 41"/>
                <wp:cNvGraphicFramePr/>
                <a:graphic xmlns:a="http://schemas.openxmlformats.org/drawingml/2006/main">
                  <a:graphicData uri="http://schemas.microsoft.com/office/word/2010/wordprocessingShape">
                    <wps:wsp>
                      <wps:cNvSpPr/>
                      <wps:spPr>
                        <a:xfrm>
                          <a:off x="3864863" y="3589500"/>
                          <a:ext cx="2962275" cy="381000"/>
                        </a:xfrm>
                        <a:prstGeom prst="rect">
                          <a:avLst/>
                        </a:prstGeom>
                        <a:noFill/>
                        <a:ln w="19050" cap="flat" cmpd="sng">
                          <a:solidFill>
                            <a:srgbClr val="FF0000"/>
                          </a:solidFill>
                          <a:prstDash val="solid"/>
                          <a:round/>
                          <a:headEnd type="none" w="sm" len="sm"/>
                          <a:tailEnd type="none" w="sm" len="sm"/>
                        </a:ln>
                      </wps:spPr>
                      <wps:txbx>
                        <w:txbxContent>
                          <w:p w14:paraId="514BD701" w14:textId="77777777" w:rsidR="003104F3" w:rsidRDefault="003104F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546100</wp:posOffset>
                </wp:positionH>
                <wp:positionV relativeFrom="paragraph">
                  <wp:posOffset>330200</wp:posOffset>
                </wp:positionV>
                <wp:extent cx="2981325" cy="400050"/>
                <wp:effectExtent b="0" l="0" r="0" t="0"/>
                <wp:wrapNone/>
                <wp:docPr id="41"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2981325" cy="400050"/>
                        </a:xfrm>
                        <a:prstGeom prst="rect"/>
                        <a:ln/>
                      </pic:spPr>
                    </pic:pic>
                  </a:graphicData>
                </a:graphic>
              </wp:anchor>
            </w:drawing>
          </mc:Fallback>
        </mc:AlternateContent>
      </w:r>
    </w:p>
    <w:p w14:paraId="77AE155A"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noProof/>
          <w:lang w:val="es-MX"/>
        </w:rPr>
        <w:lastRenderedPageBreak/>
        <w:drawing>
          <wp:inline distT="0" distB="0" distL="0" distR="0" wp14:anchorId="29FA4EC9" wp14:editId="02AD4486">
            <wp:extent cx="5625583" cy="4000542"/>
            <wp:effectExtent l="19050" t="19050" r="19050" b="1905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625583" cy="4000542"/>
                    </a:xfrm>
                    <a:prstGeom prst="rect">
                      <a:avLst/>
                    </a:prstGeom>
                    <a:ln w="19050">
                      <a:solidFill>
                        <a:srgbClr val="000000"/>
                      </a:solidFill>
                      <a:prstDash val="solid"/>
                    </a:ln>
                  </pic:spPr>
                </pic:pic>
              </a:graphicData>
            </a:graphic>
          </wp:inline>
        </w:drawing>
      </w:r>
      <w:r w:rsidRPr="00563A62">
        <w:rPr>
          <w:noProof/>
          <w:lang w:val="es-MX"/>
        </w:rPr>
        <mc:AlternateContent>
          <mc:Choice Requires="wpg">
            <w:drawing>
              <wp:anchor distT="0" distB="0" distL="114300" distR="114300" simplePos="0" relativeHeight="251660288" behindDoc="0" locked="0" layoutInCell="1" hidden="0" allowOverlap="1" wp14:anchorId="4C2A7171" wp14:editId="134ECEB4">
                <wp:simplePos x="0" y="0"/>
                <wp:positionH relativeFrom="column">
                  <wp:posOffset>1</wp:posOffset>
                </wp:positionH>
                <wp:positionV relativeFrom="paragraph">
                  <wp:posOffset>3530600</wp:posOffset>
                </wp:positionV>
                <wp:extent cx="3733800" cy="400050"/>
                <wp:effectExtent l="0" t="0" r="0" b="0"/>
                <wp:wrapNone/>
                <wp:docPr id="40" name="Rectángulo 40"/>
                <wp:cNvGraphicFramePr/>
                <a:graphic xmlns:a="http://schemas.openxmlformats.org/drawingml/2006/main">
                  <a:graphicData uri="http://schemas.microsoft.com/office/word/2010/wordprocessingShape">
                    <wps:wsp>
                      <wps:cNvSpPr/>
                      <wps:spPr>
                        <a:xfrm>
                          <a:off x="3488625" y="3589500"/>
                          <a:ext cx="3714750" cy="381000"/>
                        </a:xfrm>
                        <a:prstGeom prst="rect">
                          <a:avLst/>
                        </a:prstGeom>
                        <a:noFill/>
                        <a:ln w="19050" cap="flat" cmpd="sng">
                          <a:solidFill>
                            <a:srgbClr val="FF0000"/>
                          </a:solidFill>
                          <a:prstDash val="solid"/>
                          <a:round/>
                          <a:headEnd type="none" w="sm" len="sm"/>
                          <a:tailEnd type="none" w="sm" len="sm"/>
                        </a:ln>
                      </wps:spPr>
                      <wps:txbx>
                        <w:txbxContent>
                          <w:p w14:paraId="16C9DA70" w14:textId="77777777" w:rsidR="003104F3" w:rsidRDefault="003104F3">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3530600</wp:posOffset>
                </wp:positionV>
                <wp:extent cx="3733800" cy="400050"/>
                <wp:effectExtent b="0" l="0" r="0" t="0"/>
                <wp:wrapNone/>
                <wp:docPr id="40"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3733800" cy="400050"/>
                        </a:xfrm>
                        <a:prstGeom prst="rect"/>
                        <a:ln/>
                      </pic:spPr>
                    </pic:pic>
                  </a:graphicData>
                </a:graphic>
              </wp:anchor>
            </w:drawing>
          </mc:Fallback>
        </mc:AlternateContent>
      </w:r>
    </w:p>
    <w:p w14:paraId="6C7621DE"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0AFE2B60"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noProof/>
          <w:lang w:val="es-MX"/>
        </w:rPr>
        <w:lastRenderedPageBreak/>
        <w:drawing>
          <wp:inline distT="0" distB="0" distL="0" distR="0" wp14:anchorId="515C80EB" wp14:editId="64CA93AE">
            <wp:extent cx="5612130" cy="7286625"/>
            <wp:effectExtent l="12700" t="12700" r="12700" b="1270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612130" cy="7286625"/>
                    </a:xfrm>
                    <a:prstGeom prst="rect">
                      <a:avLst/>
                    </a:prstGeom>
                    <a:ln w="12700">
                      <a:solidFill>
                        <a:srgbClr val="FF0000"/>
                      </a:solidFill>
                      <a:prstDash val="solid"/>
                    </a:ln>
                  </pic:spPr>
                </pic:pic>
              </a:graphicData>
            </a:graphic>
          </wp:inline>
        </w:drawing>
      </w:r>
    </w:p>
    <w:p w14:paraId="53D2C0BD"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lastRenderedPageBreak/>
        <w:t xml:space="preserve">En este contexto, una vez analizadas las ligas electrónicas proporcionadas en respuesta por el Servidor Público Habilitado, se tiene que los hipervínculos dirigen a los registros publicados en el IPOMEX en los que es posible consultar el nombre, categoría o puesto, fecha de alta o ingreso, sueldo neto mensual y grado máximo de estudios del personal adscrito a la Secretaría del Trabajo, siendo importante enfatizar que en las capturas de pantalla que se insertan en el presente se observa como fecha de actualización el dieciséis de enero de dos mil veintitrés. </w:t>
      </w:r>
    </w:p>
    <w:p w14:paraId="5738FBB5"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401D41EB"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Aunado a lo anterior, es importante mencionar que el </w:t>
      </w:r>
      <w:r w:rsidRPr="00563A62">
        <w:rPr>
          <w:rFonts w:ascii="Palatino Linotype" w:eastAsia="Palatino Linotype" w:hAnsi="Palatino Linotype" w:cs="Palatino Linotype"/>
          <w:b/>
        </w:rPr>
        <w:t xml:space="preserve">Sujeto Obligado, </w:t>
      </w:r>
      <w:r w:rsidRPr="00563A62">
        <w:rPr>
          <w:rFonts w:ascii="Palatino Linotype" w:eastAsia="Palatino Linotype" w:hAnsi="Palatino Linotype" w:cs="Palatino Linotype"/>
        </w:rPr>
        <w:t xml:space="preserve">haciendo uso de su derecho, remitió en informe justificado el oficio suscrito por la Servidora Pública Habilitada de la Subdirección de Personal quien manifestó que la </w:t>
      </w:r>
      <w:r w:rsidRPr="00563A62">
        <w:rPr>
          <w:rFonts w:ascii="Palatino Linotype" w:eastAsia="Palatino Linotype" w:hAnsi="Palatino Linotype" w:cs="Palatino Linotype"/>
          <w:b/>
          <w:u w:val="single"/>
        </w:rPr>
        <w:t>información recurrida se encuentra completa y actualizada</w:t>
      </w:r>
      <w:r w:rsidRPr="00563A62">
        <w:rPr>
          <w:rFonts w:ascii="Palatino Linotype" w:eastAsia="Palatino Linotype" w:hAnsi="Palatino Linotype" w:cs="Palatino Linotype"/>
        </w:rPr>
        <w:t xml:space="preserve"> de conformidad con de conformidad con lo establecido en el artículo 11 de la Ley de Transparencia y Acceso a la Información Pública del Estado de México y Municipios y apego a los Lineamientos Técnicos Generales para la Publicación, Homologación y Estandarización de la información que deben difundir los Sujetos Obligados en los Portales de Internet. </w:t>
      </w:r>
    </w:p>
    <w:p w14:paraId="3D76B52E"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0E117344" w14:textId="77777777" w:rsidR="003104F3" w:rsidRPr="00563A62" w:rsidRDefault="00563A62">
      <w:pPr>
        <w:spacing w:line="360" w:lineRule="auto"/>
        <w:ind w:right="-93"/>
        <w:jc w:val="both"/>
        <w:rPr>
          <w:rFonts w:ascii="Palatino Linotype" w:eastAsia="Palatino Linotype" w:hAnsi="Palatino Linotype" w:cs="Palatino Linotype"/>
          <w:b/>
        </w:rPr>
      </w:pPr>
      <w:r w:rsidRPr="00563A62">
        <w:rPr>
          <w:rFonts w:ascii="Palatino Linotype" w:eastAsia="Palatino Linotype" w:hAnsi="Palatino Linotype" w:cs="Palatino Linotype"/>
        </w:rPr>
        <w:t xml:space="preserve">Asimismo, si bien es cierto que el particular requirió un listado con datos específicos, también lo es que, el derecho de acceso a la información pública se satisface en aquellos casos en que se entregue la información pública, sin la necesidad de elaborar documentos </w:t>
      </w:r>
      <w:r w:rsidRPr="00563A62">
        <w:rPr>
          <w:rFonts w:ascii="Palatino Linotype" w:eastAsia="Palatino Linotype" w:hAnsi="Palatino Linotype" w:cs="Palatino Linotype"/>
          <w:i/>
        </w:rPr>
        <w:t>ad hoc</w:t>
      </w:r>
      <w:r w:rsidRPr="00563A62">
        <w:rPr>
          <w:rFonts w:ascii="Palatino Linotype" w:eastAsia="Palatino Linotype" w:hAnsi="Palatino Linotype" w:cs="Palatino Linotype"/>
        </w:rPr>
        <w:t xml:space="preserve">; lo cual, toma sustento en el artículo 161 de la Ley de Transparencia y Acceso a la Información Pública del Estado de México y Municipios, el cual refiere que cuando la información requerida ya este disponible al publico en </w:t>
      </w:r>
      <w:r w:rsidRPr="00563A62">
        <w:rPr>
          <w:rFonts w:ascii="Palatino Linotype" w:eastAsia="Palatino Linotype" w:hAnsi="Palatino Linotype" w:cs="Palatino Linotype"/>
        </w:rPr>
        <w:lastRenderedPageBreak/>
        <w:t xml:space="preserve">internet se le hará saber la fuente, el lugar y la forma en que puede consultar, reproducir o adquirir dicha información; es decir, no es obligación de los </w:t>
      </w:r>
      <w:r w:rsidRPr="00563A62">
        <w:rPr>
          <w:rFonts w:ascii="Palatino Linotype" w:eastAsia="Palatino Linotype" w:hAnsi="Palatino Linotype" w:cs="Palatino Linotype"/>
          <w:b/>
        </w:rPr>
        <w:t xml:space="preserve">Sujetos Obligados </w:t>
      </w:r>
      <w:r w:rsidRPr="00563A62">
        <w:rPr>
          <w:rFonts w:ascii="Palatino Linotype" w:eastAsia="Palatino Linotype" w:hAnsi="Palatino Linotype" w:cs="Palatino Linotype"/>
        </w:rPr>
        <w:t>generar un documento ad hoc para atender una solicitud de información, tal y como lo señala el Criterio 09-10, emitido por el Pleno del entonces Instituto Federal de Acceso a la Información y Protección de Datos, ahora Instituto Nacional de Transparencia, Acceso a la Información y Protección de Datos Personales, que dice:</w:t>
      </w:r>
      <w:r w:rsidRPr="00563A62">
        <w:rPr>
          <w:rFonts w:ascii="Palatino Linotype" w:eastAsia="Palatino Linotype" w:hAnsi="Palatino Linotype" w:cs="Palatino Linotype"/>
          <w:b/>
        </w:rPr>
        <w:t xml:space="preserve"> </w:t>
      </w:r>
    </w:p>
    <w:p w14:paraId="4E7FAB1A" w14:textId="77777777" w:rsidR="003104F3" w:rsidRPr="00563A62" w:rsidRDefault="003104F3">
      <w:pPr>
        <w:spacing w:line="360" w:lineRule="auto"/>
        <w:ind w:right="-93"/>
        <w:jc w:val="both"/>
        <w:rPr>
          <w:rFonts w:ascii="Palatino Linotype" w:eastAsia="Palatino Linotype" w:hAnsi="Palatino Linotype" w:cs="Palatino Linotype"/>
        </w:rPr>
      </w:pPr>
    </w:p>
    <w:p w14:paraId="12D3F584" w14:textId="77777777" w:rsidR="003104F3" w:rsidRPr="00563A62" w:rsidRDefault="00563A62">
      <w:pPr>
        <w:spacing w:line="276" w:lineRule="auto"/>
        <w:ind w:left="851" w:right="851"/>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b/>
          <w:i/>
          <w:sz w:val="22"/>
          <w:szCs w:val="22"/>
        </w:rPr>
        <w:t>Las dependencias y entidades no están obligadas a generar documentos ad hoc para responder una solicitud de acceso a la información</w:t>
      </w:r>
      <w:r w:rsidRPr="00563A62">
        <w:rPr>
          <w:rFonts w:ascii="Palatino Linotype" w:eastAsia="Palatino Linotype" w:hAnsi="Palatino Linotype" w:cs="Palatino Linotype"/>
          <w:i/>
          <w:sz w:val="22"/>
          <w:szCs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87E8019" w14:textId="77777777" w:rsidR="003104F3" w:rsidRPr="00563A62" w:rsidRDefault="00563A62">
      <w:pPr>
        <w:spacing w:line="276" w:lineRule="auto"/>
        <w:ind w:left="851" w:right="851"/>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Expedientes:</w:t>
      </w:r>
    </w:p>
    <w:p w14:paraId="5805334B" w14:textId="77777777" w:rsidR="003104F3" w:rsidRPr="00563A62" w:rsidRDefault="00563A62">
      <w:pPr>
        <w:spacing w:line="276" w:lineRule="auto"/>
        <w:ind w:left="851" w:right="851"/>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0438/08 Pemex Exploración y Producción – Alonso Lujambio Irazábal</w:t>
      </w:r>
    </w:p>
    <w:p w14:paraId="5A8DB9E2" w14:textId="77777777" w:rsidR="003104F3" w:rsidRPr="00563A62" w:rsidRDefault="00563A62">
      <w:pPr>
        <w:spacing w:line="276" w:lineRule="auto"/>
        <w:ind w:left="851" w:right="851"/>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1751/09 Laboratorios de Biológicos y Reactivos de México S.A. de C.V. –</w:t>
      </w:r>
    </w:p>
    <w:p w14:paraId="0A20F3B0" w14:textId="77777777" w:rsidR="003104F3" w:rsidRPr="00563A62" w:rsidRDefault="00563A62">
      <w:pPr>
        <w:spacing w:line="276" w:lineRule="auto"/>
        <w:ind w:left="851" w:right="851"/>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María Marván Laborde</w:t>
      </w:r>
    </w:p>
    <w:p w14:paraId="2D315F96" w14:textId="77777777" w:rsidR="003104F3" w:rsidRPr="00563A62" w:rsidRDefault="00563A62">
      <w:pPr>
        <w:spacing w:line="276" w:lineRule="auto"/>
        <w:ind w:left="851" w:right="851"/>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2868/09 Consejo Nacional de Ciencia y Tecnología – Jacqueline Peschard</w:t>
      </w:r>
    </w:p>
    <w:p w14:paraId="5A2CBD41" w14:textId="77777777" w:rsidR="003104F3" w:rsidRPr="00563A62" w:rsidRDefault="00563A62">
      <w:pPr>
        <w:spacing w:line="276" w:lineRule="auto"/>
        <w:ind w:left="851" w:right="851"/>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Mariscal</w:t>
      </w:r>
    </w:p>
    <w:p w14:paraId="0165568F" w14:textId="77777777" w:rsidR="003104F3" w:rsidRPr="00563A62" w:rsidRDefault="00563A62">
      <w:pPr>
        <w:spacing w:line="276" w:lineRule="auto"/>
        <w:ind w:left="851" w:right="851"/>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5160/09 Secretaría de Hacienda y Crédito Público – Ángel Trinidad Zaldívar</w:t>
      </w:r>
    </w:p>
    <w:p w14:paraId="27B66DAA" w14:textId="77777777" w:rsidR="003104F3" w:rsidRPr="00563A62" w:rsidRDefault="00563A62">
      <w:pPr>
        <w:spacing w:line="276" w:lineRule="auto"/>
        <w:ind w:left="851" w:right="851"/>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0304/10 Instituto Nacional de Cancerología – Jacqueline Peschard Mariscal</w:t>
      </w:r>
    </w:p>
    <w:p w14:paraId="1C99D1B4" w14:textId="77777777" w:rsidR="003104F3" w:rsidRPr="00563A62" w:rsidRDefault="003104F3">
      <w:pPr>
        <w:spacing w:line="360" w:lineRule="auto"/>
        <w:ind w:right="-93"/>
        <w:jc w:val="both"/>
        <w:rPr>
          <w:rFonts w:ascii="Palatino Linotype" w:eastAsia="Palatino Linotype" w:hAnsi="Palatino Linotype" w:cs="Palatino Linotype"/>
        </w:rPr>
      </w:pPr>
    </w:p>
    <w:p w14:paraId="540E952F" w14:textId="77777777" w:rsidR="003104F3" w:rsidRPr="00563A62" w:rsidRDefault="00563A62">
      <w:pPr>
        <w:pBdr>
          <w:top w:val="nil"/>
          <w:left w:val="nil"/>
          <w:bottom w:val="nil"/>
          <w:right w:val="nil"/>
          <w:between w:val="nil"/>
        </w:pBd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 xml:space="preserve">Por consiguiente, de las consideraciones antes señaladas se colige que el </w:t>
      </w:r>
      <w:r w:rsidRPr="00563A62">
        <w:rPr>
          <w:rFonts w:ascii="Palatino Linotype" w:eastAsia="Palatino Linotype" w:hAnsi="Palatino Linotype" w:cs="Palatino Linotype"/>
          <w:b/>
        </w:rPr>
        <w:t xml:space="preserve">Sujeto Obligado </w:t>
      </w:r>
      <w:r w:rsidRPr="00563A62">
        <w:rPr>
          <w:rFonts w:ascii="Palatino Linotype" w:eastAsia="Palatino Linotype" w:hAnsi="Palatino Linotype" w:cs="Palatino Linotype"/>
        </w:rPr>
        <w:t xml:space="preserve">actuó en cumplimiento a lo dispuesto en el artículo 161 de la Ley de </w:t>
      </w:r>
      <w:r w:rsidRPr="00563A62">
        <w:rPr>
          <w:rFonts w:ascii="Palatino Linotype" w:eastAsia="Palatino Linotype" w:hAnsi="Palatino Linotype" w:cs="Palatino Linotype"/>
        </w:rPr>
        <w:lastRenderedPageBreak/>
        <w:t xml:space="preserve">Transparencia local al proporcionar la fuente precisa, concreta y que no implica que el solicitante realice una búsqueda. </w:t>
      </w:r>
    </w:p>
    <w:p w14:paraId="4E7E0367" w14:textId="77777777" w:rsidR="003104F3" w:rsidRPr="00563A62" w:rsidRDefault="00563A62">
      <w:pPr>
        <w:pBdr>
          <w:top w:val="nil"/>
          <w:left w:val="nil"/>
          <w:bottom w:val="nil"/>
          <w:right w:val="nil"/>
          <w:between w:val="nil"/>
        </w:pBdr>
        <w:spacing w:before="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Así mismo, es necesario señalar que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35567F9" w14:textId="77777777" w:rsidR="003104F3" w:rsidRPr="00563A62" w:rsidRDefault="003104F3">
      <w:pPr>
        <w:pBdr>
          <w:top w:val="nil"/>
          <w:left w:val="nil"/>
          <w:bottom w:val="nil"/>
          <w:right w:val="nil"/>
          <w:between w:val="nil"/>
        </w:pBdr>
        <w:spacing w:line="360" w:lineRule="auto"/>
        <w:jc w:val="both"/>
        <w:rPr>
          <w:rFonts w:ascii="Palatino Linotype" w:eastAsia="Palatino Linotype" w:hAnsi="Palatino Linotype" w:cs="Palatino Linotype"/>
        </w:rPr>
      </w:pPr>
    </w:p>
    <w:p w14:paraId="0E82A855" w14:textId="77777777" w:rsidR="003104F3" w:rsidRPr="00563A62" w:rsidRDefault="00563A62">
      <w:pPr>
        <w:pBdr>
          <w:top w:val="nil"/>
          <w:left w:val="nil"/>
          <w:bottom w:val="nil"/>
          <w:right w:val="nil"/>
          <w:between w:val="nil"/>
        </w:pBdr>
        <w:spacing w:after="360" w:line="360" w:lineRule="auto"/>
        <w:ind w:right="49"/>
        <w:jc w:val="both"/>
        <w:rPr>
          <w:rFonts w:ascii="Palatino Linotype" w:eastAsia="Palatino Linotype" w:hAnsi="Palatino Linotype" w:cs="Palatino Linotype"/>
        </w:rPr>
      </w:pPr>
      <w:r w:rsidRPr="00563A62">
        <w:rPr>
          <w:rFonts w:ascii="Palatino Linotype" w:eastAsia="Palatino Linotype" w:hAnsi="Palatino Linotype" w:cs="Palatino Linotype"/>
        </w:rPr>
        <w:t>Sirviendo de apoyo a lo anterior por analogía, el criterio 31-10 emitido por el ahora Instituto Nacional de Transparencia, Acceso a la Información y Protección de Datos Personales, que a la letra dice:</w:t>
      </w:r>
    </w:p>
    <w:p w14:paraId="4580756F" w14:textId="77777777" w:rsidR="003104F3" w:rsidRPr="00563A62" w:rsidRDefault="00563A62">
      <w:pPr>
        <w:spacing w:before="240" w:after="360" w:line="276" w:lineRule="auto"/>
        <w:ind w:left="567" w:right="616"/>
        <w:jc w:val="both"/>
        <w:rPr>
          <w:rFonts w:ascii="Palatino Linotype" w:eastAsia="Palatino Linotype" w:hAnsi="Palatino Linotype" w:cs="Palatino Linotype"/>
          <w:i/>
          <w:sz w:val="22"/>
          <w:szCs w:val="22"/>
        </w:rPr>
      </w:pPr>
      <w:r w:rsidRPr="00563A62">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C25F1C6" w14:textId="77777777" w:rsidR="003104F3" w:rsidRPr="00563A62" w:rsidRDefault="003104F3">
      <w:pPr>
        <w:spacing w:before="240" w:after="360" w:line="276" w:lineRule="auto"/>
        <w:ind w:left="567" w:right="616"/>
        <w:jc w:val="both"/>
        <w:rPr>
          <w:rFonts w:ascii="Palatino Linotype" w:eastAsia="Palatino Linotype" w:hAnsi="Palatino Linotype" w:cs="Palatino Linotype"/>
          <w:sz w:val="22"/>
          <w:szCs w:val="22"/>
        </w:rPr>
      </w:pPr>
    </w:p>
    <w:p w14:paraId="06B91997" w14:textId="77777777" w:rsidR="003104F3" w:rsidRPr="00563A62" w:rsidRDefault="00563A62">
      <w:pPr>
        <w:widowControl w:val="0"/>
        <w:tabs>
          <w:tab w:val="left" w:pos="1701"/>
          <w:tab w:val="left" w:pos="1843"/>
        </w:tabs>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lastRenderedPageBreak/>
        <w:t xml:space="preserve">Por lo tanto, en razón de que los requerimientos formulados </w:t>
      </w:r>
      <w:r w:rsidRPr="00563A62">
        <w:rPr>
          <w:rFonts w:ascii="Palatino Linotype" w:eastAsia="Palatino Linotype" w:hAnsi="Palatino Linotype" w:cs="Palatino Linotype"/>
        </w:rPr>
        <w:tab/>
        <w:t xml:space="preserve">por el </w:t>
      </w:r>
      <w:r w:rsidRPr="00563A62">
        <w:rPr>
          <w:rFonts w:ascii="Palatino Linotype" w:eastAsia="Palatino Linotype" w:hAnsi="Palatino Linotype" w:cs="Palatino Linotype"/>
          <w:b/>
        </w:rPr>
        <w:t xml:space="preserve">Recurrente </w:t>
      </w:r>
      <w:r w:rsidRPr="00563A62">
        <w:rPr>
          <w:rFonts w:ascii="Palatino Linotype" w:eastAsia="Palatino Linotype" w:hAnsi="Palatino Linotype" w:cs="Palatino Linotype"/>
        </w:rPr>
        <w:t xml:space="preserve">fueron atendidos por el </w:t>
      </w:r>
      <w:r w:rsidRPr="00563A62">
        <w:rPr>
          <w:rFonts w:ascii="Palatino Linotype" w:eastAsia="Palatino Linotype" w:hAnsi="Palatino Linotype" w:cs="Palatino Linotype"/>
          <w:b/>
        </w:rPr>
        <w:t xml:space="preserve">Sujeto Obligado, </w:t>
      </w:r>
      <w:r w:rsidRPr="00563A62">
        <w:rPr>
          <w:rFonts w:ascii="Palatino Linotype" w:eastAsia="Palatino Linotype" w:hAnsi="Palatino Linotype" w:cs="Palatino Linotype"/>
        </w:rPr>
        <w:t>este Organismo Garante determina infundados</w:t>
      </w:r>
      <w:r w:rsidRPr="00563A62">
        <w:rPr>
          <w:rFonts w:ascii="Palatino Linotype" w:eastAsia="Palatino Linotype" w:hAnsi="Palatino Linotype" w:cs="Palatino Linotype"/>
          <w:b/>
        </w:rPr>
        <w:t xml:space="preserve"> </w:t>
      </w:r>
      <w:r w:rsidRPr="00563A62">
        <w:rPr>
          <w:rFonts w:ascii="Palatino Linotype" w:eastAsia="Palatino Linotype" w:hAnsi="Palatino Linotype" w:cs="Palatino Linotype"/>
        </w:rPr>
        <w:t xml:space="preserve">los motivos o razones de inconformidad y lo procedente es </w:t>
      </w:r>
      <w:r w:rsidRPr="00563A62">
        <w:rPr>
          <w:rFonts w:ascii="Palatino Linotype" w:eastAsia="Palatino Linotype" w:hAnsi="Palatino Linotype" w:cs="Palatino Linotype"/>
          <w:b/>
        </w:rPr>
        <w:t xml:space="preserve">Confirmar, </w:t>
      </w:r>
      <w:r w:rsidRPr="00563A62">
        <w:rPr>
          <w:rFonts w:ascii="Palatino Linotype" w:eastAsia="Palatino Linotype" w:hAnsi="Palatino Linotype" w:cs="Palatino Linotype"/>
        </w:rPr>
        <w:t xml:space="preserve">la respuesta emitida a la solicitud de información </w:t>
      </w:r>
      <w:r w:rsidRPr="00563A62">
        <w:rPr>
          <w:rFonts w:ascii="Palatino Linotype" w:eastAsia="Palatino Linotype" w:hAnsi="Palatino Linotype" w:cs="Palatino Linotype"/>
          <w:b/>
        </w:rPr>
        <w:t>0065/ST/IP/2022</w:t>
      </w:r>
    </w:p>
    <w:p w14:paraId="061775A0"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rPr>
        <w:t>Así, con fundamento en lo prescrito en los</w:t>
      </w:r>
      <w:r w:rsidRPr="00563A62">
        <w:t xml:space="preserve"> </w:t>
      </w:r>
      <w:r w:rsidRPr="00563A62">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D081E57" w14:textId="77777777" w:rsidR="003104F3" w:rsidRPr="00563A62" w:rsidRDefault="00563A62">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63A62">
        <w:rPr>
          <w:rFonts w:ascii="Palatino Linotype" w:eastAsia="Palatino Linotype" w:hAnsi="Palatino Linotype" w:cs="Palatino Linotype"/>
          <w:b/>
        </w:rPr>
        <w:t>R E S U E L V E:</w:t>
      </w:r>
    </w:p>
    <w:p w14:paraId="4B80D7AE" w14:textId="77777777" w:rsidR="003104F3" w:rsidRPr="00563A62" w:rsidRDefault="00563A62">
      <w:pP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 xml:space="preserve">Primero. </w:t>
      </w:r>
      <w:r w:rsidRPr="00563A62">
        <w:rPr>
          <w:rFonts w:ascii="Palatino Linotype" w:eastAsia="Palatino Linotype" w:hAnsi="Palatino Linotype" w:cs="Palatino Linotype"/>
        </w:rPr>
        <w:t xml:space="preserve">Resultan </w:t>
      </w:r>
      <w:r w:rsidRPr="00563A62">
        <w:rPr>
          <w:rFonts w:ascii="Palatino Linotype" w:eastAsia="Palatino Linotype" w:hAnsi="Palatino Linotype" w:cs="Palatino Linotype"/>
          <w:b/>
        </w:rPr>
        <w:t>infundadas</w:t>
      </w:r>
      <w:r w:rsidRPr="00563A62">
        <w:rPr>
          <w:rFonts w:ascii="Palatino Linotype" w:eastAsia="Palatino Linotype" w:hAnsi="Palatino Linotype" w:cs="Palatino Linotype"/>
        </w:rPr>
        <w:t xml:space="preserve"> las</w:t>
      </w:r>
      <w:r w:rsidRPr="00563A62">
        <w:rPr>
          <w:rFonts w:ascii="Palatino Linotype" w:eastAsia="Palatino Linotype" w:hAnsi="Palatino Linotype" w:cs="Palatino Linotype"/>
          <w:b/>
        </w:rPr>
        <w:t xml:space="preserve"> </w:t>
      </w:r>
      <w:r w:rsidRPr="00563A62">
        <w:rPr>
          <w:rFonts w:ascii="Palatino Linotype" w:eastAsia="Palatino Linotype" w:hAnsi="Palatino Linotype" w:cs="Palatino Linotype"/>
        </w:rPr>
        <w:t xml:space="preserve">razones o motivos de inconformidad hechos valer por el </w:t>
      </w:r>
      <w:r w:rsidRPr="00563A62">
        <w:rPr>
          <w:rFonts w:ascii="Palatino Linotype" w:eastAsia="Palatino Linotype" w:hAnsi="Palatino Linotype" w:cs="Palatino Linotype"/>
          <w:b/>
        </w:rPr>
        <w:t>Recurrente</w:t>
      </w:r>
      <w:r w:rsidRPr="00563A62">
        <w:rPr>
          <w:rFonts w:ascii="Palatino Linotype" w:eastAsia="Palatino Linotype" w:hAnsi="Palatino Linotype" w:cs="Palatino Linotype"/>
        </w:rPr>
        <w:t xml:space="preserve"> en el Recurso de Revisión </w:t>
      </w:r>
      <w:r w:rsidRPr="00563A62">
        <w:rPr>
          <w:rFonts w:ascii="Palatino Linotype" w:eastAsia="Palatino Linotype" w:hAnsi="Palatino Linotype" w:cs="Palatino Linotype"/>
          <w:b/>
        </w:rPr>
        <w:t xml:space="preserve">13189/INFOEM/IP/RR/2022; </w:t>
      </w:r>
      <w:r w:rsidRPr="00563A62">
        <w:rPr>
          <w:rFonts w:ascii="Palatino Linotype" w:eastAsia="Palatino Linotype" w:hAnsi="Palatino Linotype" w:cs="Palatino Linotype"/>
        </w:rPr>
        <w:t xml:space="preserve">por lo que, en términos del Considerando </w:t>
      </w:r>
      <w:r w:rsidRPr="00563A62">
        <w:rPr>
          <w:rFonts w:ascii="Palatino Linotype" w:eastAsia="Palatino Linotype" w:hAnsi="Palatino Linotype" w:cs="Palatino Linotype"/>
          <w:b/>
        </w:rPr>
        <w:t>Cuarto</w:t>
      </w:r>
      <w:r w:rsidRPr="00563A62">
        <w:rPr>
          <w:rFonts w:ascii="Palatino Linotype" w:eastAsia="Palatino Linotype" w:hAnsi="Palatino Linotype" w:cs="Palatino Linotype"/>
        </w:rPr>
        <w:t xml:space="preserve"> de la presente resolución se </w:t>
      </w:r>
      <w:r w:rsidRPr="00563A62">
        <w:rPr>
          <w:rFonts w:ascii="Palatino Linotype" w:eastAsia="Palatino Linotype" w:hAnsi="Palatino Linotype" w:cs="Palatino Linotype"/>
          <w:b/>
        </w:rPr>
        <w:t xml:space="preserve">Confirma </w:t>
      </w:r>
      <w:r w:rsidRPr="00563A62">
        <w:rPr>
          <w:rFonts w:ascii="Palatino Linotype" w:eastAsia="Palatino Linotype" w:hAnsi="Palatino Linotype" w:cs="Palatino Linotype"/>
        </w:rPr>
        <w:t xml:space="preserve">la respuesta emitida por el </w:t>
      </w:r>
      <w:r w:rsidRPr="00563A62">
        <w:rPr>
          <w:rFonts w:ascii="Palatino Linotype" w:eastAsia="Palatino Linotype" w:hAnsi="Palatino Linotype" w:cs="Palatino Linotype"/>
          <w:b/>
        </w:rPr>
        <w:t>Sujeto Obligado.</w:t>
      </w:r>
    </w:p>
    <w:p w14:paraId="28DF1384" w14:textId="77777777" w:rsidR="003104F3" w:rsidRPr="00563A62" w:rsidRDefault="003104F3">
      <w:pPr>
        <w:spacing w:line="360" w:lineRule="auto"/>
        <w:jc w:val="both"/>
        <w:rPr>
          <w:rFonts w:ascii="Palatino Linotype" w:eastAsia="Palatino Linotype" w:hAnsi="Palatino Linotype" w:cs="Palatino Linotype"/>
          <w:b/>
        </w:rPr>
      </w:pPr>
    </w:p>
    <w:p w14:paraId="10FC789C" w14:textId="77777777" w:rsidR="003104F3" w:rsidRPr="00563A62" w:rsidRDefault="00563A62">
      <w:pPr>
        <w:spacing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Segundo. Notifíquese vía Sistema de Acceso a la Información Mexiquense (SAIMEX)</w:t>
      </w:r>
      <w:r w:rsidRPr="00563A62">
        <w:rPr>
          <w:rFonts w:ascii="Palatino Linotype" w:eastAsia="Palatino Linotype" w:hAnsi="Palatino Linotype" w:cs="Palatino Linotype"/>
        </w:rPr>
        <w:t>, al Titular de la Unidad de Transparencia, para su conocimiento.</w:t>
      </w:r>
    </w:p>
    <w:p w14:paraId="40ABC15A" w14:textId="77777777" w:rsidR="003104F3" w:rsidRPr="00563A62" w:rsidRDefault="00563A62">
      <w:pPr>
        <w:spacing w:before="240" w:after="240" w:line="360" w:lineRule="auto"/>
        <w:jc w:val="both"/>
        <w:rPr>
          <w:rFonts w:ascii="Palatino Linotype" w:eastAsia="Palatino Linotype" w:hAnsi="Palatino Linotype" w:cs="Palatino Linotype"/>
        </w:rPr>
      </w:pPr>
      <w:r w:rsidRPr="00563A62">
        <w:rPr>
          <w:rFonts w:ascii="Palatino Linotype" w:eastAsia="Palatino Linotype" w:hAnsi="Palatino Linotype" w:cs="Palatino Linotype"/>
          <w:b/>
        </w:rPr>
        <w:t>Tercero. Notifíquese vía Sistema de Acceso a la Información Mexiquense (SAIMEX)</w:t>
      </w:r>
      <w:r w:rsidRPr="00563A62">
        <w:rPr>
          <w:rFonts w:ascii="Palatino Linotype" w:eastAsia="Palatino Linotype" w:hAnsi="Palatino Linotype" w:cs="Palatino Linotype"/>
        </w:rPr>
        <w:t xml:space="preserve">, la presente resolución al </w:t>
      </w:r>
      <w:r w:rsidRPr="00563A62">
        <w:rPr>
          <w:rFonts w:ascii="Palatino Linotype" w:eastAsia="Palatino Linotype" w:hAnsi="Palatino Linotype" w:cs="Palatino Linotype"/>
          <w:b/>
        </w:rPr>
        <w:t>Recurrente</w:t>
      </w:r>
      <w:r w:rsidRPr="00563A62">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08B3F1BB" w14:textId="77777777" w:rsidR="003104F3" w:rsidRPr="00563A62" w:rsidRDefault="00563A62">
      <w:pPr>
        <w:spacing w:before="240" w:after="240" w:line="360" w:lineRule="auto"/>
        <w:jc w:val="both"/>
        <w:rPr>
          <w:rFonts w:ascii="Palatino Linotype" w:eastAsia="Palatino Linotype" w:hAnsi="Palatino Linotype" w:cs="Palatino Linotype"/>
          <w:sz w:val="20"/>
          <w:szCs w:val="20"/>
        </w:rPr>
      </w:pPr>
      <w:r w:rsidRPr="00563A62">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NUEVE DE FEBRERO DE DOS MIL VEINTITRÉS, ANTE EL SECRETARIO TÉCNICO DEL PLENO, ALEXIS TAPIA RAMÍREZ.</w:t>
      </w:r>
    </w:p>
    <w:p w14:paraId="7A4D3938" w14:textId="3A45A265" w:rsidR="003104F3" w:rsidRPr="00563A62" w:rsidRDefault="00633CB1">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mc:AlternateContent>
          <mc:Choice Requires="wps">
            <w:drawing>
              <wp:anchor distT="0" distB="0" distL="114300" distR="114300" simplePos="0" relativeHeight="251661312" behindDoc="0" locked="0" layoutInCell="1" allowOverlap="1" wp14:anchorId="1C73D376" wp14:editId="4F5CFAC8">
                <wp:simplePos x="0" y="0"/>
                <wp:positionH relativeFrom="column">
                  <wp:posOffset>205740</wp:posOffset>
                </wp:positionH>
                <wp:positionV relativeFrom="paragraph">
                  <wp:posOffset>175895</wp:posOffset>
                </wp:positionV>
                <wp:extent cx="5105400" cy="411480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105400" cy="4114800"/>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BEF38E"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2pt,13.85pt" to="418.2pt,3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" strokecolor="#4f81bd [3204]"/>
            </w:pict>
          </mc:Fallback>
        </mc:AlternateContent>
      </w:r>
    </w:p>
    <w:p w14:paraId="7F991293" w14:textId="77777777" w:rsidR="003104F3" w:rsidRPr="00563A62" w:rsidRDefault="003104F3">
      <w:pPr>
        <w:spacing w:before="240" w:after="240"/>
        <w:jc w:val="both"/>
        <w:rPr>
          <w:rFonts w:ascii="Palatino Linotype" w:eastAsia="Palatino Linotype" w:hAnsi="Palatino Linotype" w:cs="Palatino Linotype"/>
          <w:sz w:val="20"/>
          <w:szCs w:val="20"/>
        </w:rPr>
      </w:pPr>
    </w:p>
    <w:p w14:paraId="2E6A8DB6" w14:textId="77777777" w:rsidR="003104F3" w:rsidRPr="00563A62" w:rsidRDefault="003104F3">
      <w:pPr>
        <w:spacing w:before="240" w:after="240"/>
        <w:jc w:val="both"/>
        <w:rPr>
          <w:rFonts w:ascii="Palatino Linotype" w:eastAsia="Palatino Linotype" w:hAnsi="Palatino Linotype" w:cs="Palatino Linotype"/>
          <w:sz w:val="20"/>
          <w:szCs w:val="20"/>
        </w:rPr>
      </w:pPr>
    </w:p>
    <w:p w14:paraId="48CB3FC8" w14:textId="77777777" w:rsidR="003104F3" w:rsidRPr="00563A62" w:rsidRDefault="003104F3">
      <w:pPr>
        <w:spacing w:before="240" w:after="240"/>
        <w:jc w:val="both"/>
        <w:rPr>
          <w:rFonts w:ascii="Palatino Linotype" w:eastAsia="Palatino Linotype" w:hAnsi="Palatino Linotype" w:cs="Palatino Linotype"/>
          <w:sz w:val="20"/>
          <w:szCs w:val="20"/>
        </w:rPr>
      </w:pPr>
    </w:p>
    <w:p w14:paraId="385AAC21" w14:textId="77777777" w:rsidR="003104F3" w:rsidRPr="00563A62" w:rsidRDefault="003104F3">
      <w:pPr>
        <w:spacing w:before="240" w:after="240"/>
        <w:jc w:val="both"/>
        <w:rPr>
          <w:rFonts w:ascii="Palatino Linotype" w:eastAsia="Palatino Linotype" w:hAnsi="Palatino Linotype" w:cs="Palatino Linotype"/>
          <w:sz w:val="20"/>
          <w:szCs w:val="20"/>
        </w:rPr>
      </w:pPr>
    </w:p>
    <w:p w14:paraId="098A4AFA" w14:textId="77777777" w:rsidR="003104F3" w:rsidRPr="00563A62" w:rsidRDefault="003104F3">
      <w:pPr>
        <w:spacing w:before="240" w:after="240"/>
        <w:jc w:val="both"/>
        <w:rPr>
          <w:rFonts w:ascii="Palatino Linotype" w:eastAsia="Palatino Linotype" w:hAnsi="Palatino Linotype" w:cs="Palatino Linotype"/>
          <w:sz w:val="20"/>
          <w:szCs w:val="20"/>
        </w:rPr>
      </w:pPr>
    </w:p>
    <w:p w14:paraId="196B1C42" w14:textId="77777777" w:rsidR="003104F3" w:rsidRPr="00563A62" w:rsidRDefault="003104F3">
      <w:pPr>
        <w:spacing w:before="240" w:after="240"/>
        <w:jc w:val="both"/>
        <w:rPr>
          <w:rFonts w:ascii="Palatino Linotype" w:eastAsia="Palatino Linotype" w:hAnsi="Palatino Linotype" w:cs="Palatino Linotype"/>
          <w:sz w:val="20"/>
          <w:szCs w:val="20"/>
        </w:rPr>
      </w:pPr>
    </w:p>
    <w:p w14:paraId="3D27D5BC" w14:textId="77777777" w:rsidR="003104F3" w:rsidRPr="00563A62" w:rsidRDefault="003104F3">
      <w:pPr>
        <w:spacing w:before="240" w:after="240"/>
        <w:jc w:val="both"/>
        <w:rPr>
          <w:rFonts w:ascii="Palatino Linotype" w:eastAsia="Palatino Linotype" w:hAnsi="Palatino Linotype" w:cs="Palatino Linotype"/>
          <w:sz w:val="20"/>
          <w:szCs w:val="20"/>
        </w:rPr>
      </w:pPr>
    </w:p>
    <w:p w14:paraId="3C3F6B42" w14:textId="77777777" w:rsidR="003104F3" w:rsidRPr="00563A62" w:rsidRDefault="003104F3">
      <w:pPr>
        <w:spacing w:before="240" w:after="240"/>
        <w:jc w:val="both"/>
        <w:rPr>
          <w:rFonts w:ascii="Palatino Linotype" w:eastAsia="Palatino Linotype" w:hAnsi="Palatino Linotype" w:cs="Palatino Linotype"/>
          <w:sz w:val="20"/>
          <w:szCs w:val="20"/>
        </w:rPr>
      </w:pPr>
    </w:p>
    <w:p w14:paraId="68029446" w14:textId="77777777" w:rsidR="003104F3" w:rsidRPr="00563A62" w:rsidRDefault="003104F3">
      <w:pPr>
        <w:spacing w:before="240" w:after="240"/>
        <w:jc w:val="both"/>
        <w:rPr>
          <w:rFonts w:ascii="Palatino Linotype" w:eastAsia="Palatino Linotype" w:hAnsi="Palatino Linotype" w:cs="Palatino Linotype"/>
          <w:sz w:val="20"/>
          <w:szCs w:val="20"/>
        </w:rPr>
      </w:pPr>
    </w:p>
    <w:p w14:paraId="45FF1E57" w14:textId="77777777" w:rsidR="003104F3" w:rsidRPr="00563A62" w:rsidRDefault="003104F3">
      <w:pPr>
        <w:spacing w:before="240" w:after="240"/>
        <w:jc w:val="both"/>
        <w:rPr>
          <w:rFonts w:ascii="Palatino Linotype" w:eastAsia="Palatino Linotype" w:hAnsi="Palatino Linotype" w:cs="Palatino Linotype"/>
          <w:sz w:val="20"/>
          <w:szCs w:val="20"/>
        </w:rPr>
      </w:pPr>
    </w:p>
    <w:p w14:paraId="673BD26F" w14:textId="77777777" w:rsidR="003104F3" w:rsidRPr="00563A62" w:rsidRDefault="003104F3">
      <w:pPr>
        <w:spacing w:before="240" w:after="240"/>
        <w:jc w:val="both"/>
        <w:rPr>
          <w:rFonts w:ascii="Palatino Linotype" w:eastAsia="Palatino Linotype" w:hAnsi="Palatino Linotype" w:cs="Palatino Linotype"/>
          <w:sz w:val="20"/>
          <w:szCs w:val="20"/>
        </w:rPr>
      </w:pPr>
    </w:p>
    <w:p w14:paraId="7D04DC90" w14:textId="77777777" w:rsidR="003104F3" w:rsidRPr="00563A62" w:rsidRDefault="003104F3">
      <w:pPr>
        <w:spacing w:before="240" w:after="240"/>
        <w:jc w:val="both"/>
        <w:rPr>
          <w:rFonts w:ascii="Palatino Linotype" w:eastAsia="Palatino Linotype" w:hAnsi="Palatino Linotype" w:cs="Palatino Linotype"/>
          <w:sz w:val="20"/>
          <w:szCs w:val="20"/>
        </w:rPr>
      </w:pPr>
    </w:p>
    <w:p w14:paraId="3E8E8443" w14:textId="77777777" w:rsidR="003104F3" w:rsidRPr="00563A62" w:rsidRDefault="003104F3">
      <w:pPr>
        <w:spacing w:before="240" w:after="240"/>
        <w:jc w:val="both"/>
        <w:rPr>
          <w:rFonts w:ascii="Palatino Linotype" w:eastAsia="Palatino Linotype" w:hAnsi="Palatino Linotype" w:cs="Palatino Linotype"/>
          <w:sz w:val="20"/>
          <w:szCs w:val="20"/>
        </w:rPr>
      </w:pPr>
    </w:p>
    <w:p w14:paraId="7C74D33B" w14:textId="77777777" w:rsidR="003104F3" w:rsidRPr="00563A62" w:rsidRDefault="003104F3">
      <w:pPr>
        <w:spacing w:before="240" w:after="240"/>
        <w:jc w:val="both"/>
        <w:rPr>
          <w:rFonts w:ascii="Palatino Linotype" w:eastAsia="Palatino Linotype" w:hAnsi="Palatino Linotype" w:cs="Palatino Linotype"/>
          <w:sz w:val="20"/>
          <w:szCs w:val="20"/>
        </w:rPr>
      </w:pPr>
    </w:p>
    <w:p w14:paraId="28D876EC" w14:textId="77777777" w:rsidR="003104F3" w:rsidRPr="00563A62" w:rsidRDefault="003104F3">
      <w:pPr>
        <w:spacing w:before="240" w:after="240"/>
        <w:jc w:val="both"/>
        <w:rPr>
          <w:rFonts w:ascii="Palatino Linotype" w:eastAsia="Palatino Linotype" w:hAnsi="Palatino Linotype" w:cs="Palatino Linotype"/>
          <w:sz w:val="20"/>
          <w:szCs w:val="20"/>
        </w:rPr>
      </w:pPr>
    </w:p>
    <w:p w14:paraId="1356F236" w14:textId="77777777" w:rsidR="003104F3" w:rsidRPr="00563A62" w:rsidRDefault="003104F3">
      <w:pPr>
        <w:spacing w:before="240" w:after="240"/>
        <w:jc w:val="both"/>
        <w:rPr>
          <w:rFonts w:ascii="Palatino Linotype" w:eastAsia="Palatino Linotype" w:hAnsi="Palatino Linotype" w:cs="Palatino Linotype"/>
          <w:sz w:val="20"/>
          <w:szCs w:val="20"/>
        </w:rPr>
      </w:pPr>
    </w:p>
    <w:p w14:paraId="0996B71F" w14:textId="77777777" w:rsidR="003104F3" w:rsidRPr="00563A62" w:rsidRDefault="003104F3">
      <w:pPr>
        <w:spacing w:before="240" w:after="240"/>
        <w:jc w:val="both"/>
        <w:rPr>
          <w:rFonts w:ascii="Palatino Linotype" w:eastAsia="Palatino Linotype" w:hAnsi="Palatino Linotype" w:cs="Palatino Linotype"/>
          <w:sz w:val="20"/>
          <w:szCs w:val="20"/>
        </w:rPr>
      </w:pPr>
    </w:p>
    <w:p w14:paraId="75FBC7E5" w14:textId="77777777" w:rsidR="003104F3" w:rsidRPr="00563A62" w:rsidRDefault="003104F3">
      <w:pPr>
        <w:spacing w:before="240" w:after="240"/>
        <w:jc w:val="both"/>
        <w:rPr>
          <w:rFonts w:ascii="Palatino Linotype" w:eastAsia="Palatino Linotype" w:hAnsi="Palatino Linotype" w:cs="Palatino Linotype"/>
          <w:sz w:val="20"/>
          <w:szCs w:val="20"/>
        </w:rPr>
      </w:pPr>
    </w:p>
    <w:p w14:paraId="57309FC4" w14:textId="77777777" w:rsidR="003104F3" w:rsidRPr="00563A62" w:rsidRDefault="003104F3">
      <w:pPr>
        <w:spacing w:before="240" w:after="240"/>
        <w:jc w:val="both"/>
        <w:rPr>
          <w:rFonts w:ascii="Palatino Linotype" w:eastAsia="Palatino Linotype" w:hAnsi="Palatino Linotype" w:cs="Palatino Linotype"/>
          <w:sz w:val="20"/>
          <w:szCs w:val="20"/>
        </w:rPr>
      </w:pPr>
    </w:p>
    <w:p w14:paraId="7F6DFA8A" w14:textId="77777777" w:rsidR="003104F3" w:rsidRPr="00563A62" w:rsidRDefault="003104F3">
      <w:pPr>
        <w:spacing w:before="240" w:after="240"/>
        <w:jc w:val="both"/>
        <w:rPr>
          <w:rFonts w:ascii="Palatino Linotype" w:eastAsia="Palatino Linotype" w:hAnsi="Palatino Linotype" w:cs="Palatino Linotype"/>
          <w:sz w:val="20"/>
          <w:szCs w:val="20"/>
        </w:rPr>
      </w:pPr>
    </w:p>
    <w:p w14:paraId="39318641" w14:textId="77777777" w:rsidR="003104F3" w:rsidRPr="00563A62" w:rsidRDefault="003104F3">
      <w:pPr>
        <w:spacing w:before="240" w:after="240"/>
        <w:jc w:val="both"/>
        <w:rPr>
          <w:rFonts w:ascii="Palatino Linotype" w:eastAsia="Palatino Linotype" w:hAnsi="Palatino Linotype" w:cs="Palatino Linotype"/>
          <w:sz w:val="20"/>
          <w:szCs w:val="20"/>
        </w:rPr>
      </w:pPr>
    </w:p>
    <w:p w14:paraId="3BF84AD9" w14:textId="77777777" w:rsidR="003104F3" w:rsidRPr="00563A62" w:rsidRDefault="003104F3">
      <w:pPr>
        <w:spacing w:before="240" w:after="240"/>
        <w:jc w:val="both"/>
        <w:rPr>
          <w:rFonts w:ascii="Palatino Linotype" w:eastAsia="Palatino Linotype" w:hAnsi="Palatino Linotype" w:cs="Palatino Linotype"/>
          <w:sz w:val="20"/>
          <w:szCs w:val="20"/>
        </w:rPr>
      </w:pPr>
    </w:p>
    <w:sectPr w:rsidR="003104F3" w:rsidRPr="00563A62">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25CFE" w14:textId="77777777" w:rsidR="00115100" w:rsidRDefault="00115100">
      <w:r>
        <w:separator/>
      </w:r>
    </w:p>
  </w:endnote>
  <w:endnote w:type="continuationSeparator" w:id="0">
    <w:p w14:paraId="1277C061" w14:textId="77777777" w:rsidR="00115100" w:rsidRDefault="00115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12B0F" w14:textId="77777777" w:rsidR="003104F3" w:rsidRDefault="00563A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67BD0">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67BD0">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5C7DB3DE" w14:textId="77777777" w:rsidR="003104F3" w:rsidRDefault="003104F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7C509" w14:textId="77777777" w:rsidR="003104F3" w:rsidRDefault="00563A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67BD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67BD0">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3ADEEBAC" w14:textId="77777777" w:rsidR="003104F3" w:rsidRDefault="003104F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0A760" w14:textId="77777777" w:rsidR="00115100" w:rsidRDefault="00115100">
      <w:r>
        <w:separator/>
      </w:r>
    </w:p>
  </w:footnote>
  <w:footnote w:type="continuationSeparator" w:id="0">
    <w:p w14:paraId="3128518F" w14:textId="77777777" w:rsidR="00115100" w:rsidRDefault="00115100">
      <w:r>
        <w:continuationSeparator/>
      </w:r>
    </w:p>
  </w:footnote>
  <w:footnote w:id="1">
    <w:p w14:paraId="42244F42" w14:textId="77777777" w:rsidR="003104F3" w:rsidRDefault="00563A62">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6015C37" w14:textId="77777777" w:rsidR="003104F3" w:rsidRDefault="00563A6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D3B5729" w14:textId="77777777" w:rsidR="003104F3" w:rsidRDefault="00563A6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98799" w14:textId="77777777" w:rsidR="003104F3" w:rsidRDefault="00563A62">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47CC519" wp14:editId="31A23097">
          <wp:simplePos x="0" y="0"/>
          <wp:positionH relativeFrom="column">
            <wp:posOffset>-1080127</wp:posOffset>
          </wp:positionH>
          <wp:positionV relativeFrom="paragraph">
            <wp:posOffset>-396394</wp:posOffset>
          </wp:positionV>
          <wp:extent cx="7809865" cy="10165715"/>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3104F3" w14:paraId="3733E661" w14:textId="77777777">
      <w:tc>
        <w:tcPr>
          <w:tcW w:w="2489" w:type="dxa"/>
          <w:shd w:val="clear" w:color="auto" w:fill="auto"/>
        </w:tcPr>
        <w:p w14:paraId="4983FF14" w14:textId="77777777" w:rsidR="003104F3" w:rsidRDefault="00563A6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67DD7DE7" w14:textId="77777777" w:rsidR="003104F3" w:rsidRDefault="00563A62">
          <w:pPr>
            <w:ind w:right="175"/>
            <w:jc w:val="both"/>
            <w:rPr>
              <w:rFonts w:ascii="Palatino Linotype" w:eastAsia="Palatino Linotype" w:hAnsi="Palatino Linotype" w:cs="Palatino Linotype"/>
              <w:b/>
            </w:rPr>
          </w:pPr>
          <w:r>
            <w:rPr>
              <w:rFonts w:ascii="Palatino Linotype" w:eastAsia="Palatino Linotype" w:hAnsi="Palatino Linotype" w:cs="Palatino Linotype"/>
              <w:b/>
            </w:rPr>
            <w:t>13189/INFOEM/IP/RR/2022</w:t>
          </w:r>
        </w:p>
      </w:tc>
    </w:tr>
    <w:tr w:rsidR="003104F3" w14:paraId="4109AE99" w14:textId="77777777">
      <w:trPr>
        <w:trHeight w:val="228"/>
      </w:trPr>
      <w:tc>
        <w:tcPr>
          <w:tcW w:w="2489" w:type="dxa"/>
          <w:shd w:val="clear" w:color="auto" w:fill="auto"/>
          <w:vAlign w:val="center"/>
        </w:tcPr>
        <w:p w14:paraId="5D19DA73" w14:textId="77777777" w:rsidR="003104F3" w:rsidRDefault="00563A6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43DE44FE" w14:textId="77777777" w:rsidR="003104F3" w:rsidRDefault="00563A62">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Secretaría del Trabajo</w:t>
          </w:r>
        </w:p>
      </w:tc>
    </w:tr>
    <w:tr w:rsidR="003104F3" w14:paraId="225FE6C7" w14:textId="77777777">
      <w:trPr>
        <w:trHeight w:val="311"/>
      </w:trPr>
      <w:tc>
        <w:tcPr>
          <w:tcW w:w="2489" w:type="dxa"/>
          <w:shd w:val="clear" w:color="auto" w:fill="auto"/>
          <w:vAlign w:val="center"/>
        </w:tcPr>
        <w:p w14:paraId="2B7BF3C2" w14:textId="77777777" w:rsidR="003104F3" w:rsidRDefault="00563A62">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4D431A97" w14:textId="77777777" w:rsidR="003104F3" w:rsidRDefault="00563A62">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425248D" w14:textId="77777777" w:rsidR="003104F3" w:rsidRDefault="00563A6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4796D" w14:textId="77777777" w:rsidR="003104F3" w:rsidRDefault="00563A6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62EE8E6" wp14:editId="40A98371">
          <wp:simplePos x="0" y="0"/>
          <wp:positionH relativeFrom="column">
            <wp:posOffset>-699133</wp:posOffset>
          </wp:positionH>
          <wp:positionV relativeFrom="paragraph">
            <wp:posOffset>-644523</wp:posOffset>
          </wp:positionV>
          <wp:extent cx="7809865" cy="10165715"/>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095" w:type="dxa"/>
      <w:tblInd w:w="2762" w:type="dxa"/>
      <w:tblLayout w:type="fixed"/>
      <w:tblLook w:val="0400" w:firstRow="0" w:lastRow="0" w:firstColumn="0" w:lastColumn="0" w:noHBand="0" w:noVBand="1"/>
    </w:tblPr>
    <w:tblGrid>
      <w:gridCol w:w="2551"/>
      <w:gridCol w:w="3544"/>
    </w:tblGrid>
    <w:tr w:rsidR="003104F3" w14:paraId="2DD07E09" w14:textId="77777777">
      <w:tc>
        <w:tcPr>
          <w:tcW w:w="2551" w:type="dxa"/>
          <w:shd w:val="clear" w:color="auto" w:fill="auto"/>
          <w:vAlign w:val="center"/>
        </w:tcPr>
        <w:p w14:paraId="77032914" w14:textId="77777777" w:rsidR="003104F3" w:rsidRDefault="00563A6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4F4BE657" w14:textId="77777777" w:rsidR="003104F3" w:rsidRDefault="00563A62">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13189/INFOEM/IP/RR/2022</w:t>
          </w:r>
        </w:p>
      </w:tc>
    </w:tr>
    <w:tr w:rsidR="003104F3" w14:paraId="16EB24E5" w14:textId="77777777">
      <w:trPr>
        <w:trHeight w:val="130"/>
      </w:trPr>
      <w:tc>
        <w:tcPr>
          <w:tcW w:w="2551" w:type="dxa"/>
          <w:shd w:val="clear" w:color="auto" w:fill="auto"/>
          <w:vAlign w:val="center"/>
        </w:tcPr>
        <w:p w14:paraId="327FDE5C" w14:textId="77777777" w:rsidR="003104F3" w:rsidRDefault="00563A6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6E824703" w14:textId="0BBDFDFE" w:rsidR="003104F3" w:rsidRDefault="00367BD0" w:rsidP="00367BD0">
          <w:pPr>
            <w:jc w:val="both"/>
            <w:rPr>
              <w:rFonts w:ascii="Palatino Linotype" w:eastAsia="Palatino Linotype" w:hAnsi="Palatino Linotype" w:cs="Palatino Linotype"/>
              <w:b/>
            </w:rPr>
          </w:pPr>
          <w:r>
            <w:rPr>
              <w:rFonts w:ascii="Palatino Linotype" w:eastAsia="Palatino Linotype" w:hAnsi="Palatino Linotype" w:cs="Palatino Linotype"/>
              <w:b/>
            </w:rPr>
            <w:t>XXXX XXXXXXXXX XXXXXXX</w:t>
          </w:r>
        </w:p>
      </w:tc>
    </w:tr>
    <w:tr w:rsidR="003104F3" w14:paraId="0F32D655" w14:textId="77777777">
      <w:trPr>
        <w:trHeight w:val="228"/>
      </w:trPr>
      <w:tc>
        <w:tcPr>
          <w:tcW w:w="2551" w:type="dxa"/>
          <w:shd w:val="clear" w:color="auto" w:fill="auto"/>
          <w:vAlign w:val="center"/>
        </w:tcPr>
        <w:p w14:paraId="55F320C2" w14:textId="77777777" w:rsidR="003104F3" w:rsidRDefault="00563A6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6B3C9BD3" w14:textId="77777777" w:rsidR="003104F3" w:rsidRDefault="00563A62">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Secretaría del Trabajo</w:t>
          </w:r>
        </w:p>
      </w:tc>
    </w:tr>
    <w:tr w:rsidR="003104F3" w14:paraId="1E2C031A" w14:textId="77777777">
      <w:tc>
        <w:tcPr>
          <w:tcW w:w="2551" w:type="dxa"/>
          <w:shd w:val="clear" w:color="auto" w:fill="auto"/>
          <w:vAlign w:val="center"/>
        </w:tcPr>
        <w:p w14:paraId="2C5524EA" w14:textId="77777777" w:rsidR="003104F3" w:rsidRDefault="00563A6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5975FB06" w14:textId="77777777" w:rsidR="003104F3" w:rsidRDefault="00563A62">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97FC1D5" w14:textId="77777777" w:rsidR="003104F3" w:rsidRDefault="003104F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B03C3"/>
    <w:multiLevelType w:val="multilevel"/>
    <w:tmpl w:val="07FA4E0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784223D"/>
    <w:multiLevelType w:val="multilevel"/>
    <w:tmpl w:val="6E1A5D76"/>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E4C1CA4"/>
    <w:multiLevelType w:val="multilevel"/>
    <w:tmpl w:val="FCA4C30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583B0C95"/>
    <w:multiLevelType w:val="multilevel"/>
    <w:tmpl w:val="B9A8002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4F3"/>
    <w:rsid w:val="00115100"/>
    <w:rsid w:val="003104F3"/>
    <w:rsid w:val="00367BD0"/>
    <w:rsid w:val="00563A62"/>
    <w:rsid w:val="00633CB1"/>
    <w:rsid w:val="00B45191"/>
    <w:rsid w:val="00EE1E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B45E9"/>
  <w15:docId w15:val="{393BF079-F8DD-4C1D-BB56-7AD292BA3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11">
    <w:name w:val="11"/>
    <w:basedOn w:val="TableNormal10"/>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2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20"/>
    <w:rPr>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30"/>
    <w:rPr>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30"/>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3"/>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3"/>
    <w:tblPr>
      <w:tblStyleRowBandSize w:val="1"/>
      <w:tblStyleColBandSize w:val="1"/>
      <w:tblCellMar>
        <w:top w:w="0" w:type="dxa"/>
        <w:left w:w="70" w:type="dxa"/>
        <w:bottom w:w="0" w:type="dxa"/>
        <w:right w:w="70" w:type="dxa"/>
      </w:tblCellMar>
    </w:tblPr>
  </w:style>
  <w:style w:type="table" w:customStyle="1" w:styleId="a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4">
    <w:basedOn w:val="TableNormal2"/>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5">
    <w:basedOn w:val="TableNormal2"/>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282C5F"/>
    <w:pPr>
      <w:numPr>
        <w:numId w:val="4"/>
      </w:numPr>
      <w:contextualSpacing/>
    </w:pPr>
  </w:style>
  <w:style w:type="table" w:customStyle="1" w:styleId="a6">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7">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8">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9">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1.png"/><Relationship Id="rId18" Type="http://schemas.openxmlformats.org/officeDocument/2006/relationships/hyperlink" Target="https://ipomex.org.mx/ipo3/lgt/indice/TRABAJO/art_92_xxi.web"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ipomex.org.mx/ipo3/lgt/indice/TRABAJO/art_92_vii.web" TargetMode="External"/><Relationship Id="rId14" Type="http://schemas.openxmlformats.org/officeDocument/2006/relationships/hyperlink" Target="https://ipomex.org.mx/ipo3/lgt/indice/TRABAJO/art_92_viii.web" TargetMode="External"/><Relationship Id="rId22" Type="http://schemas.openxmlformats.org/officeDocument/2006/relationships/image" Target="media/image12.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FbXZeUnFJeUrOhpphC9IjFeSYTg==">AMUW2mVADHvc6Z8ejSbuZw+rUU0kSxO9BSsYhyKONj8V/h+oL44Spb05FGtIKo8AU35vP6IfSMSSO6AU6Dtpvo/wMkRmXastB8kABBx2sngvJ2qRgxPayPmJ5MYLizQiSmtutGt9JyhBKgu890hQYWaHQSP1hv+GLgDrhNBZaQ4bmZGjANc3T0Y=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7813</Words>
  <Characters>42976</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50688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2023-02-13T16:43:00Z</cp:lastPrinted>
  <dcterms:created xsi:type="dcterms:W3CDTF">2023-02-21T18:51:00Z</dcterms:created>
  <dcterms:modified xsi:type="dcterms:W3CDTF">2023-02-21T18:51:00Z</dcterms:modified>
</cp:coreProperties>
</file>