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499" w:rsidRPr="00BA6AF3" w:rsidRDefault="00BC0FE1">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BA6AF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veinte de septiembre de dos mil veintitrés.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VISTO</w:t>
      </w:r>
      <w:r w:rsidRPr="00BA6AF3">
        <w:rPr>
          <w:rFonts w:ascii="Palatino Linotype" w:eastAsia="Palatino Linotype" w:hAnsi="Palatino Linotype" w:cs="Palatino Linotype"/>
        </w:rPr>
        <w:t xml:space="preserve"> el expediente formado con motivo del recurso de revisión </w:t>
      </w:r>
      <w:r w:rsidRPr="00BA6AF3">
        <w:rPr>
          <w:rFonts w:ascii="Palatino Linotype" w:eastAsia="Palatino Linotype" w:hAnsi="Palatino Linotype" w:cs="Palatino Linotype"/>
          <w:b/>
        </w:rPr>
        <w:t>14549/INFOEM/IP/RR/2022</w:t>
      </w:r>
      <w:r w:rsidRPr="00BA6AF3">
        <w:rPr>
          <w:rFonts w:ascii="Palatino Linotype" w:eastAsia="Palatino Linotype" w:hAnsi="Palatino Linotype" w:cs="Palatino Linotype"/>
        </w:rPr>
        <w:t xml:space="preserve">, interpuesto por </w:t>
      </w:r>
      <w:r w:rsidR="004D6B63">
        <w:rPr>
          <w:rFonts w:ascii="Palatino Linotype" w:eastAsia="Palatino Linotype" w:hAnsi="Palatino Linotype" w:cs="Palatino Linotype"/>
          <w:b/>
        </w:rPr>
        <w:t>XXXXXXXX XXXXXXX XXXXXX</w:t>
      </w:r>
      <w:bookmarkStart w:id="1" w:name="_GoBack"/>
      <w:bookmarkEnd w:id="1"/>
      <w:r w:rsidRPr="00BA6AF3">
        <w:rPr>
          <w:rFonts w:ascii="Palatino Linotype" w:eastAsia="Palatino Linotype" w:hAnsi="Palatino Linotype" w:cs="Palatino Linotype"/>
          <w:b/>
        </w:rPr>
        <w:t xml:space="preserve"> </w:t>
      </w:r>
      <w:r w:rsidRPr="00BA6AF3">
        <w:rPr>
          <w:rFonts w:ascii="Palatino Linotype" w:eastAsia="Palatino Linotype" w:hAnsi="Palatino Linotype" w:cs="Palatino Linotype"/>
        </w:rPr>
        <w:t>y</w:t>
      </w:r>
      <w:r w:rsidRPr="00BA6AF3">
        <w:rPr>
          <w:rFonts w:ascii="Palatino Linotype" w:eastAsia="Palatino Linotype" w:hAnsi="Palatino Linotype" w:cs="Palatino Linotype"/>
          <w:b/>
        </w:rPr>
        <w:t xml:space="preserve"> </w:t>
      </w:r>
      <w:r w:rsidRPr="00BA6AF3">
        <w:rPr>
          <w:rFonts w:ascii="Palatino Linotype" w:eastAsia="Palatino Linotype" w:hAnsi="Palatino Linotype" w:cs="Palatino Linotype"/>
        </w:rPr>
        <w:t>quien en lo sucesivo</w:t>
      </w:r>
      <w:r w:rsidRPr="00BA6AF3">
        <w:rPr>
          <w:rFonts w:ascii="Palatino Linotype" w:eastAsia="Palatino Linotype" w:hAnsi="Palatino Linotype" w:cs="Palatino Linotype"/>
          <w:b/>
        </w:rPr>
        <w:t xml:space="preserve"> </w:t>
      </w:r>
      <w:r w:rsidRPr="00BA6AF3">
        <w:rPr>
          <w:rFonts w:ascii="Palatino Linotype" w:eastAsia="Palatino Linotype" w:hAnsi="Palatino Linotype" w:cs="Palatino Linotype"/>
        </w:rPr>
        <w:t xml:space="preserve">será identificado en su calidad de la parte </w:t>
      </w:r>
      <w:r w:rsidRPr="00BA6AF3">
        <w:rPr>
          <w:rFonts w:ascii="Palatino Linotype" w:eastAsia="Palatino Linotype" w:hAnsi="Palatino Linotype" w:cs="Palatino Linotype"/>
          <w:b/>
        </w:rPr>
        <w:t>Recurrente,</w:t>
      </w:r>
      <w:r w:rsidRPr="00BA6AF3">
        <w:rPr>
          <w:rFonts w:ascii="Palatino Linotype" w:eastAsia="Palatino Linotype" w:hAnsi="Palatino Linotype" w:cs="Palatino Linotype"/>
        </w:rPr>
        <w:t xml:space="preserve"> en contra de la respuesta del </w:t>
      </w:r>
      <w:r w:rsidRPr="00BA6AF3">
        <w:rPr>
          <w:rFonts w:ascii="Palatino Linotype" w:eastAsia="Palatino Linotype" w:hAnsi="Palatino Linotype" w:cs="Palatino Linotype"/>
          <w:b/>
        </w:rPr>
        <w:t xml:space="preserve">Ayuntamiento de Melchor Ocampo, </w:t>
      </w:r>
      <w:r w:rsidRPr="00BA6AF3">
        <w:rPr>
          <w:rFonts w:ascii="Palatino Linotype" w:eastAsia="Palatino Linotype" w:hAnsi="Palatino Linotype" w:cs="Palatino Linotype"/>
        </w:rPr>
        <w:t xml:space="preserve">en lo sucesivo 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se procede a dictar la presente resolución con base en los siguientes: </w:t>
      </w:r>
    </w:p>
    <w:p w:rsidR="00C97499" w:rsidRPr="00BA6AF3" w:rsidRDefault="00BC0FE1">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BA6AF3">
        <w:rPr>
          <w:rFonts w:ascii="Palatino Linotype" w:eastAsia="Palatino Linotype" w:hAnsi="Palatino Linotype" w:cs="Palatino Linotype"/>
          <w:b/>
        </w:rPr>
        <w:t>I. A N T E C E D E N T E 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1. Solicitud de acceso a la información.</w:t>
      </w:r>
      <w:r w:rsidRPr="00BA6AF3">
        <w:rPr>
          <w:rFonts w:ascii="Palatino Linotype" w:eastAsia="Palatino Linotype" w:hAnsi="Palatino Linotype" w:cs="Palatino Linotype"/>
        </w:rPr>
        <w:t xml:space="preserve"> El </w:t>
      </w:r>
      <w:r w:rsidRPr="00BA6AF3">
        <w:rPr>
          <w:rFonts w:ascii="Palatino Linotype" w:eastAsia="Palatino Linotype" w:hAnsi="Palatino Linotype" w:cs="Palatino Linotype"/>
          <w:b/>
        </w:rPr>
        <w:t>uno de agosto de dos mil veintidós,</w:t>
      </w:r>
      <w:r w:rsidRPr="00BA6AF3">
        <w:rPr>
          <w:rFonts w:ascii="Palatino Linotype" w:eastAsia="Palatino Linotype" w:hAnsi="Palatino Linotype" w:cs="Palatino Linotype"/>
        </w:rPr>
        <w:t xml:space="preserve"> la parte </w:t>
      </w:r>
      <w:r w:rsidRPr="00BA6AF3">
        <w:rPr>
          <w:rFonts w:ascii="Palatino Linotype" w:eastAsia="Palatino Linotype" w:hAnsi="Palatino Linotype" w:cs="Palatino Linotype"/>
          <w:b/>
        </w:rPr>
        <w:t xml:space="preserve">Recurrente </w:t>
      </w:r>
      <w:r w:rsidRPr="00BA6AF3">
        <w:rPr>
          <w:rFonts w:ascii="Palatino Linotype" w:eastAsia="Palatino Linotype" w:hAnsi="Palatino Linotype" w:cs="Palatino Linotype"/>
        </w:rPr>
        <w:t>presentó a través del Sistema de Acceso a la Información Mexiquense (</w:t>
      </w:r>
      <w:r w:rsidRPr="00BA6AF3">
        <w:rPr>
          <w:rFonts w:ascii="Palatino Linotype" w:eastAsia="Palatino Linotype" w:hAnsi="Palatino Linotype" w:cs="Palatino Linotype"/>
          <w:b/>
        </w:rPr>
        <w:t>SAIMEX),</w:t>
      </w:r>
      <w:r w:rsidRPr="00BA6AF3">
        <w:rPr>
          <w:rFonts w:ascii="Palatino Linotype" w:eastAsia="Palatino Linotype" w:hAnsi="Palatino Linotype" w:cs="Palatino Linotype"/>
        </w:rPr>
        <w:t xml:space="preserve"> la solicitud de acceso a la información pública registrada con el número </w:t>
      </w:r>
      <w:r w:rsidRPr="00BA6AF3">
        <w:rPr>
          <w:rFonts w:ascii="Palatino Linotype" w:eastAsia="Palatino Linotype" w:hAnsi="Palatino Linotype" w:cs="Palatino Linotype"/>
          <w:b/>
        </w:rPr>
        <w:t xml:space="preserve">00222/MELOCAM/IP/2022, </w:t>
      </w:r>
      <w:r w:rsidRPr="00BA6AF3">
        <w:rPr>
          <w:rFonts w:ascii="Palatino Linotype" w:eastAsia="Palatino Linotype" w:hAnsi="Palatino Linotype" w:cs="Palatino Linotype"/>
        </w:rPr>
        <w:t xml:space="preserve">mediante la cual requirió la información siguiente: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sidRPr="00BA6AF3">
        <w:rPr>
          <w:rFonts w:ascii="Palatino Linotype" w:eastAsia="Palatino Linotype" w:hAnsi="Palatino Linotype" w:cs="Palatino Linotype"/>
          <w:i/>
          <w:sz w:val="22"/>
          <w:szCs w:val="22"/>
        </w:rPr>
        <w:t xml:space="preserve">“Solicito la o las bitácoras de servicios que realizan las unidades vehiculares o automotoras, que tenga el parque vehicular del área de servicios públicos, tesorería, protección civil, seguridad </w:t>
      </w:r>
      <w:proofErr w:type="spellStart"/>
      <w:r w:rsidRPr="00BA6AF3">
        <w:rPr>
          <w:rFonts w:ascii="Palatino Linotype" w:eastAsia="Palatino Linotype" w:hAnsi="Palatino Linotype" w:cs="Palatino Linotype"/>
          <w:i/>
          <w:sz w:val="22"/>
          <w:szCs w:val="22"/>
        </w:rPr>
        <w:t>publica</w:t>
      </w:r>
      <w:proofErr w:type="spellEnd"/>
      <w:r w:rsidRPr="00BA6AF3">
        <w:rPr>
          <w:rFonts w:ascii="Palatino Linotype" w:eastAsia="Palatino Linotype" w:hAnsi="Palatino Linotype" w:cs="Palatino Linotype"/>
          <w:i/>
          <w:sz w:val="22"/>
          <w:szCs w:val="22"/>
        </w:rPr>
        <w:t xml:space="preserve"> y cualquier área que </w:t>
      </w:r>
      <w:proofErr w:type="spellStart"/>
      <w:r w:rsidRPr="00BA6AF3">
        <w:rPr>
          <w:rFonts w:ascii="Palatino Linotype" w:eastAsia="Palatino Linotype" w:hAnsi="Palatino Linotype" w:cs="Palatino Linotype"/>
          <w:i/>
          <w:sz w:val="22"/>
          <w:szCs w:val="22"/>
        </w:rPr>
        <w:t>halla</w:t>
      </w:r>
      <w:proofErr w:type="spellEnd"/>
      <w:r w:rsidRPr="00BA6AF3">
        <w:rPr>
          <w:rFonts w:ascii="Palatino Linotype" w:eastAsia="Palatino Linotype" w:hAnsi="Palatino Linotype" w:cs="Palatino Linotype"/>
          <w:i/>
          <w:sz w:val="22"/>
          <w:szCs w:val="22"/>
        </w:rPr>
        <w:t xml:space="preserve"> uso de ellos. Copia simple de las licencias de conducir de los operadores y/o choferes. Los litros que por cada unidad se den a cada vehículo, camión, moto, que </w:t>
      </w:r>
      <w:proofErr w:type="gramStart"/>
      <w:r w:rsidRPr="00BA6AF3">
        <w:rPr>
          <w:rFonts w:ascii="Palatino Linotype" w:eastAsia="Palatino Linotype" w:hAnsi="Palatino Linotype" w:cs="Palatino Linotype"/>
          <w:i/>
          <w:sz w:val="22"/>
          <w:szCs w:val="22"/>
        </w:rPr>
        <w:t>este</w:t>
      </w:r>
      <w:proofErr w:type="gramEnd"/>
      <w:r w:rsidRPr="00BA6AF3">
        <w:rPr>
          <w:rFonts w:ascii="Palatino Linotype" w:eastAsia="Palatino Linotype" w:hAnsi="Palatino Linotype" w:cs="Palatino Linotype"/>
          <w:i/>
          <w:sz w:val="22"/>
          <w:szCs w:val="22"/>
        </w:rPr>
        <w:t xml:space="preserve"> dada de alta en el registro del parque vehicular del área de servicios públicos. Horario de trabajo de los </w:t>
      </w:r>
      <w:proofErr w:type="gramStart"/>
      <w:r w:rsidRPr="00BA6AF3">
        <w:rPr>
          <w:rFonts w:ascii="Palatino Linotype" w:eastAsia="Palatino Linotype" w:hAnsi="Palatino Linotype" w:cs="Palatino Linotype"/>
          <w:i/>
          <w:sz w:val="22"/>
          <w:szCs w:val="22"/>
        </w:rPr>
        <w:t>operadores</w:t>
      </w:r>
      <w:proofErr w:type="gramEnd"/>
      <w:r w:rsidRPr="00BA6AF3">
        <w:rPr>
          <w:rFonts w:ascii="Palatino Linotype" w:eastAsia="Palatino Linotype" w:hAnsi="Palatino Linotype" w:cs="Palatino Linotype"/>
          <w:i/>
          <w:sz w:val="22"/>
          <w:szCs w:val="22"/>
        </w:rPr>
        <w:t xml:space="preserve"> y los choferes. Del periodo 2018 al 2022. Nombre de los servidores públicos que sean mando directivos. Profesión de cada uno de los mandos. Unidades que estén descompuestas y que desde el periodo que lo están Litros que no son consumidos por las unidades que están fuera de servicio.” (Sic)</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lastRenderedPageBreak/>
        <w:t>Modalidad de Entrega:</w:t>
      </w:r>
      <w:r w:rsidRPr="00BA6AF3">
        <w:rPr>
          <w:rFonts w:ascii="Palatino Linotype" w:eastAsia="Palatino Linotype" w:hAnsi="Palatino Linotype" w:cs="Palatino Linotype"/>
        </w:rPr>
        <w:t xml:space="preserve"> A través del Sistema de Acceso a la Información Mexiquense (SAIMEX).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2. Solicitud de aclaración. </w:t>
      </w:r>
      <w:r w:rsidRPr="00BA6AF3">
        <w:rPr>
          <w:rFonts w:ascii="Palatino Linotype" w:eastAsia="Palatino Linotype" w:hAnsi="Palatino Linotype" w:cs="Palatino Linotype"/>
        </w:rPr>
        <w:t xml:space="preserve">El </w:t>
      </w:r>
      <w:r w:rsidRPr="00BA6AF3">
        <w:rPr>
          <w:rFonts w:ascii="Palatino Linotype" w:eastAsia="Palatino Linotype" w:hAnsi="Palatino Linotype" w:cs="Palatino Linotype"/>
          <w:b/>
        </w:rPr>
        <w:t xml:space="preserve">cuatro de agosto de dos mil veintidós, </w:t>
      </w:r>
      <w:r w:rsidRPr="00BA6AF3">
        <w:rPr>
          <w:rFonts w:ascii="Palatino Linotype" w:eastAsia="Palatino Linotype" w:hAnsi="Palatino Linotype" w:cs="Palatino Linotype"/>
        </w:rPr>
        <w:t xml:space="preserve">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requirió a la parte </w:t>
      </w:r>
      <w:r w:rsidRPr="00BA6AF3">
        <w:rPr>
          <w:rFonts w:ascii="Palatino Linotype" w:eastAsia="Palatino Linotype" w:hAnsi="Palatino Linotype" w:cs="Palatino Linotype"/>
          <w:b/>
        </w:rPr>
        <w:t xml:space="preserve">Recurrente </w:t>
      </w:r>
      <w:r w:rsidRPr="00BA6AF3">
        <w:rPr>
          <w:rFonts w:ascii="Palatino Linotype" w:eastAsia="Palatino Linotype" w:hAnsi="Palatino Linotype" w:cs="Palatino Linotype"/>
        </w:rPr>
        <w:t xml:space="preserve">la aclaración de la solicitud, en los siguientes términos: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color w:val="000000"/>
          <w:sz w:val="22"/>
          <w:szCs w:val="22"/>
        </w:rPr>
        <w:t>“Con fundamento en el artículo 159 de la Ley de Transparencia y Acceso a la Información Pública del Estado de México y Municipios, me permito solicitar tenga a bien proporcionar con mayor precisión los detalles que nos permitan localizar la información objeto de su interés; ello a razón de atender su requerimiento de manera eficiente, precisa y concisa.” (Sic)</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3. Aclaración. </w:t>
      </w:r>
      <w:r w:rsidRPr="00BA6AF3">
        <w:rPr>
          <w:rFonts w:ascii="Palatino Linotype" w:eastAsia="Palatino Linotype" w:hAnsi="Palatino Linotype" w:cs="Palatino Linotype"/>
        </w:rPr>
        <w:t xml:space="preserve">El </w:t>
      </w:r>
      <w:r w:rsidRPr="00BA6AF3">
        <w:rPr>
          <w:rFonts w:ascii="Palatino Linotype" w:eastAsia="Palatino Linotype" w:hAnsi="Palatino Linotype" w:cs="Palatino Linotype"/>
          <w:b/>
        </w:rPr>
        <w:t xml:space="preserve">ocho de agosto de dos mil veintidós </w:t>
      </w:r>
      <w:r w:rsidRPr="00BA6AF3">
        <w:rPr>
          <w:rFonts w:ascii="Palatino Linotype" w:eastAsia="Palatino Linotype" w:hAnsi="Palatino Linotype" w:cs="Palatino Linotype"/>
        </w:rPr>
        <w:t xml:space="preserve">la parte </w:t>
      </w:r>
      <w:r w:rsidRPr="00BA6AF3">
        <w:rPr>
          <w:rFonts w:ascii="Palatino Linotype" w:eastAsia="Palatino Linotype" w:hAnsi="Palatino Linotype" w:cs="Palatino Linotype"/>
          <w:b/>
        </w:rPr>
        <w:t xml:space="preserve">Recurrente </w:t>
      </w:r>
      <w:r w:rsidRPr="00BA6AF3">
        <w:rPr>
          <w:rFonts w:ascii="Palatino Linotype" w:eastAsia="Palatino Linotype" w:hAnsi="Palatino Linotype" w:cs="Palatino Linotype"/>
        </w:rPr>
        <w:t xml:space="preserve">atendió el requerimiento formulado por 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y manifestó: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color w:val="000000"/>
          <w:sz w:val="22"/>
          <w:szCs w:val="22"/>
        </w:rPr>
        <w:t xml:space="preserve">“Solicito la o las bitácoras de servicios que realizan las unidades vehiculares o automotoras, que tenga el parque vehicular del área de servicios públicos, tesorería, protección civil, seguridad </w:t>
      </w:r>
      <w:proofErr w:type="spellStart"/>
      <w:r w:rsidRPr="00BA6AF3">
        <w:rPr>
          <w:rFonts w:ascii="Palatino Linotype" w:eastAsia="Palatino Linotype" w:hAnsi="Palatino Linotype" w:cs="Palatino Linotype"/>
          <w:i/>
          <w:color w:val="000000"/>
          <w:sz w:val="22"/>
          <w:szCs w:val="22"/>
        </w:rPr>
        <w:t>publica</w:t>
      </w:r>
      <w:proofErr w:type="spellEnd"/>
      <w:r w:rsidRPr="00BA6AF3">
        <w:rPr>
          <w:rFonts w:ascii="Palatino Linotype" w:eastAsia="Palatino Linotype" w:hAnsi="Palatino Linotype" w:cs="Palatino Linotype"/>
          <w:i/>
          <w:color w:val="000000"/>
          <w:sz w:val="22"/>
          <w:szCs w:val="22"/>
        </w:rPr>
        <w:t xml:space="preserve"> y cualquier área que </w:t>
      </w:r>
      <w:proofErr w:type="spellStart"/>
      <w:r w:rsidRPr="00BA6AF3">
        <w:rPr>
          <w:rFonts w:ascii="Palatino Linotype" w:eastAsia="Palatino Linotype" w:hAnsi="Palatino Linotype" w:cs="Palatino Linotype"/>
          <w:i/>
          <w:color w:val="000000"/>
          <w:sz w:val="22"/>
          <w:szCs w:val="22"/>
        </w:rPr>
        <w:t>halla</w:t>
      </w:r>
      <w:proofErr w:type="spellEnd"/>
      <w:r w:rsidRPr="00BA6AF3">
        <w:rPr>
          <w:rFonts w:ascii="Palatino Linotype" w:eastAsia="Palatino Linotype" w:hAnsi="Palatino Linotype" w:cs="Palatino Linotype"/>
          <w:i/>
          <w:color w:val="000000"/>
          <w:sz w:val="22"/>
          <w:szCs w:val="22"/>
        </w:rPr>
        <w:t xml:space="preserve"> uso de ellos. Copia simple de las licencias de conducir de los operadores y/o choferes</w:t>
      </w:r>
      <w:proofErr w:type="gramStart"/>
      <w:r w:rsidRPr="00BA6AF3">
        <w:rPr>
          <w:rFonts w:ascii="Palatino Linotype" w:eastAsia="Palatino Linotype" w:hAnsi="Palatino Linotype" w:cs="Palatino Linotype"/>
          <w:i/>
          <w:color w:val="000000"/>
          <w:sz w:val="22"/>
          <w:szCs w:val="22"/>
        </w:rPr>
        <w:t>..</w:t>
      </w:r>
      <w:proofErr w:type="gramEnd"/>
      <w:r w:rsidRPr="00BA6AF3">
        <w:rPr>
          <w:rFonts w:ascii="Palatino Linotype" w:eastAsia="Palatino Linotype" w:hAnsi="Palatino Linotype" w:cs="Palatino Linotype"/>
          <w:i/>
          <w:color w:val="000000"/>
          <w:sz w:val="22"/>
          <w:szCs w:val="22"/>
        </w:rPr>
        <w:t xml:space="preserve"> Los litros que por cada unidad se den a cada vehículo, camión, moto, que </w:t>
      </w:r>
      <w:proofErr w:type="gramStart"/>
      <w:r w:rsidRPr="00BA6AF3">
        <w:rPr>
          <w:rFonts w:ascii="Palatino Linotype" w:eastAsia="Palatino Linotype" w:hAnsi="Palatino Linotype" w:cs="Palatino Linotype"/>
          <w:i/>
          <w:color w:val="000000"/>
          <w:sz w:val="22"/>
          <w:szCs w:val="22"/>
        </w:rPr>
        <w:t>este</w:t>
      </w:r>
      <w:proofErr w:type="gramEnd"/>
      <w:r w:rsidRPr="00BA6AF3">
        <w:rPr>
          <w:rFonts w:ascii="Palatino Linotype" w:eastAsia="Palatino Linotype" w:hAnsi="Palatino Linotype" w:cs="Palatino Linotype"/>
          <w:i/>
          <w:color w:val="000000"/>
          <w:sz w:val="22"/>
          <w:szCs w:val="22"/>
        </w:rPr>
        <w:t xml:space="preserve"> dada de alta en el registro del parque vehicular del área de servicios públicos. Horario de trabajo de los operadores y los choferes. Del periodo 2018 al 2022. Nombre de los servidores públicos que sean mando directivos. Profesión de cada uno de los mandos. Unidades que estén descompuestas y que desde el periodo que lo están Litros que no son consumidos por las unidades que están fuera de servicio” (Sic)</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4. Prórroga. </w:t>
      </w:r>
      <w:r w:rsidRPr="00BA6AF3">
        <w:rPr>
          <w:rFonts w:ascii="Palatino Linotype" w:eastAsia="Palatino Linotype" w:hAnsi="Palatino Linotype" w:cs="Palatino Linotype"/>
        </w:rPr>
        <w:t xml:space="preserve">El </w:t>
      </w:r>
      <w:r w:rsidRPr="00BA6AF3">
        <w:rPr>
          <w:rFonts w:ascii="Palatino Linotype" w:eastAsia="Palatino Linotype" w:hAnsi="Palatino Linotype" w:cs="Palatino Linotype"/>
          <w:b/>
        </w:rPr>
        <w:t xml:space="preserve">veinticinco de agosto de dos mil veintidós, </w:t>
      </w:r>
      <w:r w:rsidRPr="00BA6AF3">
        <w:rPr>
          <w:rFonts w:ascii="Palatino Linotype" w:eastAsia="Palatino Linotype" w:hAnsi="Palatino Linotype" w:cs="Palatino Linotype"/>
        </w:rPr>
        <w:t xml:space="preserve">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informó que el plazo de quince días hábiles para atender la solicitud fue prorrogado por siete días en virtud de las siguientes razones: </w:t>
      </w:r>
    </w:p>
    <w:p w:rsidR="00C97499" w:rsidRPr="00BA6AF3" w:rsidRDefault="00BC0FE1">
      <w:pPr>
        <w:spacing w:before="240" w:after="240" w:line="360" w:lineRule="auto"/>
        <w:ind w:left="851"/>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color w:val="000000"/>
          <w:sz w:val="22"/>
          <w:szCs w:val="22"/>
        </w:rPr>
        <w:lastRenderedPageBreak/>
        <w:t xml:space="preserve">“Prorroga Aprobada” (Sic)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5. Respuesta. </w:t>
      </w:r>
      <w:r w:rsidRPr="00BA6AF3">
        <w:rPr>
          <w:rFonts w:ascii="Palatino Linotype" w:eastAsia="Palatino Linotype" w:hAnsi="Palatino Linotype" w:cs="Palatino Linotype"/>
        </w:rPr>
        <w:t xml:space="preserve"> El </w:t>
      </w:r>
      <w:r w:rsidRPr="00BA6AF3">
        <w:rPr>
          <w:rFonts w:ascii="Palatino Linotype" w:eastAsia="Palatino Linotype" w:hAnsi="Palatino Linotype" w:cs="Palatino Linotype"/>
          <w:b/>
        </w:rPr>
        <w:t>siete de septiembre de dos mil veintidós</w:t>
      </w:r>
      <w:r w:rsidRPr="00BA6AF3">
        <w:rPr>
          <w:rFonts w:ascii="Palatino Linotype" w:eastAsia="Palatino Linotype" w:hAnsi="Palatino Linotype" w:cs="Palatino Linotype"/>
        </w:rPr>
        <w:t xml:space="preserve">,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respondió a la solicitud de información en los términos siguientes:</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SERVICIOS PÚBLICOS, (2) DIRECCIÓN DE SERVICIOS PÚBLICOS, (3) COORDINACIÓN MUNICIPAL DE GESTIÓN INTEGRAL DE RIESGOS, PROTECCIÓN CIVIL Y BOMBEROS, (4) DIRECCIÓN DE SEGURIDAD CIUDADANA, TRÁNSITO Y MOVILIDAD, (5) DIRECCIÓN DE ADMINISTRACIÓN; por lo que en ese orden se transcriben: 1.- “RESPUESTA A SOLICITUD NÚMERO 00222” (Sic); 2.- “SE ADJUNTA RESPUESTA A SU SOLICITUD” (Sic); 3.- “La Coordinación de Gestión Integral de Riesgos, Protección Civil y Bomberos no cuenta con bitácora de servicios en los cuales el solicitante los requiere, por tal motivo que no especifica si la bitácora de servicio que solicita es la de mantenimiento de unidades el cual le compete a área administración, así como el abastecimiento de combustible de estas; o en su defecto si el particular solicita bitácora de Servicio de emergencia las cuales se adjuntan.” (Sic); 4.- “SIRVA ESTE MEDIO PARA ENVIARLE UN CORDIAL SALUDO DEL MISMO MODO HAGO DE SU CONOCIMIENTO QUE RESPECTO A LA SOLICITUD DE INFORMACIÓN: 00222/MELOCAM/IP/2022, DE LAS CUALES SE DESPRENDE DIVERSOS REQUERIMIENTOS DE INFORMACIÓN, EN MATERIA DE SEGURIDAD PÚBLICA, ENTRE OTROS TEMAS, PARA MAYOR PROVEER EL SIGUIENTE EXTRACTO: “… Solicito la o las bitácoras de servicios que realizan las unidades vehiculares o automotoras, que tenga el parque </w:t>
      </w:r>
      <w:r w:rsidRPr="00BA6AF3">
        <w:rPr>
          <w:rFonts w:ascii="Palatino Linotype" w:eastAsia="Palatino Linotype" w:hAnsi="Palatino Linotype" w:cs="Palatino Linotype"/>
          <w:i/>
          <w:sz w:val="22"/>
          <w:szCs w:val="22"/>
        </w:rPr>
        <w:lastRenderedPageBreak/>
        <w:t xml:space="preserve">vehicular del área de servicios públicos, tesorería, protección civil, seguridad </w:t>
      </w:r>
      <w:proofErr w:type="spellStart"/>
      <w:r w:rsidRPr="00BA6AF3">
        <w:rPr>
          <w:rFonts w:ascii="Palatino Linotype" w:eastAsia="Palatino Linotype" w:hAnsi="Palatino Linotype" w:cs="Palatino Linotype"/>
          <w:i/>
          <w:sz w:val="22"/>
          <w:szCs w:val="22"/>
        </w:rPr>
        <w:t>publica</w:t>
      </w:r>
      <w:proofErr w:type="spellEnd"/>
      <w:r w:rsidRPr="00BA6AF3">
        <w:rPr>
          <w:rFonts w:ascii="Palatino Linotype" w:eastAsia="Palatino Linotype" w:hAnsi="Palatino Linotype" w:cs="Palatino Linotype"/>
          <w:i/>
          <w:sz w:val="22"/>
          <w:szCs w:val="22"/>
        </w:rPr>
        <w:t xml:space="preserve"> y cualquier área que </w:t>
      </w:r>
      <w:proofErr w:type="spellStart"/>
      <w:r w:rsidRPr="00BA6AF3">
        <w:rPr>
          <w:rFonts w:ascii="Palatino Linotype" w:eastAsia="Palatino Linotype" w:hAnsi="Palatino Linotype" w:cs="Palatino Linotype"/>
          <w:i/>
          <w:sz w:val="22"/>
          <w:szCs w:val="22"/>
        </w:rPr>
        <w:t>halla</w:t>
      </w:r>
      <w:proofErr w:type="spellEnd"/>
      <w:r w:rsidRPr="00BA6AF3">
        <w:rPr>
          <w:rFonts w:ascii="Palatino Linotype" w:eastAsia="Palatino Linotype" w:hAnsi="Palatino Linotype" w:cs="Palatino Linotype"/>
          <w:i/>
          <w:sz w:val="22"/>
          <w:szCs w:val="22"/>
        </w:rPr>
        <w:t xml:space="preserve"> uso de ellos. Copia simple de las licencias de conducir de los operadores y/o choferes</w:t>
      </w:r>
      <w:proofErr w:type="gramStart"/>
      <w:r w:rsidRPr="00BA6AF3">
        <w:rPr>
          <w:rFonts w:ascii="Palatino Linotype" w:eastAsia="Palatino Linotype" w:hAnsi="Palatino Linotype" w:cs="Palatino Linotype"/>
          <w:i/>
          <w:sz w:val="22"/>
          <w:szCs w:val="22"/>
        </w:rPr>
        <w:t>..</w:t>
      </w:r>
      <w:proofErr w:type="gramEnd"/>
      <w:r w:rsidRPr="00BA6AF3">
        <w:rPr>
          <w:rFonts w:ascii="Palatino Linotype" w:eastAsia="Palatino Linotype" w:hAnsi="Palatino Linotype" w:cs="Palatino Linotype"/>
          <w:i/>
          <w:sz w:val="22"/>
          <w:szCs w:val="22"/>
        </w:rPr>
        <w:t xml:space="preserve"> Los litros que por cada unidad se den a cada vehículo, camión, moto, que </w:t>
      </w:r>
      <w:proofErr w:type="gramStart"/>
      <w:r w:rsidRPr="00BA6AF3">
        <w:rPr>
          <w:rFonts w:ascii="Palatino Linotype" w:eastAsia="Palatino Linotype" w:hAnsi="Palatino Linotype" w:cs="Palatino Linotype"/>
          <w:i/>
          <w:sz w:val="22"/>
          <w:szCs w:val="22"/>
        </w:rPr>
        <w:t>este</w:t>
      </w:r>
      <w:proofErr w:type="gramEnd"/>
      <w:r w:rsidRPr="00BA6AF3">
        <w:rPr>
          <w:rFonts w:ascii="Palatino Linotype" w:eastAsia="Palatino Linotype" w:hAnsi="Palatino Linotype" w:cs="Palatino Linotype"/>
          <w:i/>
          <w:sz w:val="22"/>
          <w:szCs w:val="22"/>
        </w:rPr>
        <w:t xml:space="preserve"> dada de alta en el registro del parque vehicular del área de servicios públicos. Horario de trabajo de los operadores y los choferes. Del periodo 2018 al 2022. Nombre de los servidores públicos que sean mando directivos. Profesión de cada uno de los mandos. Unidades que estén descompuestas y que desde el periodo que lo están Litros que no son consumidos por las unidades que están fuera de </w:t>
      </w:r>
      <w:proofErr w:type="gramStart"/>
      <w:r w:rsidRPr="00BA6AF3">
        <w:rPr>
          <w:rFonts w:ascii="Palatino Linotype" w:eastAsia="Palatino Linotype" w:hAnsi="Palatino Linotype" w:cs="Palatino Linotype"/>
          <w:i/>
          <w:sz w:val="22"/>
          <w:szCs w:val="22"/>
        </w:rPr>
        <w:t>servicio ...</w:t>
      </w:r>
      <w:proofErr w:type="gramEnd"/>
      <w:r w:rsidRPr="00BA6AF3">
        <w:rPr>
          <w:rFonts w:ascii="Palatino Linotype" w:eastAsia="Palatino Linotype" w:hAnsi="Palatino Linotype" w:cs="Palatino Linotype"/>
          <w:i/>
          <w:sz w:val="22"/>
          <w:szCs w:val="22"/>
        </w:rPr>
        <w:t xml:space="preserve">” AL RESPECTO LE INFORMO QUE ESTA DIRECCIÓN NO MANEJA NI TIENE NINGUNA “BITÁCORAS DE SERVICIOS”, DEL PARQUE VEHICULAR DE “SEGURIDAD PUBLICA”, POR OTRO LADO, ESTA DIRECCIÓN NO CUENTA CON “OPERADORES Y/O CHOFERES”, TAL COMO LO REFIERE EL PETICIONARIO EN SU SOLICITUD DE INFORMACIÓN. RESPECTO DE LOS LITROS QUE SE DAN A LAS UNIDADES DE ESTA CORPORACIÓN, DICHA INFORMACIÓN ES CONTEMPLADA POR LA DIRECCIÓN DE ADMINISTRACIÓN. EL NOMBRE DEL DIRECTOR DE SEGURIDAD CIUDADANA Y MOVILIDAD DEL MELCHOR OCAMPO, ES EL LICENCIADO ARTURO MIGUEL GASPAR. POR ÚLTIMO RESPECTO DE LAS UNIDADES DESCOMPUESTAS ESTÁN CONTEMPLADAS COMO EQUIPO CON EL QUE CUENTA ESTA CORPORACIÓN POLICIAL Y DICHA INFORMACIÓN ES CLASIFICADA COMO RESERVADA MEDIANTE EL ACUERDO: 006/MELOCAMP/CT/PA/SP/PM/2022, EN RAZÓN DE QUE EL ARTÍCULO 140 DE LA LEY DE TRASPARENCIA Y ACCESO DE LA INFORMACIÓN PÚBLICA DEL ESTADO DE MÉXICO Y MUNICIPIOS, EN LA CUAL ESTABLECE QUE SERÁ CLASIFICADA COMO RESERVADA CONFORME LOS CRITERIOS SEÑALADOS EN LA MISMA LEY, SIENDO QUE AL REVELAR INFORMACIÓN RELACIONADA A ESTA CORPORACIÓN POLICIAL, COMPROMETERÍAMOS LA SEGURIDAD PÚBLICA DE LA COLECTIVIDAD Y LA DE LOS PROPIOS CUERPOS DE SEGURIDAD, DADA LA PROPIA NATURALEZA DE SUS ACTIVIDADES COMO LO ES EL COMBATE A LA DELINCUENCIA Y DELITOS DE ALTO IMPACTO QUE AQUEJAN A NUESTRA POBLACIÓN. ES NECESARIO PUNTUALIZAR QUE DESPUÉS DE HACER UNA BÚSQUEDA MINUCIOSA Y </w:t>
      </w:r>
      <w:r w:rsidRPr="00BA6AF3">
        <w:rPr>
          <w:rFonts w:ascii="Palatino Linotype" w:eastAsia="Palatino Linotype" w:hAnsi="Palatino Linotype" w:cs="Palatino Linotype"/>
          <w:i/>
          <w:sz w:val="22"/>
          <w:szCs w:val="22"/>
        </w:rPr>
        <w:lastRenderedPageBreak/>
        <w:t xml:space="preserve">EXHAUSTIVA DE LOS ARCHIVOS CON LOS QUE SE CUENTA EN ESTA DIRECCIÓN NO SE LOCALIZÓ NINGÚN DATO RESPECTO DE LOS AÑO 2018 AL 2021. SIN MAS POR EL MOMENTO ME DESPIDO EN ESPERA DE SU VALIOSO APOYO, NO SIN ANTES QUEDAR A SUS ÓRDENES PARA CUALQUIER ACLARACIÓN. A T E N T A M E N T E: LIC. ARTURO MIGUEL GASPAR. DIRECTOR DE SEGURIDAD CIUDADANA Y MOVILIDAD DEL H. AYUNTAMIENTO DE MELCHOR OCAMPO.” (Sic); 5.- “Se adjunta respuesta a Solicitud de información.” (Sic). Por lo anteriormente expuesto y fundado, solicito a Usted se sirva tener a esta Unidad de Transparencia por cumplimentada, en tiempo y forma, la respuesta a su solicitud de acceso a la información pública, a través del Sistema </w:t>
      </w:r>
      <w:proofErr w:type="spellStart"/>
      <w:r w:rsidRPr="00BA6AF3">
        <w:rPr>
          <w:rFonts w:ascii="Palatino Linotype" w:eastAsia="Palatino Linotype" w:hAnsi="Palatino Linotype" w:cs="Palatino Linotype"/>
          <w:i/>
          <w:sz w:val="22"/>
          <w:szCs w:val="22"/>
        </w:rPr>
        <w:t>Saimex</w:t>
      </w:r>
      <w:proofErr w:type="spellEnd"/>
      <w:r w:rsidRPr="00BA6AF3">
        <w:rPr>
          <w:rFonts w:ascii="Palatino Linotype" w:eastAsia="Palatino Linotype" w:hAnsi="Palatino Linotype" w:cs="Palatino Linotype"/>
          <w:i/>
          <w:sz w:val="22"/>
          <w:szCs w:val="22"/>
        </w:rPr>
        <w:t>; lo anterior, para los efectos legales a que haya lugar</w:t>
      </w:r>
      <w:proofErr w:type="gramStart"/>
      <w:r w:rsidRPr="00BA6AF3">
        <w:rPr>
          <w:rFonts w:ascii="Palatino Linotype" w:eastAsia="Palatino Linotype" w:hAnsi="Palatino Linotype" w:cs="Palatino Linotype"/>
          <w:i/>
          <w:sz w:val="22"/>
          <w:szCs w:val="22"/>
        </w:rPr>
        <w:t>..”</w:t>
      </w:r>
      <w:proofErr w:type="gramEnd"/>
      <w:r w:rsidRPr="00BA6AF3">
        <w:rPr>
          <w:rFonts w:ascii="Palatino Linotype" w:eastAsia="Palatino Linotype" w:hAnsi="Palatino Linotype" w:cs="Palatino Linotype"/>
          <w:b/>
          <w:i/>
          <w:sz w:val="22"/>
          <w:szCs w:val="22"/>
        </w:rPr>
        <w:t xml:space="preserve"> (</w:t>
      </w:r>
      <w:r w:rsidRPr="00BA6AF3">
        <w:rPr>
          <w:rFonts w:ascii="Palatino Linotype" w:eastAsia="Palatino Linotype" w:hAnsi="Palatino Linotype" w:cs="Palatino Linotype"/>
          <w:i/>
          <w:sz w:val="22"/>
          <w:szCs w:val="22"/>
        </w:rPr>
        <w:t>Sic)</w:t>
      </w:r>
    </w:p>
    <w:p w:rsidR="00C97499" w:rsidRPr="00BA6AF3" w:rsidRDefault="00BC0FE1">
      <w:pPr>
        <w:spacing w:before="240" w:after="240"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Manifestación a la que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adjuntó los archivos electrónicos descritos en el siguiente orden: </w:t>
      </w:r>
    </w:p>
    <w:p w:rsidR="00C97499" w:rsidRPr="00BA6AF3" w:rsidRDefault="00BC0FE1">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sidRPr="00BA6AF3">
        <w:rPr>
          <w:rFonts w:ascii="Palatino Linotype" w:eastAsia="Palatino Linotype" w:hAnsi="Palatino Linotype" w:cs="Palatino Linotype"/>
          <w:b/>
          <w:i/>
          <w:color w:val="000000"/>
        </w:rPr>
        <w:t xml:space="preserve">222-623.pdf: </w:t>
      </w:r>
      <w:r w:rsidRPr="00BA6AF3">
        <w:rPr>
          <w:rFonts w:ascii="Palatino Linotype" w:eastAsia="Palatino Linotype" w:hAnsi="Palatino Linotype" w:cs="Palatino Linotype"/>
          <w:color w:val="000000"/>
        </w:rPr>
        <w:t xml:space="preserve">Oficio DSCYM/0623/2022 de fecha diez de agosto de dos mil veintidós, suscrito y signado por el Director de Seguridad Ciudadana y Movilidad, por medio del cual informó que no cuenta con bitácoras de servicios ni con operadores y/o choferes; manifestó que no es competente para conocer los litros que se dan a las unidades de la cooperación y clasificó como información reservada las unidades descompuestas; asimismo refirió que no cuenta con ningún dato respecto de los años 2018 al 2021.  </w:t>
      </w:r>
    </w:p>
    <w:p w:rsidR="00C97499" w:rsidRPr="00BA6AF3" w:rsidRDefault="00BC0FE1">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proofErr w:type="spellStart"/>
      <w:r w:rsidRPr="00BA6AF3">
        <w:rPr>
          <w:rFonts w:ascii="Palatino Linotype" w:eastAsia="Palatino Linotype" w:hAnsi="Palatino Linotype" w:cs="Palatino Linotype"/>
          <w:b/>
          <w:i/>
          <w:color w:val="000000"/>
        </w:rPr>
        <w:t>Resp</w:t>
      </w:r>
      <w:proofErr w:type="spellEnd"/>
      <w:r w:rsidRPr="00BA6AF3">
        <w:rPr>
          <w:rFonts w:ascii="Palatino Linotype" w:eastAsia="Palatino Linotype" w:hAnsi="Palatino Linotype" w:cs="Palatino Linotype"/>
          <w:b/>
          <w:i/>
          <w:color w:val="000000"/>
        </w:rPr>
        <w:t xml:space="preserve">. 00222.pdf: </w:t>
      </w:r>
      <w:r w:rsidRPr="00BA6AF3">
        <w:rPr>
          <w:rFonts w:ascii="Palatino Linotype" w:eastAsia="Palatino Linotype" w:hAnsi="Palatino Linotype" w:cs="Palatino Linotype"/>
          <w:color w:val="000000"/>
        </w:rPr>
        <w:t xml:space="preserve">Oficio ADMON/DG178/2022 emitido el cuatro de septiembre de dos mil veintidós por la Directora de Administración en el que informó que: </w:t>
      </w:r>
      <w:r w:rsidRPr="00BA6AF3">
        <w:rPr>
          <w:rFonts w:ascii="Palatino Linotype" w:eastAsia="Palatino Linotype" w:hAnsi="Palatino Linotype" w:cs="Palatino Linotype"/>
          <w:i/>
          <w:color w:val="000000"/>
        </w:rPr>
        <w:t xml:space="preserve">“si bien es cierto que la cantidad de información a procesar para la presente solicitud pudiera no sobrepasar, los límites de lo posible para su cumplimentación, lo es también que en conjunto con las múltiples solicitudes </w:t>
      </w:r>
      <w:r w:rsidRPr="00BA6AF3">
        <w:rPr>
          <w:rFonts w:ascii="Palatino Linotype" w:eastAsia="Palatino Linotype" w:hAnsi="Palatino Linotype" w:cs="Palatino Linotype"/>
          <w:i/>
          <w:color w:val="000000"/>
        </w:rPr>
        <w:lastRenderedPageBreak/>
        <w:t xml:space="preserve">recibidas en la misma fecha, aunado a las diversas actividades propias del área, dificultan sobremanera los trabajos necesarios para su debida atención, pues implica un importante consumo de recursos materiales y/o humanos, lo que consecuentemente nos impide atender la solicitud que nos ocupa dentro del tiempo que establece el artículo 163 de la Ley de Transparencia Local. </w:t>
      </w:r>
    </w:p>
    <w:p w:rsidR="00C97499" w:rsidRPr="00BA6AF3" w:rsidRDefault="00BC0FE1">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BA6AF3">
        <w:rPr>
          <w:rFonts w:ascii="Palatino Linotype" w:eastAsia="Palatino Linotype" w:hAnsi="Palatino Linotype" w:cs="Palatino Linotype"/>
          <w:b/>
          <w:i/>
          <w:color w:val="000000"/>
        </w:rPr>
        <w:t xml:space="preserve">00222.pdf: </w:t>
      </w:r>
      <w:r w:rsidRPr="00BA6AF3">
        <w:rPr>
          <w:rFonts w:ascii="Palatino Linotype" w:eastAsia="Palatino Linotype" w:hAnsi="Palatino Linotype" w:cs="Palatino Linotype"/>
          <w:color w:val="000000"/>
        </w:rPr>
        <w:t xml:space="preserve">Oficio numero DSP/129/09/22 de fecha cinco de septiembre de dos mil veintidós, suscrito y signado por el Director de Servicios Públicos por medio del cual, en términos generales informó: </w:t>
      </w:r>
    </w:p>
    <w:p w:rsidR="00C97499" w:rsidRPr="00BA6AF3" w:rsidRDefault="00BC0FE1">
      <w:pPr>
        <w:pBdr>
          <w:top w:val="nil"/>
          <w:left w:val="nil"/>
          <w:bottom w:val="nil"/>
          <w:right w:val="nil"/>
          <w:between w:val="nil"/>
        </w:pBdr>
        <w:spacing w:line="360" w:lineRule="auto"/>
        <w:ind w:left="720" w:right="49"/>
        <w:jc w:val="both"/>
        <w:rPr>
          <w:rFonts w:ascii="Palatino Linotype" w:eastAsia="Palatino Linotype" w:hAnsi="Palatino Linotype" w:cs="Palatino Linotype"/>
          <w:i/>
          <w:color w:val="000000"/>
        </w:rPr>
      </w:pPr>
      <w:r w:rsidRPr="00BA6AF3">
        <w:rPr>
          <w:rFonts w:ascii="Palatino Linotype" w:eastAsia="Palatino Linotype" w:hAnsi="Palatino Linotype" w:cs="Palatino Linotype"/>
          <w:i/>
          <w:noProof/>
          <w:color w:val="000000"/>
        </w:rPr>
        <w:drawing>
          <wp:inline distT="0" distB="0" distL="0" distR="0">
            <wp:extent cx="5076825" cy="2788920"/>
            <wp:effectExtent l="0" t="0" r="0" b="0"/>
            <wp:docPr id="20675916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076825" cy="2788920"/>
                    </a:xfrm>
                    <a:prstGeom prst="rect">
                      <a:avLst/>
                    </a:prstGeom>
                    <a:ln/>
                  </pic:spPr>
                </pic:pic>
              </a:graphicData>
            </a:graphic>
          </wp:inline>
        </w:drawing>
      </w:r>
    </w:p>
    <w:p w:rsidR="00C97499" w:rsidRPr="00BA6AF3" w:rsidRDefault="00C97499">
      <w:pPr>
        <w:pBdr>
          <w:top w:val="nil"/>
          <w:left w:val="nil"/>
          <w:bottom w:val="nil"/>
          <w:right w:val="nil"/>
          <w:between w:val="nil"/>
        </w:pBdr>
        <w:spacing w:line="360" w:lineRule="auto"/>
        <w:ind w:left="720" w:right="49"/>
        <w:jc w:val="both"/>
        <w:rPr>
          <w:rFonts w:ascii="Palatino Linotype" w:eastAsia="Palatino Linotype" w:hAnsi="Palatino Linotype" w:cs="Palatino Linotype"/>
          <w:i/>
          <w:color w:val="000000"/>
        </w:rPr>
      </w:pPr>
    </w:p>
    <w:p w:rsidR="00C97499" w:rsidRPr="00BA6AF3" w:rsidRDefault="00BC0FE1">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BA6AF3">
        <w:rPr>
          <w:rFonts w:ascii="Palatino Linotype" w:eastAsia="Palatino Linotype" w:hAnsi="Palatino Linotype" w:cs="Palatino Linotype"/>
          <w:b/>
          <w:i/>
          <w:color w:val="000000"/>
        </w:rPr>
        <w:t>222</w:t>
      </w:r>
      <w:proofErr w:type="gramStart"/>
      <w:r w:rsidRPr="00BA6AF3">
        <w:rPr>
          <w:rFonts w:ascii="Palatino Linotype" w:eastAsia="Palatino Linotype" w:hAnsi="Palatino Linotype" w:cs="Palatino Linotype"/>
          <w:b/>
          <w:i/>
          <w:color w:val="000000"/>
        </w:rPr>
        <w:t>.pdf</w:t>
      </w:r>
      <w:proofErr w:type="gramEnd"/>
      <w:r w:rsidRPr="00BA6AF3">
        <w:rPr>
          <w:rFonts w:ascii="Palatino Linotype" w:eastAsia="Palatino Linotype" w:hAnsi="Palatino Linotype" w:cs="Palatino Linotype"/>
          <w:b/>
          <w:i/>
          <w:color w:val="000000"/>
        </w:rPr>
        <w:t xml:space="preserve">: </w:t>
      </w:r>
      <w:r w:rsidRPr="00BA6AF3">
        <w:rPr>
          <w:rFonts w:ascii="Palatino Linotype" w:eastAsia="Palatino Linotype" w:hAnsi="Palatino Linotype" w:cs="Palatino Linotype"/>
          <w:color w:val="000000"/>
        </w:rPr>
        <w:t xml:space="preserve">Oficio número TM/471/2022 del dos de septiembre de dos mil veintidós, emitido por el Tesorero Municipal a través del cual informó que consideró viable el cambio de modalidad de entrega de información y en razón de lo anterior señaló los días 29 y 30 de septiembre y 6 y 7 de octubre </w:t>
      </w:r>
      <w:r w:rsidRPr="00BA6AF3">
        <w:rPr>
          <w:rFonts w:ascii="Palatino Linotype" w:eastAsia="Palatino Linotype" w:hAnsi="Palatino Linotype" w:cs="Palatino Linotype"/>
          <w:color w:val="000000"/>
        </w:rPr>
        <w:lastRenderedPageBreak/>
        <w:t xml:space="preserve">de dos mil veintidós para la consulta directa de la información  en un horario de 9:00 a 15:00 horas en la oficina que ocupa la Tesorería Municipal. </w:t>
      </w:r>
    </w:p>
    <w:p w:rsidR="00C97499" w:rsidRPr="00BA6AF3" w:rsidRDefault="00BC0FE1">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sidRPr="00BA6AF3">
        <w:rPr>
          <w:rFonts w:ascii="Palatino Linotype" w:eastAsia="Palatino Linotype" w:hAnsi="Palatino Linotype" w:cs="Palatino Linotype"/>
          <w:b/>
          <w:i/>
          <w:color w:val="000000"/>
        </w:rPr>
        <w:t>20220907144710074</w:t>
      </w:r>
      <w:proofErr w:type="gramStart"/>
      <w:r w:rsidRPr="00BA6AF3">
        <w:rPr>
          <w:rFonts w:ascii="Palatino Linotype" w:eastAsia="Palatino Linotype" w:hAnsi="Palatino Linotype" w:cs="Palatino Linotype"/>
          <w:b/>
          <w:i/>
          <w:color w:val="000000"/>
        </w:rPr>
        <w:t>.pdf</w:t>
      </w:r>
      <w:proofErr w:type="gramEnd"/>
      <w:r w:rsidRPr="00BA6AF3">
        <w:rPr>
          <w:rFonts w:ascii="Palatino Linotype" w:eastAsia="Palatino Linotype" w:hAnsi="Palatino Linotype" w:cs="Palatino Linotype"/>
          <w:b/>
          <w:i/>
          <w:color w:val="000000"/>
        </w:rPr>
        <w:t xml:space="preserve">: </w:t>
      </w:r>
      <w:r w:rsidRPr="00BA6AF3">
        <w:rPr>
          <w:rFonts w:ascii="Palatino Linotype" w:eastAsia="Palatino Linotype" w:hAnsi="Palatino Linotype" w:cs="Palatino Linotype"/>
          <w:color w:val="000000"/>
        </w:rPr>
        <w:t xml:space="preserve">Contiene el oficio número CMGIRPCB/OF/2022/0010 de fecha siete de septiembre de dos mil veintidós enviado por la Coordinación Municipal de Gestión Integral de Riesgos, Protección Civil y Bombero en el que de manera sustantiva refirió que no cuenta con bitácora de servicios de  mantenimiento de unidades ya que es competencia del área de administración; sin embargo, envía bitácoras de servicio de emergencia. </w:t>
      </w:r>
    </w:p>
    <w:p w:rsidR="00C97499" w:rsidRPr="00BA6AF3" w:rsidRDefault="00BC0FE1">
      <w:pPr>
        <w:pBdr>
          <w:top w:val="nil"/>
          <w:left w:val="nil"/>
          <w:bottom w:val="nil"/>
          <w:right w:val="nil"/>
          <w:between w:val="nil"/>
        </w:pBdr>
        <w:spacing w:after="240" w:line="360" w:lineRule="auto"/>
        <w:ind w:left="720" w:right="49"/>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Los horarios de los elementos que laboran en el área de la Coordinación Integral de Riesgos, Protección Civil y Bomberos se divide en áreas administrativas los cuales laboran en un horario de 9:00 a 18:00 horas y el área operativa que abarca en un horario de 24 por 24 horas con hora de entrada de 8:00 a 08:00 horas. </w:t>
      </w:r>
    </w:p>
    <w:p w:rsidR="00C97499" w:rsidRPr="00BA6AF3" w:rsidRDefault="00BC0FE1">
      <w:pPr>
        <w:spacing w:before="240" w:after="240" w:line="360" w:lineRule="auto"/>
        <w:ind w:right="49"/>
        <w:jc w:val="both"/>
        <w:rPr>
          <w:rFonts w:ascii="Palatino Linotype" w:eastAsia="Palatino Linotype" w:hAnsi="Palatino Linotype" w:cs="Palatino Linotype"/>
          <w:b/>
          <w:i/>
        </w:rPr>
      </w:pPr>
      <w:r w:rsidRPr="00BA6AF3">
        <w:rPr>
          <w:rFonts w:ascii="Palatino Linotype" w:eastAsia="Palatino Linotype" w:hAnsi="Palatino Linotype" w:cs="Palatino Linotype"/>
          <w:b/>
        </w:rPr>
        <w:t xml:space="preserve">6. Interposición del recurso de revisión.  </w:t>
      </w:r>
      <w:r w:rsidRPr="00BA6AF3">
        <w:rPr>
          <w:rFonts w:ascii="Palatino Linotype" w:eastAsia="Palatino Linotype" w:hAnsi="Palatino Linotype" w:cs="Palatino Linotype"/>
        </w:rPr>
        <w:t xml:space="preserve">El </w:t>
      </w:r>
      <w:r w:rsidRPr="00BA6AF3">
        <w:rPr>
          <w:rFonts w:ascii="Palatino Linotype" w:eastAsia="Palatino Linotype" w:hAnsi="Palatino Linotype" w:cs="Palatino Linotype"/>
          <w:b/>
        </w:rPr>
        <w:t xml:space="preserve">ocho de septiembre de dos mil veintidós </w:t>
      </w:r>
      <w:r w:rsidRPr="00BA6AF3">
        <w:rPr>
          <w:rFonts w:ascii="Palatino Linotype" w:eastAsia="Palatino Linotype" w:hAnsi="Palatino Linotype" w:cs="Palatino Linotype"/>
        </w:rPr>
        <w:t xml:space="preserve">la parte </w:t>
      </w:r>
      <w:r w:rsidRPr="00BA6AF3">
        <w:rPr>
          <w:rFonts w:ascii="Palatino Linotype" w:eastAsia="Palatino Linotype" w:hAnsi="Palatino Linotype" w:cs="Palatino Linotype"/>
          <w:b/>
        </w:rPr>
        <w:t xml:space="preserve">Recurrente </w:t>
      </w:r>
      <w:r w:rsidRPr="00BA6AF3">
        <w:rPr>
          <w:rFonts w:ascii="Palatino Linotype" w:eastAsia="Palatino Linotype" w:hAnsi="Palatino Linotype" w:cs="Palatino Linotype"/>
        </w:rPr>
        <w:t>inconforme con la respuesta, interpuso el recurso de revisión en el que expresó lo siguiente:</w:t>
      </w:r>
    </w:p>
    <w:p w:rsidR="00C97499" w:rsidRPr="00BA6AF3" w:rsidRDefault="00BC0FE1">
      <w:pPr>
        <w:spacing w:before="240" w:after="240" w:line="360" w:lineRule="auto"/>
        <w:ind w:right="49"/>
        <w:jc w:val="both"/>
        <w:rPr>
          <w:rFonts w:ascii="Palatino Linotype" w:eastAsia="Palatino Linotype" w:hAnsi="Palatino Linotype" w:cs="Palatino Linotype"/>
          <w:i/>
          <w:sz w:val="2"/>
          <w:szCs w:val="2"/>
        </w:rPr>
      </w:pPr>
      <w:r w:rsidRPr="00BA6AF3">
        <w:rPr>
          <w:rFonts w:ascii="Palatino Linotype" w:eastAsia="Palatino Linotype" w:hAnsi="Palatino Linotype" w:cs="Palatino Linotype"/>
          <w:b/>
        </w:rPr>
        <w:t xml:space="preserve">Acto impugnado: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“Información incompleta."(Sic)</w:t>
      </w:r>
    </w:p>
    <w:p w:rsidR="00C97499" w:rsidRPr="00BA6AF3" w:rsidRDefault="00BC0FE1">
      <w:pPr>
        <w:spacing w:before="240" w:after="240" w:line="360" w:lineRule="auto"/>
        <w:ind w:right="616"/>
        <w:jc w:val="both"/>
        <w:rPr>
          <w:rFonts w:ascii="Palatino Linotype" w:eastAsia="Palatino Linotype" w:hAnsi="Palatino Linotype" w:cs="Palatino Linotype"/>
          <w:b/>
          <w:sz w:val="22"/>
          <w:szCs w:val="22"/>
        </w:rPr>
      </w:pPr>
      <w:r w:rsidRPr="00BA6AF3">
        <w:rPr>
          <w:rFonts w:ascii="Palatino Linotype" w:eastAsia="Palatino Linotype" w:hAnsi="Palatino Linotype" w:cs="Palatino Linotype"/>
          <w:b/>
        </w:rPr>
        <w:t>Razones o motivos de inconformidad</w:t>
      </w:r>
      <w:r w:rsidRPr="00BA6AF3">
        <w:rPr>
          <w:rFonts w:ascii="Palatino Linotype" w:eastAsia="Palatino Linotype" w:hAnsi="Palatino Linotype" w:cs="Palatino Linotype"/>
          <w:b/>
          <w:sz w:val="22"/>
          <w:szCs w:val="22"/>
        </w:rPr>
        <w:t xml:space="preserve">: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“Información incompleta."(Sic)</w:t>
      </w:r>
    </w:p>
    <w:p w:rsidR="00C97499" w:rsidRPr="00BA6AF3" w:rsidRDefault="00C97499">
      <w:pPr>
        <w:spacing w:before="240" w:after="240" w:line="360" w:lineRule="auto"/>
        <w:jc w:val="both"/>
        <w:rPr>
          <w:rFonts w:ascii="Palatino Linotype" w:eastAsia="Palatino Linotype" w:hAnsi="Palatino Linotype" w:cs="Palatino Linotype"/>
          <w:sz w:val="2"/>
          <w:szCs w:val="2"/>
        </w:rPr>
      </w:pP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lastRenderedPageBreak/>
        <w:t>7. Turno.</w:t>
      </w:r>
      <w:r w:rsidRPr="00BA6AF3">
        <w:rPr>
          <w:rFonts w:ascii="Palatino Linotype" w:eastAsia="Palatino Linotype" w:hAnsi="Palatino Linotype" w:cs="Palatino Linotype"/>
          <w:b/>
          <w:sz w:val="28"/>
          <w:szCs w:val="28"/>
        </w:rPr>
        <w:t xml:space="preserve"> </w:t>
      </w:r>
      <w:r w:rsidRPr="00BA6AF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A6AF3">
        <w:rPr>
          <w:rFonts w:ascii="Palatino Linotype" w:eastAsia="Palatino Linotype" w:hAnsi="Palatino Linotype" w:cs="Palatino Linotype"/>
          <w:b/>
        </w:rPr>
        <w:t xml:space="preserve">Guadalupe Ramírez Peña, </w:t>
      </w:r>
      <w:r w:rsidRPr="00BA6AF3">
        <w:rPr>
          <w:rFonts w:ascii="Palatino Linotype" w:eastAsia="Palatino Linotype" w:hAnsi="Palatino Linotype" w:cs="Palatino Linotype"/>
        </w:rPr>
        <w:t xml:space="preserve">a efecto de que analizara sobre su admisión o su </w:t>
      </w:r>
      <w:proofErr w:type="spellStart"/>
      <w:r w:rsidRPr="00BA6AF3">
        <w:rPr>
          <w:rFonts w:ascii="Palatino Linotype" w:eastAsia="Palatino Linotype" w:hAnsi="Palatino Linotype" w:cs="Palatino Linotype"/>
        </w:rPr>
        <w:t>desechamiento</w:t>
      </w:r>
      <w:proofErr w:type="spellEnd"/>
      <w:r w:rsidRPr="00BA6AF3">
        <w:rPr>
          <w:rFonts w:ascii="Palatino Linotype" w:eastAsia="Palatino Linotype" w:hAnsi="Palatino Linotype" w:cs="Palatino Linotype"/>
        </w:rPr>
        <w:t>.</w:t>
      </w:r>
    </w:p>
    <w:p w:rsidR="00C97499" w:rsidRPr="00BA6AF3" w:rsidRDefault="00BC0FE1">
      <w:pPr>
        <w:spacing w:before="240" w:after="24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b/>
        </w:rPr>
        <w:t>8.</w:t>
      </w:r>
      <w:r w:rsidRPr="00BA6AF3">
        <w:rPr>
          <w:rFonts w:ascii="Palatino Linotype" w:eastAsia="Palatino Linotype" w:hAnsi="Palatino Linotype" w:cs="Palatino Linotype"/>
          <w:b/>
          <w:i/>
        </w:rPr>
        <w:t xml:space="preserve"> </w:t>
      </w:r>
      <w:r w:rsidRPr="00BA6AF3">
        <w:rPr>
          <w:rFonts w:ascii="Palatino Linotype" w:eastAsia="Palatino Linotype" w:hAnsi="Palatino Linotype" w:cs="Palatino Linotype"/>
          <w:b/>
        </w:rPr>
        <w:t>Admisión del Recurso de revisión.</w:t>
      </w:r>
      <w:r w:rsidRPr="00BA6AF3">
        <w:rPr>
          <w:rFonts w:ascii="Palatino Linotype" w:eastAsia="Palatino Linotype" w:hAnsi="Palatino Linotype" w:cs="Palatino Linotype"/>
          <w:sz w:val="28"/>
          <w:szCs w:val="28"/>
        </w:rPr>
        <w:t xml:space="preserve"> El</w:t>
      </w:r>
      <w:r w:rsidRPr="00BA6AF3">
        <w:rPr>
          <w:rFonts w:ascii="Palatino Linotype" w:eastAsia="Palatino Linotype" w:hAnsi="Palatino Linotype" w:cs="Palatino Linotype"/>
          <w:b/>
        </w:rPr>
        <w:t xml:space="preserve"> trece de septiembre de dos mil veintidós, </w:t>
      </w:r>
      <w:r w:rsidRPr="00BA6AF3">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presentara su informe justificado.</w:t>
      </w:r>
    </w:p>
    <w:p w:rsidR="00C97499" w:rsidRPr="00BA6AF3" w:rsidRDefault="00BC0FE1">
      <w:pPr>
        <w:widowControl w:val="0"/>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9. Manifestaciones</w:t>
      </w:r>
      <w:r w:rsidRPr="00BA6AF3">
        <w:rPr>
          <w:rFonts w:ascii="Palatino Linotype" w:eastAsia="Palatino Linotype" w:hAnsi="Palatino Linotype" w:cs="Palatino Linotype"/>
        </w:rPr>
        <w:t xml:space="preserve">. El </w:t>
      </w:r>
      <w:r w:rsidRPr="00BA6AF3">
        <w:rPr>
          <w:rFonts w:ascii="Palatino Linotype" w:eastAsia="Palatino Linotype" w:hAnsi="Palatino Linotype" w:cs="Palatino Linotype"/>
          <w:b/>
        </w:rPr>
        <w:t xml:space="preserve">Sujeto Obligo </w:t>
      </w:r>
      <w:r w:rsidRPr="00BA6AF3">
        <w:rPr>
          <w:rFonts w:ascii="Palatino Linotype" w:eastAsia="Palatino Linotype" w:hAnsi="Palatino Linotype" w:cs="Palatino Linotype"/>
        </w:rPr>
        <w:t xml:space="preserve">omitió rendir informe justificado en el plazo establecido para tal efecto; por otro lado, la parte </w:t>
      </w:r>
      <w:r w:rsidRPr="00BA6AF3">
        <w:rPr>
          <w:rFonts w:ascii="Palatino Linotype" w:eastAsia="Palatino Linotype" w:hAnsi="Palatino Linotype" w:cs="Palatino Linotype"/>
          <w:b/>
        </w:rPr>
        <w:t xml:space="preserve">Recurrente </w:t>
      </w:r>
      <w:r w:rsidRPr="00BA6AF3">
        <w:rPr>
          <w:rFonts w:ascii="Palatino Linotype" w:eastAsia="Palatino Linotype" w:hAnsi="Palatino Linotype" w:cs="Palatino Linotype"/>
        </w:rPr>
        <w:t xml:space="preserve">no realizó manifestaciones, ni ofreció algún medio de prueba y omitió formular alegatos; tal como se puede observar en la siguiente imagen. </w:t>
      </w:r>
    </w:p>
    <w:p w:rsidR="00C97499" w:rsidRPr="00BA6AF3" w:rsidRDefault="00BC0FE1">
      <w:pPr>
        <w:widowControl w:val="0"/>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noProof/>
        </w:rPr>
        <w:drawing>
          <wp:inline distT="0" distB="0" distL="0" distR="0">
            <wp:extent cx="5612130" cy="1932940"/>
            <wp:effectExtent l="0" t="0" r="0" b="0"/>
            <wp:docPr id="20675916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612130" cy="1932940"/>
                    </a:xfrm>
                    <a:prstGeom prst="rect">
                      <a:avLst/>
                    </a:prstGeom>
                    <a:ln/>
                  </pic:spPr>
                </pic:pic>
              </a:graphicData>
            </a:graphic>
          </wp:inline>
        </w:drawing>
      </w:r>
      <w:r w:rsidRPr="00BA6AF3">
        <w:rPr>
          <w:rFonts w:ascii="Palatino Linotype" w:eastAsia="Palatino Linotype" w:hAnsi="Palatino Linotype" w:cs="Palatino Linotype"/>
        </w:rPr>
        <w:t xml:space="preserve"> </w:t>
      </w:r>
    </w:p>
    <w:p w:rsidR="00C97499" w:rsidRPr="00BA6AF3" w:rsidRDefault="00BC0FE1">
      <w:pPr>
        <w:widowControl w:val="0"/>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lastRenderedPageBreak/>
        <w:t xml:space="preserve">10. Ampliación del plazo para emitir resolución. </w:t>
      </w:r>
      <w:r w:rsidRPr="00BA6AF3">
        <w:rPr>
          <w:rFonts w:ascii="Palatino Linotype" w:eastAsia="Palatino Linotype" w:hAnsi="Palatino Linotype" w:cs="Palatino Linotype"/>
        </w:rPr>
        <w:t xml:space="preserve">El </w:t>
      </w:r>
      <w:r w:rsidRPr="00BA6AF3">
        <w:rPr>
          <w:rFonts w:ascii="Palatino Linotype" w:eastAsia="Palatino Linotype" w:hAnsi="Palatino Linotype" w:cs="Palatino Linotype"/>
          <w:b/>
        </w:rPr>
        <w:t>tres de marzo de dos mil veintitrés</w:t>
      </w:r>
      <w:r w:rsidRPr="00BA6AF3">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C97499" w:rsidRPr="00BA6AF3" w:rsidRDefault="00BC0FE1">
      <w:pPr>
        <w:spacing w:before="240" w:after="240" w:line="360" w:lineRule="auto"/>
        <w:jc w:val="both"/>
        <w:rPr>
          <w:rFonts w:ascii="Palatino Linotype" w:eastAsia="Palatino Linotype" w:hAnsi="Palatino Linotype" w:cs="Palatino Linotype"/>
          <w:strike/>
          <w:color w:val="FF0000"/>
        </w:rPr>
      </w:pPr>
      <w:r w:rsidRPr="00BA6AF3">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C97499" w:rsidRPr="00BA6AF3" w:rsidRDefault="00BC0FE1">
      <w:pPr>
        <w:numPr>
          <w:ilvl w:val="0"/>
          <w:numId w:val="1"/>
        </w:num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C97499" w:rsidRPr="00BA6AF3" w:rsidRDefault="00BC0FE1">
      <w:pPr>
        <w:numPr>
          <w:ilvl w:val="0"/>
          <w:numId w:val="1"/>
        </w:num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Actividad Procesal del interesado. Acciones u omisiones del interesado.</w:t>
      </w:r>
    </w:p>
    <w:p w:rsidR="00C97499" w:rsidRPr="00BA6AF3" w:rsidRDefault="00BC0FE1">
      <w:pPr>
        <w:numPr>
          <w:ilvl w:val="0"/>
          <w:numId w:val="1"/>
        </w:num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Conducta de la Autoridad: Las Acciones u omisiones realizadas en el procedimiento. Así como si la autoridad actuó con la debida diligencia.</w:t>
      </w:r>
    </w:p>
    <w:p w:rsidR="00C97499" w:rsidRPr="00BA6AF3" w:rsidRDefault="00BC0FE1">
      <w:pPr>
        <w:spacing w:before="240" w:after="240" w:line="360" w:lineRule="auto"/>
        <w:ind w:left="567"/>
        <w:jc w:val="both"/>
        <w:rPr>
          <w:rFonts w:ascii="Palatino Linotype" w:eastAsia="Palatino Linotype" w:hAnsi="Palatino Linotype" w:cs="Palatino Linotype"/>
        </w:rPr>
      </w:pPr>
      <w:r w:rsidRPr="00BA6AF3">
        <w:rPr>
          <w:rFonts w:ascii="Palatino Linotype" w:eastAsia="Palatino Linotype" w:hAnsi="Palatino Linotype" w:cs="Palatino Linotype"/>
        </w:rPr>
        <w:t>d) La afectación generada en la situación jurídica de la persona involucrada en el proceso: Violación a sus derechos humanos.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C97499" w:rsidRPr="00BA6AF3" w:rsidRDefault="00BC0FE1">
      <w:pPr>
        <w:spacing w:before="240" w:after="24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rPr>
        <w:lastRenderedPageBreak/>
        <w:t>Argumento que encuentra sustento en la jurisprudencia P</w:t>
      </w:r>
      <w:proofErr w:type="gramStart"/>
      <w:r w:rsidRPr="00BA6AF3">
        <w:rPr>
          <w:rFonts w:ascii="Palatino Linotype" w:eastAsia="Palatino Linotype" w:hAnsi="Palatino Linotype" w:cs="Palatino Linotype"/>
        </w:rPr>
        <w:t>./</w:t>
      </w:r>
      <w:proofErr w:type="gramEnd"/>
      <w:r w:rsidRPr="00BA6AF3">
        <w:rPr>
          <w:rFonts w:ascii="Palatino Linotype" w:eastAsia="Palatino Linotype" w:hAnsi="Palatino Linotype" w:cs="Palatino Linotype"/>
        </w:rPr>
        <w:t xml:space="preserve">J. 32/92 emitida por el Pleno de la Suprema Corte de Justicia de la Nación de rubro </w:t>
      </w:r>
      <w:r w:rsidRPr="00BA6AF3">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BA6AF3">
        <w:rPr>
          <w:rFonts w:ascii="Palatino Linotype" w:eastAsia="Palatino Linotype" w:hAnsi="Palatino Linotype" w:cs="Palatino Linotype"/>
        </w:rPr>
        <w:t>, visible en la Gaceta del Seminario Judicial de la Federación con el registro digital 205635.</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 xml:space="preserve"> </w:t>
      </w:r>
      <w:r w:rsidRPr="00BA6AF3">
        <w:rPr>
          <w:rFonts w:ascii="Palatino Linotype" w:eastAsia="Palatino Linotype" w:hAnsi="Palatino Linotype" w:cs="Palatino Linotype"/>
          <w:i/>
        </w:rPr>
        <w:t>“PLAZO RAZONABLE PARA RESOLVER. DIMENSIÓN Y EFECTOS DE ESTE CONCEPTO CUANDO SE ADUCE EXCESIVA CARGA DE TRABAJO.”</w:t>
      </w:r>
      <w:r w:rsidRPr="00BA6AF3">
        <w:rPr>
          <w:rFonts w:ascii="Palatino Linotype" w:eastAsia="Palatino Linotype" w:hAnsi="Palatino Linotype" w:cs="Palatino Linotype"/>
        </w:rPr>
        <w:t xml:space="preserve"> consultable en el Seminario Judicial de la Federación y su gaceta, con el registro digital 2002351.</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i/>
        </w:rPr>
        <w:t>“PLAZO RAZONABLE PARA RESOLVER. CONCEPTO Y ELEMENTOS QUE LO INTEGRAN A LA LUZ DEL DERECHO INTERNACIONAL DE LOS DERECHOS HUMANOS.”</w:t>
      </w:r>
      <w:r w:rsidRPr="00BA6AF3">
        <w:rPr>
          <w:rFonts w:ascii="Palatino Linotype" w:eastAsia="Palatino Linotype" w:hAnsi="Palatino Linotype" w:cs="Palatino Linotype"/>
        </w:rPr>
        <w:t>, visible en el Seminario Judicial de la Federación y su gaceta, con el registro digital 2002350.</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C97499" w:rsidRPr="00BA6AF3" w:rsidRDefault="00BC0FE1">
      <w:pPr>
        <w:widowControl w:val="0"/>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11. Cierre de instrucción</w:t>
      </w:r>
      <w:r w:rsidRPr="00BA6AF3">
        <w:rPr>
          <w:rFonts w:ascii="Palatino Linotype" w:eastAsia="Palatino Linotype" w:hAnsi="Palatino Linotype" w:cs="Palatino Linotype"/>
        </w:rPr>
        <w:t xml:space="preserve">. Una vez transcurrido el periodo otorgado a las partes para realizar sus manifestaciones y no habiendo documentos que integrar al expediente, el </w:t>
      </w:r>
      <w:r w:rsidRPr="00BA6AF3">
        <w:rPr>
          <w:rFonts w:ascii="Palatino Linotype" w:eastAsia="Palatino Linotype" w:hAnsi="Palatino Linotype" w:cs="Palatino Linotype"/>
          <w:b/>
        </w:rPr>
        <w:t>tres de marzo de dos mil veintitrés</w:t>
      </w:r>
      <w:r w:rsidRPr="00BA6AF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C97499" w:rsidRPr="00BA6AF3" w:rsidRDefault="00BC0FE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12. Requerimiento de Información Adicional. </w:t>
      </w:r>
      <w:r w:rsidRPr="00BA6AF3">
        <w:rPr>
          <w:rFonts w:ascii="Palatino Linotype" w:eastAsia="Palatino Linotype" w:hAnsi="Palatino Linotype" w:cs="Palatino Linotype"/>
        </w:rPr>
        <w:t xml:space="preserve">En fecha </w:t>
      </w:r>
      <w:r w:rsidRPr="00BA6AF3">
        <w:rPr>
          <w:rFonts w:ascii="Palatino Linotype" w:eastAsia="Palatino Linotype" w:hAnsi="Palatino Linotype" w:cs="Palatino Linotype"/>
          <w:b/>
        </w:rPr>
        <w:t>catorce de agosto de dos mil veintitrés</w:t>
      </w:r>
      <w:r w:rsidRPr="00BA6AF3">
        <w:rPr>
          <w:rFonts w:ascii="Palatino Linotype" w:eastAsia="Palatino Linotype" w:hAnsi="Palatino Linotype" w:cs="Palatino Linotype"/>
        </w:rPr>
        <w:t xml:space="preserve">, con el objeto de contar con los elementos necesarios para la elaboración del proyecto de resolución correspondiente, se le hizo llegar al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un requerimiento de información adicional, en el que se le solicitó lo siguiente: </w:t>
      </w:r>
    </w:p>
    <w:p w:rsidR="00C97499" w:rsidRPr="00BA6AF3" w:rsidRDefault="00C97499">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 xml:space="preserve">1. Razones y motivos para no entregar la información a través del Sistema de Acceso a la Información Mexiquense. </w:t>
      </w: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2. Indique si la cantidad de información excede las capacidades del Sistema de Acceso a la Información Mexiquense, esto mediante el reporte de incidencias realizado ante la Dirección General de Informática del INFOEM, para lo cual se invita dé trámite al mismo. </w:t>
      </w: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3. Indique si la información solicitada sobrepasa sus capacidades administrativas y humanas. </w:t>
      </w: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i/>
          <w:sz w:val="22"/>
          <w:szCs w:val="22"/>
        </w:rPr>
        <w:t xml:space="preserve">4. En caso afirmativo, indique las razones o motivos por las cuales la información solicitada sobrepasa las capacidades administrativas y humanas para ser proporcionada vía Sistema de Acceso a la Información Mexiquense. </w:t>
      </w:r>
      <w:r w:rsidRPr="00BA6AF3">
        <w:rPr>
          <w:rFonts w:ascii="Palatino Linotype" w:eastAsia="Palatino Linotype" w:hAnsi="Palatino Linotype" w:cs="Palatino Linotype"/>
          <w:b/>
          <w:i/>
          <w:sz w:val="22"/>
          <w:szCs w:val="22"/>
        </w:rPr>
        <w:t xml:space="preserve"> </w:t>
      </w: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w:t>
      </w:r>
    </w:p>
    <w:p w:rsidR="00C97499" w:rsidRPr="00BA6AF3" w:rsidRDefault="00C97499">
      <w:pPr>
        <w:pBdr>
          <w:top w:val="nil"/>
          <w:left w:val="nil"/>
          <w:bottom w:val="nil"/>
          <w:right w:val="nil"/>
          <w:between w:val="nil"/>
        </w:pBdr>
        <w:spacing w:line="276" w:lineRule="auto"/>
        <w:ind w:left="567" w:right="843"/>
        <w:jc w:val="both"/>
        <w:rPr>
          <w:rFonts w:ascii="Palatino Linotype" w:eastAsia="Palatino Linotype" w:hAnsi="Palatino Linotype" w:cs="Palatino Linotype"/>
          <w:b/>
          <w:i/>
          <w:sz w:val="22"/>
          <w:szCs w:val="22"/>
        </w:rPr>
      </w:pPr>
    </w:p>
    <w:p w:rsidR="00C97499" w:rsidRPr="00BA6AF3" w:rsidRDefault="00BC0FE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13. Desahogo del Requerimiento de Información Adicional. </w:t>
      </w:r>
      <w:r w:rsidRPr="00BA6AF3">
        <w:rPr>
          <w:rFonts w:ascii="Palatino Linotype" w:eastAsia="Palatino Linotype" w:hAnsi="Palatino Linotype" w:cs="Palatino Linotype"/>
        </w:rPr>
        <w:t xml:space="preserve">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fue omiso en emitir pronunciamiento alguno con relación al requerimiento de información.</w:t>
      </w:r>
    </w:p>
    <w:p w:rsidR="00C97499" w:rsidRPr="00BA6AF3" w:rsidRDefault="00BC0FE1">
      <w:pPr>
        <w:widowControl w:val="0"/>
        <w:spacing w:before="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14. Solicitud de reporte de incidencia.</w:t>
      </w:r>
      <w:r w:rsidRPr="00BA6AF3">
        <w:t xml:space="preserve"> </w:t>
      </w:r>
      <w:r w:rsidRPr="00BA6AF3">
        <w:rPr>
          <w:rFonts w:ascii="Palatino Linotype" w:eastAsia="Palatino Linotype" w:hAnsi="Palatino Linotype" w:cs="Palatino Linotype"/>
        </w:rPr>
        <w:t xml:space="preserve">En fecha </w:t>
      </w:r>
      <w:r w:rsidRPr="00BA6AF3">
        <w:rPr>
          <w:rFonts w:ascii="Palatino Linotype" w:eastAsia="Palatino Linotype" w:hAnsi="Palatino Linotype" w:cs="Palatino Linotype"/>
          <w:b/>
        </w:rPr>
        <w:t xml:space="preserve">doce de septiembre de dos mil veintitrés, </w:t>
      </w:r>
      <w:r w:rsidRPr="00BA6AF3">
        <w:rPr>
          <w:rFonts w:ascii="Palatino Linotype" w:eastAsia="Palatino Linotype" w:hAnsi="Palatino Linotype" w:cs="Palatino Linotype"/>
        </w:rPr>
        <w:t>se realizó la consulta, a través de correo electrónico, a la Dirección General de Informática</w:t>
      </w:r>
      <w:r w:rsidRPr="00BA6AF3">
        <w:t xml:space="preserve"> </w:t>
      </w:r>
      <w:r w:rsidRPr="00BA6AF3">
        <w:rPr>
          <w:rFonts w:ascii="Palatino Linotype" w:eastAsia="Palatino Linotype" w:hAnsi="Palatino Linotype" w:cs="Palatino Linotype"/>
        </w:rPr>
        <w:t xml:space="preserve">sobre la incidencia presentada por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para atender la solicitud de información que motivó el respecto de la solicitud que dio origen al recurso de revisión que se resuelve, tal como se advierte a continuación:</w:t>
      </w:r>
    </w:p>
    <w:p w:rsidR="00C97499" w:rsidRPr="00BA6AF3" w:rsidRDefault="00BC0FE1">
      <w:pPr>
        <w:widowControl w:val="0"/>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noProof/>
        </w:rPr>
        <w:lastRenderedPageBreak/>
        <w:drawing>
          <wp:inline distT="0" distB="0" distL="0" distR="0">
            <wp:extent cx="5612130" cy="2328545"/>
            <wp:effectExtent l="0" t="0" r="0" b="0"/>
            <wp:docPr id="20675916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12130" cy="2328545"/>
                    </a:xfrm>
                    <a:prstGeom prst="rect">
                      <a:avLst/>
                    </a:prstGeom>
                    <a:ln/>
                  </pic:spPr>
                </pic:pic>
              </a:graphicData>
            </a:graphic>
          </wp:inline>
        </w:drawing>
      </w:r>
    </w:p>
    <w:p w:rsidR="00C97499" w:rsidRPr="00BA6AF3" w:rsidRDefault="00BC0FE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15. Reporte de incidencia. </w:t>
      </w:r>
      <w:r w:rsidRPr="00BA6AF3">
        <w:rPr>
          <w:rFonts w:ascii="Palatino Linotype" w:eastAsia="Palatino Linotype" w:hAnsi="Palatino Linotype" w:cs="Palatino Linotype"/>
        </w:rPr>
        <w:t xml:space="preserve">En fecha </w:t>
      </w:r>
      <w:r w:rsidRPr="00BA6AF3">
        <w:rPr>
          <w:rFonts w:ascii="Palatino Linotype" w:eastAsia="Palatino Linotype" w:hAnsi="Palatino Linotype" w:cs="Palatino Linotype"/>
          <w:b/>
        </w:rPr>
        <w:t xml:space="preserve">doce de septiembre de dos mil veintitrés, </w:t>
      </w:r>
      <w:r w:rsidRPr="00BA6AF3">
        <w:rPr>
          <w:rFonts w:ascii="Palatino Linotype" w:eastAsia="Palatino Linotype" w:hAnsi="Palatino Linotype" w:cs="Palatino Linotype"/>
        </w:rPr>
        <w:t>en respuesta al correo electrónico referido en el punto anterior,</w:t>
      </w:r>
      <w:r w:rsidRPr="00BA6AF3">
        <w:rPr>
          <w:rFonts w:ascii="Palatino Linotype" w:eastAsia="Palatino Linotype" w:hAnsi="Palatino Linotype" w:cs="Palatino Linotype"/>
          <w:b/>
        </w:rPr>
        <w:t xml:space="preserve"> </w:t>
      </w:r>
      <w:r w:rsidRPr="00BA6AF3">
        <w:rPr>
          <w:rFonts w:ascii="Palatino Linotype" w:eastAsia="Palatino Linotype" w:hAnsi="Palatino Linotype" w:cs="Palatino Linotype"/>
        </w:rPr>
        <w:t>la Dirección General de Informática, a través de correo informó que a la fecha no se tenía reportada llamada alguna, ni tampoco se tenía registro de incidencia por parte del Sujeto Obligado, como se advierte a continuación:</w:t>
      </w:r>
    </w:p>
    <w:p w:rsidR="00C97499" w:rsidRPr="00BA6AF3" w:rsidRDefault="00BC0FE1">
      <w:pPr>
        <w:widowControl w:val="0"/>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noProof/>
        </w:rPr>
        <w:drawing>
          <wp:inline distT="0" distB="0" distL="0" distR="0">
            <wp:extent cx="5612130" cy="1950085"/>
            <wp:effectExtent l="0" t="0" r="0" b="0"/>
            <wp:docPr id="20675916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1950085"/>
                    </a:xfrm>
                    <a:prstGeom prst="rect">
                      <a:avLst/>
                    </a:prstGeom>
                    <a:ln/>
                  </pic:spPr>
                </pic:pic>
              </a:graphicData>
            </a:graphic>
          </wp:inline>
        </w:drawing>
      </w:r>
    </w:p>
    <w:p w:rsidR="00C97499" w:rsidRPr="00BA6AF3" w:rsidRDefault="00BC0FE1">
      <w:pPr>
        <w:widowControl w:val="0"/>
        <w:spacing w:before="240" w:after="24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BA6AF3">
        <w:rPr>
          <w:rFonts w:ascii="Palatino Linotype" w:eastAsia="Palatino Linotype" w:hAnsi="Palatino Linotype" w:cs="Palatino Linotype"/>
          <w:b/>
        </w:rPr>
        <w:t xml:space="preserve"> </w:t>
      </w:r>
    </w:p>
    <w:p w:rsidR="00C97499" w:rsidRPr="00BA6AF3" w:rsidRDefault="00BC0FE1">
      <w:pPr>
        <w:widowControl w:val="0"/>
        <w:spacing w:before="240" w:after="240" w:line="360" w:lineRule="auto"/>
        <w:jc w:val="center"/>
        <w:rPr>
          <w:rFonts w:ascii="Palatino Linotype" w:eastAsia="Palatino Linotype" w:hAnsi="Palatino Linotype" w:cs="Palatino Linotype"/>
          <w:b/>
        </w:rPr>
      </w:pPr>
      <w:r w:rsidRPr="00BA6AF3">
        <w:rPr>
          <w:rFonts w:ascii="Palatino Linotype" w:eastAsia="Palatino Linotype" w:hAnsi="Palatino Linotype" w:cs="Palatino Linotype"/>
          <w:b/>
        </w:rPr>
        <w:lastRenderedPageBreak/>
        <w:t>II. C O N S I D E R A N D O 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Primero. Competencia.</w:t>
      </w:r>
      <w:r w:rsidRPr="00BA6AF3">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C97499" w:rsidRPr="00BA6AF3" w:rsidRDefault="00BC0FE1">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BA6AF3">
        <w:rPr>
          <w:rFonts w:ascii="Palatino Linotype" w:eastAsia="Palatino Linotype" w:hAnsi="Palatino Linotype" w:cs="Palatino Linotype"/>
          <w:b/>
        </w:rPr>
        <w:t xml:space="preserve">Segundo. Oportunidad y </w:t>
      </w:r>
      <w:proofErr w:type="spellStart"/>
      <w:r w:rsidRPr="00BA6AF3">
        <w:rPr>
          <w:rFonts w:ascii="Palatino Linotype" w:eastAsia="Palatino Linotype" w:hAnsi="Palatino Linotype" w:cs="Palatino Linotype"/>
          <w:b/>
        </w:rPr>
        <w:t>Procedibilidad</w:t>
      </w:r>
      <w:proofErr w:type="spellEnd"/>
      <w:r w:rsidRPr="00BA6AF3">
        <w:rPr>
          <w:rFonts w:ascii="Palatino Linotype" w:eastAsia="Palatino Linotype" w:hAnsi="Palatino Linotype" w:cs="Palatino Linotype"/>
          <w:b/>
        </w:rPr>
        <w:t xml:space="preserve"> del Recurso de Revisión</w:t>
      </w:r>
      <w:r w:rsidRPr="00BA6AF3">
        <w:rPr>
          <w:rFonts w:ascii="Palatino Linotype" w:eastAsia="Palatino Linotype" w:hAnsi="Palatino Linotype" w:cs="Palatino Linotype"/>
        </w:rPr>
        <w:t xml:space="preserve">. Previo al estudio del fondo del asunto, se procede a analizar los requisitos de oportunidad y </w:t>
      </w:r>
      <w:proofErr w:type="spellStart"/>
      <w:r w:rsidRPr="00BA6AF3">
        <w:rPr>
          <w:rFonts w:ascii="Palatino Linotype" w:eastAsia="Palatino Linotype" w:hAnsi="Palatino Linotype" w:cs="Palatino Linotype"/>
        </w:rPr>
        <w:t>procedibilidad</w:t>
      </w:r>
      <w:proofErr w:type="spellEnd"/>
      <w:r w:rsidRPr="00BA6AF3">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C97499" w:rsidRPr="00BA6AF3" w:rsidRDefault="00BC0FE1">
      <w:pPr>
        <w:spacing w:before="240" w:after="240"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respondió a la solicitud de información el </w:t>
      </w:r>
      <w:r w:rsidRPr="00BA6AF3">
        <w:rPr>
          <w:rFonts w:ascii="Palatino Linotype" w:eastAsia="Palatino Linotype" w:hAnsi="Palatino Linotype" w:cs="Palatino Linotype"/>
          <w:b/>
        </w:rPr>
        <w:t xml:space="preserve">siete de septiembre de dos mil veintidós, </w:t>
      </w:r>
      <w:r w:rsidRPr="00BA6AF3">
        <w:rPr>
          <w:rFonts w:ascii="Palatino Linotype" w:eastAsia="Palatino Linotype" w:hAnsi="Palatino Linotype" w:cs="Palatino Linotype"/>
        </w:rPr>
        <w:t xml:space="preserve">mientras que el recurso de revisión se interpuso el </w:t>
      </w:r>
      <w:r w:rsidRPr="00BA6AF3">
        <w:rPr>
          <w:rFonts w:ascii="Palatino Linotype" w:eastAsia="Palatino Linotype" w:hAnsi="Palatino Linotype" w:cs="Palatino Linotype"/>
          <w:b/>
        </w:rPr>
        <w:t xml:space="preserve">ocho de septiembre de dos mil </w:t>
      </w:r>
      <w:r w:rsidRPr="00BA6AF3">
        <w:rPr>
          <w:rFonts w:ascii="Palatino Linotype" w:eastAsia="Palatino Linotype" w:hAnsi="Palatino Linotype" w:cs="Palatino Linotype"/>
          <w:b/>
        </w:rPr>
        <w:lastRenderedPageBreak/>
        <w:t xml:space="preserve">veintidós; </w:t>
      </w:r>
      <w:r w:rsidRPr="00BA6AF3">
        <w:rPr>
          <w:rFonts w:ascii="Palatino Linotype" w:eastAsia="Palatino Linotype" w:hAnsi="Palatino Linotype" w:cs="Palatino Linotype"/>
        </w:rPr>
        <w:t>esto es, el primer día hábil posterior en que tuvo conocimiento de la respuesta impugnada.</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este sentido, al considerar la fecha en que se formuló la solicitud y la fecha en que respondió a esta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C97499" w:rsidRPr="00BA6AF3" w:rsidRDefault="00BC0FE1">
      <w:pPr>
        <w:spacing w:before="240" w:after="240" w:line="360" w:lineRule="auto"/>
        <w:jc w:val="both"/>
        <w:rPr>
          <w:rFonts w:ascii="Palatino Linotype" w:eastAsia="Palatino Linotype" w:hAnsi="Palatino Linotype" w:cs="Palatino Linotype"/>
          <w:color w:val="222222"/>
        </w:rPr>
      </w:pPr>
      <w:r w:rsidRPr="00BA6AF3">
        <w:rPr>
          <w:rFonts w:ascii="Palatino Linotype" w:eastAsia="Palatino Linotype" w:hAnsi="Palatino Linotype" w:cs="Palatino Linotype"/>
        </w:rPr>
        <w:t>Por otro lado, es de suma importancia mencionar que, si bien la parte</w:t>
      </w:r>
      <w:r w:rsidRPr="00BA6AF3">
        <w:rPr>
          <w:rFonts w:ascii="Palatino Linotype" w:eastAsia="Palatino Linotype" w:hAnsi="Palatino Linotype" w:cs="Palatino Linotype"/>
          <w:b/>
        </w:rPr>
        <w:t xml:space="preserve"> Recurrente</w:t>
      </w:r>
      <w:r w:rsidRPr="00BA6AF3">
        <w:rPr>
          <w:rFonts w:ascii="Palatino Linotype" w:eastAsia="Palatino Linotype" w:hAnsi="Palatino Linotype" w:cs="Palatino Linotype"/>
        </w:rPr>
        <w:t xml:space="preserve"> no proporcionó nombre </w:t>
      </w:r>
      <w:r w:rsidRPr="00BA6AF3">
        <w:rPr>
          <w:rFonts w:ascii="Palatino Linotype" w:eastAsia="Palatino Linotype" w:hAnsi="Palatino Linotype" w:cs="Palatino Linotype"/>
          <w:color w:val="222222"/>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97499" w:rsidRPr="00BA6AF3" w:rsidRDefault="00BC0FE1">
      <w:pPr>
        <w:spacing w:before="120" w:after="120" w:line="276" w:lineRule="auto"/>
        <w:ind w:left="851" w:right="902"/>
        <w:jc w:val="both"/>
        <w:rPr>
          <w:rFonts w:ascii="Palatino Linotype" w:eastAsia="Palatino Linotype" w:hAnsi="Palatino Linotype" w:cs="Palatino Linotype"/>
          <w:color w:val="222222"/>
          <w:sz w:val="22"/>
          <w:szCs w:val="22"/>
        </w:rPr>
      </w:pPr>
      <w:r w:rsidRPr="00BA6AF3">
        <w:rPr>
          <w:rFonts w:ascii="Palatino Linotype" w:eastAsia="Palatino Linotype" w:hAnsi="Palatino Linotype" w:cs="Palatino Linotype"/>
          <w:i/>
          <w:color w:val="222222"/>
          <w:sz w:val="22"/>
          <w:szCs w:val="22"/>
        </w:rPr>
        <w:t>"</w:t>
      </w:r>
      <w:r w:rsidRPr="00BA6AF3">
        <w:rPr>
          <w:rFonts w:ascii="Palatino Linotype" w:eastAsia="Palatino Linotype" w:hAnsi="Palatino Linotype" w:cs="Palatino Linotype"/>
          <w:b/>
          <w:i/>
          <w:color w:val="222222"/>
          <w:sz w:val="22"/>
          <w:szCs w:val="22"/>
        </w:rPr>
        <w:t>Las solicitudes anónimas</w:t>
      </w:r>
      <w:r w:rsidRPr="00BA6AF3">
        <w:rPr>
          <w:rFonts w:ascii="Palatino Linotype" w:eastAsia="Palatino Linotype" w:hAnsi="Palatino Linotype" w:cs="Palatino Linotype"/>
          <w:i/>
          <w:color w:val="222222"/>
          <w:sz w:val="22"/>
          <w:szCs w:val="22"/>
        </w:rPr>
        <w:t>, con nombre incompleto o seudónimo </w:t>
      </w:r>
      <w:r w:rsidRPr="00BA6AF3">
        <w:rPr>
          <w:rFonts w:ascii="Palatino Linotype" w:eastAsia="Palatino Linotype" w:hAnsi="Palatino Linotype" w:cs="Palatino Linotype"/>
          <w:b/>
          <w:i/>
          <w:color w:val="222222"/>
          <w:sz w:val="22"/>
          <w:szCs w:val="22"/>
        </w:rPr>
        <w:t>serán procedentes para su trámite por parte del sujeto obligado ante quien se presente</w:t>
      </w:r>
      <w:r w:rsidRPr="00BA6AF3">
        <w:rPr>
          <w:rFonts w:ascii="Palatino Linotype" w:eastAsia="Palatino Linotype" w:hAnsi="Palatino Linotype" w:cs="Palatino Linotype"/>
          <w:i/>
          <w:color w:val="222222"/>
          <w:sz w:val="22"/>
          <w:szCs w:val="22"/>
        </w:rPr>
        <w:t>. No podrá requerirse información adicional con motivo del nombre proporcionado por el solicitante."</w:t>
      </w:r>
    </w:p>
    <w:p w:rsidR="00C97499" w:rsidRPr="00BA6AF3" w:rsidRDefault="00BC0FE1">
      <w:pPr>
        <w:spacing w:before="240" w:after="24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fueron presentados mediante el formato visible en el</w:t>
      </w:r>
      <w:r w:rsidRPr="00BA6AF3">
        <w:rPr>
          <w:rFonts w:ascii="Palatino Linotype" w:eastAsia="Palatino Linotype" w:hAnsi="Palatino Linotype" w:cs="Palatino Linotype"/>
          <w:b/>
        </w:rPr>
        <w:t xml:space="preserve"> SAIMEX.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Finalmente, se advierte que resulta procedente la interposición del recurso, según lo manifestado por la parte </w:t>
      </w:r>
      <w:r w:rsidRPr="00BA6AF3">
        <w:rPr>
          <w:rFonts w:ascii="Palatino Linotype" w:eastAsia="Palatino Linotype" w:hAnsi="Palatino Linotype" w:cs="Palatino Linotype"/>
          <w:b/>
        </w:rPr>
        <w:t>Recurrente</w:t>
      </w:r>
      <w:r w:rsidRPr="00BA6AF3">
        <w:rPr>
          <w:rFonts w:ascii="Palatino Linotype" w:eastAsia="Palatino Linotype" w:hAnsi="Palatino Linotype" w:cs="Palatino Linotype"/>
        </w:rPr>
        <w:t xml:space="preserve"> en sus motivos de inconformidad, de acuerdo al artículo 179, fracción V del ordenamiento legal citado, que a la letra dice: </w:t>
      </w:r>
    </w:p>
    <w:p w:rsidR="00C97499" w:rsidRPr="00BA6AF3" w:rsidRDefault="00BC0FE1">
      <w:pPr>
        <w:tabs>
          <w:tab w:val="left" w:pos="7088"/>
        </w:tabs>
        <w:spacing w:before="240" w:after="240"/>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w:t>
      </w:r>
      <w:r w:rsidRPr="00BA6AF3">
        <w:rPr>
          <w:rFonts w:ascii="Palatino Linotype" w:eastAsia="Palatino Linotype" w:hAnsi="Palatino Linotype" w:cs="Palatino Linotype"/>
          <w:b/>
          <w:i/>
          <w:sz w:val="22"/>
          <w:szCs w:val="22"/>
        </w:rPr>
        <w:t>Artículo 179.</w:t>
      </w:r>
      <w:r w:rsidRPr="00BA6AF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C97499" w:rsidRPr="00BA6AF3" w:rsidRDefault="00BC0FE1">
      <w:pPr>
        <w:tabs>
          <w:tab w:val="left" w:pos="7088"/>
        </w:tabs>
        <w:spacing w:before="240" w:after="240"/>
        <w:ind w:left="993" w:right="616"/>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w:t>
      </w:r>
    </w:p>
    <w:p w:rsidR="00C97499" w:rsidRPr="00BA6AF3" w:rsidRDefault="00BC0FE1">
      <w:pPr>
        <w:tabs>
          <w:tab w:val="left" w:pos="7088"/>
        </w:tabs>
        <w:spacing w:before="240" w:after="240"/>
        <w:ind w:left="993"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V. La entrega de información incompleta;</w:t>
      </w:r>
    </w:p>
    <w:p w:rsidR="00C97499" w:rsidRPr="00BA6AF3" w:rsidRDefault="00BC0FE1">
      <w:pPr>
        <w:tabs>
          <w:tab w:val="left" w:pos="7088"/>
        </w:tabs>
        <w:spacing w:before="240" w:after="240"/>
        <w:ind w:left="993"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Tercero. Materia de la revisión. </w:t>
      </w:r>
      <w:r w:rsidRPr="00BA6AF3">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BA6AF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BA6AF3">
        <w:rPr>
          <w:rFonts w:ascii="Palatino Linotype" w:eastAsia="Palatino Linotype" w:hAnsi="Palatino Linotype" w:cs="Palatino Linotype"/>
        </w:rPr>
        <w:t xml:space="preserve">del </w:t>
      </w:r>
      <w:r w:rsidRPr="00BA6AF3">
        <w:rPr>
          <w:rFonts w:ascii="Palatino Linotype" w:eastAsia="Palatino Linotype" w:hAnsi="Palatino Linotype" w:cs="Palatino Linotype"/>
          <w:b/>
        </w:rPr>
        <w:t>Recurrente</w:t>
      </w:r>
      <w:r w:rsidRPr="00BA6AF3">
        <w:rPr>
          <w:rFonts w:ascii="Palatino Linotype" w:eastAsia="Palatino Linotype" w:hAnsi="Palatino Linotype" w:cs="Palatino Linotype"/>
        </w:rPr>
        <w:t>, o en su defecto, en caso de ser procedente, ordenar la entrega de información.</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Cuarto. Estudio del asunto. </w:t>
      </w:r>
      <w:r w:rsidRPr="00BA6AF3">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C97499" w:rsidRPr="00BA6AF3" w:rsidRDefault="00BC0FE1">
      <w:pPr>
        <w:tabs>
          <w:tab w:val="left" w:pos="709"/>
        </w:tabs>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A6AF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C97499" w:rsidRPr="00BA6AF3" w:rsidRDefault="00BC0FE1">
      <w:pPr>
        <w:tabs>
          <w:tab w:val="left" w:pos="709"/>
        </w:tabs>
        <w:ind w:left="851" w:right="616"/>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la </w:t>
      </w:r>
      <w:r w:rsidRPr="00BA6AF3">
        <w:rPr>
          <w:rFonts w:ascii="Palatino Linotype" w:eastAsia="Palatino Linotype" w:hAnsi="Palatino Linotype" w:cs="Palatino Linotype"/>
          <w:b/>
          <w:i/>
          <w:sz w:val="22"/>
          <w:szCs w:val="22"/>
        </w:rPr>
        <w:lastRenderedPageBreak/>
        <w:t>materia favoreciendo en todo tiempo a las personas la protección más amplia.</w:t>
      </w:r>
    </w:p>
    <w:p w:rsidR="00C97499" w:rsidRPr="00BA6AF3" w:rsidRDefault="00BC0FE1">
      <w:pPr>
        <w:tabs>
          <w:tab w:val="left" w:pos="709"/>
        </w:tabs>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A6AF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C97499" w:rsidRPr="00BA6AF3" w:rsidRDefault="00BC0FE1">
      <w:pPr>
        <w:tabs>
          <w:tab w:val="left" w:pos="709"/>
        </w:tabs>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“Artículo 6o.</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A. Para el ejercicio del derecho de acceso a la información, la Federación y </w:t>
      </w:r>
      <w:r w:rsidRPr="00BA6AF3">
        <w:rPr>
          <w:rFonts w:ascii="Palatino Linotype" w:eastAsia="Palatino Linotype" w:hAnsi="Palatino Linotype" w:cs="Palatino Linotype"/>
          <w:b/>
          <w:i/>
          <w:sz w:val="22"/>
          <w:szCs w:val="22"/>
          <w:u w:val="single"/>
        </w:rPr>
        <w:t>las entidades federativas</w:t>
      </w:r>
      <w:r w:rsidRPr="00BA6AF3">
        <w:rPr>
          <w:rFonts w:ascii="Palatino Linotype" w:eastAsia="Palatino Linotype" w:hAnsi="Palatino Linotype" w:cs="Palatino Linotype"/>
          <w:b/>
          <w:i/>
          <w:sz w:val="22"/>
          <w:szCs w:val="22"/>
        </w:rPr>
        <w:t>,</w:t>
      </w:r>
      <w:r w:rsidRPr="00BA6AF3">
        <w:rPr>
          <w:rFonts w:ascii="Palatino Linotype" w:eastAsia="Palatino Linotype" w:hAnsi="Palatino Linotype" w:cs="Palatino Linotype"/>
          <w:i/>
          <w:sz w:val="22"/>
          <w:szCs w:val="22"/>
        </w:rPr>
        <w:t xml:space="preserve"> en el ámbito de sus respectivas competencias, se regirán por los siguientes principios y bases:</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I. </w:t>
      </w:r>
      <w:r w:rsidRPr="00BA6AF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A6AF3">
        <w:rPr>
          <w:rFonts w:ascii="Palatino Linotype" w:eastAsia="Palatino Linotype" w:hAnsi="Palatino Linotype" w:cs="Palatino Linotype"/>
          <w:i/>
          <w:sz w:val="22"/>
          <w:szCs w:val="22"/>
        </w:rPr>
        <w:t xml:space="preserve"> Ejecutivo, Legislativo </w:t>
      </w:r>
      <w:r w:rsidRPr="00BA6AF3">
        <w:rPr>
          <w:rFonts w:ascii="Palatino Linotype" w:eastAsia="Palatino Linotype" w:hAnsi="Palatino Linotype" w:cs="Palatino Linotype"/>
          <w:b/>
          <w:i/>
          <w:sz w:val="22"/>
          <w:szCs w:val="22"/>
          <w:u w:val="single"/>
        </w:rPr>
        <w:t>y Judicial</w:t>
      </w:r>
      <w:r w:rsidRPr="00BA6AF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A6AF3">
        <w:rPr>
          <w:rFonts w:ascii="Palatino Linotype" w:eastAsia="Palatino Linotype" w:hAnsi="Palatino Linotype" w:cs="Palatino Linotype"/>
          <w:b/>
          <w:i/>
          <w:sz w:val="22"/>
          <w:szCs w:val="22"/>
        </w:rPr>
        <w:t>es pública y sólo podrá ser reservada temporalmente por razones de interés público y seguridad nacional,</w:t>
      </w:r>
      <w:r w:rsidRPr="00BA6AF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w:t>
      </w:r>
    </w:p>
    <w:p w:rsidR="00C97499" w:rsidRPr="00BA6AF3" w:rsidRDefault="00BC0FE1">
      <w:pPr>
        <w:ind w:left="851" w:right="616"/>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III. </w:t>
      </w:r>
      <w:r w:rsidRPr="00BA6AF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A6AF3">
        <w:rPr>
          <w:rFonts w:ascii="Palatino Linotype" w:eastAsia="Palatino Linotype" w:hAnsi="Palatino Linotype" w:cs="Palatino Linotype"/>
          <w:i/>
          <w:sz w:val="22"/>
          <w:szCs w:val="22"/>
        </w:rPr>
        <w:t xml:space="preserve"> a sus datos personales o a la rectificación de éstos.</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IV. </w:t>
      </w:r>
      <w:r w:rsidRPr="00BA6AF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C97499" w:rsidRPr="00BA6AF3" w:rsidRDefault="00C97499">
      <w:pPr>
        <w:ind w:left="851" w:right="616"/>
        <w:jc w:val="both"/>
        <w:rPr>
          <w:rFonts w:ascii="Palatino Linotype" w:eastAsia="Palatino Linotype" w:hAnsi="Palatino Linotype" w:cs="Palatino Linotype"/>
          <w:i/>
          <w:sz w:val="22"/>
          <w:szCs w:val="22"/>
        </w:rPr>
      </w:pP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lastRenderedPageBreak/>
        <w:t xml:space="preserve">V. </w:t>
      </w:r>
      <w:r w:rsidRPr="00BA6AF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VI. </w:t>
      </w:r>
      <w:r w:rsidRPr="00BA6AF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VII. </w:t>
      </w:r>
      <w:r w:rsidRPr="00BA6AF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C97499" w:rsidRPr="00BA6AF3" w:rsidRDefault="00C97499">
      <w:pPr>
        <w:ind w:right="616"/>
        <w:jc w:val="both"/>
        <w:rPr>
          <w:rFonts w:ascii="Palatino Linotype" w:eastAsia="Palatino Linotype" w:hAnsi="Palatino Linotype" w:cs="Palatino Linotype"/>
          <w:i/>
          <w:sz w:val="22"/>
          <w:szCs w:val="22"/>
        </w:rPr>
      </w:pPr>
    </w:p>
    <w:p w:rsidR="00C97499" w:rsidRPr="00BA6AF3" w:rsidRDefault="00BC0FE1">
      <w:pPr>
        <w:tabs>
          <w:tab w:val="left" w:pos="709"/>
        </w:tabs>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C97499" w:rsidRPr="00BA6AF3" w:rsidRDefault="00BC0FE1">
      <w:pPr>
        <w:spacing w:before="12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color w:val="000000"/>
        </w:rPr>
        <w:t>En primer lugar</w:t>
      </w:r>
      <w:r w:rsidRPr="00BA6AF3">
        <w:rPr>
          <w:rFonts w:ascii="Palatino Linotype" w:eastAsia="Palatino Linotype" w:hAnsi="Palatino Linotype" w:cs="Palatino Linotype"/>
        </w:rPr>
        <w:t xml:space="preserve">, es conveniente analizar si la respuesta del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BA6AF3">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sidRPr="00BA6AF3">
        <w:rPr>
          <w:rFonts w:ascii="Palatino Linotype" w:eastAsia="Palatino Linotype" w:hAnsi="Palatino Linotype" w:cs="Palatino Linotype"/>
        </w:rPr>
        <w:t>transcribe</w:t>
      </w:r>
      <w:r w:rsidRPr="00BA6AF3">
        <w:rPr>
          <w:rFonts w:ascii="Palatino Linotype" w:eastAsia="Palatino Linotype" w:hAnsi="Palatino Linotype" w:cs="Palatino Linotype"/>
          <w:color w:val="000000"/>
        </w:rPr>
        <w:t xml:space="preserve"> para un mejor entendimiento:</w:t>
      </w:r>
    </w:p>
    <w:p w:rsidR="00C97499" w:rsidRPr="00BA6AF3" w:rsidRDefault="00BC0FE1">
      <w:pPr>
        <w:spacing w:before="240"/>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w:t>
      </w:r>
      <w:r w:rsidRPr="00BA6AF3">
        <w:rPr>
          <w:rFonts w:ascii="Palatino Linotype" w:eastAsia="Palatino Linotype" w:hAnsi="Palatino Linotype" w:cs="Palatino Linotype"/>
          <w:b/>
          <w:i/>
          <w:sz w:val="22"/>
          <w:szCs w:val="22"/>
        </w:rPr>
        <w:t>Artículo 4.</w:t>
      </w:r>
      <w:r w:rsidRPr="00BA6AF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A6AF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A6AF3">
        <w:rPr>
          <w:rFonts w:ascii="Palatino Linotype" w:eastAsia="Palatino Linotype" w:hAnsi="Palatino Linotype" w:cs="Palatino Linotype"/>
          <w:i/>
          <w:sz w:val="22"/>
          <w:szCs w:val="22"/>
        </w:rPr>
        <w:t>.”(Sic)</w:t>
      </w:r>
    </w:p>
    <w:p w:rsidR="00C97499" w:rsidRPr="00BA6AF3" w:rsidRDefault="00C97499">
      <w:pPr>
        <w:ind w:left="851" w:right="760"/>
        <w:jc w:val="both"/>
        <w:rPr>
          <w:rFonts w:ascii="Palatino Linotype" w:eastAsia="Palatino Linotype" w:hAnsi="Palatino Linotype" w:cs="Palatino Linotype"/>
          <w:i/>
        </w:rPr>
      </w:pP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r w:rsidRPr="00BA6AF3">
        <w:rPr>
          <w:rFonts w:ascii="Palatino Linotype" w:eastAsia="Palatino Linotype" w:hAnsi="Palatino Linotype" w:cs="Palatino Linotype"/>
          <w:b/>
          <w:i/>
          <w:sz w:val="22"/>
          <w:szCs w:val="22"/>
        </w:rPr>
        <w:t>Artículo 12.-</w:t>
      </w:r>
      <w:r w:rsidRPr="00BA6AF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C97499" w:rsidRPr="00BA6AF3" w:rsidRDefault="00C97499">
      <w:pPr>
        <w:spacing w:line="360" w:lineRule="auto"/>
        <w:ind w:right="-93"/>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rPr>
        <w:t xml:space="preserve">En esa tesitura, el artículo 24 en su último párrafo de la Ley de la Materia, dispone que los Sujetos Obligados </w:t>
      </w:r>
      <w:r w:rsidRPr="00BA6AF3">
        <w:rPr>
          <w:rFonts w:ascii="Palatino Linotype" w:eastAsia="Palatino Linotype" w:hAnsi="Palatino Linotype" w:cs="Palatino Linotype"/>
          <w:color w:val="000000"/>
        </w:rPr>
        <w:t xml:space="preserve">sólo proporcionarán la información pública que </w:t>
      </w:r>
      <w:r w:rsidRPr="00BA6AF3">
        <w:rPr>
          <w:rFonts w:ascii="Palatino Linotype" w:eastAsia="Palatino Linotype" w:hAnsi="Palatino Linotype" w:cs="Palatino Linotype"/>
        </w:rPr>
        <w:t>generen</w:t>
      </w:r>
      <w:r w:rsidRPr="00BA6AF3">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Por otra parte, conviene mencionar que la Ley de Transparencia vigente en el Estado de México refiere: </w:t>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Artículo 18.</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BA6AF3">
        <w:rPr>
          <w:rFonts w:ascii="Palatino Linotype" w:eastAsia="Palatino Linotype" w:hAnsi="Palatino Linotype" w:cs="Palatino Linotype"/>
          <w:i/>
          <w:sz w:val="22"/>
          <w:szCs w:val="22"/>
        </w:rPr>
        <w:t xml:space="preserve"> y reutilización de la información que generen.</w:t>
      </w:r>
    </w:p>
    <w:p w:rsidR="00C97499" w:rsidRPr="00BA6AF3" w:rsidRDefault="00C97499">
      <w:pPr>
        <w:ind w:left="851" w:right="616"/>
        <w:jc w:val="both"/>
        <w:rPr>
          <w:rFonts w:ascii="Palatino Linotype" w:eastAsia="Palatino Linotype" w:hAnsi="Palatino Linotype" w:cs="Palatino Linotype"/>
          <w:b/>
          <w:i/>
          <w:sz w:val="22"/>
          <w:szCs w:val="22"/>
        </w:rPr>
      </w:pP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Artículo 19. </w:t>
      </w:r>
      <w:r w:rsidRPr="00BA6AF3">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BA6AF3">
        <w:rPr>
          <w:rFonts w:ascii="Palatino Linotype" w:eastAsia="Palatino Linotype" w:hAnsi="Palatino Linotype" w:cs="Palatino Linotype"/>
          <w:i/>
          <w:sz w:val="22"/>
          <w:szCs w:val="22"/>
        </w:rPr>
        <w:t>.</w:t>
      </w:r>
    </w:p>
    <w:p w:rsidR="00C97499" w:rsidRPr="00BA6AF3" w:rsidRDefault="00C97499">
      <w:pPr>
        <w:ind w:left="851" w:right="616"/>
        <w:jc w:val="both"/>
        <w:rPr>
          <w:rFonts w:ascii="Palatino Linotype" w:eastAsia="Palatino Linotype" w:hAnsi="Palatino Linotype" w:cs="Palatino Linotype"/>
          <w:i/>
          <w:sz w:val="22"/>
          <w:szCs w:val="22"/>
        </w:rPr>
      </w:pP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 xml:space="preserve">En los casos en que ciertas facultades, competencias o funciones no se hayan ejercido, se debe motivar la respuesta en función de las causas que motiven tal circunstancia. </w:t>
      </w:r>
    </w:p>
    <w:p w:rsidR="00C97499" w:rsidRPr="00BA6AF3" w:rsidRDefault="00C97499">
      <w:pPr>
        <w:ind w:left="851" w:right="616"/>
        <w:jc w:val="both"/>
        <w:rPr>
          <w:rFonts w:ascii="Palatino Linotype" w:eastAsia="Palatino Linotype" w:hAnsi="Palatino Linotype" w:cs="Palatino Linotype"/>
          <w:i/>
          <w:sz w:val="22"/>
          <w:szCs w:val="22"/>
        </w:rPr>
      </w:pP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97499" w:rsidRPr="00BA6AF3" w:rsidRDefault="00C97499">
      <w:pPr>
        <w:ind w:left="851" w:right="851"/>
        <w:jc w:val="both"/>
        <w:rPr>
          <w:rFonts w:ascii="Palatino Linotype" w:eastAsia="Palatino Linotype" w:hAnsi="Palatino Linotype" w:cs="Palatino Linotype"/>
          <w:i/>
          <w:sz w:val="22"/>
          <w:szCs w:val="22"/>
        </w:rPr>
      </w:pPr>
    </w:p>
    <w:p w:rsidR="00C97499" w:rsidRPr="00BA6AF3" w:rsidRDefault="00BC0FE1">
      <w:pPr>
        <w:ind w:left="851" w:right="851"/>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Énfasis añadido.</w:t>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BA6AF3">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rsidR="00C97499" w:rsidRPr="00BA6AF3" w:rsidRDefault="00C97499">
      <w:pPr>
        <w:ind w:left="851" w:right="899"/>
        <w:jc w:val="both"/>
        <w:rPr>
          <w:rFonts w:ascii="Palatino Linotype" w:eastAsia="Palatino Linotype" w:hAnsi="Palatino Linotype" w:cs="Palatino Linotype"/>
          <w:i/>
          <w:sz w:val="22"/>
          <w:szCs w:val="22"/>
        </w:rPr>
      </w:pPr>
    </w:p>
    <w:p w:rsidR="00C97499" w:rsidRPr="00BA6AF3" w:rsidRDefault="00BC0FE1">
      <w:pPr>
        <w:ind w:left="851" w:right="899"/>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r w:rsidRPr="00BA6AF3">
        <w:rPr>
          <w:rFonts w:ascii="Palatino Linotype" w:eastAsia="Palatino Linotype" w:hAnsi="Palatino Linotype" w:cs="Palatino Linotype"/>
          <w:b/>
          <w:i/>
          <w:sz w:val="22"/>
          <w:szCs w:val="22"/>
        </w:rPr>
        <w:t xml:space="preserve">Artículo 3. </w:t>
      </w:r>
      <w:r w:rsidRPr="00BA6AF3">
        <w:rPr>
          <w:rFonts w:ascii="Palatino Linotype" w:eastAsia="Palatino Linotype" w:hAnsi="Palatino Linotype" w:cs="Palatino Linotype"/>
          <w:i/>
          <w:sz w:val="22"/>
          <w:szCs w:val="22"/>
        </w:rPr>
        <w:t>Para los efectos de la presente Ley se entenderá por:</w:t>
      </w:r>
    </w:p>
    <w:p w:rsidR="00C97499" w:rsidRPr="00BA6AF3" w:rsidRDefault="00BC0FE1">
      <w:pPr>
        <w:ind w:left="851" w:right="899"/>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BC0FE1">
      <w:pPr>
        <w:ind w:left="851" w:right="616"/>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XI. Documento:</w:t>
      </w:r>
      <w:r w:rsidRPr="00BA6AF3">
        <w:rPr>
          <w:rFonts w:ascii="Palatino Linotype" w:eastAsia="Palatino Linotype" w:hAnsi="Palatino Linotype" w:cs="Palatino Linotype"/>
          <w:i/>
          <w:color w:val="000000"/>
          <w:sz w:val="22"/>
          <w:szCs w:val="22"/>
        </w:rPr>
        <w:t xml:space="preserve"> Los expedientes, reportes, estudios, actas</w:t>
      </w:r>
      <w:r w:rsidRPr="00BA6AF3">
        <w:rPr>
          <w:rFonts w:ascii="Palatino Linotype" w:eastAsia="Palatino Linotype" w:hAnsi="Palatino Linotype" w:cs="Palatino Linotype"/>
          <w:b/>
          <w:i/>
          <w:color w:val="000000"/>
          <w:sz w:val="22"/>
          <w:szCs w:val="22"/>
        </w:rPr>
        <w:t>,</w:t>
      </w:r>
      <w:r w:rsidRPr="00BA6AF3">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sidRPr="00BA6AF3">
        <w:rPr>
          <w:rFonts w:ascii="Palatino Linotype" w:eastAsia="Palatino Linotype" w:hAnsi="Palatino Linotype" w:cs="Palatino Linotype"/>
          <w:b/>
          <w:i/>
          <w:color w:val="000000"/>
          <w:sz w:val="22"/>
          <w:szCs w:val="22"/>
          <w:u w:val="single"/>
        </w:rPr>
        <w:t>registro que documente el ejercicio de las facultades, funciones y competencias de los sujetos obligados</w:t>
      </w:r>
      <w:r w:rsidRPr="00BA6AF3">
        <w:rPr>
          <w:rFonts w:ascii="Palatino Linotype" w:eastAsia="Palatino Linotype" w:hAnsi="Palatino Linotype" w:cs="Palatino Linotype"/>
          <w:i/>
          <w:color w:val="000000"/>
          <w:sz w:val="22"/>
          <w:szCs w:val="22"/>
        </w:rPr>
        <w:t xml:space="preserve">, sus servidores públicos e integrantes, sin importar su fuente o fecha de elaboración. Los documentos podrán estar en cualquier medio, sea escrito, impreso, sonoro, visual, </w:t>
      </w:r>
      <w:r w:rsidRPr="00BA6AF3">
        <w:rPr>
          <w:rFonts w:ascii="Palatino Linotype" w:eastAsia="Palatino Linotype" w:hAnsi="Palatino Linotype" w:cs="Palatino Linotype"/>
          <w:b/>
          <w:i/>
          <w:color w:val="000000"/>
          <w:sz w:val="22"/>
          <w:szCs w:val="22"/>
          <w:u w:val="single"/>
        </w:rPr>
        <w:t>electrónico, informático</w:t>
      </w:r>
      <w:r w:rsidRPr="00BA6AF3">
        <w:rPr>
          <w:rFonts w:ascii="Palatino Linotype" w:eastAsia="Palatino Linotype" w:hAnsi="Palatino Linotype" w:cs="Palatino Linotype"/>
          <w:i/>
          <w:color w:val="000000"/>
          <w:sz w:val="22"/>
          <w:szCs w:val="22"/>
        </w:rPr>
        <w:t xml:space="preserve"> u holográfico…” (Sic)</w:t>
      </w:r>
    </w:p>
    <w:p w:rsidR="00C97499" w:rsidRPr="00BA6AF3" w:rsidRDefault="00C97499">
      <w:pPr>
        <w:ind w:left="851" w:right="899"/>
        <w:jc w:val="both"/>
        <w:rPr>
          <w:rFonts w:ascii="Palatino Linotype" w:eastAsia="Palatino Linotype" w:hAnsi="Palatino Linotype" w:cs="Palatino Linotype"/>
          <w:sz w:val="22"/>
          <w:szCs w:val="22"/>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C97499" w:rsidRPr="00BA6AF3" w:rsidRDefault="00C97499">
      <w:pPr>
        <w:ind w:left="851" w:right="899"/>
        <w:jc w:val="both"/>
        <w:rPr>
          <w:rFonts w:ascii="Palatino Linotype" w:eastAsia="Palatino Linotype" w:hAnsi="Palatino Linotype" w:cs="Palatino Linotype"/>
        </w:rPr>
      </w:pPr>
    </w:p>
    <w:p w:rsidR="00C97499" w:rsidRPr="00BA6AF3" w:rsidRDefault="00BC0FE1">
      <w:pPr>
        <w:ind w:left="851" w:right="616"/>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sz w:val="22"/>
          <w:szCs w:val="22"/>
        </w:rPr>
        <w:t>“</w:t>
      </w:r>
      <w:r w:rsidRPr="00BA6AF3">
        <w:rPr>
          <w:rFonts w:ascii="Palatino Linotype" w:eastAsia="Palatino Linotype" w:hAnsi="Palatino Linotype" w:cs="Palatino Linotype"/>
          <w:b/>
          <w:i/>
          <w:sz w:val="22"/>
          <w:szCs w:val="22"/>
        </w:rPr>
        <w:t>CRITERIO 0002-11</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BA6AF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En consecuencia el acceso a la información se refiere a que se cumplan cualquiera de los siguientes tres supuestos:</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rsidR="00C97499" w:rsidRPr="00BA6AF3" w:rsidRDefault="00BC0FE1">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De ahí que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A6AF3">
        <w:rPr>
          <w:rFonts w:ascii="Palatino Linotype" w:eastAsia="Palatino Linotype" w:hAnsi="Palatino Linotype" w:cs="Palatino Linotype"/>
          <w:vertAlign w:val="superscript"/>
        </w:rPr>
        <w:footnoteReference w:id="1"/>
      </w:r>
      <w:r w:rsidRPr="00BA6AF3">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A6AF3">
        <w:rPr>
          <w:rFonts w:ascii="Palatino Linotype" w:eastAsia="Palatino Linotype" w:hAnsi="Palatino Linotype" w:cs="Palatino Linotype"/>
          <w:vertAlign w:val="superscript"/>
        </w:rPr>
        <w:footnoteReference w:id="2"/>
      </w:r>
      <w:r w:rsidRPr="00BA6AF3">
        <w:rPr>
          <w:rFonts w:ascii="Palatino Linotype" w:eastAsia="Palatino Linotype" w:hAnsi="Palatino Linotype" w:cs="Palatino Linotype"/>
        </w:rPr>
        <w:t>, como pudiera tratarse de aquella relacionada con las obligaciones de transparencia señaladas en los artículos 92 y 100 de la Ley de la Materia.</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Bajo ese contexto, es conveniente reiterar que el entonces solicitante requirió al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la siguiente información: </w:t>
      </w:r>
    </w:p>
    <w:p w:rsidR="00C97499" w:rsidRPr="00BA6AF3" w:rsidRDefault="00C97499">
      <w:pPr>
        <w:spacing w:before="280" w:after="280" w:line="360" w:lineRule="auto"/>
        <w:jc w:val="both"/>
        <w:rPr>
          <w:rFonts w:ascii="Palatino Linotype" w:eastAsia="Palatino Linotype" w:hAnsi="Palatino Linotype" w:cs="Palatino Linotype"/>
        </w:rPr>
      </w:pP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 xml:space="preserve">Del periodo 2018 a 2022: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1. Bitácoras de servicios que realizan las unidades vehiculares de servicios públicos, tesorería, protección civil, seguridad pública y cualquier área que haga uso de ellos;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2. Licencias de conducir de los operadores y choferes;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3. Litros de combustible para cada vehículo dado de alta en el parque vehicular del área de servicios públicos;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4. Horario de trabajo de operadores y choferes;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A la fecha de la solicitud:</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5. Nombre y profesión de servidores públicos que sean directivos;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6. Unidades que están descompuestas;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7. Litros que no son consumidos por las unidades que están fuera de servicio. </w:t>
      </w: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su respuesta, 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remitió la respuesta de la Directora de Administración y de la Tesorería Municipal quienes consideraron viable el cambio de modalidad de entrega de la información, señalando para tal efecto los días 29 y 30 de septiembre y 6 y 7 de octubre del año dos mil veintidós, en las oficinas que ocupa la Dirección. </w:t>
      </w:r>
    </w:p>
    <w:p w:rsidR="00C97499" w:rsidRPr="00BA6AF3" w:rsidRDefault="00BC0FE1">
      <w:pPr>
        <w:spacing w:before="280" w:after="28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rPr>
        <w:t xml:space="preserve">En su respuesta, 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remitió las manifestaciones de la Dirección de Servicios Públicos, Coordinación Municipal de Gestión Integral de Riesgos, </w:t>
      </w:r>
      <w:r w:rsidRPr="00BA6AF3">
        <w:rPr>
          <w:rFonts w:ascii="Palatino Linotype" w:eastAsia="Palatino Linotype" w:hAnsi="Palatino Linotype" w:cs="Palatino Linotype"/>
        </w:rPr>
        <w:lastRenderedPageBreak/>
        <w:t xml:space="preserve">Protección Civil y Bomberos, Dirección de Seguridad Ciudadana, Tránsito y Movilidad y de la Dirección de Administración quienes se pronunciaron sobre los distintos requerimientos formulados en la solicitud de información; de los cuales se procede a su análisis de manera particular; para  determinar si 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atendió cada uno de los planteamientos formulados por la parte </w:t>
      </w:r>
      <w:r w:rsidRPr="00BA6AF3">
        <w:rPr>
          <w:rFonts w:ascii="Palatino Linotype" w:eastAsia="Palatino Linotype" w:hAnsi="Palatino Linotype" w:cs="Palatino Linotype"/>
          <w:b/>
        </w:rPr>
        <w:t xml:space="preserve">Recurrente.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este contexto y tomando en consideración que la parte </w:t>
      </w:r>
      <w:r w:rsidRPr="00BA6AF3">
        <w:rPr>
          <w:rFonts w:ascii="Palatino Linotype" w:eastAsia="Palatino Linotype" w:hAnsi="Palatino Linotype" w:cs="Palatino Linotype"/>
          <w:b/>
        </w:rPr>
        <w:t xml:space="preserve">Recurrente </w:t>
      </w:r>
      <w:r w:rsidRPr="00BA6AF3">
        <w:rPr>
          <w:rFonts w:ascii="Palatino Linotype" w:eastAsia="Palatino Linotype" w:hAnsi="Palatino Linotype" w:cs="Palatino Linotype"/>
        </w:rPr>
        <w:t xml:space="preserve">se inconformó por la entrega de información incompleta, lo procedente es analizar cada  uno de los punto solicitados; así como, la respuesta de las distintas áreas administrativas a cada uno de los requerimientos formulados en la solicitud de información, a fin de determinar si los mismos fueron atendidos por 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o si por el contrario, resulta procedente ordenar la entrega de la documentación que colme lo solicitado. </w:t>
      </w:r>
    </w:p>
    <w:p w:rsidR="00C97499" w:rsidRPr="00BA6AF3" w:rsidRDefault="00BC0FE1">
      <w:pPr>
        <w:numPr>
          <w:ilvl w:val="0"/>
          <w:numId w:val="5"/>
        </w:num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sidRPr="00BA6AF3">
        <w:rPr>
          <w:rFonts w:ascii="Palatino Linotype" w:eastAsia="Palatino Linotype" w:hAnsi="Palatino Linotype" w:cs="Palatino Linotype"/>
          <w:b/>
          <w:color w:val="000000"/>
        </w:rPr>
        <w:t xml:space="preserve">Del cambio de modalidad de entrega de la información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 como se ilustra a continuación:</w:t>
      </w:r>
    </w:p>
    <w:p w:rsidR="00C97499" w:rsidRPr="00BA6AF3" w:rsidRDefault="00BC0FE1">
      <w:pPr>
        <w:spacing w:line="360" w:lineRule="auto"/>
        <w:ind w:right="62"/>
        <w:jc w:val="both"/>
        <w:rPr>
          <w:rFonts w:ascii="Palatino Linotype" w:eastAsia="Palatino Linotype" w:hAnsi="Palatino Linotype" w:cs="Palatino Linotype"/>
        </w:rPr>
      </w:pPr>
      <w:r w:rsidRPr="00BA6AF3">
        <w:rPr>
          <w:rFonts w:ascii="Palatino Linotype" w:eastAsia="Palatino Linotype" w:hAnsi="Palatino Linotype" w:cs="Palatino Linotype"/>
          <w:noProof/>
        </w:rPr>
        <w:lastRenderedPageBreak/>
        <w:drawing>
          <wp:inline distT="0" distB="0" distL="0" distR="0">
            <wp:extent cx="5612130" cy="2160270"/>
            <wp:effectExtent l="0" t="0" r="0" b="0"/>
            <wp:docPr id="20675916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2160270"/>
                    </a:xfrm>
                    <a:prstGeom prst="rect">
                      <a:avLst/>
                    </a:prstGeom>
                    <a:ln/>
                  </pic:spPr>
                </pic:pic>
              </a:graphicData>
            </a:graphic>
          </wp:inline>
        </w:drawing>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Por lo que, </w:t>
      </w:r>
      <w:r w:rsidRPr="00BA6AF3">
        <w:rPr>
          <w:rFonts w:ascii="Palatino Linotype" w:eastAsia="Palatino Linotype" w:hAnsi="Palatino Linotype" w:cs="Palatino Linotype"/>
          <w:b/>
          <w:u w:val="single"/>
        </w:rPr>
        <w:t>respecto al cambio de modalidad</w:t>
      </w:r>
      <w:r w:rsidRPr="00BA6AF3">
        <w:rPr>
          <w:rFonts w:ascii="Palatino Linotype" w:eastAsia="Palatino Linotype" w:hAnsi="Palatino Linotype" w:cs="Palatino Linotype"/>
          <w:b/>
        </w:rPr>
        <w:t xml:space="preserve"> </w:t>
      </w:r>
      <w:r w:rsidRPr="00BA6AF3">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w:t>
      </w:r>
      <w:r w:rsidRPr="00BA6AF3">
        <w:rPr>
          <w:rFonts w:ascii="Palatino Linotype" w:eastAsia="Palatino Linotype" w:hAnsi="Palatino Linotype" w:cs="Palatino Linotype"/>
          <w:b/>
        </w:rPr>
        <w:t>la modalidad en la que prefiere se otorgue el acceso a la información</w:t>
      </w:r>
      <w:r w:rsidRPr="00BA6AF3">
        <w:rPr>
          <w:rFonts w:ascii="Palatino Linotype" w:eastAsia="Palatino Linotype" w:hAnsi="Palatino Linotype" w:cs="Palatino Linotype"/>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BA6AF3">
        <w:rPr>
          <w:rFonts w:ascii="Palatino Linotype" w:eastAsia="Palatino Linotype" w:hAnsi="Palatino Linotype" w:cs="Palatino Linotype"/>
        </w:rPr>
        <w:t>CD-Rom</w:t>
      </w:r>
      <w:proofErr w:type="spellEnd"/>
      <w:r w:rsidRPr="00BA6AF3">
        <w:rPr>
          <w:rFonts w:ascii="Palatino Linotype" w:eastAsia="Palatino Linotype" w:hAnsi="Palatino Linotype" w:cs="Palatino Linotype"/>
        </w:rPr>
        <w:t xml:space="preserve"> (con costo), copias simples (con costo), copias certificadas (con costo), consulta directa (sin costo), o bien, cualquier otro que determine la persona solicitante.</w:t>
      </w:r>
    </w:p>
    <w:p w:rsidR="00C97499" w:rsidRPr="00BA6AF3" w:rsidRDefault="00BC0FE1">
      <w:pPr>
        <w:spacing w:before="240" w:after="24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rPr>
        <w:t xml:space="preserve">Por su parte, el artículo 158 dispone que, de manera excepcional, cuando de manera fundada y motivada lo determine el Sujeto Obligado, </w:t>
      </w:r>
      <w:r w:rsidRPr="00BA6AF3">
        <w:rPr>
          <w:rFonts w:ascii="Palatino Linotype" w:eastAsia="Palatino Linotype" w:hAnsi="Palatino Linotype" w:cs="Palatino Linotype"/>
          <w:b/>
        </w:rPr>
        <w:t xml:space="preserve">en los casos en que la entrega de la información que se encuentre a su disposición sobrepase las capacidades técnicas, administrativas y humanas del Sujeto Obligado para cumplir con la </w:t>
      </w:r>
      <w:r w:rsidRPr="00BA6AF3">
        <w:rPr>
          <w:rFonts w:ascii="Palatino Linotype" w:eastAsia="Palatino Linotype" w:hAnsi="Palatino Linotype" w:cs="Palatino Linotype"/>
          <w:b/>
        </w:rPr>
        <w:lastRenderedPageBreak/>
        <w:t>solicitud, se podrá poner a disposición del solicitante la información en consulta directa.</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De modo que el acceso a la información debe darse en la modalidad de entrega elegida por la parte solicitante,  y sólo para los casos en que se encuentren impedidos los sujetos obligados podrán ofrecer otra u otras modalidades debiendo fundar y motivar adecuadamente el cambio de modalidad en la entrega de la información</w:t>
      </w:r>
      <w:r w:rsidRPr="00BA6AF3">
        <w:rPr>
          <w:rFonts w:ascii="Palatino Linotype" w:eastAsia="Palatino Linotype" w:hAnsi="Palatino Linotype" w:cs="Palatino Linotype"/>
          <w:vertAlign w:val="superscript"/>
        </w:rPr>
        <w:t xml:space="preserve"> </w:t>
      </w:r>
      <w:r w:rsidRPr="00BA6AF3">
        <w:rPr>
          <w:rFonts w:ascii="Palatino Linotype" w:eastAsia="Palatino Linotype" w:hAnsi="Palatino Linotype" w:cs="Palatino Linotype"/>
          <w:vertAlign w:val="superscript"/>
        </w:rPr>
        <w:footnoteReference w:id="3"/>
      </w:r>
      <w:r w:rsidRPr="00BA6AF3">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C97499" w:rsidRPr="00BA6AF3" w:rsidRDefault="00BC0FE1">
      <w:pPr>
        <w:spacing w:before="120" w:after="120"/>
        <w:ind w:left="851" w:right="99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“FUNDAMENTACIÓN Y MOTIVACIÓN DE LOS ACTOS ADMINISTRATIVOS</w:t>
      </w:r>
      <w:r w:rsidRPr="00BA6AF3">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w:t>
      </w:r>
      <w:r w:rsidRPr="00BA6AF3">
        <w:rPr>
          <w:rFonts w:ascii="Palatino Linotype" w:eastAsia="Palatino Linotype" w:hAnsi="Palatino Linotype" w:cs="Palatino Linotype"/>
          <w:i/>
          <w:sz w:val="22"/>
          <w:szCs w:val="22"/>
        </w:rPr>
        <w:lastRenderedPageBreak/>
        <w:t xml:space="preserve">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BA6AF3">
        <w:rPr>
          <w:rFonts w:ascii="Palatino Linotype" w:eastAsia="Palatino Linotype" w:hAnsi="Palatino Linotype" w:cs="Palatino Linotype"/>
          <w:i/>
          <w:sz w:val="22"/>
          <w:szCs w:val="22"/>
        </w:rPr>
        <w:t>subincisos</w:t>
      </w:r>
      <w:proofErr w:type="spellEnd"/>
      <w:r w:rsidRPr="00BA6AF3">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rsidR="00C97499" w:rsidRPr="00BA6AF3" w:rsidRDefault="00BC0FE1">
      <w:pPr>
        <w:spacing w:before="120" w:after="12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rsidR="00C97499" w:rsidRPr="00BA6AF3" w:rsidRDefault="00BC0FE1">
      <w:pPr>
        <w:spacing w:before="120" w:after="120"/>
        <w:ind w:left="851" w:right="851"/>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rPr>
        <w:t>“</w:t>
      </w:r>
      <w:r w:rsidRPr="00BA6AF3">
        <w:rPr>
          <w:rFonts w:ascii="Palatino Linotype" w:eastAsia="Palatino Linotype" w:hAnsi="Palatino Linotype" w:cs="Palatino Linotype"/>
          <w:b/>
          <w:i/>
          <w:sz w:val="22"/>
          <w:szCs w:val="22"/>
        </w:rPr>
        <w:t>Artículo 160.</w:t>
      </w:r>
      <w:r w:rsidRPr="00BA6AF3">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97499" w:rsidRPr="00BA6AF3" w:rsidRDefault="00BC0FE1">
      <w:pPr>
        <w:spacing w:before="120" w:after="120"/>
        <w:ind w:left="851" w:right="851"/>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Artículo 164.</w:t>
      </w:r>
      <w:r w:rsidRPr="00BA6AF3">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BA6AF3">
        <w:rPr>
          <w:rFonts w:ascii="Palatino Linotype" w:eastAsia="Palatino Linotype" w:hAnsi="Palatino Linotype" w:cs="Palatino Linotype"/>
          <w:i/>
          <w:sz w:val="22"/>
          <w:szCs w:val="22"/>
          <w:u w:val="single"/>
        </w:rPr>
        <w:t>el sujeto obligado deberá ofrecer otra u otras modalidades de entrega.</w:t>
      </w:r>
      <w:r w:rsidRPr="00BA6AF3">
        <w:rPr>
          <w:rFonts w:ascii="Palatino Linotype" w:eastAsia="Palatino Linotype" w:hAnsi="Palatino Linotype" w:cs="Palatino Linotype"/>
          <w:i/>
          <w:sz w:val="22"/>
          <w:szCs w:val="22"/>
        </w:rPr>
        <w:t xml:space="preserve"> En cualquier caso, se deberá fundar y motivar la necesidad de ofrecer otras modalidades.”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Por lo cual, los Sujetos Obligados podrán poner a disposición, los documentos solicitados, en todo caso, por cualquier medio disponible en sus instalaciones, cuando de forma fundada y motivada se determine que implica un análisis, estudio </w:t>
      </w:r>
      <w:r w:rsidRPr="00BA6AF3">
        <w:rPr>
          <w:rFonts w:ascii="Palatino Linotype" w:eastAsia="Palatino Linotype" w:hAnsi="Palatino Linotype" w:cs="Palatino Linotype"/>
        </w:rPr>
        <w:lastRenderedPageBreak/>
        <w:t>o procesamiento, cuya entrega o reproducción sobrepase las capacidades técnicas administrativas y humanas.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BA6AF3">
        <w:rPr>
          <w:rFonts w:ascii="Palatino Linotype" w:eastAsia="Palatino Linotype" w:hAnsi="Palatino Linotype" w:cs="Palatino Linotype"/>
          <w:b/>
        </w:rPr>
        <w:t>en la medida de lo posible, en la forma solicitada por el interesado, salvo que exista un impedimento justificado para atenderla</w:t>
      </w:r>
      <w:r w:rsidRPr="00BA6AF3">
        <w:rPr>
          <w:rFonts w:ascii="Palatino Linotype" w:eastAsia="Palatino Linotype" w:hAnsi="Palatino Linotype" w:cs="Palatino Linotype"/>
        </w:rPr>
        <w:t xml:space="preserve">, en cuyo caso, deberán exponerse las razones por las cuales no es posible utilizar el medio de reproducción solicitado; en este sentido, la entrega de la información en una modalidad distinta a la elegida por la particular </w:t>
      </w:r>
      <w:r w:rsidRPr="00BA6AF3">
        <w:rPr>
          <w:rFonts w:ascii="Palatino Linotype" w:eastAsia="Palatino Linotype" w:hAnsi="Palatino Linotype" w:cs="Palatino Linotype"/>
          <w:b/>
        </w:rPr>
        <w:t>sólo procede, en caso de que se acredite la imposibilidad de atenderla.</w:t>
      </w:r>
      <w:r w:rsidRPr="00BA6AF3">
        <w:rPr>
          <w:rFonts w:ascii="Palatino Linotype" w:eastAsia="Palatino Linotype" w:hAnsi="Palatino Linotype" w:cs="Palatino Linotype"/>
        </w:rPr>
        <w:t xml:space="preserve">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Así, cuando se justifique el impedimento, </w:t>
      </w:r>
      <w:r w:rsidRPr="00BA6AF3">
        <w:rPr>
          <w:rFonts w:ascii="Palatino Linotype" w:eastAsia="Palatino Linotype" w:hAnsi="Palatino Linotype" w:cs="Palatino Linotype"/>
          <w:b/>
        </w:rPr>
        <w:t>los Sujetos Obligados deberán ofrecer al particular otras modalidades de entrega que permita la información</w:t>
      </w:r>
      <w:r w:rsidRPr="00BA6AF3">
        <w:rPr>
          <w:rFonts w:ascii="Palatino Linotype" w:eastAsia="Palatino Linotype" w:hAnsi="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rsidR="00C97499" w:rsidRPr="00BA6AF3" w:rsidRDefault="00BC0FE1">
      <w:pPr>
        <w:spacing w:before="120" w:after="120"/>
        <w:ind w:left="851" w:right="851"/>
        <w:jc w:val="both"/>
        <w:rPr>
          <w:rFonts w:ascii="Palatino Linotype" w:eastAsia="Palatino Linotype" w:hAnsi="Palatino Linotype" w:cs="Palatino Linotype"/>
          <w:b/>
          <w:i/>
          <w:sz w:val="22"/>
          <w:szCs w:val="22"/>
          <w:u w:val="single"/>
        </w:rPr>
      </w:pPr>
      <w:r w:rsidRPr="00BA6AF3">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BA6AF3">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w:t>
      </w:r>
      <w:r w:rsidRPr="00BA6AF3">
        <w:rPr>
          <w:rFonts w:ascii="Palatino Linotype" w:eastAsia="Palatino Linotype" w:hAnsi="Palatino Linotype" w:cs="Palatino Linotype"/>
          <w:i/>
          <w:sz w:val="22"/>
          <w:szCs w:val="22"/>
        </w:rPr>
        <w:lastRenderedPageBreak/>
        <w:t xml:space="preserve">particular la disposición de la información </w:t>
      </w:r>
      <w:r w:rsidRPr="00BA6AF3">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BA6AF3">
        <w:rPr>
          <w:rFonts w:ascii="Palatino Linotype" w:eastAsia="Palatino Linotype" w:hAnsi="Palatino Linotype" w:cs="Palatino Linotype"/>
          <w:b/>
          <w:i/>
          <w:sz w:val="22"/>
          <w:szCs w:val="22"/>
        </w:rPr>
        <w:t>.”</w:t>
      </w:r>
    </w:p>
    <w:p w:rsidR="00C97499" w:rsidRPr="00BA6AF3" w:rsidRDefault="00BC0FE1">
      <w:pPr>
        <w:spacing w:before="240" w:after="24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rPr>
        <w:t>Del citado criterio, se desprende que cuando</w:t>
      </w:r>
      <w:r w:rsidRPr="00BA6AF3">
        <w:rPr>
          <w:rFonts w:ascii="Palatino Linotype" w:eastAsia="Palatino Linotype" w:hAnsi="Palatino Linotype" w:cs="Palatino Linotype"/>
          <w:b/>
        </w:rPr>
        <w:t xml:space="preserve"> la información no pueda entregarse o enviarse en la modalidad elegida, </w:t>
      </w:r>
      <w:r w:rsidRPr="00BA6AF3">
        <w:rPr>
          <w:rFonts w:ascii="Palatino Linotype" w:eastAsia="Palatino Linotype" w:hAnsi="Palatino Linotype" w:cs="Palatino Linotype"/>
        </w:rPr>
        <w:t xml:space="preserve">para que la obligación de acceso a la información se tenga por cumplida, </w:t>
      </w:r>
      <w:r w:rsidRPr="00BA6AF3">
        <w:rPr>
          <w:rFonts w:ascii="Palatino Linotype" w:eastAsia="Palatino Linotype" w:hAnsi="Palatino Linotype" w:cs="Palatino Linotype"/>
          <w:b/>
        </w:rPr>
        <w:t>el Sujeto Obligado deberá ofrecer otra u otras modalidades de entrega.</w:t>
      </w:r>
      <w:r w:rsidRPr="00BA6AF3">
        <w:rPr>
          <w:rFonts w:ascii="Palatino Linotype" w:eastAsia="Palatino Linotype" w:hAnsi="Palatino Linotype" w:cs="Palatino Linotype"/>
        </w:rPr>
        <w:t xml:space="preserve"> En cualquier caso, </w:t>
      </w:r>
      <w:r w:rsidRPr="00BA6AF3">
        <w:rPr>
          <w:rFonts w:ascii="Palatino Linotype" w:eastAsia="Palatino Linotype" w:hAnsi="Palatino Linotype" w:cs="Palatino Linotype"/>
          <w:b/>
        </w:rPr>
        <w:t>se deberá fundar y motivar la necesidad de ofrecer otras modalidades</w:t>
      </w:r>
      <w:r w:rsidRPr="00BA6AF3">
        <w:rPr>
          <w:rFonts w:ascii="Palatino Linotype" w:eastAsia="Palatino Linotype" w:hAnsi="Palatino Linotype" w:cs="Palatino Linotype"/>
        </w:rPr>
        <w:t xml:space="preserve"> que lo permitan, </w:t>
      </w:r>
      <w:r w:rsidRPr="00BA6AF3">
        <w:rPr>
          <w:rFonts w:ascii="Palatino Linotype" w:eastAsia="Palatino Linotype" w:hAnsi="Palatino Linotype" w:cs="Palatino Linotype"/>
          <w:b/>
        </w:rPr>
        <w:t>procurando reducir los costos de entrega.</w:t>
      </w:r>
    </w:p>
    <w:p w:rsidR="00C97499" w:rsidRPr="00BA6AF3" w:rsidRDefault="00BC0FE1">
      <w:pPr>
        <w:spacing w:before="240" w:after="240"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Así las cosas, es menester recordar que 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 xml:space="preserve">pretendió justificar el cambio de modalidad bajo el argumento de que, si bien es cierto la cantidad de información  a procesar para la presente solicitud pudiera no sobrepasar, los límites de  lo posible para su cumplimentación, también lo es que en conjunto con las múltiples solicitudes recibidas en la misma fecha, aunado a las actividades propias del área dificultan los trabajos necesarios para su debida atención, pues implica un importante consumo de recursos materiales y/o humanos, lo que impide atender la solicitud en el tiempo establecido por la Ley de Transparencia Local.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Cabe mencionar que este Instituto consultó a la Dirección General de Informática sobre las incidencias presentadas por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para atender la solicitud de información que motivó el respecto de la solicitud que dio origen al recurso de revisión que se resuelve, así como el peso de la información, obteniendo como respuesta lo siguiente: </w:t>
      </w: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noProof/>
        </w:rPr>
        <w:lastRenderedPageBreak/>
        <w:drawing>
          <wp:inline distT="0" distB="0" distL="0" distR="0">
            <wp:extent cx="5612130" cy="2328545"/>
            <wp:effectExtent l="0" t="0" r="0" b="0"/>
            <wp:docPr id="20675916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12130" cy="2328545"/>
                    </a:xfrm>
                    <a:prstGeom prst="rect">
                      <a:avLst/>
                    </a:prstGeom>
                    <a:ln/>
                  </pic:spPr>
                </pic:pic>
              </a:graphicData>
            </a:graphic>
          </wp:inline>
        </w:drawing>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noProof/>
        </w:rPr>
        <w:drawing>
          <wp:inline distT="0" distB="0" distL="0" distR="0">
            <wp:extent cx="5612130" cy="1950085"/>
            <wp:effectExtent l="0" t="0" r="0" b="0"/>
            <wp:docPr id="20675916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612130" cy="1950085"/>
                    </a:xfrm>
                    <a:prstGeom prst="rect">
                      <a:avLst/>
                    </a:prstGeom>
                    <a:ln/>
                  </pic:spPr>
                </pic:pic>
              </a:graphicData>
            </a:graphic>
          </wp:inline>
        </w:drawing>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spacing w:before="120" w:after="12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Como se advierte la Dirección General de Informática señaló que NO se tenía reporte de llamada o registro de incidencia por parte del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asimismo refirió que el Sistema de Acceso a la Información Mexiquense (SAIMEX), cuenta con la capacidad de recibir archivos con un peso aproximado de hasta 500Mb, que corresponde a un aproximado de 8,000 hojas.</w:t>
      </w: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 xml:space="preserve"> Por otra parte, el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no aportó mayores elementos que permitan a este Organismo determinar que efectivamente, existen impedimentos para entregar la información requerida través de SAIMEX.</w:t>
      </w:r>
    </w:p>
    <w:p w:rsidR="00C97499" w:rsidRPr="00BA6AF3" w:rsidRDefault="00BC0FE1">
      <w:pPr>
        <w:widowControl w:val="0"/>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Para sustentar lo anterior, es oportuno referir que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C97499" w:rsidRPr="00BA6AF3" w:rsidRDefault="00BC0FE1">
      <w:pPr>
        <w:numPr>
          <w:ilvl w:val="0"/>
          <w:numId w:val="8"/>
        </w:num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Las razones por las cuales la información implicaba un análisis, estudio o procesamiento de datos;</w:t>
      </w:r>
    </w:p>
    <w:p w:rsidR="00C97499" w:rsidRPr="00BA6AF3" w:rsidRDefault="00BC0FE1">
      <w:pPr>
        <w:numPr>
          <w:ilvl w:val="0"/>
          <w:numId w:val="8"/>
        </w:num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rsidR="00C97499" w:rsidRPr="00BA6AF3" w:rsidRDefault="00BC0FE1">
      <w:pPr>
        <w:numPr>
          <w:ilvl w:val="0"/>
          <w:numId w:val="8"/>
        </w:num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La cantidad de recursos humanos y materiales con los que cuenta el Sujeto Obligado son insuficientes.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ese contexto, este Instituto reitera que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no señaló de manera puntual las imposibilidades para dar atención a la solicitud, esto en observancia a las siguientes circunstancias:</w:t>
      </w:r>
    </w:p>
    <w:p w:rsidR="00C97499" w:rsidRPr="00BA6AF3" w:rsidRDefault="00BC0FE1">
      <w:pPr>
        <w:numPr>
          <w:ilvl w:val="0"/>
          <w:numId w:val="7"/>
        </w:num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El formato, en que se encuentra la información, es decir, de manera digital o física, y</w:t>
      </w:r>
    </w:p>
    <w:p w:rsidR="00C97499" w:rsidRPr="00BA6AF3" w:rsidRDefault="00BC0FE1">
      <w:pPr>
        <w:numPr>
          <w:ilvl w:val="0"/>
          <w:numId w:val="7"/>
        </w:num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El número de hojas o peso aproximado de la información solicitada, del cual se pudiera conocer cuántos documentos había generado o bien, cuando menos un aproximado.</w:t>
      </w:r>
    </w:p>
    <w:p w:rsidR="00C97499" w:rsidRPr="00BA6AF3" w:rsidRDefault="00BC0FE1">
      <w:pPr>
        <w:numPr>
          <w:ilvl w:val="0"/>
          <w:numId w:val="7"/>
        </w:numPr>
        <w:pBdr>
          <w:top w:val="nil"/>
          <w:left w:val="nil"/>
          <w:bottom w:val="nil"/>
          <w:right w:val="nil"/>
          <w:between w:val="nil"/>
        </w:pBdr>
        <w:spacing w:before="240" w:after="16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Tampoco acreditó que lo peticionado implicaba un análisis, procesamiento o estudio de documentos cuya reproducción sobrepasará las capacidades técnicas, administrativas y humanas del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ya que no refirió, de manera clara y precisa, el formato ni número de hojas aproximadas de lo solicitado, o bien, si lo peticionado, se encontraba en uno o varios expedientes; esto es, </w:t>
      </w:r>
      <w:r w:rsidRPr="00BA6AF3">
        <w:rPr>
          <w:rFonts w:ascii="Palatino Linotype" w:eastAsia="Palatino Linotype" w:hAnsi="Palatino Linotype" w:cs="Palatino Linotype"/>
          <w:u w:val="single"/>
        </w:rPr>
        <w:t>no proporcionó los elementos necesarios para acreditar el cambio de modalidad</w:t>
      </w:r>
      <w:r w:rsidRPr="00BA6AF3">
        <w:rPr>
          <w:rFonts w:ascii="Palatino Linotype" w:eastAsia="Palatino Linotype" w:hAnsi="Palatino Linotype" w:cs="Palatino Linotype"/>
        </w:rPr>
        <w:t>, razón por la cual este Instituto no tiene certeza sobre la necesidad del cambio de modalidad pretendido, a efecto de garantizar la entrega de la información solicitada dentro del plazo establecido en la normatividad aplicable.</w:t>
      </w:r>
    </w:p>
    <w:p w:rsidR="00C97499" w:rsidRPr="00BA6AF3" w:rsidRDefault="00BC0FE1">
      <w:pPr>
        <w:numPr>
          <w:ilvl w:val="0"/>
          <w:numId w:val="7"/>
        </w:numPr>
        <w:pBdr>
          <w:top w:val="nil"/>
          <w:left w:val="nil"/>
          <w:bottom w:val="nil"/>
          <w:right w:val="nil"/>
          <w:between w:val="nil"/>
        </w:pBdr>
        <w:spacing w:before="240" w:after="16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b/>
          <w:u w:val="single"/>
        </w:rPr>
        <w:t>No refirió de manera clara el periodo sobre el cual realizó la búsqueda exhaustiva y razonable</w:t>
      </w:r>
      <w:r w:rsidRPr="00BA6AF3">
        <w:rPr>
          <w:rFonts w:ascii="Palatino Linotype" w:eastAsia="Palatino Linotype" w:hAnsi="Palatino Linotype" w:cs="Palatino Linotype"/>
        </w:rPr>
        <w:t xml:space="preserve">, </w:t>
      </w:r>
      <w:r w:rsidRPr="00BA6AF3">
        <w:rPr>
          <w:rFonts w:ascii="Palatino Linotype" w:eastAsia="Palatino Linotype" w:hAnsi="Palatino Linotype" w:cs="Palatino Linotype"/>
          <w:b/>
        </w:rPr>
        <w:t xml:space="preserve">reiterando que la información que es susceptible de entrega. </w:t>
      </w: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Sobre lo anterior, es de señalar que el Organismo Garante Nacional, ha considerado que no resulta suficiente justificar una imposibilidad material y humana para acreditar un cambio de modalidad, sino que es necesario demostrar otros impedimentos como la cantidad y formato de la documentación, que fuera de imposible reproducción en el medio elegido por los solicitantes, que la información ameritara el cruce de información en los sistemas de datos, entre otros; con el fin de privilegiar el Principio de Gratuidad y Máxima Publicidad; argumentos que </w:t>
      </w:r>
      <w:r w:rsidRPr="00BA6AF3">
        <w:rPr>
          <w:rFonts w:ascii="Palatino Linotype" w:eastAsia="Palatino Linotype" w:hAnsi="Palatino Linotype" w:cs="Palatino Linotype"/>
        </w:rPr>
        <w:lastRenderedPageBreak/>
        <w:t>encuentran sustento dentro diversas de sus resoluciones de Recursos de Inconformidad como el RIA 136/20, RIA 140/20, RIA 153/20 RIA 237/20, RIA 257/20, RIA 258/20, entre otros.</w:t>
      </w:r>
    </w:p>
    <w:p w:rsidR="00C97499" w:rsidRPr="00BA6AF3" w:rsidRDefault="00BC0FE1">
      <w:pPr>
        <w:tabs>
          <w:tab w:val="left" w:pos="975"/>
        </w:tabs>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Por lo anterior, se colige que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fundados; situación que se robustece, con el hecho de que tampoco vio la posibilidad de poner a disposición la información, en el resto de modalidades establecidas en la Ley de la materia.</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rsidR="00C97499" w:rsidRPr="00BA6AF3" w:rsidRDefault="00BC0FE1">
      <w:pPr>
        <w:spacing w:before="120" w:after="120"/>
        <w:ind w:left="851" w:right="902"/>
        <w:jc w:val="center"/>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i/>
          <w:sz w:val="22"/>
          <w:szCs w:val="22"/>
        </w:rPr>
        <w:t>“</w:t>
      </w:r>
      <w:r w:rsidRPr="00BA6AF3">
        <w:rPr>
          <w:rFonts w:ascii="Palatino Linotype" w:eastAsia="Palatino Linotype" w:hAnsi="Palatino Linotype" w:cs="Palatino Linotype"/>
          <w:b/>
          <w:i/>
          <w:sz w:val="22"/>
          <w:szCs w:val="22"/>
        </w:rPr>
        <w:t>CAPÍTULO X</w:t>
      </w:r>
    </w:p>
    <w:p w:rsidR="00C97499" w:rsidRPr="00BA6AF3" w:rsidRDefault="00BC0FE1">
      <w:pPr>
        <w:spacing w:before="120" w:after="120"/>
        <w:ind w:left="851" w:right="902"/>
        <w:jc w:val="center"/>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DE LA CONSULTA DIRECTA</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Sexagésimo séptimo</w:t>
      </w:r>
      <w:r w:rsidRPr="00BA6AF3">
        <w:rPr>
          <w:rFonts w:ascii="Palatino Linotype" w:eastAsia="Palatino Linotype" w:hAnsi="Palatino Linotype" w:cs="Palatino Linotype"/>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BA6AF3">
        <w:rPr>
          <w:rFonts w:ascii="Palatino Linotype" w:eastAsia="Palatino Linotype" w:hAnsi="Palatino Linotype" w:cs="Palatino Linotype"/>
          <w:b/>
          <w:i/>
          <w:sz w:val="22"/>
          <w:szCs w:val="22"/>
        </w:rPr>
        <w:t>deberá emitir la resolución en la que funde y motive la clasificación</w:t>
      </w:r>
      <w:r w:rsidRPr="00BA6AF3">
        <w:rPr>
          <w:rFonts w:ascii="Palatino Linotype" w:eastAsia="Palatino Linotype" w:hAnsi="Palatino Linotype" w:cs="Palatino Linotype"/>
          <w:i/>
          <w:sz w:val="22"/>
          <w:szCs w:val="22"/>
        </w:rPr>
        <w:t xml:space="preserve"> de las partes o secciones que no podrán dejarse a la vista del solicitante.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Sexagésimo octavo</w:t>
      </w:r>
      <w:r w:rsidRPr="00BA6AF3">
        <w:rPr>
          <w:rFonts w:ascii="Palatino Linotype" w:eastAsia="Palatino Linotype" w:hAnsi="Palatino Linotype" w:cs="Palatino Linotype"/>
          <w:i/>
          <w:sz w:val="22"/>
          <w:szCs w:val="22"/>
        </w:rPr>
        <w:t xml:space="preserve">. En la </w:t>
      </w:r>
      <w:r w:rsidRPr="00BA6AF3">
        <w:rPr>
          <w:rFonts w:ascii="Palatino Linotype" w:eastAsia="Palatino Linotype" w:hAnsi="Palatino Linotype" w:cs="Palatino Linotype"/>
          <w:b/>
          <w:i/>
          <w:sz w:val="22"/>
          <w:szCs w:val="22"/>
        </w:rPr>
        <w:t>resolución del Comité de Transparencia</w:t>
      </w:r>
      <w:r w:rsidRPr="00BA6AF3">
        <w:rPr>
          <w:rFonts w:ascii="Palatino Linotype" w:eastAsia="Palatino Linotype" w:hAnsi="Palatino Linotype" w:cs="Palatino Linotype"/>
          <w:i/>
          <w:sz w:val="22"/>
          <w:szCs w:val="22"/>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lastRenderedPageBreak/>
        <w:t>Sexagésimo noveno</w:t>
      </w:r>
      <w:r w:rsidRPr="00BA6AF3">
        <w:rPr>
          <w:rFonts w:ascii="Palatino Linotype" w:eastAsia="Palatino Linotype" w:hAnsi="Palatino Linotype" w:cs="Palatino Linotype"/>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Septuagésimo</w:t>
      </w:r>
      <w:r w:rsidRPr="00BA6AF3">
        <w:rPr>
          <w:rFonts w:ascii="Palatino Linotype" w:eastAsia="Palatino Linotype" w:hAnsi="Palatino Linotype" w:cs="Palatino Linotype"/>
          <w:i/>
          <w:sz w:val="22"/>
          <w:szCs w:val="22"/>
        </w:rPr>
        <w:t xml:space="preserve">. Para el desahogo de las actuaciones tendientes a permitir la consulta directa, en los casos en que ésta resulte procedente, los sujetos obligados deberán observar lo siguiente: </w:t>
      </w:r>
    </w:p>
    <w:p w:rsidR="00C97499" w:rsidRPr="00BA6AF3" w:rsidRDefault="00BC0FE1">
      <w:pPr>
        <w:spacing w:before="120" w:after="120"/>
        <w:ind w:left="1134"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w:t>
      </w:r>
      <w:r w:rsidRPr="00BA6AF3">
        <w:rPr>
          <w:rFonts w:ascii="Palatino Linotype" w:eastAsia="Palatino Linotype" w:hAnsi="Palatino Linotype" w:cs="Palatino Linotype"/>
          <w:i/>
          <w:sz w:val="22"/>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C97499" w:rsidRPr="00BA6AF3" w:rsidRDefault="00BC0FE1">
      <w:pPr>
        <w:spacing w:before="120" w:after="120"/>
        <w:ind w:left="1134"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II.</w:t>
      </w:r>
      <w:r w:rsidRPr="00BA6AF3">
        <w:rPr>
          <w:rFonts w:ascii="Palatino Linotype" w:eastAsia="Palatino Linotype" w:hAnsi="Palatino Linotype" w:cs="Palatino Linotype"/>
          <w:i/>
          <w:sz w:val="22"/>
          <w:szCs w:val="22"/>
        </w:rPr>
        <w:t xml:space="preserve"> En su caso, la procedencia de los ajustes razonables solicitados y/o la procedencia de acceso en la lengua indígena requerida; </w:t>
      </w:r>
    </w:p>
    <w:p w:rsidR="00C97499" w:rsidRPr="00BA6AF3" w:rsidRDefault="00BC0FE1">
      <w:pPr>
        <w:spacing w:before="120" w:after="120"/>
        <w:ind w:left="1134"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III.</w:t>
      </w:r>
      <w:r w:rsidRPr="00BA6AF3">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rsidR="00C97499" w:rsidRPr="00BA6AF3" w:rsidRDefault="00BC0FE1">
      <w:pPr>
        <w:spacing w:before="120" w:after="120"/>
        <w:ind w:left="1134"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IV.</w:t>
      </w:r>
      <w:r w:rsidRPr="00BA6AF3">
        <w:rPr>
          <w:rFonts w:ascii="Palatino Linotype" w:eastAsia="Palatino Linotype" w:hAnsi="Palatino Linotype" w:cs="Palatino Linotype"/>
          <w:i/>
          <w:sz w:val="22"/>
          <w:szCs w:val="22"/>
        </w:rPr>
        <w:t xml:space="preserve"> Proporcionar al solicitante las facilidades y asistencia requerida para la consulta de los documentos;</w:t>
      </w:r>
    </w:p>
    <w:p w:rsidR="00C97499" w:rsidRPr="00BA6AF3" w:rsidRDefault="00BC0FE1">
      <w:pPr>
        <w:spacing w:before="120" w:after="120"/>
        <w:ind w:left="1134"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V.</w:t>
      </w:r>
      <w:r w:rsidRPr="00BA6AF3">
        <w:rPr>
          <w:rFonts w:ascii="Palatino Linotype" w:eastAsia="Palatino Linotype" w:hAnsi="Palatino Linotype" w:cs="Palatino Linotype"/>
          <w:i/>
          <w:sz w:val="22"/>
          <w:szCs w:val="22"/>
        </w:rPr>
        <w:t xml:space="preserve"> Abstenerse de requerir al solicitante que acredite interés alguno; </w:t>
      </w:r>
    </w:p>
    <w:p w:rsidR="00C97499" w:rsidRPr="00BA6AF3" w:rsidRDefault="00BC0FE1">
      <w:pPr>
        <w:spacing w:before="120" w:after="120"/>
        <w:ind w:left="1134"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VI.</w:t>
      </w:r>
      <w:r w:rsidRPr="00BA6AF3">
        <w:rPr>
          <w:rFonts w:ascii="Palatino Linotype" w:eastAsia="Palatino Linotype" w:hAnsi="Palatino Linotype" w:cs="Palatino Linotype"/>
          <w:i/>
          <w:sz w:val="22"/>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C97499" w:rsidRPr="00BA6AF3" w:rsidRDefault="00BC0FE1">
      <w:pPr>
        <w:spacing w:before="120" w:after="120"/>
        <w:ind w:left="1418"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a)</w:t>
      </w:r>
      <w:r w:rsidRPr="00BA6AF3">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 </w:t>
      </w:r>
    </w:p>
    <w:p w:rsidR="00C97499" w:rsidRPr="00BA6AF3" w:rsidRDefault="00BC0FE1">
      <w:pPr>
        <w:spacing w:before="120" w:after="120"/>
        <w:ind w:left="1418"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b)</w:t>
      </w:r>
      <w:r w:rsidRPr="00BA6AF3">
        <w:rPr>
          <w:rFonts w:ascii="Palatino Linotype" w:eastAsia="Palatino Linotype" w:hAnsi="Palatino Linotype" w:cs="Palatino Linotype"/>
          <w:i/>
          <w:sz w:val="22"/>
          <w:szCs w:val="22"/>
        </w:rPr>
        <w:t xml:space="preserve"> Equipo y personal de vigilancia;</w:t>
      </w:r>
    </w:p>
    <w:p w:rsidR="00C97499" w:rsidRPr="00BA6AF3" w:rsidRDefault="00BC0FE1">
      <w:pPr>
        <w:spacing w:before="120" w:after="120"/>
        <w:ind w:left="1418"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c)</w:t>
      </w:r>
      <w:r w:rsidRPr="00BA6AF3">
        <w:rPr>
          <w:rFonts w:ascii="Palatino Linotype" w:eastAsia="Palatino Linotype" w:hAnsi="Palatino Linotype" w:cs="Palatino Linotype"/>
          <w:i/>
          <w:sz w:val="22"/>
          <w:szCs w:val="22"/>
        </w:rPr>
        <w:t xml:space="preserve"> Plan de acción contra robo o vandalismo; </w:t>
      </w:r>
    </w:p>
    <w:p w:rsidR="00C97499" w:rsidRPr="00BA6AF3" w:rsidRDefault="00BC0FE1">
      <w:pPr>
        <w:spacing w:before="120" w:after="120"/>
        <w:ind w:left="1418"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lastRenderedPageBreak/>
        <w:t>d)</w:t>
      </w:r>
      <w:r w:rsidRPr="00BA6AF3">
        <w:rPr>
          <w:rFonts w:ascii="Palatino Linotype" w:eastAsia="Palatino Linotype" w:hAnsi="Palatino Linotype" w:cs="Palatino Linotype"/>
          <w:i/>
          <w:sz w:val="22"/>
          <w:szCs w:val="22"/>
        </w:rPr>
        <w:t xml:space="preserve"> Extintores de fuego de gas inocuo; </w:t>
      </w:r>
    </w:p>
    <w:p w:rsidR="00C97499" w:rsidRPr="00BA6AF3" w:rsidRDefault="00BC0FE1">
      <w:pPr>
        <w:spacing w:before="120" w:after="120"/>
        <w:ind w:left="1418"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e)</w:t>
      </w:r>
      <w:r w:rsidRPr="00BA6AF3">
        <w:rPr>
          <w:rFonts w:ascii="Palatino Linotype" w:eastAsia="Palatino Linotype" w:hAnsi="Palatino Linotype" w:cs="Palatino Linotype"/>
          <w:i/>
          <w:sz w:val="22"/>
          <w:szCs w:val="22"/>
        </w:rPr>
        <w:t xml:space="preserve"> Registro e identificación del personal autorizado para el tratamiento de los documentos o expedientes a revisar;</w:t>
      </w:r>
    </w:p>
    <w:p w:rsidR="00C97499" w:rsidRPr="00BA6AF3" w:rsidRDefault="00BC0FE1">
      <w:pPr>
        <w:spacing w:before="120" w:after="120"/>
        <w:ind w:left="1418"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f)</w:t>
      </w:r>
      <w:r w:rsidRPr="00BA6AF3">
        <w:rPr>
          <w:rFonts w:ascii="Palatino Linotype" w:eastAsia="Palatino Linotype" w:hAnsi="Palatino Linotype" w:cs="Palatino Linotype"/>
          <w:i/>
          <w:sz w:val="22"/>
          <w:szCs w:val="22"/>
        </w:rPr>
        <w:t xml:space="preserve"> Registro e identificación de los particulares autorizados para llevar a cabo la consulta directa, y </w:t>
      </w:r>
    </w:p>
    <w:p w:rsidR="00C97499" w:rsidRPr="00BA6AF3" w:rsidRDefault="00BC0FE1">
      <w:pPr>
        <w:spacing w:before="120" w:after="120"/>
        <w:ind w:left="1418"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g)</w:t>
      </w:r>
      <w:r w:rsidRPr="00BA6AF3">
        <w:rPr>
          <w:rFonts w:ascii="Palatino Linotype" w:eastAsia="Palatino Linotype" w:hAnsi="Palatino Linotype" w:cs="Palatino Linotype"/>
          <w:i/>
          <w:sz w:val="22"/>
          <w:szCs w:val="22"/>
        </w:rPr>
        <w:t xml:space="preserve"> Las demás que, a criterio de los sujetos obligados, resulten necesarias. </w:t>
      </w:r>
    </w:p>
    <w:p w:rsidR="00C97499" w:rsidRPr="00BA6AF3" w:rsidRDefault="00BC0FE1">
      <w:pPr>
        <w:spacing w:before="120" w:after="120"/>
        <w:ind w:left="1134"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VII.</w:t>
      </w:r>
      <w:r w:rsidRPr="00BA6AF3">
        <w:rPr>
          <w:rFonts w:ascii="Palatino Linotype" w:eastAsia="Palatino Linotype" w:hAnsi="Palatino Linotype" w:cs="Palatino Linotype"/>
          <w:i/>
          <w:sz w:val="22"/>
          <w:szCs w:val="22"/>
        </w:rPr>
        <w:t xml:space="preserve"> Hacer del conocimiento del solicitante, previo al acceso a la información, las reglas a que se sujetará la consulta para garantizar la integridad de los documentos, y</w:t>
      </w:r>
    </w:p>
    <w:p w:rsidR="00C97499" w:rsidRPr="00BA6AF3" w:rsidRDefault="00BC0FE1">
      <w:pPr>
        <w:spacing w:before="120" w:after="120"/>
        <w:ind w:left="1134" w:right="902"/>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VIII.</w:t>
      </w:r>
      <w:r w:rsidRPr="00BA6AF3">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w:t>
      </w:r>
      <w:r w:rsidRPr="00BA6AF3">
        <w:rPr>
          <w:rFonts w:ascii="Palatino Linotype" w:eastAsia="Palatino Linotype" w:hAnsi="Palatino Linotype" w:cs="Palatino Linotype"/>
          <w:b/>
          <w:i/>
          <w:sz w:val="22"/>
          <w:szCs w:val="22"/>
        </w:rPr>
        <w:t xml:space="preserve">previo al acceso a la información, la resolución debidamente fundada y motivada del Comité de Transparencia, en la que se clasificaron las partes o secciones que no podrán dejarse a la vista del solicitante.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Septuagésimo primero. </w:t>
      </w:r>
      <w:r w:rsidRPr="00BA6AF3">
        <w:rPr>
          <w:rFonts w:ascii="Palatino Linotype" w:eastAsia="Palatino Linotype" w:hAnsi="Palatino Linotype" w:cs="Palatino Linotype"/>
          <w:i/>
          <w:sz w:val="22"/>
          <w:szCs w:val="22"/>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El solicitante deberá observar en todo momento las reglas que el sujeto obligado haya hecho de su conocimiento para efectos de la conservación de los documentos.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Septuagésimo segundo.</w:t>
      </w:r>
      <w:r w:rsidRPr="00BA6AF3">
        <w:rPr>
          <w:rFonts w:ascii="Palatino Linotype" w:eastAsia="Palatino Linotype" w:hAnsi="Palatino Linotype" w:cs="Palatino Linotype"/>
          <w:i/>
          <w:sz w:val="22"/>
          <w:szCs w:val="22"/>
        </w:rPr>
        <w:t xml:space="preserve"> El solicitante deberá realizar la consulta de los documentos requeridos en el lugar, horarios y con la persona destinada para tal efecto.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Septuagésimo tercero</w:t>
      </w:r>
      <w:r w:rsidRPr="00BA6AF3">
        <w:rPr>
          <w:rFonts w:ascii="Palatino Linotype" w:eastAsia="Palatino Linotype" w:hAnsi="Palatino Linotype" w:cs="Palatino Linotype"/>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La información deberá ser entregada sin costo, cuando implique la entrega de no más de veinte hojas simples.”</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consecuencia, se reitera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no justificó el impedimento para remitir la información solicitada vía SAIMEX, al no haberse acreditado de manera fehaciente la imposibilidad humana, técnica y administrativa para validar el cambio de modalidad, en virtud de que no aportó elementos argumentativos que demostraran una imposibilidad para atender la solicitud de información que motivó el recurso de revisión que nos ocupan, </w:t>
      </w:r>
      <w:r w:rsidRPr="00BA6AF3">
        <w:rPr>
          <w:rFonts w:ascii="Palatino Linotype" w:eastAsia="Palatino Linotype" w:hAnsi="Palatino Linotype" w:cs="Palatino Linotype"/>
          <w:b/>
        </w:rPr>
        <w:t>resultando improcedente el cambio de modalidad propuesto por el Sujeto Obligado</w:t>
      </w:r>
      <w:r w:rsidRPr="00BA6AF3">
        <w:rPr>
          <w:rFonts w:ascii="Palatino Linotype" w:eastAsia="Palatino Linotype" w:hAnsi="Palatino Linotype" w:cs="Palatino Linotype"/>
        </w:rPr>
        <w:t xml:space="preserve"> y, por tanto, se continúa con el análisis de la naturaleza de la información, para determinar su entrega en la modalidad elegida por la persona solicitante. </w:t>
      </w:r>
    </w:p>
    <w:p w:rsidR="00C97499" w:rsidRPr="00BA6AF3" w:rsidRDefault="00BC0FE1">
      <w:pPr>
        <w:spacing w:before="280" w:after="28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b/>
        </w:rPr>
        <w:t>1.</w:t>
      </w:r>
      <w:r w:rsidRPr="00BA6AF3">
        <w:rPr>
          <w:rFonts w:ascii="Palatino Linotype" w:eastAsia="Palatino Linotype" w:hAnsi="Palatino Linotype" w:cs="Palatino Linotype"/>
        </w:rPr>
        <w:t xml:space="preserve"> </w:t>
      </w:r>
      <w:r w:rsidRPr="00BA6AF3">
        <w:rPr>
          <w:rFonts w:ascii="Palatino Linotype" w:eastAsia="Palatino Linotype" w:hAnsi="Palatino Linotype" w:cs="Palatino Linotype"/>
          <w:b/>
        </w:rPr>
        <w:t xml:space="preserve">Bitácoras de servicios que realizan a las unidades vehiculares de servicios públicos, tesorería, protección civil, seguridad pública y cualquier área que haga uso de ellos; así como las unidades descompuestas. </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primer término,  es de importante referir sobre este punto de la solicitud, la persona solicitante requirió de manera textual lo siguiente: </w:t>
      </w:r>
    </w:p>
    <w:p w:rsidR="00C97499" w:rsidRPr="00BA6AF3" w:rsidRDefault="00BC0FE1">
      <w:pPr>
        <w:spacing w:before="240" w:after="240" w:line="276" w:lineRule="auto"/>
        <w:ind w:left="851" w:right="616"/>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 “..</w:t>
      </w:r>
      <w:r w:rsidRPr="00BA6AF3">
        <w:rPr>
          <w:rFonts w:ascii="Palatino Linotype" w:eastAsia="Palatino Linotype" w:hAnsi="Palatino Linotype" w:cs="Palatino Linotype"/>
          <w:i/>
        </w:rPr>
        <w:t xml:space="preserve">la o las bitácoras de servicios que realizan las unidades vehiculares o automotoras, que tenga el parque vehicular del área de servicios públicos, tesorería, protección civil, seguridad </w:t>
      </w:r>
      <w:proofErr w:type="spellStart"/>
      <w:r w:rsidRPr="00BA6AF3">
        <w:rPr>
          <w:rFonts w:ascii="Palatino Linotype" w:eastAsia="Palatino Linotype" w:hAnsi="Palatino Linotype" w:cs="Palatino Linotype"/>
          <w:i/>
        </w:rPr>
        <w:t>publica</w:t>
      </w:r>
      <w:proofErr w:type="spellEnd"/>
      <w:r w:rsidRPr="00BA6AF3">
        <w:rPr>
          <w:rFonts w:ascii="Palatino Linotype" w:eastAsia="Palatino Linotype" w:hAnsi="Palatino Linotype" w:cs="Palatino Linotype"/>
          <w:i/>
        </w:rPr>
        <w:t xml:space="preserve"> y cualquier área que </w:t>
      </w:r>
      <w:proofErr w:type="spellStart"/>
      <w:r w:rsidRPr="00BA6AF3">
        <w:rPr>
          <w:rFonts w:ascii="Palatino Linotype" w:eastAsia="Palatino Linotype" w:hAnsi="Palatino Linotype" w:cs="Palatino Linotype"/>
          <w:i/>
        </w:rPr>
        <w:t>halla</w:t>
      </w:r>
      <w:proofErr w:type="spellEnd"/>
      <w:r w:rsidRPr="00BA6AF3">
        <w:rPr>
          <w:rFonts w:ascii="Palatino Linotype" w:eastAsia="Palatino Linotype" w:hAnsi="Palatino Linotype" w:cs="Palatino Linotype"/>
          <w:i/>
        </w:rPr>
        <w:t xml:space="preserve"> uso de ellos..”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Requerimiento que si bien es cierto resulta confuso, también lo es que, el Pleno de este Instituto como garante del derecho de acceso a la información pública, en términos de lo dispuesto por el artículo  13 de la </w:t>
      </w:r>
      <w:r w:rsidRPr="00BA6AF3">
        <w:rPr>
          <w:rFonts w:ascii="Palatino Linotype" w:eastAsia="Palatino Linotype" w:hAnsi="Palatino Linotype" w:cs="Palatino Linotype"/>
          <w:b/>
        </w:rPr>
        <w:t xml:space="preserve">Ley de Transparencia y Acceso a </w:t>
      </w:r>
      <w:r w:rsidRPr="00BA6AF3">
        <w:rPr>
          <w:rFonts w:ascii="Palatino Linotype" w:eastAsia="Palatino Linotype" w:hAnsi="Palatino Linotype" w:cs="Palatino Linotype"/>
          <w:b/>
        </w:rPr>
        <w:lastRenderedPageBreak/>
        <w:t>la Información Pública del Estado de México y Municipios</w:t>
      </w:r>
      <w:r w:rsidRPr="00BA6AF3">
        <w:rPr>
          <w:rFonts w:ascii="Palatino Linotype" w:eastAsia="Palatino Linotype" w:hAnsi="Palatino Linotype" w:cs="Palatino Linotype"/>
        </w:rPr>
        <w:t xml:space="preserve">, considera que en el contexto de los planteamientos formulados al momento de presentar la solicitud de información, se infiere que los documentos a los que pretende acceder la parte </w:t>
      </w:r>
      <w:r w:rsidRPr="00BA6AF3">
        <w:rPr>
          <w:rFonts w:ascii="Palatino Linotype" w:eastAsia="Palatino Linotype" w:hAnsi="Palatino Linotype" w:cs="Palatino Linotype"/>
          <w:b/>
        </w:rPr>
        <w:t xml:space="preserve">Recurrente </w:t>
      </w:r>
      <w:r w:rsidRPr="00BA6AF3">
        <w:rPr>
          <w:rFonts w:ascii="Palatino Linotype" w:eastAsia="Palatino Linotype" w:hAnsi="Palatino Linotype" w:cs="Palatino Linotype"/>
        </w:rPr>
        <w:t xml:space="preserve">son  las bitácoras de mantenimiento y servicios realizados a los vehículos asignados o bajo el resguardo de las áreas de servicios públicos, tesorería, protección civil y cualquier área que haga uso del parque vehicular; por lo que, el análisis sobre este requerimiento versará en esos términos.  </w:t>
      </w:r>
    </w:p>
    <w:p w:rsidR="00C97499" w:rsidRPr="00BA6AF3" w:rsidRDefault="00BC0FE1">
      <w:pPr>
        <w:spacing w:before="240" w:after="240"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 En este entendido, cabe resaltar que el </w:t>
      </w:r>
      <w:r w:rsidRPr="00BA6AF3">
        <w:rPr>
          <w:rFonts w:ascii="Palatino Linotype" w:eastAsia="Palatino Linotype" w:hAnsi="Palatino Linotype" w:cs="Palatino Linotype"/>
          <w:b/>
        </w:rPr>
        <w:t xml:space="preserve">Ayuntamiento de Melchor Ocampo </w:t>
      </w:r>
      <w:r w:rsidRPr="00BA6AF3">
        <w:rPr>
          <w:rFonts w:ascii="Palatino Linotype" w:eastAsia="Palatino Linotype" w:hAnsi="Palatino Linotype" w:cs="Palatino Linotype"/>
        </w:rPr>
        <w:t xml:space="preserve">para el despacho se los asunto municipales se auxiliará de distintas direcciones y entidades, tal como lo estipula el artículo 48 del Bando Municipal de Melchor 2022, que a la letra dice: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 xml:space="preserve">“Artículo 48.- </w:t>
      </w:r>
      <w:r w:rsidRPr="00BA6AF3">
        <w:rPr>
          <w:rFonts w:ascii="Palatino Linotype" w:eastAsia="Palatino Linotype" w:hAnsi="Palatino Linotype" w:cs="Palatino Linotype"/>
          <w:i/>
          <w:sz w:val="22"/>
          <w:szCs w:val="22"/>
        </w:rPr>
        <w:t xml:space="preserve">Para el despacho de los asuntos municipales, el Ayuntamiento se auxiliará con las siguientes direcciones y entidades de la Administración Pública: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I. Secretaría del Ayuntamiento;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II. Secretaría Técnica; </w:t>
      </w:r>
    </w:p>
    <w:p w:rsidR="00C97499" w:rsidRPr="00BA6AF3" w:rsidRDefault="00BC0FE1">
      <w:pPr>
        <w:spacing w:before="240" w:after="240" w:line="276" w:lineRule="auto"/>
        <w:ind w:left="851" w:right="616"/>
        <w:jc w:val="both"/>
        <w:rPr>
          <w:rFonts w:ascii="Palatino Linotype" w:eastAsia="Palatino Linotype" w:hAnsi="Palatino Linotype" w:cs="Palatino Linotype"/>
          <w:b/>
          <w:i/>
          <w:sz w:val="22"/>
          <w:szCs w:val="22"/>
          <w:u w:val="single"/>
        </w:rPr>
      </w:pPr>
      <w:r w:rsidRPr="00BA6AF3">
        <w:rPr>
          <w:rFonts w:ascii="Palatino Linotype" w:eastAsia="Palatino Linotype" w:hAnsi="Palatino Linotype" w:cs="Palatino Linotype"/>
          <w:b/>
          <w:i/>
          <w:sz w:val="22"/>
          <w:szCs w:val="22"/>
          <w:u w:val="single"/>
        </w:rPr>
        <w:t xml:space="preserve">III. Tesorería Municipal;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IV. Contraloría Interna Municipal;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V. Dirección de Administración;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VI. Dirección Jurídica; </w:t>
      </w:r>
    </w:p>
    <w:p w:rsidR="00C97499" w:rsidRPr="00BA6AF3" w:rsidRDefault="00BC0FE1">
      <w:pPr>
        <w:spacing w:before="240" w:after="240" w:line="276" w:lineRule="auto"/>
        <w:ind w:left="851" w:right="616"/>
        <w:jc w:val="both"/>
        <w:rPr>
          <w:rFonts w:ascii="Palatino Linotype" w:eastAsia="Palatino Linotype" w:hAnsi="Palatino Linotype" w:cs="Palatino Linotype"/>
          <w:b/>
          <w:i/>
          <w:sz w:val="22"/>
          <w:szCs w:val="22"/>
          <w:u w:val="single"/>
        </w:rPr>
      </w:pPr>
      <w:r w:rsidRPr="00BA6AF3">
        <w:rPr>
          <w:rFonts w:ascii="Palatino Linotype" w:eastAsia="Palatino Linotype" w:hAnsi="Palatino Linotype" w:cs="Palatino Linotype"/>
          <w:b/>
          <w:i/>
          <w:sz w:val="22"/>
          <w:szCs w:val="22"/>
          <w:u w:val="single"/>
        </w:rPr>
        <w:t xml:space="preserve">VII. Dirección de Servicios Públicos;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VIII. Dirección de Desarrollo Social;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 xml:space="preserve">IX. Dirección de Desarrollo Económico y Fomento al Empleo;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X. Dirección de Agua Potable, Drenaje y Alcantarillado;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XI. Dirección de Atención a la Mujer;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XII. Dirección de Obras Públicas, Desarrollo Urbano y Medio Ambiente; </w:t>
      </w:r>
    </w:p>
    <w:p w:rsidR="00C97499" w:rsidRPr="00BA6AF3" w:rsidRDefault="00BC0FE1">
      <w:pPr>
        <w:spacing w:before="240" w:after="240" w:line="276" w:lineRule="auto"/>
        <w:ind w:left="851" w:right="616"/>
        <w:jc w:val="both"/>
        <w:rPr>
          <w:rFonts w:ascii="Palatino Linotype" w:eastAsia="Palatino Linotype" w:hAnsi="Palatino Linotype" w:cs="Palatino Linotype"/>
          <w:b/>
          <w:i/>
          <w:sz w:val="22"/>
          <w:szCs w:val="22"/>
          <w:u w:val="single"/>
        </w:rPr>
      </w:pPr>
      <w:r w:rsidRPr="00BA6AF3">
        <w:rPr>
          <w:rFonts w:ascii="Palatino Linotype" w:eastAsia="Palatino Linotype" w:hAnsi="Palatino Linotype" w:cs="Palatino Linotype"/>
          <w:b/>
          <w:i/>
          <w:sz w:val="22"/>
          <w:szCs w:val="22"/>
          <w:u w:val="single"/>
        </w:rPr>
        <w:t xml:space="preserve">XIII. Dirección de Seguridad Ciudadana y Movilidad; </w:t>
      </w:r>
    </w:p>
    <w:p w:rsidR="00C97499" w:rsidRPr="00BA6AF3" w:rsidRDefault="00BC0FE1">
      <w:pPr>
        <w:spacing w:before="240" w:after="240" w:line="276" w:lineRule="auto"/>
        <w:ind w:left="851" w:right="616"/>
        <w:jc w:val="both"/>
        <w:rPr>
          <w:rFonts w:ascii="Palatino Linotype" w:eastAsia="Palatino Linotype" w:hAnsi="Palatino Linotype" w:cs="Palatino Linotype"/>
          <w:b/>
          <w:i/>
          <w:sz w:val="22"/>
          <w:szCs w:val="22"/>
          <w:u w:val="single"/>
        </w:rPr>
      </w:pPr>
      <w:r w:rsidRPr="00BA6AF3">
        <w:rPr>
          <w:rFonts w:ascii="Palatino Linotype" w:eastAsia="Palatino Linotype" w:hAnsi="Palatino Linotype" w:cs="Palatino Linotype"/>
          <w:b/>
          <w:i/>
          <w:sz w:val="22"/>
          <w:szCs w:val="22"/>
          <w:u w:val="single"/>
        </w:rPr>
        <w:t>XIV. Coordinación Municipal de Gestión integral de Riesgos, Protección Civil y Bomberos;</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XV. Unidad de Información, Planeación, Programación y Evaluación;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XVI. Unidad de Transparencia y Acceso a la Información Pública;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XVII. Defensoría Municipal de Derechos Humanos;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XVIII. Oficialías Mediadora-Conciliadora y Calificadora;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XIX. Sistema Municipal para el Desarrollo Integral de la Familia (DIF).</w:t>
      </w:r>
    </w:p>
    <w:p w:rsidR="00C97499" w:rsidRPr="00BA6AF3" w:rsidRDefault="00BC0FE1">
      <w:pPr>
        <w:spacing w:before="240" w:after="240" w:line="360" w:lineRule="auto"/>
        <w:ind w:right="49"/>
        <w:jc w:val="both"/>
        <w:rPr>
          <w:rFonts w:ascii="Palatino Linotype" w:eastAsia="Palatino Linotype" w:hAnsi="Palatino Linotype" w:cs="Palatino Linotype"/>
          <w:b/>
        </w:rPr>
      </w:pPr>
      <w:r w:rsidRPr="00BA6AF3">
        <w:rPr>
          <w:rFonts w:ascii="Palatino Linotype" w:eastAsia="Palatino Linotype" w:hAnsi="Palatino Linotype" w:cs="Palatino Linotype"/>
        </w:rPr>
        <w:t xml:space="preserve">En ese tenor, de la estructura orgánica del Ayuntamiento de Melchor Ocampo se tiene que cuanta con las áreas de las cuales requiere información la parte </w:t>
      </w:r>
      <w:r w:rsidRPr="00BA6AF3">
        <w:rPr>
          <w:rFonts w:ascii="Palatino Linotype" w:eastAsia="Palatino Linotype" w:hAnsi="Palatino Linotype" w:cs="Palatino Linotype"/>
          <w:b/>
        </w:rPr>
        <w:t xml:space="preserve">Recurrente. </w:t>
      </w:r>
    </w:p>
    <w:p w:rsidR="00C97499" w:rsidRPr="00BA6AF3" w:rsidRDefault="00BC0FE1">
      <w:pPr>
        <w:spacing w:before="240" w:after="240"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este sentido, con el objeto de determinar la naturaleza de la información solicitada, es conveniente referir que los Lineamientos de Control Financiero y Administrativo para las Entidades Fiscalizables Municipales del Estado de México fueron emitidos con el objeto de establecer las normas en materia de control financiero y administrativo, en la obtención, administración y aplicación de los recursos públicos para las entidades fiscalizables  municipales, y que establecen: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lastRenderedPageBreak/>
        <w:t>VIGÉSIMO NOVENO</w:t>
      </w:r>
      <w:r w:rsidRPr="00BA6AF3">
        <w:rPr>
          <w:rFonts w:ascii="Palatino Linotype" w:eastAsia="Palatino Linotype" w:hAnsi="Palatino Linotype" w:cs="Palatino Linotype"/>
          <w:i/>
          <w:sz w:val="22"/>
          <w:szCs w:val="22"/>
        </w:rPr>
        <w:t xml:space="preserve">: El titular del área administrativa en los municipios, organismos públicos descentralizados y fideicomisos públicos de carácter municipal, responsable del control de las reparaciones y mantenimiento de bienes muebles e inmuebles, así como del alumbrado público y vialidades deberán llevar un </w:t>
      </w:r>
      <w:r w:rsidRPr="00BA6AF3">
        <w:rPr>
          <w:rFonts w:ascii="Palatino Linotype" w:eastAsia="Palatino Linotype" w:hAnsi="Palatino Linotype" w:cs="Palatino Linotype"/>
          <w:b/>
          <w:i/>
          <w:sz w:val="22"/>
          <w:szCs w:val="22"/>
          <w:u w:val="single"/>
        </w:rPr>
        <w:t>control de los gastos a través de una bitácora</w:t>
      </w:r>
      <w:r w:rsidRPr="00BA6AF3">
        <w:rPr>
          <w:rFonts w:ascii="Palatino Linotype" w:eastAsia="Palatino Linotype" w:hAnsi="Palatino Linotype" w:cs="Palatino Linotype"/>
          <w:i/>
          <w:sz w:val="22"/>
          <w:szCs w:val="22"/>
        </w:rPr>
        <w:t>, aplicar anexos 4A, 4B y 4C, según corresponda.</w:t>
      </w:r>
    </w:p>
    <w:p w:rsidR="00C97499" w:rsidRPr="00BA6AF3" w:rsidRDefault="00BC0FE1">
      <w:pPr>
        <w:spacing w:before="240" w:after="240" w:line="276" w:lineRule="auto"/>
        <w:ind w:right="49"/>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noProof/>
        </w:rPr>
        <w:drawing>
          <wp:inline distT="0" distB="0" distL="0" distR="0">
            <wp:extent cx="5639033" cy="5867642"/>
            <wp:effectExtent l="0" t="0" r="0" b="0"/>
            <wp:docPr id="20675916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5639033" cy="5867642"/>
                    </a:xfrm>
                    <a:prstGeom prst="rect">
                      <a:avLst/>
                    </a:prstGeom>
                    <a:ln/>
                  </pic:spPr>
                </pic:pic>
              </a:graphicData>
            </a:graphic>
          </wp:inline>
        </w:drawing>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lastRenderedPageBreak/>
        <w:t>Son obligaciones del Tesorero y titular de la Dirección de Obras</w:t>
      </w:r>
      <w:r w:rsidRPr="00BA6AF3">
        <w:rPr>
          <w:rFonts w:ascii="Palatino Linotype" w:eastAsia="Palatino Linotype" w:hAnsi="Palatino Linotype" w:cs="Palatino Linotype"/>
          <w:i/>
          <w:sz w:val="22"/>
          <w:szCs w:val="22"/>
        </w:rPr>
        <w:t xml:space="preserve">: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55. Contar con el contrato en caso de arrendamiento, comodato o préstamo de maquinaria y/o equipo, estipulando las condiciones pactadas, así como </w:t>
      </w:r>
      <w:r w:rsidRPr="00BA6AF3">
        <w:rPr>
          <w:rFonts w:ascii="Palatino Linotype" w:eastAsia="Palatino Linotype" w:hAnsi="Palatino Linotype" w:cs="Palatino Linotype"/>
          <w:b/>
          <w:i/>
          <w:sz w:val="22"/>
          <w:szCs w:val="22"/>
        </w:rPr>
        <w:t>la bitácora correspondiente conforme al programa de actividades por maquinaria</w:t>
      </w:r>
      <w:r w:rsidRPr="00BA6AF3">
        <w:rPr>
          <w:rFonts w:ascii="Palatino Linotype" w:eastAsia="Palatino Linotype" w:hAnsi="Palatino Linotype" w:cs="Palatino Linotype"/>
          <w:i/>
          <w:sz w:val="22"/>
          <w:szCs w:val="22"/>
        </w:rPr>
        <w:t xml:space="preserve">. </w:t>
      </w:r>
      <w:proofErr w:type="gramStart"/>
      <w:r w:rsidRPr="00BA6AF3">
        <w:rPr>
          <w:rFonts w:ascii="Palatino Linotype" w:eastAsia="Palatino Linotype" w:hAnsi="Palatino Linotype" w:cs="Palatino Linotype"/>
          <w:i/>
          <w:sz w:val="22"/>
          <w:szCs w:val="22"/>
        </w:rPr>
        <w:t>anexo</w:t>
      </w:r>
      <w:proofErr w:type="gramEnd"/>
      <w:r w:rsidRPr="00BA6AF3">
        <w:rPr>
          <w:rFonts w:ascii="Palatino Linotype" w:eastAsia="Palatino Linotype" w:hAnsi="Palatino Linotype" w:cs="Palatino Linotype"/>
          <w:i/>
          <w:sz w:val="22"/>
          <w:szCs w:val="22"/>
        </w:rPr>
        <w:t xml:space="preserve"> 10</w:t>
      </w:r>
    </w:p>
    <w:p w:rsidR="00C97499" w:rsidRPr="00BA6AF3" w:rsidRDefault="00BC0FE1">
      <w:pPr>
        <w:spacing w:before="240" w:after="240"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ese tenor, de la normatividad previamente citada se tiene, que es obligación de las entidades fiscalizables registrar en una bitácora el control de gastos relacionados con reparaciones y mantenimientos de bienes muebles e inmuebles; así como, actividades de maquinaria en comodato, arrendada o prestada. </w:t>
      </w:r>
    </w:p>
    <w:p w:rsidR="00C97499" w:rsidRPr="00BA6AF3" w:rsidRDefault="00BC0FE1">
      <w:pPr>
        <w:spacing w:before="240" w:after="240"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Asimismo, es de señalar los Sujetos Obligados en el ejercicio de sus funciones tienen el deber de documentar todos los actos que deriven del ejercicio de las mismas, tal como lo dispone el artículo 18 de la Ley de Transparencia de la Entidad, que es del tenor literal siguiente. </w:t>
      </w:r>
    </w:p>
    <w:p w:rsidR="00C97499" w:rsidRPr="00BA6AF3" w:rsidRDefault="00BC0FE1">
      <w:pPr>
        <w:spacing w:before="240" w:after="240"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“Artículo 18. Los sujetos obligados deberán </w:t>
      </w:r>
      <w:r w:rsidRPr="00BA6AF3">
        <w:rPr>
          <w:rFonts w:ascii="Palatino Linotype" w:eastAsia="Palatino Linotype" w:hAnsi="Palatino Linotype" w:cs="Palatino Linotype"/>
          <w:b/>
          <w:i/>
          <w:sz w:val="22"/>
          <w:szCs w:val="22"/>
          <w:u w:val="single"/>
        </w:rPr>
        <w:t>documentar todo acto que derive del ejercicio de sus facultades, competencias o funciones, considerando desde su origen la eventual publicidad</w:t>
      </w:r>
      <w:r w:rsidRPr="00BA6AF3">
        <w:rPr>
          <w:rFonts w:ascii="Palatino Linotype" w:eastAsia="Palatino Linotype" w:hAnsi="Palatino Linotype" w:cs="Palatino Linotype"/>
          <w:i/>
          <w:sz w:val="22"/>
          <w:szCs w:val="22"/>
        </w:rPr>
        <w:t xml:space="preserve"> y reutilización de la información que generen.”</w:t>
      </w: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ind w:right="49"/>
        <w:jc w:val="both"/>
        <w:rPr>
          <w:rFonts w:ascii="Palatino Linotype" w:eastAsia="Palatino Linotype" w:hAnsi="Palatino Linotype" w:cs="Palatino Linotype"/>
          <w:i/>
        </w:rPr>
      </w:pPr>
      <w:r w:rsidRPr="00BA6AF3">
        <w:rPr>
          <w:rFonts w:ascii="Palatino Linotype" w:eastAsia="Palatino Linotype" w:hAnsi="Palatino Linotype" w:cs="Palatino Linotype"/>
        </w:rPr>
        <w:t xml:space="preserve">Es así que es por cuanto hace al punto la solicitud que ahora se analiza, el Director de Seguridad Ciudadana y Movilidad, manifestó que: </w:t>
      </w:r>
      <w:r w:rsidRPr="00BA6AF3">
        <w:rPr>
          <w:rFonts w:ascii="Palatino Linotype" w:eastAsia="Palatino Linotype" w:hAnsi="Palatino Linotype" w:cs="Palatino Linotype"/>
          <w:i/>
        </w:rPr>
        <w:t>“…NO MANEJA, NI TIENE NINGUNA “BITACORAS DE SERVICIOS”, DEL PARQUE VEHICULAR DE “SEGURIDAD PUBLICA…”</w:t>
      </w:r>
      <w:r w:rsidRPr="00BA6AF3">
        <w:rPr>
          <w:rFonts w:ascii="Palatino Linotype" w:eastAsia="Palatino Linotype" w:hAnsi="Palatino Linotype" w:cs="Palatino Linotype"/>
        </w:rPr>
        <w:t xml:space="preserve">, la Dirección de Servicios Públicos no se pronunció y la Coordinación Municipal de Gestión Integral de Riesgos, Protección Civil y Bomberos manifestó que: </w:t>
      </w:r>
      <w:r w:rsidRPr="00BA6AF3">
        <w:rPr>
          <w:rFonts w:ascii="Palatino Linotype" w:eastAsia="Palatino Linotype" w:hAnsi="Palatino Linotype" w:cs="Palatino Linotype"/>
          <w:i/>
        </w:rPr>
        <w:t xml:space="preserve">“no cuenta con bitácora de servicios en los cuales el solicitante </w:t>
      </w:r>
      <w:r w:rsidRPr="00BA6AF3">
        <w:rPr>
          <w:rFonts w:ascii="Palatino Linotype" w:eastAsia="Palatino Linotype" w:hAnsi="Palatino Linotype" w:cs="Palatino Linotype"/>
          <w:i/>
        </w:rPr>
        <w:lastRenderedPageBreak/>
        <w:t xml:space="preserve">los requiere, por tal motivo que no especifica si la bitácora de servicio que solicita es la de mantenimiento de las unidades el cual le compete a área administración. </w:t>
      </w: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Correlativo a lo anterior, como ya quedó precisado la Dirección de Administración y la Tesorería no negaron contar con la información sino que manifestaron la incapacidad para entregar la información en el plazo establecido por la Ley, por lo que propusieron el cambio de modalidad a consulta directa para la entrega de información, consideración que ya fue analizada y la cual se determinó improcedente. </w:t>
      </w: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Es así que, en atención a la consideraciones previamente señaladas, este Organismo Garante determina dable ordenar la entrega de las bitácoras de mantenimiento y servicios realizados al parque vehicular asignado o bajo el resguardo; así como las unidades descompuestas o fuera de servicio de la Tesorería Municipal, la Dirección de Servicios Públicos, Dirección de Seguridad Ciudadana y Movilidad y de la Coordinación Municipal de Gestión Integral de Riesgos, Protección Civil y Bomberos del uno de enero de dos mil dieciocho al uno de agosto de dos mil veintidós. </w:t>
      </w:r>
    </w:p>
    <w:p w:rsidR="00C97499" w:rsidRPr="00BA6AF3" w:rsidRDefault="00BC0FE1">
      <w:pPr>
        <w:spacing w:before="280" w:after="28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b/>
        </w:rPr>
        <w:t>2. Licencias de conducir de los operadores y choferes</w:t>
      </w: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Sobre este punto cabe señalar que La Ley de la materia delimita perfectamente los alcances de las obligaciones que corresponden a los Ayuntamientos, como se advierte enseguida:</w:t>
      </w:r>
    </w:p>
    <w:p w:rsidR="00C97499" w:rsidRPr="00BA6AF3" w:rsidRDefault="00BC0FE1">
      <w:pPr>
        <w:ind w:left="567" w:right="56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lastRenderedPageBreak/>
        <w:t>“Artículo 23.</w:t>
      </w:r>
      <w:r w:rsidRPr="00BA6AF3">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rsidR="00C97499" w:rsidRPr="00BA6AF3" w:rsidRDefault="00BC0FE1">
      <w:pPr>
        <w:ind w:left="567" w:right="56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IV. Los ayuntamientos y las dependencias, organismos, órganos y entidades de la administración municipal</w:t>
      </w:r>
      <w:r w:rsidRPr="00BA6AF3">
        <w:rPr>
          <w:rFonts w:ascii="Palatino Linotype" w:eastAsia="Palatino Linotype" w:hAnsi="Palatino Linotype" w:cs="Palatino Linotype"/>
          <w:i/>
          <w:sz w:val="22"/>
          <w:szCs w:val="22"/>
        </w:rPr>
        <w:t>;”</w:t>
      </w:r>
    </w:p>
    <w:p w:rsidR="00C97499" w:rsidRPr="00BA6AF3" w:rsidRDefault="00BC0FE1">
      <w:pPr>
        <w:ind w:left="567" w:right="567"/>
        <w:jc w:val="right"/>
        <w:rPr>
          <w:rFonts w:ascii="Palatino Linotype" w:eastAsia="Palatino Linotype" w:hAnsi="Palatino Linotype" w:cs="Palatino Linotype"/>
          <w:i/>
        </w:rPr>
      </w:pPr>
      <w:r w:rsidRPr="00BA6AF3">
        <w:rPr>
          <w:rFonts w:ascii="Palatino Linotype" w:eastAsia="Palatino Linotype" w:hAnsi="Palatino Linotype" w:cs="Palatino Linotype"/>
          <w:i/>
        </w:rPr>
        <w:t>)</w:t>
      </w:r>
    </w:p>
    <w:p w:rsidR="00C97499" w:rsidRPr="00BA6AF3" w:rsidRDefault="00BC0FE1">
      <w:pPr>
        <w:spacing w:line="360" w:lineRule="auto"/>
        <w:ind w:right="51"/>
        <w:jc w:val="both"/>
        <w:rPr>
          <w:rFonts w:ascii="Palatino Linotype" w:eastAsia="Palatino Linotype" w:hAnsi="Palatino Linotype" w:cs="Palatino Linotype"/>
        </w:rPr>
      </w:pPr>
      <w:r w:rsidRPr="00BA6AF3">
        <w:rPr>
          <w:rFonts w:ascii="Palatino Linotype" w:eastAsia="Palatino Linotype" w:hAnsi="Palatino Linotype" w:cs="Palatino Linotype"/>
        </w:rPr>
        <w:t>Del precepto legal en cita se establece que los Ayuntamientos, y las dependencias, organismos, órganos y entidades de la administración municipal se encuentran obligados a transparentar y permitir el acceso a la información que generen, posean o administren; de ahí que la Ley de la materia delimita perfectamente los alcances de las obligaciones que corresponden a los Ayuntamientos y las dependencias, organismos, órganos y entidades de la administración municipal.</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Así, resulta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ind w:left="567"/>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1. </w:t>
      </w:r>
      <w:r w:rsidRPr="00BA6AF3">
        <w:rPr>
          <w:rFonts w:ascii="Palatino Linotype" w:eastAsia="Palatino Linotype" w:hAnsi="Palatino Linotype" w:cs="Palatino Linotype"/>
          <w:b/>
          <w:color w:val="000000"/>
        </w:rPr>
        <w:t>Las Unidades de Transparencia garantizarán que las solicitudes de acceso a la información se turnen a todas las áreas competentes</w:t>
      </w:r>
      <w:r w:rsidRPr="00BA6AF3">
        <w:rPr>
          <w:rFonts w:ascii="Palatino Linotype" w:eastAsia="Palatino Linotype" w:hAnsi="Palatino Linotype" w:cs="Palatino Linotype"/>
          <w:color w:val="000000"/>
        </w:rPr>
        <w:t xml:space="preserve"> que cuenten con la información o deban tenerla -de acuerdo a las facultades, competencias y funciones-, con el objeto de que dichas áreas realicen una búsqueda exhaustiva y razonable de la información requerida, y </w:t>
      </w:r>
    </w:p>
    <w:p w:rsidR="00C97499" w:rsidRPr="00BA6AF3" w:rsidRDefault="00BC0FE1">
      <w:pPr>
        <w:spacing w:line="360" w:lineRule="auto"/>
        <w:ind w:left="567"/>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2. Los sujetos obligados otorgaran acceso a los documentos que se encuentren en sus archivos o que estén obligados a documentar de acuerdo con sus facultades, competencias o funciones, en el formato en que la solicitante manifieste, de entre aquellos formatos existentes. </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Así, a efecto de determinar si el Sujeto Obligado cumplió con el procedimiento de búsqueda, resulta necesario precisar que el artículo 30 del Manual de Organización de la Dirección de Administración de Melchor Ocampo, establece</w:t>
      </w:r>
    </w:p>
    <w:p w:rsidR="00C97499" w:rsidRPr="00BA6AF3" w:rsidRDefault="00C97499">
      <w:pPr>
        <w:spacing w:line="360" w:lineRule="auto"/>
        <w:jc w:val="both"/>
      </w:pP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“ARTÍCULO 30</w:t>
      </w:r>
      <w:r w:rsidRPr="00BA6AF3">
        <w:rPr>
          <w:rFonts w:ascii="Palatino Linotype" w:eastAsia="Palatino Linotype" w:hAnsi="Palatino Linotype" w:cs="Palatino Linotype"/>
          <w:i/>
          <w:sz w:val="22"/>
          <w:szCs w:val="22"/>
        </w:rPr>
        <w:t>.- A la Dirección de Administración le corresponde planear y administrar los recursos humanos, materiales y los servicios de la Administración Pública Municipal, cuyas atribuciones son las siguientes:</w:t>
      </w:r>
    </w:p>
    <w:p w:rsidR="00C97499" w:rsidRPr="00BA6AF3" w:rsidRDefault="00BC0FE1">
      <w:pPr>
        <w:spacing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C97499">
      <w:pPr>
        <w:spacing w:line="276" w:lineRule="auto"/>
        <w:ind w:left="851" w:right="616"/>
        <w:jc w:val="both"/>
        <w:rPr>
          <w:rFonts w:ascii="Palatino Linotype" w:eastAsia="Palatino Linotype" w:hAnsi="Palatino Linotype" w:cs="Palatino Linotype"/>
          <w:i/>
          <w:sz w:val="22"/>
          <w:szCs w:val="22"/>
        </w:rPr>
      </w:pPr>
    </w:p>
    <w:p w:rsidR="00C97499" w:rsidRPr="00BA6AF3" w:rsidRDefault="00BC0FE1">
      <w:pPr>
        <w:spacing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IX. Controlar y vigilar los almacenes de bienes adquiridos, así como los lugares destinados para la guarda de vehículos propiedad municipal y demás inmuebles que tengan relación directa con las funciones encomendadas, debiendo en todo momento resguardar en buen estado los bienes </w:t>
      </w:r>
      <w:proofErr w:type="spellStart"/>
      <w:r w:rsidRPr="00BA6AF3">
        <w:rPr>
          <w:rFonts w:ascii="Palatino Linotype" w:eastAsia="Palatino Linotype" w:hAnsi="Palatino Linotype" w:cs="Palatino Linotype"/>
          <w:i/>
          <w:sz w:val="22"/>
          <w:szCs w:val="22"/>
        </w:rPr>
        <w:t>recepcionados</w:t>
      </w:r>
      <w:proofErr w:type="spellEnd"/>
      <w:r w:rsidRPr="00BA6AF3">
        <w:rPr>
          <w:rFonts w:ascii="Palatino Linotype" w:eastAsia="Palatino Linotype" w:hAnsi="Palatino Linotype" w:cs="Palatino Linotype"/>
          <w:i/>
          <w:sz w:val="22"/>
          <w:szCs w:val="22"/>
        </w:rPr>
        <w:t xml:space="preserve"> en el almacén e informar la adquisición de bienes de activo fijo, a la Secretaría del Ayuntamiento;</w:t>
      </w:r>
    </w:p>
    <w:p w:rsidR="00C97499" w:rsidRPr="00BA6AF3" w:rsidRDefault="00BC0FE1">
      <w:pPr>
        <w:spacing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BC0FE1">
      <w:pPr>
        <w:spacing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XII. Controlar y asegurar el parque vehicular de la Administración Pública Municipal a cargo del personal responsable del resguardo, y demás datos que sean necesarios para su control, vigilando además el correcto suministro de energéticos incluyendo aquellas unidades en comodato;</w:t>
      </w:r>
    </w:p>
    <w:p w:rsidR="00C97499" w:rsidRPr="00BA6AF3" w:rsidRDefault="00BC0FE1">
      <w:pPr>
        <w:spacing w:line="276" w:lineRule="auto"/>
        <w:ind w:left="851" w:right="616"/>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sz w:val="22"/>
          <w:szCs w:val="22"/>
        </w:rPr>
        <w:t xml:space="preserve">…” </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Así se logra vislumbrar que la Dirección de Administración cuenta con facultades para conocer todo lo relacionado con la administración de los expedientes de personal y el parque vehicular con el que contaba el Ayuntamiento, por lo que, se considera que no cumplió con el procedimiento de búsqueda establecido en el artículo 162 de la Ley de Transparencia y Acceso a la Información Pública del Estado de México y Municipios.</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Ahora bien, es necesario traer a colación los Lineamientos de Control Financiero y Administrativo para las Entidades Fiscalizables Municipales del Estado de México, que en su Título Segundo “Lineamientos de Control Financiero y Administrativo”, en su punto 88, establece que tratándose de la conducción de vehículos o de aquel bien que lo amerite, verificar que el servidor público cuente con licencia de conducir vigente. En ese contexto, el Pleno de este Instituto considera que la función de verificar por parte de la Dirección de Administración, establecida en los Lineamientos referidos, implica que dicha área resguarde una copia de la licencia de conducir de los servidores públicos y, por lo tanto, deberían obrar en sus archivos.</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Cabe destacar que el punto 83 de los Lineamientos en cita, establecen una obligación que no es potestativa, pues refiere:</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ind w:left="851" w:right="567"/>
        <w:jc w:val="both"/>
        <w:rPr>
          <w:rFonts w:ascii="Palatino Linotype" w:eastAsia="Palatino Linotype" w:hAnsi="Palatino Linotype" w:cs="Palatino Linotype"/>
          <w:i/>
        </w:rPr>
      </w:pPr>
      <w:r w:rsidRPr="00BA6AF3">
        <w:rPr>
          <w:rFonts w:ascii="Palatino Linotype" w:eastAsia="Palatino Linotype" w:hAnsi="Palatino Linotype" w:cs="Palatino Linotype"/>
          <w:i/>
        </w:rPr>
        <w:t>“Son obligaciones del titular de cada Entidad Fiscalizable Municipal:</w:t>
      </w:r>
    </w:p>
    <w:p w:rsidR="00C97499" w:rsidRPr="00BA6AF3" w:rsidRDefault="00BC0FE1">
      <w:pPr>
        <w:ind w:left="851" w:right="567"/>
        <w:jc w:val="both"/>
        <w:rPr>
          <w:rFonts w:ascii="Palatino Linotype" w:eastAsia="Palatino Linotype" w:hAnsi="Palatino Linotype" w:cs="Palatino Linotype"/>
          <w:i/>
        </w:rPr>
      </w:pPr>
      <w:r w:rsidRPr="00BA6AF3">
        <w:rPr>
          <w:rFonts w:ascii="Palatino Linotype" w:eastAsia="Palatino Linotype" w:hAnsi="Palatino Linotype" w:cs="Palatino Linotype"/>
          <w:i/>
        </w:rPr>
        <w:t>…</w:t>
      </w:r>
    </w:p>
    <w:p w:rsidR="00C97499" w:rsidRPr="00BA6AF3" w:rsidRDefault="00BC0FE1">
      <w:pPr>
        <w:ind w:left="851" w:right="567"/>
        <w:jc w:val="both"/>
        <w:rPr>
          <w:rFonts w:ascii="Palatino Linotype" w:eastAsia="Palatino Linotype" w:hAnsi="Palatino Linotype" w:cs="Palatino Linotype"/>
          <w:i/>
          <w:color w:val="000000"/>
        </w:rPr>
      </w:pPr>
      <w:r w:rsidRPr="00BA6AF3">
        <w:rPr>
          <w:rFonts w:ascii="Palatino Linotype" w:eastAsia="Palatino Linotype" w:hAnsi="Palatino Linotype" w:cs="Palatino Linotype"/>
          <w:i/>
        </w:rPr>
        <w:t xml:space="preserve">83. Designar al servidor público </w:t>
      </w:r>
      <w:r w:rsidRPr="00BA6AF3">
        <w:rPr>
          <w:rFonts w:ascii="Palatino Linotype" w:eastAsia="Palatino Linotype" w:hAnsi="Palatino Linotype" w:cs="Palatino Linotype"/>
          <w:b/>
          <w:i/>
          <w:u w:val="single"/>
        </w:rPr>
        <w:t>responsable de verificar</w:t>
      </w:r>
      <w:r w:rsidRPr="00BA6AF3">
        <w:rPr>
          <w:rFonts w:ascii="Palatino Linotype" w:eastAsia="Palatino Linotype" w:hAnsi="Palatino Linotype" w:cs="Palatino Linotype"/>
          <w:i/>
        </w:rPr>
        <w:t xml:space="preserve"> que la vigencia de los seguros de los bienes muebles se encuentre vigente, evitando que éstos se queden sin cobertura; anticipando los procedimientos administrativos correspondientes para la contratación de los mismos.”</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Como se puede apreciar tiene que designarse a un servidor público que verifique la vigencia de los seguros de los bienes muebles del Ayuntamiento, entre ellos, los asignados a la </w:t>
      </w:r>
      <w:r w:rsidRPr="00BA6AF3">
        <w:rPr>
          <w:rFonts w:ascii="Palatino Linotype" w:eastAsia="Palatino Linotype" w:hAnsi="Palatino Linotype" w:cs="Palatino Linotype"/>
        </w:rPr>
        <w:t>Tesorería Municipal, la Dirección de Servicios Públicos, Dirección de Seguridad Ciudadana y Movilidad y de la Coordinación Municipal de Gestión Integral de Riesgos, Protección Civil y Bomberos</w:t>
      </w:r>
      <w:r w:rsidRPr="00BA6AF3">
        <w:rPr>
          <w:rFonts w:ascii="Palatino Linotype" w:eastAsia="Palatino Linotype" w:hAnsi="Palatino Linotype" w:cs="Palatino Linotype"/>
          <w:color w:val="000000"/>
        </w:rPr>
        <w:t xml:space="preserve">, seguridad pública y áreas que </w:t>
      </w:r>
      <w:r w:rsidRPr="00BA6AF3">
        <w:rPr>
          <w:rFonts w:ascii="Palatino Linotype" w:eastAsia="Palatino Linotype" w:hAnsi="Palatino Linotype" w:cs="Palatino Linotype"/>
          <w:color w:val="000000"/>
        </w:rPr>
        <w:lastRenderedPageBreak/>
        <w:t xml:space="preserve">hagan uso de los vehículos, destacando el hecho de que ningún vehículo </w:t>
      </w:r>
      <w:proofErr w:type="spellStart"/>
      <w:r w:rsidRPr="00BA6AF3">
        <w:rPr>
          <w:rFonts w:ascii="Palatino Linotype" w:eastAsia="Palatino Linotype" w:hAnsi="Palatino Linotype" w:cs="Palatino Linotype"/>
          <w:color w:val="000000"/>
        </w:rPr>
        <w:t>esta</w:t>
      </w:r>
      <w:proofErr w:type="spellEnd"/>
      <w:r w:rsidRPr="00BA6AF3">
        <w:rPr>
          <w:rFonts w:ascii="Palatino Linotype" w:eastAsia="Palatino Linotype" w:hAnsi="Palatino Linotype" w:cs="Palatino Linotype"/>
          <w:color w:val="000000"/>
        </w:rPr>
        <w:t xml:space="preserve"> exento de sufrir un accidente o un siniestro, lo anterior es así pues sin licencia de manejo vigente el seguro no puede ser aplicado en caso de siniestro o accidente, por tal motivo lo norma en cita lo establece como una obligación.</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A efecto de robustecer lo anterior, que la Dirección de Administración no negó contar con las licencias de conducir solicitadas sino que como ya se analizó hizo del conocimiento de la parte </w:t>
      </w:r>
      <w:r w:rsidRPr="00BA6AF3">
        <w:rPr>
          <w:rFonts w:ascii="Palatino Linotype" w:eastAsia="Palatino Linotype" w:hAnsi="Palatino Linotype" w:cs="Palatino Linotype"/>
          <w:b/>
          <w:color w:val="000000"/>
        </w:rPr>
        <w:t xml:space="preserve">Recurrente </w:t>
      </w:r>
      <w:r w:rsidRPr="00BA6AF3">
        <w:rPr>
          <w:rFonts w:ascii="Palatino Linotype" w:eastAsia="Palatino Linotype" w:hAnsi="Palatino Linotype" w:cs="Palatino Linotype"/>
          <w:color w:val="000000"/>
        </w:rPr>
        <w:t xml:space="preserve">los días, horario y domicilio al que debía acudir para la consulta de la información; cambio de modalidad que no es procedente por las consideraciones previamente señaladas y en este sentido, es dable ordenar vía  SAIMEX, en versión publica, las licencias de conducir de operadores y/o choferes de los vehículos asignados o bajo el resguardo de la </w:t>
      </w:r>
      <w:r w:rsidRPr="00BA6AF3">
        <w:rPr>
          <w:rFonts w:ascii="Palatino Linotype" w:eastAsia="Palatino Linotype" w:hAnsi="Palatino Linotype" w:cs="Palatino Linotype"/>
        </w:rPr>
        <w:t>Tesorería Municipal, la Dirección de Servicios Públicos, Dirección de Seguridad Ciudadana y Movilidad y de la Coordinación Municipal de Gestión Integral de Riesgos, Protección Civil y Bomberos</w:t>
      </w:r>
      <w:r w:rsidRPr="00BA6AF3">
        <w:rPr>
          <w:rFonts w:ascii="Palatino Linotype" w:eastAsia="Palatino Linotype" w:hAnsi="Palatino Linotype" w:cs="Palatino Linotype"/>
          <w:color w:val="000000"/>
        </w:rPr>
        <w:t>.</w:t>
      </w:r>
    </w:p>
    <w:p w:rsidR="00500449" w:rsidRPr="00BA6AF3" w:rsidRDefault="00500449">
      <w:pPr>
        <w:spacing w:line="360" w:lineRule="auto"/>
        <w:jc w:val="both"/>
        <w:rPr>
          <w:rFonts w:ascii="Palatino Linotype" w:eastAsia="Palatino Linotype" w:hAnsi="Palatino Linotype" w:cs="Palatino Linotype"/>
          <w:color w:val="000000"/>
        </w:rPr>
      </w:pPr>
    </w:p>
    <w:p w:rsidR="00146127" w:rsidRPr="00BA6AF3" w:rsidRDefault="00146127" w:rsidP="00146127">
      <w:pPr>
        <w:spacing w:line="360" w:lineRule="auto"/>
        <w:ind w:right="-91"/>
        <w:jc w:val="both"/>
        <w:rPr>
          <w:rFonts w:ascii="Palatino Linotype" w:eastAsia="Palatino Linotype" w:hAnsi="Palatino Linotype" w:cs="Palatino Linotype"/>
        </w:rPr>
      </w:pPr>
      <w:r w:rsidRPr="00BA6AF3">
        <w:rPr>
          <w:rFonts w:ascii="Palatino Linotype" w:eastAsia="Palatino Linotype" w:hAnsi="Palatino Linotype" w:cs="Palatino Linotype"/>
        </w:rPr>
        <w:t>Sin embargo, para el caso de que no se llegara a localizar información por</w:t>
      </w:r>
      <w:r w:rsidR="00EC6EED" w:rsidRPr="00BA6AF3">
        <w:rPr>
          <w:rFonts w:ascii="Palatino Linotype" w:eastAsia="Palatino Linotype" w:hAnsi="Palatino Linotype" w:cs="Palatino Linotype"/>
        </w:rPr>
        <w:t>que no forma parte de sus archivos al no haberse requerido</w:t>
      </w:r>
      <w:r w:rsidRPr="00BA6AF3">
        <w:rPr>
          <w:rFonts w:ascii="Palatino Linotype" w:eastAsia="Palatino Linotype" w:hAnsi="Palatino Linotype" w:cs="Palatino Linotype"/>
        </w:rPr>
        <w:t>,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rsidR="00146127" w:rsidRPr="00BA6AF3" w:rsidRDefault="00146127" w:rsidP="00146127">
      <w:pPr>
        <w:spacing w:line="360" w:lineRule="auto"/>
        <w:ind w:right="-91"/>
        <w:jc w:val="both"/>
        <w:rPr>
          <w:rFonts w:ascii="Palatino Linotype" w:eastAsia="Palatino Linotype" w:hAnsi="Palatino Linotype" w:cs="Palatino Linotype"/>
        </w:rPr>
      </w:pPr>
    </w:p>
    <w:p w:rsidR="00EC6EED" w:rsidRPr="00BA6AF3" w:rsidRDefault="00EC6EED" w:rsidP="00146127">
      <w:pPr>
        <w:spacing w:line="360" w:lineRule="auto"/>
        <w:ind w:right="-91"/>
        <w:jc w:val="both"/>
        <w:rPr>
          <w:rFonts w:ascii="Palatino Linotype" w:eastAsia="Palatino Linotype" w:hAnsi="Palatino Linotype" w:cs="Palatino Linotype"/>
        </w:rPr>
      </w:pPr>
    </w:p>
    <w:p w:rsidR="00146127" w:rsidRPr="00BA6AF3" w:rsidRDefault="00146127" w:rsidP="00146127">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“Artículo 19…</w:t>
      </w:r>
    </w:p>
    <w:p w:rsidR="00146127" w:rsidRPr="00BA6AF3" w:rsidRDefault="00146127" w:rsidP="00146127">
      <w:pP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rsidR="00146127" w:rsidRPr="00BA6AF3" w:rsidRDefault="00146127" w:rsidP="00146127">
      <w:pPr>
        <w:ind w:left="851" w:right="616"/>
        <w:jc w:val="both"/>
        <w:rPr>
          <w:rFonts w:ascii="Palatino Linotype" w:eastAsia="Palatino Linotype" w:hAnsi="Palatino Linotype" w:cs="Palatino Linotype"/>
          <w:i/>
        </w:rPr>
      </w:pPr>
    </w:p>
    <w:p w:rsidR="00146127" w:rsidRPr="00BA6AF3" w:rsidRDefault="00146127" w:rsidP="00146127">
      <w:pPr>
        <w:spacing w:line="360" w:lineRule="auto"/>
        <w:ind w:right="-91"/>
        <w:jc w:val="both"/>
        <w:rPr>
          <w:rFonts w:ascii="Palatino Linotype" w:eastAsia="Palatino Linotype" w:hAnsi="Palatino Linotype" w:cs="Palatino Linotype"/>
        </w:rPr>
      </w:pPr>
      <w:r w:rsidRPr="00BA6AF3">
        <w:rPr>
          <w:rFonts w:ascii="Palatino Linotype" w:eastAsia="Palatino Linotype" w:hAnsi="Palatino Linotype" w:cs="Palatino Linotype"/>
        </w:rPr>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C97499" w:rsidRPr="00BA6AF3" w:rsidRDefault="00BC0FE1">
      <w:pPr>
        <w:spacing w:before="280" w:after="28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b/>
        </w:rPr>
        <w:t xml:space="preserve">3. Litros de combustible para cada vehículo dado de alta en el parque vehicular del área de servicios públicos. </w:t>
      </w:r>
    </w:p>
    <w:p w:rsidR="00C97499" w:rsidRPr="00BA6AF3" w:rsidRDefault="00BC0FE1">
      <w:pPr>
        <w:spacing w:before="240" w:after="240" w:line="360" w:lineRule="auto"/>
        <w:ind w:right="49"/>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rPr>
        <w:t xml:space="preserve">Es importante reiterar que la fracción XII del artículo 30 del </w:t>
      </w:r>
      <w:r w:rsidRPr="00BA6AF3">
        <w:rPr>
          <w:rFonts w:ascii="Palatino Linotype" w:eastAsia="Palatino Linotype" w:hAnsi="Palatino Linotype" w:cs="Palatino Linotype"/>
          <w:color w:val="000000"/>
        </w:rPr>
        <w:t xml:space="preserve">Manual de Organización de la Dirección de Administración de Melchor Ocampo dispone que la Dirección de Administración es el área facultada para vigilar el correcto suministro de combustible. </w:t>
      </w:r>
    </w:p>
    <w:p w:rsidR="00C97499" w:rsidRPr="00BA6AF3" w:rsidRDefault="00BC0FE1">
      <w:pPr>
        <w:spacing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“ARTÍCULO 30</w:t>
      </w:r>
      <w:r w:rsidRPr="00BA6AF3">
        <w:rPr>
          <w:rFonts w:ascii="Palatino Linotype" w:eastAsia="Palatino Linotype" w:hAnsi="Palatino Linotype" w:cs="Palatino Linotype"/>
          <w:i/>
          <w:sz w:val="22"/>
          <w:szCs w:val="22"/>
        </w:rPr>
        <w:t>.- A la Dirección de Administración le corresponde planear y administrar los recursos humanos, materiales y los servicios de la Administración Pública Municipal, cuyas atribuciones son las siguientes:</w:t>
      </w:r>
    </w:p>
    <w:p w:rsidR="00C97499" w:rsidRPr="00BA6AF3" w:rsidRDefault="00BC0FE1">
      <w:pPr>
        <w:spacing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BC0FE1">
      <w:pPr>
        <w:spacing w:line="276" w:lineRule="auto"/>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XII. Controlar y asegurar el parque vehicular de la Administración Pública Municipal a cargo del personal responsable del resguardo, y demás datos que sean necesarios para su control, </w:t>
      </w:r>
      <w:r w:rsidRPr="00BA6AF3">
        <w:rPr>
          <w:rFonts w:ascii="Palatino Linotype" w:eastAsia="Palatino Linotype" w:hAnsi="Palatino Linotype" w:cs="Palatino Linotype"/>
          <w:b/>
          <w:i/>
          <w:sz w:val="22"/>
          <w:szCs w:val="22"/>
          <w:u w:val="single"/>
        </w:rPr>
        <w:t>vigilando además el correcto suministro de energéticos incluyendo aquellas unidades en comodato</w:t>
      </w:r>
    </w:p>
    <w:p w:rsidR="00C97499" w:rsidRPr="00BA6AF3" w:rsidRDefault="00C97499">
      <w:pPr>
        <w:spacing w:before="240" w:after="240" w:line="360" w:lineRule="auto"/>
        <w:ind w:right="49"/>
        <w:jc w:val="both"/>
        <w:rPr>
          <w:rFonts w:ascii="Palatino Linotype" w:eastAsia="Palatino Linotype" w:hAnsi="Palatino Linotype" w:cs="Palatino Linotype"/>
          <w:color w:val="000000"/>
        </w:rPr>
      </w:pPr>
    </w:p>
    <w:p w:rsidR="00C97499" w:rsidRPr="00BA6AF3" w:rsidRDefault="00BC0FE1">
      <w:pPr>
        <w:spacing w:before="240" w:after="240" w:line="360" w:lineRule="auto"/>
        <w:ind w:right="49"/>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rPr>
        <w:lastRenderedPageBreak/>
        <w:t xml:space="preserve">Asimismo, resulta pertinente observar el contenido de los Lineamientos de Control Financiero y Administrativo para las Entidades Fiscalizables Municipales del Estado de México, los cuales revisten interés para el presente análisis por el siguiente contenido: </w:t>
      </w:r>
    </w:p>
    <w:p w:rsidR="00C97499" w:rsidRPr="00BA6AF3" w:rsidRDefault="00BC0FE1">
      <w:pPr>
        <w:spacing w:before="240" w:after="240" w:line="360" w:lineRule="auto"/>
        <w:ind w:left="567" w:right="900"/>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 xml:space="preserve"> “…</w:t>
      </w:r>
    </w:p>
    <w:p w:rsidR="00C97499" w:rsidRPr="00BA6AF3" w:rsidRDefault="00BC0FE1">
      <w:pPr>
        <w:spacing w:before="240" w:after="240" w:line="276" w:lineRule="auto"/>
        <w:ind w:left="567"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VIGÉSIMO OCTAVO: </w:t>
      </w:r>
      <w:r w:rsidRPr="00BA6AF3">
        <w:rPr>
          <w:rFonts w:ascii="Palatino Linotype" w:eastAsia="Palatino Linotype" w:hAnsi="Palatino Linotype" w:cs="Palatino Linotype"/>
          <w:b/>
          <w:i/>
          <w:sz w:val="22"/>
          <w:szCs w:val="22"/>
          <w:u w:val="single"/>
        </w:rPr>
        <w:t xml:space="preserve">Los servidores públicos municipales responsables de llevar el control del consumo de los combustibles </w:t>
      </w:r>
      <w:r w:rsidRPr="00BA6AF3">
        <w:rPr>
          <w:rFonts w:ascii="Palatino Linotype" w:eastAsia="Palatino Linotype" w:hAnsi="Palatino Linotype" w:cs="Palatino Linotype"/>
          <w:i/>
          <w:sz w:val="22"/>
          <w:szCs w:val="22"/>
        </w:rPr>
        <w:t xml:space="preserve">y lubricantes </w:t>
      </w:r>
      <w:r w:rsidRPr="00BA6AF3">
        <w:rPr>
          <w:rFonts w:ascii="Palatino Linotype" w:eastAsia="Palatino Linotype" w:hAnsi="Palatino Linotype" w:cs="Palatino Linotype"/>
          <w:b/>
          <w:i/>
          <w:sz w:val="22"/>
          <w:szCs w:val="22"/>
          <w:u w:val="single"/>
        </w:rPr>
        <w:t xml:space="preserve">de cada uno de los vehículos y maquinaria de la entidad fiscalizable municipal, por medio de los vales de gasolina o por los consumos foráneos que realicen fuera del municipio, deberán llevar una bitácora de acuerdo al anexo 3.” </w:t>
      </w:r>
      <w:r w:rsidRPr="00BA6AF3">
        <w:rPr>
          <w:rFonts w:ascii="Palatino Linotype" w:eastAsia="Palatino Linotype" w:hAnsi="Palatino Linotype" w:cs="Palatino Linotype"/>
          <w:i/>
          <w:sz w:val="22"/>
          <w:szCs w:val="22"/>
        </w:rPr>
        <w:t>(Énfasis añadido)</w:t>
      </w:r>
    </w:p>
    <w:p w:rsidR="00C97499" w:rsidRPr="00BA6AF3" w:rsidRDefault="00BC0FE1">
      <w:pPr>
        <w:spacing w:before="240" w:after="240" w:line="276" w:lineRule="auto"/>
        <w:ind w:right="900"/>
        <w:jc w:val="both"/>
        <w:rPr>
          <w:rFonts w:ascii="Palatino Linotype" w:eastAsia="Palatino Linotype" w:hAnsi="Palatino Linotype" w:cs="Palatino Linotype"/>
          <w:b/>
          <w:u w:val="single"/>
        </w:rPr>
      </w:pPr>
      <w:r w:rsidRPr="00BA6AF3">
        <w:rPr>
          <w:rFonts w:ascii="Palatino Linotype" w:eastAsia="Palatino Linotype" w:hAnsi="Palatino Linotype" w:cs="Palatino Linotype"/>
          <w:b/>
        </w:rPr>
        <w:t>ANEXO 3:</w:t>
      </w:r>
      <w:r w:rsidRPr="00BA6AF3">
        <w:rPr>
          <w:noProof/>
        </w:rPr>
        <w:drawing>
          <wp:anchor distT="0" distB="0" distL="114300" distR="114300" simplePos="0" relativeHeight="251658240" behindDoc="0" locked="0" layoutInCell="1" hidden="0" allowOverlap="1">
            <wp:simplePos x="0" y="0"/>
            <wp:positionH relativeFrom="column">
              <wp:posOffset>-22858</wp:posOffset>
            </wp:positionH>
            <wp:positionV relativeFrom="paragraph">
              <wp:posOffset>265430</wp:posOffset>
            </wp:positionV>
            <wp:extent cx="5612130" cy="2743835"/>
            <wp:effectExtent l="0" t="0" r="0" b="0"/>
            <wp:wrapTopAndBottom distT="0" distB="0"/>
            <wp:docPr id="20675916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612130" cy="2743835"/>
                    </a:xfrm>
                    <a:prstGeom prst="rect">
                      <a:avLst/>
                    </a:prstGeom>
                    <a:ln/>
                  </pic:spPr>
                </pic:pic>
              </a:graphicData>
            </a:graphic>
          </wp:anchor>
        </w:drawing>
      </w:r>
    </w:p>
    <w:p w:rsidR="00C97499" w:rsidRPr="00BA6AF3" w:rsidRDefault="00C97499">
      <w:p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color w:val="000000"/>
        </w:rPr>
        <w:t xml:space="preserve">De manera que como se visualiza con lo insertado anteriormente, la Dirección de Administración es el área responsable de suministrar combustible al parque </w:t>
      </w:r>
      <w:r w:rsidRPr="00BA6AF3">
        <w:rPr>
          <w:rFonts w:ascii="Palatino Linotype" w:eastAsia="Palatino Linotype" w:hAnsi="Palatino Linotype" w:cs="Palatino Linotype"/>
          <w:color w:val="000000"/>
        </w:rPr>
        <w:lastRenderedPageBreak/>
        <w:t>vehicular por lo que necesariamente  debe requisita las bitácoras que dan cuenta en el que se da cuenta de los litros de combustible suministrados a cada uno de los vehículos, por lo tanto, resulta procedente ordenar la entrega de las bitácoras de consumo de gasolina/</w:t>
      </w:r>
      <w:proofErr w:type="spellStart"/>
      <w:r w:rsidRPr="00BA6AF3">
        <w:rPr>
          <w:rFonts w:ascii="Palatino Linotype" w:eastAsia="Palatino Linotype" w:hAnsi="Palatino Linotype" w:cs="Palatino Linotype"/>
          <w:color w:val="000000"/>
        </w:rPr>
        <w:t>diesel</w:t>
      </w:r>
      <w:proofErr w:type="spellEnd"/>
      <w:r w:rsidRPr="00BA6AF3">
        <w:rPr>
          <w:rFonts w:ascii="Palatino Linotype" w:eastAsia="Palatino Linotype" w:hAnsi="Palatino Linotype" w:cs="Palatino Linotype"/>
          <w:color w:val="000000"/>
        </w:rPr>
        <w:t xml:space="preserve">, de los vehículos asignados a las áreas administrativas solicitadas </w:t>
      </w:r>
      <w:r w:rsidRPr="00BA6AF3">
        <w:rPr>
          <w:rFonts w:ascii="Palatino Linotype" w:eastAsia="Palatino Linotype" w:hAnsi="Palatino Linotype" w:cs="Palatino Linotype"/>
        </w:rPr>
        <w:t xml:space="preserve">uno de enero de dos mil dieciocho al uno de agosto de dos mil veintidós. </w:t>
      </w:r>
    </w:p>
    <w:p w:rsidR="00C97499" w:rsidRPr="00BA6AF3" w:rsidRDefault="00BC0FE1">
      <w:pPr>
        <w:numPr>
          <w:ilvl w:val="0"/>
          <w:numId w:val="6"/>
        </w:numPr>
        <w:pBdr>
          <w:top w:val="nil"/>
          <w:left w:val="nil"/>
          <w:bottom w:val="nil"/>
          <w:right w:val="nil"/>
          <w:between w:val="nil"/>
        </w:pBdr>
        <w:spacing w:before="280" w:after="280" w:line="360" w:lineRule="auto"/>
        <w:ind w:left="284" w:hanging="284"/>
        <w:jc w:val="both"/>
        <w:rPr>
          <w:rFonts w:ascii="Palatino Linotype" w:eastAsia="Palatino Linotype" w:hAnsi="Palatino Linotype" w:cs="Palatino Linotype"/>
          <w:b/>
          <w:color w:val="000000"/>
        </w:rPr>
      </w:pPr>
      <w:r w:rsidRPr="00BA6AF3">
        <w:rPr>
          <w:rFonts w:ascii="Palatino Linotype" w:eastAsia="Palatino Linotype" w:hAnsi="Palatino Linotype" w:cs="Palatino Linotype"/>
          <w:b/>
          <w:color w:val="000000"/>
        </w:rPr>
        <w:t xml:space="preserve">Horario de trabajo de operadores y choferes </w:t>
      </w:r>
    </w:p>
    <w:p w:rsidR="00C97499" w:rsidRPr="00BA6AF3" w:rsidRDefault="00BC0FE1">
      <w:pPr>
        <w:tabs>
          <w:tab w:val="left" w:pos="0"/>
        </w:tabs>
        <w:spacing w:line="360" w:lineRule="auto"/>
        <w:jc w:val="both"/>
        <w:rPr>
          <w:rFonts w:ascii="Palatino Linotype" w:eastAsia="Palatino Linotype" w:hAnsi="Palatino Linotype" w:cs="Palatino Linotype"/>
          <w:i/>
        </w:rPr>
      </w:pPr>
      <w:r w:rsidRPr="00BA6AF3">
        <w:rPr>
          <w:rFonts w:ascii="Palatino Linotype" w:eastAsia="Palatino Linotype" w:hAnsi="Palatino Linotype" w:cs="Palatino Linotype"/>
        </w:rPr>
        <w:t xml:space="preserve">La Ley del Trabajo de los Servidores Públicos del Estado de México, la relación de trabajo entre las instituciones públicas y sus servidores públicos se entiende establecida mediante, nombramiento, formato único de movimiento de personal, contrato o por cualquier otro acto que tenga consecuencia la prestación subordinada del servicio y la percepción de un sueldo, como a continuación se observa: </w:t>
      </w:r>
    </w:p>
    <w:p w:rsidR="00C97499" w:rsidRPr="00BA6AF3" w:rsidRDefault="00C97499">
      <w:pPr>
        <w:tabs>
          <w:tab w:val="left" w:pos="0"/>
        </w:tabs>
        <w:spacing w:line="360" w:lineRule="auto"/>
        <w:jc w:val="both"/>
        <w:rPr>
          <w:rFonts w:ascii="Palatino Linotype" w:eastAsia="Palatino Linotype" w:hAnsi="Palatino Linotype" w:cs="Palatino Linotype"/>
        </w:rPr>
      </w:pP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rPr>
        <w:t>“</w:t>
      </w:r>
      <w:r w:rsidRPr="00BA6AF3">
        <w:rPr>
          <w:rFonts w:ascii="Palatino Linotype" w:eastAsia="Palatino Linotype" w:hAnsi="Palatino Linotype" w:cs="Palatino Linotype"/>
          <w:b/>
          <w:i/>
          <w:sz w:val="22"/>
          <w:szCs w:val="22"/>
        </w:rPr>
        <w:t>ARTÍCULO 5.-</w:t>
      </w:r>
      <w:r w:rsidRPr="00BA6AF3">
        <w:rPr>
          <w:rFonts w:ascii="Palatino Linotype" w:eastAsia="Palatino Linotype" w:hAnsi="Palatino Linotype" w:cs="Palatino Linotype"/>
          <w:i/>
          <w:sz w:val="22"/>
          <w:szCs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rsidR="00C97499" w:rsidRPr="00BA6AF3" w:rsidRDefault="00C97499">
      <w:pPr>
        <w:tabs>
          <w:tab w:val="left" w:pos="567"/>
        </w:tabs>
        <w:spacing w:line="276" w:lineRule="auto"/>
        <w:ind w:left="567" w:right="607"/>
        <w:jc w:val="both"/>
        <w:rPr>
          <w:rFonts w:ascii="Palatino Linotype" w:eastAsia="Palatino Linotype" w:hAnsi="Palatino Linotype" w:cs="Palatino Linotype"/>
          <w:i/>
          <w:sz w:val="22"/>
          <w:szCs w:val="22"/>
        </w:rPr>
      </w:pP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Para los efectos de esta ley, las instituciones públicas estarán representadas por sus titulares.”  (Sic) </w:t>
      </w:r>
    </w:p>
    <w:p w:rsidR="00C97499" w:rsidRPr="00BA6AF3" w:rsidRDefault="00C97499">
      <w:pPr>
        <w:tabs>
          <w:tab w:val="left" w:pos="0"/>
        </w:tabs>
        <w:spacing w:line="360" w:lineRule="auto"/>
        <w:jc w:val="both"/>
        <w:rPr>
          <w:rFonts w:ascii="Palatino Linotype" w:eastAsia="Palatino Linotype" w:hAnsi="Palatino Linotype" w:cs="Palatino Linotype"/>
          <w:i/>
        </w:rPr>
      </w:pPr>
    </w:p>
    <w:p w:rsidR="00C97499" w:rsidRPr="00BA6AF3" w:rsidRDefault="00BC0FE1">
      <w:pPr>
        <w:tabs>
          <w:tab w:val="left" w:pos="0"/>
        </w:tabs>
        <w:spacing w:line="360" w:lineRule="auto"/>
        <w:jc w:val="both"/>
        <w:rPr>
          <w:rFonts w:ascii="Palatino Linotype" w:eastAsia="Palatino Linotype" w:hAnsi="Palatino Linotype" w:cs="Palatino Linotype"/>
          <w:i/>
        </w:rPr>
      </w:pPr>
      <w:r w:rsidRPr="00BA6AF3">
        <w:rPr>
          <w:rFonts w:ascii="Palatino Linotype" w:eastAsia="Palatino Linotype" w:hAnsi="Palatino Linotype" w:cs="Palatino Linotype"/>
        </w:rPr>
        <w:t xml:space="preserve">En ese sentido, los diversos artículo 50 del ordenamiento en cita,  señala que, por “Jornada de Trabajo” se entiende como el tiempo que el servidor público queda a disposición de la institución pública como a continuación se observa: </w:t>
      </w:r>
    </w:p>
    <w:p w:rsidR="00C97499" w:rsidRPr="00BA6AF3" w:rsidRDefault="00C97499">
      <w:pPr>
        <w:tabs>
          <w:tab w:val="left" w:pos="0"/>
        </w:tabs>
        <w:spacing w:line="360" w:lineRule="auto"/>
        <w:jc w:val="both"/>
        <w:rPr>
          <w:rFonts w:ascii="Palatino Linotype" w:eastAsia="Palatino Linotype" w:hAnsi="Palatino Linotype" w:cs="Palatino Linotype"/>
          <w:i/>
        </w:rPr>
      </w:pP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sz w:val="22"/>
          <w:szCs w:val="22"/>
        </w:rPr>
      </w:pPr>
      <w:r w:rsidRPr="00BA6AF3">
        <w:rPr>
          <w:rFonts w:ascii="Palatino Linotype" w:eastAsia="Palatino Linotype" w:hAnsi="Palatino Linotype" w:cs="Palatino Linotype"/>
          <w:sz w:val="22"/>
          <w:szCs w:val="22"/>
        </w:rPr>
        <w:lastRenderedPageBreak/>
        <w:t>“</w:t>
      </w:r>
      <w:r w:rsidRPr="00BA6AF3">
        <w:rPr>
          <w:rFonts w:ascii="Palatino Linotype" w:eastAsia="Palatino Linotype" w:hAnsi="Palatino Linotype" w:cs="Palatino Linotype"/>
          <w:b/>
          <w:i/>
          <w:sz w:val="22"/>
          <w:szCs w:val="22"/>
        </w:rPr>
        <w:t>ARTÍCULO 59</w:t>
      </w:r>
      <w:r w:rsidRPr="00BA6AF3">
        <w:rPr>
          <w:rFonts w:ascii="Palatino Linotype" w:eastAsia="Palatino Linotype" w:hAnsi="Palatino Linotype" w:cs="Palatino Linotype"/>
          <w:i/>
          <w:sz w:val="22"/>
          <w:szCs w:val="22"/>
        </w:rPr>
        <w:t>.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r w:rsidRPr="00BA6AF3">
        <w:rPr>
          <w:rFonts w:ascii="Palatino Linotype" w:eastAsia="Palatino Linotype" w:hAnsi="Palatino Linotype" w:cs="Palatino Linotype"/>
          <w:sz w:val="22"/>
          <w:szCs w:val="22"/>
        </w:rPr>
        <w:t xml:space="preserve"> </w:t>
      </w:r>
    </w:p>
    <w:p w:rsidR="00C97499" w:rsidRPr="00BA6AF3" w:rsidRDefault="00C97499">
      <w:pPr>
        <w:tabs>
          <w:tab w:val="left" w:pos="0"/>
        </w:tabs>
        <w:spacing w:line="360" w:lineRule="auto"/>
        <w:jc w:val="both"/>
        <w:rPr>
          <w:rFonts w:ascii="Palatino Linotype" w:eastAsia="Palatino Linotype" w:hAnsi="Palatino Linotype" w:cs="Palatino Linotype"/>
          <w:i/>
        </w:rPr>
      </w:pPr>
    </w:p>
    <w:p w:rsidR="00C97499" w:rsidRPr="00BA6AF3" w:rsidRDefault="00BC0FE1">
      <w:pPr>
        <w:tabs>
          <w:tab w:val="left" w:pos="0"/>
        </w:tabs>
        <w:spacing w:line="360" w:lineRule="auto"/>
        <w:jc w:val="both"/>
        <w:rPr>
          <w:rFonts w:ascii="Palatino Linotype" w:eastAsia="Palatino Linotype" w:hAnsi="Palatino Linotype" w:cs="Palatino Linotype"/>
          <w:i/>
        </w:rPr>
      </w:pPr>
      <w:r w:rsidRPr="00BA6AF3">
        <w:rPr>
          <w:rFonts w:ascii="Palatino Linotype" w:eastAsia="Palatino Linotype" w:hAnsi="Palatino Linotype" w:cs="Palatino Linotype"/>
        </w:rPr>
        <w:t xml:space="preserve">En esa tesitura, el horario que el servidor público queda a disposición de la institución pública deberá estar definido mediante nombramiento, contrato, o formato único de movimiento de personal, de conformidad con lo siguiente:    </w:t>
      </w:r>
    </w:p>
    <w:p w:rsidR="00C97499" w:rsidRPr="00BA6AF3" w:rsidRDefault="00C97499">
      <w:pPr>
        <w:tabs>
          <w:tab w:val="left" w:pos="0"/>
        </w:tabs>
        <w:spacing w:line="360" w:lineRule="auto"/>
        <w:jc w:val="both"/>
        <w:rPr>
          <w:rFonts w:ascii="Palatino Linotype" w:eastAsia="Palatino Linotype" w:hAnsi="Palatino Linotype" w:cs="Palatino Linotype"/>
        </w:rPr>
      </w:pP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r w:rsidRPr="00BA6AF3">
        <w:rPr>
          <w:rFonts w:ascii="Palatino Linotype" w:eastAsia="Palatino Linotype" w:hAnsi="Palatino Linotype" w:cs="Palatino Linotype"/>
          <w:b/>
          <w:i/>
          <w:sz w:val="22"/>
          <w:szCs w:val="22"/>
        </w:rPr>
        <w:t>ARTÍCULO</w:t>
      </w:r>
      <w:r w:rsidRPr="00BA6AF3">
        <w:rPr>
          <w:rFonts w:ascii="Palatino Linotype" w:eastAsia="Palatino Linotype" w:hAnsi="Palatino Linotype" w:cs="Palatino Linotype"/>
          <w:i/>
          <w:sz w:val="22"/>
          <w:szCs w:val="22"/>
        </w:rPr>
        <w:t xml:space="preserve"> 49</w:t>
      </w:r>
      <w:r w:rsidRPr="00BA6AF3">
        <w:rPr>
          <w:rFonts w:ascii="Palatino Linotype" w:eastAsia="Palatino Linotype" w:hAnsi="Palatino Linotype" w:cs="Palatino Linotype"/>
          <w:b/>
          <w:i/>
          <w:sz w:val="22"/>
          <w:szCs w:val="22"/>
        </w:rPr>
        <w:t>.- Los nombramientos, contratos o formato único de Movimientos de Personal de los servidores públicos deberán contener:</w:t>
      </w:r>
    </w:p>
    <w:p w:rsidR="00C97499" w:rsidRPr="00BA6AF3" w:rsidRDefault="00C97499">
      <w:pPr>
        <w:tabs>
          <w:tab w:val="left" w:pos="567"/>
        </w:tabs>
        <w:spacing w:line="276" w:lineRule="auto"/>
        <w:ind w:left="567" w:right="607"/>
        <w:jc w:val="both"/>
        <w:rPr>
          <w:rFonts w:ascii="Palatino Linotype" w:eastAsia="Palatino Linotype" w:hAnsi="Palatino Linotype" w:cs="Palatino Linotype"/>
          <w:i/>
          <w:sz w:val="22"/>
          <w:szCs w:val="22"/>
        </w:rPr>
      </w:pP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i/>
          <w:sz w:val="22"/>
          <w:szCs w:val="22"/>
        </w:rPr>
        <w:t>I</w:t>
      </w:r>
      <w:r w:rsidRPr="00BA6AF3">
        <w:rPr>
          <w:rFonts w:ascii="Palatino Linotype" w:eastAsia="Palatino Linotype" w:hAnsi="Palatino Linotype" w:cs="Palatino Linotype"/>
          <w:b/>
          <w:i/>
          <w:sz w:val="22"/>
          <w:szCs w:val="22"/>
        </w:rPr>
        <w:t xml:space="preserve">. Nombre completo del servidor público; </w:t>
      </w: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 xml:space="preserve">II. Cargo para el que es designado, fecha de inicio de sus servicios y lugar de adscripción; </w:t>
      </w: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III. Carácter del nombramiento, ya sea de servidores públicos generales o de confianza, así como la temporalidad del mismo; </w:t>
      </w: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IV. Remuneración correspondiente al puesto; </w:t>
      </w: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V. Jornada de trabajo;</w:t>
      </w: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VI. Derogada; </w:t>
      </w:r>
    </w:p>
    <w:p w:rsidR="00C97499" w:rsidRPr="00BA6AF3" w:rsidRDefault="00BC0FE1">
      <w:pPr>
        <w:tabs>
          <w:tab w:val="left" w:pos="567"/>
        </w:tabs>
        <w:spacing w:line="276" w:lineRule="auto"/>
        <w:ind w:left="567" w:right="607"/>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VII. Firma del servidor público autorizado para emitir el nombramiento, contrato o formato único de Movimientos de Personal, así como el fundamento legal de esa atribución”</w:t>
      </w:r>
    </w:p>
    <w:p w:rsidR="00C97499" w:rsidRPr="00BA6AF3" w:rsidRDefault="00C97499">
      <w:pPr>
        <w:tabs>
          <w:tab w:val="left" w:pos="567"/>
        </w:tabs>
        <w:spacing w:line="360" w:lineRule="auto"/>
        <w:ind w:left="567" w:right="607"/>
        <w:jc w:val="both"/>
        <w:rPr>
          <w:rFonts w:ascii="Palatino Linotype" w:eastAsia="Palatino Linotype" w:hAnsi="Palatino Linotype" w:cs="Palatino Linotype"/>
          <w:i/>
        </w:rPr>
      </w:pPr>
    </w:p>
    <w:p w:rsidR="00C97499" w:rsidRPr="00BA6AF3" w:rsidRDefault="00BC0FE1">
      <w:pPr>
        <w:tabs>
          <w:tab w:val="left" w:pos="567"/>
        </w:tabs>
        <w:spacing w:line="360" w:lineRule="auto"/>
        <w:ind w:left="567" w:right="607"/>
        <w:jc w:val="both"/>
        <w:rPr>
          <w:rFonts w:ascii="Palatino Linotype" w:eastAsia="Palatino Linotype" w:hAnsi="Palatino Linotype" w:cs="Palatino Linotype"/>
          <w:i/>
        </w:rPr>
      </w:pPr>
      <w:r w:rsidRPr="00BA6AF3">
        <w:rPr>
          <w:rFonts w:ascii="Palatino Linotype" w:eastAsia="Palatino Linotype" w:hAnsi="Palatino Linotype" w:cs="Palatino Linotype"/>
          <w:i/>
        </w:rPr>
        <w:t>(Énfasis añadido)</w:t>
      </w:r>
    </w:p>
    <w:p w:rsidR="00C97499" w:rsidRPr="00BA6AF3" w:rsidRDefault="00BC0FE1">
      <w:pPr>
        <w:spacing w:line="360" w:lineRule="auto"/>
        <w:ind w:right="-93"/>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Sobre este punto, cabe señalar que únicamente la Dirección de Servicios Públicos informó sobre el horario de operadores y choferes, tal como se observa en la siguiente imagen. </w:t>
      </w:r>
    </w:p>
    <w:p w:rsidR="00C97499" w:rsidRPr="00BA6AF3" w:rsidRDefault="00BC0FE1">
      <w:pPr>
        <w:spacing w:line="360" w:lineRule="auto"/>
        <w:ind w:right="-93"/>
        <w:jc w:val="both"/>
        <w:rPr>
          <w:rFonts w:ascii="Palatino Linotype" w:eastAsia="Palatino Linotype" w:hAnsi="Palatino Linotype" w:cs="Palatino Linotype"/>
        </w:rPr>
      </w:pPr>
      <w:r w:rsidRPr="00BA6AF3">
        <w:rPr>
          <w:rFonts w:ascii="Palatino Linotype" w:eastAsia="Palatino Linotype" w:hAnsi="Palatino Linotype" w:cs="Palatino Linotype"/>
          <w:noProof/>
        </w:rPr>
        <w:lastRenderedPageBreak/>
        <w:drawing>
          <wp:inline distT="0" distB="0" distL="0" distR="0">
            <wp:extent cx="5612130" cy="948055"/>
            <wp:effectExtent l="0" t="0" r="0" b="0"/>
            <wp:docPr id="20675916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948055"/>
                    </a:xfrm>
                    <a:prstGeom prst="rect">
                      <a:avLst/>
                    </a:prstGeom>
                    <a:ln/>
                  </pic:spPr>
                </pic:pic>
              </a:graphicData>
            </a:graphic>
          </wp:inline>
        </w:drawing>
      </w:r>
    </w:p>
    <w:p w:rsidR="00C97499" w:rsidRPr="00BA6AF3" w:rsidRDefault="00C97499">
      <w:pPr>
        <w:spacing w:line="360" w:lineRule="auto"/>
        <w:ind w:right="-93"/>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Sin embargo no se advierte el pronunciamiento de todas las áreas de las cuales la parte Recurrente solicitó la información, por lo que, en atención a las consideraciones previamente señaladas, es procedente ordenar la entrega del documento donde conste en horario de operadores y choferes de la Tesorería Municipal, y de la Coordinación Municipal de Gestión Integral de Riesgos, Protección Civil y Bomberos al uno de agosto de dos  mil veintitrés. </w:t>
      </w:r>
    </w:p>
    <w:p w:rsidR="00C97499" w:rsidRPr="00BA6AF3" w:rsidRDefault="00C97499">
      <w:pPr>
        <w:spacing w:line="360" w:lineRule="auto"/>
        <w:ind w:right="-93"/>
        <w:jc w:val="both"/>
        <w:rPr>
          <w:rFonts w:ascii="Palatino Linotype" w:eastAsia="Palatino Linotype" w:hAnsi="Palatino Linotype" w:cs="Palatino Linotype"/>
        </w:rPr>
      </w:pPr>
    </w:p>
    <w:p w:rsidR="00C97499" w:rsidRPr="00BA6AF3" w:rsidRDefault="00BC0FE1">
      <w:pPr>
        <w:spacing w:before="280" w:after="28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b/>
        </w:rPr>
        <w:t xml:space="preserve">5. Nombre y profesión de servidores públicos que sean directivos; </w:t>
      </w: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Sobre este punto es de señalar que la fracción VII del artículo 92 de la Ley de Transparencia y Acceso a la Información pública del Estado de México y Municipios, de manera particular a directorio de todos los servidores públicos del </w:t>
      </w:r>
      <w:r w:rsidRPr="00BA6AF3">
        <w:rPr>
          <w:rFonts w:ascii="Palatino Linotype" w:eastAsia="Palatino Linotype" w:hAnsi="Palatino Linotype" w:cs="Palatino Linotype"/>
          <w:b/>
          <w:color w:val="000000"/>
        </w:rPr>
        <w:t>SUJETO OBLIGADO</w:t>
      </w:r>
      <w:r w:rsidRPr="00BA6AF3">
        <w:rPr>
          <w:rFonts w:ascii="Palatino Linotype" w:eastAsia="Palatino Linotype" w:hAnsi="Palatino Linotype" w:cs="Palatino Linotype"/>
          <w:color w:val="000000"/>
        </w:rPr>
        <w:t>.</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276" w:lineRule="auto"/>
        <w:ind w:left="1134" w:right="902"/>
        <w:jc w:val="both"/>
        <w:rPr>
          <w:rFonts w:ascii="Palatino Linotype" w:eastAsia="Palatino Linotype" w:hAnsi="Palatino Linotype" w:cs="Palatino Linotype"/>
          <w:i/>
        </w:rPr>
      </w:pPr>
      <w:r w:rsidRPr="00BA6AF3">
        <w:rPr>
          <w:rFonts w:ascii="Palatino Linotype" w:eastAsia="Palatino Linotype" w:hAnsi="Palatino Linotype" w:cs="Palatino Linotype"/>
          <w:i/>
        </w:rPr>
        <w:t xml:space="preserve">Artículo 92. Los sujetos obligados deberán poner a disposición del público de manera permanente </w:t>
      </w:r>
      <w:proofErr w:type="spellStart"/>
      <w:r w:rsidRPr="00BA6AF3">
        <w:rPr>
          <w:rFonts w:ascii="Palatino Linotype" w:eastAsia="Palatino Linotype" w:hAnsi="Palatino Linotype" w:cs="Palatino Linotype"/>
          <w:i/>
        </w:rPr>
        <w:t>yactualizada</w:t>
      </w:r>
      <w:proofErr w:type="spellEnd"/>
      <w:r w:rsidRPr="00BA6AF3">
        <w:rPr>
          <w:rFonts w:ascii="Palatino Linotype" w:eastAsia="Palatino Linotype" w:hAnsi="Palatino Linotype" w:cs="Palatino Linotype"/>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97499" w:rsidRPr="00BA6AF3" w:rsidRDefault="00BC0FE1">
      <w:pPr>
        <w:spacing w:line="276" w:lineRule="auto"/>
        <w:ind w:left="1134" w:right="902"/>
        <w:jc w:val="both"/>
        <w:rPr>
          <w:rFonts w:ascii="Palatino Linotype" w:eastAsia="Palatino Linotype" w:hAnsi="Palatino Linotype" w:cs="Palatino Linotype"/>
          <w:i/>
        </w:rPr>
      </w:pPr>
      <w:r w:rsidRPr="00BA6AF3">
        <w:rPr>
          <w:rFonts w:ascii="Palatino Linotype" w:eastAsia="Palatino Linotype" w:hAnsi="Palatino Linotype" w:cs="Palatino Linotype"/>
          <w:i/>
        </w:rPr>
        <w:t xml:space="preserve">(…) </w:t>
      </w:r>
    </w:p>
    <w:p w:rsidR="00C97499" w:rsidRPr="00BA6AF3" w:rsidRDefault="00BC0FE1">
      <w:pPr>
        <w:spacing w:line="276" w:lineRule="auto"/>
        <w:ind w:left="1134" w:right="902"/>
        <w:jc w:val="both"/>
        <w:rPr>
          <w:rFonts w:ascii="Palatino Linotype" w:eastAsia="Palatino Linotype" w:hAnsi="Palatino Linotype" w:cs="Palatino Linotype"/>
          <w:i/>
        </w:rPr>
      </w:pPr>
      <w:r w:rsidRPr="00BA6AF3">
        <w:rPr>
          <w:rFonts w:ascii="Palatino Linotype" w:eastAsia="Palatino Linotype" w:hAnsi="Palatino Linotype" w:cs="Palatino Linotype"/>
          <w:i/>
        </w:rPr>
        <w:lastRenderedPageBreak/>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b/>
          <w:u w:val="single"/>
        </w:rPr>
      </w:pPr>
      <w:r w:rsidRPr="00BA6AF3">
        <w:rPr>
          <w:rFonts w:ascii="Palatino Linotype" w:eastAsia="Palatino Linotype" w:hAnsi="Palatino Linotype" w:cs="Palatino Linotype"/>
          <w:color w:val="000000"/>
        </w:rPr>
        <w:t xml:space="preserve">Por otro, lado es de referir que por cuanto hace al grado de estudios, es necesario traer a colación que el </w:t>
      </w:r>
      <w:proofErr w:type="spellStart"/>
      <w:r w:rsidRPr="00BA6AF3">
        <w:rPr>
          <w:rFonts w:ascii="Palatino Linotype" w:eastAsia="Palatino Linotype" w:hAnsi="Palatino Linotype" w:cs="Palatino Linotype"/>
          <w:i/>
          <w:color w:val="000000"/>
        </w:rPr>
        <w:t>curriculum</w:t>
      </w:r>
      <w:proofErr w:type="spellEnd"/>
      <w:r w:rsidRPr="00BA6AF3">
        <w:rPr>
          <w:rFonts w:ascii="Palatino Linotype" w:eastAsia="Palatino Linotype" w:hAnsi="Palatino Linotype" w:cs="Palatino Linotype"/>
          <w:i/>
          <w:color w:val="000000"/>
        </w:rPr>
        <w:t xml:space="preserve"> vitae</w:t>
      </w:r>
      <w:r w:rsidRPr="00BA6AF3">
        <w:rPr>
          <w:rFonts w:ascii="Palatino Linotype" w:eastAsia="Palatino Linotype" w:hAnsi="Palatino Linotype" w:cs="Palatino Linotype"/>
          <w:color w:val="000000"/>
        </w:rPr>
        <w:t>, es el documento que las personas elaboran con los datos de identificación, contacto</w:t>
      </w:r>
      <w:r w:rsidRPr="00BA6AF3">
        <w:rPr>
          <w:rFonts w:ascii="Palatino Linotype" w:eastAsia="Palatino Linotype" w:hAnsi="Palatino Linotype" w:cs="Palatino Linotype"/>
          <w:b/>
          <w:color w:val="000000"/>
          <w:u w:val="single"/>
        </w:rPr>
        <w:t>, preparación académica</w:t>
      </w:r>
      <w:r w:rsidRPr="00BA6AF3">
        <w:rPr>
          <w:rFonts w:ascii="Palatino Linotype" w:eastAsia="Palatino Linotype" w:hAnsi="Palatino Linotype" w:cs="Palatino Linotype"/>
          <w:color w:val="000000"/>
        </w:rPr>
        <w:t xml:space="preserve"> y</w:t>
      </w:r>
      <w:r w:rsidRPr="00BA6AF3">
        <w:rPr>
          <w:rFonts w:ascii="Palatino Linotype" w:eastAsia="Palatino Linotype" w:hAnsi="Palatino Linotype" w:cs="Palatino Linotype"/>
          <w:b/>
          <w:color w:val="000000"/>
          <w:u w:val="single"/>
        </w:rPr>
        <w:t xml:space="preserve"> experiencia profesion</w:t>
      </w:r>
      <w:r w:rsidRPr="00BA6AF3">
        <w:rPr>
          <w:rFonts w:ascii="Palatino Linotype" w:eastAsia="Palatino Linotype" w:hAnsi="Palatino Linotype" w:cs="Palatino Linotype"/>
          <w:b/>
          <w:color w:val="000000"/>
        </w:rPr>
        <w:t>al,</w:t>
      </w:r>
      <w:r w:rsidRPr="00BA6AF3">
        <w:rPr>
          <w:rFonts w:ascii="Palatino Linotype" w:eastAsia="Palatino Linotype" w:hAnsi="Palatino Linotype" w:cs="Palatino Linotype"/>
          <w:color w:val="000000"/>
        </w:rPr>
        <w:t xml:space="preserve"> para presentarse ante un posible empleador. </w:t>
      </w:r>
      <w:r w:rsidRPr="00BA6AF3">
        <w:rPr>
          <w:rFonts w:ascii="Palatino Linotype" w:eastAsia="Palatino Linotype" w:hAnsi="Palatino Linotype" w:cs="Palatino Linotype"/>
        </w:rPr>
        <w:t xml:space="preserve">En este sentido, por lo que hace al </w:t>
      </w:r>
      <w:proofErr w:type="spellStart"/>
      <w:r w:rsidRPr="00BA6AF3">
        <w:rPr>
          <w:rFonts w:ascii="Palatino Linotype" w:eastAsia="Palatino Linotype" w:hAnsi="Palatino Linotype" w:cs="Palatino Linotype"/>
          <w:i/>
        </w:rPr>
        <w:t>curriculum</w:t>
      </w:r>
      <w:proofErr w:type="spellEnd"/>
      <w:r w:rsidRPr="00BA6AF3">
        <w:rPr>
          <w:rFonts w:ascii="Palatino Linotype" w:eastAsia="Palatino Linotype" w:hAnsi="Palatino Linotype" w:cs="Palatino Linotype"/>
          <w:i/>
        </w:rPr>
        <w:t xml:space="preserve"> vitae</w:t>
      </w:r>
      <w:r w:rsidRPr="00BA6AF3">
        <w:rPr>
          <w:rFonts w:ascii="Palatino Linotype" w:eastAsia="Palatino Linotype" w:hAnsi="Palatino Linotype" w:cs="Palatino Linotype"/>
        </w:rPr>
        <w:t xml:space="preserve">, </w:t>
      </w:r>
      <w:r w:rsidRPr="00BA6AF3">
        <w:rPr>
          <w:rFonts w:ascii="Palatino Linotype" w:eastAsia="Palatino Linotype" w:hAnsi="Palatino Linotype" w:cs="Palatino Linotype"/>
          <w:b/>
          <w:u w:val="single"/>
        </w:rPr>
        <w:t>permite identificar la experiencia profesional requerida para ocupar el cargo desempeñado.</w:t>
      </w:r>
    </w:p>
    <w:p w:rsidR="00C97499" w:rsidRPr="00BA6AF3" w:rsidRDefault="00C97499">
      <w:pPr>
        <w:spacing w:line="360" w:lineRule="auto"/>
        <w:jc w:val="both"/>
        <w:rPr>
          <w:rFonts w:ascii="Palatino Linotype" w:eastAsia="Palatino Linotype" w:hAnsi="Palatino Linotype" w:cs="Palatino Linotype"/>
          <w:b/>
          <w:color w:val="000000"/>
        </w:rPr>
      </w:pPr>
    </w:p>
    <w:p w:rsidR="00C97499" w:rsidRPr="00BA6AF3" w:rsidRDefault="00BC0FE1">
      <w:pPr>
        <w:spacing w:line="360" w:lineRule="auto"/>
        <w:jc w:val="both"/>
        <w:rPr>
          <w:rFonts w:ascii="Palatino Linotype" w:eastAsia="Palatino Linotype" w:hAnsi="Palatino Linotype" w:cs="Palatino Linotype"/>
          <w:b/>
          <w:color w:val="000000"/>
          <w:u w:val="single"/>
        </w:rPr>
      </w:pPr>
      <w:r w:rsidRPr="00BA6AF3">
        <w:rPr>
          <w:rFonts w:ascii="Palatino Linotype" w:eastAsia="Palatino Linotype" w:hAnsi="Palatino Linotype" w:cs="Palatino Linotype"/>
          <w:color w:val="000000"/>
        </w:rPr>
        <w:t xml:space="preserve">En ese tenor, el </w:t>
      </w:r>
      <w:proofErr w:type="spellStart"/>
      <w:r w:rsidRPr="00BA6AF3">
        <w:rPr>
          <w:rFonts w:ascii="Palatino Linotype" w:eastAsia="Palatino Linotype" w:hAnsi="Palatino Linotype" w:cs="Palatino Linotype"/>
          <w:i/>
          <w:color w:val="000000"/>
        </w:rPr>
        <w:t>curriculum</w:t>
      </w:r>
      <w:proofErr w:type="spellEnd"/>
      <w:r w:rsidRPr="00BA6AF3">
        <w:rPr>
          <w:rFonts w:ascii="Palatino Linotype" w:eastAsia="Palatino Linotype" w:hAnsi="Palatino Linotype" w:cs="Palatino Linotype"/>
          <w:i/>
          <w:color w:val="000000"/>
        </w:rPr>
        <w:t xml:space="preserve"> vitae</w:t>
      </w:r>
      <w:r w:rsidRPr="00BA6AF3">
        <w:rPr>
          <w:rFonts w:ascii="Palatino Linotype" w:eastAsia="Palatino Linotype" w:hAnsi="Palatino Linotype" w:cs="Palatino Linotype"/>
          <w:color w:val="000000"/>
        </w:rPr>
        <w:t xml:space="preserve">, proporciona información valiosa sobre la experiencia </w:t>
      </w:r>
      <w:r w:rsidRPr="00BA6AF3">
        <w:rPr>
          <w:rFonts w:ascii="Palatino Linotype" w:eastAsia="Palatino Linotype" w:hAnsi="Palatino Linotype" w:cs="Palatino Linotype"/>
          <w:b/>
          <w:color w:val="000000"/>
          <w:u w:val="single"/>
        </w:rPr>
        <w:t>profesional requerida</w:t>
      </w:r>
      <w:r w:rsidRPr="00BA6AF3">
        <w:rPr>
          <w:rFonts w:ascii="Palatino Linotype" w:eastAsia="Palatino Linotype" w:hAnsi="Palatino Linotype" w:cs="Palatino Linotype"/>
          <w:color w:val="000000"/>
        </w:rPr>
        <w:t xml:space="preserve"> de quienes ocupan cargos en la administración pública, en donde con toda certeza y de manera indudable si las personas que se desempeñan como servidores públicos </w:t>
      </w:r>
      <w:r w:rsidRPr="00BA6AF3">
        <w:rPr>
          <w:rFonts w:ascii="Palatino Linotype" w:eastAsia="Palatino Linotype" w:hAnsi="Palatino Linotype" w:cs="Palatino Linotype"/>
          <w:b/>
          <w:color w:val="000000"/>
          <w:u w:val="single"/>
        </w:rPr>
        <w:t xml:space="preserve">tienen el perfil idóneo para desarrollar las actividades, atribuciones y requisitos que se deriven de su encargo. </w:t>
      </w:r>
    </w:p>
    <w:p w:rsidR="00C97499" w:rsidRPr="00BA6AF3" w:rsidRDefault="00C97499">
      <w:pPr>
        <w:spacing w:line="360" w:lineRule="auto"/>
        <w:jc w:val="both"/>
        <w:rPr>
          <w:rFonts w:ascii="Palatino Linotype" w:eastAsia="Palatino Linotype" w:hAnsi="Palatino Linotype" w:cs="Palatino Linotype"/>
          <w:b/>
          <w:color w:val="000000"/>
          <w:u w:val="single"/>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El </w:t>
      </w:r>
      <w:proofErr w:type="spellStart"/>
      <w:r w:rsidRPr="00BA6AF3">
        <w:rPr>
          <w:rFonts w:ascii="Palatino Linotype" w:eastAsia="Palatino Linotype" w:hAnsi="Palatino Linotype" w:cs="Palatino Linotype"/>
          <w:i/>
          <w:color w:val="000000"/>
        </w:rPr>
        <w:t>curriculum</w:t>
      </w:r>
      <w:proofErr w:type="spellEnd"/>
      <w:r w:rsidRPr="00BA6AF3">
        <w:rPr>
          <w:rFonts w:ascii="Palatino Linotype" w:eastAsia="Palatino Linotype" w:hAnsi="Palatino Linotype" w:cs="Palatino Linotype"/>
          <w:i/>
          <w:color w:val="000000"/>
        </w:rPr>
        <w:t xml:space="preserve"> vitae</w:t>
      </w:r>
      <w:r w:rsidRPr="00BA6AF3">
        <w:rPr>
          <w:rFonts w:ascii="Palatino Linotype" w:eastAsia="Palatino Linotype" w:hAnsi="Palatino Linotype" w:cs="Palatino Linotype"/>
          <w:color w:val="000000"/>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Asimismo, toma relevancia, pues conforme al formato 17 LGT_Art_70_Fr_XVII (Información curricular y las sanciones administrativas definitivas de los(as) servidores(as) públicas(os) y/o personas que desempeñen un empleo, cargo o comisión)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center"/>
        <w:rPr>
          <w:rFonts w:ascii="Palatino Linotype" w:eastAsia="Palatino Linotype" w:hAnsi="Palatino Linotype" w:cs="Palatino Linotype"/>
          <w:color w:val="000000"/>
        </w:rPr>
      </w:pPr>
      <w:r w:rsidRPr="00BA6AF3">
        <w:rPr>
          <w:rFonts w:ascii="Palatino Linotype" w:eastAsia="Palatino Linotype" w:hAnsi="Palatino Linotype" w:cs="Palatino Linotype"/>
          <w:noProof/>
          <w:color w:val="000000"/>
        </w:rPr>
        <w:drawing>
          <wp:inline distT="0" distB="0" distL="0" distR="0">
            <wp:extent cx="4229100" cy="1457325"/>
            <wp:effectExtent l="0" t="0" r="0" b="0"/>
            <wp:docPr id="2067591632" name="image2.png" descr="Interfaz de usuario gráfica, Aplicación,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Interfaz de usuario gráfica, Aplicación, Tabla&#10;&#10;Descripción generada automáticamente"/>
                    <pic:cNvPicPr preferRelativeResize="0"/>
                  </pic:nvPicPr>
                  <pic:blipFill>
                    <a:blip r:embed="rId16"/>
                    <a:srcRect t="24638"/>
                    <a:stretch>
                      <a:fillRect/>
                    </a:stretch>
                  </pic:blipFill>
                  <pic:spPr>
                    <a:xfrm>
                      <a:off x="0" y="0"/>
                      <a:ext cx="4229100" cy="1457325"/>
                    </a:xfrm>
                    <a:prstGeom prst="rect">
                      <a:avLst/>
                    </a:prstGeom>
                    <a:ln/>
                  </pic:spPr>
                </pic:pic>
              </a:graphicData>
            </a:graphic>
          </wp:inline>
        </w:drawing>
      </w:r>
      <w:r w:rsidRPr="00BA6AF3">
        <w:rPr>
          <w:noProof/>
        </w:rPr>
        <mc:AlternateContent>
          <mc:Choice Requires="wps">
            <w:drawing>
              <wp:anchor distT="0" distB="0" distL="114300" distR="114300" simplePos="0" relativeHeight="251659264" behindDoc="0" locked="0" layoutInCell="1" hidden="0" allowOverlap="1">
                <wp:simplePos x="0" y="0"/>
                <wp:positionH relativeFrom="column">
                  <wp:posOffset>660400</wp:posOffset>
                </wp:positionH>
                <wp:positionV relativeFrom="paragraph">
                  <wp:posOffset>393700</wp:posOffset>
                </wp:positionV>
                <wp:extent cx="2352675" cy="511810"/>
                <wp:effectExtent l="0" t="0" r="0" b="0"/>
                <wp:wrapNone/>
                <wp:docPr id="2067591620" name="Rectángulo 2067591620"/>
                <wp:cNvGraphicFramePr/>
                <a:graphic xmlns:a="http://schemas.openxmlformats.org/drawingml/2006/main">
                  <a:graphicData uri="http://schemas.microsoft.com/office/word/2010/wordprocessingShape">
                    <wps:wsp>
                      <wps:cNvSpPr/>
                      <wps:spPr>
                        <a:xfrm>
                          <a:off x="4183950" y="3538383"/>
                          <a:ext cx="2324100" cy="483235"/>
                        </a:xfrm>
                        <a:prstGeom prst="rect">
                          <a:avLst/>
                        </a:prstGeom>
                        <a:noFill/>
                        <a:ln w="28575" cap="flat" cmpd="sng">
                          <a:solidFill>
                            <a:srgbClr val="000000"/>
                          </a:solidFill>
                          <a:prstDash val="solid"/>
                          <a:miter lim="800000"/>
                          <a:headEnd type="none" w="sm" len="sm"/>
                          <a:tailEnd type="none" w="sm" len="sm"/>
                        </a:ln>
                      </wps:spPr>
                      <wps:txbx>
                        <w:txbxContent>
                          <w:p w:rsidR="00BA6AF3" w:rsidRDefault="00BA6AF3">
                            <w:pPr>
                              <w:textDirection w:val="btLr"/>
                            </w:pPr>
                          </w:p>
                        </w:txbxContent>
                      </wps:txbx>
                      <wps:bodyPr spcFirstLastPara="1" wrap="square" lIns="91425" tIns="91425" rIns="91425" bIns="91425" anchor="ctr" anchorCtr="0">
                        <a:noAutofit/>
                      </wps:bodyPr>
                    </wps:wsp>
                  </a:graphicData>
                </a:graphic>
              </wp:anchor>
            </w:drawing>
          </mc:Choice>
          <mc:Fallback>
            <w:pict>
              <v:rect id="Rectángulo 2067591620" o:spid="_x0000_s1026" style="position:absolute;left:0;text-align:left;margin-left:52pt;margin-top:31pt;width:185.25pt;height:4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" filled="f" strokeweight="2.25pt">
                <v:stroke startarrowwidth="narrow" startarrowlength="short" endarrowwidth="narrow" endarrowlength="short"/>
                <v:textbox inset="2.53958mm,2.53958mm,2.53958mm,2.53958mm">
                  <w:txbxContent>
                    <w:p w:rsidR="00BA6AF3" w:rsidRDefault="00BA6AF3">
                      <w:pPr>
                        <w:textDirection w:val="btLr"/>
                      </w:pPr>
                    </w:p>
                  </w:txbxContent>
                </v:textbox>
              </v:rect>
            </w:pict>
          </mc:Fallback>
        </mc:AlternateContent>
      </w:r>
    </w:p>
    <w:p w:rsidR="00C97499" w:rsidRPr="00BA6AF3" w:rsidRDefault="00C97499">
      <w:pPr>
        <w:spacing w:line="360" w:lineRule="auto"/>
        <w:jc w:val="center"/>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lastRenderedPageBreak/>
        <w:t xml:space="preserve">En ese contexto, según Islas, Jorge (2016), en la “Ley General de Transparencia y Acceso a la Información Pública Comentada” (p. 244), refirió que el </w:t>
      </w:r>
      <w:proofErr w:type="spellStart"/>
      <w:r w:rsidRPr="00BA6AF3">
        <w:rPr>
          <w:rFonts w:ascii="Palatino Linotype" w:eastAsia="Palatino Linotype" w:hAnsi="Palatino Linotype" w:cs="Palatino Linotype"/>
          <w:b/>
          <w:i/>
          <w:color w:val="000000"/>
        </w:rPr>
        <w:t>curriculum</w:t>
      </w:r>
      <w:proofErr w:type="spellEnd"/>
      <w:r w:rsidRPr="00BA6AF3">
        <w:rPr>
          <w:rFonts w:ascii="Palatino Linotype" w:eastAsia="Palatino Linotype" w:hAnsi="Palatino Linotype" w:cs="Palatino Linotype"/>
          <w:b/>
          <w:i/>
          <w:color w:val="000000"/>
        </w:rPr>
        <w:t xml:space="preserve"> vitae</w:t>
      </w:r>
      <w:r w:rsidRPr="00BA6AF3">
        <w:rPr>
          <w:rFonts w:ascii="Palatino Linotype" w:eastAsia="Palatino Linotype" w:hAnsi="Palatino Linotype" w:cs="Palatino Linotype"/>
          <w:b/>
          <w:color w:val="000000"/>
        </w:rPr>
        <w:t xml:space="preserve"> </w:t>
      </w:r>
      <w:r w:rsidRPr="00BA6AF3">
        <w:rPr>
          <w:rFonts w:ascii="Palatino Linotype" w:eastAsia="Palatino Linotype" w:hAnsi="Palatino Linotype" w:cs="Palatino Linotype"/>
          <w:color w:val="000000"/>
        </w:rPr>
        <w:t>d</w:t>
      </w:r>
      <w:r w:rsidRPr="00BA6AF3">
        <w:rPr>
          <w:rFonts w:ascii="Palatino Linotype" w:eastAsia="Palatino Linotype" w:hAnsi="Palatino Linotype" w:cs="Palatino Linotype"/>
          <w:b/>
          <w:color w:val="000000"/>
        </w:rPr>
        <w:t xml:space="preserve">e un servidor público, justifica que su </w:t>
      </w:r>
      <w:r w:rsidRPr="00BA6AF3">
        <w:rPr>
          <w:rFonts w:ascii="Palatino Linotype" w:eastAsia="Palatino Linotype" w:hAnsi="Palatino Linotype" w:cs="Palatino Linotype"/>
          <w:b/>
        </w:rPr>
        <w:t xml:space="preserve">formación académica resulta </w:t>
      </w:r>
      <w:r w:rsidRPr="00BA6AF3">
        <w:rPr>
          <w:rFonts w:ascii="Palatino Linotype" w:eastAsia="Palatino Linotype" w:hAnsi="Palatino Linotype" w:cs="Palatino Linotype"/>
          <w:b/>
          <w:color w:val="000000"/>
        </w:rPr>
        <w:t>viable para el desempeño eficiente y correcto de su encargo; lo anterior, con el fin de acreditar que dichos trabajadores sean los más capacitados acordes al área solicitada.</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ind w:right="-93"/>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Se robustece lo anterior, con el </w:t>
      </w:r>
      <w:r w:rsidRPr="00BA6AF3">
        <w:rPr>
          <w:rFonts w:ascii="Palatino Linotype" w:eastAsia="Palatino Linotype" w:hAnsi="Palatino Linotype" w:cs="Palatino Linotype"/>
          <w:b/>
          <w:color w:val="000000"/>
        </w:rPr>
        <w:t>Criterio 03/09</w:t>
      </w:r>
      <w:r w:rsidRPr="00BA6AF3">
        <w:rPr>
          <w:rFonts w:ascii="Palatino Linotype" w:eastAsia="Palatino Linotype" w:hAnsi="Palatino Linotype" w:cs="Palatino Linotype"/>
          <w:color w:val="000000"/>
        </w:rPr>
        <w:t>, emitido por el Pleno del entonces Instituto Federal de Acceso a la Información y Protección de Datos, que prevé lo siguiente:</w:t>
      </w:r>
    </w:p>
    <w:p w:rsidR="00C97499" w:rsidRPr="00BA6AF3" w:rsidRDefault="00C97499">
      <w:pPr>
        <w:spacing w:line="276" w:lineRule="auto"/>
        <w:ind w:right="-93"/>
        <w:jc w:val="both"/>
        <w:rPr>
          <w:rFonts w:ascii="Palatino Linotype" w:eastAsia="Palatino Linotype" w:hAnsi="Palatino Linotype" w:cs="Palatino Linotype"/>
          <w:color w:val="000000"/>
        </w:rPr>
      </w:pPr>
    </w:p>
    <w:p w:rsidR="00C97499" w:rsidRPr="00BA6AF3" w:rsidRDefault="00BC0FE1">
      <w:pPr>
        <w:spacing w:line="276" w:lineRule="auto"/>
        <w:ind w:left="567" w:right="567"/>
        <w:jc w:val="both"/>
        <w:rPr>
          <w:rFonts w:ascii="Palatino Linotype" w:eastAsia="Palatino Linotype" w:hAnsi="Palatino Linotype" w:cs="Palatino Linotype"/>
          <w:i/>
          <w:color w:val="000000"/>
        </w:rPr>
      </w:pPr>
      <w:r w:rsidRPr="00BA6AF3">
        <w:rPr>
          <w:rFonts w:ascii="Palatino Linotype" w:eastAsia="Palatino Linotype" w:hAnsi="Palatino Linotype" w:cs="Palatino Linotype"/>
          <w:b/>
          <w:i/>
          <w:color w:val="000000"/>
        </w:rPr>
        <w:t>“</w:t>
      </w:r>
      <w:proofErr w:type="spellStart"/>
      <w:r w:rsidRPr="00BA6AF3">
        <w:rPr>
          <w:rFonts w:ascii="Palatino Linotype" w:eastAsia="Palatino Linotype" w:hAnsi="Palatino Linotype" w:cs="Palatino Linotype"/>
          <w:b/>
          <w:i/>
          <w:color w:val="000000"/>
        </w:rPr>
        <w:t>Curriculum</w:t>
      </w:r>
      <w:proofErr w:type="spellEnd"/>
      <w:r w:rsidRPr="00BA6AF3">
        <w:rPr>
          <w:rFonts w:ascii="Palatino Linotype" w:eastAsia="Palatino Linotype" w:hAnsi="Palatino Linotype" w:cs="Palatino Linotype"/>
          <w:b/>
          <w:i/>
          <w:color w:val="000000"/>
        </w:rPr>
        <w:t xml:space="preserve"> Vitae de servidores públicos. Es obligación de los sujetos obligados otorgar acceso a versiones públicas de los mismos ante una solicitud de acceso.</w:t>
      </w:r>
      <w:r w:rsidRPr="00BA6AF3">
        <w:rPr>
          <w:rFonts w:ascii="Palatino Linotype" w:eastAsia="Palatino Linotype" w:hAnsi="Palatino Linotype" w:cs="Palatino Linotype"/>
          <w:i/>
          <w:color w:val="00000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BA6AF3">
        <w:rPr>
          <w:rFonts w:ascii="Palatino Linotype" w:eastAsia="Palatino Linotype" w:hAnsi="Palatino Linotype" w:cs="Palatino Linotype"/>
          <w:i/>
          <w:color w:val="000000"/>
        </w:rPr>
        <w:t>curriculum</w:t>
      </w:r>
      <w:proofErr w:type="spellEnd"/>
      <w:r w:rsidRPr="00BA6AF3">
        <w:rPr>
          <w:rFonts w:ascii="Palatino Linotype" w:eastAsia="Palatino Linotype" w:hAnsi="Palatino Linotype" w:cs="Palatino Linotype"/>
          <w:i/>
          <w:color w:val="000000"/>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BA6AF3">
        <w:rPr>
          <w:rFonts w:ascii="Palatino Linotype" w:eastAsia="Palatino Linotype" w:hAnsi="Palatino Linotype" w:cs="Palatino Linotype"/>
          <w:i/>
          <w:color w:val="000000"/>
        </w:rPr>
        <w:t>curriculum</w:t>
      </w:r>
      <w:proofErr w:type="spellEnd"/>
      <w:r w:rsidRPr="00BA6AF3">
        <w:rPr>
          <w:rFonts w:ascii="Palatino Linotype" w:eastAsia="Palatino Linotype" w:hAnsi="Palatino Linotype" w:cs="Palatino Linotype"/>
          <w:i/>
          <w:color w:val="000000"/>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BA6AF3">
        <w:rPr>
          <w:rFonts w:ascii="Palatino Linotype" w:eastAsia="Palatino Linotype" w:hAnsi="Palatino Linotype" w:cs="Palatino Linotype"/>
          <w:i/>
          <w:color w:val="000000"/>
        </w:rPr>
        <w:t>curriculum</w:t>
      </w:r>
      <w:proofErr w:type="spellEnd"/>
      <w:r w:rsidRPr="00BA6AF3">
        <w:rPr>
          <w:rFonts w:ascii="Palatino Linotype" w:eastAsia="Palatino Linotype" w:hAnsi="Palatino Linotype" w:cs="Palatino Linotype"/>
          <w:i/>
          <w:color w:val="000000"/>
        </w:rPr>
        <w:t xml:space="preserve"> vitae de un servidor público susceptibles de hacerse del conocimiento </w:t>
      </w:r>
      <w:r w:rsidRPr="00BA6AF3">
        <w:rPr>
          <w:rFonts w:ascii="Palatino Linotype" w:eastAsia="Palatino Linotype" w:hAnsi="Palatino Linotype" w:cs="Palatino Linotype"/>
          <w:i/>
          <w:color w:val="000000"/>
        </w:rPr>
        <w:lastRenderedPageBreak/>
        <w:t xml:space="preserve">público, ante una solicitud de acceso, </w:t>
      </w:r>
      <w:r w:rsidRPr="00BA6AF3">
        <w:rPr>
          <w:rFonts w:ascii="Palatino Linotype" w:eastAsia="Palatino Linotype" w:hAnsi="Palatino Linotype" w:cs="Palatino Linotype"/>
          <w:b/>
          <w:i/>
          <w:color w:val="000000"/>
          <w:u w:val="single"/>
        </w:rPr>
        <w:t>se encuentran los relativos a su trayectoria académic</w:t>
      </w:r>
      <w:r w:rsidRPr="00BA6AF3">
        <w:rPr>
          <w:rFonts w:ascii="Palatino Linotype" w:eastAsia="Palatino Linotype" w:hAnsi="Palatino Linotype" w:cs="Palatino Linotype"/>
          <w:i/>
          <w:color w:val="000000"/>
        </w:rPr>
        <w:t>a, profesional, laboral, así como todos aquellos que acrediten su capacidad, habilidades o pericia para ocupar el cargo público.”</w:t>
      </w:r>
    </w:p>
    <w:p w:rsidR="00C97499" w:rsidRPr="00BA6AF3" w:rsidRDefault="00C97499">
      <w:pPr>
        <w:spacing w:line="276" w:lineRule="auto"/>
        <w:ind w:left="567" w:right="567"/>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color w:val="000000"/>
        </w:rPr>
        <w:t xml:space="preserve">Del citado criterio, se desprende que una de las formas en que los ciudadanos pueden evaluar las aptitudes y el requisito solicitado para desempeñar un cargo público determinado, es mediante la publicidad de ciertos datos contenidos en el </w:t>
      </w:r>
      <w:proofErr w:type="spellStart"/>
      <w:r w:rsidRPr="00BA6AF3">
        <w:rPr>
          <w:rFonts w:ascii="Palatino Linotype" w:eastAsia="Palatino Linotype" w:hAnsi="Palatino Linotype" w:cs="Palatino Linotype"/>
          <w:i/>
          <w:color w:val="000000"/>
        </w:rPr>
        <w:t>curriculum</w:t>
      </w:r>
      <w:proofErr w:type="spellEnd"/>
      <w:r w:rsidRPr="00BA6AF3">
        <w:rPr>
          <w:rFonts w:ascii="Palatino Linotype" w:eastAsia="Palatino Linotype" w:hAnsi="Palatino Linotype" w:cs="Palatino Linotype"/>
          <w:i/>
          <w:color w:val="000000"/>
        </w:rPr>
        <w:t xml:space="preserve"> vitae, </w:t>
      </w:r>
      <w:r w:rsidRPr="00BA6AF3">
        <w:rPr>
          <w:rFonts w:ascii="Palatino Linotype" w:eastAsia="Palatino Linotype" w:hAnsi="Palatino Linotype" w:cs="Palatino Linotype"/>
          <w:color w:val="000000"/>
        </w:rPr>
        <w:t xml:space="preserve">tal y como, la experiencia mínima requerida, para ocupar el puesto público. </w:t>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Asimismo, debe tenerse en cuenta lo dispuesto en el artículo 60  de la Ley General de Educación, 3.27 fracción IV, 3.28, 3.29 y 3.31 segundo párrafo del Código Administrativo del Estado de México, que prevén:</w:t>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spacing w:line="276" w:lineRule="auto"/>
        <w:ind w:left="851" w:right="902"/>
        <w:jc w:val="both"/>
        <w:rPr>
          <w:rFonts w:ascii="Palatino Linotype" w:eastAsia="Palatino Linotype" w:hAnsi="Palatino Linotype" w:cs="Palatino Linotype"/>
          <w:i/>
        </w:rPr>
      </w:pPr>
      <w:r w:rsidRPr="00BA6AF3">
        <w:rPr>
          <w:rFonts w:ascii="Palatino Linotype" w:eastAsia="Palatino Linotype" w:hAnsi="Palatino Linotype" w:cs="Palatino Linotype"/>
          <w:b/>
          <w:i/>
          <w:sz w:val="20"/>
          <w:szCs w:val="20"/>
        </w:rPr>
        <w:t>“</w:t>
      </w:r>
      <w:r w:rsidRPr="00BA6AF3">
        <w:rPr>
          <w:rFonts w:ascii="Palatino Linotype" w:eastAsia="Palatino Linotype" w:hAnsi="Palatino Linotype" w:cs="Palatino Linotype"/>
          <w:b/>
          <w:i/>
        </w:rPr>
        <w:t>ARTÍCULO 60.-</w:t>
      </w:r>
      <w:r w:rsidRPr="00BA6AF3">
        <w:rPr>
          <w:rFonts w:ascii="Palatino Linotype" w:eastAsia="Palatino Linotype" w:hAnsi="Palatino Linotype" w:cs="Palatino Linotype"/>
          <w:i/>
        </w:rPr>
        <w:t xml:space="preserve"> Los estudios realizados dentro del sistema educativo nacional tendrán validez en toda la República.</w:t>
      </w:r>
    </w:p>
    <w:p w:rsidR="00C97499" w:rsidRPr="00BA6AF3" w:rsidRDefault="00BC0FE1">
      <w:pPr>
        <w:spacing w:line="276" w:lineRule="auto"/>
        <w:ind w:left="851" w:right="902"/>
        <w:jc w:val="both"/>
        <w:rPr>
          <w:rFonts w:ascii="Palatino Linotype" w:eastAsia="Palatino Linotype" w:hAnsi="Palatino Linotype" w:cs="Palatino Linotype"/>
          <w:i/>
        </w:rPr>
      </w:pPr>
      <w:r w:rsidRPr="00BA6AF3">
        <w:rPr>
          <w:rFonts w:ascii="Palatino Linotype" w:eastAsia="Palatino Linotype" w:hAnsi="Palatino Linotype" w:cs="Palatino Linotype"/>
          <w:i/>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rsidR="00C97499" w:rsidRPr="00BA6AF3" w:rsidRDefault="00C97499">
      <w:pPr>
        <w:spacing w:line="360" w:lineRule="auto"/>
        <w:ind w:left="851" w:right="902"/>
        <w:jc w:val="both"/>
        <w:rPr>
          <w:rFonts w:ascii="Palatino Linotype" w:eastAsia="Palatino Linotype" w:hAnsi="Palatino Linotype" w:cs="Palatino Linotype"/>
          <w:i/>
        </w:rPr>
      </w:pP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De lo dispuesto en el preceptos legales en cita, se obtiene que en materia de educación, es aplicable en la entidad lo dispuesto en la Ley General de Educación, por lo que en términos de dicha ley, el estudio educativo realizado dentro del </w:t>
      </w:r>
      <w:r w:rsidRPr="00BA6AF3">
        <w:rPr>
          <w:rFonts w:ascii="Palatino Linotype" w:eastAsia="Palatino Linotype" w:hAnsi="Palatino Linotype" w:cs="Palatino Linotype"/>
        </w:rPr>
        <w:lastRenderedPageBreak/>
        <w:t>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rsidR="00C97499" w:rsidRPr="00BA6AF3" w:rsidRDefault="00C97499">
      <w:pPr>
        <w:spacing w:line="276" w:lineRule="auto"/>
        <w:ind w:right="900"/>
        <w:jc w:val="both"/>
        <w:rPr>
          <w:rFonts w:ascii="Palatino Linotype" w:eastAsia="Palatino Linotype" w:hAnsi="Palatino Linotype" w:cs="Palatino Linotype"/>
          <w:i/>
        </w:rPr>
      </w:pPr>
    </w:p>
    <w:p w:rsidR="00C97499" w:rsidRPr="00BA6AF3" w:rsidRDefault="00BC0FE1">
      <w:pPr>
        <w:spacing w:before="16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Por lo anterior, el Sujeto Obligado deberá hacer entrega del documento en el que conste el nombre y grado de estudios de los servidores públicos titulares de las direcciones que integran la estructura orgánica al uno de agosto de dos mil veintitrés. </w:t>
      </w:r>
    </w:p>
    <w:p w:rsidR="00C97499" w:rsidRPr="00BA6AF3" w:rsidRDefault="00BC0FE1">
      <w:pPr>
        <w:spacing w:before="280" w:after="280"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b/>
        </w:rPr>
        <w:t xml:space="preserve">7. Litros que no son consumidos por las unidades que están fuera de servicio. </w:t>
      </w: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Sobre este punto, es de señalar que se trata de un requerimiento que implicaría cuya atención implicaría al </w:t>
      </w:r>
      <w:r w:rsidRPr="00BA6AF3">
        <w:rPr>
          <w:rFonts w:ascii="Palatino Linotype" w:eastAsia="Palatino Linotype" w:hAnsi="Palatino Linotype" w:cs="Palatino Linotype"/>
          <w:b/>
        </w:rPr>
        <w:t xml:space="preserve">Sujeto Obligado </w:t>
      </w:r>
      <w:r w:rsidRPr="00BA6AF3">
        <w:rPr>
          <w:rFonts w:ascii="Palatino Linotype" w:eastAsia="Palatino Linotype" w:hAnsi="Palatino Linotype" w:cs="Palatino Linotype"/>
        </w:rPr>
        <w:t>realizar un cálculo para determinar la cantidad de combustible que no son consumidos por las unidades que están fuera de  servicio, situación que no es atendible mediante el ejercicio del derecho de acceso a la información; situación que conlleva a afirmar que se está en presencia del ejercicio del derecho de petición.</w:t>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Bajo ese contexto, es importante dejar en claro lo que debe entenderse por derecho de petición y por derecho de acceso a la información pública.</w:t>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i/>
        </w:rPr>
      </w:pPr>
      <w:r w:rsidRPr="00BA6AF3">
        <w:rPr>
          <w:rFonts w:ascii="Palatino Linotype" w:eastAsia="Palatino Linotype" w:hAnsi="Palatino Linotype" w:cs="Palatino Linotype"/>
        </w:rPr>
        <w:t>Por lo que respecta a la definición de Derecho de Petición, el Maestro Ignacio Burgoa Orihuela refiere: “…</w:t>
      </w:r>
      <w:r w:rsidRPr="00BA6AF3">
        <w:rPr>
          <w:rFonts w:ascii="Palatino Linotype" w:eastAsia="Palatino Linotype" w:hAnsi="Palatino Linotype" w:cs="Palatino Linotype"/>
          <w:i/>
        </w:rPr>
        <w:t xml:space="preserve">es un Derecho Público subjetivo individual de la Garantía Respectiva </w:t>
      </w:r>
      <w:r w:rsidRPr="00BA6AF3">
        <w:rPr>
          <w:rFonts w:ascii="Palatino Linotype" w:eastAsia="Palatino Linotype" w:hAnsi="Palatino Linotype" w:cs="Palatino Linotype"/>
          <w:i/>
        </w:rPr>
        <w:lastRenderedPageBreak/>
        <w:t>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BA6AF3">
        <w:rPr>
          <w:rFonts w:ascii="Palatino Linotype" w:eastAsia="Palatino Linotype" w:hAnsi="Palatino Linotype" w:cs="Palatino Linotype"/>
          <w:i/>
          <w:vertAlign w:val="superscript"/>
        </w:rPr>
        <w:t xml:space="preserve"> </w:t>
      </w:r>
      <w:r w:rsidRPr="00BA6AF3">
        <w:rPr>
          <w:rFonts w:ascii="Palatino Linotype" w:eastAsia="Palatino Linotype" w:hAnsi="Palatino Linotype" w:cs="Palatino Linotype"/>
          <w:i/>
          <w:vertAlign w:val="superscript"/>
        </w:rPr>
        <w:footnoteReference w:id="4"/>
      </w:r>
      <w:proofErr w:type="gramStart"/>
      <w:r w:rsidRPr="00BA6AF3">
        <w:rPr>
          <w:rFonts w:ascii="Palatino Linotype" w:eastAsia="Palatino Linotype" w:hAnsi="Palatino Linotype" w:cs="Palatino Linotype"/>
          <w:i/>
        </w:rPr>
        <w:t>“ (</w:t>
      </w:r>
      <w:proofErr w:type="gramEnd"/>
      <w:r w:rsidRPr="00BA6AF3">
        <w:rPr>
          <w:rFonts w:ascii="Palatino Linotype" w:eastAsia="Palatino Linotype" w:hAnsi="Palatino Linotype" w:cs="Palatino Linotype"/>
          <w:i/>
        </w:rPr>
        <w:t>Sic)</w:t>
      </w:r>
    </w:p>
    <w:p w:rsidR="00C97499" w:rsidRPr="00BA6AF3" w:rsidRDefault="00C97499">
      <w:pPr>
        <w:spacing w:line="360" w:lineRule="auto"/>
        <w:jc w:val="both"/>
        <w:rPr>
          <w:rFonts w:ascii="Palatino Linotype" w:eastAsia="Palatino Linotype" w:hAnsi="Palatino Linotype" w:cs="Palatino Linotype"/>
          <w:i/>
        </w:rPr>
      </w:pPr>
    </w:p>
    <w:p w:rsidR="00C97499" w:rsidRPr="00BA6AF3" w:rsidRDefault="00BC0FE1">
      <w:pPr>
        <w:spacing w:line="360" w:lineRule="auto"/>
        <w:jc w:val="both"/>
        <w:rPr>
          <w:rFonts w:ascii="Palatino Linotype" w:eastAsia="Palatino Linotype" w:hAnsi="Palatino Linotype" w:cs="Palatino Linotype"/>
          <w:i/>
        </w:rPr>
      </w:pPr>
      <w:r w:rsidRPr="00BA6AF3">
        <w:rPr>
          <w:rFonts w:ascii="Palatino Linotype" w:eastAsia="Palatino Linotype" w:hAnsi="Palatino Linotype" w:cs="Palatino Linotype"/>
        </w:rPr>
        <w:t xml:space="preserve">Por su parte, David Cienfuegos Salgado, concibe al derecho de petición como </w:t>
      </w:r>
      <w:r w:rsidRPr="00BA6AF3">
        <w:rPr>
          <w:rFonts w:ascii="Palatino Linotype" w:eastAsia="Palatino Linotype" w:hAnsi="Palatino Linotype" w:cs="Palatino Linotype"/>
          <w:i/>
        </w:rPr>
        <w:t>“el derecho de toda persona a ser escuchado por quienes ejercen el poder público</w:t>
      </w:r>
      <w:proofErr w:type="gramStart"/>
      <w:r w:rsidRPr="00BA6AF3">
        <w:rPr>
          <w:rFonts w:ascii="Palatino Linotype" w:eastAsia="Palatino Linotype" w:hAnsi="Palatino Linotype" w:cs="Palatino Linotype"/>
          <w:i/>
        </w:rPr>
        <w:t>.</w:t>
      </w:r>
      <w:r w:rsidRPr="00BA6AF3">
        <w:rPr>
          <w:rFonts w:ascii="Palatino Linotype" w:eastAsia="Palatino Linotype" w:hAnsi="Palatino Linotype" w:cs="Palatino Linotype"/>
          <w:i/>
          <w:vertAlign w:val="superscript"/>
        </w:rPr>
        <w:t xml:space="preserve"> </w:t>
      </w:r>
      <w:proofErr w:type="gramEnd"/>
      <w:r w:rsidRPr="00BA6AF3">
        <w:rPr>
          <w:rFonts w:ascii="Palatino Linotype" w:eastAsia="Palatino Linotype" w:hAnsi="Palatino Linotype" w:cs="Palatino Linotype"/>
          <w:i/>
          <w:vertAlign w:val="superscript"/>
        </w:rPr>
        <w:footnoteReference w:id="5"/>
      </w:r>
      <w:r w:rsidRPr="00BA6AF3">
        <w:rPr>
          <w:rFonts w:ascii="Palatino Linotype" w:eastAsia="Palatino Linotype" w:hAnsi="Palatino Linotype" w:cs="Palatino Linotype"/>
          <w:i/>
        </w:rPr>
        <w:t xml:space="preserve">” (Sic) </w:t>
      </w:r>
    </w:p>
    <w:p w:rsidR="00C97499" w:rsidRPr="00BA6AF3" w:rsidRDefault="00BC0FE1">
      <w:pPr>
        <w:spacing w:line="360" w:lineRule="auto"/>
        <w:jc w:val="both"/>
        <w:rPr>
          <w:rFonts w:ascii="Palatino Linotype" w:eastAsia="Palatino Linotype" w:hAnsi="Palatino Linotype" w:cs="Palatino Linotype"/>
          <w:i/>
        </w:rPr>
      </w:pPr>
      <w:r w:rsidRPr="00BA6AF3">
        <w:rPr>
          <w:rFonts w:ascii="Palatino Linotype" w:eastAsia="Palatino Linotype" w:hAnsi="Palatino Linotype" w:cs="Palatino Linotype"/>
        </w:rPr>
        <w:t xml:space="preserve">A este respecto, y para diferenciar el derecho de petición al derecho de acceso a la información, resulta conducente señalar que José Guadalupe Robles, conceptualiza el derecho a la información como </w:t>
      </w:r>
      <w:r w:rsidRPr="00BA6AF3">
        <w:rPr>
          <w:rFonts w:ascii="Palatino Linotype" w:eastAsia="Palatino Linotype" w:hAnsi="Palatino Linotype" w:cs="Palatino Linotype"/>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BA6AF3">
        <w:rPr>
          <w:rFonts w:ascii="Palatino Linotype" w:eastAsia="Palatino Linotype" w:hAnsi="Palatino Linotype" w:cs="Palatino Linotype"/>
          <w:i/>
          <w:vertAlign w:val="superscript"/>
        </w:rPr>
        <w:t xml:space="preserve"> </w:t>
      </w:r>
      <w:r w:rsidRPr="00BA6AF3">
        <w:rPr>
          <w:rFonts w:ascii="Palatino Linotype" w:eastAsia="Palatino Linotype" w:hAnsi="Palatino Linotype" w:cs="Palatino Linotype"/>
          <w:i/>
          <w:vertAlign w:val="superscript"/>
        </w:rPr>
        <w:footnoteReference w:id="6"/>
      </w:r>
      <w:r w:rsidRPr="00BA6AF3">
        <w:rPr>
          <w:rFonts w:ascii="Palatino Linotype" w:eastAsia="Palatino Linotype" w:hAnsi="Palatino Linotype" w:cs="Palatino Linotype"/>
          <w:i/>
        </w:rPr>
        <w:t xml:space="preserve">“(SIC) </w:t>
      </w:r>
    </w:p>
    <w:p w:rsidR="00C97499" w:rsidRPr="00BA6AF3" w:rsidRDefault="00C97499">
      <w:pPr>
        <w:spacing w:line="360" w:lineRule="auto"/>
        <w:jc w:val="both"/>
        <w:rPr>
          <w:rFonts w:ascii="Palatino Linotype" w:eastAsia="Palatino Linotype" w:hAnsi="Palatino Linotype" w:cs="Palatino Linotype"/>
          <w:i/>
        </w:rPr>
      </w:pPr>
    </w:p>
    <w:p w:rsidR="00C97499" w:rsidRPr="00BA6AF3" w:rsidRDefault="00BC0FE1">
      <w:pPr>
        <w:spacing w:line="360" w:lineRule="auto"/>
        <w:jc w:val="both"/>
        <w:rPr>
          <w:rFonts w:ascii="Palatino Linotype" w:eastAsia="Palatino Linotype" w:hAnsi="Palatino Linotype" w:cs="Palatino Linotype"/>
          <w:i/>
        </w:rPr>
      </w:pPr>
      <w:r w:rsidRPr="00BA6AF3">
        <w:rPr>
          <w:rFonts w:ascii="Palatino Linotype" w:eastAsia="Palatino Linotype" w:hAnsi="Palatino Linotype" w:cs="Palatino Linotype"/>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BA6AF3">
        <w:rPr>
          <w:rFonts w:ascii="Palatino Linotype" w:eastAsia="Palatino Linotype" w:hAnsi="Palatino Linotype" w:cs="Palatino Linotype"/>
        </w:rPr>
        <w:t>Villanueva</w:t>
      </w:r>
      <w:proofErr w:type="spellEnd"/>
      <w:r w:rsidRPr="00BA6AF3">
        <w:rPr>
          <w:rFonts w:ascii="Palatino Linotype" w:eastAsia="Palatino Linotype" w:hAnsi="Palatino Linotype" w:cs="Palatino Linotype"/>
        </w:rPr>
        <w:t xml:space="preserve"> que dice: “</w:t>
      </w:r>
      <w:r w:rsidRPr="00BA6AF3">
        <w:rPr>
          <w:rFonts w:ascii="Palatino Linotype" w:eastAsia="Palatino Linotype" w:hAnsi="Palatino Linotype" w:cs="Palatino Linotype"/>
          <w:i/>
        </w:rPr>
        <w:t xml:space="preserve">la prerrogativa de la persona para acceder a datos, registros y todo tipo de informaciones en </w:t>
      </w:r>
      <w:r w:rsidRPr="00BA6AF3">
        <w:rPr>
          <w:rFonts w:ascii="Palatino Linotype" w:eastAsia="Palatino Linotype" w:hAnsi="Palatino Linotype" w:cs="Palatino Linotype"/>
          <w:i/>
        </w:rPr>
        <w:lastRenderedPageBreak/>
        <w:t xml:space="preserve">poder de entidades públicas y empresas privadas que ejercen gasto público o cumplen funciones de autoridad, con las excepciones taxativas que establezca la ley en una sociedad democrática.” (Sic) </w:t>
      </w:r>
      <w:r w:rsidRPr="00BA6AF3">
        <w:rPr>
          <w:rFonts w:ascii="Palatino Linotype" w:eastAsia="Palatino Linotype" w:hAnsi="Palatino Linotype" w:cs="Palatino Linotype"/>
          <w:i/>
          <w:vertAlign w:val="superscript"/>
        </w:rPr>
        <w:footnoteReference w:id="7"/>
      </w:r>
    </w:p>
    <w:p w:rsidR="00C97499" w:rsidRPr="00BA6AF3" w:rsidRDefault="00C97499">
      <w:pPr>
        <w:spacing w:line="360" w:lineRule="auto"/>
        <w:jc w:val="both"/>
        <w:rPr>
          <w:rFonts w:ascii="Palatino Linotype" w:eastAsia="Palatino Linotype" w:hAnsi="Palatino Linotype" w:cs="Palatino Linotype"/>
          <w:i/>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De lo anterior, se puede concluir que la distinción entre el derecho de petición y el derecho de acceso a la información estriba, principalmente, en que en el primero de ellos </w:t>
      </w:r>
      <w:r w:rsidRPr="00BA6AF3">
        <w:rPr>
          <w:rFonts w:ascii="Palatino Linotype" w:eastAsia="Palatino Linotype" w:hAnsi="Palatino Linotype" w:cs="Palatino Linotype"/>
          <w:color w:val="000000"/>
        </w:rPr>
        <w:t xml:space="preserve">la pretensión del peticionario consiste generalmente en obligar a la autoridad responsable a que actúe en el sentido de contestar lo solicitado; mientras que en el </w:t>
      </w:r>
      <w:r w:rsidRPr="00BA6AF3">
        <w:rPr>
          <w:rFonts w:ascii="Palatino Linotype" w:eastAsia="Palatino Linotype" w:hAnsi="Palatino Linotype" w:cs="Palatino Linotype"/>
        </w:rPr>
        <w:t xml:space="preserve">segundo supuesto, la petición se encamina primordialmente a permitir el acceso a datos, registros y todo tipo de información pública </w:t>
      </w:r>
      <w:r w:rsidRPr="00BA6AF3">
        <w:rPr>
          <w:rFonts w:ascii="Palatino Linotype" w:eastAsia="Palatino Linotype" w:hAnsi="Palatino Linotype" w:cs="Palatino Linotype"/>
          <w:b/>
        </w:rPr>
        <w:t>que conste en documentos</w:t>
      </w:r>
      <w:r w:rsidRPr="00BA6AF3">
        <w:rPr>
          <w:rFonts w:ascii="Palatino Linotype" w:eastAsia="Palatino Linotype" w:hAnsi="Palatino Linotype" w:cs="Palatino Linotype"/>
        </w:rPr>
        <w:t xml:space="preserve">, sea generada o se encuentre en posesión de la autoridad. </w:t>
      </w:r>
    </w:p>
    <w:p w:rsidR="00C97499" w:rsidRPr="00BA6AF3" w:rsidRDefault="00BC0FE1">
      <w:pPr>
        <w:spacing w:before="280" w:after="28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Por lo que, este Organismo garante no cuenta con facultades para ordenar al Sujeto Obligado la entrega de la información solicitada en este punto. </w:t>
      </w:r>
    </w:p>
    <w:p w:rsidR="00C97499" w:rsidRPr="00BA6AF3" w:rsidRDefault="00C97499"/>
    <w:p w:rsidR="00C97499" w:rsidRPr="00BA6AF3" w:rsidRDefault="00C97499">
      <w:pPr>
        <w:spacing w:before="280" w:after="280" w:line="360" w:lineRule="auto"/>
        <w:jc w:val="both"/>
        <w:rPr>
          <w:rFonts w:ascii="Palatino Linotype" w:eastAsia="Palatino Linotype" w:hAnsi="Palatino Linotype" w:cs="Palatino Linotype"/>
          <w:b/>
        </w:rPr>
      </w:pPr>
    </w:p>
    <w:p w:rsidR="00C97499" w:rsidRPr="00BA6AF3" w:rsidRDefault="00C97499">
      <w:pPr>
        <w:spacing w:before="280" w:after="280" w:line="360" w:lineRule="auto"/>
        <w:jc w:val="both"/>
        <w:rPr>
          <w:rFonts w:ascii="Palatino Linotype" w:eastAsia="Palatino Linotype" w:hAnsi="Palatino Linotype" w:cs="Palatino Linotype"/>
          <w:b/>
        </w:rPr>
      </w:pPr>
    </w:p>
    <w:p w:rsidR="00C97499" w:rsidRPr="00BA6AF3" w:rsidRDefault="00C97499">
      <w:pPr>
        <w:spacing w:before="280" w:after="280" w:line="360" w:lineRule="auto"/>
        <w:jc w:val="both"/>
        <w:rPr>
          <w:rFonts w:ascii="Palatino Linotype" w:eastAsia="Palatino Linotype" w:hAnsi="Palatino Linotype" w:cs="Palatino Linotype"/>
          <w:b/>
        </w:rPr>
      </w:pPr>
    </w:p>
    <w:p w:rsidR="00C97499" w:rsidRPr="00BA6AF3" w:rsidRDefault="00C97499">
      <w:pPr>
        <w:pBdr>
          <w:top w:val="nil"/>
          <w:left w:val="nil"/>
          <w:bottom w:val="nil"/>
          <w:right w:val="nil"/>
          <w:between w:val="nil"/>
        </w:pBdr>
        <w:spacing w:before="240" w:after="160" w:line="360" w:lineRule="auto"/>
        <w:ind w:right="49"/>
        <w:jc w:val="both"/>
        <w:rPr>
          <w:rFonts w:ascii="Palatino Linotype" w:eastAsia="Palatino Linotype" w:hAnsi="Palatino Linotype" w:cs="Palatino Linotype"/>
          <w:color w:val="FF0000"/>
        </w:rPr>
      </w:pPr>
    </w:p>
    <w:p w:rsidR="00C97499" w:rsidRPr="00BA6AF3" w:rsidRDefault="00C97499">
      <w:pPr>
        <w:pBdr>
          <w:top w:val="nil"/>
          <w:left w:val="nil"/>
          <w:bottom w:val="nil"/>
          <w:right w:val="nil"/>
          <w:between w:val="nil"/>
        </w:pBdr>
        <w:spacing w:before="240" w:after="160" w:line="360" w:lineRule="auto"/>
        <w:ind w:right="49"/>
        <w:jc w:val="both"/>
        <w:rPr>
          <w:rFonts w:ascii="Palatino Linotype" w:eastAsia="Palatino Linotype" w:hAnsi="Palatino Linotype" w:cs="Palatino Linotype"/>
          <w:color w:val="FF0000"/>
        </w:rPr>
      </w:pPr>
    </w:p>
    <w:p w:rsidR="00C97499" w:rsidRPr="00BA6AF3" w:rsidRDefault="00C97499">
      <w:pPr>
        <w:spacing w:before="280" w:after="280" w:line="360" w:lineRule="auto"/>
        <w:jc w:val="both"/>
        <w:rPr>
          <w:rFonts w:ascii="Palatino Linotype" w:eastAsia="Palatino Linotype" w:hAnsi="Palatino Linotype" w:cs="Palatino Linotype"/>
        </w:rPr>
      </w:pP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ese sentido, derivado de que la información que contienen las bitácoras de gasolina se encuentra relacionada con la Dirección de Seguridad Pública del Ayuntamiento, se tiene que esta puede poner en riesgo a los integrantes de las corporaciones policiacas,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dato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 </w:t>
      </w: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Como se ha referido, resulta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C97499" w:rsidRPr="00BA6AF3" w:rsidRDefault="00C97499">
      <w:pPr>
        <w:spacing w:line="360" w:lineRule="auto"/>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w:t>
      </w:r>
      <w:r w:rsidRPr="00BA6AF3">
        <w:rPr>
          <w:rFonts w:ascii="Palatino Linotype" w:eastAsia="Palatino Linotype" w:hAnsi="Palatino Linotype" w:cs="Palatino Linotype"/>
        </w:rPr>
        <w:lastRenderedPageBreak/>
        <w:t xml:space="preserve">de datos personales y sobre todo cuando traen implícito que se ponga en riesgo la vida o integridad de una persona. </w:t>
      </w:r>
    </w:p>
    <w:p w:rsidR="00C97499" w:rsidRPr="00BA6AF3" w:rsidRDefault="00C97499">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Sirven de sustento a lo anterior las tesis jurisprudenciales emitidas por la Suprema corte de Justicia de la Nación, que son del literal siguiente: </w:t>
      </w:r>
    </w:p>
    <w:p w:rsidR="00C97499" w:rsidRPr="00BA6AF3" w:rsidRDefault="00C97499">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i/>
        </w:rPr>
      </w:pPr>
      <w:r w:rsidRPr="00BA6AF3">
        <w:rPr>
          <w:rFonts w:ascii="Palatino Linotype" w:eastAsia="Palatino Linotype" w:hAnsi="Palatino Linotype" w:cs="Palatino Linotype"/>
          <w:b/>
          <w:i/>
        </w:rPr>
        <w:t>“DERECHO A LA INFORMACIÓN. SU EJERCICIO SE ENCUENTRA LIMITADO TANTO POR LOS INTERESES NACIONALES Y DE LA SOCIEDAD, COMO POR LOS DERECHOS DE TERCEROS.</w:t>
      </w:r>
      <w:r w:rsidRPr="00BA6AF3">
        <w:rPr>
          <w:rFonts w:ascii="Palatino Linotype" w:eastAsia="Palatino Linotype" w:hAnsi="Palatino Linotype" w:cs="Palatino Linotype"/>
          <w:i/>
        </w:rPr>
        <w:t xml:space="preserve"> 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 </w:t>
      </w:r>
    </w:p>
    <w:p w:rsidR="00C97499" w:rsidRPr="00BA6AF3" w:rsidRDefault="00C97499">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i/>
        </w:rPr>
      </w:pPr>
      <w:r w:rsidRPr="00BA6AF3">
        <w:rPr>
          <w:rFonts w:ascii="Palatino Linotype" w:eastAsia="Palatino Linotype" w:hAnsi="Palatino Linotype" w:cs="Palatino Linotype"/>
          <w:i/>
        </w:rPr>
        <w:t>“</w:t>
      </w:r>
      <w:r w:rsidRPr="00BA6AF3">
        <w:rPr>
          <w:rFonts w:ascii="Palatino Linotype" w:eastAsia="Palatino Linotype" w:hAnsi="Palatino Linotype" w:cs="Palatino Linotype"/>
          <w:b/>
          <w:i/>
        </w:rPr>
        <w:t>TRANSPARENCIA Y ACCESO A LA INFORMACIÓN PÚBLICA GUBERNAMENTAL. EL ARTÍCULO 14, FRACCIÓN I, DE LA LEY FEDERAL RELATIVA, NO VIOLA LA GARANTÍA DE ACCESO A LA INFORMACIÓN. El Tribunal en Pleno de la Suprema Corte de Justicia de la Nación en la tesis P. LX/2000 de rubro: "DERECHO A LA INFORMACIÓN. SU EJERCICIO SE ENCUENTRA LIMITADO TANTO POR LOS INTERESES NACIONALES Y DE LA SOCIEDAD, COMO POR LOS DERECHOS DE TERCEROS</w:t>
      </w:r>
      <w:r w:rsidRPr="00BA6AF3">
        <w:rPr>
          <w:rFonts w:ascii="Palatino Linotype" w:eastAsia="Palatino Linotype" w:hAnsi="Palatino Linotype" w:cs="Palatino Linotype"/>
          <w:i/>
        </w:rPr>
        <w:t xml:space="preserve">.",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 la cual debe ser adecuada y necesaria para alcanzar el fin perseguido, de manera que las ventajas obtenidas con la reserva compensen el sacrificio que ésta implique para los titulares de la garantía individual mencionada o para la sociedad en general.” </w:t>
      </w:r>
    </w:p>
    <w:p w:rsidR="00C97499" w:rsidRPr="00BA6AF3" w:rsidRDefault="00C97499">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 xml:space="preserve">Asimismo,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 </w:t>
      </w:r>
    </w:p>
    <w:p w:rsidR="00C97499" w:rsidRPr="00BA6AF3" w:rsidRDefault="00C97499">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276" w:lineRule="auto"/>
        <w:ind w:left="567" w:right="843"/>
        <w:jc w:val="both"/>
        <w:rPr>
          <w:rFonts w:ascii="Palatino Linotype" w:eastAsia="Palatino Linotype" w:hAnsi="Palatino Linotype" w:cs="Palatino Linotype"/>
          <w:i/>
        </w:rPr>
      </w:pPr>
      <w:r w:rsidRPr="00BA6AF3">
        <w:rPr>
          <w:rFonts w:ascii="Palatino Linotype" w:eastAsia="Palatino Linotype" w:hAnsi="Palatino Linotype" w:cs="Palatino Linotype"/>
          <w:i/>
        </w:rPr>
        <w:t>“</w:t>
      </w:r>
      <w:r w:rsidRPr="00BA6AF3">
        <w:rPr>
          <w:rFonts w:ascii="Palatino Linotype" w:eastAsia="Palatino Linotype" w:hAnsi="Palatino Linotype" w:cs="Palatino Linotype"/>
          <w:b/>
          <w:i/>
        </w:rPr>
        <w:t>Nombres de servidores públicos dedicados a actividades en materia de seguridad, por excepción pueden considerarse información reservada.</w:t>
      </w:r>
      <w:r w:rsidRPr="00BA6AF3">
        <w:rPr>
          <w:rFonts w:ascii="Palatino Linotype" w:eastAsia="Palatino Linotype" w:hAnsi="Palatino Linotype" w:cs="Palatino Linotype"/>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 </w:t>
      </w:r>
    </w:p>
    <w:p w:rsidR="00C97499" w:rsidRPr="00BA6AF3" w:rsidRDefault="00C97499">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 </w:t>
      </w:r>
    </w:p>
    <w:p w:rsidR="00C97499" w:rsidRPr="00BA6AF3" w:rsidRDefault="00C97499">
      <w:pPr>
        <w:pBdr>
          <w:top w:val="nil"/>
          <w:left w:val="nil"/>
          <w:bottom w:val="nil"/>
          <w:right w:val="nil"/>
          <w:between w:val="nil"/>
        </w:pBdr>
        <w:spacing w:line="360" w:lineRule="auto"/>
        <w:ind w:right="49"/>
        <w:jc w:val="both"/>
        <w:rPr>
          <w:rFonts w:ascii="Palatino Linotype" w:eastAsia="Palatino Linotype" w:hAnsi="Palatino Linotype" w:cs="Palatino Linotype"/>
        </w:rPr>
      </w:pPr>
    </w:p>
    <w:p w:rsidR="00C97499" w:rsidRPr="00BA6AF3" w:rsidRDefault="00BC0FE1">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w:t>
      </w: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Por lo que, 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BA6AF3">
        <w:rPr>
          <w:rFonts w:ascii="Palatino Linotype" w:eastAsia="Palatino Linotype" w:hAnsi="Palatino Linotype" w:cs="Palatino Linotype"/>
          <w:b/>
        </w:rPr>
        <w:t xml:space="preserve">razones, motivos o circunstancias especiales que lo llevaron a concluir que el caso concreto, se ajustó a los supuestos previstos en la normatividad legal invocada como fundamento, para dichos efectos, debe </w:t>
      </w:r>
      <w:r w:rsidRPr="00BA6AF3">
        <w:rPr>
          <w:rFonts w:ascii="Palatino Linotype" w:eastAsia="Palatino Linotype" w:hAnsi="Palatino Linotype" w:cs="Palatino Linotype"/>
          <w:b/>
        </w:rPr>
        <w:lastRenderedPageBreak/>
        <w:t>proceder a su vez a realizar una prueba de daño</w:t>
      </w:r>
      <w:r w:rsidRPr="00BA6AF3">
        <w:rPr>
          <w:rFonts w:ascii="Palatino Linotype" w:eastAsia="Palatino Linotype" w:hAnsi="Palatino Linotype" w:cs="Palatino Linotype"/>
        </w:rPr>
        <w:t xml:space="preserve">,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 </w:t>
      </w: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En ese sentido, toda vez que el Ayuntamiento de Tultepec no entregó las bitácoras de gasolina de todos los meses solicitados y aunado a que en los documentos que entregó se observan datos susceptibles de ser clasificados relacionados con servidores públicos adscritos a la Dirección de Seguridad Pública, de los cuales se desconoce si son elementos operativos, y en consecuencia no se hicieron del conocimiento del Solicitante; </w:t>
      </w:r>
      <w:r w:rsidRPr="00BA6AF3">
        <w:rPr>
          <w:rFonts w:ascii="Palatino Linotype" w:eastAsia="Palatino Linotype" w:hAnsi="Palatino Linotype" w:cs="Palatino Linotype"/>
          <w:b/>
        </w:rPr>
        <w:t xml:space="preserve">no se tiene por colmado </w:t>
      </w:r>
      <w:r w:rsidRPr="00BA6AF3">
        <w:rPr>
          <w:rFonts w:ascii="Palatino Linotype" w:eastAsia="Palatino Linotype" w:hAnsi="Palatino Linotype" w:cs="Palatino Linotype"/>
        </w:rPr>
        <w:t>este requerimiento de información.</w:t>
      </w:r>
    </w:p>
    <w:p w:rsidR="00C97499" w:rsidRPr="00BA6AF3" w:rsidRDefault="00BC0FE1">
      <w:pPr>
        <w:spacing w:line="360" w:lineRule="auto"/>
        <w:ind w:right="49"/>
        <w:jc w:val="both"/>
        <w:rPr>
          <w:rFonts w:ascii="Palatino Linotype" w:eastAsia="Palatino Linotype" w:hAnsi="Palatino Linotype" w:cs="Palatino Linotype"/>
          <w:b/>
        </w:rPr>
      </w:pPr>
      <w:r w:rsidRPr="00BA6AF3">
        <w:rPr>
          <w:rFonts w:ascii="Palatino Linotype" w:eastAsia="Palatino Linotype" w:hAnsi="Palatino Linotype" w:cs="Palatino Linotype"/>
        </w:rPr>
        <w:t xml:space="preserve">Por lo que, resulta procedente ordenar los </w:t>
      </w:r>
      <w:r w:rsidRPr="00BA6AF3">
        <w:rPr>
          <w:rFonts w:ascii="Palatino Linotype" w:eastAsia="Palatino Linotype" w:hAnsi="Palatino Linotype" w:cs="Palatino Linotype"/>
          <w:b/>
        </w:rPr>
        <w:t xml:space="preserve">documentos donde conste el consumo diario de gasolina y/o diésel por unidad administrativa del uno de enero al treinta de mayo de dos mil veintidós. </w:t>
      </w:r>
    </w:p>
    <w:p w:rsidR="00C97499" w:rsidRPr="00BA6AF3" w:rsidRDefault="00C97499">
      <w:pPr>
        <w:spacing w:line="360" w:lineRule="auto"/>
        <w:ind w:right="49"/>
        <w:jc w:val="both"/>
        <w:rPr>
          <w:rFonts w:ascii="Palatino Linotype" w:eastAsia="Palatino Linotype" w:hAnsi="Palatino Linotype" w:cs="Palatino Linotype"/>
        </w:rPr>
      </w:pPr>
    </w:p>
    <w:p w:rsidR="00C97499" w:rsidRPr="00BA6AF3" w:rsidRDefault="00BC0FE1">
      <w:pPr>
        <w:spacing w:line="360" w:lineRule="auto"/>
        <w:ind w:right="51"/>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b/>
          <w:color w:val="000000"/>
        </w:rPr>
        <w:t xml:space="preserve">Quinto. Versión Pública. </w:t>
      </w:r>
      <w:r w:rsidRPr="00BA6AF3">
        <w:rPr>
          <w:rFonts w:ascii="Palatino Linotype" w:eastAsia="Palatino Linotype" w:hAnsi="Palatino Linotype" w:cs="Palatino Linotype"/>
          <w:color w:val="000000"/>
        </w:rPr>
        <w:t>Como fue debidamente apuntado, el</w:t>
      </w:r>
      <w:r w:rsidRPr="00BA6AF3">
        <w:rPr>
          <w:rFonts w:ascii="Palatino Linotype" w:eastAsia="Palatino Linotype" w:hAnsi="Palatino Linotype" w:cs="Palatino Linotype"/>
          <w:b/>
          <w:color w:val="000000"/>
        </w:rPr>
        <w:t> Sujeto Obligado</w:t>
      </w:r>
      <w:r w:rsidRPr="00BA6AF3">
        <w:rPr>
          <w:rFonts w:ascii="Palatino Linotype" w:eastAsia="Palatino Linotype" w:hAnsi="Palatino Linotype" w:cs="Palatino Linotype"/>
          <w:color w:val="000000"/>
        </w:rPr>
        <w:t xml:space="preserve">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w:t>
      </w:r>
      <w:r w:rsidRPr="00BA6AF3">
        <w:rPr>
          <w:rFonts w:ascii="Palatino Linotype" w:eastAsia="Palatino Linotype" w:hAnsi="Palatino Linotype" w:cs="Palatino Linotype"/>
          <w:color w:val="000000"/>
        </w:rPr>
        <w:lastRenderedPageBreak/>
        <w:t>debe ser restringido que deben testarse al momento de la versión pública, atento a lo siguiente:</w:t>
      </w:r>
    </w:p>
    <w:p w:rsidR="00C97499" w:rsidRPr="00BA6AF3" w:rsidRDefault="00C97499">
      <w:pPr>
        <w:spacing w:line="360" w:lineRule="auto"/>
        <w:ind w:right="51"/>
        <w:jc w:val="both"/>
        <w:rPr>
          <w:rFonts w:ascii="Palatino Linotype" w:eastAsia="Palatino Linotype" w:hAnsi="Palatino Linotype" w:cs="Palatino Linotype"/>
          <w:color w:val="000000"/>
        </w:rPr>
      </w:pPr>
    </w:p>
    <w:p w:rsidR="00C97499" w:rsidRPr="00BA6AF3" w:rsidRDefault="00BC0FE1">
      <w:pPr>
        <w:spacing w:line="360" w:lineRule="auto"/>
        <w:ind w:right="49"/>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C97499" w:rsidRPr="00BA6AF3" w:rsidRDefault="00BC0FE1">
      <w:pPr>
        <w:spacing w:line="360" w:lineRule="auto"/>
        <w:ind w:right="49"/>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C97499" w:rsidRPr="00BA6AF3" w:rsidRDefault="00C97499">
      <w:pPr>
        <w:spacing w:line="360" w:lineRule="auto"/>
        <w:ind w:right="49"/>
        <w:jc w:val="both"/>
        <w:rPr>
          <w:rFonts w:ascii="Palatino Linotype" w:eastAsia="Palatino Linotype" w:hAnsi="Palatino Linotype" w:cs="Palatino Linotype"/>
          <w:color w:val="000000"/>
        </w:rPr>
      </w:pPr>
    </w:p>
    <w:p w:rsidR="00C97499" w:rsidRPr="00BA6AF3" w:rsidRDefault="00BC0FE1">
      <w:pPr>
        <w:spacing w:line="360" w:lineRule="auto"/>
        <w:ind w:right="49"/>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Al respecto, los artículos 3, fracciones IX, XX, XXI, XXXII, XLV; 6, 91, 137, 143 </w:t>
      </w:r>
      <w:proofErr w:type="gramStart"/>
      <w:r w:rsidRPr="00BA6AF3">
        <w:rPr>
          <w:rFonts w:ascii="Palatino Linotype" w:eastAsia="Palatino Linotype" w:hAnsi="Palatino Linotype" w:cs="Palatino Linotype"/>
          <w:color w:val="000000"/>
        </w:rPr>
        <w:t>fracción</w:t>
      </w:r>
      <w:proofErr w:type="gramEnd"/>
      <w:r w:rsidRPr="00BA6AF3">
        <w:rPr>
          <w:rFonts w:ascii="Palatino Linotype" w:eastAsia="Palatino Linotype" w:hAnsi="Palatino Linotype" w:cs="Palatino Linotype"/>
          <w:color w:val="000000"/>
        </w:rPr>
        <w:t xml:space="preserve"> I, de la Ley de Transparencia y Acceso a la Información Pública del Estado de México y Municipios vigente establecen:</w:t>
      </w:r>
    </w:p>
    <w:p w:rsidR="00C97499" w:rsidRPr="00BA6AF3" w:rsidRDefault="00C97499">
      <w:pPr>
        <w:pBdr>
          <w:top w:val="nil"/>
          <w:left w:val="nil"/>
          <w:bottom w:val="nil"/>
          <w:right w:val="nil"/>
          <w:between w:val="nil"/>
        </w:pBdr>
        <w:ind w:left="864" w:right="864"/>
        <w:jc w:val="both"/>
        <w:rPr>
          <w:rFonts w:ascii="Palatino Linotype" w:eastAsia="Palatino Linotype" w:hAnsi="Palatino Linotype" w:cs="Palatino Linotype"/>
          <w:b/>
          <w:i/>
          <w:color w:val="000000"/>
          <w:sz w:val="22"/>
          <w:szCs w:val="22"/>
        </w:rPr>
      </w:pP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Artículo 3.</w:t>
      </w:r>
      <w:r w:rsidRPr="00BA6AF3">
        <w:rPr>
          <w:rFonts w:ascii="Palatino Linotype" w:eastAsia="Palatino Linotype" w:hAnsi="Palatino Linotype" w:cs="Palatino Linotype"/>
          <w:i/>
          <w:color w:val="000000"/>
          <w:sz w:val="22"/>
          <w:szCs w:val="22"/>
        </w:rPr>
        <w:t xml:space="preserve"> Para los efectos de la presente Ley se entenderá por:</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t>(…)</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IX. Datos personales</w:t>
      </w:r>
      <w:r w:rsidRPr="00BA6AF3">
        <w:rPr>
          <w:rFonts w:ascii="Palatino Linotype" w:eastAsia="Palatino Linotype" w:hAnsi="Palatino Linotype" w:cs="Palatino Linotype"/>
          <w:i/>
          <w:color w:val="000000"/>
          <w:sz w:val="22"/>
          <w:szCs w:val="22"/>
        </w:rPr>
        <w:t>: La información concerniente a una persona, identificada o identificable según lo dispuesto por la Ley de Protección de Datos Personales del Estado de México;</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t>(…)</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XX. Información clasificada</w:t>
      </w:r>
      <w:r w:rsidRPr="00BA6AF3">
        <w:rPr>
          <w:rFonts w:ascii="Palatino Linotype" w:eastAsia="Palatino Linotype" w:hAnsi="Palatino Linotype" w:cs="Palatino Linotype"/>
          <w:i/>
          <w:color w:val="000000"/>
          <w:sz w:val="22"/>
          <w:szCs w:val="22"/>
        </w:rPr>
        <w:t>: Aquella considerada por la presente Ley como reservada o confidencial;</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XXI. Información confidencial</w:t>
      </w:r>
      <w:r w:rsidRPr="00BA6AF3">
        <w:rPr>
          <w:rFonts w:ascii="Palatino Linotype" w:eastAsia="Palatino Linotype" w:hAnsi="Palatino Linotype" w:cs="Palatino Linotype"/>
          <w:i/>
          <w:color w:val="000000"/>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lastRenderedPageBreak/>
        <w:t>(…)</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XXXII. Protección de Datos Personales</w:t>
      </w:r>
      <w:r w:rsidRPr="00BA6AF3">
        <w:rPr>
          <w:rFonts w:ascii="Palatino Linotype" w:eastAsia="Palatino Linotype" w:hAnsi="Palatino Linotype" w:cs="Palatino Linotype"/>
          <w:i/>
          <w:color w:val="000000"/>
          <w:sz w:val="22"/>
          <w:szCs w:val="22"/>
        </w:rPr>
        <w:t>: Derecho humano que tutela la privacidad de datos personales en poder de los sujetos obligados y sujetos particulares;</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t>(…)</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XLV. Versión pública</w:t>
      </w:r>
      <w:r w:rsidRPr="00BA6AF3">
        <w:rPr>
          <w:rFonts w:ascii="Palatino Linotype" w:eastAsia="Palatino Linotype" w:hAnsi="Palatino Linotype" w:cs="Palatino Linotype"/>
          <w:i/>
          <w:color w:val="000000"/>
          <w:sz w:val="22"/>
          <w:szCs w:val="22"/>
        </w:rPr>
        <w:t>: Documento en el que se elimine, suprime o borra la información clasificada como reservada o confidencial para permitir su acceso.</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 Artículo 6</w:t>
      </w:r>
      <w:r w:rsidRPr="00BA6AF3">
        <w:rPr>
          <w:rFonts w:ascii="Palatino Linotype" w:eastAsia="Palatino Linotype" w:hAnsi="Palatino Linotype" w:cs="Palatino Linotype"/>
          <w:i/>
          <w:color w:val="000000"/>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t> (…)</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Artículo 91.</w:t>
      </w:r>
      <w:r w:rsidRPr="00BA6AF3">
        <w:rPr>
          <w:rFonts w:ascii="Palatino Linotype" w:eastAsia="Palatino Linotype" w:hAnsi="Palatino Linotype" w:cs="Palatino Linotype"/>
          <w:i/>
          <w:color w:val="000000"/>
          <w:sz w:val="22"/>
          <w:szCs w:val="22"/>
        </w:rPr>
        <w:t xml:space="preserve"> El acceso a la información pública será restringido excepcionalmente, cuando ésta sea clasificada como reservada o confidencial.</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t>(…)</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Artículo 137.</w:t>
      </w:r>
      <w:r w:rsidRPr="00BA6AF3">
        <w:rPr>
          <w:rFonts w:ascii="Palatino Linotype" w:eastAsia="Palatino Linotype" w:hAnsi="Palatino Linotype" w:cs="Palatino Linotype"/>
          <w:i/>
          <w:color w:val="000000"/>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 Artículo 143.</w:t>
      </w:r>
      <w:r w:rsidRPr="00BA6AF3">
        <w:rPr>
          <w:rFonts w:ascii="Palatino Linotype" w:eastAsia="Palatino Linotype" w:hAnsi="Palatino Linotype" w:cs="Palatino Linotype"/>
          <w:i/>
          <w:color w:val="000000"/>
          <w:sz w:val="22"/>
          <w:szCs w:val="22"/>
        </w:rPr>
        <w:t xml:space="preserve"> Para los efectos de esta Ley se considera información confidencial, la clasificada como tal, de manera permanente, por su naturaleza, cuando:</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I.</w:t>
      </w:r>
      <w:r w:rsidRPr="00BA6AF3">
        <w:rPr>
          <w:rFonts w:ascii="Palatino Linotype" w:eastAsia="Palatino Linotype" w:hAnsi="Palatino Linotype" w:cs="Palatino Linotype"/>
          <w:i/>
          <w:color w:val="000000"/>
          <w:sz w:val="22"/>
          <w:szCs w:val="22"/>
        </w:rPr>
        <w:t xml:space="preserve"> Se refiera a la información privada y los datos personales concernientes a una persona física o </w:t>
      </w:r>
      <w:proofErr w:type="gramStart"/>
      <w:r w:rsidRPr="00BA6AF3">
        <w:rPr>
          <w:rFonts w:ascii="Palatino Linotype" w:eastAsia="Palatino Linotype" w:hAnsi="Palatino Linotype" w:cs="Palatino Linotype"/>
          <w:i/>
          <w:color w:val="000000"/>
          <w:sz w:val="22"/>
          <w:szCs w:val="22"/>
        </w:rPr>
        <w:t>jurídico</w:t>
      </w:r>
      <w:proofErr w:type="gramEnd"/>
      <w:r w:rsidRPr="00BA6AF3">
        <w:rPr>
          <w:rFonts w:ascii="Palatino Linotype" w:eastAsia="Palatino Linotype" w:hAnsi="Palatino Linotype" w:cs="Palatino Linotype"/>
          <w:i/>
          <w:color w:val="000000"/>
          <w:sz w:val="22"/>
          <w:szCs w:val="22"/>
        </w:rPr>
        <w:t xml:space="preserve"> colectiva identificada o identificable...</w:t>
      </w:r>
    </w:p>
    <w:p w:rsidR="00C97499" w:rsidRPr="00BA6AF3" w:rsidRDefault="00BC0FE1">
      <w:pPr>
        <w:pBdr>
          <w:top w:val="nil"/>
          <w:left w:val="nil"/>
          <w:bottom w:val="nil"/>
          <w:right w:val="nil"/>
          <w:between w:val="nil"/>
        </w:pBdr>
        <w:ind w:left="864" w:right="864"/>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t>(…)</w:t>
      </w:r>
    </w:p>
    <w:p w:rsidR="00C97499" w:rsidRPr="00BA6AF3" w:rsidRDefault="00C97499">
      <w:pPr>
        <w:rPr>
          <w:color w:val="000000"/>
        </w:rPr>
      </w:pPr>
    </w:p>
    <w:p w:rsidR="00C97499" w:rsidRPr="00BA6AF3" w:rsidRDefault="00BC0FE1">
      <w:pPr>
        <w:spacing w:line="360" w:lineRule="auto"/>
        <w:ind w:right="50"/>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w:t>
      </w:r>
      <w:r w:rsidRPr="00BA6AF3">
        <w:rPr>
          <w:rFonts w:ascii="Palatino Linotype" w:eastAsia="Palatino Linotype" w:hAnsi="Palatino Linotype" w:cs="Palatino Linotype"/>
          <w:b/>
          <w:color w:val="000000"/>
        </w:rPr>
        <w:t xml:space="preserve"> Sujeto Obligado</w:t>
      </w:r>
      <w:r w:rsidRPr="00BA6AF3">
        <w:rPr>
          <w:rFonts w:ascii="Palatino Linotype" w:eastAsia="Palatino Linotype" w:hAnsi="Palatino Linotype" w:cs="Palatino Linotype"/>
          <w:color w:val="000000"/>
        </w:rPr>
        <w:t xml:space="preserve"> deberá proceder a testar los datos personales que se encuentre contenidos en los documentos a entregar para satisfacer el derecho de acceso a la información </w:t>
      </w:r>
      <w:r w:rsidRPr="00BA6AF3">
        <w:rPr>
          <w:rFonts w:ascii="Palatino Linotype" w:eastAsia="Palatino Linotype" w:hAnsi="Palatino Linotype" w:cs="Palatino Linotype"/>
          <w:color w:val="000000"/>
        </w:rPr>
        <w:lastRenderedPageBreak/>
        <w:t xml:space="preserve">pública de la </w:t>
      </w:r>
      <w:r w:rsidRPr="00BA6AF3">
        <w:rPr>
          <w:rFonts w:ascii="Palatino Linotype" w:eastAsia="Palatino Linotype" w:hAnsi="Palatino Linotype" w:cs="Palatino Linotype"/>
          <w:b/>
          <w:color w:val="000000"/>
        </w:rPr>
        <w:t>Parte Recurrente,</w:t>
      </w:r>
      <w:r w:rsidRPr="00BA6AF3">
        <w:rPr>
          <w:rFonts w:ascii="Palatino Linotype" w:eastAsia="Palatino Linotype" w:hAnsi="Palatino Linotype" w:cs="Palatino Linotype"/>
          <w:color w:val="00000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C97499" w:rsidRPr="00BA6AF3" w:rsidRDefault="00C97499">
      <w:pPr>
        <w:spacing w:line="360" w:lineRule="auto"/>
        <w:ind w:right="50"/>
        <w:jc w:val="both"/>
        <w:rPr>
          <w:rFonts w:ascii="Palatino Linotype" w:eastAsia="Palatino Linotype" w:hAnsi="Palatino Linotype" w:cs="Palatino Linotype"/>
          <w:color w:val="000000"/>
        </w:rPr>
      </w:pPr>
    </w:p>
    <w:p w:rsidR="00C97499" w:rsidRPr="00BA6AF3" w:rsidRDefault="00BC0FE1">
      <w:pPr>
        <w:spacing w:line="360" w:lineRule="auto"/>
        <w:ind w:right="50"/>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97499" w:rsidRPr="00BA6AF3" w:rsidRDefault="00C97499">
      <w:pPr>
        <w:spacing w:line="360" w:lineRule="auto"/>
        <w:ind w:right="50"/>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En el caso específico, dada la naturaleza de la información que se ordena, si bien tiene el carácter información pública en razón de que se trata de documentos que se encuentran en posesión del </w:t>
      </w:r>
      <w:r w:rsidRPr="00BA6AF3">
        <w:rPr>
          <w:rFonts w:ascii="Palatino Linotype" w:eastAsia="Palatino Linotype" w:hAnsi="Palatino Linotype" w:cs="Palatino Linotype"/>
          <w:b/>
          <w:color w:val="000000"/>
        </w:rPr>
        <w:t>Sujeto Obligado</w:t>
      </w:r>
      <w:r w:rsidRPr="00BA6AF3">
        <w:rPr>
          <w:rFonts w:ascii="Palatino Linotype" w:eastAsia="Palatino Linotype" w:hAnsi="Palatino Linotype" w:cs="Palatino Linotype"/>
          <w:color w:val="000000"/>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BA6AF3">
        <w:rPr>
          <w:rFonts w:ascii="Palatino Linotype" w:eastAsia="Palatino Linotype" w:hAnsi="Palatino Linotype" w:cs="Palatino Linotype"/>
          <w:b/>
          <w:color w:val="000000"/>
        </w:rPr>
        <w:t>Registro Federal de Contribuyentes</w:t>
      </w:r>
      <w:r w:rsidRPr="00BA6AF3">
        <w:rPr>
          <w:rFonts w:ascii="Palatino Linotype" w:eastAsia="Palatino Linotype" w:hAnsi="Palatino Linotype" w:cs="Palatino Linotype"/>
          <w:color w:val="000000"/>
        </w:rPr>
        <w:t xml:space="preserve"> (RFC), la </w:t>
      </w:r>
      <w:r w:rsidRPr="00BA6AF3">
        <w:rPr>
          <w:rFonts w:ascii="Palatino Linotype" w:eastAsia="Palatino Linotype" w:hAnsi="Palatino Linotype" w:cs="Palatino Linotype"/>
          <w:b/>
          <w:color w:val="000000"/>
        </w:rPr>
        <w:t>Clave Única de Registro de Población</w:t>
      </w:r>
      <w:r w:rsidRPr="00BA6AF3">
        <w:rPr>
          <w:rFonts w:ascii="Palatino Linotype" w:eastAsia="Palatino Linotype" w:hAnsi="Palatino Linotype" w:cs="Palatino Linotype"/>
          <w:color w:val="000000"/>
        </w:rPr>
        <w:t xml:space="preserve"> (CURP). </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ind w:right="50"/>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BA6AF3">
        <w:rPr>
          <w:rFonts w:ascii="Palatino Linotype" w:eastAsia="Palatino Linotype" w:hAnsi="Palatino Linotype" w:cs="Palatino Linotype"/>
          <w:color w:val="000000"/>
        </w:rPr>
        <w:t>homoclave</w:t>
      </w:r>
      <w:proofErr w:type="spellEnd"/>
      <w:r w:rsidRPr="00BA6AF3">
        <w:rPr>
          <w:rFonts w:ascii="Palatino Linotype" w:eastAsia="Palatino Linotype" w:hAnsi="Palatino Linotype" w:cs="Palatino Linotype"/>
          <w:color w:val="000000"/>
        </w:rPr>
        <w:t>, por lo que para su obtención es necesario acreditar ante la autoridad fiscal previamente la identidad de la persona, su fecha de nacimiento, entre otros aspectos.</w:t>
      </w: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Lo anterior es compartido por el Instituto Nacional de Transparencia, Acceso a la Información y Protección de Datos Personales, INAI, a través del Criterio 19/17, el cual es del tenor literal siguiente:</w:t>
      </w:r>
    </w:p>
    <w:p w:rsidR="00C97499" w:rsidRPr="00BA6AF3" w:rsidRDefault="00C97499">
      <w:pPr>
        <w:ind w:left="851" w:right="900"/>
        <w:jc w:val="both"/>
        <w:rPr>
          <w:rFonts w:ascii="Palatino Linotype" w:eastAsia="Palatino Linotype" w:hAnsi="Palatino Linotype" w:cs="Palatino Linotype"/>
          <w:b/>
          <w:i/>
          <w:color w:val="000000"/>
          <w:sz w:val="22"/>
          <w:szCs w:val="22"/>
        </w:rPr>
      </w:pPr>
    </w:p>
    <w:p w:rsidR="00C97499" w:rsidRPr="00BA6AF3" w:rsidRDefault="00BC0FE1">
      <w:pPr>
        <w:ind w:left="851" w:right="900"/>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 xml:space="preserve"> Registro Federal de Contribuyentes (RFC) de personas físicas</w:t>
      </w:r>
      <w:r w:rsidRPr="00BA6AF3">
        <w:rPr>
          <w:rFonts w:ascii="Palatino Linotype" w:eastAsia="Palatino Linotype" w:hAnsi="Palatino Linotype" w:cs="Palatino Linotype"/>
          <w:i/>
          <w:color w:val="000000"/>
          <w:sz w:val="22"/>
          <w:szCs w:val="22"/>
        </w:rPr>
        <w:t xml:space="preserve">. El RFC es una clave de carácter fiscal, </w:t>
      </w:r>
      <w:proofErr w:type="gramStart"/>
      <w:r w:rsidRPr="00BA6AF3">
        <w:rPr>
          <w:rFonts w:ascii="Palatino Linotype" w:eastAsia="Palatino Linotype" w:hAnsi="Palatino Linotype" w:cs="Palatino Linotype"/>
          <w:i/>
          <w:color w:val="000000"/>
          <w:sz w:val="22"/>
          <w:szCs w:val="22"/>
        </w:rPr>
        <w:t>única</w:t>
      </w:r>
      <w:proofErr w:type="gramEnd"/>
      <w:r w:rsidRPr="00BA6AF3">
        <w:rPr>
          <w:rFonts w:ascii="Palatino Linotype" w:eastAsia="Palatino Linotype" w:hAnsi="Palatino Linotype" w:cs="Palatino Linotype"/>
          <w:i/>
          <w:color w:val="000000"/>
          <w:sz w:val="22"/>
          <w:szCs w:val="22"/>
        </w:rPr>
        <w:t xml:space="preserve"> e irrepetible, que permite identificar al titular, su edad y fecha de nacimiento, por lo que es un dato personal de carácter confidencial.</w:t>
      </w:r>
    </w:p>
    <w:p w:rsidR="00C97499" w:rsidRPr="00BA6AF3" w:rsidRDefault="00C97499">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C97499" w:rsidRPr="00BA6AF3" w:rsidRDefault="00BC0FE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 xml:space="preserve">Así, el Registro Federal de Contribuyentes, RFC, se vincula al nombre de su titular y permite identificar la edad de la persona, su fecha de nacimiento, así como su </w:t>
      </w:r>
      <w:proofErr w:type="spellStart"/>
      <w:r w:rsidRPr="00BA6AF3">
        <w:rPr>
          <w:rFonts w:ascii="Palatino Linotype" w:eastAsia="Palatino Linotype" w:hAnsi="Palatino Linotype" w:cs="Palatino Linotype"/>
          <w:color w:val="000000"/>
        </w:rPr>
        <w:lastRenderedPageBreak/>
        <w:t>homoclave</w:t>
      </w:r>
      <w:proofErr w:type="spellEnd"/>
      <w:r w:rsidRPr="00BA6AF3">
        <w:rPr>
          <w:rFonts w:ascii="Palatino Linotype" w:eastAsia="Palatino Linotype" w:hAnsi="Palatino Linotype" w:cs="Palatino Linotype"/>
          <w:color w:val="000000"/>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C97499" w:rsidRPr="00BA6AF3" w:rsidRDefault="00BC0FE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C97499" w:rsidRPr="00BA6AF3" w:rsidRDefault="00C97499">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C97499" w:rsidRPr="00BA6AF3" w:rsidRDefault="00BC0FE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t>Argumento que es compartido por el Instituto Nacional de Transparencia, Acceso a la Información y Protección de Datos Personales, INAI, conforme al criterio 18/17, el cual refiere:</w:t>
      </w:r>
    </w:p>
    <w:p w:rsidR="00C97499" w:rsidRPr="00BA6AF3" w:rsidRDefault="00C97499">
      <w:pPr>
        <w:ind w:left="851" w:right="851"/>
        <w:jc w:val="both"/>
        <w:rPr>
          <w:rFonts w:ascii="Palatino Linotype" w:eastAsia="Palatino Linotype" w:hAnsi="Palatino Linotype" w:cs="Palatino Linotype"/>
          <w:b/>
          <w:i/>
          <w:color w:val="000000"/>
          <w:sz w:val="22"/>
          <w:szCs w:val="22"/>
        </w:rPr>
      </w:pPr>
    </w:p>
    <w:p w:rsidR="00C97499" w:rsidRPr="00BA6AF3" w:rsidRDefault="00BC0FE1">
      <w:pPr>
        <w:ind w:left="851" w:right="851"/>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b/>
          <w:i/>
          <w:color w:val="000000"/>
          <w:sz w:val="22"/>
          <w:szCs w:val="22"/>
        </w:rPr>
        <w:t xml:space="preserve">Clave Única de Registro de Población (CURP). </w:t>
      </w:r>
      <w:r w:rsidRPr="00BA6AF3">
        <w:rPr>
          <w:rFonts w:ascii="Palatino Linotype" w:eastAsia="Palatino Linotype" w:hAnsi="Palatino Linotype" w:cs="Palatino Linotype"/>
          <w:i/>
          <w:color w:val="000000"/>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97499" w:rsidRPr="00BA6AF3" w:rsidRDefault="00C97499">
      <w:pPr>
        <w:spacing w:line="360" w:lineRule="auto"/>
        <w:jc w:val="both"/>
        <w:rPr>
          <w:rFonts w:ascii="Palatino Linotype" w:eastAsia="Palatino Linotype" w:hAnsi="Palatino Linotype" w:cs="Palatino Linotype"/>
          <w:color w:val="000000"/>
          <w:sz w:val="22"/>
          <w:szCs w:val="22"/>
        </w:rPr>
      </w:pPr>
    </w:p>
    <w:p w:rsidR="00C97499" w:rsidRPr="00BA6AF3" w:rsidRDefault="00BC0FE1">
      <w:pPr>
        <w:spacing w:line="360" w:lineRule="auto"/>
        <w:jc w:val="both"/>
        <w:rPr>
          <w:rFonts w:ascii="Palatino Linotype" w:eastAsia="Palatino Linotype" w:hAnsi="Palatino Linotype" w:cs="Palatino Linotype"/>
          <w:color w:val="000000"/>
        </w:rPr>
      </w:pPr>
      <w:r w:rsidRPr="00BA6AF3">
        <w:rPr>
          <w:rFonts w:ascii="Palatino Linotype" w:eastAsia="Palatino Linotype" w:hAnsi="Palatino Linotype" w:cs="Palatino Linotype"/>
          <w:color w:val="000000"/>
        </w:rPr>
        <w:lastRenderedPageBreak/>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C97499" w:rsidRPr="00BA6AF3" w:rsidRDefault="00C97499">
      <w:pPr>
        <w:spacing w:line="360" w:lineRule="auto"/>
        <w:jc w:val="both"/>
        <w:rPr>
          <w:rFonts w:ascii="Palatino Linotype" w:eastAsia="Palatino Linotype" w:hAnsi="Palatino Linotype" w:cs="Palatino Linotype"/>
          <w:color w:val="000000"/>
        </w:rPr>
      </w:pPr>
    </w:p>
    <w:p w:rsidR="00C97499" w:rsidRPr="00BA6AF3" w:rsidRDefault="00BC0FE1">
      <w:pPr>
        <w:tabs>
          <w:tab w:val="left" w:pos="4962"/>
        </w:tabs>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Por lo que hace a las fotografías, que pudieran contener las fichas curriculares y documentos que acreditan el grado de estudios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C97499" w:rsidRPr="00BA6AF3" w:rsidRDefault="00C97499">
      <w:pPr>
        <w:tabs>
          <w:tab w:val="left" w:pos="4962"/>
        </w:tabs>
        <w:spacing w:line="360" w:lineRule="auto"/>
        <w:jc w:val="both"/>
        <w:rPr>
          <w:rFonts w:ascii="Palatino Linotype" w:eastAsia="Palatino Linotype" w:hAnsi="Palatino Linotype" w:cs="Palatino Linotype"/>
        </w:rPr>
      </w:pPr>
    </w:p>
    <w:p w:rsidR="00C97499" w:rsidRPr="00BA6AF3" w:rsidRDefault="00BC0FE1">
      <w:pPr>
        <w:tabs>
          <w:tab w:val="left" w:pos="4962"/>
        </w:tabs>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C97499" w:rsidRPr="00BA6AF3" w:rsidRDefault="00C97499">
      <w:pPr>
        <w:tabs>
          <w:tab w:val="left" w:pos="4962"/>
        </w:tabs>
        <w:spacing w:line="360" w:lineRule="auto"/>
        <w:jc w:val="both"/>
        <w:rPr>
          <w:rFonts w:ascii="Palatino Linotype" w:eastAsia="Palatino Linotype" w:hAnsi="Palatino Linotype" w:cs="Palatino Linotype"/>
        </w:rPr>
      </w:pPr>
    </w:p>
    <w:p w:rsidR="00C97499" w:rsidRPr="00BA6AF3" w:rsidRDefault="00BC0FE1">
      <w:pPr>
        <w:tabs>
          <w:tab w:val="left" w:pos="4962"/>
        </w:tabs>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Además, existen documentos que contienen la fotografía con los cuales se permite identificar que una persona que se acredita como trabajador gubernamental, </w:t>
      </w:r>
      <w:r w:rsidRPr="00BA6AF3">
        <w:rPr>
          <w:rFonts w:ascii="Palatino Linotype" w:eastAsia="Palatino Linotype" w:hAnsi="Palatino Linotype" w:cs="Palatino Linotype"/>
        </w:rPr>
        <w:lastRenderedPageBreak/>
        <w:t>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C97499" w:rsidRPr="00BA6AF3" w:rsidRDefault="00C97499">
      <w:pPr>
        <w:tabs>
          <w:tab w:val="left" w:pos="4962"/>
        </w:tabs>
        <w:spacing w:line="360" w:lineRule="auto"/>
        <w:jc w:val="both"/>
        <w:rPr>
          <w:rFonts w:ascii="Palatino Linotype" w:eastAsia="Palatino Linotype" w:hAnsi="Palatino Linotype" w:cs="Palatino Linotype"/>
        </w:rPr>
      </w:pPr>
    </w:p>
    <w:p w:rsidR="00C97499" w:rsidRPr="00BA6AF3" w:rsidRDefault="00BC0FE1">
      <w:pPr>
        <w:tabs>
          <w:tab w:val="left" w:pos="4962"/>
        </w:tabs>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C97499" w:rsidRPr="00BA6AF3" w:rsidRDefault="00C97499">
      <w:pPr>
        <w:tabs>
          <w:tab w:val="left" w:pos="4962"/>
        </w:tabs>
        <w:spacing w:line="360" w:lineRule="auto"/>
        <w:jc w:val="both"/>
        <w:rPr>
          <w:rFonts w:ascii="Palatino Linotype" w:eastAsia="Palatino Linotype" w:hAnsi="Palatino Linotype" w:cs="Palatino Linotype"/>
        </w:rPr>
      </w:pPr>
    </w:p>
    <w:p w:rsidR="00C97499" w:rsidRPr="00BA6AF3" w:rsidRDefault="00BC0FE1">
      <w:pPr>
        <w:tabs>
          <w:tab w:val="left" w:pos="4962"/>
        </w:tabs>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C97499" w:rsidRPr="00BA6AF3" w:rsidRDefault="00C97499">
      <w:pPr>
        <w:tabs>
          <w:tab w:val="left" w:pos="4962"/>
        </w:tabs>
        <w:spacing w:line="360" w:lineRule="auto"/>
        <w:jc w:val="both"/>
        <w:rPr>
          <w:rFonts w:ascii="Palatino Linotype" w:eastAsia="Palatino Linotype" w:hAnsi="Palatino Linotype" w:cs="Palatino Linotype"/>
        </w:rPr>
      </w:pPr>
    </w:p>
    <w:p w:rsidR="00C97499" w:rsidRPr="00BA6AF3" w:rsidRDefault="00BC0FE1">
      <w:pPr>
        <w:tabs>
          <w:tab w:val="left" w:pos="4962"/>
        </w:tabs>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C97499" w:rsidRPr="00BA6AF3" w:rsidRDefault="00C97499">
      <w:pPr>
        <w:tabs>
          <w:tab w:val="left" w:pos="4962"/>
        </w:tabs>
        <w:spacing w:line="360" w:lineRule="auto"/>
        <w:jc w:val="both"/>
        <w:rPr>
          <w:rFonts w:ascii="Palatino Linotype" w:eastAsia="Palatino Linotype" w:hAnsi="Palatino Linotype" w:cs="Palatino Linotype"/>
        </w:rPr>
      </w:pPr>
    </w:p>
    <w:p w:rsidR="00C97499" w:rsidRPr="00BA6AF3" w:rsidRDefault="00BC0FE1">
      <w:pPr>
        <w:tabs>
          <w:tab w:val="left" w:pos="4962"/>
        </w:tabs>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C97499" w:rsidRPr="00BA6AF3" w:rsidRDefault="00C97499">
      <w:pPr>
        <w:tabs>
          <w:tab w:val="left" w:pos="4962"/>
        </w:tabs>
        <w:spacing w:line="360" w:lineRule="auto"/>
        <w:jc w:val="both"/>
        <w:rPr>
          <w:rFonts w:ascii="Palatino Linotype" w:eastAsia="Palatino Linotype" w:hAnsi="Palatino Linotype" w:cs="Palatino Linotype"/>
        </w:rPr>
      </w:pPr>
    </w:p>
    <w:p w:rsidR="00C97499" w:rsidRPr="00BA6AF3" w:rsidRDefault="00BC0FE1">
      <w:pPr>
        <w:tabs>
          <w:tab w:val="left" w:pos="4962"/>
        </w:tabs>
        <w:spacing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w:t>
      </w:r>
    </w:p>
    <w:p w:rsidR="00C97499" w:rsidRPr="00BA6AF3" w:rsidRDefault="00C97499">
      <w:pPr>
        <w:spacing w:line="360" w:lineRule="auto"/>
        <w:ind w:right="50"/>
        <w:jc w:val="both"/>
        <w:rPr>
          <w:rFonts w:ascii="Palatino Linotype" w:eastAsia="Palatino Linotype" w:hAnsi="Palatino Linotype" w:cs="Palatino Linotype"/>
          <w:color w:val="000000"/>
        </w:rPr>
      </w:pP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w:t>
      </w:r>
      <w:r w:rsidRPr="00BA6AF3">
        <w:rPr>
          <w:rFonts w:ascii="Palatino Linotype" w:eastAsia="Palatino Linotype" w:hAnsi="Palatino Linotype" w:cs="Palatino Linotype"/>
          <w:b/>
          <w:u w:val="single"/>
        </w:rPr>
        <w:t xml:space="preserve">sólo por cuanto hace al nombre, cargo y horario laboral </w:t>
      </w:r>
      <w:r w:rsidRPr="00BA6AF3">
        <w:rPr>
          <w:rFonts w:ascii="Palatino Linotype" w:eastAsia="Palatino Linotype" w:hAnsi="Palatino Linotype" w:cs="Palatino Linotype"/>
        </w:rPr>
        <w:t xml:space="preserve">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BA6AF3">
        <w:rPr>
          <w:rFonts w:ascii="Palatino Linotype" w:eastAsia="Palatino Linotype" w:hAnsi="Palatino Linotype" w:cs="Palatino Linotype"/>
          <w:b/>
        </w:rPr>
        <w:t>que desempeñen funciones operativas</w:t>
      </w:r>
      <w:r w:rsidRPr="00BA6AF3">
        <w:rPr>
          <w:rFonts w:ascii="Palatino Linotype" w:eastAsia="Palatino Linotype" w:hAnsi="Palatino Linotype" w:cs="Palatino Linotype"/>
        </w:rPr>
        <w:t>.</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Al respecto, la información </w:t>
      </w:r>
      <w:r w:rsidRPr="00BA6AF3">
        <w:rPr>
          <w:rFonts w:ascii="Palatino Linotype" w:eastAsia="Palatino Linotype" w:hAnsi="Palatino Linotype" w:cs="Palatino Linotype"/>
          <w:b/>
        </w:rPr>
        <w:t>de los elementos que realizan funciones operativas, entre ellos su nombre, cargo y horario laboral deben ser protegidos</w:t>
      </w:r>
      <w:r w:rsidRPr="00BA6AF3">
        <w:rPr>
          <w:rFonts w:ascii="Palatino Linotype" w:eastAsia="Palatino Linotype" w:hAnsi="Palatino Linotype" w:cs="Palatino Linotype"/>
        </w:rPr>
        <w:t xml:space="preserve"> 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w:t>
      </w:r>
      <w:r w:rsidRPr="00BA6AF3">
        <w:rPr>
          <w:rFonts w:ascii="Palatino Linotype" w:eastAsia="Palatino Linotype" w:hAnsi="Palatino Linotype" w:cs="Palatino Linotype"/>
        </w:rPr>
        <w:lastRenderedPageBreak/>
        <w:t>responsables de procurar el orden, la estabilidad y la defensa de la sociedad a la que pertenecen, lo que se traduce en la prevención de delitos y combate a los delincuentes.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Como se ha referido es procedente la clasificación de la información como reservada, con el fin de no poner en riesgo su vida, salud y seguridad, dado que los hace identificables, y para no comprometer el cumplimiento de los objetivos en materia de seguridad pública, o bien, la consecución de la investigación de probables hechos delictivos y/o faltas administrativas; así como evitar que células delictivas neutralizar las acciones en materia de seguridad pública para la preservación del orden y la paz pública, por lo que, no se trata de una medida desproporcional, ni excesiva.</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lastRenderedPageBreak/>
        <w:t>En ese entendido, la leyenda de clasificación que se genere, deberá establecer ambos supuestos de clasificación: reserva y confidencialidad, en congruencia con los requisitos establecidos en los lineamientos citados.</w:t>
      </w:r>
    </w:p>
    <w:p w:rsidR="00C97499" w:rsidRPr="00BA6AF3" w:rsidRDefault="00BC0FE1">
      <w:pPr>
        <w:spacing w:before="120" w:after="12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resulta necesario traer por analogía, el criterio de interpretación histórico 06/09, emitido por el entonces Instituto Federal de Acceso a la Información y Protección de Datos ahora Instituto Nacional de Transparencia, Acceso a la Información y Protección de Datos Personales, INAI, que establece lo siguiente:</w:t>
      </w:r>
    </w:p>
    <w:p w:rsidR="00C97499" w:rsidRPr="00BA6AF3" w:rsidRDefault="00BC0FE1">
      <w:pPr>
        <w:tabs>
          <w:tab w:val="left" w:pos="4962"/>
        </w:tabs>
        <w:spacing w:before="120" w:after="120"/>
        <w:ind w:left="851" w:right="902"/>
        <w:jc w:val="both"/>
        <w:rPr>
          <w:rFonts w:ascii="Palatino Linotype" w:eastAsia="Palatino Linotype" w:hAnsi="Palatino Linotype" w:cs="Palatino Linotype"/>
          <w:i/>
          <w:sz w:val="21"/>
          <w:szCs w:val="21"/>
        </w:rPr>
      </w:pPr>
      <w:r w:rsidRPr="00BA6AF3">
        <w:rPr>
          <w:rFonts w:ascii="Palatino Linotype" w:eastAsia="Palatino Linotype" w:hAnsi="Palatino Linotype" w:cs="Palatino Linotype"/>
          <w:b/>
          <w:i/>
          <w:sz w:val="21"/>
          <w:szCs w:val="21"/>
        </w:rPr>
        <w:t>“Nombres de servidores públicos dedicados a actividades en materia de seguridad, por excepción pueden considerarse información reservada.</w:t>
      </w:r>
      <w:r w:rsidRPr="00BA6AF3">
        <w:rPr>
          <w:rFonts w:ascii="Palatino Linotype" w:eastAsia="Palatino Linotype" w:hAnsi="Palatino Linotype" w:cs="Palatino Linotype"/>
          <w:i/>
          <w:sz w:val="21"/>
          <w:szCs w:val="21"/>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w:t>
      </w:r>
      <w:r w:rsidRPr="00BA6AF3">
        <w:rPr>
          <w:rFonts w:ascii="Palatino Linotype" w:eastAsia="Palatino Linotype" w:hAnsi="Palatino Linotype" w:cs="Palatino Linotype"/>
          <w:i/>
          <w:sz w:val="21"/>
          <w:szCs w:val="21"/>
        </w:rPr>
        <w:lastRenderedPageBreak/>
        <w:t>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BA6AF3">
        <w:rPr>
          <w:rFonts w:ascii="Palatino Linotype" w:eastAsia="Palatino Linotype" w:hAnsi="Palatino Linotype" w:cs="Palatino Linotype"/>
          <w:b/>
        </w:rPr>
        <w:t>funciones de carácter operativo.</w:t>
      </w:r>
    </w:p>
    <w:p w:rsidR="00C97499" w:rsidRPr="00BA6AF3" w:rsidRDefault="00BC0FE1">
      <w:pPr>
        <w:spacing w:before="240" w:after="36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Sirven de sustento a lo anterior las tesis jurisprudenciales emitidas por la Suprema corte de Justicia de la Nación, que son del literal siguiente:</w:t>
      </w:r>
    </w:p>
    <w:p w:rsidR="00C97499" w:rsidRPr="00BA6AF3" w:rsidRDefault="00BC0FE1">
      <w:pPr>
        <w:spacing w:before="120" w:after="120"/>
        <w:ind w:left="851" w:right="760"/>
        <w:jc w:val="both"/>
        <w:rPr>
          <w:rFonts w:ascii="Palatino Linotype" w:eastAsia="Palatino Linotype" w:hAnsi="Palatino Linotype" w:cs="Palatino Linotype"/>
          <w:b/>
          <w:i/>
          <w:sz w:val="21"/>
          <w:szCs w:val="21"/>
        </w:rPr>
      </w:pPr>
      <w:r w:rsidRPr="00BA6AF3">
        <w:rPr>
          <w:rFonts w:ascii="Palatino Linotype" w:eastAsia="Palatino Linotype" w:hAnsi="Palatino Linotype" w:cs="Palatino Linotype"/>
          <w:b/>
          <w:i/>
          <w:sz w:val="21"/>
          <w:szCs w:val="21"/>
        </w:rPr>
        <w:t xml:space="preserve">“DERECHO A LA INFORMACIÓN. SU EJERCICIO SE ENCUENTRA LIMITADO TANTO POR LOS INTERESES NACIONALES Y DE LA SOCIEDAD, COMO POR LOS DERECHOS DE TERCEROS. </w:t>
      </w:r>
      <w:r w:rsidRPr="00BA6AF3">
        <w:rPr>
          <w:rFonts w:ascii="Palatino Linotype" w:eastAsia="Palatino Linotype" w:hAnsi="Palatino Linotype" w:cs="Palatino Linotype"/>
          <w:i/>
          <w:sz w:val="21"/>
          <w:szCs w:val="21"/>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BA6AF3">
        <w:rPr>
          <w:rFonts w:ascii="Palatino Linotype" w:eastAsia="Palatino Linotype" w:hAnsi="Palatino Linotype" w:cs="Palatino Linotype"/>
          <w:b/>
          <w:i/>
          <w:sz w:val="21"/>
          <w:szCs w:val="21"/>
        </w:rPr>
        <w:t xml:space="preserve">restringen el acceso a la información en esta materia, en razón de que su conocimiento público puede generar daños a los intereses nacionales y, por el otro, sancionan la </w:t>
      </w:r>
      <w:r w:rsidRPr="00BA6AF3">
        <w:rPr>
          <w:rFonts w:ascii="Palatino Linotype" w:eastAsia="Palatino Linotype" w:hAnsi="Palatino Linotype" w:cs="Palatino Linotype"/>
          <w:b/>
          <w:i/>
          <w:sz w:val="21"/>
          <w:szCs w:val="21"/>
        </w:rPr>
        <w:lastRenderedPageBreak/>
        <w:t>inobservancia de esa reserva;</w:t>
      </w:r>
      <w:r w:rsidRPr="00BA6AF3">
        <w:rPr>
          <w:rFonts w:ascii="Palatino Linotype" w:eastAsia="Palatino Linotype" w:hAnsi="Palatino Linotype" w:cs="Palatino Linotype"/>
          <w:i/>
          <w:sz w:val="21"/>
          <w:szCs w:val="21"/>
        </w:rPr>
        <w:t xml:space="preserve"> por lo que hace al interés social, se cuenta con normas que tienden a proteger la averiguación de los delitos, la salud y la moral públicas, </w:t>
      </w:r>
      <w:r w:rsidRPr="00BA6AF3">
        <w:rPr>
          <w:rFonts w:ascii="Palatino Linotype" w:eastAsia="Palatino Linotype" w:hAnsi="Palatino Linotype" w:cs="Palatino Linotype"/>
          <w:b/>
          <w:i/>
          <w:sz w:val="21"/>
          <w:szCs w:val="21"/>
        </w:rPr>
        <w:t>mientras que por lo que respecta a la protección de la persona existen normas que protegen el derecho a la vida o a la privacidad de los gobernados.</w:t>
      </w:r>
      <w:r w:rsidRPr="00BA6AF3">
        <w:rPr>
          <w:rFonts w:ascii="Palatino Linotype" w:eastAsia="Palatino Linotype" w:hAnsi="Palatino Linotype" w:cs="Palatino Linotype"/>
          <w:i/>
          <w:sz w:val="21"/>
          <w:szCs w:val="21"/>
        </w:rPr>
        <w:t>”</w:t>
      </w:r>
    </w:p>
    <w:p w:rsidR="00C97499" w:rsidRPr="00BA6AF3" w:rsidRDefault="00BC0FE1">
      <w:pPr>
        <w:spacing w:before="120" w:after="120"/>
        <w:ind w:left="851" w:right="760"/>
        <w:jc w:val="both"/>
        <w:rPr>
          <w:rFonts w:ascii="Palatino Linotype" w:eastAsia="Palatino Linotype" w:hAnsi="Palatino Linotype" w:cs="Palatino Linotype"/>
          <w:i/>
          <w:sz w:val="21"/>
          <w:szCs w:val="21"/>
        </w:rPr>
      </w:pPr>
      <w:r w:rsidRPr="00BA6AF3">
        <w:rPr>
          <w:rFonts w:ascii="Palatino Linotype" w:eastAsia="Palatino Linotype" w:hAnsi="Palatino Linotype" w:cs="Palatino Linotype"/>
          <w:b/>
          <w:i/>
          <w:sz w:val="21"/>
          <w:szCs w:val="21"/>
        </w:rPr>
        <w:t>“TRANSPARENCIA Y ACCESO A LA INFORMACIÓN PÚBLICA GUBERNAMENTAL. EL ARTÍCULO 14, FRACCIÓN I, DE LA LEY FEDERAL RELATIVA, NO VIOLA LA GARANTÍA DE ACCESO A LA INFORMACIÓN.</w:t>
      </w:r>
      <w:r w:rsidRPr="00BA6AF3">
        <w:rPr>
          <w:rFonts w:ascii="Palatino Linotype" w:eastAsia="Palatino Linotype" w:hAnsi="Palatino Linotype" w:cs="Palatino Linotype"/>
          <w:i/>
          <w:sz w:val="21"/>
          <w:szCs w:val="21"/>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BA6AF3">
        <w:rPr>
          <w:rFonts w:ascii="Palatino Linotype" w:eastAsia="Palatino Linotype" w:hAnsi="Palatino Linotype" w:cs="Palatino Linotype"/>
          <w:b/>
          <w:i/>
          <w:sz w:val="21"/>
          <w:szCs w:val="21"/>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BA6AF3">
        <w:rPr>
          <w:rFonts w:ascii="Palatino Linotype" w:eastAsia="Palatino Linotype" w:hAnsi="Palatino Linotype" w:cs="Palatino Linotype"/>
          <w:i/>
          <w:sz w:val="21"/>
          <w:szCs w:val="21"/>
        </w:rPr>
        <w:t>, la cual debe ser adecuada y necesaria para alcanzar el fin perseguido, de manera que las ventajas obtenidas con la reserva compensen el sacrificio que ésta implique para los titulares de la garantía individual mencionada o para la sociedad en general.”</w:t>
      </w:r>
    </w:p>
    <w:p w:rsidR="00C97499" w:rsidRPr="00BA6AF3" w:rsidRDefault="00BC0FE1">
      <w:pPr>
        <w:widowControl w:val="0"/>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w:t>
      </w:r>
      <w:r w:rsidRPr="00BA6AF3">
        <w:rPr>
          <w:rFonts w:ascii="Palatino Linotype" w:eastAsia="Palatino Linotype" w:hAnsi="Palatino Linotype" w:cs="Palatino Linotype"/>
        </w:rPr>
        <w:lastRenderedPageBreak/>
        <w:t xml:space="preserve">del Consejo Nacional del Sistema Nacional de Transparencia, Acceso a la Información Pública y Protección de Datos Personales, motivando la referida clasificación al señalar las </w:t>
      </w:r>
      <w:r w:rsidRPr="00BA6AF3">
        <w:rPr>
          <w:rFonts w:ascii="Palatino Linotype" w:eastAsia="Palatino Linotype" w:hAnsi="Palatino Linotype" w:cs="Palatino Linotype"/>
          <w:b/>
          <w:u w:val="single"/>
        </w:rPr>
        <w:t>razones, motivos o circunstancias especiales</w:t>
      </w:r>
      <w:r w:rsidRPr="00BA6AF3">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C97499" w:rsidRPr="00BA6AF3" w:rsidRDefault="00BC0FE1">
      <w:pPr>
        <w:spacing w:before="240" w:after="240" w:line="360" w:lineRule="auto"/>
        <w:ind w:right="50"/>
        <w:jc w:val="both"/>
        <w:rPr>
          <w:rFonts w:ascii="Palatino Linotype" w:eastAsia="Palatino Linotype" w:hAnsi="Palatino Linotype" w:cs="Palatino Linotype"/>
        </w:rPr>
      </w:pPr>
      <w:r w:rsidRPr="00BA6AF3">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C97499" w:rsidRPr="00BA6AF3" w:rsidRDefault="00BC0FE1">
      <w:pPr>
        <w:spacing w:before="120" w:after="120"/>
        <w:ind w:left="851"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“Artículo 49.</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Los Comités de Transparencia</w:t>
      </w:r>
      <w:r w:rsidRPr="00BA6AF3">
        <w:rPr>
          <w:rFonts w:ascii="Palatino Linotype" w:eastAsia="Palatino Linotype" w:hAnsi="Palatino Linotype" w:cs="Palatino Linotype"/>
          <w:i/>
          <w:sz w:val="22"/>
          <w:szCs w:val="22"/>
        </w:rPr>
        <w:t xml:space="preserve"> tendrán las siguientes atribuciones:</w:t>
      </w:r>
    </w:p>
    <w:p w:rsidR="00C97499" w:rsidRPr="00BA6AF3" w:rsidRDefault="00BC0FE1">
      <w:pPr>
        <w:spacing w:before="120" w:after="120"/>
        <w:ind w:left="993"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VIII. Aprobar, modificar o revocar la clasificación de la información</w:t>
      </w:r>
      <w:r w:rsidRPr="00BA6AF3">
        <w:rPr>
          <w:rFonts w:ascii="Palatino Linotype" w:eastAsia="Palatino Linotype" w:hAnsi="Palatino Linotype" w:cs="Palatino Linotype"/>
          <w:i/>
          <w:sz w:val="22"/>
          <w:szCs w:val="22"/>
        </w:rPr>
        <w:t>…”</w:t>
      </w:r>
    </w:p>
    <w:p w:rsidR="00C97499" w:rsidRPr="00BA6AF3" w:rsidRDefault="00BC0FE1">
      <w:pPr>
        <w:spacing w:before="120" w:after="120"/>
        <w:ind w:left="851"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r w:rsidRPr="00BA6AF3">
        <w:rPr>
          <w:rFonts w:ascii="Palatino Linotype" w:eastAsia="Palatino Linotype" w:hAnsi="Palatino Linotype" w:cs="Palatino Linotype"/>
          <w:b/>
          <w:i/>
          <w:sz w:val="22"/>
          <w:szCs w:val="22"/>
        </w:rPr>
        <w:t>Artículo 53.</w:t>
      </w:r>
      <w:r w:rsidRPr="00BA6AF3">
        <w:rPr>
          <w:rFonts w:ascii="Palatino Linotype" w:eastAsia="Palatino Linotype" w:hAnsi="Palatino Linotype" w:cs="Palatino Linotype"/>
          <w:i/>
          <w:sz w:val="22"/>
          <w:szCs w:val="22"/>
        </w:rPr>
        <w:t xml:space="preserve"> Las </w:t>
      </w:r>
      <w:r w:rsidRPr="00BA6AF3">
        <w:rPr>
          <w:rFonts w:ascii="Palatino Linotype" w:eastAsia="Palatino Linotype" w:hAnsi="Palatino Linotype" w:cs="Palatino Linotype"/>
          <w:b/>
          <w:i/>
          <w:sz w:val="22"/>
          <w:szCs w:val="22"/>
        </w:rPr>
        <w:t>Unidades de Transparencia</w:t>
      </w:r>
      <w:r w:rsidRPr="00BA6AF3">
        <w:rPr>
          <w:rFonts w:ascii="Palatino Linotype" w:eastAsia="Palatino Linotype" w:hAnsi="Palatino Linotype" w:cs="Palatino Linotype"/>
          <w:i/>
          <w:sz w:val="22"/>
          <w:szCs w:val="22"/>
        </w:rPr>
        <w:t xml:space="preserve"> tendrán las siguientes </w:t>
      </w:r>
      <w:r w:rsidRPr="00BA6AF3">
        <w:rPr>
          <w:rFonts w:ascii="Palatino Linotype" w:eastAsia="Palatino Linotype" w:hAnsi="Palatino Linotype" w:cs="Palatino Linotype"/>
          <w:b/>
          <w:i/>
          <w:sz w:val="22"/>
          <w:szCs w:val="22"/>
        </w:rPr>
        <w:t>funciones</w:t>
      </w:r>
      <w:r w:rsidRPr="00BA6AF3">
        <w:rPr>
          <w:rFonts w:ascii="Palatino Linotype" w:eastAsia="Palatino Linotype" w:hAnsi="Palatino Linotype" w:cs="Palatino Linotype"/>
          <w:i/>
          <w:sz w:val="22"/>
          <w:szCs w:val="22"/>
        </w:rPr>
        <w:t>:</w:t>
      </w:r>
    </w:p>
    <w:p w:rsidR="00C97499" w:rsidRPr="00BA6AF3" w:rsidRDefault="00BC0FE1">
      <w:pPr>
        <w:spacing w:before="120" w:after="120"/>
        <w:ind w:left="993"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X. Presentar ante el Comité, el proyecto de clasificación de información</w:t>
      </w:r>
      <w:r w:rsidRPr="00BA6AF3">
        <w:rPr>
          <w:rFonts w:ascii="Palatino Linotype" w:eastAsia="Palatino Linotype" w:hAnsi="Palatino Linotype" w:cs="Palatino Linotype"/>
          <w:i/>
          <w:sz w:val="22"/>
          <w:szCs w:val="22"/>
        </w:rPr>
        <w:t xml:space="preserve">…” </w:t>
      </w:r>
    </w:p>
    <w:p w:rsidR="00C97499" w:rsidRPr="00BA6AF3" w:rsidRDefault="00BC0FE1">
      <w:pPr>
        <w:spacing w:before="120" w:after="120"/>
        <w:ind w:left="851"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lastRenderedPageBreak/>
        <w:t>“Artículo 59.</w:t>
      </w:r>
      <w:r w:rsidRPr="00BA6AF3">
        <w:rPr>
          <w:rFonts w:ascii="Palatino Linotype" w:eastAsia="Palatino Linotype" w:hAnsi="Palatino Linotype" w:cs="Palatino Linotype"/>
          <w:i/>
          <w:sz w:val="22"/>
          <w:szCs w:val="22"/>
        </w:rPr>
        <w:t xml:space="preserve"> Los </w:t>
      </w:r>
      <w:r w:rsidRPr="00BA6AF3">
        <w:rPr>
          <w:rFonts w:ascii="Palatino Linotype" w:eastAsia="Palatino Linotype" w:hAnsi="Palatino Linotype" w:cs="Palatino Linotype"/>
          <w:b/>
          <w:i/>
          <w:sz w:val="22"/>
          <w:szCs w:val="22"/>
        </w:rPr>
        <w:t>servidores públicos habilitados</w:t>
      </w:r>
      <w:r w:rsidRPr="00BA6AF3">
        <w:rPr>
          <w:rFonts w:ascii="Palatino Linotype" w:eastAsia="Palatino Linotype" w:hAnsi="Palatino Linotype" w:cs="Palatino Linotype"/>
          <w:i/>
          <w:sz w:val="22"/>
          <w:szCs w:val="22"/>
        </w:rPr>
        <w:t xml:space="preserve"> tendrán las </w:t>
      </w:r>
      <w:r w:rsidRPr="00BA6AF3">
        <w:rPr>
          <w:rFonts w:ascii="Palatino Linotype" w:eastAsia="Palatino Linotype" w:hAnsi="Palatino Linotype" w:cs="Palatino Linotype"/>
          <w:b/>
          <w:i/>
          <w:sz w:val="22"/>
          <w:szCs w:val="22"/>
        </w:rPr>
        <w:t>funciones</w:t>
      </w:r>
      <w:r w:rsidRPr="00BA6AF3">
        <w:rPr>
          <w:rFonts w:ascii="Palatino Linotype" w:eastAsia="Palatino Linotype" w:hAnsi="Palatino Linotype" w:cs="Palatino Linotype"/>
          <w:i/>
          <w:sz w:val="22"/>
          <w:szCs w:val="22"/>
        </w:rPr>
        <w:t xml:space="preserve"> siguientes:</w:t>
      </w:r>
    </w:p>
    <w:p w:rsidR="00C97499" w:rsidRPr="00BA6AF3" w:rsidRDefault="00BC0FE1">
      <w:pPr>
        <w:spacing w:before="120" w:after="120"/>
        <w:ind w:left="851"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BA6AF3">
        <w:rPr>
          <w:rFonts w:ascii="Palatino Linotype" w:eastAsia="Palatino Linotype" w:hAnsi="Palatino Linotype" w:cs="Palatino Linotype"/>
          <w:i/>
          <w:sz w:val="22"/>
          <w:szCs w:val="22"/>
        </w:rPr>
        <w:t>, la cual tendrá los fundamentos y argumentos en que se basa dicha propuesta…”</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C97499" w:rsidRPr="00BA6AF3" w:rsidRDefault="00BC0FE1">
      <w:pPr>
        <w:spacing w:after="240"/>
        <w:ind w:left="851"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r w:rsidRPr="00BA6AF3">
        <w:rPr>
          <w:rFonts w:ascii="Palatino Linotype" w:eastAsia="Palatino Linotype" w:hAnsi="Palatino Linotype" w:cs="Palatino Linotype"/>
          <w:b/>
          <w:i/>
          <w:sz w:val="22"/>
          <w:szCs w:val="22"/>
        </w:rPr>
        <w:t>Artículo 149.</w:t>
      </w:r>
      <w:r w:rsidRPr="00BA6AF3">
        <w:rPr>
          <w:rFonts w:ascii="Palatino Linotype" w:eastAsia="Palatino Linotype" w:hAnsi="Palatino Linotype" w:cs="Palatino Linotype"/>
          <w:i/>
          <w:sz w:val="22"/>
          <w:szCs w:val="22"/>
        </w:rPr>
        <w:t xml:space="preserve"> El </w:t>
      </w:r>
      <w:r w:rsidRPr="00BA6AF3">
        <w:rPr>
          <w:rFonts w:ascii="Palatino Linotype" w:eastAsia="Palatino Linotype" w:hAnsi="Palatino Linotype" w:cs="Palatino Linotype"/>
          <w:b/>
          <w:i/>
          <w:sz w:val="22"/>
          <w:szCs w:val="22"/>
        </w:rPr>
        <w:t>acuerdo que clasifique la información como confidencial</w:t>
      </w:r>
      <w:r w:rsidRPr="00BA6AF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w:t>
      </w:r>
    </w:p>
    <w:p w:rsidR="00C97499" w:rsidRPr="00BA6AF3" w:rsidRDefault="00BC0FE1">
      <w:pPr>
        <w:spacing w:before="240" w:after="240" w:line="360" w:lineRule="auto"/>
        <w:ind w:right="51"/>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Es decir,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w:t>
      </w:r>
      <w:r w:rsidRPr="00BA6AF3">
        <w:rPr>
          <w:rFonts w:ascii="Palatino Linotype" w:eastAsia="Palatino Linotype" w:hAnsi="Palatino Linotype" w:cs="Palatino Linotype"/>
        </w:rPr>
        <w:lastRenderedPageBreak/>
        <w:t>tachado; en otras palabras si no se exponen de manera puntual las razones de la versión pública de la documentación entregada se estaría violentando el derecho de acceso a la información de la parte solicitante.</w:t>
      </w:r>
    </w:p>
    <w:p w:rsidR="00C97499" w:rsidRPr="00BA6AF3" w:rsidRDefault="00BC0FE1">
      <w:pPr>
        <w:spacing w:before="240" w:after="240"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i/>
          <w:sz w:val="22"/>
          <w:szCs w:val="22"/>
        </w:rPr>
        <w:t>“</w:t>
      </w:r>
      <w:r w:rsidRPr="00BA6AF3">
        <w:rPr>
          <w:rFonts w:ascii="Palatino Linotype" w:eastAsia="Palatino Linotype" w:hAnsi="Palatino Linotype" w:cs="Palatino Linotype"/>
          <w:b/>
          <w:i/>
          <w:sz w:val="22"/>
          <w:szCs w:val="22"/>
        </w:rPr>
        <w:t>Artículo 132.</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La clasificación de la información se llevará a cabo en el momento en que:</w:t>
      </w:r>
    </w:p>
    <w:p w:rsidR="00C97499" w:rsidRPr="00BA6AF3" w:rsidRDefault="00BC0FE1">
      <w:pPr>
        <w:tabs>
          <w:tab w:val="left" w:pos="8222"/>
        </w:tabs>
        <w:spacing w:before="120" w:after="120"/>
        <w:ind w:left="1134"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p>
    <w:p w:rsidR="00C97499" w:rsidRPr="00BA6AF3" w:rsidRDefault="00BC0FE1">
      <w:pPr>
        <w:tabs>
          <w:tab w:val="left" w:pos="8222"/>
        </w:tabs>
        <w:spacing w:before="120" w:after="120"/>
        <w:ind w:left="1134"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II.</w:t>
      </w:r>
      <w:r w:rsidRPr="00BA6AF3">
        <w:rPr>
          <w:rFonts w:ascii="Palatino Linotype" w:eastAsia="Palatino Linotype" w:hAnsi="Palatino Linotype" w:cs="Palatino Linotype"/>
          <w:i/>
          <w:sz w:val="22"/>
          <w:szCs w:val="22"/>
        </w:rPr>
        <w:t xml:space="preserve"> Se determine mediante resolución de autoridad competente; o</w:t>
      </w:r>
    </w:p>
    <w:p w:rsidR="00C97499" w:rsidRPr="00BA6AF3" w:rsidRDefault="00BC0FE1">
      <w:pPr>
        <w:tabs>
          <w:tab w:val="left" w:pos="8222"/>
        </w:tabs>
        <w:spacing w:before="120" w:after="120"/>
        <w:ind w:left="1134"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III</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Se generen versiones públicas para dar cumplimiento a las obligaciones de transparencia previstas en esta Ley</w:t>
      </w:r>
      <w:r w:rsidRPr="00BA6AF3">
        <w:rPr>
          <w:rFonts w:ascii="Palatino Linotype" w:eastAsia="Palatino Linotype" w:hAnsi="Palatino Linotype" w:cs="Palatino Linotype"/>
          <w:i/>
          <w:sz w:val="22"/>
          <w:szCs w:val="22"/>
        </w:rPr>
        <w:t>.”</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w:t>
      </w:r>
      <w:r w:rsidRPr="00BA6AF3">
        <w:rPr>
          <w:rFonts w:ascii="Palatino Linotype" w:eastAsia="Palatino Linotype" w:hAnsi="Palatino Linotype" w:cs="Palatino Linotype"/>
          <w:b/>
          <w:i/>
          <w:sz w:val="22"/>
          <w:szCs w:val="22"/>
        </w:rPr>
        <w:t>Segundo.-</w:t>
      </w:r>
      <w:r w:rsidRPr="00BA6AF3">
        <w:rPr>
          <w:rFonts w:ascii="Palatino Linotype" w:eastAsia="Palatino Linotype" w:hAnsi="Palatino Linotype" w:cs="Palatino Linotype"/>
          <w:i/>
          <w:sz w:val="22"/>
          <w:szCs w:val="22"/>
        </w:rPr>
        <w:t xml:space="preserve"> Para efectos de los presentes Lineamientos Generales, se entenderá por:</w:t>
      </w:r>
    </w:p>
    <w:p w:rsidR="00C97499" w:rsidRPr="00BA6AF3" w:rsidRDefault="00BC0FE1">
      <w:pPr>
        <w:tabs>
          <w:tab w:val="left" w:pos="8222"/>
        </w:tabs>
        <w:spacing w:before="120" w:after="120"/>
        <w:ind w:left="1134"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XVIII.</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Versión pública:</w:t>
      </w:r>
      <w:r w:rsidRPr="00BA6AF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BA6AF3">
        <w:rPr>
          <w:rFonts w:ascii="Palatino Linotype" w:eastAsia="Palatino Linotype" w:hAnsi="Palatino Linotype" w:cs="Palatino Linotype"/>
          <w:b/>
          <w:i/>
          <w:sz w:val="22"/>
          <w:szCs w:val="22"/>
        </w:rPr>
        <w:t>fundando y motivando la</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reserva o confidencialidad</w:t>
      </w:r>
      <w:r w:rsidRPr="00BA6AF3">
        <w:rPr>
          <w:rFonts w:ascii="Palatino Linotype" w:eastAsia="Palatino Linotype" w:hAnsi="Palatino Linotype" w:cs="Palatino Linotype"/>
          <w:i/>
          <w:sz w:val="22"/>
          <w:szCs w:val="22"/>
        </w:rPr>
        <w:t>, a través de la resolución que para tal efecto emita el Comité de Transparencia.</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b/>
          <w:i/>
          <w:sz w:val="22"/>
          <w:szCs w:val="22"/>
        </w:rPr>
      </w:pPr>
      <w:r w:rsidRPr="00BA6AF3">
        <w:rPr>
          <w:rFonts w:ascii="Palatino Linotype" w:eastAsia="Palatino Linotype" w:hAnsi="Palatino Linotype" w:cs="Palatino Linotype"/>
          <w:b/>
          <w:i/>
          <w:sz w:val="22"/>
          <w:szCs w:val="22"/>
        </w:rPr>
        <w:t>...</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lastRenderedPageBreak/>
        <w:t>Cuarto.</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Para clasificar la información como</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reservada o</w:t>
      </w:r>
      <w:r w:rsidRPr="00BA6AF3">
        <w:rPr>
          <w:rFonts w:ascii="Palatino Linotype" w:eastAsia="Palatino Linotype" w:hAnsi="Palatino Linotype" w:cs="Palatino Linotype"/>
          <w:i/>
          <w:sz w:val="22"/>
          <w:szCs w:val="22"/>
        </w:rPr>
        <w:t xml:space="preserve"> </w:t>
      </w:r>
      <w:r w:rsidRPr="00BA6AF3">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BA6AF3">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Quinto.</w:t>
      </w:r>
      <w:r w:rsidRPr="00BA6AF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Sexto.</w:t>
      </w:r>
      <w:r w:rsidRPr="00BA6AF3">
        <w:rPr>
          <w:rFonts w:ascii="Palatino Linotype" w:eastAsia="Palatino Linotype" w:hAnsi="Palatino Linotype" w:cs="Palatino Linotype"/>
          <w:i/>
          <w:sz w:val="22"/>
          <w:szCs w:val="22"/>
        </w:rPr>
        <w:t xml:space="preserve"> Se deroga.</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Séptimo.</w:t>
      </w:r>
      <w:r w:rsidRPr="00BA6AF3">
        <w:rPr>
          <w:rFonts w:ascii="Palatino Linotype" w:eastAsia="Palatino Linotype" w:hAnsi="Palatino Linotype" w:cs="Palatino Linotype"/>
          <w:i/>
          <w:sz w:val="22"/>
          <w:szCs w:val="22"/>
        </w:rPr>
        <w:t xml:space="preserve"> La clasificación de la información se llevará a cabo en el momento en que:</w:t>
      </w:r>
    </w:p>
    <w:p w:rsidR="00C97499" w:rsidRPr="00BA6AF3" w:rsidRDefault="00BC0FE1">
      <w:pPr>
        <w:tabs>
          <w:tab w:val="left" w:pos="8222"/>
        </w:tabs>
        <w:spacing w:before="120" w:after="120"/>
        <w:ind w:left="1134"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w:t>
      </w:r>
      <w:r w:rsidRPr="00BA6AF3">
        <w:rPr>
          <w:rFonts w:ascii="Palatino Linotype" w:eastAsia="Palatino Linotype" w:hAnsi="Palatino Linotype" w:cs="Palatino Linotype"/>
          <w:i/>
          <w:sz w:val="22"/>
          <w:szCs w:val="22"/>
        </w:rPr>
        <w:t xml:space="preserve"> Se reciba una solicitud de acceso a la información;</w:t>
      </w:r>
    </w:p>
    <w:p w:rsidR="00C97499" w:rsidRPr="00BA6AF3" w:rsidRDefault="00BC0FE1">
      <w:pPr>
        <w:tabs>
          <w:tab w:val="left" w:pos="8222"/>
        </w:tabs>
        <w:spacing w:before="120" w:after="120"/>
        <w:ind w:left="1134"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II.</w:t>
      </w:r>
      <w:r w:rsidRPr="00BA6AF3">
        <w:rPr>
          <w:rFonts w:ascii="Palatino Linotype" w:eastAsia="Palatino Linotype" w:hAnsi="Palatino Linotype" w:cs="Palatino Linotype"/>
          <w:i/>
          <w:sz w:val="22"/>
          <w:szCs w:val="22"/>
        </w:rPr>
        <w:t xml:space="preserve"> Se determine mediante resolución del Comité de Transparencia, el órgano garante competente, o en cumplimiento a una sentencia del Poder Judicial; o</w:t>
      </w:r>
    </w:p>
    <w:p w:rsidR="00C97499" w:rsidRPr="00BA6AF3" w:rsidRDefault="00BC0FE1">
      <w:pPr>
        <w:tabs>
          <w:tab w:val="left" w:pos="8222"/>
        </w:tabs>
        <w:spacing w:before="120" w:after="120"/>
        <w:ind w:left="1134"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III.</w:t>
      </w:r>
      <w:r w:rsidRPr="00BA6AF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Los titulares de las áreas deberán revisar la clasificación al momento de la recepción de una solicitud de acceso, para verificar</w:t>
      </w:r>
      <w:r w:rsidRPr="00BA6AF3">
        <w:rPr>
          <w:sz w:val="22"/>
          <w:szCs w:val="22"/>
        </w:rPr>
        <w:t xml:space="preserve">, </w:t>
      </w:r>
      <w:r w:rsidRPr="00BA6AF3">
        <w:rPr>
          <w:rFonts w:ascii="Palatino Linotype" w:eastAsia="Palatino Linotype" w:hAnsi="Palatino Linotype" w:cs="Palatino Linotype"/>
          <w:i/>
          <w:sz w:val="22"/>
          <w:szCs w:val="22"/>
        </w:rPr>
        <w:t>conforme a su naturaleza, si encuadra en una causal de reserva o de confidencialidad.</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Octavo.</w:t>
      </w:r>
      <w:r w:rsidRPr="00BA6AF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lastRenderedPageBreak/>
        <w:t>Para motivar la clasificación se deberán señalar las razones o circunstancias especiales que lo llevaron a concluir que el caso particular se ajusta al supuesto previsto por la norma legal invocada como fundamento.</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Noveno.</w:t>
      </w:r>
      <w:r w:rsidRPr="00BA6AF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Décimo.</w:t>
      </w:r>
      <w:r w:rsidRPr="00BA6AF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sidRPr="00BA6AF3">
        <w:rPr>
          <w:rFonts w:ascii="Palatino Linotype" w:eastAsia="Palatino Linotype" w:hAnsi="Palatino Linotype" w:cs="Palatino Linotype"/>
          <w:i/>
          <w:sz w:val="22"/>
          <w:szCs w:val="22"/>
        </w:rPr>
        <w:t>wn</w:t>
      </w:r>
      <w:proofErr w:type="spellEnd"/>
      <w:r w:rsidRPr="00BA6AF3">
        <w:rPr>
          <w:rFonts w:ascii="Palatino Linotype" w:eastAsia="Palatino Linotype" w:hAnsi="Palatino Linotype" w:cs="Palatino Linotype"/>
          <w:i/>
          <w:sz w:val="22"/>
          <w:szCs w:val="22"/>
        </w:rPr>
        <w:t xml:space="preserve"> los términos de la Ley General de Archivos, Lineamientos para la Organización y Conservación de Archivos y demás normatividad aplicable.</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C97499" w:rsidRPr="00BA6AF3" w:rsidRDefault="00BC0FE1">
      <w:pPr>
        <w:tabs>
          <w:tab w:val="left" w:pos="8222"/>
        </w:tabs>
        <w:spacing w:before="120" w:after="120"/>
        <w:ind w:left="851" w:right="1134"/>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Décimo primero.</w:t>
      </w:r>
      <w:r w:rsidRPr="00BA6AF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C97499" w:rsidRPr="00BA6AF3" w:rsidRDefault="00BC0FE1">
      <w:pPr>
        <w:spacing w:before="240" w:after="240" w:line="360" w:lineRule="auto"/>
        <w:ind w:right="50"/>
        <w:jc w:val="both"/>
        <w:rPr>
          <w:rFonts w:ascii="Palatino Linotype" w:eastAsia="Palatino Linotype" w:hAnsi="Palatino Linotype" w:cs="Palatino Linotype"/>
        </w:rPr>
      </w:pPr>
      <w:r w:rsidRPr="00BA6AF3">
        <w:rPr>
          <w:rFonts w:ascii="Palatino Linotype" w:eastAsia="Palatino Linotype" w:hAnsi="Palatino Linotype" w:cs="Palatino Linotype"/>
        </w:rPr>
        <w:t>Asimismo, deberá observar el Lineamiento Quincuagésimo segundo de los Lineamientos Generales en Materia de Clasificación y Desclasificación de la Información, así como para la Elaboración de Versiones Públicas, a saber:</w:t>
      </w:r>
    </w:p>
    <w:p w:rsidR="00C97499" w:rsidRPr="00BA6AF3" w:rsidRDefault="00BC0FE1">
      <w:pPr>
        <w:spacing w:before="120" w:after="120"/>
        <w:ind w:left="851"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“Quincuagésimo segundo</w:t>
      </w:r>
      <w:r w:rsidRPr="00BA6AF3">
        <w:rPr>
          <w:rFonts w:ascii="Palatino Linotype" w:eastAsia="Palatino Linotype" w:hAnsi="Palatino Linotype" w:cs="Palatino Linotype"/>
          <w:i/>
          <w:sz w:val="22"/>
          <w:szCs w:val="22"/>
        </w:rPr>
        <w:t xml:space="preserve">. Para la clasificación y elaboración de versiones públicas de documentos que contengan información clasificada como reservada o confidencial, las áreas de los sujetos obligados deberán tomar las medidas </w:t>
      </w:r>
      <w:r w:rsidRPr="00BA6AF3">
        <w:rPr>
          <w:rFonts w:ascii="Palatino Linotype" w:eastAsia="Palatino Linotype" w:hAnsi="Palatino Linotype" w:cs="Palatino Linotype"/>
          <w:i/>
          <w:sz w:val="22"/>
          <w:szCs w:val="22"/>
        </w:rPr>
        <w:lastRenderedPageBreak/>
        <w:t xml:space="preserve">pertinentes tendientes a asegurar que el espacio utilizado para testar la información no podrá ser empleado para la </w:t>
      </w:r>
      <w:proofErr w:type="spellStart"/>
      <w:r w:rsidRPr="00BA6AF3">
        <w:rPr>
          <w:rFonts w:ascii="Palatino Linotype" w:eastAsia="Palatino Linotype" w:hAnsi="Palatino Linotype" w:cs="Palatino Linotype"/>
          <w:i/>
          <w:sz w:val="22"/>
          <w:szCs w:val="22"/>
        </w:rPr>
        <w:t>sobreposición</w:t>
      </w:r>
      <w:proofErr w:type="spellEnd"/>
      <w:r w:rsidRPr="00BA6AF3">
        <w:rPr>
          <w:rFonts w:ascii="Palatino Linotype" w:eastAsia="Palatino Linotype" w:hAnsi="Palatino Linotype" w:cs="Palatino Linotype"/>
          <w:i/>
          <w:sz w:val="22"/>
          <w:szCs w:val="22"/>
        </w:rPr>
        <w:t xml:space="preserve"> de contenido distinto al autorizado por el Comité.</w:t>
      </w:r>
    </w:p>
    <w:p w:rsidR="00C97499" w:rsidRPr="00BA6AF3" w:rsidRDefault="00BC0FE1">
      <w:pPr>
        <w:spacing w:before="120" w:after="120"/>
        <w:ind w:left="851"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En el caso </w:t>
      </w:r>
      <w:proofErr w:type="spellStart"/>
      <w:r w:rsidRPr="00BA6AF3">
        <w:rPr>
          <w:rFonts w:ascii="Palatino Linotype" w:eastAsia="Palatino Linotype" w:hAnsi="Palatino Linotype" w:cs="Palatino Linotype"/>
          <w:i/>
          <w:sz w:val="22"/>
          <w:szCs w:val="22"/>
        </w:rPr>
        <w:t>especifico</w:t>
      </w:r>
      <w:proofErr w:type="spellEnd"/>
      <w:r w:rsidRPr="00BA6AF3">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rsidR="00C97499" w:rsidRPr="00BA6AF3" w:rsidRDefault="00BC0FE1">
      <w:pPr>
        <w:spacing w:before="120" w:after="120"/>
        <w:ind w:left="1134"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w:t>
      </w:r>
      <w:r w:rsidRPr="00BA6AF3">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rsidR="00C97499" w:rsidRPr="00BA6AF3" w:rsidRDefault="00BC0FE1">
      <w:pPr>
        <w:spacing w:before="120" w:after="120"/>
        <w:ind w:left="1134"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II.</w:t>
      </w:r>
      <w:r w:rsidRPr="00BA6AF3">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rsidR="00C97499" w:rsidRPr="00BA6AF3" w:rsidRDefault="00BC0FE1">
      <w:pPr>
        <w:spacing w:before="120" w:after="120"/>
        <w:ind w:left="1134"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b/>
          <w:i/>
          <w:sz w:val="22"/>
          <w:szCs w:val="22"/>
        </w:rPr>
        <w:t>III.</w:t>
      </w:r>
      <w:r w:rsidRPr="00BA6AF3">
        <w:rPr>
          <w:rFonts w:ascii="Palatino Linotype" w:eastAsia="Palatino Linotype" w:hAnsi="Palatino Linotype" w:cs="Palatino Linotype"/>
          <w:i/>
          <w:sz w:val="22"/>
          <w:szCs w:val="22"/>
        </w:rPr>
        <w:t xml:space="preserve"> Señalar las personas o instancias autorizadas a acceder a la información clasificada.</w:t>
      </w:r>
    </w:p>
    <w:p w:rsidR="00C97499" w:rsidRPr="00BA6AF3" w:rsidRDefault="00BC0FE1">
      <w:pPr>
        <w:spacing w:before="120" w:after="120"/>
        <w:ind w:left="851" w:right="900"/>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rsidR="00C97499" w:rsidRPr="00BA6AF3" w:rsidRDefault="00BC0FE1">
      <w:pPr>
        <w:spacing w:before="240" w:after="240" w:line="360" w:lineRule="auto"/>
        <w:ind w:right="50"/>
        <w:jc w:val="both"/>
        <w:rPr>
          <w:rFonts w:ascii="Palatino Linotype" w:eastAsia="Palatino Linotype" w:hAnsi="Palatino Linotype" w:cs="Palatino Linotype"/>
        </w:rPr>
      </w:pPr>
      <w:r w:rsidRPr="00BA6AF3">
        <w:rPr>
          <w:rFonts w:ascii="Palatino Linotype" w:eastAsia="Palatino Linotype" w:hAnsi="Palatino Linotype" w:cs="Palatino Linotype"/>
        </w:rPr>
        <w:t xml:space="preserve">Así como el Lineamiento Quincuagésimo tercero de los Lineamientos Generales en Materia de Clasificación y Desclasificación de la Información </w:t>
      </w:r>
      <w:proofErr w:type="spellStart"/>
      <w:r w:rsidRPr="00BA6AF3">
        <w:rPr>
          <w:rFonts w:ascii="Palatino Linotype" w:eastAsia="Palatino Linotype" w:hAnsi="Palatino Linotype" w:cs="Palatino Linotype"/>
        </w:rPr>
        <w:t>supraindicados</w:t>
      </w:r>
      <w:proofErr w:type="spellEnd"/>
      <w:r w:rsidRPr="00BA6AF3">
        <w:rPr>
          <w:rFonts w:ascii="Palatino Linotype" w:eastAsia="Palatino Linotype" w:hAnsi="Palatino Linotype" w:cs="Palatino Linotype"/>
        </w:rPr>
        <w:t xml:space="preserve">, que establece los formatos para la clasificación de los documentos, conforme a lo siguiente: </w:t>
      </w:r>
    </w:p>
    <w:p w:rsidR="00C97499" w:rsidRPr="00BA6AF3" w:rsidRDefault="00BC0FE1">
      <w:pPr>
        <w:ind w:left="851" w:right="900"/>
        <w:jc w:val="center"/>
        <w:rPr>
          <w:rFonts w:ascii="Palatino Linotype" w:eastAsia="Palatino Linotype" w:hAnsi="Palatino Linotype" w:cs="Palatino Linotype"/>
          <w:b/>
          <w:i/>
        </w:rPr>
      </w:pPr>
      <w:r w:rsidRPr="00BA6AF3">
        <w:rPr>
          <w:rFonts w:ascii="Palatino Linotype" w:eastAsia="Palatino Linotype" w:hAnsi="Palatino Linotype" w:cs="Palatino Linotype"/>
          <w:b/>
          <w:i/>
        </w:rPr>
        <w:t>CAPÍTULO VIII</w:t>
      </w:r>
    </w:p>
    <w:p w:rsidR="00C97499" w:rsidRPr="00BA6AF3" w:rsidRDefault="00BC0FE1">
      <w:pPr>
        <w:ind w:left="851" w:right="900"/>
        <w:jc w:val="center"/>
        <w:rPr>
          <w:rFonts w:ascii="Palatino Linotype" w:eastAsia="Palatino Linotype" w:hAnsi="Palatino Linotype" w:cs="Palatino Linotype"/>
          <w:b/>
          <w:i/>
        </w:rPr>
      </w:pPr>
      <w:r w:rsidRPr="00BA6AF3">
        <w:rPr>
          <w:rFonts w:ascii="Palatino Linotype" w:eastAsia="Palatino Linotype" w:hAnsi="Palatino Linotype" w:cs="Palatino Linotype"/>
          <w:b/>
          <w:i/>
        </w:rPr>
        <w:t xml:space="preserve">DE LOS ELEMENTOS PARA LA CLASIFICACIÓN </w:t>
      </w:r>
    </w:p>
    <w:p w:rsidR="00C97499" w:rsidRPr="00BA6AF3" w:rsidRDefault="00BC0FE1">
      <w:pPr>
        <w:ind w:left="851" w:right="900"/>
        <w:rPr>
          <w:rFonts w:ascii="Palatino Linotype" w:eastAsia="Palatino Linotype" w:hAnsi="Palatino Linotype" w:cs="Palatino Linotype"/>
          <w:i/>
        </w:rPr>
      </w:pPr>
      <w:r w:rsidRPr="00BA6AF3">
        <w:rPr>
          <w:rFonts w:ascii="Palatino Linotype" w:eastAsia="Palatino Linotype" w:hAnsi="Palatino Linotype" w:cs="Palatino Linotype"/>
          <w:i/>
        </w:rPr>
        <w:t>…</w:t>
      </w:r>
    </w:p>
    <w:p w:rsidR="00C97499" w:rsidRPr="00BA6AF3" w:rsidRDefault="00BC0FE1">
      <w:pPr>
        <w:spacing w:before="120" w:after="120"/>
        <w:ind w:left="851" w:right="902"/>
        <w:jc w:val="both"/>
        <w:rPr>
          <w:rFonts w:ascii="Palatino Linotype" w:eastAsia="Palatino Linotype" w:hAnsi="Palatino Linotype" w:cs="Palatino Linotype"/>
          <w:i/>
        </w:rPr>
      </w:pPr>
      <w:r w:rsidRPr="00BA6AF3">
        <w:rPr>
          <w:rFonts w:ascii="Palatino Linotype" w:eastAsia="Palatino Linotype" w:hAnsi="Palatino Linotype" w:cs="Palatino Linotype"/>
          <w:b/>
          <w:i/>
        </w:rPr>
        <w:t xml:space="preserve">Quincuagésimo tercero. </w:t>
      </w:r>
      <w:r w:rsidRPr="00BA6AF3">
        <w:rPr>
          <w:rFonts w:ascii="Palatino Linotype" w:eastAsia="Palatino Linotype" w:hAnsi="Palatino Linotype" w:cs="Palatino Linotype"/>
          <w:b/>
          <w:i/>
          <w:u w:val="single"/>
        </w:rPr>
        <w:t>El formato para señalar la clasificación de un documento o expediente que contenga información reservada</w:t>
      </w:r>
      <w:r w:rsidRPr="00BA6AF3">
        <w:rPr>
          <w:rFonts w:ascii="Palatino Linotype" w:eastAsia="Palatino Linotype" w:hAnsi="Palatino Linotype" w:cs="Palatino Linotype"/>
          <w:b/>
          <w:i/>
        </w:rPr>
        <w:t xml:space="preserve">, </w:t>
      </w:r>
      <w:r w:rsidRPr="00BA6AF3">
        <w:rPr>
          <w:rFonts w:ascii="Palatino Linotype" w:eastAsia="Palatino Linotype" w:hAnsi="Palatino Linotype" w:cs="Palatino Linotype"/>
          <w:i/>
        </w:rPr>
        <w:t xml:space="preserve">es el siguiente: </w:t>
      </w:r>
    </w:p>
    <w:p w:rsidR="00C97499" w:rsidRPr="00BA6AF3" w:rsidRDefault="00BC0FE1">
      <w:pPr>
        <w:spacing w:before="120" w:after="120"/>
        <w:ind w:left="851" w:right="902"/>
        <w:jc w:val="both"/>
        <w:rPr>
          <w:rFonts w:ascii="Palatino Linotype" w:eastAsia="Palatino Linotype" w:hAnsi="Palatino Linotype" w:cs="Palatino Linotype"/>
          <w:b/>
          <w:i/>
        </w:rPr>
      </w:pPr>
      <w:r w:rsidRPr="00BA6AF3">
        <w:rPr>
          <w:rFonts w:ascii="Palatino Linotype" w:eastAsia="Palatino Linotype" w:hAnsi="Palatino Linotype" w:cs="Palatino Linotype"/>
          <w:b/>
          <w:i/>
          <w:noProof/>
        </w:rPr>
        <w:drawing>
          <wp:inline distT="0" distB="0" distL="0" distR="0">
            <wp:extent cx="4320000" cy="295275"/>
            <wp:effectExtent l="0" t="0" r="0" b="0"/>
            <wp:docPr id="20675916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b="95731"/>
                    <a:stretch>
                      <a:fillRect/>
                    </a:stretch>
                  </pic:blipFill>
                  <pic:spPr>
                    <a:xfrm>
                      <a:off x="0" y="0"/>
                      <a:ext cx="4320000" cy="295275"/>
                    </a:xfrm>
                    <a:prstGeom prst="rect">
                      <a:avLst/>
                    </a:prstGeom>
                    <a:ln/>
                  </pic:spPr>
                </pic:pic>
              </a:graphicData>
            </a:graphic>
          </wp:inline>
        </w:drawing>
      </w:r>
    </w:p>
    <w:p w:rsidR="00C97499" w:rsidRPr="00BA6AF3" w:rsidRDefault="00BC0FE1">
      <w:pPr>
        <w:spacing w:before="120" w:after="120"/>
        <w:ind w:left="851" w:right="902"/>
        <w:jc w:val="both"/>
        <w:rPr>
          <w:rFonts w:ascii="Palatino Linotype" w:eastAsia="Palatino Linotype" w:hAnsi="Palatino Linotype" w:cs="Palatino Linotype"/>
          <w:b/>
          <w:i/>
        </w:rPr>
      </w:pPr>
      <w:r w:rsidRPr="00BA6AF3">
        <w:rPr>
          <w:rFonts w:ascii="Palatino Linotype" w:eastAsia="Palatino Linotype" w:hAnsi="Palatino Linotype" w:cs="Palatino Linotype"/>
          <w:b/>
          <w:i/>
          <w:noProof/>
        </w:rPr>
        <w:lastRenderedPageBreak/>
        <w:drawing>
          <wp:inline distT="0" distB="0" distL="0" distR="0">
            <wp:extent cx="4333875" cy="779219"/>
            <wp:effectExtent l="0" t="0" r="0" b="0"/>
            <wp:docPr id="20675916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t="30908" b="57808"/>
                    <a:stretch>
                      <a:fillRect/>
                    </a:stretch>
                  </pic:blipFill>
                  <pic:spPr>
                    <a:xfrm>
                      <a:off x="0" y="0"/>
                      <a:ext cx="4333875" cy="779219"/>
                    </a:xfrm>
                    <a:prstGeom prst="rect">
                      <a:avLst/>
                    </a:prstGeom>
                    <a:ln/>
                  </pic:spPr>
                </pic:pic>
              </a:graphicData>
            </a:graphic>
          </wp:inline>
        </w:drawing>
      </w:r>
    </w:p>
    <w:p w:rsidR="00C97499" w:rsidRPr="00BA6AF3" w:rsidRDefault="00BC0FE1">
      <w:pPr>
        <w:spacing w:before="120" w:after="120"/>
        <w:ind w:left="851" w:right="902"/>
        <w:jc w:val="both"/>
        <w:rPr>
          <w:rFonts w:ascii="Palatino Linotype" w:eastAsia="Palatino Linotype" w:hAnsi="Palatino Linotype" w:cs="Palatino Linotype"/>
          <w:b/>
          <w:i/>
        </w:rPr>
      </w:pPr>
      <w:r w:rsidRPr="00BA6AF3">
        <w:rPr>
          <w:rFonts w:ascii="Palatino Linotype" w:eastAsia="Palatino Linotype" w:hAnsi="Palatino Linotype" w:cs="Palatino Linotype"/>
          <w:b/>
          <w:i/>
          <w:noProof/>
        </w:rPr>
        <w:drawing>
          <wp:inline distT="0" distB="0" distL="0" distR="0">
            <wp:extent cx="4333875" cy="3924468"/>
            <wp:effectExtent l="0" t="0" r="0" b="0"/>
            <wp:docPr id="20675916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t="41501" b="1677"/>
                    <a:stretch>
                      <a:fillRect/>
                    </a:stretch>
                  </pic:blipFill>
                  <pic:spPr>
                    <a:xfrm>
                      <a:off x="0" y="0"/>
                      <a:ext cx="4333875" cy="3924468"/>
                    </a:xfrm>
                    <a:prstGeom prst="rect">
                      <a:avLst/>
                    </a:prstGeom>
                    <a:ln/>
                  </pic:spPr>
                </pic:pic>
              </a:graphicData>
            </a:graphic>
          </wp:inline>
        </w:drawing>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Los documentos que integren un expediente reservado en su totalidad no deberán marcarse en lo individual.</w:t>
      </w:r>
    </w:p>
    <w:p w:rsidR="00C97499" w:rsidRPr="00BA6AF3" w:rsidRDefault="00BC0FE1">
      <w:pPr>
        <w:spacing w:before="120" w:after="120"/>
        <w:ind w:left="851" w:right="902"/>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Una vez desclasificados los expedientes, si existieren documentos que tuvieran el carácter de reservados deberán permanecer o ser marcados.”</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C97499" w:rsidRPr="00BA6AF3" w:rsidRDefault="00BC0FE1">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sidRPr="00BA6AF3">
        <w:rPr>
          <w:rFonts w:ascii="Palatino Linotype" w:eastAsia="Palatino Linotype" w:hAnsi="Palatino Linotype" w:cs="Palatino Linotype"/>
          <w:b/>
          <w:color w:val="000000"/>
        </w:rPr>
        <w:lastRenderedPageBreak/>
        <w:t>R E S U E L V E:</w:t>
      </w:r>
    </w:p>
    <w:p w:rsidR="00C97499" w:rsidRPr="00BA6AF3" w:rsidRDefault="00BC0FE1">
      <w:pPr>
        <w:spacing w:line="360" w:lineRule="auto"/>
        <w:jc w:val="both"/>
        <w:rPr>
          <w:rFonts w:ascii="Palatino Linotype" w:eastAsia="Palatino Linotype" w:hAnsi="Palatino Linotype" w:cs="Palatino Linotype"/>
          <w:b/>
        </w:rPr>
      </w:pPr>
      <w:r w:rsidRPr="00BA6AF3">
        <w:rPr>
          <w:rFonts w:ascii="Palatino Linotype" w:eastAsia="Palatino Linotype" w:hAnsi="Palatino Linotype" w:cs="Palatino Linotype"/>
          <w:b/>
        </w:rPr>
        <w:t xml:space="preserve">Primero. </w:t>
      </w:r>
      <w:r w:rsidRPr="00BA6AF3">
        <w:rPr>
          <w:rFonts w:ascii="Palatino Linotype" w:eastAsia="Palatino Linotype" w:hAnsi="Palatino Linotype" w:cs="Palatino Linotype"/>
        </w:rPr>
        <w:t xml:space="preserve">Resultan </w:t>
      </w:r>
      <w:r w:rsidRPr="00BA6AF3">
        <w:rPr>
          <w:rFonts w:ascii="Palatino Linotype" w:eastAsia="Palatino Linotype" w:hAnsi="Palatino Linotype" w:cs="Palatino Linotype"/>
          <w:b/>
        </w:rPr>
        <w:t>fundadas</w:t>
      </w:r>
      <w:r w:rsidRPr="00BA6AF3">
        <w:rPr>
          <w:rFonts w:ascii="Palatino Linotype" w:eastAsia="Palatino Linotype" w:hAnsi="Palatino Linotype" w:cs="Palatino Linotype"/>
        </w:rPr>
        <w:t xml:space="preserve"> las</w:t>
      </w:r>
      <w:r w:rsidRPr="00BA6AF3">
        <w:rPr>
          <w:rFonts w:ascii="Palatino Linotype" w:eastAsia="Palatino Linotype" w:hAnsi="Palatino Linotype" w:cs="Palatino Linotype"/>
          <w:b/>
        </w:rPr>
        <w:t xml:space="preserve"> </w:t>
      </w:r>
      <w:r w:rsidRPr="00BA6AF3">
        <w:rPr>
          <w:rFonts w:ascii="Palatino Linotype" w:eastAsia="Palatino Linotype" w:hAnsi="Palatino Linotype" w:cs="Palatino Linotype"/>
        </w:rPr>
        <w:t xml:space="preserve">razones o motivos de inconformidad hechos valer por la parte </w:t>
      </w:r>
      <w:r w:rsidRPr="00BA6AF3">
        <w:rPr>
          <w:rFonts w:ascii="Palatino Linotype" w:eastAsia="Palatino Linotype" w:hAnsi="Palatino Linotype" w:cs="Palatino Linotype"/>
          <w:b/>
        </w:rPr>
        <w:t>Recurrente</w:t>
      </w:r>
      <w:r w:rsidRPr="00BA6AF3">
        <w:rPr>
          <w:rFonts w:ascii="Palatino Linotype" w:eastAsia="Palatino Linotype" w:hAnsi="Palatino Linotype" w:cs="Palatino Linotype"/>
        </w:rPr>
        <w:t xml:space="preserve"> en el Recurso de Revisión </w:t>
      </w:r>
      <w:r w:rsidR="00E34D8F" w:rsidRPr="00BA6AF3">
        <w:rPr>
          <w:rFonts w:ascii="Palatino Linotype" w:eastAsia="Palatino Linotype" w:hAnsi="Palatino Linotype" w:cs="Palatino Linotype"/>
          <w:b/>
        </w:rPr>
        <w:t>14549</w:t>
      </w:r>
      <w:r w:rsidRPr="00BA6AF3">
        <w:rPr>
          <w:rFonts w:ascii="Palatino Linotype" w:eastAsia="Palatino Linotype" w:hAnsi="Palatino Linotype" w:cs="Palatino Linotype"/>
          <w:b/>
        </w:rPr>
        <w:t xml:space="preserve">/INFOEM/IP/RR/2022; </w:t>
      </w:r>
      <w:r w:rsidRPr="00BA6AF3">
        <w:rPr>
          <w:rFonts w:ascii="Palatino Linotype" w:eastAsia="Palatino Linotype" w:hAnsi="Palatino Linotype" w:cs="Palatino Linotype"/>
        </w:rPr>
        <w:t xml:space="preserve">por lo que, en términos del Considerando </w:t>
      </w:r>
      <w:r w:rsidRPr="00BA6AF3">
        <w:rPr>
          <w:rFonts w:ascii="Palatino Linotype" w:eastAsia="Palatino Linotype" w:hAnsi="Palatino Linotype" w:cs="Palatino Linotype"/>
          <w:b/>
        </w:rPr>
        <w:t>Cuarto</w:t>
      </w:r>
      <w:r w:rsidRPr="00BA6AF3">
        <w:rPr>
          <w:rFonts w:ascii="Palatino Linotype" w:eastAsia="Palatino Linotype" w:hAnsi="Palatino Linotype" w:cs="Palatino Linotype"/>
        </w:rPr>
        <w:t xml:space="preserve"> de la presente resolución se </w:t>
      </w:r>
      <w:r w:rsidRPr="00BA6AF3">
        <w:rPr>
          <w:rFonts w:ascii="Palatino Linotype" w:eastAsia="Palatino Linotype" w:hAnsi="Palatino Linotype" w:cs="Palatino Linotype"/>
          <w:b/>
        </w:rPr>
        <w:t xml:space="preserve">Modifica </w:t>
      </w:r>
      <w:r w:rsidRPr="00BA6AF3">
        <w:rPr>
          <w:rFonts w:ascii="Palatino Linotype" w:eastAsia="Palatino Linotype" w:hAnsi="Palatino Linotype" w:cs="Palatino Linotype"/>
        </w:rPr>
        <w:t xml:space="preserve">la respuesta emitida por el </w:t>
      </w:r>
      <w:r w:rsidRPr="00BA6AF3">
        <w:rPr>
          <w:rFonts w:ascii="Palatino Linotype" w:eastAsia="Palatino Linotype" w:hAnsi="Palatino Linotype" w:cs="Palatino Linotype"/>
          <w:b/>
        </w:rPr>
        <w:t xml:space="preserve">Sujeto Obligado. </w:t>
      </w:r>
    </w:p>
    <w:p w:rsidR="00C97499" w:rsidRPr="00BA6AF3" w:rsidRDefault="00C97499">
      <w:pPr>
        <w:spacing w:line="360" w:lineRule="auto"/>
        <w:jc w:val="both"/>
        <w:rPr>
          <w:rFonts w:ascii="Palatino Linotype" w:eastAsia="Palatino Linotype" w:hAnsi="Palatino Linotype" w:cs="Palatino Linotype"/>
          <w:b/>
        </w:rPr>
      </w:pPr>
    </w:p>
    <w:p w:rsidR="00C97499" w:rsidRPr="00BA6AF3" w:rsidRDefault="00BC0FE1">
      <w:pPr>
        <w:spacing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 xml:space="preserve">Segundo. </w:t>
      </w:r>
      <w:r w:rsidRPr="00BA6AF3">
        <w:rPr>
          <w:rFonts w:ascii="Palatino Linotype" w:eastAsia="Palatino Linotype" w:hAnsi="Palatino Linotype" w:cs="Palatino Linotype"/>
        </w:rPr>
        <w:t xml:space="preserve">Se </w:t>
      </w:r>
      <w:r w:rsidRPr="00BA6AF3">
        <w:rPr>
          <w:rFonts w:ascii="Palatino Linotype" w:eastAsia="Palatino Linotype" w:hAnsi="Palatino Linotype" w:cs="Palatino Linotype"/>
          <w:b/>
        </w:rPr>
        <w:t>ordena</w:t>
      </w:r>
      <w:r w:rsidRPr="00BA6AF3">
        <w:rPr>
          <w:rFonts w:ascii="Palatino Linotype" w:eastAsia="Palatino Linotype" w:hAnsi="Palatino Linotype" w:cs="Palatino Linotype"/>
        </w:rPr>
        <w:t xml:space="preserve"> al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que, en términos de los Considerandos Cuarto y Quinto, haga entrega vía Sistema de Acce</w:t>
      </w:r>
      <w:r w:rsidR="004E6522" w:rsidRPr="00BA6AF3">
        <w:rPr>
          <w:rFonts w:ascii="Palatino Linotype" w:eastAsia="Palatino Linotype" w:hAnsi="Palatino Linotype" w:cs="Palatino Linotype"/>
        </w:rPr>
        <w:t>so a la Información Mexiquense</w:t>
      </w:r>
      <w:r w:rsidRPr="00BA6AF3">
        <w:rPr>
          <w:rFonts w:ascii="Palatino Linotype" w:eastAsia="Palatino Linotype" w:hAnsi="Palatino Linotype" w:cs="Palatino Linotype"/>
        </w:rPr>
        <w:t xml:space="preserve">, en versión pública, los documentos donde conste lo siguiente: </w:t>
      </w:r>
    </w:p>
    <w:p w:rsidR="00C97499" w:rsidRPr="00BA6AF3" w:rsidRDefault="00BC0FE1" w:rsidP="002B3767">
      <w:pPr>
        <w:pStyle w:val="Listaconvietas3"/>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t>Bitácoras de mantenimiento y servicios realizados al parque vehicular asignado o bajo el resguardo;  así como las unidades descompuestas o fuera de servicio de la Tesorería Municipal, la Dirección de Servicios Públicos, Dirección de Seguridad Ciudadana y Movilidad y de la Coordinación Municipal de Gestión Integral de Riesgos, Protección Civil y Bomberos del uno de enero de dos mil dieciocho al uno de agosto de dos mil veintidós;</w:t>
      </w:r>
    </w:p>
    <w:p w:rsidR="00C97499" w:rsidRPr="00BA6AF3" w:rsidRDefault="00BC0FE1">
      <w:pPr>
        <w:numPr>
          <w:ilvl w:val="0"/>
          <w:numId w:val="2"/>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i/>
          <w:color w:val="000000"/>
        </w:rPr>
      </w:pPr>
      <w:r w:rsidRPr="00BA6AF3">
        <w:rPr>
          <w:rFonts w:ascii="Palatino Linotype" w:eastAsia="Palatino Linotype" w:hAnsi="Palatino Linotype" w:cs="Palatino Linotype"/>
          <w:i/>
          <w:color w:val="000000"/>
          <w:sz w:val="22"/>
          <w:szCs w:val="22"/>
        </w:rPr>
        <w:t>Licencias de conducir de operadores y/o choferes de los vehículos asignados o bajo el resguardo de la Tesorería Municipal, la Dirección de Servicios Públicos, Dirección de Seguridad Ciudadana y Movilidad y de la Coordinación Municipal de Gestión Integral de Riesgos, Protección Civil y Bomberos del uno de enero de dos mil dieciocho al uno de agosto de dos mil veintidós;</w:t>
      </w:r>
    </w:p>
    <w:p w:rsidR="00C97499" w:rsidRPr="00BA6AF3" w:rsidRDefault="00BC0FE1">
      <w:pPr>
        <w:numPr>
          <w:ilvl w:val="0"/>
          <w:numId w:val="2"/>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i/>
          <w:color w:val="000000"/>
        </w:rPr>
      </w:pPr>
      <w:r w:rsidRPr="00BA6AF3">
        <w:rPr>
          <w:rFonts w:ascii="Palatino Linotype" w:eastAsia="Palatino Linotype" w:hAnsi="Palatino Linotype" w:cs="Palatino Linotype"/>
          <w:i/>
          <w:color w:val="000000"/>
          <w:sz w:val="22"/>
          <w:szCs w:val="22"/>
        </w:rPr>
        <w:t>Bitácoras de consumo de gasolina/</w:t>
      </w:r>
      <w:proofErr w:type="spellStart"/>
      <w:r w:rsidRPr="00BA6AF3">
        <w:rPr>
          <w:rFonts w:ascii="Palatino Linotype" w:eastAsia="Palatino Linotype" w:hAnsi="Palatino Linotype" w:cs="Palatino Linotype"/>
          <w:i/>
          <w:color w:val="000000"/>
          <w:sz w:val="22"/>
          <w:szCs w:val="22"/>
        </w:rPr>
        <w:t>diesel</w:t>
      </w:r>
      <w:proofErr w:type="spellEnd"/>
      <w:r w:rsidRPr="00BA6AF3">
        <w:rPr>
          <w:rFonts w:ascii="Palatino Linotype" w:eastAsia="Palatino Linotype" w:hAnsi="Palatino Linotype" w:cs="Palatino Linotype"/>
          <w:i/>
          <w:color w:val="000000"/>
          <w:sz w:val="22"/>
          <w:szCs w:val="22"/>
        </w:rPr>
        <w:t>, de los vehículos asignados a Tesorería Municipal, la Dirección de Servicios Públicos, Dirección de Seguridad Ciudadana y Movilidad y de la Coordinación Municipal de Gestión Integral de Riesgos, Protección Civil y Bomberos del uno de enero de dos mil dieciocho al uno de agosto de dos mil veintidós</w:t>
      </w:r>
    </w:p>
    <w:p w:rsidR="00C97499" w:rsidRPr="00BA6AF3" w:rsidRDefault="00BC0FE1">
      <w:pPr>
        <w:numPr>
          <w:ilvl w:val="0"/>
          <w:numId w:val="2"/>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i/>
          <w:color w:val="000000"/>
        </w:rPr>
      </w:pPr>
      <w:r w:rsidRPr="00BA6AF3">
        <w:rPr>
          <w:rFonts w:ascii="Palatino Linotype" w:eastAsia="Palatino Linotype" w:hAnsi="Palatino Linotype" w:cs="Palatino Linotype"/>
          <w:i/>
          <w:color w:val="000000"/>
        </w:rPr>
        <w:t>Horario de operadores y choferes de la Tesorería Municipal, y de la Coordinación Municipal de Gestión Integral de Riesgos, Protección Civil y Bomberos al uno de agosto de dos  mil veintitrés.</w:t>
      </w:r>
    </w:p>
    <w:p w:rsidR="00C97499" w:rsidRPr="00BA6AF3" w:rsidRDefault="00BC0FE1">
      <w:pPr>
        <w:numPr>
          <w:ilvl w:val="0"/>
          <w:numId w:val="2"/>
        </w:numPr>
        <w:pBdr>
          <w:top w:val="nil"/>
          <w:left w:val="nil"/>
          <w:bottom w:val="nil"/>
          <w:right w:val="nil"/>
          <w:between w:val="nil"/>
        </w:pBdr>
        <w:tabs>
          <w:tab w:val="left" w:pos="851"/>
        </w:tabs>
        <w:spacing w:line="276" w:lineRule="auto"/>
        <w:ind w:right="616"/>
        <w:jc w:val="both"/>
        <w:rPr>
          <w:rFonts w:ascii="Palatino Linotype" w:eastAsia="Palatino Linotype" w:hAnsi="Palatino Linotype" w:cs="Palatino Linotype"/>
          <w:i/>
          <w:color w:val="000000"/>
        </w:rPr>
      </w:pPr>
      <w:r w:rsidRPr="00BA6AF3">
        <w:rPr>
          <w:rFonts w:ascii="Palatino Linotype" w:eastAsia="Palatino Linotype" w:hAnsi="Palatino Linotype" w:cs="Palatino Linotype"/>
          <w:i/>
          <w:color w:val="000000"/>
        </w:rPr>
        <w:lastRenderedPageBreak/>
        <w:t>Nombre y grado</w:t>
      </w:r>
      <w:r w:rsidR="005000FB" w:rsidRPr="00BA6AF3">
        <w:rPr>
          <w:rFonts w:ascii="Palatino Linotype" w:eastAsia="Palatino Linotype" w:hAnsi="Palatino Linotype" w:cs="Palatino Linotype"/>
          <w:i/>
          <w:color w:val="000000"/>
        </w:rPr>
        <w:t xml:space="preserve"> o nivel</w:t>
      </w:r>
      <w:r w:rsidRPr="00BA6AF3">
        <w:rPr>
          <w:rFonts w:ascii="Palatino Linotype" w:eastAsia="Palatino Linotype" w:hAnsi="Palatino Linotype" w:cs="Palatino Linotype"/>
          <w:i/>
          <w:color w:val="000000"/>
        </w:rPr>
        <w:t xml:space="preserve"> de estudios de los servidores públicos titulares de las direcciones que integran la estructura orgánica al uno de agosto de dos mil veintitrés. </w:t>
      </w:r>
    </w:p>
    <w:p w:rsidR="00C97499" w:rsidRPr="00BA6AF3" w:rsidRDefault="00C97499">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color w:val="000000"/>
          <w:sz w:val="22"/>
          <w:szCs w:val="22"/>
        </w:rPr>
      </w:pPr>
    </w:p>
    <w:p w:rsidR="00C97499" w:rsidRPr="00BA6AF3" w:rsidRDefault="00BC0FE1">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sidRPr="00BA6AF3">
        <w:rPr>
          <w:rFonts w:ascii="Palatino Linotype" w:eastAsia="Palatino Linotype" w:hAnsi="Palatino Linotype" w:cs="Palatino Linotype"/>
          <w:i/>
          <w:color w:val="000000"/>
          <w:sz w:val="22"/>
          <w:szCs w:val="22"/>
        </w:rPr>
        <w:t>Debiendo acompañar con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w:t>
      </w:r>
    </w:p>
    <w:p w:rsidR="00E9445F" w:rsidRPr="00BA6AF3" w:rsidRDefault="00E9445F">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p>
    <w:p w:rsidR="00E9445F" w:rsidRPr="00BA6AF3" w:rsidRDefault="00E9445F" w:rsidP="00E9445F">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BA6AF3">
        <w:rPr>
          <w:rFonts w:ascii="Palatino Linotype" w:eastAsia="Palatino Linotype" w:hAnsi="Palatino Linotype" w:cs="Palatino Linotype"/>
          <w:i/>
          <w:sz w:val="22"/>
          <w:szCs w:val="22"/>
        </w:rPr>
        <w:t xml:space="preserve">En el supuesto que la información ordenada en el inciso </w:t>
      </w:r>
      <w:r w:rsidR="002B3767" w:rsidRPr="00BA6AF3">
        <w:rPr>
          <w:rFonts w:ascii="Palatino Linotype" w:eastAsia="Palatino Linotype" w:hAnsi="Palatino Linotype" w:cs="Palatino Linotype"/>
          <w:i/>
          <w:sz w:val="22"/>
          <w:szCs w:val="22"/>
        </w:rPr>
        <w:t>b</w:t>
      </w:r>
      <w:r w:rsidRPr="00BA6AF3">
        <w:rPr>
          <w:rFonts w:ascii="Palatino Linotype" w:eastAsia="Palatino Linotype" w:hAnsi="Palatino Linotype" w:cs="Palatino Linotype"/>
          <w:i/>
          <w:sz w:val="22"/>
          <w:szCs w:val="22"/>
        </w:rPr>
        <w:t>)  no obre en los archivos del Sujeto Obligado, bastará con que así lo haga del conocimiento de la parte Recurrente, de manera fundada y motivada, en términos del artículo 19, párrafo segundo de la Ley de Transparencia y Acceso a la Información Pública del Estado de México y Municipios, para tener por colmado el requerimiento de información.</w:t>
      </w:r>
    </w:p>
    <w:p w:rsidR="00E9445F" w:rsidRPr="00BA6AF3" w:rsidRDefault="00E9445F">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p>
    <w:p w:rsidR="00C97499" w:rsidRPr="00BA6AF3" w:rsidRDefault="00C97499">
      <w:pPr>
        <w:pBdr>
          <w:top w:val="nil"/>
          <w:left w:val="nil"/>
          <w:bottom w:val="nil"/>
          <w:right w:val="nil"/>
          <w:between w:val="nil"/>
        </w:pBdr>
        <w:tabs>
          <w:tab w:val="left" w:pos="993"/>
        </w:tabs>
        <w:spacing w:line="360" w:lineRule="auto"/>
        <w:ind w:left="1287" w:right="567"/>
        <w:jc w:val="both"/>
        <w:rPr>
          <w:rFonts w:ascii="Palatino Linotype" w:eastAsia="Palatino Linotype" w:hAnsi="Palatino Linotype" w:cs="Palatino Linotype"/>
          <w:b/>
          <w:color w:val="000000"/>
        </w:rPr>
      </w:pPr>
    </w:p>
    <w:p w:rsidR="00C97499" w:rsidRPr="00BA6AF3" w:rsidRDefault="00BC0FE1">
      <w:pPr>
        <w:spacing w:line="360" w:lineRule="auto"/>
        <w:jc w:val="both"/>
      </w:pPr>
      <w:r w:rsidRPr="00BA6AF3">
        <w:rPr>
          <w:rFonts w:ascii="Palatino Linotype" w:eastAsia="Palatino Linotype" w:hAnsi="Palatino Linotype" w:cs="Palatino Linotype"/>
          <w:b/>
        </w:rPr>
        <w:t>Tercero.</w:t>
      </w:r>
      <w:r w:rsidRPr="00BA6AF3">
        <w:rPr>
          <w:rFonts w:ascii="Palatino Linotype" w:eastAsia="Palatino Linotype" w:hAnsi="Palatino Linotype" w:cs="Palatino Linotype"/>
          <w:b/>
          <w:sz w:val="28"/>
          <w:szCs w:val="28"/>
        </w:rPr>
        <w:t xml:space="preserve">  </w:t>
      </w:r>
      <w:r w:rsidRPr="00BA6AF3">
        <w:rPr>
          <w:rFonts w:ascii="Palatino Linotype" w:eastAsia="Palatino Linotype" w:hAnsi="Palatino Linotype" w:cs="Palatino Linotype"/>
          <w:b/>
        </w:rPr>
        <w:t>Notifíquese,</w:t>
      </w:r>
      <w:r w:rsidRPr="00BA6AF3">
        <w:rPr>
          <w:rFonts w:ascii="Palatino Linotype" w:eastAsia="Palatino Linotype" w:hAnsi="Palatino Linotype" w:cs="Palatino Linotype"/>
          <w:b/>
          <w:sz w:val="28"/>
          <w:szCs w:val="28"/>
        </w:rPr>
        <w:t xml:space="preserve"> </w:t>
      </w:r>
      <w:r w:rsidRPr="00BA6AF3">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BA6AF3">
        <w:t>.</w:t>
      </w:r>
    </w:p>
    <w:p w:rsidR="00C97499" w:rsidRPr="00BA6AF3" w:rsidRDefault="00BC0FE1">
      <w:pPr>
        <w:spacing w:before="240" w:after="240" w:line="360" w:lineRule="auto"/>
        <w:jc w:val="both"/>
        <w:rPr>
          <w:rFonts w:ascii="Palatino Linotype" w:eastAsia="Palatino Linotype" w:hAnsi="Palatino Linotype" w:cs="Palatino Linotype"/>
        </w:rPr>
      </w:pPr>
      <w:r w:rsidRPr="00BA6AF3">
        <w:rPr>
          <w:rFonts w:ascii="Palatino Linotype" w:eastAsia="Palatino Linotype" w:hAnsi="Palatino Linotype" w:cs="Palatino Linotype"/>
          <w:b/>
        </w:rPr>
        <w:t>Cuarto.</w:t>
      </w:r>
      <w:r w:rsidRPr="00BA6AF3">
        <w:rPr>
          <w:rFonts w:ascii="Palatino Linotype" w:eastAsia="Palatino Linotype" w:hAnsi="Palatino Linotype" w:cs="Palatino Linotype"/>
          <w:b/>
          <w:sz w:val="28"/>
          <w:szCs w:val="28"/>
        </w:rPr>
        <w:t xml:space="preserve"> </w:t>
      </w:r>
      <w:r w:rsidRPr="00BA6AF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BA6AF3">
        <w:rPr>
          <w:rFonts w:ascii="Palatino Linotype" w:eastAsia="Palatino Linotype" w:hAnsi="Palatino Linotype" w:cs="Palatino Linotype"/>
        </w:rPr>
        <w:lastRenderedPageBreak/>
        <w:t xml:space="preserve">procedente, el </w:t>
      </w:r>
      <w:r w:rsidRPr="00BA6AF3">
        <w:rPr>
          <w:rFonts w:ascii="Palatino Linotype" w:eastAsia="Palatino Linotype" w:hAnsi="Palatino Linotype" w:cs="Palatino Linotype"/>
          <w:b/>
        </w:rPr>
        <w:t>Sujeto Obligado</w:t>
      </w:r>
      <w:r w:rsidRPr="00BA6AF3">
        <w:rPr>
          <w:rFonts w:ascii="Palatino Linotype" w:eastAsia="Palatino Linotype" w:hAnsi="Palatino Linotype" w:cs="Palatino Linotype"/>
        </w:rPr>
        <w:t xml:space="preserve"> de manera fundada y motivada, podrá solicitar una ampliación de plazo para el cumplimiento de la presente resolución.</w:t>
      </w:r>
    </w:p>
    <w:p w:rsidR="00C97499" w:rsidRPr="00BA6AF3" w:rsidRDefault="00BC0FE1">
      <w:pPr>
        <w:spacing w:line="360" w:lineRule="auto"/>
        <w:ind w:right="49"/>
        <w:jc w:val="both"/>
        <w:rPr>
          <w:rFonts w:ascii="Palatino Linotype" w:eastAsia="Palatino Linotype" w:hAnsi="Palatino Linotype" w:cs="Palatino Linotype"/>
        </w:rPr>
      </w:pPr>
      <w:r w:rsidRPr="00BA6AF3">
        <w:rPr>
          <w:rFonts w:ascii="Palatino Linotype" w:eastAsia="Palatino Linotype" w:hAnsi="Palatino Linotype" w:cs="Palatino Linotype"/>
          <w:b/>
        </w:rPr>
        <w:t>Quinto. Notifíquese vía SAIMEX</w:t>
      </w:r>
      <w:r w:rsidRPr="00BA6AF3">
        <w:rPr>
          <w:rFonts w:ascii="Palatino Linotype" w:eastAsia="Palatino Linotype" w:hAnsi="Palatino Linotype" w:cs="Palatino Linotype"/>
        </w:rPr>
        <w:t>,</w:t>
      </w:r>
      <w:r w:rsidRPr="00BA6AF3">
        <w:rPr>
          <w:rFonts w:ascii="Palatino Linotype" w:eastAsia="Palatino Linotype" w:hAnsi="Palatino Linotype" w:cs="Palatino Linotype"/>
          <w:b/>
        </w:rPr>
        <w:t xml:space="preserve"> </w:t>
      </w:r>
      <w:r w:rsidRPr="00BA6AF3">
        <w:rPr>
          <w:rFonts w:ascii="Palatino Linotype" w:eastAsia="Palatino Linotype" w:hAnsi="Palatino Linotype" w:cs="Palatino Linotype"/>
        </w:rPr>
        <w:t xml:space="preserve">a la parte </w:t>
      </w:r>
      <w:r w:rsidRPr="00BA6AF3">
        <w:rPr>
          <w:rFonts w:ascii="Palatino Linotype" w:eastAsia="Palatino Linotype" w:hAnsi="Palatino Linotype" w:cs="Palatino Linotype"/>
          <w:b/>
        </w:rPr>
        <w:t>Recurrente</w:t>
      </w:r>
      <w:r w:rsidRPr="00BA6AF3">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 </w:t>
      </w:r>
    </w:p>
    <w:p w:rsidR="00C97499" w:rsidRDefault="00BC0FE1">
      <w:pPr>
        <w:spacing w:before="240" w:after="240" w:line="360" w:lineRule="auto"/>
        <w:jc w:val="both"/>
        <w:rPr>
          <w:rFonts w:ascii="Palatino Linotype" w:eastAsia="Palatino Linotype" w:hAnsi="Palatino Linotype" w:cs="Palatino Linotype"/>
          <w:sz w:val="20"/>
          <w:szCs w:val="20"/>
        </w:rPr>
      </w:pPr>
      <w:r w:rsidRPr="00BA6AF3">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w:t>
      </w:r>
      <w:r w:rsidR="00581385" w:rsidRPr="00BA6AF3">
        <w:rPr>
          <w:rFonts w:ascii="Palatino Linotype" w:eastAsia="Palatino Linotype" w:hAnsi="Palatino Linotype" w:cs="Palatino Linotype"/>
        </w:rPr>
        <w:t xml:space="preserve"> EMITIENDO VOTO PARTICULAR</w:t>
      </w:r>
      <w:r w:rsidRPr="00BA6AF3">
        <w:rPr>
          <w:rFonts w:ascii="Palatino Linotype" w:eastAsia="Palatino Linotype" w:hAnsi="Palatino Linotype" w:cs="Palatino Linotype"/>
        </w:rPr>
        <w:t>; MARÍA DEL ROSARIO MEJÍA AYALA</w:t>
      </w:r>
      <w:r w:rsidR="00303BD0" w:rsidRPr="00BA6AF3">
        <w:rPr>
          <w:rFonts w:ascii="Palatino Linotype" w:eastAsia="Palatino Linotype" w:hAnsi="Palatino Linotype" w:cs="Palatino Linotype"/>
        </w:rPr>
        <w:t xml:space="preserve"> CON AUSENCIA JUSTIFICADA</w:t>
      </w:r>
      <w:r w:rsidRPr="00BA6AF3">
        <w:rPr>
          <w:rFonts w:ascii="Palatino Linotype" w:eastAsia="Palatino Linotype" w:hAnsi="Palatino Linotype" w:cs="Palatino Linotype"/>
        </w:rPr>
        <w:t>, SHARON CRISTINA MORALES MARTÍNEZ</w:t>
      </w:r>
      <w:r w:rsidR="00581385" w:rsidRPr="00BA6AF3">
        <w:rPr>
          <w:rFonts w:ascii="Palatino Linotype" w:eastAsia="Palatino Linotype" w:hAnsi="Palatino Linotype" w:cs="Palatino Linotype"/>
        </w:rPr>
        <w:t xml:space="preserve"> EMITIENDO VOTO PARTICULAR CONCURRENTE</w:t>
      </w:r>
      <w:r w:rsidRPr="00BA6AF3">
        <w:rPr>
          <w:rFonts w:ascii="Palatino Linotype" w:eastAsia="Palatino Linotype" w:hAnsi="Palatino Linotype" w:cs="Palatino Linotype"/>
        </w:rPr>
        <w:t>; LUIS GUSTAVO PARRA NORIEGA Y GUADALUPE RAMÍREZ PEÑA</w:t>
      </w:r>
      <w:r w:rsidR="00581385" w:rsidRPr="00BA6AF3">
        <w:rPr>
          <w:rFonts w:ascii="Palatino Linotype" w:eastAsia="Palatino Linotype" w:hAnsi="Palatino Linotype" w:cs="Palatino Linotype"/>
        </w:rPr>
        <w:t xml:space="preserve"> EMITIENDO VOTO PARTICULAR CONCURRENTE</w:t>
      </w:r>
      <w:r w:rsidRPr="00BA6AF3">
        <w:rPr>
          <w:rFonts w:ascii="Palatino Linotype" w:eastAsia="Palatino Linotype" w:hAnsi="Palatino Linotype" w:cs="Palatino Linotype"/>
        </w:rPr>
        <w:t>; EN LA TRIGÉSIMA CUARTA SESIÓN ORDINARIA CELEBRADA EL VEINTE DE SEPTIEMBRE DE DOS MIL VEINTITRÉS, ANTE EL SECRETARIO TÉCNICO DEL PLENO, ALEXIS TAPIA RAMÍREZ.</w:t>
      </w: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p w:rsidR="00C97499" w:rsidRDefault="00C97499">
      <w:pPr>
        <w:spacing w:before="240" w:after="240"/>
        <w:jc w:val="both"/>
        <w:rPr>
          <w:rFonts w:ascii="Palatino Linotype" w:eastAsia="Palatino Linotype" w:hAnsi="Palatino Linotype" w:cs="Palatino Linotype"/>
          <w:sz w:val="20"/>
          <w:szCs w:val="20"/>
        </w:rPr>
      </w:pPr>
    </w:p>
    <w:sectPr w:rsidR="00C97499">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692" w:rsidRDefault="00A73692">
      <w:r>
        <w:separator/>
      </w:r>
    </w:p>
  </w:endnote>
  <w:endnote w:type="continuationSeparator" w:id="0">
    <w:p w:rsidR="00A73692" w:rsidRDefault="00A7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AF3" w:rsidRDefault="00BA6A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D6B63">
      <w:rPr>
        <w:rFonts w:ascii="Palatino Linotype" w:eastAsia="Palatino Linotype" w:hAnsi="Palatino Linotype" w:cs="Palatino Linotype"/>
        <w:b/>
        <w:noProof/>
        <w:color w:val="000000"/>
        <w:sz w:val="20"/>
        <w:szCs w:val="20"/>
      </w:rPr>
      <w:t>12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D6B63">
      <w:rPr>
        <w:rFonts w:ascii="Palatino Linotype" w:eastAsia="Palatino Linotype" w:hAnsi="Palatino Linotype" w:cs="Palatino Linotype"/>
        <w:b/>
        <w:noProof/>
        <w:color w:val="000000"/>
        <w:sz w:val="20"/>
        <w:szCs w:val="20"/>
      </w:rPr>
      <w:t>90</w:t>
    </w:r>
    <w:r>
      <w:rPr>
        <w:rFonts w:ascii="Palatino Linotype" w:eastAsia="Palatino Linotype" w:hAnsi="Palatino Linotype" w:cs="Palatino Linotype"/>
        <w:b/>
        <w:color w:val="000000"/>
        <w:sz w:val="20"/>
        <w:szCs w:val="20"/>
      </w:rPr>
      <w:fldChar w:fldCharType="end"/>
    </w:r>
  </w:p>
  <w:p w:rsidR="00BA6AF3" w:rsidRDefault="00BA6AF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AF3" w:rsidRDefault="00BA6A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4D6B6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4D6B63">
      <w:rPr>
        <w:rFonts w:ascii="Palatino Linotype" w:eastAsia="Palatino Linotype" w:hAnsi="Palatino Linotype" w:cs="Palatino Linotype"/>
        <w:b/>
        <w:noProof/>
        <w:color w:val="000000"/>
        <w:sz w:val="20"/>
        <w:szCs w:val="20"/>
      </w:rPr>
      <w:t>90</w:t>
    </w:r>
    <w:r>
      <w:rPr>
        <w:rFonts w:ascii="Palatino Linotype" w:eastAsia="Palatino Linotype" w:hAnsi="Palatino Linotype" w:cs="Palatino Linotype"/>
        <w:b/>
        <w:color w:val="000000"/>
        <w:sz w:val="20"/>
        <w:szCs w:val="20"/>
      </w:rPr>
      <w:fldChar w:fldCharType="end"/>
    </w:r>
  </w:p>
  <w:p w:rsidR="00BA6AF3" w:rsidRDefault="00BA6AF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692" w:rsidRDefault="00A73692">
      <w:r>
        <w:separator/>
      </w:r>
    </w:p>
  </w:footnote>
  <w:footnote w:type="continuationSeparator" w:id="0">
    <w:p w:rsidR="00A73692" w:rsidRDefault="00A73692">
      <w:r>
        <w:continuationSeparator/>
      </w:r>
    </w:p>
  </w:footnote>
  <w:footnote w:id="1">
    <w:p w:rsidR="00BA6AF3" w:rsidRDefault="00BA6AF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BA6AF3" w:rsidRDefault="00BA6A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BA6AF3" w:rsidRDefault="00BA6AF3">
      <w:pP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4">
    <w:p w:rsidR="00BA6AF3" w:rsidRDefault="00BA6AF3">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w:t>
      </w:r>
      <w:r>
        <w:rPr>
          <w:rFonts w:ascii="Palatino Linotype" w:eastAsia="Palatino Linotype" w:hAnsi="Palatino Linotype" w:cs="Palatino Linotype"/>
          <w:i/>
          <w:sz w:val="16"/>
          <w:szCs w:val="16"/>
        </w:rPr>
        <w:t>Diccionario De Derecho Constitucional, Garantías y Amparo</w:t>
      </w:r>
      <w:r>
        <w:rPr>
          <w:rFonts w:ascii="Palatino Linotype" w:eastAsia="Palatino Linotype" w:hAnsi="Palatino Linotype" w:cs="Palatino Linotype"/>
          <w:sz w:val="16"/>
          <w:szCs w:val="16"/>
        </w:rPr>
        <w:t>. Ed. Porrúa, S.A., México. 1992. p. 115.</w:t>
      </w:r>
    </w:p>
  </w:footnote>
  <w:footnote w:id="5">
    <w:p w:rsidR="00BA6AF3" w:rsidRDefault="00BA6AF3">
      <w:pPr>
        <w:pBdr>
          <w:top w:val="nil"/>
          <w:left w:val="nil"/>
          <w:bottom w:val="nil"/>
          <w:right w:val="nil"/>
          <w:between w:val="nil"/>
        </w:pBdr>
        <w:jc w:val="both"/>
        <w:rPr>
          <w:rFonts w:ascii="Arial" w:eastAsia="Arial" w:hAnsi="Arial" w:cs="Arial"/>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6">
    <w:p w:rsidR="00BA6AF3" w:rsidRDefault="00BA6AF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7">
    <w:p w:rsidR="00BA6AF3" w:rsidRDefault="00BA6AF3">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w:t>
      </w:r>
      <w:proofErr w:type="spellStart"/>
      <w:r>
        <w:rPr>
          <w:rFonts w:ascii="Palatino Linotype" w:eastAsia="Palatino Linotype" w:hAnsi="Palatino Linotype" w:cs="Palatino Linotype"/>
          <w:sz w:val="16"/>
          <w:szCs w:val="16"/>
        </w:rPr>
        <w:t>VILLANUEVA</w:t>
      </w:r>
      <w:proofErr w:type="spellEnd"/>
      <w:r>
        <w:rPr>
          <w:rFonts w:ascii="Palatino Linotype" w:eastAsia="Palatino Linotype" w:hAnsi="Palatino Linotype" w:cs="Palatino Linotype"/>
          <w:sz w:val="16"/>
          <w:szCs w:val="16"/>
        </w:rPr>
        <w:t xml:space="preserve"> Ernesto. Derecho de la Información, Ed. Porrúa. S.A., México. 2006. p. 270.</w:t>
      </w:r>
      <w:r>
        <w:rPr>
          <w:rFonts w:ascii="Palatino Linotype" w:eastAsia="Palatino Linotype" w:hAnsi="Palatino Linotype" w:cs="Palatino Linotype"/>
          <w:sz w:val="16"/>
          <w:szCs w:val="16"/>
        </w:rPr>
        <w:tab/>
      </w:r>
    </w:p>
    <w:p w:rsidR="00BA6AF3" w:rsidRDefault="00BA6AF3">
      <w:pPr>
        <w:pBdr>
          <w:top w:val="nil"/>
          <w:left w:val="nil"/>
          <w:bottom w:val="nil"/>
          <w:right w:val="nil"/>
          <w:between w:val="nil"/>
        </w:pBdr>
        <w:jc w:val="both"/>
        <w:rPr>
          <w:rFonts w:ascii="Arial" w:eastAsia="Arial" w:hAnsi="Arial" w:cs="Arial"/>
          <w:color w:val="00000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AF3" w:rsidRDefault="00BA6AF3">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-1080126</wp:posOffset>
          </wp:positionH>
          <wp:positionV relativeFrom="paragraph">
            <wp:posOffset>-396393</wp:posOffset>
          </wp:positionV>
          <wp:extent cx="7809865" cy="10165715"/>
          <wp:effectExtent l="0" t="0" r="0" b="0"/>
          <wp:wrapNone/>
          <wp:docPr id="20675916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BA6AF3">
      <w:tc>
        <w:tcPr>
          <w:tcW w:w="2489" w:type="dxa"/>
          <w:shd w:val="clear" w:color="auto" w:fill="auto"/>
        </w:tcPr>
        <w:p w:rsidR="00BA6AF3" w:rsidRDefault="00BA6AF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BA6AF3" w:rsidRDefault="00BA6AF3">
          <w:pPr>
            <w:ind w:right="175"/>
            <w:jc w:val="both"/>
            <w:rPr>
              <w:rFonts w:ascii="Palatino Linotype" w:eastAsia="Palatino Linotype" w:hAnsi="Palatino Linotype" w:cs="Palatino Linotype"/>
              <w:b/>
            </w:rPr>
          </w:pPr>
          <w:r>
            <w:rPr>
              <w:rFonts w:ascii="Palatino Linotype" w:eastAsia="Palatino Linotype" w:hAnsi="Palatino Linotype" w:cs="Palatino Linotype"/>
              <w:b/>
            </w:rPr>
            <w:t>14549/INFOEM/IP/RR/2022</w:t>
          </w:r>
        </w:p>
      </w:tc>
    </w:tr>
    <w:tr w:rsidR="00BA6AF3">
      <w:trPr>
        <w:trHeight w:val="228"/>
      </w:trPr>
      <w:tc>
        <w:tcPr>
          <w:tcW w:w="2489" w:type="dxa"/>
          <w:shd w:val="clear" w:color="auto" w:fill="auto"/>
          <w:vAlign w:val="center"/>
        </w:tcPr>
        <w:p w:rsidR="00BA6AF3" w:rsidRDefault="00BA6AF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BA6AF3" w:rsidRDefault="00BA6AF3">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 xml:space="preserve">Ayuntamiento de Melchor Ocampo </w:t>
          </w:r>
        </w:p>
      </w:tc>
    </w:tr>
    <w:tr w:rsidR="00BA6AF3">
      <w:trPr>
        <w:trHeight w:val="311"/>
      </w:trPr>
      <w:tc>
        <w:tcPr>
          <w:tcW w:w="2489" w:type="dxa"/>
          <w:shd w:val="clear" w:color="auto" w:fill="auto"/>
          <w:vAlign w:val="center"/>
        </w:tcPr>
        <w:p w:rsidR="00BA6AF3" w:rsidRDefault="00BA6AF3">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BA6AF3" w:rsidRDefault="00BA6AF3">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A6AF3" w:rsidRDefault="00BA6AF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AF3" w:rsidRDefault="00BA6AF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-699132</wp:posOffset>
          </wp:positionH>
          <wp:positionV relativeFrom="paragraph">
            <wp:posOffset>-644522</wp:posOffset>
          </wp:positionV>
          <wp:extent cx="7809865" cy="10165715"/>
          <wp:effectExtent l="0" t="0" r="0" b="0"/>
          <wp:wrapNone/>
          <wp:docPr id="20675916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6095" w:type="dxa"/>
      <w:tblInd w:w="2762" w:type="dxa"/>
      <w:tblLayout w:type="fixed"/>
      <w:tblLook w:val="0400" w:firstRow="0" w:lastRow="0" w:firstColumn="0" w:lastColumn="0" w:noHBand="0" w:noVBand="1"/>
    </w:tblPr>
    <w:tblGrid>
      <w:gridCol w:w="2551"/>
      <w:gridCol w:w="3544"/>
    </w:tblGrid>
    <w:tr w:rsidR="00BA6AF3">
      <w:tc>
        <w:tcPr>
          <w:tcW w:w="2551" w:type="dxa"/>
          <w:shd w:val="clear" w:color="auto" w:fill="auto"/>
          <w:vAlign w:val="center"/>
        </w:tcPr>
        <w:p w:rsidR="00BA6AF3" w:rsidRDefault="00BA6AF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rsidR="00BA6AF3" w:rsidRDefault="00BA6AF3">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14549/INFOEM/IP/RR/2022</w:t>
          </w:r>
        </w:p>
      </w:tc>
    </w:tr>
    <w:tr w:rsidR="00BA6AF3">
      <w:trPr>
        <w:trHeight w:val="130"/>
      </w:trPr>
      <w:tc>
        <w:tcPr>
          <w:tcW w:w="2551" w:type="dxa"/>
          <w:shd w:val="clear" w:color="auto" w:fill="auto"/>
          <w:vAlign w:val="center"/>
        </w:tcPr>
        <w:p w:rsidR="00BA6AF3" w:rsidRDefault="00BA6AF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rsidR="00BA6AF3" w:rsidRDefault="004D6B63" w:rsidP="004D6B63">
          <w:pPr>
            <w:jc w:val="both"/>
            <w:rPr>
              <w:rFonts w:ascii="Palatino Linotype" w:eastAsia="Palatino Linotype" w:hAnsi="Palatino Linotype" w:cs="Palatino Linotype"/>
              <w:b/>
            </w:rPr>
          </w:pPr>
          <w:r>
            <w:rPr>
              <w:rFonts w:ascii="Palatino Linotype" w:eastAsia="Palatino Linotype" w:hAnsi="Palatino Linotype" w:cs="Palatino Linotype"/>
              <w:b/>
            </w:rPr>
            <w:t>XXXXXXXX XXXXXXX XXXXXX</w:t>
          </w:r>
        </w:p>
      </w:tc>
    </w:tr>
    <w:tr w:rsidR="00BA6AF3">
      <w:trPr>
        <w:trHeight w:val="228"/>
      </w:trPr>
      <w:tc>
        <w:tcPr>
          <w:tcW w:w="2551" w:type="dxa"/>
          <w:shd w:val="clear" w:color="auto" w:fill="auto"/>
          <w:vAlign w:val="center"/>
        </w:tcPr>
        <w:p w:rsidR="00BA6AF3" w:rsidRDefault="00BA6AF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rsidR="00BA6AF3" w:rsidRDefault="00BA6AF3">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Melchor Ocampo</w:t>
          </w:r>
        </w:p>
      </w:tc>
    </w:tr>
    <w:tr w:rsidR="00BA6AF3">
      <w:tc>
        <w:tcPr>
          <w:tcW w:w="2551" w:type="dxa"/>
          <w:shd w:val="clear" w:color="auto" w:fill="auto"/>
          <w:vAlign w:val="center"/>
        </w:tcPr>
        <w:p w:rsidR="00BA6AF3" w:rsidRDefault="00BA6AF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rsidR="00BA6AF3" w:rsidRDefault="00BA6AF3">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BA6AF3" w:rsidRDefault="00BA6AF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9B48A2"/>
    <w:multiLevelType w:val="multilevel"/>
    <w:tmpl w:val="1D4E7C10"/>
    <w:lvl w:ilvl="0">
      <w:start w:val="1"/>
      <w:numFmt w:val="lowerLetter"/>
      <w:pStyle w:val="Listaconvietas3"/>
      <w:lvlText w:val="%1)"/>
      <w:lvlJc w:val="left"/>
      <w:pPr>
        <w:ind w:left="1211" w:hanging="360"/>
      </w:pPr>
      <w:rPr>
        <w:rFonts w:ascii="Palatino Linotype" w:eastAsia="Palatino Linotype" w:hAnsi="Palatino Linotype" w:cs="Palatino Linotype"/>
        <w:b w:val="0"/>
        <w:color w:val="auto"/>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1">
    <w:nsid w:val="0C2637A7"/>
    <w:multiLevelType w:val="multilevel"/>
    <w:tmpl w:val="9014EC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2D8357B"/>
    <w:multiLevelType w:val="multilevel"/>
    <w:tmpl w:val="FA3A3A6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A5212BE"/>
    <w:multiLevelType w:val="multilevel"/>
    <w:tmpl w:val="90D6D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C4B6F21"/>
    <w:multiLevelType w:val="multilevel"/>
    <w:tmpl w:val="39002306"/>
    <w:lvl w:ilvl="0">
      <w:start w:val="3"/>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79475CC"/>
    <w:multiLevelType w:val="multilevel"/>
    <w:tmpl w:val="C9F40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C037FCC"/>
    <w:multiLevelType w:val="multilevel"/>
    <w:tmpl w:val="1EE46CD6"/>
    <w:lvl w:ilvl="0">
      <w:start w:val="4"/>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803656D"/>
    <w:multiLevelType w:val="multilevel"/>
    <w:tmpl w:val="B8EEFB0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4"/>
  </w:num>
  <w:num w:numId="5">
    <w:abstractNumId w:val="1"/>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499"/>
    <w:rsid w:val="00054C85"/>
    <w:rsid w:val="00146127"/>
    <w:rsid w:val="00151F09"/>
    <w:rsid w:val="001C5D8E"/>
    <w:rsid w:val="002961E7"/>
    <w:rsid w:val="002B3767"/>
    <w:rsid w:val="002E5497"/>
    <w:rsid w:val="00303BD0"/>
    <w:rsid w:val="003C2B30"/>
    <w:rsid w:val="00455E0A"/>
    <w:rsid w:val="00497007"/>
    <w:rsid w:val="004D6B63"/>
    <w:rsid w:val="004E6522"/>
    <w:rsid w:val="005000FB"/>
    <w:rsid w:val="00500449"/>
    <w:rsid w:val="00581385"/>
    <w:rsid w:val="00716B54"/>
    <w:rsid w:val="0074043C"/>
    <w:rsid w:val="0078424B"/>
    <w:rsid w:val="00892EAE"/>
    <w:rsid w:val="00A73692"/>
    <w:rsid w:val="00BA6AF3"/>
    <w:rsid w:val="00BC0FE1"/>
    <w:rsid w:val="00C97499"/>
    <w:rsid w:val="00E34D8F"/>
    <w:rsid w:val="00E9445F"/>
    <w:rsid w:val="00EC6EED"/>
    <w:rsid w:val="00EE58D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5C3D79-42AC-4F30-BDC1-43CBAAD3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1F7"/>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0"/>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10"/>
    <w:tblPr>
      <w:tblStyleRowBandSize w:val="1"/>
      <w:tblStyleColBandSize w:val="1"/>
      <w:tblCellMar>
        <w:top w:w="0" w:type="dxa"/>
        <w:left w:w="115" w:type="dxa"/>
        <w:bottom w:w="0" w:type="dxa"/>
        <w:right w:w="115" w:type="dxa"/>
      </w:tblCellMar>
    </w:tblPr>
  </w:style>
  <w:style w:type="table" w:customStyle="1" w:styleId="8">
    <w:name w:val="8"/>
    <w:basedOn w:val="TableNormal1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0"/>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0"/>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0"/>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18"/>
    <w:basedOn w:val="TableNormal4"/>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17">
    <w:name w:val="17"/>
    <w:basedOn w:val="TableNormal4"/>
    <w:tblPr>
      <w:tblStyleRowBandSize w:val="1"/>
      <w:tblStyleColBandSize w:val="1"/>
      <w:tblCellMar>
        <w:top w:w="0" w:type="dxa"/>
        <w:left w:w="70" w:type="dxa"/>
        <w:bottom w:w="0" w:type="dxa"/>
        <w:right w:w="70" w:type="dxa"/>
      </w:tblCellMar>
    </w:tblPr>
  </w:style>
  <w:style w:type="table" w:customStyle="1" w:styleId="16">
    <w:name w:val="16"/>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15">
    <w:name w:val="15"/>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14">
    <w:name w:val="14"/>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3">
    <w:name w:val="13"/>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4"/>
      </w:numPr>
      <w:contextualSpacing/>
    </w:pPr>
  </w:style>
  <w:style w:type="table" w:customStyle="1" w:styleId="a">
    <w:basedOn w:val="TableNormal2"/>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0">
    <w:basedOn w:val="TableNormal2"/>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1505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50527"/>
    <w:rPr>
      <w:i/>
      <w:iCs/>
      <w:color w:val="404040" w:themeColor="text1" w:themeTint="BF"/>
    </w:rPr>
  </w:style>
  <w:style w:type="paragraph" w:customStyle="1" w:styleId="Citas">
    <w:name w:val="Citas"/>
    <w:basedOn w:val="Normal"/>
    <w:qFormat/>
    <w:rsid w:val="00E05721"/>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Textonotapie1">
    <w:name w:val="Texto nota pie1"/>
    <w:basedOn w:val="Normal"/>
    <w:next w:val="Textonotapie"/>
    <w:uiPriority w:val="99"/>
    <w:unhideWhenUsed/>
    <w:rsid w:val="00FA5FEC"/>
    <w:rPr>
      <w:rFonts w:asciiTheme="minorHAnsi" w:eastAsiaTheme="minorHAnsi" w:hAnsiTheme="minorHAnsi" w:cstheme="minorBidi"/>
      <w:sz w:val="20"/>
      <w:szCs w:val="20"/>
      <w:lang w:eastAsia="en-US"/>
    </w:rPr>
  </w:style>
  <w:style w:type="table" w:customStyle="1" w:styleId="a5">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6">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6tKU7IPwRDNhCz2ijXozKk7WHQ==">CgMxLjAyCGgudHlqY3d0MgloLjN6bnlzaDcyCGguZ2pkZ3hzMgloLjFmb2I5dGU4AHIhMTJ0MjBJUGtEeEVkNFl6UUZnZFdoNWNaa0pYLWNCd2Rx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21852</Words>
  <Characters>120192</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2023-09-22T16:24:00Z</cp:lastPrinted>
  <dcterms:created xsi:type="dcterms:W3CDTF">2023-09-27T20:07:00Z</dcterms:created>
  <dcterms:modified xsi:type="dcterms:W3CDTF">2023-09-27T20:07:00Z</dcterms:modified>
</cp:coreProperties>
</file>