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6EA4C"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cinco de julio de dos mil veintitrés</w:t>
      </w:r>
      <w:r>
        <w:rPr>
          <w:rFonts w:ascii="Palatino Linotype" w:eastAsia="Palatino Linotype" w:hAnsi="Palatino Linotype" w:cs="Palatino Linotype"/>
        </w:rPr>
        <w:t xml:space="preserve">. </w:t>
      </w:r>
    </w:p>
    <w:p w14:paraId="3DE7363C"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01674/INFOEM/IP/RR/2023</w:t>
      </w:r>
      <w:r>
        <w:rPr>
          <w:rFonts w:ascii="Palatino Linotype" w:eastAsia="Palatino Linotype" w:hAnsi="Palatino Linotype" w:cs="Palatino Linotype"/>
        </w:rPr>
        <w:t>, por interpuesto por</w:t>
      </w:r>
      <w:r>
        <w:rPr>
          <w:rFonts w:ascii="Palatino Linotype" w:eastAsia="Palatino Linotype" w:hAnsi="Palatino Linotype" w:cs="Palatino Linotype"/>
          <w:b/>
        </w:rPr>
        <w:t xml:space="preserve"> 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Zinacantepec,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A18605B" w14:textId="77777777" w:rsidR="00EA5444" w:rsidRDefault="00FD504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4435649E"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veintitrés de febrero del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00272/ZINACANT/IP/2023, </w:t>
      </w:r>
      <w:r>
        <w:rPr>
          <w:rFonts w:ascii="Palatino Linotype" w:eastAsia="Palatino Linotype" w:hAnsi="Palatino Linotype" w:cs="Palatino Linotype"/>
        </w:rPr>
        <w:t xml:space="preserve">mediante la cual requirió la información siguiente: </w:t>
      </w:r>
    </w:p>
    <w:p w14:paraId="4F61C7E8" w14:textId="77777777" w:rsidR="00EA5444" w:rsidRDefault="00FD5040">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“SOLICITO EL </w:t>
      </w:r>
      <w:r>
        <w:rPr>
          <w:rFonts w:ascii="Palatino Linotype" w:eastAsia="Palatino Linotype" w:hAnsi="Palatino Linotype" w:cs="Palatino Linotype"/>
          <w:b/>
          <w:i/>
          <w:sz w:val="22"/>
          <w:szCs w:val="22"/>
          <w:u w:val="single"/>
        </w:rPr>
        <w:t>COSTO DEL ESCENARIO</w:t>
      </w:r>
      <w:r>
        <w:rPr>
          <w:rFonts w:ascii="Palatino Linotype" w:eastAsia="Palatino Linotype" w:hAnsi="Palatino Linotype" w:cs="Palatino Linotype"/>
          <w:i/>
          <w:sz w:val="22"/>
          <w:szCs w:val="22"/>
        </w:rPr>
        <w:t xml:space="preserve"> QUE PUSIERON PARA LA KERMES DEL AMOR Y LA AMISTAD, ASÍ COMO </w:t>
      </w:r>
      <w:r>
        <w:rPr>
          <w:rFonts w:ascii="Palatino Linotype" w:eastAsia="Palatino Linotype" w:hAnsi="Palatino Linotype" w:cs="Palatino Linotype"/>
          <w:b/>
          <w:i/>
          <w:sz w:val="22"/>
          <w:szCs w:val="22"/>
          <w:u w:val="single"/>
        </w:rPr>
        <w:t>LOS OFICIOS DE REQUISICIÓN Y LAS FACTURAS PAGADAS</w:t>
      </w:r>
      <w:r>
        <w:rPr>
          <w:rFonts w:ascii="Palatino Linotype" w:eastAsia="Palatino Linotype" w:hAnsi="Palatino Linotype" w:cs="Palatino Linotype"/>
          <w:i/>
          <w:sz w:val="22"/>
          <w:szCs w:val="22"/>
        </w:rPr>
        <w:t>” (Sic) (Énfasis añadido)</w:t>
      </w:r>
    </w:p>
    <w:p w14:paraId="753EE632" w14:textId="77777777" w:rsidR="00EA5444" w:rsidRDefault="00EA5444">
      <w:pPr>
        <w:spacing w:line="360" w:lineRule="auto"/>
        <w:jc w:val="both"/>
        <w:rPr>
          <w:rFonts w:ascii="Palatino Linotype" w:eastAsia="Palatino Linotype" w:hAnsi="Palatino Linotype" w:cs="Palatino Linotype"/>
        </w:rPr>
      </w:pPr>
    </w:p>
    <w:p w14:paraId="091200FB"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2BC578E" w14:textId="77777777" w:rsidR="00EA5444" w:rsidRDefault="00EA5444">
      <w:pPr>
        <w:spacing w:line="360" w:lineRule="auto"/>
        <w:jc w:val="both"/>
        <w:rPr>
          <w:rFonts w:ascii="Palatino Linotype" w:eastAsia="Palatino Linotype" w:hAnsi="Palatino Linotype" w:cs="Palatino Linotype"/>
        </w:rPr>
      </w:pPr>
    </w:p>
    <w:p w14:paraId="5E77A92B" w14:textId="77777777" w:rsidR="00EA5444" w:rsidRDefault="00FD5040">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veinticuatro de marzo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FA1B482" w14:textId="77777777" w:rsidR="00EA5444" w:rsidRDefault="00FD504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996A98E" w14:textId="77777777" w:rsidR="00EA5444" w:rsidRDefault="00FD504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adjunta la respuesta a la solicitud interpuesta a través de esta plataforma digital.</w:t>
      </w:r>
    </w:p>
    <w:p w14:paraId="53F38D9E" w14:textId="77777777" w:rsidR="00EA5444" w:rsidRDefault="00FD504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418CC8DB" w14:textId="77777777" w:rsidR="00EA5444" w:rsidRDefault="00FD504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ING. JESUS EMMANUEL ENCASTIN RENDON” </w:t>
      </w:r>
    </w:p>
    <w:p w14:paraId="510246F5" w14:textId="77777777" w:rsidR="00EA5444" w:rsidRDefault="00FD5040">
      <w:pPr>
        <w:spacing w:before="240" w:after="240"/>
        <w:ind w:left="567"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5F691731" w14:textId="77777777" w:rsidR="00EA5444" w:rsidRDefault="00FD5040">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“Respuesta de Solicitud 00272-23.pdf”: </w:t>
      </w:r>
      <w:r>
        <w:rPr>
          <w:rFonts w:ascii="Palatino Linotype" w:eastAsia="Palatino Linotype" w:hAnsi="Palatino Linotype" w:cs="Palatino Linotype"/>
        </w:rPr>
        <w:t>Documento de dos fojas, suscrito por el Titular de la Unidad de Transparencia, mediante el cual refiere que este Sujeto Obligado al realizar un minucioso análisis de la presente que nos ocupa procedió a turnarlo al Servidor Público Habilitado que posee la información, mismo misma que puede ser consultada a dentro del portal de Información Pública de Oficio Mexiquense (IPOMEX), teniendo en consideración que en dicho sistema se carga toda la información que este Sujeto Obligado debe transparentar por esa razón se proporciona enlace para la oportuna consulta de lo hoy peticionado por el solicitante:</w:t>
      </w:r>
      <w:hyperlink r:id="rId8">
        <w:r>
          <w:rPr>
            <w:rFonts w:ascii="Palatino Linotype" w:eastAsia="Palatino Linotype" w:hAnsi="Palatino Linotype" w:cs="Palatino Linotype"/>
            <w:color w:val="0000FF"/>
            <w:u w:val="single"/>
          </w:rPr>
          <w:t>https://www.ipomex.org.mx/ipo3/lgt/indice/ZINACANTEPEC/art_92_xxxvi/4.web</w:t>
        </w:r>
      </w:hyperlink>
      <w:r>
        <w:rPr>
          <w:rFonts w:ascii="Palatino Linotype" w:eastAsia="Palatino Linotype" w:hAnsi="Palatino Linotype" w:cs="Palatino Linotype"/>
        </w:rPr>
        <w:t xml:space="preserve"> </w:t>
      </w:r>
    </w:p>
    <w:p w14:paraId="5DABAC1C" w14:textId="77777777" w:rsidR="00EA5444" w:rsidRDefault="00FD5040">
      <w:pPr>
        <w:spacing w:before="240" w:after="240" w:line="360" w:lineRule="auto"/>
        <w:ind w:left="567"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CBEDF67" wp14:editId="518D5672">
            <wp:extent cx="4978643" cy="5774617"/>
            <wp:effectExtent l="0" t="0" r="0" b="0"/>
            <wp:docPr id="5639680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978643" cy="5774617"/>
                    </a:xfrm>
                    <a:prstGeom prst="rect">
                      <a:avLst/>
                    </a:prstGeom>
                    <a:ln/>
                  </pic:spPr>
                </pic:pic>
              </a:graphicData>
            </a:graphic>
          </wp:inline>
        </w:drawing>
      </w:r>
    </w:p>
    <w:p w14:paraId="1DF68AEF"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veinticuatro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163CC7B9" w14:textId="77777777" w:rsidR="00EA5444" w:rsidRDefault="00FD5040">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 Acto impugnado: </w:t>
      </w:r>
      <w:r>
        <w:rPr>
          <w:rFonts w:ascii="Palatino Linotype" w:eastAsia="Palatino Linotype" w:hAnsi="Palatino Linotype" w:cs="Palatino Linotype"/>
          <w:b/>
        </w:rPr>
        <w:tab/>
      </w:r>
    </w:p>
    <w:p w14:paraId="34C6AFF7" w14:textId="77777777" w:rsidR="00EA5444" w:rsidRDefault="00FD5040">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la información solicitada” (Sic)</w:t>
      </w:r>
    </w:p>
    <w:p w14:paraId="45597391" w14:textId="77777777" w:rsidR="00EA5444" w:rsidRDefault="00EA5444">
      <w:pPr>
        <w:ind w:left="851" w:right="902"/>
        <w:jc w:val="both"/>
        <w:rPr>
          <w:rFonts w:ascii="Palatino Linotype" w:eastAsia="Palatino Linotype" w:hAnsi="Palatino Linotype" w:cs="Palatino Linotype"/>
          <w:i/>
          <w:sz w:val="22"/>
          <w:szCs w:val="22"/>
        </w:rPr>
      </w:pPr>
    </w:p>
    <w:p w14:paraId="13B35D8A"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w:t>
      </w:r>
    </w:p>
    <w:p w14:paraId="63184522" w14:textId="77777777" w:rsidR="00EA5444" w:rsidRDefault="00FD5040">
      <w:pPr>
        <w:ind w:left="567"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“No entrega la información solicitada” (Sic) </w:t>
      </w:r>
    </w:p>
    <w:p w14:paraId="35210690" w14:textId="77777777" w:rsidR="00EA5444" w:rsidRDefault="00EA5444">
      <w:pPr>
        <w:ind w:left="851" w:right="902"/>
        <w:jc w:val="both"/>
        <w:rPr>
          <w:rFonts w:ascii="Palatino Linotype" w:eastAsia="Palatino Linotype" w:hAnsi="Palatino Linotype" w:cs="Palatino Linotype"/>
          <w:i/>
          <w:sz w:val="22"/>
          <w:szCs w:val="22"/>
        </w:rPr>
      </w:pPr>
    </w:p>
    <w:p w14:paraId="4F059AA7" w14:textId="77777777" w:rsidR="00EA5444" w:rsidRDefault="00EA5444">
      <w:pPr>
        <w:ind w:right="902"/>
        <w:jc w:val="both"/>
        <w:rPr>
          <w:rFonts w:ascii="Palatino Linotype" w:eastAsia="Palatino Linotype" w:hAnsi="Palatino Linotype" w:cs="Palatino Linotype"/>
          <w:sz w:val="22"/>
          <w:szCs w:val="22"/>
        </w:rPr>
      </w:pPr>
    </w:p>
    <w:p w14:paraId="250AD86E" w14:textId="77777777" w:rsidR="00EA5444" w:rsidRDefault="00FD504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2C1DACAF" w14:textId="77777777" w:rsidR="00EA5444" w:rsidRDefault="00EA5444">
      <w:pPr>
        <w:spacing w:line="360" w:lineRule="auto"/>
        <w:ind w:right="51"/>
        <w:jc w:val="both"/>
        <w:rPr>
          <w:rFonts w:ascii="Palatino Linotype" w:eastAsia="Palatino Linotype" w:hAnsi="Palatino Linotype" w:cs="Palatino Linotype"/>
        </w:rPr>
      </w:pPr>
    </w:p>
    <w:p w14:paraId="09767C4F"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veintinueve de marzo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218BA829" w14:textId="77777777" w:rsidR="00EA5444" w:rsidRDefault="00FD5040">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se advierte que el </w:t>
      </w:r>
      <w:r>
        <w:rPr>
          <w:rFonts w:ascii="Palatino Linotype" w:eastAsia="Palatino Linotype" w:hAnsi="Palatino Linotype" w:cs="Palatino Linotype"/>
          <w:b/>
        </w:rPr>
        <w:t>cuatro de abril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archivo electrónico “</w:t>
      </w:r>
      <w:r>
        <w:rPr>
          <w:rFonts w:ascii="Palatino Linotype" w:eastAsia="Palatino Linotype" w:hAnsi="Palatino Linotype" w:cs="Palatino Linotype"/>
          <w:b/>
          <w:i/>
        </w:rPr>
        <w:t xml:space="preserve">Zinacantepec 345.pdf”, </w:t>
      </w:r>
      <w:r>
        <w:rPr>
          <w:rFonts w:ascii="Palatino Linotype" w:eastAsia="Palatino Linotype" w:hAnsi="Palatino Linotype" w:cs="Palatino Linotype"/>
        </w:rPr>
        <w:t xml:space="preserve">con el cual solicita una ampliación de plazo para atender la solicitud de información, es de precisar que este documento se puso a disposición del particular mediante acuerdo signado por la Comisionada Ponente el </w:t>
      </w:r>
      <w:r>
        <w:rPr>
          <w:rFonts w:ascii="Palatino Linotype" w:eastAsia="Palatino Linotype" w:hAnsi="Palatino Linotype" w:cs="Palatino Linotype"/>
          <w:b/>
        </w:rPr>
        <w:lastRenderedPageBreak/>
        <w:t>veintiocho de junio de dos mil veintitrés</w:t>
      </w:r>
      <w:r>
        <w:rPr>
          <w:rFonts w:ascii="Palatino Linotype" w:eastAsia="Palatino Linotype" w:hAnsi="Palatino Linotype" w:cs="Palatino Linotype"/>
        </w:rPr>
        <w:t xml:space="preserve">, asimismo por cuanto hace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tiene que fue omisa en emitir sus alegatos o cualquier manifestación que a su derecho conviniera, por lo que se tiene por precluido su derecho para tal efecto.</w:t>
      </w:r>
    </w:p>
    <w:p w14:paraId="05BEEEFC"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63A4010" wp14:editId="73B867D2">
            <wp:extent cx="5612130" cy="1945005"/>
            <wp:effectExtent l="0" t="0" r="0" b="0"/>
            <wp:docPr id="5639680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1945005"/>
                    </a:xfrm>
                    <a:prstGeom prst="rect">
                      <a:avLst/>
                    </a:prstGeom>
                    <a:ln/>
                  </pic:spPr>
                </pic:pic>
              </a:graphicData>
            </a:graphic>
          </wp:inline>
        </w:drawing>
      </w:r>
    </w:p>
    <w:p w14:paraId="08E2F4F8" w14:textId="77777777" w:rsidR="00EA5444" w:rsidRDefault="00FD5040">
      <w:pPr>
        <w:widowControl w:val="0"/>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veintiocho de junio del año dos mil veintitrés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05DC8326"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779FECFE" w14:textId="77777777" w:rsidR="00EA5444" w:rsidRDefault="00EA5444">
      <w:pPr>
        <w:spacing w:line="360" w:lineRule="auto"/>
        <w:jc w:val="both"/>
        <w:rPr>
          <w:rFonts w:ascii="Palatino Linotype" w:eastAsia="Palatino Linotype" w:hAnsi="Palatino Linotype" w:cs="Palatino Linotype"/>
        </w:rPr>
      </w:pPr>
    </w:p>
    <w:p w14:paraId="4D53C236"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w:t>
      </w:r>
      <w:r>
        <w:rPr>
          <w:rFonts w:ascii="Palatino Linotype" w:eastAsia="Palatino Linotype" w:hAnsi="Palatino Linotype" w:cs="Palatino Linotype"/>
        </w:rPr>
        <w:lastRenderedPageBreak/>
        <w:t>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14E67DD" w14:textId="77777777" w:rsidR="00EA5444" w:rsidRDefault="00EA5444">
      <w:pPr>
        <w:spacing w:line="360" w:lineRule="auto"/>
        <w:jc w:val="both"/>
        <w:rPr>
          <w:rFonts w:ascii="Palatino Linotype" w:eastAsia="Palatino Linotype" w:hAnsi="Palatino Linotype" w:cs="Palatino Linotype"/>
        </w:rPr>
      </w:pPr>
    </w:p>
    <w:p w14:paraId="57F33F62"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D371FD" w14:textId="77777777" w:rsidR="00EA5444" w:rsidRDefault="00EA5444">
      <w:pPr>
        <w:spacing w:line="360" w:lineRule="auto"/>
        <w:jc w:val="both"/>
        <w:rPr>
          <w:rFonts w:ascii="Palatino Linotype" w:eastAsia="Palatino Linotype" w:hAnsi="Palatino Linotype" w:cs="Palatino Linotype"/>
        </w:rPr>
      </w:pPr>
    </w:p>
    <w:p w14:paraId="2FC8B327"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8DBA81" w14:textId="77777777" w:rsidR="00EA5444" w:rsidRDefault="00EA5444">
      <w:pPr>
        <w:spacing w:line="360" w:lineRule="auto"/>
        <w:jc w:val="both"/>
        <w:rPr>
          <w:rFonts w:ascii="Palatino Linotype" w:eastAsia="Palatino Linotype" w:hAnsi="Palatino Linotype" w:cs="Palatino Linotype"/>
        </w:rPr>
      </w:pPr>
    </w:p>
    <w:p w14:paraId="7538D0CF" w14:textId="77777777" w:rsidR="00EA5444" w:rsidRDefault="00FD5040">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AF8F42" w14:textId="77777777" w:rsidR="00EA5444" w:rsidRDefault="00EA5444">
      <w:pPr>
        <w:spacing w:line="360" w:lineRule="auto"/>
        <w:jc w:val="both"/>
        <w:rPr>
          <w:rFonts w:ascii="Palatino Linotype" w:eastAsia="Palatino Linotype" w:hAnsi="Palatino Linotype" w:cs="Palatino Linotype"/>
        </w:rPr>
      </w:pPr>
    </w:p>
    <w:p w14:paraId="2D17ACC5" w14:textId="77777777" w:rsidR="00EA5444" w:rsidRDefault="00FD5040">
      <w:pPr>
        <w:numPr>
          <w:ilvl w:val="0"/>
          <w:numId w:val="1"/>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04BDA96" w14:textId="77777777" w:rsidR="00EA5444" w:rsidRDefault="00EA5444">
      <w:pPr>
        <w:spacing w:line="360" w:lineRule="auto"/>
        <w:ind w:left="567" w:right="900" w:hanging="141"/>
        <w:jc w:val="both"/>
        <w:rPr>
          <w:rFonts w:ascii="Palatino Linotype" w:eastAsia="Palatino Linotype" w:hAnsi="Palatino Linotype" w:cs="Palatino Linotype"/>
          <w:b/>
        </w:rPr>
      </w:pPr>
    </w:p>
    <w:p w14:paraId="790D57DF" w14:textId="77777777" w:rsidR="00EA5444" w:rsidRDefault="00FD5040">
      <w:pPr>
        <w:numPr>
          <w:ilvl w:val="0"/>
          <w:numId w:val="1"/>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Actividad Procesal del interesado.</w:t>
      </w:r>
      <w:r>
        <w:rPr>
          <w:rFonts w:ascii="Palatino Linotype" w:eastAsia="Palatino Linotype" w:hAnsi="Palatino Linotype" w:cs="Palatino Linotype"/>
        </w:rPr>
        <w:t xml:space="preserve"> Acciones u omisiones del interesado.</w:t>
      </w:r>
    </w:p>
    <w:p w14:paraId="0FF10CBD" w14:textId="77777777" w:rsidR="00EA5444" w:rsidRDefault="00EA5444">
      <w:pPr>
        <w:spacing w:line="360" w:lineRule="auto"/>
        <w:ind w:left="567" w:right="900" w:hanging="141"/>
        <w:jc w:val="both"/>
        <w:rPr>
          <w:rFonts w:ascii="Palatino Linotype" w:eastAsia="Palatino Linotype" w:hAnsi="Palatino Linotype" w:cs="Palatino Linotype"/>
        </w:rPr>
      </w:pPr>
    </w:p>
    <w:p w14:paraId="2D8260CA" w14:textId="77777777" w:rsidR="00EA5444" w:rsidRDefault="00FD5040">
      <w:pPr>
        <w:numPr>
          <w:ilvl w:val="0"/>
          <w:numId w:val="1"/>
        </w:num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7DC7ECB6" w14:textId="77777777" w:rsidR="00EA5444" w:rsidRDefault="00EA5444">
      <w:pPr>
        <w:spacing w:line="360" w:lineRule="auto"/>
        <w:ind w:left="567" w:right="900" w:hanging="141"/>
        <w:rPr>
          <w:rFonts w:ascii="Palatino Linotype" w:eastAsia="Palatino Linotype" w:hAnsi="Palatino Linotype" w:cs="Palatino Linotype"/>
        </w:rPr>
      </w:pPr>
    </w:p>
    <w:p w14:paraId="79D0FF52" w14:textId="77777777" w:rsidR="00EA5444" w:rsidRDefault="00FD5040">
      <w:pPr>
        <w:spacing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Violación a sus derechos humanos.</w:t>
      </w:r>
    </w:p>
    <w:p w14:paraId="61DFDAB5" w14:textId="77777777" w:rsidR="00EA5444" w:rsidRDefault="00EA5444">
      <w:pPr>
        <w:spacing w:line="360" w:lineRule="auto"/>
        <w:jc w:val="both"/>
        <w:rPr>
          <w:rFonts w:ascii="Palatino Linotype" w:eastAsia="Palatino Linotype" w:hAnsi="Palatino Linotype" w:cs="Palatino Linotype"/>
        </w:rPr>
      </w:pPr>
    </w:p>
    <w:p w14:paraId="63D63D93"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0518DB" w14:textId="77777777" w:rsidR="00EA5444" w:rsidRDefault="00EA5444">
      <w:pPr>
        <w:spacing w:line="360" w:lineRule="auto"/>
        <w:jc w:val="both"/>
        <w:rPr>
          <w:rFonts w:ascii="Palatino Linotype" w:eastAsia="Palatino Linotype" w:hAnsi="Palatino Linotype" w:cs="Palatino Linotype"/>
        </w:rPr>
      </w:pPr>
    </w:p>
    <w:p w14:paraId="379744FA" w14:textId="77777777" w:rsidR="00EA5444" w:rsidRDefault="00FD504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413E063C" w14:textId="77777777" w:rsidR="00EA5444" w:rsidRDefault="00EA5444">
      <w:pPr>
        <w:spacing w:line="360" w:lineRule="auto"/>
        <w:jc w:val="both"/>
        <w:rPr>
          <w:rFonts w:ascii="Palatino Linotype" w:eastAsia="Palatino Linotype" w:hAnsi="Palatino Linotype" w:cs="Palatino Linotype"/>
        </w:rPr>
      </w:pPr>
    </w:p>
    <w:p w14:paraId="0381F65B"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w:t>
      </w:r>
      <w:r>
        <w:rPr>
          <w:rFonts w:ascii="Palatino Linotype" w:eastAsia="Palatino Linotype" w:hAnsi="Palatino Linotype" w:cs="Palatino Linotype"/>
        </w:rPr>
        <w:lastRenderedPageBreak/>
        <w:t>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D4AA45" w14:textId="77777777" w:rsidR="00EA5444" w:rsidRDefault="00EA5444">
      <w:pPr>
        <w:spacing w:line="360" w:lineRule="auto"/>
        <w:jc w:val="both"/>
        <w:rPr>
          <w:rFonts w:ascii="Palatino Linotype" w:eastAsia="Palatino Linotype" w:hAnsi="Palatino Linotype" w:cs="Palatino Linotype"/>
        </w:rPr>
      </w:pPr>
    </w:p>
    <w:p w14:paraId="1894EF29"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4A7C66C" w14:textId="77777777" w:rsidR="00EA5444" w:rsidRDefault="00EA5444">
      <w:pPr>
        <w:spacing w:line="360" w:lineRule="auto"/>
        <w:jc w:val="both"/>
        <w:rPr>
          <w:rFonts w:ascii="Palatino Linotype" w:eastAsia="Palatino Linotype" w:hAnsi="Palatino Linotype" w:cs="Palatino Linotype"/>
        </w:rPr>
      </w:pPr>
    </w:p>
    <w:p w14:paraId="5373DE7F"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F2B8FFF" w14:textId="77777777" w:rsidR="00EA5444" w:rsidRDefault="00EA5444">
      <w:pPr>
        <w:spacing w:line="360" w:lineRule="auto"/>
        <w:jc w:val="both"/>
        <w:rPr>
          <w:rFonts w:ascii="Palatino Linotype" w:eastAsia="Palatino Linotype" w:hAnsi="Palatino Linotype" w:cs="Palatino Linotype"/>
          <w:b/>
        </w:rPr>
      </w:pPr>
    </w:p>
    <w:p w14:paraId="653FE5A7"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5F5A2476" w14:textId="77777777" w:rsidR="00EA5444" w:rsidRDefault="00EA5444">
      <w:pPr>
        <w:spacing w:line="360" w:lineRule="auto"/>
        <w:jc w:val="both"/>
        <w:rPr>
          <w:rFonts w:ascii="Palatino Linotype" w:eastAsia="Palatino Linotype" w:hAnsi="Palatino Linotype" w:cs="Palatino Linotype"/>
        </w:rPr>
      </w:pPr>
    </w:p>
    <w:p w14:paraId="2035B92E"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80DEC48" w14:textId="77777777" w:rsidR="00EA5444" w:rsidRDefault="00EA5444">
      <w:pPr>
        <w:spacing w:line="360" w:lineRule="auto"/>
        <w:jc w:val="both"/>
        <w:rPr>
          <w:rFonts w:ascii="Palatino Linotype" w:eastAsia="Palatino Linotype" w:hAnsi="Palatino Linotype" w:cs="Palatino Linotype"/>
        </w:rPr>
      </w:pPr>
    </w:p>
    <w:p w14:paraId="592E6670" w14:textId="77777777" w:rsidR="00EA5444" w:rsidRDefault="00FD5040">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w:t>
      </w:r>
      <w:r>
        <w:rPr>
          <w:rFonts w:ascii="Palatino Linotype" w:eastAsia="Palatino Linotype" w:hAnsi="Palatino Linotype" w:cs="Palatino Linotype"/>
        </w:rPr>
        <w:lastRenderedPageBreak/>
        <w:t xml:space="preserve">realizar sus manifestaciones y no habiendo documentos que integrar al expediente, el </w:t>
      </w:r>
      <w:r>
        <w:rPr>
          <w:rFonts w:ascii="Palatino Linotype" w:eastAsia="Palatino Linotype" w:hAnsi="Palatino Linotype" w:cs="Palatino Linotype"/>
          <w:b/>
          <w:color w:val="000000"/>
        </w:rPr>
        <w:t xml:space="preserve">cuatro de julio </w:t>
      </w:r>
      <w:r>
        <w:rPr>
          <w:rFonts w:ascii="Palatino Linotype" w:eastAsia="Palatino Linotype" w:hAnsi="Palatino Linotype" w:cs="Palatino Linotype"/>
          <w:b/>
        </w:rPr>
        <w:t>de dos mil veintitrés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41CC02F"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E05C1B0" w14:textId="77777777" w:rsidR="00EA5444" w:rsidRDefault="00FD5040">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7DE44504" w14:textId="77777777" w:rsidR="00EA5444" w:rsidRDefault="00FD50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938A09E" w14:textId="77777777" w:rsidR="00EA5444" w:rsidRDefault="00FD5040">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 xml:space="preserve">Previo al estudio del fondo del asunto, se procede a analizar los requisitos de oportunidad y procedibilidad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14:paraId="4C76921B"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7BD0054C" w14:textId="77777777" w:rsidR="00EA5444" w:rsidRDefault="00FD5040">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6683F99"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en este sentido 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veinticuatro de marzo de dos mil veintitrés,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veinticuatro de marzo de dos mil veintitrés</w:t>
      </w:r>
      <w:r>
        <w:rPr>
          <w:rFonts w:ascii="Palatino Linotype" w:eastAsia="Palatino Linotype" w:hAnsi="Palatino Linotype" w:cs="Palatino Linotype"/>
        </w:rPr>
        <w:t xml:space="preserve">; esto es, el </w:t>
      </w:r>
      <w:r>
        <w:rPr>
          <w:rFonts w:ascii="Palatino Linotype" w:eastAsia="Palatino Linotype" w:hAnsi="Palatino Linotype" w:cs="Palatino Linotype"/>
          <w:b/>
        </w:rPr>
        <w:t>mismo día hábil</w:t>
      </w:r>
      <w:r>
        <w:rPr>
          <w:rFonts w:ascii="Palatino Linotype" w:eastAsia="Palatino Linotype" w:hAnsi="Palatino Linotype" w:cs="Palatino Linotype"/>
        </w:rPr>
        <w:t xml:space="preserve"> siguiente de aquel en que tuvo conocimiento de la respuesta impugnada.</w:t>
      </w:r>
    </w:p>
    <w:p w14:paraId="185CCEB0"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w:t>
      </w:r>
      <w:r>
        <w:rPr>
          <w:rFonts w:ascii="Palatino Linotype" w:eastAsia="Palatino Linotype" w:hAnsi="Palatino Linotype" w:cs="Palatino Linotype"/>
        </w:rPr>
        <w:lastRenderedPageBreak/>
        <w:t>tiene aplicación por analogía, la jurisprudencia 1ª. /J.41/2015, publicada en el Semanario Judicial de la Federación y su Gaceta, Libro 19, Junio de 2015, Tomo I, página 569 de la Décima época que lleva por rubro y texto los siguientes:</w:t>
      </w:r>
    </w:p>
    <w:p w14:paraId="3B720463" w14:textId="77777777" w:rsidR="00EA5444" w:rsidRDefault="00FD5040">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14:paraId="201F2AA0" w14:textId="77777777" w:rsidR="00EA5444" w:rsidRDefault="00FD5040">
      <w:pPr>
        <w:spacing w:before="240" w:after="240"/>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66B2FBBD" w14:textId="77777777" w:rsidR="00EA5444" w:rsidRDefault="00FD504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al considerar la fecha en que se formuló la solicitud y la fecha en que respondió a 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7B7063AA" w14:textId="77777777" w:rsidR="00EA5444" w:rsidRDefault="00FD504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1AC6114" w14:textId="77777777" w:rsidR="00EA5444" w:rsidRDefault="00FD504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14FA87"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8DC0B12" w14:textId="77777777" w:rsidR="00EA5444" w:rsidRDefault="00FD504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parte recurrente en sus razones o motivos de inconformidad, de acuerdo al artículo 179, </w:t>
      </w:r>
      <w:r>
        <w:rPr>
          <w:rFonts w:ascii="Palatino Linotype" w:eastAsia="Palatino Linotype" w:hAnsi="Palatino Linotype" w:cs="Palatino Linotype"/>
        </w:rPr>
        <w:t xml:space="preserve">fracción I de </w:t>
      </w:r>
      <w:r>
        <w:rPr>
          <w:rFonts w:ascii="Palatino Linotype" w:eastAsia="Palatino Linotype" w:hAnsi="Palatino Linotype" w:cs="Palatino Linotype"/>
          <w:color w:val="000000"/>
        </w:rPr>
        <w:t>la Ley de Transparencia y Acceso a la Información Pública del Estado de México y Municipios; que a la letra dice:</w:t>
      </w:r>
    </w:p>
    <w:p w14:paraId="0CA19F76" w14:textId="77777777" w:rsidR="00EA5444" w:rsidRDefault="00FD504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2F6F3741" w14:textId="77777777" w:rsidR="00EA5444" w:rsidRDefault="00FD504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 La negativa a la información solicitada;</w:t>
      </w:r>
      <w:r>
        <w:rPr>
          <w:rFonts w:ascii="Palatino Linotype" w:eastAsia="Palatino Linotype" w:hAnsi="Palatino Linotype" w:cs="Palatino Linotype"/>
          <w:i/>
          <w:color w:val="000000"/>
          <w:sz w:val="22"/>
          <w:szCs w:val="22"/>
        </w:rPr>
        <w:t>” (Sic)</w:t>
      </w:r>
    </w:p>
    <w:p w14:paraId="58A773BB"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 oportuna.</w:t>
      </w:r>
    </w:p>
    <w:p w14:paraId="2B0FB2D6"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w:t>
      </w:r>
      <w:r>
        <w:rPr>
          <w:rFonts w:ascii="Palatino Linotype" w:eastAsia="Palatino Linotype" w:hAnsi="Palatino Linotype" w:cs="Palatino Linotype"/>
          <w:color w:val="000000"/>
        </w:rPr>
        <w:lastRenderedPageBreak/>
        <w:t>interesa, adoptando dichas disposiciones al Derecho Interno, específicamente a nivel Constitucional, tal y como lo prevén los arábigos 1 párrafos primero, segundo y tercero y 6 apartado A fracciones I, II, III, IV, V, VI y VII que a la letra señalan:</w:t>
      </w:r>
    </w:p>
    <w:p w14:paraId="144C96C8" w14:textId="77777777" w:rsidR="00EA5444" w:rsidRDefault="00FD5040">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594144BB" w14:textId="77777777" w:rsidR="00EA5444" w:rsidRDefault="00FD5040">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37F69E1D" w14:textId="77777777" w:rsidR="00EA5444" w:rsidRDefault="00FD5040">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0B1C92C2" w14:textId="77777777" w:rsidR="00EA5444" w:rsidRDefault="00FD5040">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14:paraId="6236D63F" w14:textId="77777777" w:rsidR="00EA5444" w:rsidRDefault="00FD5040">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14:paraId="6CC60A72" w14:textId="77777777" w:rsidR="00EA5444" w:rsidRDefault="00FD5040">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14:paraId="048BB646"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7EDC3C78"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w:t>
      </w:r>
      <w:r>
        <w:rPr>
          <w:rFonts w:ascii="Palatino Linotype" w:eastAsia="Palatino Linotype" w:hAnsi="Palatino Linotype" w:cs="Palatino Linotype"/>
          <w:i/>
          <w:color w:val="000000"/>
          <w:sz w:val="22"/>
          <w:szCs w:val="22"/>
        </w:rPr>
        <w:lastRenderedPageBreak/>
        <w:t>que derive del ejercicio de sus facultades, competencias o funciones, la ley determinará los supuestos específicos bajo los cuales procederá la declaración de inexistencia de la información.</w:t>
      </w:r>
    </w:p>
    <w:p w14:paraId="6208CBC4"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067E07EE"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14:paraId="2C02F441"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08611D56"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F16CE"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280A96E8" w14:textId="77777777" w:rsidR="00EA5444" w:rsidRDefault="00FD5040">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394C135B"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w:t>
      </w:r>
      <w:r>
        <w:rPr>
          <w:rFonts w:ascii="Palatino Linotype" w:eastAsia="Palatino Linotype" w:hAnsi="Palatino Linotype" w:cs="Palatino Linotype"/>
          <w:color w:val="000000"/>
        </w:rPr>
        <w:lastRenderedPageBreak/>
        <w:t>principio de máxima publicidad, como así lo establece dicha determinación, que a continuación se transcribe para un mejor entendimiento:</w:t>
      </w:r>
    </w:p>
    <w:p w14:paraId="368F5211" w14:textId="77777777" w:rsidR="00EA5444" w:rsidRDefault="00FD5040">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34C1F02" w14:textId="77777777" w:rsidR="00EA5444" w:rsidRDefault="00FD5040">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4E587C" w14:textId="77777777" w:rsidR="00EA5444" w:rsidRDefault="00FD5040">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7AA54ED5"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2CE2DA7" w14:textId="77777777" w:rsidR="00EA5444" w:rsidRDefault="00FD5040">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ABA2547" w14:textId="77777777" w:rsidR="00EA5444" w:rsidRDefault="00FD5040">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234E4D1"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23AFF78"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14:paraId="2C675465"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131D6A35"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A80309E"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D61489" w14:textId="77777777" w:rsidR="00EA5444" w:rsidRDefault="00FD5040">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DE9E43"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C6A7004"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14:paraId="4A583713"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14:paraId="3545A3DA"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4BABB4C4"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w:t>
      </w:r>
      <w:r>
        <w:rPr>
          <w:rFonts w:ascii="Palatino Linotype" w:eastAsia="Palatino Linotype" w:hAnsi="Palatino Linotype" w:cs="Palatino Linotype"/>
          <w:color w:val="000000"/>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1542A37D"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14:paraId="3886B58C"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EF8C1C" w14:textId="77777777" w:rsidR="00EA5444" w:rsidRDefault="00FD5040">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 xml:space="preserve">En </w:t>
      </w:r>
      <w:proofErr w:type="gramStart"/>
      <w:r>
        <w:rPr>
          <w:rFonts w:ascii="Palatino Linotype" w:eastAsia="Palatino Linotype" w:hAnsi="Palatino Linotype" w:cs="Palatino Linotype"/>
          <w:i/>
          <w:color w:val="000000"/>
          <w:sz w:val="22"/>
          <w:szCs w:val="22"/>
        </w:rPr>
        <w:t>consecuencia</w:t>
      </w:r>
      <w:proofErr w:type="gramEnd"/>
      <w:r>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5ADED640" w14:textId="77777777" w:rsidR="00EA5444" w:rsidRDefault="00FD5040">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31CE4B6A" w14:textId="77777777" w:rsidR="00EA5444" w:rsidRDefault="00FD5040">
      <w:pPr>
        <w:numPr>
          <w:ilvl w:val="0"/>
          <w:numId w:val="4"/>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522FE624" w14:textId="77777777" w:rsidR="00EA5444" w:rsidRDefault="00FD5040">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Pr>
          <w:rFonts w:ascii="Palatino Linotype" w:eastAsia="Palatino Linotype" w:hAnsi="Palatino Linotype" w:cs="Palatino Linotype"/>
          <w:b/>
          <w:i/>
          <w:color w:val="000000"/>
          <w:sz w:val="22"/>
          <w:szCs w:val="22"/>
        </w:rPr>
        <w:t>que</w:t>
      </w:r>
      <w:proofErr w:type="gramEnd"/>
      <w:r>
        <w:rPr>
          <w:rFonts w:ascii="Palatino Linotype" w:eastAsia="Palatino Linotype" w:hAnsi="Palatino Linotype" w:cs="Palatino Linotype"/>
          <w:b/>
          <w:i/>
          <w:color w:val="000000"/>
          <w:sz w:val="22"/>
          <w:szCs w:val="22"/>
        </w:rPr>
        <w:t xml:space="preserve"> en ejercicio de las atribuciones conferidas, se encuentre en posesión de los Sujetos Obligados.” (Énfasis añadido)</w:t>
      </w:r>
    </w:p>
    <w:p w14:paraId="129CDB9B"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6A18BB2" w14:textId="77777777" w:rsidR="00EA5444" w:rsidRDefault="00FD504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14:paraId="1E7902F5" w14:textId="77777777" w:rsidR="00EA5444" w:rsidRDefault="00FD5040">
      <w:pPr>
        <w:numPr>
          <w:ilvl w:val="0"/>
          <w:numId w:val="2"/>
        </w:numPr>
        <w:pBdr>
          <w:top w:val="nil"/>
          <w:left w:val="nil"/>
          <w:bottom w:val="nil"/>
          <w:right w:val="nil"/>
          <w:between w:val="nil"/>
        </w:pBdr>
        <w:spacing w:before="240" w:line="276" w:lineRule="auto"/>
        <w:ind w:left="567" w:right="284"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El costo del escenario que pusieron para </w:t>
      </w:r>
      <w:proofErr w:type="gramStart"/>
      <w:r>
        <w:rPr>
          <w:rFonts w:ascii="Palatino Linotype" w:eastAsia="Palatino Linotype" w:hAnsi="Palatino Linotype" w:cs="Palatino Linotype"/>
          <w:b/>
          <w:color w:val="000000"/>
          <w:sz w:val="22"/>
          <w:szCs w:val="22"/>
        </w:rPr>
        <w:t>la kermes</w:t>
      </w:r>
      <w:proofErr w:type="gramEnd"/>
      <w:r>
        <w:rPr>
          <w:rFonts w:ascii="Palatino Linotype" w:eastAsia="Palatino Linotype" w:hAnsi="Palatino Linotype" w:cs="Palatino Linotype"/>
          <w:b/>
          <w:color w:val="000000"/>
          <w:sz w:val="22"/>
          <w:szCs w:val="22"/>
        </w:rPr>
        <w:t xml:space="preserve"> del amor y la amistad</w:t>
      </w:r>
    </w:p>
    <w:p w14:paraId="23733BEF" w14:textId="77777777" w:rsidR="00EA5444" w:rsidRDefault="00FD5040">
      <w:pPr>
        <w:numPr>
          <w:ilvl w:val="0"/>
          <w:numId w:val="2"/>
        </w:numPr>
        <w:pBdr>
          <w:top w:val="nil"/>
          <w:left w:val="nil"/>
          <w:bottom w:val="nil"/>
          <w:right w:val="nil"/>
          <w:between w:val="nil"/>
        </w:pBdr>
        <w:spacing w:after="240" w:line="276" w:lineRule="auto"/>
        <w:ind w:left="567" w:right="284" w:hanging="141"/>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Los oficios de requisición y las facturas pagadas</w:t>
      </w:r>
    </w:p>
    <w:p w14:paraId="16CF0BE1" w14:textId="77777777" w:rsidR="00EA5444" w:rsidRDefault="00FD5040">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del Titular de la Unidad de Transparencia, remitió un documento mediante el cual refiere que al realizar un minucioso análisis de la presente que nos ocupa procedió a turnarlo al Servidor Público Habilitado que posee la información, mismo misma que puede ser consultada a dentro del portal de Información Pública de Oficio Mexiquense (IPOMEX), teniendo en consideración que en dicho sistema se carga toda la información que este Sujeto Obligado debe transparentar por esa razón se proporciona enlace para la oportuna consulta de lo hoy peticionado por el solicitante:</w:t>
      </w:r>
      <w:hyperlink r:id="rId11">
        <w:r>
          <w:rPr>
            <w:rFonts w:ascii="Palatino Linotype" w:eastAsia="Palatino Linotype" w:hAnsi="Palatino Linotype" w:cs="Palatino Linotype"/>
            <w:color w:val="0000FF"/>
            <w:u w:val="single"/>
          </w:rPr>
          <w:t>https://www.ipomex.org.mx/ipo3/lgt/indice/ZINACANTEPEC/art_92_xxxvi/4.web</w:t>
        </w:r>
      </w:hyperlink>
      <w:r>
        <w:rPr>
          <w:rFonts w:ascii="Palatino Linotype" w:eastAsia="Palatino Linotype" w:hAnsi="Palatino Linotype" w:cs="Palatino Linotype"/>
        </w:rPr>
        <w:t xml:space="preserve"> </w:t>
      </w:r>
    </w:p>
    <w:p w14:paraId="2007783A" w14:textId="77777777" w:rsidR="00EA5444" w:rsidRDefault="00FD5040">
      <w:pPr>
        <w:spacing w:before="240" w:after="240" w:line="360" w:lineRule="auto"/>
        <w:ind w:right="-93"/>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 la respuesta emitida por el </w:t>
      </w:r>
      <w:r>
        <w:rPr>
          <w:rFonts w:ascii="Palatino Linotype" w:eastAsia="Palatino Linotype" w:hAnsi="Palatino Linotype" w:cs="Palatino Linotype"/>
          <w:b/>
        </w:rPr>
        <w:t xml:space="preserve">Sujeto </w:t>
      </w:r>
      <w:proofErr w:type="gramStart"/>
      <w:r>
        <w:rPr>
          <w:rFonts w:ascii="Palatino Linotype" w:eastAsia="Palatino Linotype" w:hAnsi="Palatino Linotype" w:cs="Palatino Linotype"/>
          <w:b/>
        </w:rPr>
        <w:t>Obligado</w:t>
      </w:r>
      <w:r>
        <w:rPr>
          <w:rFonts w:ascii="Palatino Linotype" w:eastAsia="Palatino Linotype" w:hAnsi="Palatino Linotype" w:cs="Palatino Linotype"/>
        </w:rPr>
        <w:t xml:space="preserve">,  </w:t>
      </w:r>
      <w:r>
        <w:rPr>
          <w:rFonts w:ascii="Palatino Linotype" w:eastAsia="Palatino Linotype" w:hAnsi="Palatino Linotype" w:cs="Palatino Linotype"/>
          <w:b/>
        </w:rPr>
        <w:t>la</w:t>
      </w:r>
      <w:proofErr w:type="gramEnd"/>
      <w:r>
        <w:rPr>
          <w:rFonts w:ascii="Palatino Linotype" w:eastAsia="Palatino Linotype" w:hAnsi="Palatino Linotype" w:cs="Palatino Linotype"/>
          <w:b/>
        </w:rPr>
        <w:t xml:space="preserve"> parte Recurrente</w:t>
      </w:r>
      <w:r>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Pr>
          <w:rFonts w:ascii="Palatino Linotype" w:eastAsia="Palatino Linotype" w:hAnsi="Palatino Linotype" w:cs="Palatino Linotype"/>
          <w:i/>
        </w:rPr>
        <w:t xml:space="preserve">“No entrega la información solicitada” (Sic), </w:t>
      </w:r>
      <w:r>
        <w:rPr>
          <w:rFonts w:ascii="Palatino Linotype" w:eastAsia="Palatino Linotype" w:hAnsi="Palatino Linotype" w:cs="Palatino Linotype"/>
        </w:rPr>
        <w:t>es decir, su inconformidad medularmente versa sobre la negativa a entregar la información.</w:t>
      </w:r>
    </w:p>
    <w:p w14:paraId="599C1978" w14:textId="77777777" w:rsidR="00FD5040" w:rsidRPr="00FD5040" w:rsidRDefault="00FD5040" w:rsidP="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admitido el medio de impugnación que nos ocupa, se procedió a conjuntar el expediente electrónico, concediéndole a las partes un plazo de siete días para rendir sus alegatos, por lo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durante la etapa de manifestaciones,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remitir sus pronunciamientos, mientras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una solicitud </w:t>
      </w:r>
      <w:r>
        <w:rPr>
          <w:rFonts w:ascii="Palatino Linotype" w:eastAsia="Palatino Linotype" w:hAnsi="Palatino Linotype" w:cs="Palatino Linotype"/>
        </w:rPr>
        <w:lastRenderedPageBreak/>
        <w:t>de ampliación de plazo,</w:t>
      </w:r>
      <w:r w:rsidRPr="00FD5040">
        <w:rPr>
          <w:rFonts w:ascii="Palatino Linotype" w:eastAsia="Palatino Linotype" w:hAnsi="Palatino Linotype" w:cs="Palatino Linotype"/>
          <w:highlight w:val="yellow"/>
          <w:lang w:val="es-MX" w:eastAsia="es-ES"/>
        </w:rPr>
        <w:t xml:space="preserve"> para la atención de la solicitud, mismo que versa de la siguiente manera:</w:t>
      </w:r>
    </w:p>
    <w:p w14:paraId="5489E69C" w14:textId="77777777" w:rsidR="00FD5040" w:rsidRPr="00FD5040" w:rsidRDefault="00FD5040" w:rsidP="00FD5040">
      <w:pPr>
        <w:tabs>
          <w:tab w:val="left" w:pos="4962"/>
        </w:tabs>
        <w:spacing w:line="276" w:lineRule="auto"/>
        <w:ind w:left="567" w:right="851"/>
        <w:jc w:val="both"/>
        <w:rPr>
          <w:rFonts w:ascii="Palatino Linotype" w:hAnsi="Palatino Linotype"/>
          <w:i/>
          <w:sz w:val="22"/>
          <w:szCs w:val="22"/>
          <w:highlight w:val="yellow"/>
          <w:lang w:val="es-MX" w:eastAsia="es-ES"/>
        </w:rPr>
      </w:pPr>
      <w:r w:rsidRPr="00FD5040">
        <w:rPr>
          <w:highlight w:val="yellow"/>
          <w:lang w:val="es-MX" w:eastAsia="es-ES"/>
        </w:rPr>
        <w:t xml:space="preserve"> </w:t>
      </w:r>
      <w:r w:rsidRPr="00FD5040">
        <w:rPr>
          <w:rFonts w:ascii="Palatino Linotype" w:hAnsi="Palatino Linotype"/>
          <w:i/>
          <w:sz w:val="22"/>
          <w:szCs w:val="22"/>
          <w:highlight w:val="yellow"/>
          <w:lang w:val="es-MX" w:eastAsia="es-ES"/>
        </w:rPr>
        <w:t xml:space="preserve">“… </w:t>
      </w:r>
    </w:p>
    <w:p w14:paraId="4960DC97" w14:textId="77777777" w:rsidR="00FD5040" w:rsidRPr="00FD5040" w:rsidRDefault="00FD5040" w:rsidP="00FD5040">
      <w:pPr>
        <w:tabs>
          <w:tab w:val="left" w:pos="4962"/>
        </w:tabs>
        <w:spacing w:line="276" w:lineRule="auto"/>
        <w:ind w:left="567" w:right="851"/>
        <w:jc w:val="both"/>
        <w:rPr>
          <w:rFonts w:ascii="Palatino Linotype" w:hAnsi="Palatino Linotype"/>
          <w:i/>
          <w:sz w:val="22"/>
          <w:szCs w:val="22"/>
          <w:highlight w:val="yellow"/>
          <w:lang w:val="es-MX" w:eastAsia="es-ES"/>
        </w:rPr>
      </w:pPr>
      <w:r w:rsidRPr="00FD5040">
        <w:rPr>
          <w:rFonts w:ascii="Palatino Linotype" w:hAnsi="Palatino Linotype"/>
          <w:i/>
          <w:sz w:val="22"/>
          <w:szCs w:val="22"/>
          <w:highlight w:val="yellow"/>
          <w:lang w:val="es-MX" w:eastAsia="es-ES"/>
        </w:rPr>
        <w:t>Por medio del presente les envío un cordial saludo y del mismo modo de conformidad con lo señalado los artículos 163 segundo párrafo, 186 último párrafo y 198 segundo párrafo de la Ley Transparencia y Acceso a la Información Pública del Estado de México y Municipios relativos a la ampliación de plazos para la atención a las Solicitudes de Información.</w:t>
      </w:r>
    </w:p>
    <w:p w14:paraId="23FB789B" w14:textId="77777777" w:rsidR="00FD5040" w:rsidRPr="00FD5040" w:rsidRDefault="00FD5040" w:rsidP="00FD5040">
      <w:pPr>
        <w:tabs>
          <w:tab w:val="left" w:pos="4962"/>
        </w:tabs>
        <w:spacing w:line="276" w:lineRule="auto"/>
        <w:ind w:left="567" w:right="851"/>
        <w:jc w:val="both"/>
        <w:rPr>
          <w:rFonts w:ascii="Palatino Linotype" w:eastAsia="Palatino Linotype" w:hAnsi="Palatino Linotype" w:cs="Palatino Linotype"/>
          <w:i/>
          <w:sz w:val="22"/>
          <w:szCs w:val="22"/>
          <w:highlight w:val="yellow"/>
          <w:lang w:val="es-MX" w:eastAsia="es-ES"/>
        </w:rPr>
      </w:pPr>
      <w:r w:rsidRPr="00FD5040">
        <w:rPr>
          <w:rFonts w:ascii="Palatino Linotype" w:eastAsia="Palatino Linotype" w:hAnsi="Palatino Linotype" w:cs="Palatino Linotype"/>
          <w:i/>
          <w:sz w:val="22"/>
          <w:szCs w:val="22"/>
          <w:highlight w:val="yellow"/>
          <w:lang w:val="es-MX" w:eastAsia="es-ES"/>
        </w:rPr>
        <w:t xml:space="preserve">El requerimiento de ampliación de plazos para la atención de solicitudes deriva de que, la Unidad cuenta con un alto índice de interposición de recursos de revisión, solicitudes de información y solicitudes ARCO, las cuales han sido ingresadas a través de las diferentes plataformas del INFOEM. En este sentido le informo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w:t>
      </w:r>
    </w:p>
    <w:p w14:paraId="014E8D6E" w14:textId="77777777" w:rsidR="00FD5040" w:rsidRPr="00FD5040" w:rsidRDefault="00FD5040" w:rsidP="00FD5040">
      <w:pPr>
        <w:tabs>
          <w:tab w:val="left" w:pos="4962"/>
        </w:tabs>
        <w:spacing w:line="276" w:lineRule="auto"/>
        <w:ind w:left="567" w:right="851"/>
        <w:jc w:val="both"/>
        <w:rPr>
          <w:rFonts w:ascii="Palatino Linotype" w:eastAsia="Palatino Linotype" w:hAnsi="Palatino Linotype" w:cs="Palatino Linotype"/>
          <w:i/>
          <w:sz w:val="22"/>
          <w:szCs w:val="22"/>
          <w:highlight w:val="yellow"/>
          <w:lang w:val="es-MX" w:eastAsia="es-ES"/>
        </w:rPr>
      </w:pPr>
      <w:r w:rsidRPr="00FD5040">
        <w:rPr>
          <w:rFonts w:ascii="Palatino Linotype" w:eastAsia="Palatino Linotype" w:hAnsi="Palatino Linotype" w:cs="Palatino Linotype"/>
          <w:i/>
          <w:sz w:val="22"/>
          <w:szCs w:val="22"/>
          <w:highlight w:val="yellow"/>
          <w:lang w:val="es-MX" w:eastAsia="es-ES"/>
        </w:rPr>
        <w:t>Aunado a ello, se suman las limitantes con las que se cuenta, tales como técnicas, administrativas, tecnológicas y humanas de la Unidad de Transparencia del Municipio de Zinacantepec. Bajo esa tesitura, es imperante señalar que, a fin de brindarle plena certeza y garantizar el Derecho de Acceso a la Información al hoy recurrente con la emisión de una respuesta debidamente fundada y motivada, es necesario ampliar el término de esta, a fin agotar la búsqueda exhaustiva y congruente al interior de este Sujeto Obligado y, en su caso, someterla a consideración del Comité de Transparencia, para la elaboración de versiones públicas y/o información reservada en caso de que aplique. Para hacer de su conocimiento que, en la Segunda Sesión Extraordinaria del Comité Municipal de Transparencia se aprobó la petición de ampliar los plazos para la atención a las Solicitudes de Información</w:t>
      </w:r>
    </w:p>
    <w:p w14:paraId="3D947480" w14:textId="77777777" w:rsidR="00FD5040" w:rsidRPr="00FD5040" w:rsidRDefault="00FD5040" w:rsidP="00FD5040">
      <w:pPr>
        <w:tabs>
          <w:tab w:val="left" w:pos="4962"/>
        </w:tabs>
        <w:spacing w:line="276" w:lineRule="auto"/>
        <w:ind w:left="567" w:right="851"/>
        <w:jc w:val="both"/>
        <w:rPr>
          <w:rFonts w:ascii="Palatino Linotype" w:eastAsia="Palatino Linotype" w:hAnsi="Palatino Linotype" w:cs="Palatino Linotype"/>
          <w:i/>
          <w:sz w:val="22"/>
          <w:szCs w:val="22"/>
          <w:highlight w:val="yellow"/>
          <w:lang w:val="es-MX" w:eastAsia="es-ES"/>
        </w:rPr>
      </w:pPr>
      <w:r w:rsidRPr="00FD5040">
        <w:rPr>
          <w:rFonts w:ascii="Palatino Linotype" w:eastAsia="Palatino Linotype" w:hAnsi="Palatino Linotype" w:cs="Palatino Linotype"/>
          <w:i/>
          <w:sz w:val="22"/>
          <w:szCs w:val="22"/>
          <w:highlight w:val="yellow"/>
          <w:lang w:val="es-MX" w:eastAsia="es-ES"/>
        </w:rPr>
        <w:t>…</w:t>
      </w:r>
    </w:p>
    <w:p w14:paraId="03462D8B" w14:textId="77777777" w:rsidR="00FD5040" w:rsidRPr="00FD5040" w:rsidRDefault="00FD5040" w:rsidP="00FD5040">
      <w:pPr>
        <w:tabs>
          <w:tab w:val="left" w:pos="4962"/>
        </w:tabs>
        <w:spacing w:line="276" w:lineRule="auto"/>
        <w:ind w:left="567" w:right="851"/>
        <w:jc w:val="both"/>
        <w:rPr>
          <w:rFonts w:ascii="Palatino Linotype" w:eastAsia="Palatino Linotype" w:hAnsi="Palatino Linotype" w:cs="Palatino Linotype"/>
          <w:i/>
          <w:sz w:val="22"/>
          <w:szCs w:val="22"/>
          <w:highlight w:val="yellow"/>
          <w:lang w:val="es-MX" w:eastAsia="es-ES"/>
        </w:rPr>
      </w:pPr>
      <w:r w:rsidRPr="00FD5040">
        <w:rPr>
          <w:rFonts w:ascii="Palatino Linotype" w:eastAsia="Palatino Linotype" w:hAnsi="Palatino Linotype" w:cs="Palatino Linotype"/>
          <w:i/>
          <w:sz w:val="22"/>
          <w:szCs w:val="22"/>
          <w:highlight w:val="yellow"/>
          <w:lang w:val="es-MX" w:eastAsia="es-ES"/>
        </w:rPr>
        <w:t>Por lo anterior fundado y motivado, se solicita aprobar la solicitud de ampliación de plazo para la atención de solicitudes hasta por 30 días hábiles a este Sujeto Obligado denominado Ayuntamiento de Zinacantepec para el cumplimiento de las resoluciones notificadas en la presente Solicitud. …” (Sic)</w:t>
      </w:r>
    </w:p>
    <w:p w14:paraId="364DE0AC" w14:textId="77777777" w:rsidR="00FD5040" w:rsidRPr="00FD5040" w:rsidRDefault="00FD5040" w:rsidP="00FD5040">
      <w:pPr>
        <w:tabs>
          <w:tab w:val="left" w:pos="4962"/>
        </w:tabs>
        <w:spacing w:line="360" w:lineRule="auto"/>
        <w:jc w:val="both"/>
        <w:rPr>
          <w:rFonts w:ascii="Palatino Linotype" w:eastAsia="Palatino Linotype" w:hAnsi="Palatino Linotype" w:cs="Palatino Linotype"/>
          <w:highlight w:val="yellow"/>
          <w:lang w:val="es-MX" w:eastAsia="es-ES"/>
        </w:rPr>
      </w:pPr>
    </w:p>
    <w:p w14:paraId="64B102A6" w14:textId="77777777" w:rsidR="00FD5040" w:rsidRPr="00FD5040" w:rsidRDefault="00FD5040" w:rsidP="00FD5040">
      <w:pPr>
        <w:tabs>
          <w:tab w:val="left" w:pos="4962"/>
        </w:tabs>
        <w:spacing w:line="360" w:lineRule="auto"/>
        <w:jc w:val="both"/>
        <w:rPr>
          <w:rFonts w:ascii="Palatino Linotype" w:hAnsi="Palatino Linotype"/>
          <w:highlight w:val="yellow"/>
          <w:lang w:val="es-MX" w:eastAsia="es-ES"/>
        </w:rPr>
      </w:pPr>
      <w:r w:rsidRPr="00FD5040">
        <w:rPr>
          <w:rFonts w:ascii="Palatino Linotype" w:hAnsi="Palatino Linotype"/>
          <w:highlight w:val="yellow"/>
          <w:lang w:val="es-MX" w:eastAsia="es-ES"/>
        </w:rPr>
        <w:lastRenderedPageBreak/>
        <w:t xml:space="preserve">Derivado de ello, este Instituto de Transparencia, Acceso a la Información Pública y Protección de Datos Personales del Estado de México y Municipios, es competente para conocer y resolver la solicitud de ampliación de plazo para dar cumplimiento a la presente resolución del recurso de revisión </w:t>
      </w:r>
      <w:r w:rsidRPr="00FD5040">
        <w:rPr>
          <w:rFonts w:ascii="Palatino Linotype" w:hAnsi="Palatino Linotype"/>
          <w:b/>
          <w:highlight w:val="yellow"/>
          <w:lang w:val="es-MX" w:eastAsia="es-ES"/>
        </w:rPr>
        <w:t>01674/INFOEM/IP/RR/2023</w:t>
      </w:r>
      <w:r w:rsidRPr="00FD5040">
        <w:rPr>
          <w:rFonts w:ascii="Palatino Linotype" w:hAnsi="Palatino Linotype"/>
          <w:highlight w:val="yellow"/>
          <w:lang w:val="es-MX" w:eastAsia="es-ES"/>
        </w:rPr>
        <w:t xml:space="preserve">, de conformidad con el artículo 198, párrafo tercero de la Ley de Transparencia y Acceso a la Información del Estado de México y Municipios; precepto del que se deriva que los sujetos obligados deben cumplir en estricto sentido los plazos establecidos en las resoluciones de este Organismo Garante, que se podrá solicitar excepcionalmente y de manera fundada y motivada la ampliación del plazo para el cumplimiento de la resolución y que deberán gestionar la respuesta a la solicitud de información al instante, atendiendo al principio de máxima publicidad y favoreciendo en todo momento a los particulares la protección más amplia. </w:t>
      </w:r>
    </w:p>
    <w:p w14:paraId="75BF74D1" w14:textId="77777777" w:rsidR="00FD5040" w:rsidRPr="00FD5040" w:rsidRDefault="00FD5040" w:rsidP="00FD5040">
      <w:pPr>
        <w:tabs>
          <w:tab w:val="left" w:pos="4962"/>
        </w:tabs>
        <w:spacing w:line="360" w:lineRule="auto"/>
        <w:jc w:val="both"/>
        <w:rPr>
          <w:rFonts w:ascii="Palatino Linotype" w:hAnsi="Palatino Linotype"/>
          <w:highlight w:val="yellow"/>
          <w:lang w:val="es-MX" w:eastAsia="es-ES"/>
        </w:rPr>
      </w:pPr>
    </w:p>
    <w:p w14:paraId="4CF15FF3" w14:textId="77777777" w:rsidR="00FD5040" w:rsidRDefault="00FD5040" w:rsidP="00FD5040">
      <w:pPr>
        <w:tabs>
          <w:tab w:val="left" w:pos="4962"/>
        </w:tabs>
        <w:spacing w:line="360" w:lineRule="auto"/>
        <w:jc w:val="both"/>
        <w:rPr>
          <w:rFonts w:ascii="Palatino Linotype" w:hAnsi="Palatino Linotype"/>
          <w:lang w:val="es-MX" w:eastAsia="es-ES"/>
        </w:rPr>
      </w:pPr>
      <w:r w:rsidRPr="00FD5040">
        <w:rPr>
          <w:rFonts w:ascii="Palatino Linotype" w:hAnsi="Palatino Linotype"/>
          <w:highlight w:val="yellow"/>
          <w:lang w:val="es-MX" w:eastAsia="es-ES"/>
        </w:rPr>
        <w:t>En esta tesitura, al reunir los requisitos establecidos en la normatividad aplicable para la ampliación del término de cumplimiento, resulta procedente el otorgar al Sujeto Obligado, una ampliación de plazo, para que tenga un total de 30 días para el cumplimiento de la presente Resolución.</w:t>
      </w:r>
    </w:p>
    <w:p w14:paraId="62FAC804" w14:textId="77777777" w:rsidR="00EF7F13" w:rsidRPr="00FD5040" w:rsidRDefault="00EF7F13" w:rsidP="00FD5040">
      <w:pPr>
        <w:tabs>
          <w:tab w:val="left" w:pos="4962"/>
        </w:tabs>
        <w:spacing w:line="360" w:lineRule="auto"/>
        <w:jc w:val="both"/>
        <w:rPr>
          <w:rFonts w:ascii="Palatino Linotype" w:eastAsia="Palatino Linotype" w:hAnsi="Palatino Linotype" w:cs="Palatino Linotype"/>
          <w:lang w:val="es-MX" w:eastAsia="es-ES"/>
        </w:rPr>
      </w:pPr>
    </w:p>
    <w:p w14:paraId="49D81A05" w14:textId="77777777" w:rsidR="00EA5444" w:rsidRDefault="00FD5040">
      <w:pPr>
        <w:spacing w:after="240" w:line="360" w:lineRule="auto"/>
        <w:ind w:right="49"/>
        <w:jc w:val="both"/>
        <w:rPr>
          <w:rFonts w:ascii="Palatino Linotype" w:eastAsia="Palatino Linotype" w:hAnsi="Palatino Linotype" w:cs="Palatino Linotype"/>
        </w:rPr>
      </w:pPr>
      <w:bookmarkStart w:id="4" w:name="_heading=h.3rdcrjn" w:colFirst="0" w:colLast="0"/>
      <w:bookmarkEnd w:id="4"/>
      <w:r>
        <w:rPr>
          <w:rFonts w:ascii="Palatino Linotype" w:eastAsia="Palatino Linotype" w:hAnsi="Palatino Linotype" w:cs="Palatino Linotype"/>
        </w:rPr>
        <w:t xml:space="preserve">Expuestas las posturas de las partes, resulta importante iniciar este análisis mencionando que de las constancias que conforman el expediente electrónico,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turnó la solicitud a las unidades administrativas competentes y únicamente se limitó a pronunciarse el Titular de la Unidad de Transparencia, por lo que consecuentemente, no se satisfizo en su totalidad el derecho de acceso el derecho de acceso a la información pública 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w:t>
      </w:r>
      <w:r>
        <w:rPr>
          <w:rFonts w:ascii="Palatino Linotype" w:eastAsia="Palatino Linotype" w:hAnsi="Palatino Linotype" w:cs="Palatino Linotype"/>
        </w:rPr>
        <w:lastRenderedPageBreak/>
        <w:t xml:space="preserve">incumplir con el principio de exhaustividad,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 requerimiento debió turnarse a su vez a la </w:t>
      </w:r>
      <w:r>
        <w:rPr>
          <w:rFonts w:ascii="Palatino Linotype" w:eastAsia="Palatino Linotype" w:hAnsi="Palatino Linotype" w:cs="Palatino Linotype"/>
          <w:b/>
        </w:rPr>
        <w:t>Dirección de Administración y a la Tesorería Municipal</w:t>
      </w:r>
      <w:r>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026B001F"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DF0519E"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6778089E"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02EF8DAA"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w:t>
      </w:r>
      <w:r>
        <w:rPr>
          <w:rFonts w:ascii="Palatino Linotype" w:eastAsia="Palatino Linotype" w:hAnsi="Palatino Linotype" w:cs="Palatino Linotype"/>
        </w:rPr>
        <w:lastRenderedPageBreak/>
        <w:t xml:space="preserve">razonable de la documentación solicitada, con el fin de que proporcionen las expresiones documentales que se encuentren en sus archivos o que estén constreñidos a elaborar; </w:t>
      </w:r>
    </w:p>
    <w:p w14:paraId="3B1A5454"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ofrecer otras; por lo cual, deberá fundar y motivar la necesidad de modificar el medio de entrega, y </w:t>
      </w:r>
    </w:p>
    <w:p w14:paraId="7C21DC60"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A10591E"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se reitera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la </w:t>
      </w:r>
      <w:r>
        <w:rPr>
          <w:rFonts w:ascii="Palatino Linotype" w:eastAsia="Palatino Linotype" w:hAnsi="Palatino Linotype" w:cs="Palatino Linotype"/>
          <w:b/>
        </w:rPr>
        <w:t>Dirección de Administración</w:t>
      </w:r>
      <w:r>
        <w:rPr>
          <w:rFonts w:ascii="Palatino Linotype" w:eastAsia="Palatino Linotype" w:hAnsi="Palatino Linotype" w:cs="Palatino Linotype"/>
        </w:rPr>
        <w:t xml:space="preserve">, ello en virtud de que es la unidad encargada de las cuestiones relativas a los proveedores del Ayuntamiento, esto de conformidad con lo previsto por el Manual General de Organización de la Administración Pública Municipal de Zinacantepec, mismo que se cita a continuación para mejor proveer del presente estudio: </w:t>
      </w:r>
    </w:p>
    <w:p w14:paraId="2037B2AF" w14:textId="77777777" w:rsidR="00EA5444" w:rsidRDefault="00FD504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1.6. Dirección de Administración </w:t>
      </w:r>
    </w:p>
    <w:p w14:paraId="13CEB4CD"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Objetivo:</w:t>
      </w:r>
      <w:r>
        <w:rPr>
          <w:rFonts w:ascii="Palatino Linotype" w:eastAsia="Palatino Linotype" w:hAnsi="Palatino Linotype" w:cs="Palatino Linotype"/>
          <w:i/>
          <w:sz w:val="22"/>
          <w:szCs w:val="22"/>
        </w:rPr>
        <w:t xml:space="preserve"> Diseñar, establecer, aplicar, actualizar y difundir las políticas y lineamientos para la contratación y selección, control y pago de remuneraciones al personal para la </w:t>
      </w:r>
      <w:r>
        <w:rPr>
          <w:rFonts w:ascii="Palatino Linotype" w:eastAsia="Palatino Linotype" w:hAnsi="Palatino Linotype" w:cs="Palatino Linotype"/>
          <w:i/>
          <w:sz w:val="22"/>
          <w:szCs w:val="22"/>
        </w:rPr>
        <w:lastRenderedPageBreak/>
        <w:t xml:space="preserve">adquisición de bienes, contratación de servicios buscando siempre las mejores condiciones de oportunidad, precio, calidad y financiamiento, bajo un esquema de transparencia asignación y uso de los bienes y servicios, así como adecuada prestación de los servicios generales al gobierno municipal de Zinacantepec, a fin de lograr la optimización de los recursos humanos y materiales. </w:t>
      </w:r>
    </w:p>
    <w:p w14:paraId="7BFACC0C"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14:paraId="5F72F5AC"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47B780" w14:textId="77777777" w:rsidR="00EA5444" w:rsidRDefault="00FD5040">
      <w:pPr>
        <w:spacing w:before="240" w:after="240" w:line="276" w:lineRule="auto"/>
        <w:ind w:left="567" w:right="900"/>
        <w:jc w:val="both"/>
        <w:rPr>
          <w:rFonts w:ascii="Palatino Linotype" w:eastAsia="Palatino Linotype" w:hAnsi="Palatino Linotype" w:cs="Palatino Linotype"/>
          <w:b/>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Integrar, sistematizar y actualizar el catálogo de proveedores</w:t>
      </w:r>
      <w:r>
        <w:rPr>
          <w:rFonts w:ascii="Palatino Linotype" w:eastAsia="Palatino Linotype" w:hAnsi="Palatino Linotype" w:cs="Palatino Linotype"/>
          <w:b/>
          <w:i/>
          <w:sz w:val="22"/>
          <w:szCs w:val="22"/>
        </w:rPr>
        <w:t xml:space="preserve"> y el catálogo de artículos, con base en la clasificación por objeto del gasto;</w:t>
      </w:r>
    </w:p>
    <w:p w14:paraId="5257988B" w14:textId="77777777" w:rsidR="00EA5444" w:rsidRDefault="00FD504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p>
    <w:p w14:paraId="0583EDAF" w14:textId="77777777" w:rsidR="00EA5444" w:rsidRDefault="00FD504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1.8. Tesorería Municipal</w:t>
      </w:r>
    </w:p>
    <w:p w14:paraId="3141F63E" w14:textId="77777777" w:rsidR="00EA5444" w:rsidRDefault="00FD504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Objetivo: Planear, dirigir y controlar las acciones encaminadas a la recaudación, administración, </w:t>
      </w:r>
      <w:r>
        <w:rPr>
          <w:rFonts w:ascii="Palatino Linotype" w:eastAsia="Palatino Linotype" w:hAnsi="Palatino Linotype" w:cs="Palatino Linotype"/>
          <w:b/>
          <w:i/>
          <w:sz w:val="22"/>
          <w:szCs w:val="22"/>
          <w:u w:val="single"/>
        </w:rPr>
        <w:t>operación, registro y glosa de los ingresos y egresos municipales,</w:t>
      </w:r>
      <w:r>
        <w:rPr>
          <w:rFonts w:ascii="Palatino Linotype" w:eastAsia="Palatino Linotype" w:hAnsi="Palatino Linotype" w:cs="Palatino Linotype"/>
          <w:b/>
          <w:i/>
          <w:sz w:val="22"/>
          <w:szCs w:val="22"/>
        </w:rPr>
        <w:t xml:space="preserve"> derivados de la coordinación hacendaria y los provenientes de financiamiento a través de una disciplina financiera basada en los principios de legalidad, honestidad, eficacia, eficiencia, economía, racionalidad, austeridad, transparencia, control y rendición de cuentas, con la finalidad de mantener finanzas sanas y contar con la suficiencia económica para cumplir con las obligaciones, funciones y atribuciones del gobierno municipal.</w:t>
      </w:r>
      <w:r>
        <w:rPr>
          <w:rFonts w:ascii="Palatino Linotype" w:eastAsia="Palatino Linotype" w:hAnsi="Palatino Linotype" w:cs="Palatino Linotype"/>
          <w:b/>
          <w:i/>
          <w:sz w:val="22"/>
          <w:szCs w:val="22"/>
        </w:rPr>
        <w:br/>
        <w:t>Funciones:</w:t>
      </w:r>
    </w:p>
    <w:p w14:paraId="4A906DAF" w14:textId="77777777" w:rsidR="00EA5444" w:rsidRDefault="00FD504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-Revisar los movimientos contables, financieros, administrativos de los ingresos y egresos de la administración pública municipal;” </w:t>
      </w:r>
    </w:p>
    <w:p w14:paraId="21CC9F27"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armonía con lo dispuesto por el Reglamento Orgánico Municipal del Ayuntamiento de Zinacantepec, le delega las siguientes atribuciones:</w:t>
      </w:r>
    </w:p>
    <w:p w14:paraId="42026712"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46. La Tesorería Municipal es la Unidad Administrativa encargada de</w:t>
      </w:r>
      <w:r>
        <w:rPr>
          <w:rFonts w:ascii="Palatino Linotype" w:eastAsia="Palatino Linotype" w:hAnsi="Palatino Linotype" w:cs="Palatino Linotype"/>
          <w:i/>
          <w:sz w:val="22"/>
          <w:szCs w:val="22"/>
        </w:rPr>
        <w:t xml:space="preserve"> recaudar los ingresos municipales, captar recursos Estatales y Federales, así como </w:t>
      </w:r>
      <w:r>
        <w:rPr>
          <w:rFonts w:ascii="Palatino Linotype" w:eastAsia="Palatino Linotype" w:hAnsi="Palatino Linotype" w:cs="Palatino Linotype"/>
          <w:b/>
          <w:i/>
          <w:sz w:val="22"/>
          <w:szCs w:val="22"/>
          <w:u w:val="single"/>
        </w:rPr>
        <w:t>conducir la política presupuestal del Municipio</w:t>
      </w:r>
      <w:r>
        <w:rPr>
          <w:rFonts w:ascii="Palatino Linotype" w:eastAsia="Palatino Linotype" w:hAnsi="Palatino Linotype" w:cs="Palatino Linotype"/>
          <w:i/>
          <w:sz w:val="22"/>
          <w:szCs w:val="22"/>
        </w:rPr>
        <w:t xml:space="preserve"> con la finalidad de lograr los objetivos estipulados en el Plan de </w:t>
      </w:r>
      <w:r>
        <w:rPr>
          <w:rFonts w:ascii="Palatino Linotype" w:eastAsia="Palatino Linotype" w:hAnsi="Palatino Linotype" w:cs="Palatino Linotype"/>
          <w:i/>
          <w:sz w:val="22"/>
          <w:szCs w:val="22"/>
        </w:rPr>
        <w:lastRenderedPageBreak/>
        <w:t>Desarrollo Municipal, a través de una adecuada integración del presupuesto de ingresos y egresos del Municipio, para la correcta administración de la hacienda municipal.</w:t>
      </w:r>
    </w:p>
    <w:p w14:paraId="7138F773"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47. Además de las previstas en las disposiciones normativas y administrativas en la materia, la Tesorería Municipal tiene las siguientes funciones y atribuciones:</w:t>
      </w:r>
    </w:p>
    <w:p w14:paraId="3179F5C8"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ED6CF00"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 Elaborar los estados financieros, informes trimestrales, cuenta pública y demás informes financieros que le soliciten las autoridades competentes, recabando las firmas necesarias;</w:t>
      </w:r>
      <w:r>
        <w:rPr>
          <w:rFonts w:ascii="Palatino Linotype" w:eastAsia="Palatino Linotype" w:hAnsi="Palatino Linotype" w:cs="Palatino Linotype"/>
          <w:i/>
          <w:sz w:val="22"/>
          <w:szCs w:val="22"/>
        </w:rPr>
        <w:br/>
        <w:t>…</w:t>
      </w:r>
    </w:p>
    <w:p w14:paraId="01D00892"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48. Para el estudio, planeación y despacho de los asuntos de su competencia, la Tesorería Municipal contará con las Unidades Administrativas responsables siguientes, cuyas funciones y atribuciones se determinarán en el Reglamento Interno correspondiente:</w:t>
      </w:r>
    </w:p>
    <w:p w14:paraId="24E58D27"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64C8EB" w14:textId="77777777" w:rsidR="00EA5444" w:rsidRDefault="00FD5040">
      <w:pPr>
        <w:spacing w:before="240" w:after="240"/>
        <w:ind w:left="567" w:right="4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 Subdirección de Egresos</w:t>
      </w:r>
    </w:p>
    <w:p w14:paraId="567CAF3E" w14:textId="77777777" w:rsidR="00EA5444" w:rsidRDefault="00FD5040">
      <w:pPr>
        <w:spacing w:before="240" w:after="240"/>
        <w:ind w:left="567" w:right="4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a) Coordinación de Contabilidad</w:t>
      </w:r>
    </w:p>
    <w:p w14:paraId="085BCF7E" w14:textId="77777777" w:rsidR="00EA5444" w:rsidRDefault="00FD5040">
      <w:pPr>
        <w:spacing w:before="240" w:after="240"/>
        <w:ind w:left="567" w:right="4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b) Coordinación de Presupuesto</w:t>
      </w:r>
    </w:p>
    <w:p w14:paraId="4533D2D0" w14:textId="77777777" w:rsidR="00EA5444" w:rsidRDefault="00FD5040">
      <w:pPr>
        <w:spacing w:before="240" w:after="240"/>
        <w:ind w:left="567" w:right="4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c) Coordinación de Caja General</w:t>
      </w:r>
    </w:p>
    <w:p w14:paraId="702B5EAF" w14:textId="77777777" w:rsidR="00EA5444" w:rsidRDefault="00EA5444">
      <w:pPr>
        <w:spacing w:before="240" w:after="240" w:line="276" w:lineRule="auto"/>
        <w:ind w:left="567" w:right="49"/>
        <w:jc w:val="both"/>
        <w:rPr>
          <w:rFonts w:ascii="Palatino Linotype" w:eastAsia="Palatino Linotype" w:hAnsi="Palatino Linotype" w:cs="Palatino Linotype"/>
          <w:i/>
          <w:sz w:val="22"/>
          <w:szCs w:val="22"/>
        </w:rPr>
      </w:pPr>
    </w:p>
    <w:p w14:paraId="4ADC59B5"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CAPÍTULO DÉCIMO TERCERO</w:t>
      </w:r>
    </w:p>
    <w:p w14:paraId="026A5198" w14:textId="77777777" w:rsidR="00EA5444" w:rsidRDefault="00FD5040">
      <w:pPr>
        <w:spacing w:before="240" w:after="240" w:line="276"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LA DIRECCIÓN DE ADMINISTRACIÓN</w:t>
      </w:r>
    </w:p>
    <w:p w14:paraId="43C8E9B8"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DBB05DA"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53. Además de las previstas en las disposiciones normativas y administrativas en la materia, la Dirección de Administración tiene las siguientes funciones y atribuciones:</w:t>
      </w:r>
    </w:p>
    <w:p w14:paraId="5ADC23AE"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A51BFD9" w14:textId="77777777" w:rsidR="00EA5444" w:rsidRDefault="00FD5040">
      <w:pPr>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XII. Llevar a cabo las adquisiciones de bienes, arrendamiento de bienes muebles y la contratación de servicios que requieran las distintas áreas, ajustándose en su caso las disposiciones legales de la materia;</w:t>
      </w:r>
    </w:p>
    <w:p w14:paraId="3D39C86A"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XIII.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r>
        <w:rPr>
          <w:rFonts w:ascii="Palatino Linotype" w:eastAsia="Palatino Linotype" w:hAnsi="Palatino Linotype" w:cs="Palatino Linotype"/>
          <w:i/>
          <w:sz w:val="22"/>
          <w:szCs w:val="22"/>
        </w:rPr>
        <w:t>;”</w:t>
      </w:r>
    </w:p>
    <w:p w14:paraId="6CCA6984"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advierte que la Tesorería Municipal y la Dirección de Administración son las unidades administrativas competentes para atender las cuestiones relativas al manejo de recursos financieros, así como de las adquisiciones de bienes, arrendamientos de bienes muebles y contratación de servicios, es decir, de aquellas que se relacionan con proveedores, por lo tanto, se reitera,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turnarle la solicitud de información a estos servidores públicos habilitados competentes para que en su momento se pronunciara al respecto. </w:t>
      </w:r>
    </w:p>
    <w:p w14:paraId="2C3ED315"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este Instituto logró advertir que el evento referido se llevó a cabo el diecisiete de febrero de la presente anualidad, de acuerdo a la siguiente publicación que obra en la cuenta de Facebook del Ayuntamiento de Zinacantepec</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w:t>
      </w:r>
      <w:r>
        <w:rPr>
          <w:noProof/>
          <w:lang w:val="es-MX"/>
        </w:rPr>
        <w:drawing>
          <wp:anchor distT="0" distB="0" distL="114300" distR="114300" simplePos="0" relativeHeight="251658240" behindDoc="0" locked="0" layoutInCell="1" hidden="0" allowOverlap="1" wp14:anchorId="0473E478" wp14:editId="6D1088C3">
            <wp:simplePos x="0" y="0"/>
            <wp:positionH relativeFrom="column">
              <wp:posOffset>-260984</wp:posOffset>
            </wp:positionH>
            <wp:positionV relativeFrom="paragraph">
              <wp:posOffset>1253490</wp:posOffset>
            </wp:positionV>
            <wp:extent cx="6278382" cy="1628775"/>
            <wp:effectExtent l="0" t="0" r="0" b="0"/>
            <wp:wrapTopAndBottom distT="0" distB="0"/>
            <wp:docPr id="5639680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278382" cy="1628775"/>
                    </a:xfrm>
                    <a:prstGeom prst="rect">
                      <a:avLst/>
                    </a:prstGeom>
                    <a:ln/>
                  </pic:spPr>
                </pic:pic>
              </a:graphicData>
            </a:graphic>
          </wp:anchor>
        </w:drawing>
      </w:r>
    </w:p>
    <w:p w14:paraId="0134964A" w14:textId="77777777" w:rsidR="00EA5444" w:rsidRDefault="00EA5444">
      <w:pPr>
        <w:tabs>
          <w:tab w:val="left" w:pos="7938"/>
        </w:tabs>
        <w:spacing w:before="240" w:after="240" w:line="360" w:lineRule="auto"/>
        <w:jc w:val="both"/>
        <w:rPr>
          <w:rFonts w:ascii="Palatino Linotype" w:eastAsia="Palatino Linotype" w:hAnsi="Palatino Linotype" w:cs="Palatino Linotype"/>
        </w:rPr>
      </w:pPr>
    </w:p>
    <w:p w14:paraId="59763733" w14:textId="77777777" w:rsidR="00EA5444" w:rsidRDefault="00FD5040">
      <w:pPr>
        <w:tabs>
          <w:tab w:val="left" w:pos="7938"/>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con lo vertido anteriormente, podemos concluir que hay un indicio de la realización del evento celebrado con motivo de la kermés del amor y la amistad pasado 17 de febrero de la presente anualidad, sin embargo, no se cuenta con la certeza de que se haya contratado un escenario.</w:t>
      </w:r>
    </w:p>
    <w:p w14:paraId="273080B6"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Continuando con el análisis de las constancias que obran en el expediente del medio de impugnación que nos ocupa, se vislumbra que la liga electrónica remitida en respuesta, se tiene que únicamente dirige a la FRACCIÓNXXIX B, del portal de Información Pública de Oficio Mexiquense, tal como se desprende de la siguiente impresión de pantalla: </w:t>
      </w:r>
    </w:p>
    <w:p w14:paraId="0AC69B9D"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2E5B9162" wp14:editId="09E52FDA">
            <wp:extent cx="5220970" cy="4282440"/>
            <wp:effectExtent l="0" t="0" r="0" b="0"/>
            <wp:docPr id="5639680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220970" cy="4282440"/>
                    </a:xfrm>
                    <a:prstGeom prst="rect">
                      <a:avLst/>
                    </a:prstGeom>
                    <a:ln/>
                  </pic:spPr>
                </pic:pic>
              </a:graphicData>
            </a:graphic>
          </wp:inline>
        </w:drawing>
      </w:r>
    </w:p>
    <w:p w14:paraId="004C932E" w14:textId="77777777" w:rsidR="00EA5444" w:rsidRDefault="00EA5444"/>
    <w:p w14:paraId="14B70795" w14:textId="77777777" w:rsidR="00EA5444" w:rsidRDefault="00FD504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consiguiente, con dichas ligas electrónicas, no se colmó la pretensión de </w:t>
      </w:r>
      <w:r>
        <w:rPr>
          <w:rFonts w:ascii="Palatino Linotype" w:eastAsia="Palatino Linotype" w:hAnsi="Palatino Linotype" w:cs="Palatino Linotype"/>
          <w:b/>
          <w:color w:val="000000"/>
        </w:rPr>
        <w:t xml:space="preserve">la parte Recurrente </w:t>
      </w:r>
      <w:r>
        <w:rPr>
          <w:rFonts w:ascii="Palatino Linotype" w:eastAsia="Palatino Linotype" w:hAnsi="Palatino Linotype" w:cs="Palatino Linotype"/>
          <w:color w:val="000000"/>
        </w:rPr>
        <w:t>en razón de que la misma no arroja información requerida en concreto y además no se detalló el procedimiento específico de acceso a los datos solicitados.</w:t>
      </w:r>
    </w:p>
    <w:p w14:paraId="4CAA97A0" w14:textId="77777777" w:rsidR="00EA5444" w:rsidRDefault="00EA5444">
      <w:pPr>
        <w:spacing w:line="360" w:lineRule="auto"/>
      </w:pPr>
    </w:p>
    <w:p w14:paraId="4787BBAF" w14:textId="77777777" w:rsidR="00EA5444" w:rsidRDefault="00FD504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w:t>
      </w:r>
      <w:r>
        <w:rPr>
          <w:rFonts w:ascii="Palatino Linotype" w:eastAsia="Palatino Linotype" w:hAnsi="Palatino Linotype" w:cs="Palatino Linotype"/>
          <w:color w:val="000000"/>
        </w:rPr>
        <w:lastRenderedPageBreak/>
        <w:t>la forma en que se deberá consultar la información, señalando una fuente precisa y concreta, a saber:</w:t>
      </w:r>
    </w:p>
    <w:p w14:paraId="3D37FD78" w14:textId="77777777" w:rsidR="00EA5444" w:rsidRDefault="00EA5444">
      <w:pPr>
        <w:spacing w:line="360" w:lineRule="auto"/>
      </w:pPr>
    </w:p>
    <w:p w14:paraId="2803B6B8" w14:textId="77777777" w:rsidR="00EA5444" w:rsidRDefault="00FD5040">
      <w:pPr>
        <w:pBdr>
          <w:top w:val="nil"/>
          <w:left w:val="nil"/>
          <w:bottom w:val="nil"/>
          <w:right w:val="nil"/>
          <w:between w:val="nil"/>
        </w:pBdr>
        <w:ind w:left="567" w:right="1276"/>
        <w:jc w:val="both"/>
        <w:rPr>
          <w:color w:val="000000"/>
        </w:rPr>
      </w:pPr>
      <w:r>
        <w:rPr>
          <w:rFonts w:ascii="Palatino Linotype" w:eastAsia="Palatino Linotype" w:hAnsi="Palatino Linotype" w:cs="Palatino Linotype"/>
          <w:b/>
          <w:i/>
          <w:color w:val="000000"/>
          <w:sz w:val="22"/>
          <w:szCs w:val="22"/>
        </w:rPr>
        <w:t>“Artículo 11.</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31856751" w14:textId="77777777" w:rsidR="00EA5444" w:rsidRDefault="00FD5040">
      <w:pPr>
        <w:pBdr>
          <w:top w:val="nil"/>
          <w:left w:val="nil"/>
          <w:bottom w:val="nil"/>
          <w:right w:val="nil"/>
          <w:between w:val="nil"/>
        </w:pBdr>
        <w:ind w:left="567" w:right="1276"/>
        <w:jc w:val="both"/>
        <w:rPr>
          <w:color w:val="000000"/>
        </w:rPr>
      </w:pPr>
      <w:r>
        <w:rPr>
          <w:rFonts w:ascii="Palatino Linotype" w:eastAsia="Palatino Linotype" w:hAnsi="Palatino Linotype" w:cs="Palatino Linotype"/>
          <w:i/>
          <w:color w:val="000000"/>
          <w:sz w:val="22"/>
          <w:szCs w:val="22"/>
        </w:rPr>
        <w:t>[…]</w:t>
      </w:r>
    </w:p>
    <w:p w14:paraId="65D96A49" w14:textId="77777777" w:rsidR="00EA5444" w:rsidRDefault="00EA5444">
      <w:pPr>
        <w:ind w:right="1276"/>
      </w:pPr>
    </w:p>
    <w:p w14:paraId="60CF66E2" w14:textId="77777777" w:rsidR="00EA5444" w:rsidRDefault="00FD5040">
      <w:pPr>
        <w:pBdr>
          <w:top w:val="nil"/>
          <w:left w:val="nil"/>
          <w:bottom w:val="nil"/>
          <w:right w:val="nil"/>
          <w:between w:val="nil"/>
        </w:pBdr>
        <w:ind w:left="567" w:right="1276"/>
        <w:jc w:val="both"/>
        <w:rPr>
          <w:color w:val="000000"/>
        </w:rPr>
      </w:pPr>
      <w:r>
        <w:rPr>
          <w:rFonts w:ascii="Palatino Linotype" w:eastAsia="Palatino Linotype" w:hAnsi="Palatino Linotype" w:cs="Palatino Linotype"/>
          <w:b/>
          <w:i/>
          <w:color w:val="000000"/>
          <w:sz w:val="22"/>
          <w:szCs w:val="22"/>
        </w:rPr>
        <w:t>Artículo 161.</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Cuando la información requerida por el solicitante ya esté disponible al público</w:t>
      </w:r>
      <w:r>
        <w:rPr>
          <w:rFonts w:ascii="Palatino Linotype" w:eastAsia="Palatino Linotype" w:hAnsi="Palatino Linotype" w:cs="Palatino Linotype"/>
          <w:i/>
          <w:color w:val="000000"/>
          <w:sz w:val="22"/>
          <w:szCs w:val="22"/>
        </w:rPr>
        <w:t xml:space="preserve"> en medios impresos, tales como libros, compendios, trípticos, registros públicos, </w:t>
      </w:r>
      <w:r>
        <w:rPr>
          <w:rFonts w:ascii="Palatino Linotype" w:eastAsia="Palatino Linotype" w:hAnsi="Palatino Linotype" w:cs="Palatino Linotype"/>
          <w:b/>
          <w:i/>
          <w:color w:val="000000"/>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0FAAC951" w14:textId="77777777" w:rsidR="00EA5444" w:rsidRDefault="00EA5444"/>
    <w:p w14:paraId="25F9DA68" w14:textId="77777777" w:rsidR="00EA5444" w:rsidRDefault="00FD504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D3C812C" w14:textId="77777777" w:rsidR="00EA5444" w:rsidRDefault="00EA5444">
      <w:pPr>
        <w:spacing w:line="360" w:lineRule="auto"/>
      </w:pPr>
    </w:p>
    <w:p w14:paraId="15347A6F" w14:textId="77777777" w:rsidR="00EA5444" w:rsidRDefault="00FD5040">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fuente</w:t>
      </w:r>
    </w:p>
    <w:p w14:paraId="1949BB22" w14:textId="77777777" w:rsidR="00EA5444" w:rsidRDefault="00FD5040">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lugar y</w:t>
      </w:r>
    </w:p>
    <w:p w14:paraId="3C9CD3C7" w14:textId="77777777" w:rsidR="00EA5444" w:rsidRDefault="00FD5040">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forma </w:t>
      </w:r>
    </w:p>
    <w:p w14:paraId="67755D9F" w14:textId="77777777" w:rsidR="00EA5444" w:rsidRDefault="00EA5444"/>
    <w:p w14:paraId="1C957EEC" w14:textId="77777777" w:rsidR="00EA5444" w:rsidRDefault="00FD5040">
      <w:pPr>
        <w:pBdr>
          <w:top w:val="nil"/>
          <w:left w:val="nil"/>
          <w:bottom w:val="nil"/>
          <w:right w:val="nil"/>
          <w:between w:val="nil"/>
        </w:pBdr>
        <w:jc w:val="both"/>
        <w:rPr>
          <w:color w:val="000000"/>
        </w:rPr>
      </w:pPr>
      <w:r>
        <w:rPr>
          <w:rFonts w:ascii="Palatino Linotype" w:eastAsia="Palatino Linotype" w:hAnsi="Palatino Linotype" w:cs="Palatino Linotype"/>
          <w:color w:val="000000"/>
        </w:rPr>
        <w:t>Asimismo, se establece que la fuente de la información deberá ser:</w:t>
      </w:r>
    </w:p>
    <w:p w14:paraId="2E32D543" w14:textId="77777777" w:rsidR="00EA5444" w:rsidRDefault="00FD5040">
      <w:r>
        <w:br/>
      </w:r>
    </w:p>
    <w:p w14:paraId="6F2C47A6" w14:textId="77777777" w:rsidR="00EA5444" w:rsidRDefault="00FD5040">
      <w:pPr>
        <w:numPr>
          <w:ilvl w:val="0"/>
          <w:numId w:val="5"/>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Precisa</w:t>
      </w:r>
    </w:p>
    <w:p w14:paraId="10C5A31E" w14:textId="77777777" w:rsidR="00EA5444" w:rsidRDefault="00FD5040">
      <w:pPr>
        <w:numPr>
          <w:ilvl w:val="0"/>
          <w:numId w:val="5"/>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Concreta</w:t>
      </w:r>
    </w:p>
    <w:p w14:paraId="090F7A76" w14:textId="77777777" w:rsidR="00EA5444" w:rsidRDefault="00FD5040">
      <w:pPr>
        <w:numPr>
          <w:ilvl w:val="0"/>
          <w:numId w:val="5"/>
        </w:numPr>
        <w:pBdr>
          <w:top w:val="nil"/>
          <w:left w:val="nil"/>
          <w:bottom w:val="nil"/>
          <w:right w:val="nil"/>
          <w:between w:val="nil"/>
        </w:pBdr>
        <w:ind w:left="426" w:right="1276"/>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Y no debe implicar que el solicitante realice una búsqueda en toda la información que se encuentre disponible</w:t>
      </w:r>
      <w:r>
        <w:rPr>
          <w:rFonts w:ascii="Palatino Linotype" w:eastAsia="Palatino Linotype" w:hAnsi="Palatino Linotype" w:cs="Palatino Linotype"/>
          <w:color w:val="000000"/>
        </w:rPr>
        <w:t>.</w:t>
      </w:r>
    </w:p>
    <w:p w14:paraId="31D9BC10" w14:textId="77777777" w:rsidR="00EA5444" w:rsidRDefault="00EA5444"/>
    <w:p w14:paraId="09107853" w14:textId="77777777" w:rsidR="00EA5444" w:rsidRDefault="00FD504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Imperativos legales que establecen el procedimiento que debe seguir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que pueda tomarse como válida su orientación sobre la forma en que puede consultar la información requerida, y que, en el caso en concreto, no acontece; ello porque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limitó a indicar la dirección electrónica de su página oficial y de su IPOMEX,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57E4B8B4" w14:textId="77777777" w:rsidR="00EA5444" w:rsidRDefault="00EA5444">
      <w:pPr>
        <w:spacing w:line="360" w:lineRule="auto"/>
      </w:pPr>
    </w:p>
    <w:p w14:paraId="7C8EC633"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es importante resaltar que la fracción XXIX del artículo 92 de la Ley de Transparencia Local, se refiere a la información sobre los procesos y resultados sobre procedimientos de adjudicación, fracción que en términos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 contener los siguientes elementos: </w:t>
      </w:r>
    </w:p>
    <w:p w14:paraId="0C56998D"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714D75FC"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w:t>
      </w:r>
    </w:p>
    <w:p w14:paraId="43B4347D"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w:t>
      </w:r>
    </w:p>
    <w:p w14:paraId="734E87A2"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Licitación pública</w:t>
      </w:r>
    </w:p>
    <w:p w14:paraId="26B64518"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Invitación a cuando menos tres personas (restringida)</w:t>
      </w:r>
    </w:p>
    <w:p w14:paraId="39856B48"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Adjudicación directa</w:t>
      </w:r>
    </w:p>
    <w:p w14:paraId="4E718086"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cada tipo de procedimiento se deberá especificar la materia:</w:t>
      </w:r>
    </w:p>
    <w:p w14:paraId="735C6693"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Obra pública</w:t>
      </w:r>
    </w:p>
    <w:p w14:paraId="3AD803B3"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Servicios relacionados con obra pública</w:t>
      </w:r>
    </w:p>
    <w:p w14:paraId="0C12ABE5"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Arrendamiento</w:t>
      </w:r>
    </w:p>
    <w:p w14:paraId="435916B4"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Adquisición o</w:t>
      </w:r>
    </w:p>
    <w:p w14:paraId="4BC8DF2A"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Servicios</w:t>
      </w:r>
    </w:p>
    <w:p w14:paraId="74263E0C"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Y el carácter:</w:t>
      </w:r>
    </w:p>
    <w:p w14:paraId="7A2752DC"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Nacional</w:t>
      </w:r>
    </w:p>
    <w:p w14:paraId="51A2AF8B"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Internacional (en cualquier modalidad específica)</w:t>
      </w:r>
    </w:p>
    <w:p w14:paraId="69353771"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 se deberá elaborar versión pública de los mismos.</w:t>
      </w:r>
    </w:p>
    <w:p w14:paraId="399CE2FC" w14:textId="77777777" w:rsidR="00EA5444" w:rsidRDefault="00FD504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52BCBDD4" w14:textId="77777777" w:rsidR="00EA5444" w:rsidRDefault="00EA5444">
      <w:pPr>
        <w:spacing w:before="240" w:after="240" w:line="276" w:lineRule="auto"/>
        <w:ind w:left="567" w:right="900"/>
        <w:jc w:val="both"/>
        <w:rPr>
          <w:rFonts w:ascii="Palatino Linotype" w:eastAsia="Palatino Linotype" w:hAnsi="Palatino Linotype" w:cs="Palatino Linotype"/>
          <w:i/>
          <w:sz w:val="22"/>
          <w:szCs w:val="22"/>
          <w:highlight w:val="yellow"/>
        </w:rPr>
      </w:pPr>
    </w:p>
    <w:p w14:paraId="2DCB5784" w14:textId="77777777" w:rsidR="00EA5444" w:rsidRDefault="00FD5040">
      <w:pPr>
        <w:spacing w:before="240" w:after="240" w:line="276" w:lineRule="auto"/>
        <w:ind w:left="567" w:right="900"/>
        <w:rPr>
          <w:rFonts w:ascii="Palatino Linotype" w:eastAsia="Palatino Linotype" w:hAnsi="Palatino Linotype" w:cs="Palatino Linotype"/>
          <w:i/>
          <w:sz w:val="22"/>
          <w:szCs w:val="22"/>
        </w:rPr>
      </w:pPr>
      <w:r>
        <w:rPr>
          <w:noProof/>
          <w:lang w:val="es-MX"/>
        </w:rPr>
        <w:lastRenderedPageBreak/>
        <w:drawing>
          <wp:anchor distT="0" distB="0" distL="114300" distR="114300" simplePos="0" relativeHeight="251659264" behindDoc="0" locked="0" layoutInCell="1" hidden="0" allowOverlap="1" wp14:anchorId="38696A1B" wp14:editId="3F185238">
            <wp:simplePos x="0" y="0"/>
            <wp:positionH relativeFrom="column">
              <wp:posOffset>-13334</wp:posOffset>
            </wp:positionH>
            <wp:positionV relativeFrom="paragraph">
              <wp:posOffset>200025</wp:posOffset>
            </wp:positionV>
            <wp:extent cx="5220970" cy="2735580"/>
            <wp:effectExtent l="0" t="0" r="0" b="0"/>
            <wp:wrapTopAndBottom distT="0" distB="0"/>
            <wp:docPr id="5639680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220970" cy="2735580"/>
                    </a:xfrm>
                    <a:prstGeom prst="rect">
                      <a:avLst/>
                    </a:prstGeom>
                    <a:ln/>
                  </pic:spPr>
                </pic:pic>
              </a:graphicData>
            </a:graphic>
          </wp:anchor>
        </w:drawing>
      </w:r>
    </w:p>
    <w:p w14:paraId="6CE93333" w14:textId="77777777" w:rsidR="00EA5444" w:rsidRDefault="00EA5444">
      <w:pPr>
        <w:spacing w:before="240" w:after="240" w:line="276" w:lineRule="auto"/>
        <w:ind w:left="567" w:right="900"/>
        <w:rPr>
          <w:rFonts w:ascii="Palatino Linotype" w:eastAsia="Palatino Linotype" w:hAnsi="Palatino Linotype" w:cs="Palatino Linotype"/>
          <w:i/>
          <w:sz w:val="22"/>
          <w:szCs w:val="22"/>
          <w:highlight w:val="yellow"/>
        </w:rPr>
      </w:pPr>
    </w:p>
    <w:p w14:paraId="495E19F9" w14:textId="77777777" w:rsidR="00EA5444" w:rsidRDefault="00EA5444">
      <w:pPr>
        <w:spacing w:before="240" w:after="240" w:line="276" w:lineRule="auto"/>
        <w:ind w:left="567" w:right="900"/>
        <w:jc w:val="center"/>
        <w:rPr>
          <w:rFonts w:ascii="Palatino Linotype" w:eastAsia="Palatino Linotype" w:hAnsi="Palatino Linotype" w:cs="Palatino Linotype"/>
          <w:i/>
          <w:sz w:val="22"/>
          <w:szCs w:val="22"/>
          <w:highlight w:val="yellow"/>
        </w:rPr>
      </w:pPr>
    </w:p>
    <w:p w14:paraId="3A173568" w14:textId="77777777" w:rsidR="00EA5444" w:rsidRDefault="00EA5444">
      <w:pPr>
        <w:spacing w:before="240" w:after="240" w:line="276" w:lineRule="auto"/>
        <w:ind w:left="567" w:right="900"/>
        <w:rPr>
          <w:rFonts w:ascii="Palatino Linotype" w:eastAsia="Palatino Linotype" w:hAnsi="Palatino Linotype" w:cs="Palatino Linotype"/>
          <w:i/>
          <w:sz w:val="22"/>
          <w:szCs w:val="22"/>
          <w:highlight w:val="yellow"/>
        </w:rPr>
      </w:pPr>
    </w:p>
    <w:p w14:paraId="2768A95B" w14:textId="77777777" w:rsidR="00EA5444" w:rsidRDefault="00EA5444">
      <w:pPr>
        <w:spacing w:before="240" w:after="240" w:line="360" w:lineRule="auto"/>
        <w:ind w:right="49"/>
        <w:jc w:val="both"/>
        <w:rPr>
          <w:rFonts w:ascii="Palatino Linotype" w:eastAsia="Palatino Linotype" w:hAnsi="Palatino Linotype" w:cs="Palatino Linotype"/>
          <w:color w:val="000000"/>
          <w:highlight w:val="yellow"/>
        </w:rPr>
      </w:pPr>
    </w:p>
    <w:p w14:paraId="7535C1FA" w14:textId="77777777" w:rsidR="00EA5444" w:rsidRDefault="00EA5444">
      <w:pPr>
        <w:spacing w:before="240" w:after="240" w:line="360" w:lineRule="auto"/>
        <w:ind w:right="49"/>
        <w:jc w:val="both"/>
        <w:rPr>
          <w:rFonts w:ascii="Palatino Linotype" w:eastAsia="Palatino Linotype" w:hAnsi="Palatino Linotype" w:cs="Palatino Linotype"/>
          <w:color w:val="000000"/>
          <w:highlight w:val="yellow"/>
        </w:rPr>
      </w:pPr>
    </w:p>
    <w:p w14:paraId="2A5F7D52" w14:textId="77777777" w:rsidR="00EA5444" w:rsidRDefault="00EA5444">
      <w:pPr>
        <w:spacing w:before="240" w:after="240" w:line="360" w:lineRule="auto"/>
        <w:ind w:right="49"/>
        <w:jc w:val="both"/>
        <w:rPr>
          <w:rFonts w:ascii="Palatino Linotype" w:eastAsia="Palatino Linotype" w:hAnsi="Palatino Linotype" w:cs="Palatino Linotype"/>
          <w:color w:val="000000"/>
          <w:highlight w:val="yellow"/>
        </w:rPr>
      </w:pPr>
    </w:p>
    <w:p w14:paraId="2C57830A" w14:textId="77777777" w:rsidR="00EA5444" w:rsidRDefault="00FD5040">
      <w:pPr>
        <w:spacing w:before="240" w:after="240" w:line="360" w:lineRule="auto"/>
        <w:ind w:right="49"/>
        <w:jc w:val="both"/>
        <w:rPr>
          <w:rFonts w:ascii="Palatino Linotype" w:eastAsia="Palatino Linotype" w:hAnsi="Palatino Linotype" w:cs="Palatino Linotype"/>
          <w:color w:val="000000"/>
          <w:highlight w:val="yellow"/>
        </w:rPr>
      </w:pPr>
      <w:r>
        <w:rPr>
          <w:noProof/>
          <w:lang w:val="es-MX"/>
        </w:rPr>
        <w:lastRenderedPageBreak/>
        <w:drawing>
          <wp:anchor distT="0" distB="0" distL="114300" distR="114300" simplePos="0" relativeHeight="251660288" behindDoc="0" locked="0" layoutInCell="1" hidden="0" allowOverlap="1" wp14:anchorId="231701F7" wp14:editId="44B32F7B">
            <wp:simplePos x="0" y="0"/>
            <wp:positionH relativeFrom="column">
              <wp:posOffset>1</wp:posOffset>
            </wp:positionH>
            <wp:positionV relativeFrom="paragraph">
              <wp:posOffset>457200</wp:posOffset>
            </wp:positionV>
            <wp:extent cx="5220970" cy="5977890"/>
            <wp:effectExtent l="0" t="0" r="0" b="0"/>
            <wp:wrapTopAndBottom distT="0" distB="0"/>
            <wp:docPr id="5639680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20970" cy="5977890"/>
                    </a:xfrm>
                    <a:prstGeom prst="rect">
                      <a:avLst/>
                    </a:prstGeom>
                    <a:ln/>
                  </pic:spPr>
                </pic:pic>
              </a:graphicData>
            </a:graphic>
          </wp:anchor>
        </w:drawing>
      </w:r>
    </w:p>
    <w:p w14:paraId="344ADEB7" w14:textId="77777777" w:rsidR="00EA5444" w:rsidRDefault="00EA544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74EE248" w14:textId="77777777" w:rsidR="00EA5444" w:rsidRDefault="00FD5040">
      <w:pPr>
        <w:spacing w:before="240" w:after="240" w:line="360" w:lineRule="auto"/>
        <w:ind w:right="49"/>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color w:val="000000"/>
        </w:rPr>
        <w:t xml:space="preserve">De tal forma que este Instituto estima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incumplió lo establecido en la Ley de la Materia, toda vez que en la información que se visualiza en la liga </w:t>
      </w:r>
      <w:r>
        <w:rPr>
          <w:rFonts w:ascii="Palatino Linotype" w:eastAsia="Palatino Linotype" w:hAnsi="Palatino Linotype" w:cs="Palatino Linotype"/>
          <w:color w:val="000000"/>
        </w:rPr>
        <w:lastRenderedPageBreak/>
        <w:t xml:space="preserve">electrónica, pudiera obrar el costo del escenario que colocaron para la celebración de la kermés del amor y la amistad, sin embargo, al no señalar la fuente precisa como ya se señaló en líneas argumentativas anteriores, no se puede validar este pronunciamiento, asimismo, no escapa de la óptica de este Instituto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solicitó dos documentos en específico que son: oficios de requisición y las facturas pagadas los cuales no forman parte de los criterios de contenido que se vierten en el portal de Información Pública de Oficio Mexiquense (IPOMEX), por lo tanto, no se pueden tener por atendidos los puntos de la solicitud de información y es procedente revocar la respuesta a la solicitud del particular y ordenar la entrega de la información requerida.</w:t>
      </w:r>
    </w:p>
    <w:p w14:paraId="684BA8CA"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se procede al análisis de las documentales requeridas por el particular. </w:t>
      </w:r>
    </w:p>
    <w:p w14:paraId="399735E9" w14:textId="77777777" w:rsidR="00EA5444" w:rsidRDefault="00FD5040">
      <w:p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Acotado lo anterior, es necesario traer a colación lo que establece el Glosario de Términos Hacendarios que emite el Instituto Hacendario del Estado de México, el cual define como </w:t>
      </w:r>
      <w:r>
        <w:rPr>
          <w:rFonts w:ascii="Palatino Linotype" w:eastAsia="Palatino Linotype" w:hAnsi="Palatino Linotype" w:cs="Palatino Linotype"/>
          <w:i/>
        </w:rPr>
        <w:t>“factura” al</w:t>
      </w: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documento</w:t>
      </w:r>
      <w:r>
        <w:rPr>
          <w:rFonts w:ascii="Palatino Linotype" w:eastAsia="Palatino Linotype" w:hAnsi="Palatino Linotype" w:cs="Palatino Linotype"/>
          <w:b/>
          <w:i/>
        </w:rPr>
        <w:t xml:space="preserve"> fiscal que emite la persona física o moral para comprobar la venta o adquisición de un bien y/o servicio.</w:t>
      </w:r>
    </w:p>
    <w:p w14:paraId="78FBEE07" w14:textId="77777777" w:rsidR="00EA5444" w:rsidRDefault="00EA5444">
      <w:pPr>
        <w:spacing w:line="360" w:lineRule="auto"/>
        <w:jc w:val="both"/>
        <w:rPr>
          <w:rFonts w:ascii="Palatino Linotype" w:eastAsia="Palatino Linotype" w:hAnsi="Palatino Linotype" w:cs="Palatino Linotype"/>
        </w:rPr>
      </w:pPr>
    </w:p>
    <w:p w14:paraId="73E78032" w14:textId="77777777" w:rsidR="00EA5444" w:rsidRDefault="00FD5040">
      <w:pPr>
        <w:spacing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de señalar que cuando las facturas amparan las erogaciones que se realizan con erario público tienen naturaleza pública, pues constituyen un medio idóneo de evidencia del gasto realizado con recursos públicos. </w:t>
      </w:r>
    </w:p>
    <w:p w14:paraId="132DEF89" w14:textId="77777777" w:rsidR="00EA5444" w:rsidRDefault="00EA5444">
      <w:pPr>
        <w:spacing w:line="360" w:lineRule="auto"/>
        <w:ind w:right="-7"/>
        <w:jc w:val="both"/>
        <w:rPr>
          <w:rFonts w:ascii="Palatino Linotype" w:eastAsia="Palatino Linotype" w:hAnsi="Palatino Linotype" w:cs="Palatino Linotype"/>
        </w:rPr>
      </w:pPr>
    </w:p>
    <w:p w14:paraId="644B0780" w14:textId="77777777" w:rsidR="00EA5444" w:rsidRDefault="00FD5040">
      <w:pPr>
        <w:spacing w:line="360" w:lineRule="auto"/>
        <w:jc w:val="both"/>
        <w:rPr>
          <w:color w:val="000000"/>
        </w:rPr>
      </w:pPr>
      <w:r>
        <w:rPr>
          <w:rFonts w:ascii="Palatino Linotype" w:eastAsia="Palatino Linotype" w:hAnsi="Palatino Linotype" w:cs="Palatino Linotype"/>
        </w:rPr>
        <w:t xml:space="preserve">En tal contexto, </w:t>
      </w:r>
      <w:r>
        <w:rPr>
          <w:rFonts w:ascii="Palatino Linotype" w:eastAsia="Palatino Linotype" w:hAnsi="Palatino Linotype" w:cs="Palatino Linotype"/>
          <w:color w:val="000000"/>
        </w:rPr>
        <w:t>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2D6BA433"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342.</w:t>
      </w:r>
      <w:proofErr w:type="gramStart"/>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El</w:t>
      </w:r>
      <w:proofErr w:type="gramEnd"/>
      <w:r>
        <w:rPr>
          <w:rFonts w:ascii="Palatino Linotype" w:eastAsia="Palatino Linotype" w:hAnsi="Palatino Linotype" w:cs="Palatino Linotype"/>
          <w:i/>
          <w:color w:val="000000"/>
          <w:sz w:val="22"/>
          <w:szCs w:val="22"/>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1587052F"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77DE8894"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Artículo 343.-</w:t>
      </w:r>
      <w:r>
        <w:rPr>
          <w:rFonts w:ascii="Palatino Linotype" w:eastAsia="Palatino Linotype" w:hAnsi="Palatino Linotype" w:cs="Palatino Linotype"/>
          <w:i/>
          <w:color w:val="000000"/>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F2A91EC"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El sistema de contabilidad sobre base acumulativa total, se sustentará en las normas emitidas por el Consejo Nacional de Armonización Contable.</w:t>
      </w:r>
    </w:p>
    <w:p w14:paraId="0F2CE3D4"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 xml:space="preserve">Artículo 344.- Los Entes Públicos, a través de cualquiera de sus unidades administrativas, de acuerdo con su naturaleza jurídica y según corresponda, </w:t>
      </w:r>
      <w:r>
        <w:rPr>
          <w:rFonts w:ascii="Palatino Linotype" w:eastAsia="Palatino Linotype" w:hAnsi="Palatino Linotype" w:cs="Palatino Linotype"/>
          <w:b/>
          <w:i/>
          <w:color w:val="000000"/>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Pr>
          <w:rFonts w:ascii="Palatino Linotype" w:eastAsia="Palatino Linotype" w:hAnsi="Palatino Linotype" w:cs="Palatino Linotype"/>
          <w:b/>
          <w:i/>
          <w:color w:val="000000"/>
          <w:sz w:val="22"/>
          <w:szCs w:val="22"/>
        </w:rPr>
        <w:t>.</w:t>
      </w:r>
    </w:p>
    <w:p w14:paraId="482CEE5E" w14:textId="77777777" w:rsidR="00EA5444" w:rsidRDefault="00EA5444">
      <w:pPr>
        <w:spacing w:line="276" w:lineRule="auto"/>
        <w:rPr>
          <w:color w:val="000000"/>
        </w:rPr>
      </w:pPr>
    </w:p>
    <w:p w14:paraId="7EC16862"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Pr>
          <w:rFonts w:ascii="Palatino Linotype" w:eastAsia="Palatino Linotype" w:hAnsi="Palatino Linotype" w:cs="Palatino Linotype"/>
          <w:i/>
          <w:color w:val="000000"/>
          <w:sz w:val="22"/>
          <w:szCs w:val="22"/>
        </w:rPr>
        <w:t>según corresponda, así como de los órganos internos de control, por un término de cinco años, contados a partir del ejercicio presupuestal siguiente al que corresponda,</w:t>
      </w:r>
      <w:r>
        <w:rPr>
          <w:rFonts w:ascii="Palatino Linotype" w:eastAsia="Palatino Linotype" w:hAnsi="Palatino Linotype" w:cs="Palatino Linotype"/>
          <w:b/>
          <w:i/>
          <w:color w:val="000000"/>
          <w:sz w:val="22"/>
          <w:szCs w:val="22"/>
        </w:rPr>
        <w:t xml:space="preserve"> en el caso de los Municipios, dicha obligación corresponderá a la Tesorería.</w:t>
      </w:r>
    </w:p>
    <w:p w14:paraId="5CCE6871"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Tratándose de documentos de carácter histórico, se estará a lo dispuesto por la legislación de la materia.</w:t>
      </w:r>
    </w:p>
    <w:p w14:paraId="7589A62B"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lastRenderedPageBreak/>
        <w:t>…</w:t>
      </w:r>
    </w:p>
    <w:p w14:paraId="3CB8A7C6"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b/>
          <w:i/>
          <w:color w:val="000000"/>
          <w:sz w:val="22"/>
          <w:szCs w:val="22"/>
        </w:rPr>
        <w:t>Artículo 345.-</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Pr>
          <w:rFonts w:ascii="Palatino Linotype" w:eastAsia="Palatino Linotype" w:hAnsi="Palatino Linotype" w:cs="Palatino Linotype"/>
          <w:i/>
          <w:color w:val="000000"/>
          <w:sz w:val="22"/>
          <w:szCs w:val="22"/>
        </w:rPr>
        <w:t>registro contable.</w:t>
      </w:r>
    </w:p>
    <w:p w14:paraId="13091CFE"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5FA9E961" w14:textId="77777777" w:rsidR="00EA5444" w:rsidRDefault="00FD5040">
      <w:pPr>
        <w:pBdr>
          <w:top w:val="nil"/>
          <w:left w:val="nil"/>
          <w:bottom w:val="nil"/>
          <w:right w:val="nil"/>
          <w:between w:val="nil"/>
        </w:pBdr>
        <w:spacing w:before="120" w:after="120" w:line="276" w:lineRule="auto"/>
        <w:ind w:left="860" w:right="860"/>
        <w:jc w:val="both"/>
        <w:rPr>
          <w:color w:val="000000"/>
        </w:rPr>
      </w:pPr>
      <w:r>
        <w:rPr>
          <w:rFonts w:ascii="Palatino Linotype" w:eastAsia="Palatino Linotype" w:hAnsi="Palatino Linotype" w:cs="Palatino Linotype"/>
          <w:i/>
          <w:color w:val="000000"/>
          <w:sz w:val="22"/>
          <w:szCs w:val="22"/>
        </w:rPr>
        <w:t>El plazo señalado en este artículo empezará a contar a partir de la publicación en el Periódico Oficial, del decreto correspondiente</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“(Sic)</w:t>
      </w:r>
    </w:p>
    <w:p w14:paraId="146B156B" w14:textId="77777777" w:rsidR="00EA5444" w:rsidRDefault="00FD5040">
      <w:pPr>
        <w:pBdr>
          <w:top w:val="nil"/>
          <w:left w:val="nil"/>
          <w:bottom w:val="nil"/>
          <w:right w:val="nil"/>
          <w:between w:val="nil"/>
        </w:pBdr>
        <w:spacing w:before="120" w:after="120"/>
        <w:ind w:left="860" w:right="860"/>
        <w:jc w:val="both"/>
        <w:rPr>
          <w:color w:val="000000"/>
        </w:rPr>
      </w:pPr>
      <w:r>
        <w:rPr>
          <w:rFonts w:ascii="Palatino Linotype" w:eastAsia="Palatino Linotype" w:hAnsi="Palatino Linotype" w:cs="Palatino Linotype"/>
          <w:i/>
          <w:color w:val="000000"/>
          <w:sz w:val="22"/>
          <w:szCs w:val="22"/>
        </w:rPr>
        <w:t>(Énfasis añadido)</w:t>
      </w:r>
    </w:p>
    <w:p w14:paraId="6B2161EA" w14:textId="77777777" w:rsidR="00EA5444" w:rsidRDefault="00FD504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AB6491D"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r>
        <w:rPr>
          <w:rFonts w:ascii="Palatino Linotype" w:eastAsia="Palatino Linotype" w:hAnsi="Palatino Linotype" w:cs="Palatino Linotype"/>
        </w:rPr>
        <w:lastRenderedPageBreak/>
        <w:t xml:space="preserve">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E1FC829" w14:textId="77777777" w:rsidR="00EA5444" w:rsidRDefault="00FD504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“REGISTRO CONTABLE </w:t>
      </w:r>
    </w:p>
    <w:p w14:paraId="644E92A7" w14:textId="77777777" w:rsidR="00EA5444" w:rsidRDefault="00FD504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355CEEA1" w14:textId="77777777" w:rsidR="00EA5444" w:rsidRDefault="00EA5444">
      <w:pPr>
        <w:ind w:left="851" w:right="851"/>
        <w:jc w:val="both"/>
        <w:rPr>
          <w:rFonts w:ascii="Palatino Linotype" w:eastAsia="Palatino Linotype" w:hAnsi="Palatino Linotype" w:cs="Palatino Linotype"/>
          <w:b/>
          <w:i/>
          <w:sz w:val="22"/>
          <w:szCs w:val="22"/>
        </w:rPr>
      </w:pPr>
    </w:p>
    <w:p w14:paraId="493B67C9" w14:textId="77777777" w:rsidR="00EA5444" w:rsidRDefault="00FD504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“REGISTRO PRESUPUESTARIO</w:t>
      </w:r>
    </w:p>
    <w:p w14:paraId="070966EF" w14:textId="77777777" w:rsidR="00EA5444" w:rsidRDefault="00FD504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0EBE9B4B" w14:textId="77777777" w:rsidR="00EA5444" w:rsidRDefault="00EA5444">
      <w:pPr>
        <w:ind w:left="851" w:right="851"/>
        <w:jc w:val="both"/>
        <w:rPr>
          <w:rFonts w:ascii="Palatino Linotype" w:eastAsia="Palatino Linotype" w:hAnsi="Palatino Linotype" w:cs="Palatino Linotype"/>
          <w:i/>
          <w:sz w:val="22"/>
          <w:szCs w:val="22"/>
        </w:rPr>
      </w:pPr>
    </w:p>
    <w:p w14:paraId="41585620" w14:textId="77777777" w:rsidR="00EA5444" w:rsidRDefault="00FD504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se establece que el sistema de contabilidad sobre base acumulativa total se sustentará en los principios de contabilidad gubernamental.</w:t>
      </w:r>
    </w:p>
    <w:p w14:paraId="74ECE735"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lo anterior, es preciso referir una definición de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3F6ED770" w14:textId="77777777" w:rsidR="00EA5444" w:rsidRDefault="00FD504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PÓLIZA CONTABLE</w:t>
      </w:r>
    </w:p>
    <w:p w14:paraId="1A4BAED8" w14:textId="77777777" w:rsidR="00EA5444" w:rsidRDefault="00FD504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647F4F10" w14:textId="77777777" w:rsidR="00EA5444" w:rsidRDefault="00EA5444">
      <w:pPr>
        <w:ind w:left="851" w:right="851"/>
        <w:jc w:val="both"/>
        <w:rPr>
          <w:rFonts w:ascii="Palatino Linotype" w:eastAsia="Palatino Linotype" w:hAnsi="Palatino Linotype" w:cs="Palatino Linotype"/>
          <w:i/>
          <w:sz w:val="22"/>
          <w:szCs w:val="22"/>
        </w:rPr>
      </w:pPr>
    </w:p>
    <w:p w14:paraId="0308F44E"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advierte que la </w:t>
      </w:r>
      <w:r>
        <w:rPr>
          <w:rFonts w:ascii="Palatino Linotype" w:eastAsia="Palatino Linotype" w:hAnsi="Palatino Linotype" w:cs="Palatino Linotype"/>
          <w:i/>
        </w:rPr>
        <w:t>póliza contable</w:t>
      </w:r>
      <w:r>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w:t>
      </w:r>
      <w:r>
        <w:rPr>
          <w:rFonts w:ascii="Palatino Linotype" w:eastAsia="Palatino Linotype" w:hAnsi="Palatino Linotype" w:cs="Palatino Linotype"/>
        </w:rPr>
        <w:lastRenderedPageBreak/>
        <w:t>anotaciones y cantidades en ellas registradas, lo que permite la identificación plena de dichas operaciones.</w:t>
      </w:r>
    </w:p>
    <w:p w14:paraId="0990FF80"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rPr>
        <w:t>pólizas de egresos</w:t>
      </w:r>
      <w:r>
        <w:rPr>
          <w:rFonts w:ascii="Palatino Linotype" w:eastAsia="Palatino Linotype" w:hAnsi="Palatino Linotype" w:cs="Palatino Linotype"/>
        </w:rPr>
        <w:t xml:space="preserve">, son aquellas en las cuales se anotan diariamente las operaciones que representan gastos, es decir, salidas de dinero para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las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además, deben encontrarse acompañadas de las documentales que sirven de soporte de dicho movimiento. </w:t>
      </w:r>
    </w:p>
    <w:p w14:paraId="1AA67698" w14:textId="77777777" w:rsidR="00EA5444" w:rsidRDefault="00FD504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los Lineamientos para la integración y entrega del Informe Trimestral Municipal 2022, </w:t>
      </w:r>
      <w:r>
        <w:rPr>
          <w:rFonts w:ascii="Palatino Linotype" w:eastAsia="Palatino Linotype" w:hAnsi="Palatino Linotype" w:cs="Palatino Linotype"/>
        </w:rPr>
        <w:t xml:space="preserve">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Pr>
          <w:rFonts w:ascii="Palatino Linotype" w:eastAsia="Palatino Linotype" w:hAnsi="Palatino Linotype" w:cs="Palatino Linotype"/>
          <w:b/>
          <w:i/>
        </w:rPr>
        <w:t>pólizas de egresos</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de tal manera que, dichos formatos constituyen un soporte documental con el cual de manera enunciativa más no limitativa,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pudiera atender los requerimientos de información, para una mayor referencia se inserta la captura de pantalla del formato correspondiente: </w:t>
      </w:r>
    </w:p>
    <w:p w14:paraId="7F206C50" w14:textId="77777777" w:rsidR="00EA5444" w:rsidRDefault="00FD5040">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val="es-MX"/>
        </w:rPr>
        <w:lastRenderedPageBreak/>
        <w:drawing>
          <wp:inline distT="0" distB="0" distL="0" distR="0" wp14:anchorId="293157DA" wp14:editId="65041BB0">
            <wp:extent cx="5120410" cy="4489248"/>
            <wp:effectExtent l="0" t="0" r="0" b="0"/>
            <wp:docPr id="5639680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120410" cy="4489248"/>
                    </a:xfrm>
                    <a:prstGeom prst="rect">
                      <a:avLst/>
                    </a:prstGeom>
                    <a:ln/>
                  </pic:spPr>
                </pic:pic>
              </a:graphicData>
            </a:graphic>
          </wp:inline>
        </w:drawing>
      </w:r>
    </w:p>
    <w:p w14:paraId="19E8387B" w14:textId="77777777" w:rsidR="00EA5444" w:rsidRDefault="00FD5040">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val="es-MX"/>
        </w:rPr>
        <w:lastRenderedPageBreak/>
        <w:drawing>
          <wp:inline distT="0" distB="0" distL="0" distR="0" wp14:anchorId="69A71271" wp14:editId="497B5B48">
            <wp:extent cx="5277224" cy="6440778"/>
            <wp:effectExtent l="0" t="0" r="0" b="0"/>
            <wp:docPr id="5639680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277224" cy="6440778"/>
                    </a:xfrm>
                    <a:prstGeom prst="rect">
                      <a:avLst/>
                    </a:prstGeom>
                    <a:ln/>
                  </pic:spPr>
                </pic:pic>
              </a:graphicData>
            </a:graphic>
          </wp:inline>
        </w:drawing>
      </w:r>
    </w:p>
    <w:p w14:paraId="7CCB88D8" w14:textId="77777777" w:rsidR="00EA5444" w:rsidRDefault="00FD5040">
      <w:pPr>
        <w:spacing w:before="240" w:after="240" w:line="360" w:lineRule="auto"/>
        <w:jc w:val="both"/>
        <w:rPr>
          <w:rFonts w:ascii="Palatino Linotype" w:eastAsia="Palatino Linotype" w:hAnsi="Palatino Linotype" w:cs="Palatino Linotype"/>
          <w:color w:val="000000"/>
          <w:highlight w:val="yellow"/>
        </w:rPr>
      </w:pPr>
      <w:r>
        <w:rPr>
          <w:rFonts w:ascii="Palatino Linotype" w:eastAsia="Palatino Linotype" w:hAnsi="Palatino Linotype" w:cs="Palatino Linotype"/>
          <w:noProof/>
          <w:color w:val="000000"/>
          <w:highlight w:val="yellow"/>
          <w:lang w:val="es-MX"/>
        </w:rPr>
        <w:lastRenderedPageBreak/>
        <w:drawing>
          <wp:inline distT="0" distB="0" distL="0" distR="0" wp14:anchorId="1C69B805" wp14:editId="1EC549A5">
            <wp:extent cx="5486400" cy="6772275"/>
            <wp:effectExtent l="0" t="0" r="0" b="0"/>
            <wp:docPr id="5639680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486400" cy="6772275"/>
                    </a:xfrm>
                    <a:prstGeom prst="rect">
                      <a:avLst/>
                    </a:prstGeom>
                    <a:ln/>
                  </pic:spPr>
                </pic:pic>
              </a:graphicData>
            </a:graphic>
          </wp:inline>
        </w:drawing>
      </w:r>
    </w:p>
    <w:p w14:paraId="274DAF38" w14:textId="77777777" w:rsidR="00EA5444" w:rsidRDefault="00FD504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Aunado a lo anterior, los citados Lineamientos especifican que las imágenes contenidas deben ser indexadas de manera que se permita su vinculación con la información </w:t>
      </w:r>
      <w:r>
        <w:rPr>
          <w:rFonts w:ascii="Palatino Linotype" w:eastAsia="Palatino Linotype" w:hAnsi="Palatino Linotype" w:cs="Palatino Linotype"/>
          <w:color w:val="000000"/>
        </w:rPr>
        <w:lastRenderedPageBreak/>
        <w:t xml:space="preserve">financiera, de tal forma que al consultar la citada información financiera se pueda visualizar el soporte documental que justifique los registros contables. </w:t>
      </w:r>
    </w:p>
    <w:p w14:paraId="6A47CEC8" w14:textId="77777777" w:rsidR="00EA5444" w:rsidRDefault="00FD504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sobre las requisiciones, los Lineamientos de Control Financiero y Administrativo para las Entidades Fiscalizables Municipales del Estado de México, disponen lo siguiente:</w:t>
      </w:r>
    </w:p>
    <w:p w14:paraId="5FD4CDE2" w14:textId="77777777" w:rsidR="00EA5444" w:rsidRDefault="00FD5040">
      <w:pPr>
        <w:spacing w:before="240" w:after="240"/>
        <w:ind w:left="567" w:right="70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sz w:val="22"/>
          <w:szCs w:val="22"/>
        </w:rPr>
        <w:t xml:space="preserve">ALMACÉN </w:t>
      </w:r>
    </w:p>
    <w:p w14:paraId="01EB4147" w14:textId="77777777" w:rsidR="00EA5444" w:rsidRDefault="00FD5040">
      <w:pPr>
        <w:spacing w:before="240" w:after="240"/>
        <w:ind w:left="567" w:right="70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Son obligaciones del </w:t>
      </w:r>
      <w:proofErr w:type="gramStart"/>
      <w:r>
        <w:rPr>
          <w:rFonts w:ascii="Palatino Linotype" w:eastAsia="Palatino Linotype" w:hAnsi="Palatino Linotype" w:cs="Palatino Linotype"/>
          <w:i/>
          <w:color w:val="000000"/>
          <w:sz w:val="22"/>
          <w:szCs w:val="22"/>
        </w:rPr>
        <w:t>Responsable</w:t>
      </w:r>
      <w:proofErr w:type="gramEnd"/>
      <w:r>
        <w:rPr>
          <w:rFonts w:ascii="Palatino Linotype" w:eastAsia="Palatino Linotype" w:hAnsi="Palatino Linotype" w:cs="Palatino Linotype"/>
          <w:i/>
          <w:color w:val="000000"/>
          <w:sz w:val="22"/>
          <w:szCs w:val="22"/>
        </w:rPr>
        <w:t xml:space="preserve"> del Almacén: </w:t>
      </w:r>
    </w:p>
    <w:p w14:paraId="39340308" w14:textId="77777777" w:rsidR="00EA5444" w:rsidRDefault="00FD5040">
      <w:pPr>
        <w:spacing w:before="240" w:after="240"/>
        <w:ind w:left="567" w:right="70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98. </w:t>
      </w:r>
      <w:r>
        <w:rPr>
          <w:rFonts w:ascii="Palatino Linotype" w:eastAsia="Palatino Linotype" w:hAnsi="Palatino Linotype" w:cs="Palatino Linotype"/>
          <w:b/>
          <w:i/>
          <w:color w:val="000000"/>
          <w:sz w:val="22"/>
          <w:szCs w:val="22"/>
          <w:u w:val="single"/>
        </w:rPr>
        <w:t>Verificar que todas las entradas se hayan realizado conforme al pedido o requisición de compra</w:t>
      </w:r>
      <w:r>
        <w:rPr>
          <w:rFonts w:ascii="Palatino Linotype" w:eastAsia="Palatino Linotype" w:hAnsi="Palatino Linotype" w:cs="Palatino Linotype"/>
          <w:i/>
          <w:color w:val="000000"/>
          <w:sz w:val="22"/>
          <w:szCs w:val="22"/>
        </w:rPr>
        <w:t xml:space="preserve">, registrándose en el </w:t>
      </w:r>
      <w:proofErr w:type="spellStart"/>
      <w:r>
        <w:rPr>
          <w:rFonts w:ascii="Palatino Linotype" w:eastAsia="Palatino Linotype" w:hAnsi="Palatino Linotype" w:cs="Palatino Linotype"/>
          <w:i/>
          <w:color w:val="000000"/>
          <w:sz w:val="22"/>
          <w:szCs w:val="22"/>
        </w:rPr>
        <w:t>kardex</w:t>
      </w:r>
      <w:proofErr w:type="spellEnd"/>
      <w:r>
        <w:rPr>
          <w:rFonts w:ascii="Palatino Linotype" w:eastAsia="Palatino Linotype" w:hAnsi="Palatino Linotype" w:cs="Palatino Linotype"/>
          <w:i/>
          <w:color w:val="000000"/>
          <w:sz w:val="22"/>
          <w:szCs w:val="22"/>
        </w:rPr>
        <w:t xml:space="preserve"> o sistema automatizado y a su vez reportarlas al área correspondiente para su registro contable.”</w:t>
      </w:r>
    </w:p>
    <w:p w14:paraId="1B651344"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existe fuente obligacional para generar las requisiciones, toda vez que sirven como referencia para determinar si las entradas coinciden con los registros contables. </w:t>
      </w:r>
    </w:p>
    <w:p w14:paraId="0FA0DB84"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w:t>
      </w:r>
      <w:r>
        <w:rPr>
          <w:rFonts w:ascii="Palatino Linotype" w:eastAsia="Palatino Linotype" w:hAnsi="Palatino Linotype" w:cs="Palatino Linotype"/>
          <w:color w:val="000000"/>
        </w:rPr>
        <w:t xml:space="preserve">este Instituto estima pertinente ordenar una búsqueda exhaustiva y razonable para efecto de entregar los documentos donde conste el costo del escenario que pusieron para </w:t>
      </w:r>
      <w:proofErr w:type="gramStart"/>
      <w:r>
        <w:rPr>
          <w:rFonts w:ascii="Palatino Linotype" w:eastAsia="Palatino Linotype" w:hAnsi="Palatino Linotype" w:cs="Palatino Linotype"/>
          <w:color w:val="000000"/>
        </w:rPr>
        <w:t>la kermes</w:t>
      </w:r>
      <w:proofErr w:type="gramEnd"/>
      <w:r>
        <w:rPr>
          <w:rFonts w:ascii="Palatino Linotype" w:eastAsia="Palatino Linotype" w:hAnsi="Palatino Linotype" w:cs="Palatino Linotype"/>
          <w:color w:val="000000"/>
        </w:rPr>
        <w:t xml:space="preserve"> del amor y la amistad, así como los oficios de requisición y las facturas pagadas, de ser procedente en versión pública, en términos del siguiente considerando</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w:t>
      </w:r>
    </w:p>
    <w:p w14:paraId="29121931" w14:textId="77777777" w:rsidR="00EA5444" w:rsidRDefault="00FD50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los mismos a fin de satisfacer el derecho </w:t>
      </w:r>
      <w:r>
        <w:rPr>
          <w:rFonts w:ascii="Palatino Linotype" w:eastAsia="Palatino Linotype" w:hAnsi="Palatino Linotype" w:cs="Palatino Linotype"/>
        </w:rPr>
        <w:lastRenderedPageBreak/>
        <w:t xml:space="preserve">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menoscabo al derecho a la protección de los datos personales de terceros.</w:t>
      </w:r>
    </w:p>
    <w:p w14:paraId="365D3628"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0F36FB4"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061117B3"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C6D032"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E2DE168"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212D4B6B"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B30C47"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CEAF9C7"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7D160B"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2C37A2A"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La clasificación de la información se llevará a cabo en el momento en que:</w:t>
      </w:r>
    </w:p>
    <w:p w14:paraId="303272C1"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1A691342"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C1486D8"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A85EB54"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A1CDB6"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05D6A93"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ACE70BA"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C77BFD"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3BEC92BF"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DC66A59"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FEAC4AE"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C8813DD"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B6ED827"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w:t>
      </w:r>
      <w:r>
        <w:rPr>
          <w:rFonts w:ascii="Palatino Linotype" w:eastAsia="Palatino Linotype" w:hAnsi="Palatino Linotype" w:cs="Palatino Linotype"/>
          <w:i/>
          <w:sz w:val="22"/>
          <w:szCs w:val="22"/>
        </w:rPr>
        <w:lastRenderedPageBreak/>
        <w:t>obligados, previo pago de los costos de reproducción, a través de sus áreas y deberá ser aprobada por su Comité de Transparencia</w:t>
      </w:r>
    </w:p>
    <w:p w14:paraId="66674C52"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3E7E53E"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252543E"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B768465"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CC20789"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sz w:val="22"/>
          <w:szCs w:val="22"/>
        </w:rPr>
        <w:t>internaciones suscritos</w:t>
      </w:r>
      <w:proofErr w:type="gramEnd"/>
      <w:r>
        <w:rPr>
          <w:rFonts w:ascii="Palatino Linotype" w:eastAsia="Palatino Linotype" w:hAnsi="Palatino Linotype" w:cs="Palatino Linotype"/>
          <w:i/>
          <w:sz w:val="22"/>
          <w:szCs w:val="22"/>
        </w:rPr>
        <w:t xml:space="preserve"> por el Estado mexicano. </w:t>
      </w:r>
    </w:p>
    <w:p w14:paraId="0AA7DB87"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49D8BD4"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0B0A304A"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clave de elector</w:t>
      </w:r>
      <w:r>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w:t>
      </w:r>
      <w:r>
        <w:rPr>
          <w:rFonts w:ascii="Palatino Linotype" w:eastAsia="Palatino Linotype" w:hAnsi="Palatino Linotype" w:cs="Palatino Linotype"/>
        </w:rPr>
        <w:lastRenderedPageBreak/>
        <w:t xml:space="preserve">una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que distingue a su titular de cualquier otro homónimo, por lo tanto, se trata de un dato personal que debe ser protegido.</w:t>
      </w:r>
    </w:p>
    <w:p w14:paraId="20EB4C6B"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número de OCR,</w:t>
      </w:r>
      <w:r>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Pr>
          <w:rFonts w:ascii="Palatino Linotype" w:eastAsia="Palatino Linotype" w:hAnsi="Palatino Linotype" w:cs="Palatino Linotype"/>
        </w:rPr>
        <w:t>geoelectoral</w:t>
      </w:r>
      <w:proofErr w:type="spellEnd"/>
      <w:r>
        <w:rPr>
          <w:rFonts w:ascii="Palatino Linotype" w:eastAsia="Palatino Linotype" w:hAnsi="Palatino Linotype" w:cs="Palatino Linotype"/>
        </w:rPr>
        <w:t xml:space="preserve"> ahí contenida, por lo que es susceptible de resguardarse.</w:t>
      </w:r>
    </w:p>
    <w:p w14:paraId="7DDF6DEC"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clave única del registro de población,</w:t>
      </w:r>
      <w:r>
        <w:rPr>
          <w:rFonts w:ascii="Palatino Linotype" w:eastAsia="Palatino Linotype" w:hAnsi="Palatino Linotype" w:cs="Palatino Linotype"/>
          <w:i/>
        </w:rPr>
        <w:t xml:space="preserve"> </w:t>
      </w:r>
      <w:r>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F88FAC1"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resulta importante destacar que el </w:t>
      </w:r>
      <w:r>
        <w:rPr>
          <w:rFonts w:ascii="Palatino Linotype" w:eastAsia="Palatino Linotype" w:hAnsi="Palatino Linotype" w:cs="Palatino Linotype"/>
          <w:i/>
        </w:rPr>
        <w:t>número de cuenta bancaria</w:t>
      </w:r>
      <w:r>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508C06A"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7BCA778C"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1593C48"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776A6AE6"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4893E41A"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6CA29EAC"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35AE1589" w14:textId="77777777" w:rsidR="00EA5444" w:rsidRDefault="00FD504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w:t>
      </w:r>
      <w:r>
        <w:rPr>
          <w:rFonts w:ascii="Palatino Linotype" w:eastAsia="Palatino Linotype" w:hAnsi="Palatino Linotype" w:cs="Palatino Linotype"/>
          <w:i/>
          <w:sz w:val="22"/>
          <w:szCs w:val="22"/>
        </w:rPr>
        <w:lastRenderedPageBreak/>
        <w:t>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27CF5B8" w14:textId="77777777" w:rsidR="00EA5444" w:rsidRDefault="00FD5040">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EEB8297"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 xml:space="preserve">Registro Federal de Contribuyentes (RFC) </w:t>
      </w:r>
      <w:r>
        <w:rPr>
          <w:rFonts w:ascii="Palatino Linotype" w:eastAsia="Palatino Linotype" w:hAnsi="Palatino Linotype" w:cs="Palatino Linotype"/>
        </w:rPr>
        <w:t>y</w:t>
      </w:r>
      <w:r>
        <w:rPr>
          <w:rFonts w:ascii="Palatino Linotype" w:eastAsia="Palatino Linotype" w:hAnsi="Palatino Linotype" w:cs="Palatino Linotype"/>
          <w:b/>
        </w:rPr>
        <w:t xml:space="preserve"> el domicilio fiscal </w:t>
      </w:r>
      <w:r>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BFDA050"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BFC0582"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Pr>
          <w:rFonts w:ascii="Palatino Linotype" w:eastAsia="Palatino Linotype" w:hAnsi="Palatino Linotype" w:cs="Palatino Linotype"/>
          <w:b/>
        </w:rPr>
        <w:t>no puede considerarse como información clasificada lo relativo a su nombre, registro federal de contribuyentes y domicilio fiscal</w:t>
      </w:r>
      <w:r>
        <w:rPr>
          <w:rFonts w:ascii="Palatino Linotype" w:eastAsia="Palatino Linotype" w:hAnsi="Palatino Linotype" w:cs="Palatino Linotype"/>
        </w:rPr>
        <w:t xml:space="preserve">, atento a que dicha información es la que </w:t>
      </w:r>
      <w:r>
        <w:rPr>
          <w:rFonts w:ascii="Palatino Linotype" w:eastAsia="Palatino Linotype" w:hAnsi="Palatino Linotype" w:cs="Palatino Linotype"/>
        </w:rPr>
        <w:lastRenderedPageBreak/>
        <w:t>puede generar certeza en los gobernados en que se está ejerciendo debidamente el presupuesto.</w:t>
      </w:r>
    </w:p>
    <w:p w14:paraId="0E6C5486"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6CF35BBD"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“Registro Federal de Contribuyentes (RFC) de personas físicas proveedoras o contratistas. </w:t>
      </w:r>
      <w:r>
        <w:rPr>
          <w:rFonts w:ascii="Palatino Linotype" w:eastAsia="Palatino Linotype" w:hAnsi="Palatino Linotype" w:cs="Palatino Linotype"/>
          <w:i/>
          <w:sz w:val="22"/>
          <w:szCs w:val="22"/>
        </w:rPr>
        <w:t xml:space="preserve">El RFC de contratistas o proveedores de los sujetos obligados debe ser público,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4F13514D"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Relacionado con lo anterior, el </w:t>
      </w:r>
      <w:r>
        <w:rPr>
          <w:rFonts w:ascii="Palatino Linotype" w:eastAsia="Palatino Linotype" w:hAnsi="Palatino Linotype" w:cs="Palatino Linotype"/>
          <w:b/>
        </w:rPr>
        <w:t>nombre de las personas físicas</w:t>
      </w:r>
      <w:r>
        <w:rPr>
          <w:rFonts w:ascii="Palatino Linotype" w:eastAsia="Palatino Linotype" w:hAnsi="Palatino Linotype" w:cs="Palatino Linotype"/>
        </w:rPr>
        <w:t xml:space="preserve"> o los </w:t>
      </w:r>
      <w:r>
        <w:rPr>
          <w:rFonts w:ascii="Palatino Linotype" w:eastAsia="Palatino Linotype" w:hAnsi="Palatino Linotype" w:cs="Palatino Linotype"/>
          <w:b/>
        </w:rPr>
        <w:t>representantes legales de las personas morales</w:t>
      </w:r>
      <w:r>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322E9B0" w14:textId="77777777" w:rsidR="00EA5444" w:rsidRDefault="00FD504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5D6BE24C"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w:t>
      </w:r>
    </w:p>
    <w:p w14:paraId="0ED563E4"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B65D2FC" w14:textId="77777777" w:rsidR="00EA5444" w:rsidRDefault="00FD504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7C5BC703" w14:textId="77777777" w:rsidR="00EA5444" w:rsidRDefault="00FD5040">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“Datos de identificación del representante o apoderado legal.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Naturaleza jurídica. </w:t>
      </w:r>
      <w:r>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Pr>
          <w:rFonts w:ascii="Palatino Linotype" w:eastAsia="Palatino Linotype" w:hAnsi="Palatino Linotype" w:cs="Palatino Linotype"/>
          <w:i/>
          <w:sz w:val="22"/>
          <w:szCs w:val="22"/>
        </w:rPr>
        <w:t>.”</w:t>
      </w:r>
    </w:p>
    <w:p w14:paraId="67EECA81"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Mientras que en el caso del </w:t>
      </w:r>
      <w:r>
        <w:rPr>
          <w:rFonts w:ascii="Palatino Linotype" w:eastAsia="Palatino Linotype" w:hAnsi="Palatino Linotype" w:cs="Palatino Linotype"/>
          <w:b/>
        </w:rPr>
        <w:t>folio fiscal</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cadena original, </w:t>
      </w:r>
      <w:r>
        <w:rPr>
          <w:rFonts w:ascii="Palatino Linotype" w:eastAsia="Palatino Linotype" w:hAnsi="Palatino Linotype" w:cs="Palatino Linotype"/>
        </w:rPr>
        <w:t>los</w:t>
      </w:r>
      <w:r>
        <w:rPr>
          <w:rFonts w:ascii="Palatino Linotype" w:eastAsia="Palatino Linotype" w:hAnsi="Palatino Linotype" w:cs="Palatino Linotype"/>
          <w:b/>
        </w:rPr>
        <w:t xml:space="preserve"> códigos bidimensionales o códigos QR,</w:t>
      </w:r>
      <w:r>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w:t>
      </w:r>
      <w:r>
        <w:rPr>
          <w:rFonts w:ascii="Palatino Linotype" w:eastAsia="Palatino Linotype" w:hAnsi="Palatino Linotype" w:cs="Palatino Linotype"/>
        </w:rPr>
        <w:lastRenderedPageBreak/>
        <w:t>Transparencia y Acceso a la Información Pública del Estado de México y Municipios, de lo contrario, no es procedente su clasificación.</w:t>
      </w:r>
    </w:p>
    <w:p w14:paraId="4EDB9FFD"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A9580AE"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34766FE6"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la versión pública que elabore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 acompañarse del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w:t>
      </w:r>
      <w:r>
        <w:rPr>
          <w:rFonts w:ascii="Palatino Linotype" w:eastAsia="Palatino Linotype" w:hAnsi="Palatino Linotype" w:cs="Palatino Linotype"/>
        </w:rPr>
        <w:lastRenderedPageBreak/>
        <w:t xml:space="preserve">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u w:val="single"/>
        </w:rPr>
        <w:t>razones, motivos o circunstancias especiales</w:t>
      </w:r>
      <w:r>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3EAF987B"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71797CEC" w14:textId="77777777" w:rsidR="00EA5444" w:rsidRDefault="00FD504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segundo</w:t>
      </w:r>
      <w:r>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CBA6C8F" w14:textId="77777777" w:rsidR="00EA5444" w:rsidRDefault="00FD504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w:t>
      </w:r>
      <w:proofErr w:type="spellStart"/>
      <w:r>
        <w:rPr>
          <w:rFonts w:ascii="Palatino Linotype" w:eastAsia="Palatino Linotype" w:hAnsi="Palatino Linotype" w:cs="Palatino Linotype"/>
          <w:i/>
          <w:sz w:val="22"/>
          <w:szCs w:val="22"/>
        </w:rPr>
        <w:t>especifico</w:t>
      </w:r>
      <w:proofErr w:type="spellEnd"/>
      <w:r>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76E3897B" w14:textId="77777777" w:rsidR="00EA5444" w:rsidRDefault="00FD5040">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21E243B" w14:textId="77777777" w:rsidR="00EA5444" w:rsidRDefault="00FD5040">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9609851" w14:textId="77777777" w:rsidR="00EA5444" w:rsidRDefault="00FD5040">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Señalar las personas o instancias autorizadas a acceder a la información clasificada.</w:t>
      </w:r>
    </w:p>
    <w:p w14:paraId="79C02DB2" w14:textId="77777777" w:rsidR="00EA5444" w:rsidRDefault="00FD504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CA5F06F" w14:textId="77777777" w:rsidR="00EA5444" w:rsidRDefault="00FD5040">
      <w:pPr>
        <w:spacing w:before="240"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rPr>
        <w:lastRenderedPageBreak/>
        <w:t xml:space="preserve">Deberá observar el Lineamiento Quincuagésimo tercero de los Lineamientos Generales en Materia de Clasificación y Desclasificación de la Información </w:t>
      </w:r>
      <w:proofErr w:type="spellStart"/>
      <w:r>
        <w:rPr>
          <w:rFonts w:ascii="Palatino Linotype" w:eastAsia="Palatino Linotype" w:hAnsi="Palatino Linotype" w:cs="Palatino Linotype"/>
        </w:rPr>
        <w:t>supraindicados</w:t>
      </w:r>
      <w:proofErr w:type="spellEnd"/>
      <w:r>
        <w:rPr>
          <w:rFonts w:ascii="Palatino Linotype" w:eastAsia="Palatino Linotype" w:hAnsi="Palatino Linotype" w:cs="Palatino Linotype"/>
        </w:rPr>
        <w:t xml:space="preserve">, que establece los formatos para la clasificación de los documentos, conforme a lo siguiente: </w:t>
      </w:r>
    </w:p>
    <w:p w14:paraId="6505CC61" w14:textId="77777777" w:rsidR="00EA5444" w:rsidRDefault="00FD5040">
      <w:pPr>
        <w:ind w:left="851"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2A7EA152" w14:textId="77777777" w:rsidR="00EA5444" w:rsidRDefault="00FD5040">
      <w:pPr>
        <w:ind w:left="851"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LOS ELEMENTOS PARA LA CLASIFICACIÓN </w:t>
      </w:r>
    </w:p>
    <w:p w14:paraId="56FF98D6" w14:textId="77777777" w:rsidR="00EA5444" w:rsidRDefault="00FD5040">
      <w:pPr>
        <w:ind w:left="851" w:right="900"/>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6971F9D"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de un documento o expediente que contenga información reservada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es el siguiente: </w:t>
      </w:r>
    </w:p>
    <w:p w14:paraId="0EA483A9" w14:textId="77777777" w:rsidR="00EA5444" w:rsidRDefault="00FD5040">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11A710C4" wp14:editId="513AF02A">
            <wp:extent cx="4295775" cy="295275"/>
            <wp:effectExtent l="0" t="0" r="0" b="0"/>
            <wp:docPr id="563968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b="95731"/>
                    <a:stretch>
                      <a:fillRect/>
                    </a:stretch>
                  </pic:blipFill>
                  <pic:spPr>
                    <a:xfrm>
                      <a:off x="0" y="0"/>
                      <a:ext cx="4295775" cy="295275"/>
                    </a:xfrm>
                    <a:prstGeom prst="rect">
                      <a:avLst/>
                    </a:prstGeom>
                    <a:ln/>
                  </pic:spPr>
                </pic:pic>
              </a:graphicData>
            </a:graphic>
          </wp:inline>
        </w:drawing>
      </w:r>
    </w:p>
    <w:p w14:paraId="585B91A8" w14:textId="77777777" w:rsidR="00EA5444" w:rsidRDefault="00FD5040">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5D1C679A" wp14:editId="25BF71D0">
            <wp:extent cx="4333875" cy="775252"/>
            <wp:effectExtent l="0" t="0" r="0" b="0"/>
            <wp:docPr id="5639680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t="30906" b="57867"/>
                    <a:stretch>
                      <a:fillRect/>
                    </a:stretch>
                  </pic:blipFill>
                  <pic:spPr>
                    <a:xfrm>
                      <a:off x="0" y="0"/>
                      <a:ext cx="4333875" cy="775252"/>
                    </a:xfrm>
                    <a:prstGeom prst="rect">
                      <a:avLst/>
                    </a:prstGeom>
                    <a:ln/>
                  </pic:spPr>
                </pic:pic>
              </a:graphicData>
            </a:graphic>
          </wp:inline>
        </w:drawing>
      </w:r>
    </w:p>
    <w:p w14:paraId="4BEFBAC3" w14:textId="77777777" w:rsidR="00EA5444" w:rsidRDefault="00FD5040">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3C7DFD7F" wp14:editId="4872CF2C">
            <wp:extent cx="4333875" cy="3968523"/>
            <wp:effectExtent l="0" t="0" r="0" b="0"/>
            <wp:docPr id="5639680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t="41711" b="833"/>
                    <a:stretch>
                      <a:fillRect/>
                    </a:stretch>
                  </pic:blipFill>
                  <pic:spPr>
                    <a:xfrm>
                      <a:off x="0" y="0"/>
                      <a:ext cx="4333875" cy="3968523"/>
                    </a:xfrm>
                    <a:prstGeom prst="rect">
                      <a:avLst/>
                    </a:prstGeom>
                    <a:ln/>
                  </pic:spPr>
                </pic:pic>
              </a:graphicData>
            </a:graphic>
          </wp:inline>
        </w:drawing>
      </w:r>
    </w:p>
    <w:p w14:paraId="46DCB7C9"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que integren un expediente reservado en su totalidad no deberán marcarse en lo individual.</w:t>
      </w:r>
    </w:p>
    <w:p w14:paraId="1C8377E8"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7A9BC99B"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deberá observar los Lineamientos Quincuagésimo sexto, Quincuagésimo séptimo y Quincuagésimo octavo, establecen lo siguiente:</w:t>
      </w:r>
    </w:p>
    <w:p w14:paraId="459246B4"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7AF49ED"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AB3B71B"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B844E84"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DC4F146" w14:textId="77777777" w:rsidR="00EA5444" w:rsidRDefault="00FD5040">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768E3AB"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DF2FDC6" w14:textId="77777777" w:rsidR="00EA5444" w:rsidRDefault="00FD504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DFE68ED"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w:t>
      </w:r>
      <w:r>
        <w:rPr>
          <w:rFonts w:ascii="Palatino Linotype" w:eastAsia="Palatino Linotype" w:hAnsi="Palatino Linotype" w:cs="Palatino Linotype"/>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40C1753"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resulta procedente revocar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w:t>
      </w:r>
    </w:p>
    <w:p w14:paraId="0EE7B315" w14:textId="77777777" w:rsidR="00EA5444" w:rsidRDefault="00FD504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69CDDDB4" w14:textId="77777777" w:rsidR="00EA5444" w:rsidRDefault="00FD5040">
      <w:pPr>
        <w:numPr>
          <w:ilvl w:val="0"/>
          <w:numId w:val="6"/>
        </w:numPr>
        <w:spacing w:after="240" w:line="360" w:lineRule="auto"/>
        <w:ind w:left="2552" w:hanging="141"/>
        <w:jc w:val="both"/>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19BF419F"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01674/INFOEM/IP/RR/2023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b/>
          <w:color w:val="FF0000"/>
        </w:rPr>
        <w:t xml:space="preserve"> </w:t>
      </w:r>
    </w:p>
    <w:p w14:paraId="59453492" w14:textId="77777777" w:rsidR="00EA5444" w:rsidRDefault="00FD5040">
      <w:pPr>
        <w:spacing w:before="240" w:after="240" w:line="360" w:lineRule="auto"/>
        <w:ind w:right="49"/>
        <w:jc w:val="both"/>
        <w:rPr>
          <w:rFonts w:ascii="Palatino Linotype" w:eastAsia="Palatino Linotype" w:hAnsi="Palatino Linotype" w:cs="Palatino Linotype"/>
          <w:b/>
        </w:rPr>
      </w:pPr>
      <w:bookmarkStart w:id="5" w:name="_heading=h.1fob9te" w:colFirst="0" w:colLast="0"/>
      <w:bookmarkEnd w:id="5"/>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w:t>
      </w:r>
      <w:r>
        <w:rPr>
          <w:rFonts w:ascii="Palatino Linotype" w:eastAsia="Palatino Linotype" w:hAnsi="Palatino Linotype" w:cs="Palatino Linotype"/>
          <w:b/>
        </w:rPr>
        <w:t xml:space="preserve"> la parte Recurrente, previa búsqueda exhaustiva y razonable,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en versión pública de ser procedente</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de la presente resolución, lo siguiente: </w:t>
      </w:r>
    </w:p>
    <w:p w14:paraId="4EFEADA3" w14:textId="77777777" w:rsidR="00EA5444" w:rsidRDefault="00FD5040">
      <w:pPr>
        <w:tabs>
          <w:tab w:val="left" w:pos="7655"/>
        </w:tabs>
        <w:spacing w:after="12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Los documentos donde conste el costo del escenario que pusieron para </w:t>
      </w:r>
      <w:proofErr w:type="gramStart"/>
      <w:r>
        <w:rPr>
          <w:rFonts w:ascii="Palatino Linotype" w:eastAsia="Palatino Linotype" w:hAnsi="Palatino Linotype" w:cs="Palatino Linotype"/>
          <w:b/>
          <w:i/>
          <w:sz w:val="22"/>
          <w:szCs w:val="22"/>
        </w:rPr>
        <w:t>la kermes</w:t>
      </w:r>
      <w:proofErr w:type="gramEnd"/>
      <w:r>
        <w:rPr>
          <w:rFonts w:ascii="Palatino Linotype" w:eastAsia="Palatino Linotype" w:hAnsi="Palatino Linotype" w:cs="Palatino Linotype"/>
          <w:b/>
          <w:i/>
          <w:sz w:val="22"/>
          <w:szCs w:val="22"/>
        </w:rPr>
        <w:t xml:space="preserve"> del amor y la amistad, así como los oficios de requisición y las facturas pagadas.</w:t>
      </w:r>
    </w:p>
    <w:p w14:paraId="1B5835EF" w14:textId="77777777" w:rsidR="00EA5444" w:rsidRDefault="00FD5040">
      <w:pPr>
        <w:tabs>
          <w:tab w:val="left" w:pos="7655"/>
        </w:tabs>
        <w:spacing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w:t>
      </w:r>
    </w:p>
    <w:p w14:paraId="2219E4FF"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9E6E90">
        <w:rPr>
          <w:rFonts w:ascii="Palatino Linotype" w:eastAsia="Palatino Linotype" w:hAnsi="Palatino Linotype" w:cs="Palatino Linotype"/>
        </w:rPr>
        <w:t>treinta días hábiles</w:t>
      </w:r>
      <w:r>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72D5F0"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864716"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la presente resolución, así como que podrá impugnarla vía Juicio de Amparo en los términos de las leyes </w:t>
      </w:r>
      <w:r>
        <w:rPr>
          <w:rFonts w:ascii="Palatino Linotype" w:eastAsia="Palatino Linotype" w:hAnsi="Palatino Linotype" w:cs="Palatino Linotype"/>
        </w:rPr>
        <w:lastRenderedPageBreak/>
        <w:t xml:space="preserve">aplicables, de conformidad con lo establecido en el artículo 196 de la Ley de Transparencia y Acceso a la Información Pública del Estado de México y Municipios. </w:t>
      </w:r>
    </w:p>
    <w:p w14:paraId="5061C3E0" w14:textId="77777777" w:rsidR="00EA5444" w:rsidRDefault="00FD50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CELEBRADA EL CINCO DE JULIO DE DOS MIL VEINTITRÉS, ANTE EL SECRETARIO TÉCNICO DEL PLENO ALEXIS TAPIA RAMÍREZ.</w:t>
      </w:r>
    </w:p>
    <w:p w14:paraId="51A43AA5" w14:textId="77777777" w:rsidR="00B51047" w:rsidRDefault="009E6E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7782A33F" wp14:editId="69BDA70A">
                <wp:simplePos x="0" y="0"/>
                <wp:positionH relativeFrom="column">
                  <wp:posOffset>217036</wp:posOffset>
                </wp:positionH>
                <wp:positionV relativeFrom="paragraph">
                  <wp:posOffset>235437</wp:posOffset>
                </wp:positionV>
                <wp:extent cx="5305647" cy="3880884"/>
                <wp:effectExtent l="0" t="0" r="28575" b="24765"/>
                <wp:wrapNone/>
                <wp:docPr id="1" name="Conector recto 1"/>
                <wp:cNvGraphicFramePr/>
                <a:graphic xmlns:a="http://schemas.openxmlformats.org/drawingml/2006/main">
                  <a:graphicData uri="http://schemas.microsoft.com/office/word/2010/wordprocessingShape">
                    <wps:wsp>
                      <wps:cNvCnPr/>
                      <wps:spPr>
                        <a:xfrm>
                          <a:off x="0" y="0"/>
                          <a:ext cx="5305647" cy="3880884"/>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E3C66C9"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1pt,18.55pt" to="434.85pt,3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" strokecolor="#f68c36 [3049]"/>
            </w:pict>
          </mc:Fallback>
        </mc:AlternateContent>
      </w:r>
    </w:p>
    <w:p w14:paraId="246AB6B7" w14:textId="77777777" w:rsidR="00B51047" w:rsidRDefault="00B51047">
      <w:pPr>
        <w:spacing w:before="240" w:after="240" w:line="360" w:lineRule="auto"/>
        <w:jc w:val="both"/>
        <w:rPr>
          <w:rFonts w:ascii="Palatino Linotype" w:eastAsia="Palatino Linotype" w:hAnsi="Palatino Linotype" w:cs="Palatino Linotype"/>
        </w:rPr>
      </w:pPr>
    </w:p>
    <w:p w14:paraId="2CF05E1A" w14:textId="77777777" w:rsidR="00B51047" w:rsidRDefault="00B51047">
      <w:pPr>
        <w:spacing w:before="240" w:after="240" w:line="360" w:lineRule="auto"/>
        <w:jc w:val="both"/>
        <w:rPr>
          <w:rFonts w:ascii="Palatino Linotype" w:eastAsia="Palatino Linotype" w:hAnsi="Palatino Linotype" w:cs="Palatino Linotype"/>
        </w:rPr>
      </w:pPr>
    </w:p>
    <w:p w14:paraId="1C56DA33" w14:textId="77777777" w:rsidR="00B51047" w:rsidRDefault="00B51047">
      <w:pPr>
        <w:spacing w:before="240" w:after="240" w:line="360" w:lineRule="auto"/>
        <w:jc w:val="both"/>
        <w:rPr>
          <w:rFonts w:ascii="Palatino Linotype" w:eastAsia="Palatino Linotype" w:hAnsi="Palatino Linotype" w:cs="Palatino Linotype"/>
        </w:rPr>
      </w:pPr>
    </w:p>
    <w:p w14:paraId="4AFD8655" w14:textId="77777777" w:rsidR="00B51047" w:rsidRDefault="00B51047">
      <w:pPr>
        <w:spacing w:before="240" w:after="240" w:line="360" w:lineRule="auto"/>
        <w:jc w:val="both"/>
        <w:rPr>
          <w:rFonts w:ascii="Palatino Linotype" w:eastAsia="Palatino Linotype" w:hAnsi="Palatino Linotype" w:cs="Palatino Linotype"/>
        </w:rPr>
      </w:pPr>
    </w:p>
    <w:p w14:paraId="7B17405E" w14:textId="77777777" w:rsidR="00B51047" w:rsidRDefault="00B51047">
      <w:pPr>
        <w:spacing w:before="240" w:after="240" w:line="360" w:lineRule="auto"/>
        <w:jc w:val="both"/>
        <w:rPr>
          <w:rFonts w:ascii="Palatino Linotype" w:eastAsia="Palatino Linotype" w:hAnsi="Palatino Linotype" w:cs="Palatino Linotype"/>
        </w:rPr>
      </w:pPr>
    </w:p>
    <w:p w14:paraId="460D6004" w14:textId="77777777" w:rsidR="00B51047" w:rsidRDefault="00B51047">
      <w:pPr>
        <w:spacing w:before="240" w:after="240" w:line="360" w:lineRule="auto"/>
        <w:jc w:val="both"/>
        <w:rPr>
          <w:rFonts w:ascii="Palatino Linotype" w:eastAsia="Palatino Linotype" w:hAnsi="Palatino Linotype" w:cs="Palatino Linotype"/>
        </w:rPr>
      </w:pPr>
    </w:p>
    <w:p w14:paraId="0A295BB0" w14:textId="77777777" w:rsidR="00B51047" w:rsidRDefault="00B51047">
      <w:pPr>
        <w:spacing w:before="240" w:after="240" w:line="360" w:lineRule="auto"/>
        <w:jc w:val="both"/>
        <w:rPr>
          <w:rFonts w:ascii="Palatino Linotype" w:eastAsia="Palatino Linotype" w:hAnsi="Palatino Linotype" w:cs="Palatino Linotype"/>
        </w:rPr>
      </w:pPr>
    </w:p>
    <w:p w14:paraId="6FAF276E" w14:textId="77777777" w:rsidR="00B51047" w:rsidRDefault="00B51047">
      <w:pPr>
        <w:spacing w:before="240" w:after="240" w:line="360" w:lineRule="auto"/>
        <w:jc w:val="both"/>
        <w:rPr>
          <w:rFonts w:ascii="Palatino Linotype" w:eastAsia="Palatino Linotype" w:hAnsi="Palatino Linotype" w:cs="Palatino Linotype"/>
        </w:rPr>
      </w:pPr>
    </w:p>
    <w:p w14:paraId="2D88A584" w14:textId="77777777" w:rsidR="00B51047" w:rsidRDefault="00B51047">
      <w:pPr>
        <w:spacing w:before="240" w:after="240" w:line="360" w:lineRule="auto"/>
        <w:jc w:val="both"/>
        <w:rPr>
          <w:rFonts w:ascii="Palatino Linotype" w:eastAsia="Palatino Linotype" w:hAnsi="Palatino Linotype" w:cs="Palatino Linotype"/>
        </w:rPr>
      </w:pPr>
    </w:p>
    <w:p w14:paraId="6E428AD9" w14:textId="77777777" w:rsidR="00EA5444" w:rsidRDefault="00EA5444">
      <w:pPr>
        <w:spacing w:before="240" w:after="240" w:line="360" w:lineRule="auto"/>
        <w:jc w:val="both"/>
        <w:rPr>
          <w:rFonts w:ascii="Palatino Linotype" w:eastAsia="Palatino Linotype" w:hAnsi="Palatino Linotype" w:cs="Palatino Linotype"/>
        </w:rPr>
      </w:pPr>
    </w:p>
    <w:p w14:paraId="09D59521" w14:textId="77777777" w:rsidR="00EA5444" w:rsidRDefault="00EA5444">
      <w:pPr>
        <w:spacing w:before="240" w:after="240" w:line="360" w:lineRule="auto"/>
        <w:jc w:val="both"/>
        <w:rPr>
          <w:rFonts w:ascii="Palatino Linotype" w:eastAsia="Palatino Linotype" w:hAnsi="Palatino Linotype" w:cs="Palatino Linotype"/>
        </w:rPr>
      </w:pPr>
    </w:p>
    <w:p w14:paraId="61C6D4D9" w14:textId="77777777" w:rsidR="00EA5444" w:rsidRDefault="00EA5444">
      <w:pPr>
        <w:spacing w:before="240" w:after="240" w:line="360" w:lineRule="auto"/>
        <w:jc w:val="both"/>
        <w:rPr>
          <w:rFonts w:ascii="Palatino Linotype" w:eastAsia="Palatino Linotype" w:hAnsi="Palatino Linotype" w:cs="Palatino Linotype"/>
        </w:rPr>
      </w:pPr>
    </w:p>
    <w:p w14:paraId="23E07C13" w14:textId="77777777" w:rsidR="00EA5444" w:rsidRDefault="00EA5444">
      <w:pPr>
        <w:spacing w:before="240" w:after="240" w:line="360" w:lineRule="auto"/>
        <w:jc w:val="both"/>
        <w:rPr>
          <w:rFonts w:ascii="Palatino Linotype" w:eastAsia="Palatino Linotype" w:hAnsi="Palatino Linotype" w:cs="Palatino Linotype"/>
        </w:rPr>
      </w:pPr>
    </w:p>
    <w:p w14:paraId="7604A650" w14:textId="77777777" w:rsidR="00EA5444" w:rsidRDefault="00EA5444">
      <w:pPr>
        <w:spacing w:before="240" w:after="240" w:line="360" w:lineRule="auto"/>
        <w:jc w:val="both"/>
        <w:rPr>
          <w:rFonts w:ascii="Palatino Linotype" w:eastAsia="Palatino Linotype" w:hAnsi="Palatino Linotype" w:cs="Palatino Linotype"/>
        </w:rPr>
      </w:pPr>
    </w:p>
    <w:p w14:paraId="2B6D3ADB" w14:textId="77777777" w:rsidR="00EA5444" w:rsidRDefault="00EA5444">
      <w:pPr>
        <w:spacing w:before="240" w:after="240" w:line="360" w:lineRule="auto"/>
        <w:jc w:val="both"/>
        <w:rPr>
          <w:rFonts w:ascii="Palatino Linotype" w:eastAsia="Palatino Linotype" w:hAnsi="Palatino Linotype" w:cs="Palatino Linotype"/>
        </w:rPr>
      </w:pPr>
    </w:p>
    <w:p w14:paraId="1877BDB3" w14:textId="77777777" w:rsidR="00EA5444" w:rsidRDefault="00EA5444">
      <w:pPr>
        <w:spacing w:before="240" w:after="240" w:line="360" w:lineRule="auto"/>
        <w:jc w:val="both"/>
        <w:rPr>
          <w:rFonts w:ascii="Palatino Linotype" w:eastAsia="Palatino Linotype" w:hAnsi="Palatino Linotype" w:cs="Palatino Linotype"/>
        </w:rPr>
      </w:pPr>
    </w:p>
    <w:p w14:paraId="44B54336" w14:textId="77777777" w:rsidR="00EA5444" w:rsidRDefault="00EA5444">
      <w:pPr>
        <w:spacing w:before="240" w:after="240" w:line="360" w:lineRule="auto"/>
        <w:jc w:val="both"/>
        <w:rPr>
          <w:rFonts w:ascii="Palatino Linotype" w:eastAsia="Palatino Linotype" w:hAnsi="Palatino Linotype" w:cs="Palatino Linotype"/>
        </w:rPr>
      </w:pPr>
    </w:p>
    <w:p w14:paraId="78E03785" w14:textId="77777777" w:rsidR="00EA5444" w:rsidRDefault="00EA5444">
      <w:pPr>
        <w:spacing w:before="240" w:after="240" w:line="360" w:lineRule="auto"/>
        <w:jc w:val="both"/>
        <w:rPr>
          <w:rFonts w:ascii="Palatino Linotype" w:eastAsia="Palatino Linotype" w:hAnsi="Palatino Linotype" w:cs="Palatino Linotype"/>
        </w:rPr>
      </w:pPr>
    </w:p>
    <w:sectPr w:rsidR="00EA5444">
      <w:headerReference w:type="default" r:id="rId20"/>
      <w:footerReference w:type="default" r:id="rId21"/>
      <w:headerReference w:type="first" r:id="rId22"/>
      <w:footerReference w:type="first" r:id="rId23"/>
      <w:pgSz w:w="12240" w:h="15840"/>
      <w:pgMar w:top="1985" w:right="1325"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CA521" w14:textId="77777777" w:rsidR="008A3933" w:rsidRDefault="008A3933">
      <w:r>
        <w:separator/>
      </w:r>
    </w:p>
  </w:endnote>
  <w:endnote w:type="continuationSeparator" w:id="0">
    <w:p w14:paraId="04A42F4F" w14:textId="77777777" w:rsidR="008A3933" w:rsidRDefault="008A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5A3C" w14:textId="77777777" w:rsidR="00EA5444" w:rsidRDefault="00FD50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808BC">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808BC">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7D7181C4" w14:textId="77777777" w:rsidR="00EA5444" w:rsidRDefault="00EA544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92B5" w14:textId="77777777" w:rsidR="00EA5444" w:rsidRDefault="00FD50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808B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808BC">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337D30ED" w14:textId="77777777" w:rsidR="00EA5444" w:rsidRDefault="00EA544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0DEA" w14:textId="77777777" w:rsidR="008A3933" w:rsidRDefault="008A3933">
      <w:r>
        <w:separator/>
      </w:r>
    </w:p>
  </w:footnote>
  <w:footnote w:type="continuationSeparator" w:id="0">
    <w:p w14:paraId="71428319" w14:textId="77777777" w:rsidR="008A3933" w:rsidRDefault="008A3933">
      <w:r>
        <w:continuationSeparator/>
      </w:r>
    </w:p>
  </w:footnote>
  <w:footnote w:id="1">
    <w:p w14:paraId="2F590B81" w14:textId="77777777" w:rsidR="00EA5444" w:rsidRDefault="00FD504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Consultable en: </w:t>
      </w:r>
      <w:hyperlink r:id="rId1">
        <w:r>
          <w:rPr>
            <w:rFonts w:ascii="Cambria" w:eastAsia="Cambria" w:hAnsi="Cambria" w:cs="Cambria"/>
            <w:color w:val="0000FF"/>
            <w:sz w:val="20"/>
            <w:szCs w:val="20"/>
            <w:u w:val="single"/>
          </w:rPr>
          <w:t>https://m.facebook.com/story.php?story_fbid=pfbid0VGCeWoqVEzXmb3CgPi4nU2k48LB5sYEagWWbiXeZFn6B8sX6MXtbAv4fcwgVCFUAl&amp;id=100083221335972&amp;m_entstream_source=timeline&amp;__tn__=H-R</w:t>
        </w:r>
      </w:hyperlink>
      <w:r>
        <w:rPr>
          <w:rFonts w:ascii="Cambria" w:eastAsia="Cambria" w:hAnsi="Cambria" w:cs="Cambria"/>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75CA" w14:textId="77777777" w:rsidR="00EA5444" w:rsidRDefault="00FD504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40E983E" wp14:editId="1EF36009">
          <wp:simplePos x="0" y="0"/>
          <wp:positionH relativeFrom="column">
            <wp:posOffset>-1127124</wp:posOffset>
          </wp:positionH>
          <wp:positionV relativeFrom="paragraph">
            <wp:posOffset>-344804</wp:posOffset>
          </wp:positionV>
          <wp:extent cx="7809865" cy="10165715"/>
          <wp:effectExtent l="0" t="0" r="0" b="0"/>
          <wp:wrapNone/>
          <wp:docPr id="5639680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EA5444" w14:paraId="294DC3AA" w14:textId="77777777">
      <w:tc>
        <w:tcPr>
          <w:tcW w:w="2489" w:type="dxa"/>
          <w:shd w:val="clear" w:color="auto" w:fill="auto"/>
        </w:tcPr>
        <w:p w14:paraId="107C857A"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4194A8D" w14:textId="77777777" w:rsidR="00EA5444" w:rsidRDefault="00FD504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01674/INFOEM/IP/RR/2023</w:t>
          </w:r>
        </w:p>
      </w:tc>
    </w:tr>
    <w:tr w:rsidR="00EA5444" w14:paraId="0F88D82E" w14:textId="77777777">
      <w:trPr>
        <w:trHeight w:val="228"/>
      </w:trPr>
      <w:tc>
        <w:tcPr>
          <w:tcW w:w="2489" w:type="dxa"/>
          <w:shd w:val="clear" w:color="auto" w:fill="auto"/>
          <w:vAlign w:val="center"/>
        </w:tcPr>
        <w:p w14:paraId="27580C54"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7DDB580" w14:textId="77777777" w:rsidR="00EA5444" w:rsidRDefault="00FD504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EA5444" w14:paraId="03269458" w14:textId="77777777">
      <w:tc>
        <w:tcPr>
          <w:tcW w:w="2489" w:type="dxa"/>
          <w:shd w:val="clear" w:color="auto" w:fill="auto"/>
          <w:vAlign w:val="center"/>
        </w:tcPr>
        <w:p w14:paraId="0FDA06C0" w14:textId="77777777" w:rsidR="00EA5444" w:rsidRDefault="00FD50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A41A368" w14:textId="77777777" w:rsidR="00EA5444" w:rsidRDefault="00FD504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1592FC" w14:textId="77777777" w:rsidR="00EA5444" w:rsidRDefault="00FD504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8669" w14:textId="77777777" w:rsidR="00EA5444" w:rsidRDefault="00FD504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9B8071E" wp14:editId="23F5FF8A">
          <wp:simplePos x="0" y="0"/>
          <wp:positionH relativeFrom="column">
            <wp:posOffset>-955674</wp:posOffset>
          </wp:positionH>
          <wp:positionV relativeFrom="paragraph">
            <wp:posOffset>-288924</wp:posOffset>
          </wp:positionV>
          <wp:extent cx="7809865" cy="10165715"/>
          <wp:effectExtent l="0" t="0" r="0" b="0"/>
          <wp:wrapNone/>
          <wp:docPr id="5639680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662" w:type="dxa"/>
      <w:tblInd w:w="3261" w:type="dxa"/>
      <w:tblLayout w:type="fixed"/>
      <w:tblLook w:val="0400" w:firstRow="0" w:lastRow="0" w:firstColumn="0" w:lastColumn="0" w:noHBand="0" w:noVBand="1"/>
    </w:tblPr>
    <w:tblGrid>
      <w:gridCol w:w="2551"/>
      <w:gridCol w:w="4111"/>
    </w:tblGrid>
    <w:tr w:rsidR="00EA5444" w14:paraId="21B0F3F0" w14:textId="77777777">
      <w:tc>
        <w:tcPr>
          <w:tcW w:w="2551" w:type="dxa"/>
          <w:shd w:val="clear" w:color="auto" w:fill="auto"/>
          <w:vAlign w:val="center"/>
        </w:tcPr>
        <w:p w14:paraId="37FB3E5D"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3C9455EB" w14:textId="77777777" w:rsidR="00EA5444" w:rsidRDefault="00FD504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01674/INFOEM/IP/RR/2023</w:t>
          </w:r>
        </w:p>
      </w:tc>
    </w:tr>
    <w:tr w:rsidR="00EA5444" w14:paraId="32395B52" w14:textId="77777777">
      <w:trPr>
        <w:trHeight w:val="130"/>
      </w:trPr>
      <w:tc>
        <w:tcPr>
          <w:tcW w:w="2551" w:type="dxa"/>
          <w:shd w:val="clear" w:color="auto" w:fill="auto"/>
          <w:vAlign w:val="center"/>
        </w:tcPr>
        <w:p w14:paraId="1C8AF051"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19321AC3" w14:textId="77777777" w:rsidR="00EA5444" w:rsidRDefault="00EA5444">
          <w:pPr>
            <w:ind w:left="-45" w:right="176"/>
            <w:jc w:val="both"/>
            <w:rPr>
              <w:rFonts w:ascii="Palatino Linotype" w:eastAsia="Palatino Linotype" w:hAnsi="Palatino Linotype" w:cs="Palatino Linotype"/>
              <w:b/>
              <w:sz w:val="22"/>
              <w:szCs w:val="22"/>
            </w:rPr>
          </w:pPr>
        </w:p>
      </w:tc>
    </w:tr>
    <w:tr w:rsidR="00EA5444" w14:paraId="27D1D313" w14:textId="77777777">
      <w:trPr>
        <w:trHeight w:val="228"/>
      </w:trPr>
      <w:tc>
        <w:tcPr>
          <w:tcW w:w="2551" w:type="dxa"/>
          <w:shd w:val="clear" w:color="auto" w:fill="auto"/>
          <w:vAlign w:val="center"/>
        </w:tcPr>
        <w:p w14:paraId="5D712045"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57EFDBD8" w14:textId="77777777" w:rsidR="00EA5444" w:rsidRDefault="00FD5040">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EA5444" w14:paraId="00E607FB" w14:textId="77777777">
      <w:tc>
        <w:tcPr>
          <w:tcW w:w="2551" w:type="dxa"/>
          <w:shd w:val="clear" w:color="auto" w:fill="auto"/>
          <w:vAlign w:val="center"/>
        </w:tcPr>
        <w:p w14:paraId="379B3F11"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59CF4DBC" w14:textId="77777777" w:rsidR="00EA5444" w:rsidRDefault="00FD504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CCE421" w14:textId="77777777" w:rsidR="00EA5444" w:rsidRDefault="00EA544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6B1D"/>
    <w:multiLevelType w:val="multilevel"/>
    <w:tmpl w:val="1FA4384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5E212D4"/>
    <w:multiLevelType w:val="multilevel"/>
    <w:tmpl w:val="E4DC5DE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30512B1"/>
    <w:multiLevelType w:val="multilevel"/>
    <w:tmpl w:val="ADCE35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85F01D0"/>
    <w:multiLevelType w:val="multilevel"/>
    <w:tmpl w:val="4C781D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EE4C46"/>
    <w:multiLevelType w:val="multilevel"/>
    <w:tmpl w:val="D2FC9B2A"/>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77387C8D"/>
    <w:multiLevelType w:val="multilevel"/>
    <w:tmpl w:val="1DA49E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44"/>
    <w:rsid w:val="00150676"/>
    <w:rsid w:val="005808BC"/>
    <w:rsid w:val="008A3933"/>
    <w:rsid w:val="008C1CA2"/>
    <w:rsid w:val="00991DA2"/>
    <w:rsid w:val="009A3593"/>
    <w:rsid w:val="009E6E90"/>
    <w:rsid w:val="00A779B8"/>
    <w:rsid w:val="00B51047"/>
    <w:rsid w:val="00BD6513"/>
    <w:rsid w:val="00EA5444"/>
    <w:rsid w:val="00EE38CC"/>
    <w:rsid w:val="00EF7F13"/>
    <w:rsid w:val="00F84ECD"/>
    <w:rsid w:val="00FD50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5054E"/>
  <w15:docId w15:val="{3719047C-71CE-4FA7-BC2A-9EB5D5D6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984"/>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xxvi/4.web"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ZINACANTEPEC/art_92_xxxvi/4.we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m.facebook.com/story.php?story_fbid=pfbid0VGCeWoqVEzXmb3CgPi4nU2k48LB5sYEagWWbiXeZFn6B8sX6MXtbAv4fcwgVCFUAl&amp;id=100083221335972&amp;m_entstream_source=timeline&amp;__tn__=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6DXKIqMCCu2pPTWFT6d3hNwbw==">CgMxLjAyCGguZ2pkZ3hzMgloLjMwajB6bGwyCWguMnM4ZXlvMTIIaC50eWpjd3QyCWguM3JkY3JqbjIJaC4xZm9iOXRlOAByITFrSWplZVlrVUVZWllxbGhDeW01bzdFMnFTUVJ0bE9oYw==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59</Pages>
  <Words>13410</Words>
  <Characters>73759</Characters>
  <Application>Microsoft Office Word</Application>
  <DocSecurity>4</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2023-07-07T19:37:00Z</cp:lastPrinted>
  <dcterms:created xsi:type="dcterms:W3CDTF">2023-08-03T21:48:00Z</dcterms:created>
  <dcterms:modified xsi:type="dcterms:W3CDTF">2023-08-03T21:48:00Z</dcterms:modified>
</cp:coreProperties>
</file>