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81EC" w14:textId="77777777" w:rsidR="009F09BC" w:rsidRPr="00D623DC" w:rsidRDefault="009F09BC" w:rsidP="00487BE9">
      <w:pPr>
        <w:tabs>
          <w:tab w:val="left" w:pos="3465"/>
        </w:tabs>
        <w:spacing w:line="360" w:lineRule="auto"/>
        <w:jc w:val="both"/>
        <w:rPr>
          <w:rFonts w:ascii="Palatino Linotype" w:hAnsi="Palatino Linotype"/>
        </w:rPr>
      </w:pPr>
      <w:r w:rsidRPr="00D623DC">
        <w:rPr>
          <w:rFonts w:ascii="Palatino Linotype" w:hAnsi="Palatino Linotype"/>
        </w:rPr>
        <w:t>Resolución del Pleno del Instituto de Transparencia, Acceso a la Información Pública y Protección de Datos Personales del Estado de México y Municipios, con domicilio en Mete</w:t>
      </w:r>
      <w:r w:rsidR="008B1630" w:rsidRPr="00D623DC">
        <w:rPr>
          <w:rFonts w:ascii="Palatino Linotype" w:hAnsi="Palatino Linotype"/>
        </w:rPr>
        <w:t xml:space="preserve">pec, Estado de México; de fecha </w:t>
      </w:r>
      <w:r w:rsidR="00050598" w:rsidRPr="00D623DC">
        <w:rPr>
          <w:rFonts w:ascii="Palatino Linotype" w:hAnsi="Palatino Linotype"/>
        </w:rPr>
        <w:t>quince</w:t>
      </w:r>
      <w:r w:rsidRPr="00D623DC">
        <w:rPr>
          <w:rFonts w:ascii="Palatino Linotype" w:hAnsi="Palatino Linotype"/>
        </w:rPr>
        <w:t xml:space="preserve"> de </w:t>
      </w:r>
      <w:r w:rsidR="008B1630" w:rsidRPr="00D623DC">
        <w:rPr>
          <w:rFonts w:ascii="Palatino Linotype" w:hAnsi="Palatino Linotype"/>
        </w:rPr>
        <w:t xml:space="preserve">octubre </w:t>
      </w:r>
      <w:r w:rsidR="00B05C22" w:rsidRPr="00D623DC">
        <w:rPr>
          <w:rFonts w:ascii="Palatino Linotype" w:hAnsi="Palatino Linotype"/>
        </w:rPr>
        <w:t>de dos mil veintitrés</w:t>
      </w:r>
      <w:r w:rsidRPr="00D623DC">
        <w:rPr>
          <w:rFonts w:ascii="Palatino Linotype" w:hAnsi="Palatino Linotype"/>
        </w:rPr>
        <w:t>.</w:t>
      </w:r>
    </w:p>
    <w:p w14:paraId="350332B2" w14:textId="77777777" w:rsidR="00D92476" w:rsidRPr="00D623DC" w:rsidRDefault="00D92476" w:rsidP="00487BE9">
      <w:pPr>
        <w:tabs>
          <w:tab w:val="left" w:pos="3465"/>
        </w:tabs>
        <w:spacing w:line="360" w:lineRule="auto"/>
        <w:jc w:val="both"/>
        <w:rPr>
          <w:rFonts w:ascii="Palatino Linotype" w:hAnsi="Palatino Linotype"/>
        </w:rPr>
      </w:pPr>
    </w:p>
    <w:p w14:paraId="56BCA929" w14:textId="34376C6B" w:rsidR="009F09BC" w:rsidRPr="00D623DC" w:rsidRDefault="009F09BC" w:rsidP="00487BE9">
      <w:pPr>
        <w:spacing w:line="360" w:lineRule="auto"/>
        <w:jc w:val="both"/>
        <w:rPr>
          <w:rFonts w:ascii="Palatino Linotype" w:hAnsi="Palatino Linotype"/>
        </w:rPr>
      </w:pPr>
      <w:r w:rsidRPr="00D623DC">
        <w:rPr>
          <w:rFonts w:ascii="Palatino Linotype" w:hAnsi="Palatino Linotype"/>
          <w:b/>
        </w:rPr>
        <w:t>VISTO</w:t>
      </w:r>
      <w:r w:rsidRPr="00D623DC">
        <w:rPr>
          <w:rFonts w:ascii="Palatino Linotype" w:hAnsi="Palatino Linotype"/>
        </w:rPr>
        <w:t xml:space="preserve"> </w:t>
      </w:r>
      <w:r w:rsidR="008A699B" w:rsidRPr="00D623DC">
        <w:rPr>
          <w:rFonts w:ascii="Palatino Linotype" w:hAnsi="Palatino Linotype"/>
        </w:rPr>
        <w:t>e</w:t>
      </w:r>
      <w:r w:rsidRPr="00D623DC">
        <w:rPr>
          <w:rFonts w:ascii="Palatino Linotype" w:hAnsi="Palatino Linotype"/>
        </w:rPr>
        <w:t>l expediente electrónico formado con</w:t>
      </w:r>
      <w:r w:rsidR="008B1630" w:rsidRPr="00D623DC">
        <w:rPr>
          <w:rFonts w:ascii="Palatino Linotype" w:hAnsi="Palatino Linotype"/>
        </w:rPr>
        <w:t xml:space="preserve"> motivo del </w:t>
      </w:r>
      <w:r w:rsidR="00050598" w:rsidRPr="00D623DC">
        <w:rPr>
          <w:rFonts w:ascii="Palatino Linotype" w:hAnsi="Palatino Linotype"/>
        </w:rPr>
        <w:t>Recurso de R</w:t>
      </w:r>
      <w:r w:rsidR="008B1630" w:rsidRPr="00D623DC">
        <w:rPr>
          <w:rFonts w:ascii="Palatino Linotype" w:hAnsi="Palatino Linotype"/>
        </w:rPr>
        <w:t xml:space="preserve">evisión  </w:t>
      </w:r>
      <w:r w:rsidR="008B1630" w:rsidRPr="00D623DC">
        <w:rPr>
          <w:rFonts w:ascii="Palatino Linotype" w:hAnsi="Palatino Linotype"/>
          <w:b/>
        </w:rPr>
        <w:t>03773/INFOEM/IP/RR/2022</w:t>
      </w:r>
      <w:r w:rsidRPr="00D623DC">
        <w:rPr>
          <w:rFonts w:ascii="Palatino Linotype" w:hAnsi="Palatino Linotype"/>
          <w:b/>
        </w:rPr>
        <w:t>,</w:t>
      </w:r>
      <w:r w:rsidR="00B05C22" w:rsidRPr="00D623DC">
        <w:rPr>
          <w:rFonts w:ascii="Palatino Linotype" w:hAnsi="Palatino Linotype" w:cs="Arial"/>
          <w:b/>
          <w:bCs/>
        </w:rPr>
        <w:t xml:space="preserve"> </w:t>
      </w:r>
      <w:r w:rsidR="008B1630" w:rsidRPr="00D623DC">
        <w:rPr>
          <w:rFonts w:ascii="Palatino Linotype" w:hAnsi="Palatino Linotype" w:cs="Arial"/>
          <w:bCs/>
          <w:lang w:val="es-MX"/>
        </w:rPr>
        <w:t xml:space="preserve">promovido por </w:t>
      </w:r>
      <w:r w:rsidR="00D623DC" w:rsidRPr="00D623DC">
        <w:rPr>
          <w:rFonts w:ascii="Palatino Linotype" w:hAnsi="Palatino Linotype" w:cs="Arial"/>
          <w:b/>
          <w:bCs/>
          <w:lang w:val="es-MX"/>
        </w:rPr>
        <w:t xml:space="preserve">XXX </w:t>
      </w:r>
      <w:proofErr w:type="spellStart"/>
      <w:r w:rsidR="00D623DC" w:rsidRPr="00D623DC">
        <w:rPr>
          <w:rFonts w:ascii="Palatino Linotype" w:hAnsi="Palatino Linotype" w:cs="Arial"/>
          <w:b/>
          <w:bCs/>
          <w:lang w:val="es-MX"/>
        </w:rPr>
        <w:t>XXX</w:t>
      </w:r>
      <w:proofErr w:type="spellEnd"/>
      <w:r w:rsidR="00D623DC" w:rsidRPr="00D623DC">
        <w:rPr>
          <w:rFonts w:ascii="Palatino Linotype" w:hAnsi="Palatino Linotype" w:cs="Arial"/>
          <w:b/>
          <w:bCs/>
          <w:lang w:val="es-MX"/>
        </w:rPr>
        <w:t xml:space="preserve"> </w:t>
      </w:r>
      <w:proofErr w:type="spellStart"/>
      <w:r w:rsidR="00D623DC" w:rsidRPr="00D623DC">
        <w:rPr>
          <w:rFonts w:ascii="Palatino Linotype" w:hAnsi="Palatino Linotype" w:cs="Arial"/>
          <w:b/>
          <w:bCs/>
          <w:lang w:val="es-MX"/>
        </w:rPr>
        <w:t>XXX</w:t>
      </w:r>
      <w:proofErr w:type="spellEnd"/>
      <w:r w:rsidR="00B05C22" w:rsidRPr="00D623DC">
        <w:rPr>
          <w:rFonts w:ascii="Palatino Linotype" w:hAnsi="Palatino Linotype" w:cs="Arial"/>
          <w:bCs/>
          <w:lang w:val="es-MX"/>
        </w:rPr>
        <w:t xml:space="preserve">, en su calidad de </w:t>
      </w:r>
      <w:r w:rsidR="00B05C22" w:rsidRPr="00D623DC">
        <w:rPr>
          <w:rFonts w:ascii="Palatino Linotype" w:hAnsi="Palatino Linotype" w:cs="Arial"/>
          <w:b/>
          <w:bCs/>
          <w:lang w:val="es-MX"/>
        </w:rPr>
        <w:t>RECURRENTE</w:t>
      </w:r>
      <w:r w:rsidRPr="00D623DC">
        <w:rPr>
          <w:rFonts w:ascii="Palatino Linotype" w:hAnsi="Palatino Linotype" w:cs="Arial"/>
        </w:rPr>
        <w:t>, en contra de las respuestas</w:t>
      </w:r>
      <w:r w:rsidR="00C22D79" w:rsidRPr="00D623DC">
        <w:rPr>
          <w:rFonts w:ascii="Palatino Linotype" w:hAnsi="Palatino Linotype" w:cs="Arial"/>
        </w:rPr>
        <w:t xml:space="preserve"> del</w:t>
      </w:r>
      <w:r w:rsidR="008B1630" w:rsidRPr="00D623DC">
        <w:rPr>
          <w:rFonts w:ascii="Palatino Linotype" w:hAnsi="Palatino Linotype" w:cs="Arial"/>
        </w:rPr>
        <w:t xml:space="preserve"> </w:t>
      </w:r>
      <w:r w:rsidR="008B1630" w:rsidRPr="00D623DC">
        <w:rPr>
          <w:rFonts w:ascii="Palatino Linotype" w:hAnsi="Palatino Linotype" w:cs="Arial"/>
          <w:b/>
        </w:rPr>
        <w:t>Ayuntamiento de Cuautitlán</w:t>
      </w:r>
      <w:r w:rsidRPr="00D623DC">
        <w:rPr>
          <w:rFonts w:ascii="Palatino Linotype" w:hAnsi="Palatino Linotype" w:cs="Arial"/>
          <w:b/>
        </w:rPr>
        <w:t>,</w:t>
      </w:r>
      <w:r w:rsidRPr="00D623DC">
        <w:rPr>
          <w:rFonts w:ascii="Palatino Linotype" w:hAnsi="Palatino Linotype"/>
          <w:b/>
        </w:rPr>
        <w:t xml:space="preserve"> </w:t>
      </w:r>
      <w:r w:rsidRPr="00D623DC">
        <w:rPr>
          <w:rFonts w:ascii="Palatino Linotype" w:hAnsi="Palatino Linotype"/>
        </w:rPr>
        <w:t>en lo sucesivo el</w:t>
      </w:r>
      <w:r w:rsidRPr="00D623DC">
        <w:rPr>
          <w:rFonts w:ascii="Palatino Linotype" w:hAnsi="Palatino Linotype"/>
          <w:b/>
        </w:rPr>
        <w:t xml:space="preserve"> SUJETO OBLIGADO</w:t>
      </w:r>
      <w:r w:rsidRPr="00D623DC">
        <w:rPr>
          <w:rFonts w:ascii="Palatino Linotype" w:hAnsi="Palatino Linotype"/>
        </w:rPr>
        <w:t>, se procede a dictar la presente resolución, con base en los siguientes:</w:t>
      </w:r>
    </w:p>
    <w:p w14:paraId="1EB26336" w14:textId="77777777" w:rsidR="00050598" w:rsidRPr="00D623DC" w:rsidRDefault="00050598" w:rsidP="00487BE9">
      <w:pPr>
        <w:spacing w:line="360" w:lineRule="auto"/>
        <w:jc w:val="both"/>
        <w:rPr>
          <w:rFonts w:ascii="Palatino Linotype" w:hAnsi="Palatino Linotype" w:cs="Arial"/>
          <w:b/>
        </w:rPr>
      </w:pPr>
    </w:p>
    <w:p w14:paraId="3C94D5E0" w14:textId="77777777" w:rsidR="009F09BC" w:rsidRPr="00D623DC" w:rsidRDefault="009F09BC" w:rsidP="00487BE9">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623DC">
        <w:rPr>
          <w:rFonts w:ascii="Palatino Linotype" w:hAnsi="Palatino Linotype"/>
          <w:b/>
          <w:color w:val="000000" w:themeColor="text1"/>
          <w:sz w:val="24"/>
          <w:szCs w:val="24"/>
        </w:rPr>
        <w:t>ANTECEDENTES</w:t>
      </w:r>
      <w:bookmarkEnd w:id="0"/>
      <w:bookmarkEnd w:id="1"/>
      <w:bookmarkEnd w:id="2"/>
    </w:p>
    <w:p w14:paraId="34DDC240" w14:textId="77777777" w:rsidR="00050598" w:rsidRPr="00D623DC" w:rsidRDefault="00050598" w:rsidP="00487BE9">
      <w:pPr>
        <w:spacing w:line="360" w:lineRule="auto"/>
        <w:rPr>
          <w:rFonts w:ascii="Palatino Linotype" w:hAnsi="Palatino Linotype"/>
        </w:rPr>
      </w:pPr>
    </w:p>
    <w:p w14:paraId="3A71DCDA" w14:textId="77777777" w:rsidR="009F09BC" w:rsidRPr="00D623DC" w:rsidRDefault="008B1630" w:rsidP="00487BE9">
      <w:pPr>
        <w:pStyle w:val="Prrafodelista"/>
        <w:numPr>
          <w:ilvl w:val="0"/>
          <w:numId w:val="1"/>
        </w:numPr>
        <w:tabs>
          <w:tab w:val="left" w:pos="567"/>
        </w:tabs>
        <w:spacing w:line="360" w:lineRule="auto"/>
        <w:ind w:left="0" w:firstLine="0"/>
        <w:jc w:val="both"/>
        <w:rPr>
          <w:rFonts w:ascii="Palatino Linotype" w:eastAsia="Calibri" w:hAnsi="Palatino Linotype" w:cs="Arial"/>
          <w:lang w:val="es-ES"/>
        </w:rPr>
      </w:pPr>
      <w:r w:rsidRPr="00D623DC">
        <w:rPr>
          <w:rFonts w:ascii="Palatino Linotype" w:eastAsia="Calibri" w:hAnsi="Palatino Linotype" w:cs="Arial"/>
          <w:lang w:val="es-ES"/>
        </w:rPr>
        <w:t xml:space="preserve">El día uno </w:t>
      </w:r>
      <w:r w:rsidR="009F09BC" w:rsidRPr="00D623DC">
        <w:rPr>
          <w:rFonts w:ascii="Palatino Linotype" w:eastAsia="Calibri" w:hAnsi="Palatino Linotype" w:cs="Arial"/>
          <w:lang w:val="es-ES"/>
        </w:rPr>
        <w:t>(</w:t>
      </w:r>
      <w:r w:rsidRPr="00D623DC">
        <w:rPr>
          <w:rFonts w:ascii="Palatino Linotype" w:eastAsia="Calibri" w:hAnsi="Palatino Linotype" w:cs="Arial"/>
          <w:lang w:val="es-ES"/>
        </w:rPr>
        <w:t>01) de febrero</w:t>
      </w:r>
      <w:r w:rsidR="00B00FB8" w:rsidRPr="00D623DC">
        <w:rPr>
          <w:rFonts w:ascii="Palatino Linotype" w:eastAsia="Calibri" w:hAnsi="Palatino Linotype" w:cs="Arial"/>
          <w:lang w:val="es-ES"/>
        </w:rPr>
        <w:t xml:space="preserve"> </w:t>
      </w:r>
      <w:r w:rsidR="00C22D79" w:rsidRPr="00D623DC">
        <w:rPr>
          <w:rFonts w:ascii="Palatino Linotype" w:eastAsia="Calibri" w:hAnsi="Palatino Linotype" w:cs="Arial"/>
          <w:lang w:val="es-ES"/>
        </w:rPr>
        <w:t>de dos mil veintidós</w:t>
      </w:r>
      <w:r w:rsidR="009F09BC" w:rsidRPr="00D623DC">
        <w:rPr>
          <w:rFonts w:ascii="Palatino Linotype" w:hAnsi="Palatino Linotype"/>
          <w:b/>
        </w:rPr>
        <w:t xml:space="preserve">, </w:t>
      </w:r>
      <w:r w:rsidR="009F09BC" w:rsidRPr="00D623DC">
        <w:rPr>
          <w:rFonts w:ascii="Palatino Linotype" w:eastAsia="Calibri" w:hAnsi="Palatino Linotype" w:cs="Arial"/>
          <w:lang w:val="es-ES"/>
        </w:rPr>
        <w:t xml:space="preserve">se presentó ante el </w:t>
      </w:r>
      <w:r w:rsidR="009F09BC" w:rsidRPr="00D623DC">
        <w:rPr>
          <w:rFonts w:ascii="Palatino Linotype" w:eastAsia="Calibri" w:hAnsi="Palatino Linotype" w:cs="Arial"/>
          <w:b/>
          <w:lang w:val="es-ES"/>
        </w:rPr>
        <w:t>SUJETO OBLIGADO</w:t>
      </w:r>
      <w:r w:rsidR="009F09BC" w:rsidRPr="00D623DC">
        <w:rPr>
          <w:rFonts w:ascii="Palatino Linotype" w:eastAsia="Calibri" w:hAnsi="Palatino Linotype" w:cs="Arial"/>
        </w:rPr>
        <w:t xml:space="preserve"> vía </w:t>
      </w:r>
      <w:r w:rsidR="008A699B" w:rsidRPr="00D623DC">
        <w:rPr>
          <w:rFonts w:ascii="Palatino Linotype" w:eastAsia="Calibri" w:hAnsi="Palatino Linotype" w:cs="Arial"/>
          <w:lang w:val="es-ES"/>
        </w:rPr>
        <w:t>SAIMEX, la solicitud</w:t>
      </w:r>
      <w:r w:rsidR="009F09BC" w:rsidRPr="00D623DC">
        <w:rPr>
          <w:rFonts w:ascii="Palatino Linotype" w:eastAsia="Calibri" w:hAnsi="Palatino Linotype" w:cs="Arial"/>
          <w:lang w:val="es-ES"/>
        </w:rPr>
        <w:t xml:space="preserve"> de información pública</w:t>
      </w:r>
      <w:r w:rsidR="008A699B" w:rsidRPr="00D623DC">
        <w:rPr>
          <w:rFonts w:ascii="Palatino Linotype" w:eastAsia="Calibri" w:hAnsi="Palatino Linotype" w:cs="Arial"/>
          <w:lang w:val="es-ES"/>
        </w:rPr>
        <w:t xml:space="preserve"> registrada</w:t>
      </w:r>
      <w:r w:rsidR="009F09BC" w:rsidRPr="00D623DC">
        <w:rPr>
          <w:rFonts w:ascii="Palatino Linotype" w:eastAsia="Calibri" w:hAnsi="Palatino Linotype" w:cs="Arial"/>
          <w:lang w:val="es-ES"/>
        </w:rPr>
        <w:t xml:space="preserve"> con </w:t>
      </w:r>
      <w:r w:rsidR="008A699B" w:rsidRPr="00D623DC">
        <w:rPr>
          <w:rFonts w:ascii="Palatino Linotype" w:eastAsia="Calibri" w:hAnsi="Palatino Linotype" w:cs="Arial"/>
          <w:lang w:val="es-ES"/>
        </w:rPr>
        <w:t xml:space="preserve">el </w:t>
      </w:r>
      <w:r w:rsidR="009F09BC" w:rsidRPr="00D623DC">
        <w:rPr>
          <w:rFonts w:ascii="Palatino Linotype" w:eastAsia="Calibri" w:hAnsi="Palatino Linotype" w:cs="Arial"/>
          <w:lang w:val="es-ES"/>
        </w:rPr>
        <w:t>número</w:t>
      </w:r>
      <w:r w:rsidRPr="00D623DC">
        <w:rPr>
          <w:rFonts w:ascii="Palatino Linotype" w:hAnsi="Palatino Linotype"/>
          <w:b/>
          <w:bCs/>
          <w:color w:val="000000" w:themeColor="text1"/>
        </w:rPr>
        <w:t xml:space="preserve"> 00057/CUAUTIT/IP/2022</w:t>
      </w:r>
      <w:r w:rsidR="009F09BC" w:rsidRPr="00D623DC">
        <w:rPr>
          <w:rFonts w:ascii="Palatino Linotype" w:hAnsi="Palatino Linotype"/>
          <w:b/>
          <w:bCs/>
          <w:color w:val="000000" w:themeColor="text1"/>
        </w:rPr>
        <w:t xml:space="preserve">; </w:t>
      </w:r>
      <w:r w:rsidR="009F09BC" w:rsidRPr="00D623DC">
        <w:rPr>
          <w:rFonts w:ascii="Palatino Linotype" w:eastAsia="Calibri" w:hAnsi="Palatino Linotype" w:cs="Arial"/>
          <w:lang w:val="es-ES"/>
        </w:rPr>
        <w:t>mediante las cuales se solicitó la siguiente información:</w:t>
      </w:r>
    </w:p>
    <w:p w14:paraId="3D327B9A" w14:textId="77777777" w:rsidR="008A699B" w:rsidRPr="00D623DC" w:rsidRDefault="008A699B" w:rsidP="00487BE9">
      <w:pPr>
        <w:pStyle w:val="Prrafodelista"/>
        <w:spacing w:line="360" w:lineRule="auto"/>
        <w:ind w:left="0"/>
        <w:jc w:val="both"/>
        <w:rPr>
          <w:rFonts w:ascii="Palatino Linotype" w:eastAsia="Calibri" w:hAnsi="Palatino Linotype" w:cs="Arial"/>
          <w:lang w:val="es-ES"/>
        </w:rPr>
      </w:pPr>
    </w:p>
    <w:p w14:paraId="54BC85B5" w14:textId="77777777" w:rsidR="009F09BC" w:rsidRPr="00D623DC" w:rsidRDefault="008A699B" w:rsidP="00487BE9">
      <w:pPr>
        <w:pStyle w:val="Prrafodelista"/>
        <w:tabs>
          <w:tab w:val="left" w:pos="567"/>
        </w:tabs>
        <w:spacing w:line="360" w:lineRule="auto"/>
        <w:ind w:left="567" w:right="900"/>
        <w:jc w:val="both"/>
        <w:rPr>
          <w:rFonts w:ascii="Palatino Linotype" w:hAnsi="Palatino Linotype"/>
        </w:rPr>
      </w:pPr>
      <w:r w:rsidRPr="00D623DC">
        <w:rPr>
          <w:rFonts w:ascii="Palatino Linotype" w:hAnsi="Palatino Linotype"/>
          <w:i/>
        </w:rPr>
        <w:t>“</w:t>
      </w:r>
      <w:r w:rsidR="001D0AB7" w:rsidRPr="00D623DC">
        <w:rPr>
          <w:rFonts w:ascii="Palatino Linotype" w:hAnsi="Palatino Linotype"/>
          <w:i/>
        </w:rPr>
        <w:t xml:space="preserve">Solicito información completa de los departamentos de la Unidad Habitacional Cebadales secciones I y II, que no han cumplido con sus obligaciones fiscales y se encuentran como contribuyentes morosos, (falta de pago de impuesto Predial y Agua), de acuerdo al Código Financiero del Estado de México y Municipios Solicito información completa de los años que cada departamento de la Unidad Habitacional Cebadales sección I y II ha omitido el pago de impuesto Predial y Agua como parte sus obligaciones fiscales establecidas en el Código Financiero del Estado de México y Municipios </w:t>
      </w:r>
      <w:r w:rsidR="001D0AB7" w:rsidRPr="00D623DC">
        <w:rPr>
          <w:rFonts w:ascii="Palatino Linotype" w:hAnsi="Palatino Linotype"/>
          <w:i/>
        </w:rPr>
        <w:lastRenderedPageBreak/>
        <w:t>Solicito información completa de los departamentos de la Unidad Habitacional Cebadales secciones I y II, que cuentan con apoyos fiscales, o cualquier beneficio que implique el NO pago de impuesto Predial y Agua establecidos en el Código Financiero del Estado de México y Municipios Solicito una búsqueda exhaustiva con una la máxima publicidad y de ser necesario la suplencia de la queja y la protección de mis datos. existen antecedentes por parte del INAI El Instituto Nacional de Transparencia, Acceso a la Información y Protección de Datos Personales (Inai) ordenó al Servicio de Administración Tributaria (SAT) entregar los archivos que contengan el histórico de los contribuyentes que han incumplido con sus obligaciones fiscales, para el periodo que va del 1 de enero de 2014 al 10 de febrero de 2016. https://expansion.mx/economia/2016/04/27/el-inai-pide-al-sat-entregar-la-lista-de-contribuyentes-morosos EXIGE A SAT LISTADO DE CONTRIBUYENTES INCUMPLIDOS El Servicio de Administración Tributaria (SAT) debe entregar los archivos que contengan el total de los contribuyentes que han incumplido con sus obligaciones fiscales, del primero de enero de 2014 al 10 de febrero de 2016, ordenó el Instituto Nacional de Transparencia (INAI), cuyo pleno, por unanimidad, consideró inaceptable la negativa del SAT a entregar la información. http://gruposolfis.com/gs/?p=915 Debe SAT exhibir a morosos: INAI El comisionado Javier Acuña recordó que desde enero de 2014, el Sistema de Administración Tributaria está obligado a hacer públicos los datos de quienes incumplen con sus obligaciones fiscales https://www.eluniversal.com.mx/articulo/nacion/sociedad/2016/04/27/debe-sat-exhibir-morosos-inai</w:t>
      </w:r>
      <w:r w:rsidRPr="00D623DC">
        <w:rPr>
          <w:rFonts w:ascii="Palatino Linotype" w:hAnsi="Palatino Linotype"/>
          <w:i/>
        </w:rPr>
        <w:t>”</w:t>
      </w:r>
      <w:r w:rsidR="00B170E1" w:rsidRPr="00D623DC">
        <w:rPr>
          <w:rFonts w:ascii="Palatino Linotype" w:hAnsi="Palatino Linotype"/>
        </w:rPr>
        <w:t xml:space="preserve"> (Sic).</w:t>
      </w:r>
    </w:p>
    <w:p w14:paraId="5F624486" w14:textId="77777777" w:rsidR="007E1D43" w:rsidRPr="00D623DC" w:rsidRDefault="007E1D43" w:rsidP="00487BE9">
      <w:pPr>
        <w:pStyle w:val="Prrafodelista"/>
        <w:tabs>
          <w:tab w:val="left" w:pos="567"/>
        </w:tabs>
        <w:spacing w:line="360" w:lineRule="auto"/>
        <w:ind w:left="567" w:right="900"/>
        <w:jc w:val="both"/>
        <w:rPr>
          <w:rFonts w:ascii="Palatino Linotype" w:hAnsi="Palatino Linotype"/>
          <w:i/>
        </w:rPr>
      </w:pPr>
    </w:p>
    <w:p w14:paraId="57EBA55D" w14:textId="77777777" w:rsidR="009F09BC" w:rsidRPr="00D623DC" w:rsidRDefault="009F09BC" w:rsidP="00487BE9">
      <w:pPr>
        <w:pStyle w:val="Prrafodelista"/>
        <w:numPr>
          <w:ilvl w:val="0"/>
          <w:numId w:val="43"/>
        </w:numPr>
        <w:spacing w:line="360" w:lineRule="auto"/>
        <w:ind w:right="34"/>
        <w:jc w:val="both"/>
        <w:rPr>
          <w:rFonts w:ascii="Palatino Linotype" w:hAnsi="Palatino Linotype"/>
        </w:rPr>
      </w:pPr>
      <w:r w:rsidRPr="00D623DC">
        <w:rPr>
          <w:rFonts w:ascii="Palatino Linotype" w:eastAsia="Times New Roman" w:hAnsi="Palatino Linotype" w:cs="Arial"/>
          <w:lang w:val="es-ES"/>
        </w:rPr>
        <w:t>Se eligió como modalidad de entrega de la información</w:t>
      </w:r>
      <w:r w:rsidRPr="00D623DC">
        <w:rPr>
          <w:rFonts w:ascii="Palatino Linotype" w:hAnsi="Palatino Linotype"/>
        </w:rPr>
        <w:t xml:space="preserve">: A través del </w:t>
      </w:r>
      <w:r w:rsidRPr="00D623DC">
        <w:rPr>
          <w:rFonts w:ascii="Palatino Linotype" w:hAnsi="Palatino Linotype"/>
          <w:b/>
        </w:rPr>
        <w:t>SAIMEX</w:t>
      </w:r>
      <w:r w:rsidR="00762CFF" w:rsidRPr="00D623DC">
        <w:rPr>
          <w:rFonts w:ascii="Palatino Linotype" w:hAnsi="Palatino Linotype"/>
          <w:b/>
        </w:rPr>
        <w:t>.</w:t>
      </w:r>
    </w:p>
    <w:p w14:paraId="0633D514" w14:textId="77777777" w:rsidR="008A699B" w:rsidRPr="00D623DC" w:rsidRDefault="008A699B" w:rsidP="00487BE9">
      <w:pPr>
        <w:spacing w:line="360" w:lineRule="auto"/>
        <w:ind w:right="34"/>
        <w:jc w:val="both"/>
        <w:rPr>
          <w:rFonts w:ascii="Palatino Linotype" w:hAnsi="Palatino Linotype"/>
        </w:rPr>
      </w:pPr>
    </w:p>
    <w:p w14:paraId="0D821026" w14:textId="77777777" w:rsidR="001D0AB7" w:rsidRPr="00D623DC" w:rsidRDefault="001D0AB7" w:rsidP="00487BE9">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623DC">
        <w:rPr>
          <w:rFonts w:ascii="Palatino Linotype" w:eastAsia="MS Mincho" w:hAnsi="Palatino Linotype"/>
          <w:color w:val="000000" w:themeColor="text1"/>
        </w:rPr>
        <w:t xml:space="preserve">Posteriormente, fecha veintitrés (23) de febrero de dos mil veintidós el </w:t>
      </w:r>
      <w:r w:rsidRPr="00D623DC">
        <w:rPr>
          <w:rFonts w:ascii="Palatino Linotype" w:eastAsia="MS Mincho" w:hAnsi="Palatino Linotype"/>
          <w:b/>
          <w:color w:val="000000" w:themeColor="text1"/>
        </w:rPr>
        <w:t>SUJETO OBLIGADO</w:t>
      </w:r>
      <w:r w:rsidR="00AA0F80" w:rsidRPr="00D623DC">
        <w:rPr>
          <w:rFonts w:ascii="Palatino Linotype" w:eastAsia="MS Mincho" w:hAnsi="Palatino Linotype"/>
          <w:color w:val="000000" w:themeColor="text1"/>
        </w:rPr>
        <w:t xml:space="preserve"> </w:t>
      </w:r>
      <w:r w:rsidRPr="00D623DC">
        <w:rPr>
          <w:rFonts w:ascii="Palatino Linotype" w:eastAsia="MS Mincho" w:hAnsi="Palatino Linotype"/>
          <w:color w:val="000000" w:themeColor="text1"/>
        </w:rPr>
        <w:t>requirió una prórroga, en los siguientes términos:</w:t>
      </w:r>
    </w:p>
    <w:p w14:paraId="51B237E7" w14:textId="77777777" w:rsidR="001D0AB7" w:rsidRPr="00D623DC" w:rsidRDefault="001D0AB7" w:rsidP="00487BE9">
      <w:pPr>
        <w:pStyle w:val="Prrafodelista"/>
        <w:tabs>
          <w:tab w:val="left" w:pos="0"/>
          <w:tab w:val="left" w:pos="1485"/>
        </w:tabs>
        <w:spacing w:line="360" w:lineRule="auto"/>
        <w:ind w:left="567" w:right="900"/>
        <w:jc w:val="right"/>
        <w:rPr>
          <w:rFonts w:ascii="Palatino Linotype" w:hAnsi="Palatino Linotype" w:cs="Arial"/>
          <w:i/>
          <w:color w:val="000000" w:themeColor="text1"/>
        </w:rPr>
      </w:pPr>
    </w:p>
    <w:p w14:paraId="3D17784D" w14:textId="77777777" w:rsidR="001D0AB7" w:rsidRPr="00D623DC" w:rsidRDefault="001D0AB7" w:rsidP="00487BE9">
      <w:pPr>
        <w:pStyle w:val="Prrafodelista"/>
        <w:tabs>
          <w:tab w:val="left" w:pos="0"/>
          <w:tab w:val="left" w:pos="1485"/>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“Cuautitlán, México a 23 de Febrero de 2022</w:t>
      </w:r>
    </w:p>
    <w:p w14:paraId="486F0494" w14:textId="77777777" w:rsidR="001D0AB7" w:rsidRPr="00D623DC" w:rsidRDefault="001D0AB7" w:rsidP="00487BE9">
      <w:pPr>
        <w:pStyle w:val="Prrafodelista"/>
        <w:tabs>
          <w:tab w:val="left" w:pos="0"/>
          <w:tab w:val="left" w:pos="1485"/>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Nombre del solicitante: C. Solicitante</w:t>
      </w:r>
    </w:p>
    <w:p w14:paraId="660F7D1A" w14:textId="77777777" w:rsidR="001D0AB7" w:rsidRPr="00D623DC" w:rsidRDefault="001D0AB7" w:rsidP="00487BE9">
      <w:pPr>
        <w:pStyle w:val="Prrafodelista"/>
        <w:tabs>
          <w:tab w:val="left" w:pos="0"/>
          <w:tab w:val="left" w:pos="1485"/>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Folio de la solicitud: 00057/CUAUTIT/IP/2022</w:t>
      </w:r>
    </w:p>
    <w:p w14:paraId="7B3F3864" w14:textId="77777777" w:rsidR="001D0AB7" w:rsidRPr="00D623DC" w:rsidRDefault="001D0AB7" w:rsidP="00487BE9">
      <w:pPr>
        <w:pStyle w:val="Prrafodelista"/>
        <w:tabs>
          <w:tab w:val="left" w:pos="0"/>
          <w:tab w:val="left" w:pos="1485"/>
        </w:tabs>
        <w:spacing w:line="360" w:lineRule="auto"/>
        <w:ind w:left="567" w:right="900"/>
        <w:jc w:val="both"/>
        <w:rPr>
          <w:rFonts w:ascii="Palatino Linotype" w:hAnsi="Palatino Linotype" w:cs="Arial"/>
          <w:i/>
          <w:color w:val="000000" w:themeColor="text1"/>
        </w:rPr>
      </w:pPr>
    </w:p>
    <w:p w14:paraId="43634E63" w14:textId="77777777" w:rsidR="001D0AB7" w:rsidRPr="00D623DC" w:rsidRDefault="001D0AB7" w:rsidP="00487BE9">
      <w:pPr>
        <w:pStyle w:val="Prrafodelista"/>
        <w:tabs>
          <w:tab w:val="left" w:pos="0"/>
          <w:tab w:val="left" w:pos="1485"/>
        </w:tabs>
        <w:spacing w:line="360" w:lineRule="auto"/>
        <w:ind w:left="567" w:right="900"/>
        <w:jc w:val="both"/>
        <w:rPr>
          <w:rFonts w:ascii="Palatino Linotype" w:hAnsi="Palatino Linotype" w:cs="Arial"/>
          <w:i/>
          <w:color w:val="000000" w:themeColor="text1"/>
        </w:rPr>
      </w:pPr>
      <w:r w:rsidRPr="00D623DC">
        <w:rPr>
          <w:rFonts w:ascii="Palatino Linotype" w:hAnsi="Palatino Linotype" w:cs="Arial"/>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3C301C2" w14:textId="77777777" w:rsidR="001D0AB7" w:rsidRPr="00D623DC" w:rsidRDefault="001D0AB7" w:rsidP="00487BE9">
      <w:pPr>
        <w:pStyle w:val="Prrafodelista"/>
        <w:tabs>
          <w:tab w:val="left" w:pos="0"/>
          <w:tab w:val="left" w:pos="1485"/>
        </w:tabs>
        <w:spacing w:line="360" w:lineRule="auto"/>
        <w:ind w:left="567" w:right="900"/>
        <w:jc w:val="both"/>
        <w:rPr>
          <w:rFonts w:ascii="Palatino Linotype" w:hAnsi="Palatino Linotype" w:cs="Arial"/>
          <w:i/>
          <w:color w:val="000000" w:themeColor="text1"/>
        </w:rPr>
      </w:pPr>
      <w:r w:rsidRPr="00D623DC">
        <w:rPr>
          <w:rFonts w:ascii="Palatino Linotype" w:hAnsi="Palatino Linotype" w:cs="Arial"/>
          <w:i/>
          <w:color w:val="000000" w:themeColor="text1"/>
        </w:rPr>
        <w:t>Prórroga aprobada.</w:t>
      </w:r>
    </w:p>
    <w:p w14:paraId="7B27487D" w14:textId="77777777" w:rsidR="001D0AB7" w:rsidRPr="00D623DC" w:rsidRDefault="001D0AB7" w:rsidP="00487BE9">
      <w:pPr>
        <w:pStyle w:val="Prrafodelista"/>
        <w:tabs>
          <w:tab w:val="left" w:pos="0"/>
          <w:tab w:val="left" w:pos="1485"/>
        </w:tabs>
        <w:spacing w:line="360" w:lineRule="auto"/>
        <w:ind w:left="567" w:right="900"/>
        <w:jc w:val="both"/>
        <w:rPr>
          <w:rFonts w:ascii="Palatino Linotype" w:hAnsi="Palatino Linotype" w:cs="Arial"/>
          <w:i/>
          <w:color w:val="000000" w:themeColor="text1"/>
        </w:rPr>
      </w:pPr>
      <w:r w:rsidRPr="00D623DC">
        <w:rPr>
          <w:rFonts w:ascii="Palatino Linotype" w:hAnsi="Palatino Linotype" w:cs="Arial"/>
          <w:i/>
          <w:color w:val="000000" w:themeColor="text1"/>
        </w:rPr>
        <w:t>C. ANAISSA RAMIREZ ALDANA</w:t>
      </w:r>
    </w:p>
    <w:p w14:paraId="2D14DB86" w14:textId="77777777" w:rsidR="001D0AB7" w:rsidRPr="00D623DC" w:rsidRDefault="001D0AB7" w:rsidP="00487BE9">
      <w:pPr>
        <w:pStyle w:val="Prrafodelista"/>
        <w:tabs>
          <w:tab w:val="left" w:pos="0"/>
          <w:tab w:val="left" w:pos="1485"/>
        </w:tabs>
        <w:spacing w:line="360" w:lineRule="auto"/>
        <w:ind w:left="567" w:right="900"/>
        <w:jc w:val="both"/>
        <w:rPr>
          <w:rFonts w:ascii="Palatino Linotype" w:hAnsi="Palatino Linotype" w:cs="Arial"/>
          <w:color w:val="000000" w:themeColor="text1"/>
        </w:rPr>
      </w:pPr>
      <w:r w:rsidRPr="00D623DC">
        <w:rPr>
          <w:rFonts w:ascii="Palatino Linotype" w:hAnsi="Palatino Linotype" w:cs="Arial"/>
          <w:i/>
          <w:color w:val="000000" w:themeColor="text1"/>
        </w:rPr>
        <w:t xml:space="preserve">Responsable de la Unidad de Transparencia” </w:t>
      </w:r>
      <w:r w:rsidRPr="00D623DC">
        <w:rPr>
          <w:rFonts w:ascii="Palatino Linotype" w:hAnsi="Palatino Linotype" w:cs="Arial"/>
          <w:color w:val="000000" w:themeColor="text1"/>
        </w:rPr>
        <w:t>(Sic).</w:t>
      </w:r>
    </w:p>
    <w:p w14:paraId="14365DC1" w14:textId="77777777" w:rsidR="001D0AB7" w:rsidRPr="00D623DC" w:rsidRDefault="001D0AB7" w:rsidP="00487BE9">
      <w:pPr>
        <w:pStyle w:val="Prrafodelista"/>
        <w:tabs>
          <w:tab w:val="left" w:pos="0"/>
          <w:tab w:val="left" w:pos="1485"/>
        </w:tabs>
        <w:spacing w:line="360" w:lineRule="auto"/>
        <w:ind w:left="0" w:right="49"/>
        <w:jc w:val="both"/>
        <w:rPr>
          <w:rFonts w:ascii="Palatino Linotype" w:hAnsi="Palatino Linotype" w:cs="Arial"/>
          <w:i/>
          <w:color w:val="000000" w:themeColor="text1"/>
        </w:rPr>
      </w:pPr>
    </w:p>
    <w:p w14:paraId="04B75FD4" w14:textId="77777777" w:rsidR="004B2C98" w:rsidRPr="00D623DC" w:rsidRDefault="004B2C98" w:rsidP="00487BE9">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623DC">
        <w:rPr>
          <w:rFonts w:ascii="Palatino Linotype" w:eastAsia="MS Mincho" w:hAnsi="Palatino Linotype"/>
          <w:color w:val="000000" w:themeColor="text1"/>
        </w:rPr>
        <w:t xml:space="preserve">El </w:t>
      </w:r>
      <w:r w:rsidR="00AA0F80" w:rsidRPr="00D623DC">
        <w:rPr>
          <w:rFonts w:ascii="Palatino Linotype" w:eastAsia="MS Mincho" w:hAnsi="Palatino Linotype"/>
          <w:color w:val="000000" w:themeColor="text1"/>
        </w:rPr>
        <w:t>siete (07) de marzo</w:t>
      </w:r>
      <w:r w:rsidR="00B00FB8" w:rsidRPr="00D623DC">
        <w:rPr>
          <w:rFonts w:ascii="Palatino Linotype" w:eastAsia="MS Mincho" w:hAnsi="Palatino Linotype"/>
          <w:color w:val="000000" w:themeColor="text1"/>
        </w:rPr>
        <w:t xml:space="preserve"> </w:t>
      </w:r>
      <w:r w:rsidRPr="00D623DC">
        <w:rPr>
          <w:rFonts w:ascii="Palatino Linotype" w:eastAsia="MS Mincho" w:hAnsi="Palatino Linotype"/>
          <w:color w:val="000000" w:themeColor="text1"/>
        </w:rPr>
        <w:t xml:space="preserve">de dos mil veintidós, el </w:t>
      </w:r>
      <w:r w:rsidRPr="00D623DC">
        <w:rPr>
          <w:rFonts w:ascii="Palatino Linotype" w:hAnsi="Palatino Linotype"/>
          <w:b/>
          <w:color w:val="000000" w:themeColor="text1"/>
        </w:rPr>
        <w:t>SUJETO OBLIGADO</w:t>
      </w:r>
      <w:r w:rsidRPr="00D623DC">
        <w:rPr>
          <w:rFonts w:ascii="Palatino Linotype" w:hAnsi="Palatino Linotype"/>
          <w:color w:val="000000" w:themeColor="text1"/>
        </w:rPr>
        <w:t xml:space="preserve"> dio respuestas a las solicitudes de información en los siguientes términos:</w:t>
      </w:r>
    </w:p>
    <w:p w14:paraId="09E3E9A9" w14:textId="77777777" w:rsidR="004B2C98" w:rsidRPr="00D623DC" w:rsidRDefault="004B2C98" w:rsidP="00487BE9">
      <w:pPr>
        <w:pStyle w:val="Prrafodelista"/>
        <w:tabs>
          <w:tab w:val="left" w:pos="0"/>
        </w:tabs>
        <w:spacing w:line="360" w:lineRule="auto"/>
        <w:ind w:left="567" w:right="900"/>
        <w:jc w:val="both"/>
        <w:rPr>
          <w:rFonts w:ascii="Palatino Linotype" w:hAnsi="Palatino Linotype" w:cs="Arial"/>
          <w:i/>
          <w:color w:val="000000" w:themeColor="text1"/>
        </w:rPr>
      </w:pPr>
    </w:p>
    <w:p w14:paraId="0787C13B" w14:textId="77777777" w:rsidR="00AA0F80" w:rsidRPr="00D623DC" w:rsidRDefault="004B2C98" w:rsidP="00487BE9">
      <w:pPr>
        <w:pStyle w:val="Prrafodelista"/>
        <w:tabs>
          <w:tab w:val="left" w:pos="0"/>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w:t>
      </w:r>
      <w:r w:rsidR="00AA0F80" w:rsidRPr="00D623DC">
        <w:rPr>
          <w:rFonts w:ascii="Palatino Linotype" w:hAnsi="Palatino Linotype" w:cs="Arial"/>
          <w:i/>
          <w:color w:val="000000" w:themeColor="text1"/>
        </w:rPr>
        <w:t>Cuautitlán, México a 07 de Marzo de 2022</w:t>
      </w:r>
    </w:p>
    <w:p w14:paraId="7E0C96D2" w14:textId="77777777" w:rsidR="00AA0F80" w:rsidRPr="00D623DC" w:rsidRDefault="00AA0F80" w:rsidP="00487BE9">
      <w:pPr>
        <w:pStyle w:val="Prrafodelista"/>
        <w:tabs>
          <w:tab w:val="left" w:pos="0"/>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Nombre del solicitante: C. Solicitante</w:t>
      </w:r>
    </w:p>
    <w:p w14:paraId="440304CE" w14:textId="77777777" w:rsidR="00AA0F80" w:rsidRPr="00D623DC" w:rsidRDefault="00AA0F80" w:rsidP="00487BE9">
      <w:pPr>
        <w:pStyle w:val="Prrafodelista"/>
        <w:tabs>
          <w:tab w:val="left" w:pos="0"/>
        </w:tabs>
        <w:spacing w:line="360" w:lineRule="auto"/>
        <w:ind w:left="567" w:right="900"/>
        <w:jc w:val="right"/>
        <w:rPr>
          <w:rFonts w:ascii="Palatino Linotype" w:hAnsi="Palatino Linotype" w:cs="Arial"/>
          <w:i/>
          <w:color w:val="000000" w:themeColor="text1"/>
        </w:rPr>
      </w:pPr>
      <w:r w:rsidRPr="00D623DC">
        <w:rPr>
          <w:rFonts w:ascii="Palatino Linotype" w:hAnsi="Palatino Linotype" w:cs="Arial"/>
          <w:i/>
          <w:color w:val="000000" w:themeColor="text1"/>
        </w:rPr>
        <w:t>Folio de la solicitud: 00057/CUAUTIT/IP/2022</w:t>
      </w:r>
    </w:p>
    <w:p w14:paraId="42DC18E5" w14:textId="77777777" w:rsidR="00AA0F80" w:rsidRPr="00D623DC" w:rsidRDefault="00AA0F80" w:rsidP="00487BE9">
      <w:pPr>
        <w:pStyle w:val="Prrafodelista"/>
        <w:tabs>
          <w:tab w:val="left" w:pos="0"/>
        </w:tabs>
        <w:spacing w:line="360" w:lineRule="auto"/>
        <w:ind w:left="567" w:right="900"/>
        <w:jc w:val="both"/>
        <w:rPr>
          <w:rFonts w:ascii="Palatino Linotype" w:hAnsi="Palatino Linotype" w:cs="Arial"/>
          <w:i/>
          <w:color w:val="000000" w:themeColor="text1"/>
        </w:rPr>
      </w:pPr>
    </w:p>
    <w:p w14:paraId="10B3DCAA" w14:textId="77777777" w:rsidR="00AA0F80" w:rsidRPr="00D623DC" w:rsidRDefault="00AA0F80" w:rsidP="00487BE9">
      <w:pPr>
        <w:pStyle w:val="Prrafodelista"/>
        <w:tabs>
          <w:tab w:val="left" w:pos="0"/>
        </w:tabs>
        <w:spacing w:line="360" w:lineRule="auto"/>
        <w:ind w:left="567" w:right="900"/>
        <w:jc w:val="both"/>
        <w:rPr>
          <w:rFonts w:ascii="Palatino Linotype" w:hAnsi="Palatino Linotype" w:cs="Arial"/>
          <w:i/>
          <w:color w:val="000000" w:themeColor="text1"/>
        </w:rPr>
      </w:pPr>
      <w:r w:rsidRPr="00D623DC">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252692" w14:textId="77777777" w:rsidR="00AA0F80" w:rsidRPr="00D623DC" w:rsidRDefault="00AA0F80" w:rsidP="00487BE9">
      <w:pPr>
        <w:pStyle w:val="Prrafodelista"/>
        <w:tabs>
          <w:tab w:val="left" w:pos="0"/>
        </w:tabs>
        <w:spacing w:line="360" w:lineRule="auto"/>
        <w:ind w:left="567" w:right="900"/>
        <w:jc w:val="right"/>
        <w:rPr>
          <w:rFonts w:ascii="Palatino Linotype" w:hAnsi="Palatino Linotype" w:cs="Arial"/>
          <w:i/>
          <w:color w:val="000000" w:themeColor="text1"/>
        </w:rPr>
      </w:pPr>
    </w:p>
    <w:p w14:paraId="2F458D73" w14:textId="77777777" w:rsidR="00AA0F80" w:rsidRPr="00D623DC" w:rsidRDefault="00AA0F80" w:rsidP="00487BE9">
      <w:pPr>
        <w:pStyle w:val="Prrafodelista"/>
        <w:tabs>
          <w:tab w:val="left" w:pos="0"/>
        </w:tabs>
        <w:spacing w:line="360" w:lineRule="auto"/>
        <w:ind w:left="567" w:right="900"/>
        <w:rPr>
          <w:rFonts w:ascii="Palatino Linotype" w:hAnsi="Palatino Linotype" w:cs="Arial"/>
          <w:i/>
          <w:color w:val="000000" w:themeColor="text1"/>
        </w:rPr>
      </w:pPr>
      <w:r w:rsidRPr="00D623DC">
        <w:rPr>
          <w:rFonts w:ascii="Palatino Linotype" w:hAnsi="Palatino Linotype" w:cs="Arial"/>
          <w:i/>
          <w:color w:val="000000" w:themeColor="text1"/>
        </w:rPr>
        <w:t>Se atiende a la solicitud 00057/CUAUTIT/IP/2022</w:t>
      </w:r>
    </w:p>
    <w:p w14:paraId="1A504986" w14:textId="77777777" w:rsidR="00AA0F80" w:rsidRPr="00D623DC" w:rsidRDefault="00AA0F80" w:rsidP="00487BE9">
      <w:pPr>
        <w:pStyle w:val="Prrafodelista"/>
        <w:tabs>
          <w:tab w:val="left" w:pos="0"/>
        </w:tabs>
        <w:spacing w:line="360" w:lineRule="auto"/>
        <w:ind w:left="567" w:right="900"/>
        <w:rPr>
          <w:rFonts w:ascii="Palatino Linotype" w:hAnsi="Palatino Linotype" w:cs="Arial"/>
          <w:i/>
          <w:color w:val="000000" w:themeColor="text1"/>
        </w:rPr>
      </w:pPr>
      <w:r w:rsidRPr="00D623DC">
        <w:rPr>
          <w:rFonts w:ascii="Palatino Linotype" w:hAnsi="Palatino Linotype" w:cs="Arial"/>
          <w:i/>
          <w:color w:val="000000" w:themeColor="text1"/>
        </w:rPr>
        <w:t>ATENTAMENTE</w:t>
      </w:r>
    </w:p>
    <w:p w14:paraId="15215DDE" w14:textId="77777777" w:rsidR="004B2C98" w:rsidRPr="00D623DC" w:rsidRDefault="00AA0F80" w:rsidP="00487BE9">
      <w:pPr>
        <w:pStyle w:val="Prrafodelista"/>
        <w:tabs>
          <w:tab w:val="left" w:pos="0"/>
        </w:tabs>
        <w:spacing w:line="360" w:lineRule="auto"/>
        <w:ind w:left="567" w:right="900"/>
        <w:rPr>
          <w:rFonts w:ascii="Palatino Linotype" w:hAnsi="Palatino Linotype" w:cs="Arial"/>
          <w:i/>
          <w:color w:val="000000" w:themeColor="text1"/>
        </w:rPr>
      </w:pPr>
      <w:r w:rsidRPr="00D623DC">
        <w:rPr>
          <w:rFonts w:ascii="Palatino Linotype" w:hAnsi="Palatino Linotype" w:cs="Arial"/>
          <w:i/>
          <w:color w:val="000000" w:themeColor="text1"/>
        </w:rPr>
        <w:t>C. ANAISSA RAMIREZ ALDANA</w:t>
      </w:r>
      <w:r w:rsidR="004B2C98" w:rsidRPr="00D623DC">
        <w:rPr>
          <w:rFonts w:ascii="Palatino Linotype" w:hAnsi="Palatino Linotype" w:cs="Arial"/>
          <w:i/>
          <w:color w:val="000000" w:themeColor="text1"/>
        </w:rPr>
        <w:t>”</w:t>
      </w:r>
      <w:r w:rsidR="004B2C98" w:rsidRPr="00D623DC">
        <w:rPr>
          <w:rFonts w:ascii="Palatino Linotype" w:hAnsi="Palatino Linotype" w:cs="Arial"/>
          <w:color w:val="000000" w:themeColor="text1"/>
        </w:rPr>
        <w:t xml:space="preserve"> (Sic). </w:t>
      </w:r>
    </w:p>
    <w:p w14:paraId="3C1ACC5D" w14:textId="77777777" w:rsidR="00C41774" w:rsidRPr="00D623DC" w:rsidRDefault="00C41774" w:rsidP="00487BE9">
      <w:pPr>
        <w:pStyle w:val="Prrafodelista"/>
        <w:tabs>
          <w:tab w:val="left" w:pos="0"/>
        </w:tabs>
        <w:spacing w:line="360" w:lineRule="auto"/>
        <w:ind w:left="567" w:right="900"/>
        <w:rPr>
          <w:rFonts w:ascii="Palatino Linotype" w:hAnsi="Palatino Linotype" w:cs="Arial"/>
          <w:color w:val="000000" w:themeColor="text1"/>
        </w:rPr>
      </w:pPr>
    </w:p>
    <w:p w14:paraId="6B1EE6E5" w14:textId="77777777" w:rsidR="00A92D3A" w:rsidRPr="00D623DC" w:rsidRDefault="00762CFF" w:rsidP="00487BE9">
      <w:pPr>
        <w:pStyle w:val="Prrafodelista"/>
        <w:numPr>
          <w:ilvl w:val="0"/>
          <w:numId w:val="1"/>
        </w:numPr>
        <w:tabs>
          <w:tab w:val="left" w:pos="284"/>
          <w:tab w:val="left" w:pos="567"/>
        </w:tabs>
        <w:spacing w:line="360" w:lineRule="auto"/>
        <w:ind w:left="0" w:firstLine="0"/>
        <w:jc w:val="both"/>
        <w:rPr>
          <w:rFonts w:ascii="Palatino Linotype" w:hAnsi="Palatino Linotype"/>
          <w:b/>
          <w:i/>
        </w:rPr>
      </w:pPr>
      <w:r w:rsidRPr="00D623DC">
        <w:rPr>
          <w:rFonts w:ascii="Palatino Linotype" w:hAnsi="Palatino Linotype" w:cs="Arial"/>
          <w:color w:val="000000" w:themeColor="text1"/>
        </w:rPr>
        <w:t xml:space="preserve">Se adjuntó </w:t>
      </w:r>
      <w:r w:rsidR="00C35C43" w:rsidRPr="00D623DC">
        <w:rPr>
          <w:rFonts w:ascii="Palatino Linotype" w:hAnsi="Palatino Linotype" w:cs="Arial"/>
          <w:color w:val="000000" w:themeColor="text1"/>
        </w:rPr>
        <w:t xml:space="preserve">los </w:t>
      </w:r>
      <w:r w:rsidRPr="00D623DC">
        <w:rPr>
          <w:rFonts w:ascii="Palatino Linotype" w:hAnsi="Palatino Linotype" w:cs="Arial"/>
          <w:color w:val="000000" w:themeColor="text1"/>
        </w:rPr>
        <w:t>archivo</w:t>
      </w:r>
      <w:r w:rsidR="00C35C43" w:rsidRPr="00D623DC">
        <w:rPr>
          <w:rFonts w:ascii="Palatino Linotype" w:hAnsi="Palatino Linotype" w:cs="Arial"/>
          <w:color w:val="000000" w:themeColor="text1"/>
        </w:rPr>
        <w:t>s</w:t>
      </w:r>
      <w:r w:rsidRPr="00D623DC">
        <w:rPr>
          <w:rFonts w:ascii="Palatino Linotype" w:hAnsi="Palatino Linotype" w:cs="Arial"/>
          <w:color w:val="000000" w:themeColor="text1"/>
        </w:rPr>
        <w:t xml:space="preserve"> electrónico</w:t>
      </w:r>
      <w:r w:rsidR="00C35C43" w:rsidRPr="00D623DC">
        <w:rPr>
          <w:rFonts w:ascii="Palatino Linotype" w:hAnsi="Palatino Linotype" w:cs="Arial"/>
          <w:color w:val="000000" w:themeColor="text1"/>
        </w:rPr>
        <w:t>s</w:t>
      </w:r>
      <w:r w:rsidRPr="00D623DC">
        <w:rPr>
          <w:rFonts w:ascii="Palatino Linotype" w:hAnsi="Palatino Linotype" w:cs="Arial"/>
          <w:color w:val="000000" w:themeColor="text1"/>
        </w:rPr>
        <w:t xml:space="preserve"> denominado</w:t>
      </w:r>
      <w:r w:rsidR="00C35C43" w:rsidRPr="00D623DC">
        <w:rPr>
          <w:rFonts w:ascii="Palatino Linotype" w:hAnsi="Palatino Linotype" w:cs="Arial"/>
          <w:color w:val="000000" w:themeColor="text1"/>
        </w:rPr>
        <w:t xml:space="preserve">s </w:t>
      </w:r>
      <w:r w:rsidR="00C35C43" w:rsidRPr="00D623DC">
        <w:rPr>
          <w:rFonts w:ascii="Palatino Linotype" w:hAnsi="Palatino Linotype" w:cs="Arial"/>
          <w:b/>
          <w:color w:val="000000" w:themeColor="text1"/>
        </w:rPr>
        <w:t xml:space="preserve">ACUSE SOLICITUD 00057 TESORERIA.pdf </w:t>
      </w:r>
      <w:r w:rsidR="00C35C43" w:rsidRPr="00D623DC">
        <w:rPr>
          <w:rFonts w:ascii="Palatino Linotype" w:hAnsi="Palatino Linotype" w:cs="Arial"/>
          <w:color w:val="000000" w:themeColor="text1"/>
        </w:rPr>
        <w:t xml:space="preserve">y </w:t>
      </w:r>
      <w:r w:rsidR="00A92D3A" w:rsidRPr="00D623DC">
        <w:rPr>
          <w:rFonts w:ascii="Palatino Linotype" w:hAnsi="Palatino Linotype" w:cs="Arial"/>
          <w:b/>
          <w:color w:val="000000" w:themeColor="text1"/>
        </w:rPr>
        <w:t>RESP-CHICONCU-00135-2022-.pdf</w:t>
      </w:r>
      <w:r w:rsidR="003A69CE" w:rsidRPr="00D623DC">
        <w:rPr>
          <w:rFonts w:ascii="Palatino Linotype" w:hAnsi="Palatino Linotype" w:cs="Arial"/>
          <w:b/>
          <w:color w:val="000000" w:themeColor="text1"/>
        </w:rPr>
        <w:t xml:space="preserve">, </w:t>
      </w:r>
      <w:r w:rsidR="00A92D3A" w:rsidRPr="00D623DC">
        <w:rPr>
          <w:rFonts w:ascii="Palatino Linotype" w:eastAsia="Times New Roman" w:hAnsi="Palatino Linotype" w:cs="Arial"/>
        </w:rPr>
        <w:t>cuyo contenido se describe a continuación:</w:t>
      </w:r>
    </w:p>
    <w:p w14:paraId="1B8CDA9A" w14:textId="77777777" w:rsidR="003A69CE" w:rsidRPr="00D623DC" w:rsidRDefault="003A69CE" w:rsidP="00487BE9">
      <w:pPr>
        <w:tabs>
          <w:tab w:val="left" w:pos="0"/>
        </w:tabs>
        <w:spacing w:line="360" w:lineRule="auto"/>
        <w:ind w:right="49"/>
        <w:jc w:val="both"/>
        <w:rPr>
          <w:rFonts w:ascii="Palatino Linotype" w:hAnsi="Palatino Linotype" w:cs="Arial"/>
          <w:color w:val="000000" w:themeColor="text1"/>
        </w:rPr>
      </w:pPr>
    </w:p>
    <w:p w14:paraId="05AAFFB8" w14:textId="77777777" w:rsidR="00AA0F80" w:rsidRPr="00D623DC" w:rsidRDefault="00AA0F80" w:rsidP="00487BE9">
      <w:pPr>
        <w:tabs>
          <w:tab w:val="left" w:pos="567"/>
        </w:tabs>
        <w:spacing w:line="360" w:lineRule="auto"/>
        <w:ind w:left="567" w:right="900"/>
        <w:jc w:val="both"/>
        <w:rPr>
          <w:rFonts w:ascii="Palatino Linotype" w:hAnsi="Palatino Linotype" w:cs="Arial"/>
          <w:color w:val="000000" w:themeColor="text1"/>
        </w:rPr>
      </w:pPr>
      <w:r w:rsidRPr="00D623DC">
        <w:rPr>
          <w:rFonts w:ascii="Palatino Linotype" w:hAnsi="Palatino Linotype" w:cs="Arial"/>
          <w:b/>
          <w:color w:val="000000" w:themeColor="text1"/>
        </w:rPr>
        <w:t>ACUSE SOLICITUD 00057 TESORERIA.pdf:</w:t>
      </w:r>
      <w:r w:rsidR="00090F3D" w:rsidRPr="00D623DC">
        <w:rPr>
          <w:rFonts w:ascii="Palatino Linotype" w:hAnsi="Palatino Linotype" w:cs="Arial"/>
          <w:color w:val="000000" w:themeColor="text1"/>
        </w:rPr>
        <w:t xml:space="preserve"> O</w:t>
      </w:r>
      <w:r w:rsidR="00C35C43" w:rsidRPr="00D623DC">
        <w:rPr>
          <w:rFonts w:ascii="Palatino Linotype" w:hAnsi="Palatino Linotype" w:cs="Arial"/>
          <w:color w:val="000000" w:themeColor="text1"/>
        </w:rPr>
        <w:t xml:space="preserve">ficio número </w:t>
      </w:r>
      <w:r w:rsidR="00C35C43" w:rsidRPr="00D623DC">
        <w:rPr>
          <w:rFonts w:ascii="Palatino Linotype" w:hAnsi="Palatino Linotype" w:cs="Arial"/>
          <w:b/>
          <w:color w:val="000000" w:themeColor="text1"/>
        </w:rPr>
        <w:t>UT/186/2022</w:t>
      </w:r>
      <w:r w:rsidR="00C35C43" w:rsidRPr="00D623DC">
        <w:rPr>
          <w:rFonts w:ascii="Palatino Linotype" w:hAnsi="Palatino Linotype" w:cs="Arial"/>
          <w:color w:val="000000" w:themeColor="text1"/>
        </w:rPr>
        <w:t xml:space="preserve">, suscrito por el Titular de la Unidad de Transparencia, el cual contiene un requerimiento de información al Tesorero Municipal. </w:t>
      </w:r>
    </w:p>
    <w:p w14:paraId="0C20EB0C" w14:textId="77777777" w:rsidR="00C35C43" w:rsidRPr="00D623DC" w:rsidRDefault="00C35C43" w:rsidP="00487BE9">
      <w:pPr>
        <w:tabs>
          <w:tab w:val="left" w:pos="567"/>
        </w:tabs>
        <w:spacing w:line="360" w:lineRule="auto"/>
        <w:ind w:left="567" w:right="900"/>
        <w:jc w:val="both"/>
        <w:rPr>
          <w:rFonts w:ascii="Palatino Linotype" w:hAnsi="Palatino Linotype" w:cs="Arial"/>
          <w:color w:val="000000" w:themeColor="text1"/>
        </w:rPr>
      </w:pPr>
    </w:p>
    <w:p w14:paraId="65E5DD7C" w14:textId="77777777" w:rsidR="00762CFF" w:rsidRPr="00D623DC" w:rsidRDefault="00AA0F80" w:rsidP="00487BE9">
      <w:pPr>
        <w:tabs>
          <w:tab w:val="left" w:pos="567"/>
        </w:tabs>
        <w:spacing w:line="360" w:lineRule="auto"/>
        <w:ind w:left="567" w:right="900"/>
        <w:jc w:val="both"/>
        <w:rPr>
          <w:rFonts w:ascii="Palatino Linotype" w:hAnsi="Palatino Linotype" w:cs="Arial"/>
          <w:b/>
          <w:color w:val="000000" w:themeColor="text1"/>
        </w:rPr>
      </w:pPr>
      <w:r w:rsidRPr="00D623DC">
        <w:rPr>
          <w:rFonts w:ascii="Palatino Linotype" w:hAnsi="Palatino Linotype" w:cs="Arial"/>
          <w:b/>
          <w:color w:val="000000" w:themeColor="text1"/>
        </w:rPr>
        <w:t>RESPUESTA SOLICITUD 00057 TESORERIA.pdf</w:t>
      </w:r>
    </w:p>
    <w:p w14:paraId="3E6ECBBE" w14:textId="77777777" w:rsidR="00A92D3A" w:rsidRPr="00D623DC" w:rsidRDefault="00A92D3A" w:rsidP="00487BE9">
      <w:pPr>
        <w:tabs>
          <w:tab w:val="left" w:pos="567"/>
        </w:tabs>
        <w:spacing w:line="360" w:lineRule="auto"/>
        <w:ind w:left="567" w:right="900"/>
        <w:jc w:val="both"/>
        <w:rPr>
          <w:rFonts w:ascii="Palatino Linotype" w:hAnsi="Palatino Linotype" w:cs="Arial"/>
          <w:color w:val="000000" w:themeColor="text1"/>
        </w:rPr>
      </w:pPr>
      <w:r w:rsidRPr="00D623DC">
        <w:rPr>
          <w:rFonts w:ascii="Palatino Linotype" w:hAnsi="Palatino Linotype" w:cs="Arial"/>
          <w:color w:val="000000" w:themeColor="text1"/>
        </w:rPr>
        <w:t xml:space="preserve">-Oficio número </w:t>
      </w:r>
      <w:r w:rsidRPr="00D623DC">
        <w:rPr>
          <w:rFonts w:ascii="Palatino Linotype" w:hAnsi="Palatino Linotype" w:cs="Arial"/>
          <w:b/>
          <w:color w:val="000000" w:themeColor="text1"/>
        </w:rPr>
        <w:t>UT/186/2022</w:t>
      </w:r>
      <w:r w:rsidRPr="00D623DC">
        <w:rPr>
          <w:rFonts w:ascii="Palatino Linotype" w:hAnsi="Palatino Linotype" w:cs="Arial"/>
          <w:color w:val="000000" w:themeColor="text1"/>
        </w:rPr>
        <w:t xml:space="preserve">, suscrito por el Titular de la Unidad de Transparencia, el cual contiene un requerimiento de información al Tesorero Municipal. </w:t>
      </w:r>
    </w:p>
    <w:p w14:paraId="3B8B0EDE" w14:textId="77777777" w:rsidR="00050598" w:rsidRPr="00D623DC" w:rsidRDefault="00050598" w:rsidP="00487BE9">
      <w:pPr>
        <w:tabs>
          <w:tab w:val="left" w:pos="567"/>
        </w:tabs>
        <w:spacing w:line="360" w:lineRule="auto"/>
        <w:ind w:left="567" w:right="900"/>
        <w:jc w:val="both"/>
        <w:rPr>
          <w:rFonts w:ascii="Palatino Linotype" w:hAnsi="Palatino Linotype" w:cs="Arial"/>
          <w:color w:val="000000" w:themeColor="text1"/>
        </w:rPr>
      </w:pPr>
    </w:p>
    <w:p w14:paraId="60C62221" w14:textId="77777777" w:rsidR="00090F3D" w:rsidRPr="00D623DC" w:rsidRDefault="00A92D3A" w:rsidP="00487BE9">
      <w:pPr>
        <w:tabs>
          <w:tab w:val="left" w:pos="567"/>
        </w:tabs>
        <w:spacing w:line="360" w:lineRule="auto"/>
        <w:ind w:left="567" w:right="900"/>
        <w:jc w:val="both"/>
        <w:rPr>
          <w:rFonts w:ascii="Palatino Linotype" w:hAnsi="Palatino Linotype" w:cs="Arial"/>
          <w:color w:val="000000" w:themeColor="text1"/>
        </w:rPr>
      </w:pPr>
      <w:r w:rsidRPr="00D623DC">
        <w:rPr>
          <w:rFonts w:ascii="Palatino Linotype" w:hAnsi="Palatino Linotype" w:cs="Arial"/>
          <w:color w:val="000000" w:themeColor="text1"/>
        </w:rPr>
        <w:t xml:space="preserve">-Oficio número </w:t>
      </w:r>
      <w:r w:rsidRPr="00D623DC">
        <w:rPr>
          <w:rFonts w:ascii="Palatino Linotype" w:hAnsi="Palatino Linotype" w:cs="Arial"/>
          <w:b/>
          <w:color w:val="000000" w:themeColor="text1"/>
        </w:rPr>
        <w:t>TMC/JFMC/0211/2022</w:t>
      </w:r>
      <w:r w:rsidRPr="00D623DC">
        <w:rPr>
          <w:rFonts w:ascii="Palatino Linotype" w:hAnsi="Palatino Linotype" w:cs="Arial"/>
          <w:color w:val="000000" w:themeColor="text1"/>
        </w:rPr>
        <w:t xml:space="preserve">, suscrito  por el Tesorero Municipal, por el que se informa que los Sujetos Obligados solo </w:t>
      </w:r>
      <w:r w:rsidRPr="00D623DC">
        <w:rPr>
          <w:rFonts w:ascii="Palatino Linotype" w:hAnsi="Palatino Linotype" w:cs="Arial"/>
          <w:color w:val="000000" w:themeColor="text1"/>
        </w:rPr>
        <w:lastRenderedPageBreak/>
        <w:t xml:space="preserve">proporcionaran Información Pública que se les requiera y que obre en sus archivos y en el estado en el que ésta </w:t>
      </w:r>
      <w:r w:rsidR="00090F3D" w:rsidRPr="00D623DC">
        <w:rPr>
          <w:rFonts w:ascii="Palatino Linotype" w:hAnsi="Palatino Linotype" w:cs="Arial"/>
          <w:color w:val="000000" w:themeColor="text1"/>
        </w:rPr>
        <w:t xml:space="preserve">se encuentra. </w:t>
      </w:r>
    </w:p>
    <w:p w14:paraId="2C1830C5" w14:textId="77777777" w:rsidR="00090F3D" w:rsidRPr="00D623DC" w:rsidRDefault="00090F3D" w:rsidP="00487BE9">
      <w:pPr>
        <w:tabs>
          <w:tab w:val="left" w:pos="567"/>
        </w:tabs>
        <w:spacing w:line="360" w:lineRule="auto"/>
        <w:ind w:left="567" w:right="900"/>
        <w:jc w:val="both"/>
        <w:rPr>
          <w:rFonts w:ascii="Palatino Linotype" w:hAnsi="Palatino Linotype" w:cs="Arial"/>
          <w:color w:val="000000" w:themeColor="text1"/>
        </w:rPr>
      </w:pPr>
    </w:p>
    <w:p w14:paraId="3713B4CF" w14:textId="77777777" w:rsidR="009F09BC" w:rsidRPr="00D623DC" w:rsidRDefault="009F09BC" w:rsidP="00487BE9">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D623DC">
        <w:rPr>
          <w:rFonts w:ascii="Palatino Linotype" w:eastAsia="Times New Roman" w:hAnsi="Palatino Linotype" w:cs="Arial"/>
          <w:color w:val="000000" w:themeColor="text1"/>
          <w:lang w:val="es-ES"/>
        </w:rPr>
        <w:t>E</w:t>
      </w:r>
      <w:r w:rsidR="00090F3D" w:rsidRPr="00D623DC">
        <w:rPr>
          <w:rFonts w:ascii="Palatino Linotype" w:eastAsia="Times New Roman" w:hAnsi="Palatino Linotype" w:cs="Arial"/>
          <w:color w:val="000000" w:themeColor="text1"/>
          <w:lang w:val="es-ES"/>
        </w:rPr>
        <w:t>l once</w:t>
      </w:r>
      <w:r w:rsidR="00B170E1" w:rsidRPr="00D623DC">
        <w:rPr>
          <w:rFonts w:ascii="Palatino Linotype" w:eastAsia="Times New Roman" w:hAnsi="Palatino Linotype" w:cs="Arial"/>
          <w:color w:val="000000" w:themeColor="text1"/>
          <w:lang w:val="es-ES"/>
        </w:rPr>
        <w:t xml:space="preserve"> </w:t>
      </w:r>
      <w:r w:rsidRPr="00D623DC">
        <w:rPr>
          <w:rFonts w:ascii="Palatino Linotype" w:eastAsia="Times New Roman" w:hAnsi="Palatino Linotype" w:cs="Arial"/>
          <w:color w:val="000000" w:themeColor="text1"/>
          <w:lang w:val="es-ES"/>
        </w:rPr>
        <w:t>(</w:t>
      </w:r>
      <w:r w:rsidR="00090F3D" w:rsidRPr="00D623DC">
        <w:rPr>
          <w:rFonts w:ascii="Palatino Linotype" w:eastAsia="Times New Roman" w:hAnsi="Palatino Linotype" w:cs="Arial"/>
          <w:color w:val="000000" w:themeColor="text1"/>
          <w:lang w:val="es-ES"/>
        </w:rPr>
        <w:t xml:space="preserve">11) de marzo </w:t>
      </w:r>
      <w:r w:rsidRPr="00D623DC">
        <w:rPr>
          <w:rFonts w:ascii="Palatino Linotype" w:eastAsia="Times New Roman" w:hAnsi="Palatino Linotype" w:cs="Arial"/>
          <w:color w:val="000000" w:themeColor="text1"/>
          <w:lang w:val="es-ES"/>
        </w:rPr>
        <w:t xml:space="preserve">de </w:t>
      </w:r>
      <w:r w:rsidR="004A6EA2" w:rsidRPr="00D623DC">
        <w:rPr>
          <w:rFonts w:ascii="Palatino Linotype" w:eastAsia="Times New Roman" w:hAnsi="Palatino Linotype" w:cs="Arial"/>
          <w:color w:val="000000" w:themeColor="text1"/>
          <w:lang w:val="es-ES"/>
        </w:rPr>
        <w:t>dos mil veintidós</w:t>
      </w:r>
      <w:r w:rsidR="00FA5CDD" w:rsidRPr="00D623DC">
        <w:rPr>
          <w:rFonts w:ascii="Palatino Linotype" w:eastAsia="Times New Roman" w:hAnsi="Palatino Linotype" w:cs="Arial"/>
          <w:color w:val="000000" w:themeColor="text1"/>
          <w:lang w:val="es-ES"/>
        </w:rPr>
        <w:t>, el</w:t>
      </w:r>
      <w:r w:rsidR="00FA5CDD" w:rsidRPr="00D623DC">
        <w:rPr>
          <w:rFonts w:ascii="Palatino Linotype" w:eastAsia="Times New Roman" w:hAnsi="Palatino Linotype" w:cs="Arial"/>
          <w:b/>
          <w:color w:val="000000" w:themeColor="text1"/>
          <w:lang w:val="es-ES"/>
        </w:rPr>
        <w:t xml:space="preserve"> </w:t>
      </w:r>
      <w:r w:rsidR="00844A2B" w:rsidRPr="00D623DC">
        <w:rPr>
          <w:rFonts w:ascii="Palatino Linotype" w:eastAsia="Times New Roman" w:hAnsi="Palatino Linotype" w:cs="Arial"/>
          <w:b/>
          <w:color w:val="000000" w:themeColor="text1"/>
          <w:lang w:val="es-ES"/>
        </w:rPr>
        <w:t>RECURRENTE</w:t>
      </w:r>
      <w:r w:rsidRPr="00D623DC">
        <w:rPr>
          <w:rFonts w:ascii="Palatino Linotype" w:eastAsia="Times New Roman" w:hAnsi="Palatino Linotype" w:cs="Arial"/>
          <w:b/>
          <w:color w:val="000000" w:themeColor="text1"/>
          <w:lang w:val="es-ES"/>
        </w:rPr>
        <w:t xml:space="preserve"> </w:t>
      </w:r>
      <w:r w:rsidRPr="00D623DC">
        <w:rPr>
          <w:rFonts w:ascii="Palatino Linotype" w:eastAsia="Times New Roman" w:hAnsi="Palatino Linotype" w:cs="Arial"/>
          <w:color w:val="000000" w:themeColor="text1"/>
          <w:lang w:val="es-ES"/>
        </w:rPr>
        <w:t xml:space="preserve">interpuso </w:t>
      </w:r>
      <w:r w:rsidR="002C4997" w:rsidRPr="00D623DC">
        <w:rPr>
          <w:rFonts w:ascii="Palatino Linotype" w:eastAsia="Times New Roman" w:hAnsi="Palatino Linotype" w:cs="Arial"/>
          <w:color w:val="000000" w:themeColor="text1"/>
          <w:lang w:val="es-ES"/>
        </w:rPr>
        <w:t>e</w:t>
      </w:r>
      <w:r w:rsidRPr="00D623DC">
        <w:rPr>
          <w:rFonts w:ascii="Palatino Linotype" w:eastAsia="Times New Roman" w:hAnsi="Palatino Linotype" w:cs="Arial"/>
          <w:color w:val="000000" w:themeColor="text1"/>
          <w:lang w:val="es-ES"/>
        </w:rPr>
        <w:t>l recurso de revisión en contra de la respuesta, manifestando l</w:t>
      </w:r>
      <w:r w:rsidR="002C4997" w:rsidRPr="00D623DC">
        <w:rPr>
          <w:rFonts w:ascii="Palatino Linotype" w:eastAsia="Times New Roman" w:hAnsi="Palatino Linotype" w:cs="Arial"/>
          <w:color w:val="000000" w:themeColor="text1"/>
          <w:lang w:val="es-ES"/>
        </w:rPr>
        <w:t>a</w:t>
      </w:r>
      <w:r w:rsidRPr="00D623DC">
        <w:rPr>
          <w:rFonts w:ascii="Palatino Linotype" w:eastAsia="Times New Roman" w:hAnsi="Palatino Linotype" w:cs="Arial"/>
          <w:color w:val="000000" w:themeColor="text1"/>
          <w:lang w:val="es-ES"/>
        </w:rPr>
        <w:t xml:space="preserve">s </w:t>
      </w:r>
      <w:r w:rsidR="002C4997" w:rsidRPr="00D623DC">
        <w:rPr>
          <w:rFonts w:ascii="Palatino Linotype" w:eastAsia="Times New Roman" w:hAnsi="Palatino Linotype" w:cs="Arial"/>
          <w:color w:val="000000" w:themeColor="text1"/>
          <w:lang w:val="es-ES"/>
        </w:rPr>
        <w:t>siguientes</w:t>
      </w:r>
      <w:r w:rsidRPr="00D623DC">
        <w:rPr>
          <w:rFonts w:ascii="Palatino Linotype" w:eastAsia="Times New Roman" w:hAnsi="Palatino Linotype" w:cs="Arial"/>
          <w:color w:val="000000" w:themeColor="text1"/>
          <w:lang w:val="es-ES"/>
        </w:rPr>
        <w:t xml:space="preserve"> razones o motivos de inconformidad:</w:t>
      </w:r>
    </w:p>
    <w:p w14:paraId="0A0C285E" w14:textId="77777777" w:rsidR="009F09BC" w:rsidRPr="00D623DC" w:rsidRDefault="009F09BC" w:rsidP="00487BE9">
      <w:pPr>
        <w:pStyle w:val="Prrafodelista"/>
        <w:tabs>
          <w:tab w:val="left" w:pos="0"/>
        </w:tabs>
        <w:spacing w:line="360" w:lineRule="auto"/>
        <w:ind w:left="0" w:right="49"/>
        <w:jc w:val="both"/>
        <w:rPr>
          <w:rFonts w:ascii="Palatino Linotype" w:hAnsi="Palatino Linotype" w:cs="Arial"/>
          <w:i/>
          <w:color w:val="000000" w:themeColor="text1"/>
        </w:rPr>
      </w:pPr>
    </w:p>
    <w:p w14:paraId="0F755659" w14:textId="77777777" w:rsidR="009F09BC" w:rsidRPr="00D623DC" w:rsidRDefault="009F09BC" w:rsidP="00487BE9">
      <w:pPr>
        <w:spacing w:line="360" w:lineRule="auto"/>
        <w:ind w:left="567" w:right="900"/>
        <w:jc w:val="both"/>
        <w:rPr>
          <w:rFonts w:ascii="Palatino Linotype" w:eastAsiaTheme="majorEastAsia" w:hAnsi="Palatino Linotype" w:cstheme="majorBidi"/>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623DC">
        <w:rPr>
          <w:rStyle w:val="Ttulo2Car"/>
          <w:rFonts w:ascii="Palatino Linotype" w:hAnsi="Palatino Linotype"/>
          <w:b/>
          <w:color w:val="auto"/>
          <w:sz w:val="24"/>
          <w:szCs w:val="24"/>
        </w:rPr>
        <w:t>Acto impugnado</w:t>
      </w:r>
      <w:bookmarkEnd w:id="3"/>
      <w:r w:rsidRPr="00D623DC">
        <w:rPr>
          <w:rStyle w:val="Ttulo2Car"/>
          <w:rFonts w:ascii="Palatino Linotype" w:hAnsi="Palatino Linotype"/>
          <w:b/>
          <w:color w:val="000000" w:themeColor="text1"/>
          <w:sz w:val="24"/>
          <w:szCs w:val="24"/>
        </w:rPr>
        <w:t xml:space="preserve">: </w:t>
      </w:r>
      <w:r w:rsidRPr="00D623D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090F3D" w:rsidRPr="00D623DC">
        <w:rPr>
          <w:rStyle w:val="Ttulo2Car"/>
          <w:rFonts w:ascii="Palatino Linotype" w:hAnsi="Palatino Linotype"/>
          <w:i/>
          <w:color w:val="000000" w:themeColor="text1"/>
          <w:sz w:val="24"/>
          <w:szCs w:val="24"/>
        </w:rPr>
        <w:t>la negativa de dar respuesta y no cumplir con los tiempos aun cuando se había solicitado prorroga</w:t>
      </w:r>
      <w:r w:rsidRPr="00D623DC">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D623DC">
        <w:rPr>
          <w:rFonts w:ascii="Palatino Linotype" w:hAnsi="Palatino Linotype"/>
        </w:rPr>
        <w:t xml:space="preserve"> (Sic).</w:t>
      </w:r>
    </w:p>
    <w:p w14:paraId="237E50A7" w14:textId="77777777" w:rsidR="009F09BC" w:rsidRPr="00D623DC" w:rsidRDefault="009F09BC" w:rsidP="00487BE9">
      <w:pPr>
        <w:spacing w:line="360" w:lineRule="auto"/>
        <w:ind w:right="900"/>
        <w:jc w:val="both"/>
        <w:rPr>
          <w:rFonts w:ascii="Palatino Linotype" w:hAnsi="Palatino Linotype"/>
          <w:i/>
          <w:color w:val="000000" w:themeColor="text1"/>
        </w:rPr>
      </w:pPr>
    </w:p>
    <w:p w14:paraId="3FE8D29C" w14:textId="77777777" w:rsidR="009F09BC" w:rsidRPr="00D623DC" w:rsidRDefault="009F09BC" w:rsidP="00487BE9">
      <w:pPr>
        <w:spacing w:line="360" w:lineRule="auto"/>
        <w:ind w:left="567" w:right="900"/>
        <w:jc w:val="both"/>
        <w:rPr>
          <w:rFonts w:ascii="Palatino Linotype" w:hAnsi="Palatino Linotype"/>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D623DC">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D623DC">
        <w:rPr>
          <w:rFonts w:ascii="Palatino Linotype" w:hAnsi="Palatino Linotype"/>
          <w:b/>
          <w:color w:val="000000" w:themeColor="text1"/>
        </w:rPr>
        <w:t xml:space="preserve"> </w:t>
      </w:r>
      <w:r w:rsidRPr="00D623DC">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090F3D" w:rsidRPr="00D623DC">
        <w:rPr>
          <w:rFonts w:ascii="Palatino Linotype" w:hAnsi="Palatino Linotype"/>
          <w:i/>
          <w:color w:val="000000" w:themeColor="text1"/>
        </w:rPr>
        <w:t>se anexa PDF detallado con las inconsistencias dentro de los tiempos establecidos por la Ley y las propias inconsistencias a la respuesta fuera de tiempos y por la ambigüedad de la misma”</w:t>
      </w:r>
      <w:r w:rsidR="00090F3D" w:rsidRPr="00D623DC">
        <w:rPr>
          <w:rFonts w:ascii="Palatino Linotype" w:hAnsi="Palatino Linotype"/>
          <w:color w:val="000000" w:themeColor="text1"/>
        </w:rPr>
        <w:t xml:space="preserve"> </w:t>
      </w:r>
      <w:r w:rsidR="00B170E1" w:rsidRPr="00D623DC">
        <w:rPr>
          <w:rFonts w:ascii="Palatino Linotype" w:hAnsi="Palatino Linotype"/>
          <w:color w:val="000000" w:themeColor="text1"/>
        </w:rPr>
        <w:t>(Sic).</w:t>
      </w:r>
    </w:p>
    <w:p w14:paraId="61E4907F" w14:textId="77777777" w:rsidR="004D754A" w:rsidRPr="00D623DC" w:rsidRDefault="004D754A" w:rsidP="00487BE9">
      <w:pPr>
        <w:spacing w:line="360" w:lineRule="auto"/>
        <w:ind w:left="567" w:right="900"/>
        <w:jc w:val="both"/>
        <w:rPr>
          <w:rFonts w:ascii="Palatino Linotype" w:hAnsi="Palatino Linotype"/>
          <w:color w:val="000000" w:themeColor="text1"/>
        </w:rPr>
      </w:pPr>
    </w:p>
    <w:p w14:paraId="18885293" w14:textId="77777777" w:rsidR="004D754A" w:rsidRPr="00D623DC" w:rsidRDefault="004D754A" w:rsidP="00487BE9">
      <w:pPr>
        <w:spacing w:line="360" w:lineRule="auto"/>
        <w:ind w:left="567" w:right="900"/>
        <w:jc w:val="both"/>
        <w:rPr>
          <w:rStyle w:val="Ttulo2Car"/>
          <w:rFonts w:ascii="Palatino Linotype" w:hAnsi="Palatino Linotype"/>
          <w:color w:val="000000" w:themeColor="text1"/>
          <w:sz w:val="24"/>
          <w:szCs w:val="24"/>
        </w:rPr>
      </w:pPr>
      <w:r w:rsidRPr="00D623DC">
        <w:rPr>
          <w:rStyle w:val="Ttulo2Car"/>
          <w:rFonts w:ascii="Palatino Linotype" w:hAnsi="Palatino Linotype"/>
          <w:color w:val="000000" w:themeColor="text1"/>
          <w:sz w:val="24"/>
          <w:szCs w:val="24"/>
        </w:rPr>
        <w:t>Archivo adjunto</w:t>
      </w:r>
    </w:p>
    <w:p w14:paraId="40D47D3C" w14:textId="77777777" w:rsidR="004D754A" w:rsidRPr="00D623DC" w:rsidRDefault="004D754A" w:rsidP="00487BE9">
      <w:pPr>
        <w:spacing w:line="360" w:lineRule="auto"/>
        <w:ind w:left="567" w:right="900"/>
        <w:jc w:val="both"/>
        <w:rPr>
          <w:rFonts w:ascii="Palatino Linotype" w:hAnsi="Palatino Linotype"/>
          <w:i/>
          <w:color w:val="000000" w:themeColor="text1"/>
        </w:rPr>
      </w:pPr>
    </w:p>
    <w:p w14:paraId="32D54A9A" w14:textId="77777777" w:rsidR="004D754A" w:rsidRPr="00D623DC" w:rsidRDefault="004D754A" w:rsidP="00487BE9">
      <w:pPr>
        <w:spacing w:line="360" w:lineRule="auto"/>
        <w:ind w:left="567" w:right="900"/>
        <w:jc w:val="both"/>
        <w:rPr>
          <w:rFonts w:ascii="Palatino Linotype" w:hAnsi="Palatino Linotype"/>
          <w:color w:val="000000" w:themeColor="text1"/>
        </w:rPr>
      </w:pPr>
      <w:r w:rsidRPr="00D623DC">
        <w:rPr>
          <w:rFonts w:ascii="Palatino Linotype" w:hAnsi="Palatino Linotype"/>
          <w:b/>
          <w:color w:val="000000" w:themeColor="text1"/>
        </w:rPr>
        <w:t xml:space="preserve">00057 recurso.pdf: </w:t>
      </w:r>
      <w:r w:rsidRPr="00D623DC">
        <w:rPr>
          <w:rFonts w:ascii="Palatino Linotype" w:hAnsi="Palatino Linotype"/>
          <w:color w:val="000000" w:themeColor="text1"/>
        </w:rPr>
        <w:t>Documento de tres fojas, consistente en la descripción de cada una de las actuaciones realizadas, así mismo solicitó se proceda al recurso de revisión por la negativa del área de Tesorería y la nula fundamentación que dio origen a su respuesta, citando solo parte de la Ley y no aplicándola.</w:t>
      </w:r>
    </w:p>
    <w:p w14:paraId="3B9BCDB0" w14:textId="77777777" w:rsidR="009F09BC" w:rsidRPr="00D623DC" w:rsidRDefault="009F09BC" w:rsidP="00487BE9">
      <w:pPr>
        <w:spacing w:line="360" w:lineRule="auto"/>
        <w:jc w:val="both"/>
        <w:rPr>
          <w:rFonts w:ascii="Palatino Linotype" w:hAnsi="Palatino Linotype"/>
          <w:color w:val="000000" w:themeColor="text1"/>
        </w:rPr>
      </w:pPr>
    </w:p>
    <w:p w14:paraId="632EA750" w14:textId="77777777" w:rsidR="00844A2B" w:rsidRPr="00D623DC" w:rsidRDefault="00CC5B2F" w:rsidP="00487BE9">
      <w:pPr>
        <w:pStyle w:val="Prrafodelista"/>
        <w:numPr>
          <w:ilvl w:val="0"/>
          <w:numId w:val="1"/>
        </w:numPr>
        <w:tabs>
          <w:tab w:val="left" w:pos="567"/>
        </w:tabs>
        <w:spacing w:line="360" w:lineRule="auto"/>
        <w:ind w:left="0" w:firstLine="0"/>
        <w:jc w:val="both"/>
        <w:rPr>
          <w:rFonts w:ascii="Palatino Linotype" w:hAnsi="Palatino Linotype"/>
          <w:i/>
        </w:rPr>
      </w:pPr>
      <w:r w:rsidRPr="00D623DC">
        <w:rPr>
          <w:rFonts w:ascii="Palatino Linotype" w:eastAsia="Calibri" w:hAnsi="Palatino Linotype" w:cs="Arial"/>
          <w:lang w:val="es-ES"/>
        </w:rPr>
        <w:t>La Comisionada</w:t>
      </w:r>
      <w:r w:rsidR="009F09BC" w:rsidRPr="00D623D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D754A" w:rsidRPr="00D623DC">
        <w:rPr>
          <w:rFonts w:ascii="Palatino Linotype" w:eastAsia="Calibri" w:hAnsi="Palatino Linotype" w:cs="Arial"/>
          <w:lang w:val="es-ES"/>
        </w:rPr>
        <w:t xml:space="preserve">quince </w:t>
      </w:r>
      <w:r w:rsidR="009F09BC" w:rsidRPr="00D623DC">
        <w:rPr>
          <w:rFonts w:ascii="Palatino Linotype" w:eastAsia="Calibri" w:hAnsi="Palatino Linotype" w:cs="Arial"/>
          <w:lang w:val="es-ES"/>
        </w:rPr>
        <w:lastRenderedPageBreak/>
        <w:t>(</w:t>
      </w:r>
      <w:r w:rsidR="004D754A" w:rsidRPr="00D623DC">
        <w:rPr>
          <w:rFonts w:ascii="Palatino Linotype" w:eastAsia="Calibri" w:hAnsi="Palatino Linotype" w:cs="Arial"/>
          <w:lang w:val="es-ES"/>
        </w:rPr>
        <w:t>15) de marzo</w:t>
      </w:r>
      <w:r w:rsidR="00B170E1" w:rsidRPr="00D623DC">
        <w:rPr>
          <w:rFonts w:ascii="Palatino Linotype" w:eastAsia="Calibri" w:hAnsi="Palatino Linotype" w:cs="Arial"/>
          <w:lang w:val="es-ES"/>
        </w:rPr>
        <w:t xml:space="preserve"> </w:t>
      </w:r>
      <w:r w:rsidR="004A6EA2" w:rsidRPr="00D623DC">
        <w:rPr>
          <w:rFonts w:ascii="Palatino Linotype" w:eastAsia="Calibri" w:hAnsi="Palatino Linotype" w:cs="Arial"/>
          <w:lang w:val="es-ES"/>
        </w:rPr>
        <w:t>del año dos mil veintidós</w:t>
      </w:r>
      <w:r w:rsidR="009F09BC" w:rsidRPr="00D623DC">
        <w:rPr>
          <w:rFonts w:ascii="Palatino Linotype" w:eastAsia="Calibri" w:hAnsi="Palatino Linotype" w:cs="Arial"/>
          <w:lang w:val="es-ES"/>
        </w:rPr>
        <w:t xml:space="preserve">, puso a disposición de las partes el expediente electrónico </w:t>
      </w:r>
      <w:r w:rsidR="009F09BC" w:rsidRPr="00D623DC">
        <w:rPr>
          <w:rFonts w:ascii="Palatino Linotype" w:eastAsia="Calibri" w:hAnsi="Palatino Linotype" w:cs="Arial"/>
        </w:rPr>
        <w:t xml:space="preserve">vía </w:t>
      </w:r>
      <w:r w:rsidR="009F09BC" w:rsidRPr="00D623DC">
        <w:rPr>
          <w:rFonts w:ascii="Palatino Linotype" w:eastAsia="Calibri" w:hAnsi="Palatino Linotype" w:cs="Arial"/>
          <w:b/>
          <w:lang w:val="es-ES"/>
        </w:rPr>
        <w:t xml:space="preserve">SAIMEX </w:t>
      </w:r>
      <w:r w:rsidR="009F09BC" w:rsidRPr="00D623D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623DC">
        <w:rPr>
          <w:rFonts w:ascii="Palatino Linotype" w:eastAsia="Calibri" w:hAnsi="Palatino Linotype" w:cs="Arial"/>
          <w:b/>
          <w:lang w:val="es-ES"/>
        </w:rPr>
        <w:t>SUJETO OBLIGADO</w:t>
      </w:r>
      <w:r w:rsidR="009F09BC" w:rsidRPr="00D623DC">
        <w:rPr>
          <w:rFonts w:ascii="Palatino Linotype" w:eastAsia="Calibri" w:hAnsi="Palatino Linotype" w:cs="Arial"/>
          <w:lang w:val="es-ES"/>
        </w:rPr>
        <w:t xml:space="preserve"> presentará el</w:t>
      </w:r>
      <w:r w:rsidR="00E532FE" w:rsidRPr="00D623DC">
        <w:rPr>
          <w:rFonts w:ascii="Palatino Linotype" w:eastAsia="Calibri" w:hAnsi="Palatino Linotype" w:cs="Arial"/>
          <w:lang w:val="es-ES"/>
        </w:rPr>
        <w:t xml:space="preserve"> Informe Justificado procedente. </w:t>
      </w:r>
    </w:p>
    <w:p w14:paraId="0FD581C1" w14:textId="77777777" w:rsidR="00844A2B" w:rsidRPr="00D623DC" w:rsidRDefault="00844A2B" w:rsidP="00487BE9">
      <w:pPr>
        <w:pStyle w:val="Prrafodelista"/>
        <w:tabs>
          <w:tab w:val="left" w:pos="567"/>
        </w:tabs>
        <w:spacing w:line="360" w:lineRule="auto"/>
        <w:ind w:left="0"/>
        <w:jc w:val="both"/>
        <w:rPr>
          <w:rFonts w:ascii="Palatino Linotype" w:hAnsi="Palatino Linotype"/>
          <w:i/>
        </w:rPr>
      </w:pPr>
    </w:p>
    <w:p w14:paraId="0CDF8CDA" w14:textId="77777777" w:rsidR="00844A2B" w:rsidRPr="00D623DC" w:rsidRDefault="00B170E1" w:rsidP="00487BE9">
      <w:pPr>
        <w:pStyle w:val="Prrafodelista"/>
        <w:numPr>
          <w:ilvl w:val="0"/>
          <w:numId w:val="1"/>
        </w:numPr>
        <w:tabs>
          <w:tab w:val="left" w:pos="567"/>
        </w:tabs>
        <w:spacing w:line="360" w:lineRule="auto"/>
        <w:ind w:left="0" w:firstLine="0"/>
        <w:jc w:val="both"/>
        <w:rPr>
          <w:rFonts w:ascii="Palatino Linotype" w:hAnsi="Palatino Linotype"/>
          <w:i/>
        </w:rPr>
      </w:pPr>
      <w:r w:rsidRPr="00D623DC">
        <w:rPr>
          <w:rFonts w:ascii="Palatino Linotype" w:hAnsi="Palatino Linotype"/>
          <w:color w:val="000000"/>
        </w:rPr>
        <w:t xml:space="preserve">El </w:t>
      </w:r>
      <w:r w:rsidRPr="00D623DC">
        <w:rPr>
          <w:rFonts w:ascii="Palatino Linotype" w:hAnsi="Palatino Linotype"/>
          <w:b/>
          <w:color w:val="000000"/>
        </w:rPr>
        <w:t xml:space="preserve">SUJETO OBLIGADO </w:t>
      </w:r>
      <w:r w:rsidRPr="00D623DC">
        <w:rPr>
          <w:rFonts w:ascii="Palatino Linotype" w:hAnsi="Palatino Linotype"/>
          <w:color w:val="000000"/>
        </w:rPr>
        <w:t>no rindió informe justificado para manifestar lo que a su d</w:t>
      </w:r>
      <w:r w:rsidR="00844A2B" w:rsidRPr="00D623DC">
        <w:rPr>
          <w:rFonts w:ascii="Palatino Linotype" w:hAnsi="Palatino Linotype"/>
          <w:color w:val="000000"/>
        </w:rPr>
        <w:t xml:space="preserve">erecho conviniera; por su parte, </w:t>
      </w:r>
      <w:r w:rsidRPr="00D623DC">
        <w:rPr>
          <w:rFonts w:ascii="Palatino Linotype" w:hAnsi="Palatino Linotype"/>
          <w:color w:val="000000"/>
        </w:rPr>
        <w:t xml:space="preserve">el </w:t>
      </w:r>
      <w:r w:rsidRPr="00D623DC">
        <w:rPr>
          <w:rFonts w:ascii="Palatino Linotype" w:hAnsi="Palatino Linotype"/>
          <w:b/>
          <w:color w:val="000000"/>
        </w:rPr>
        <w:t xml:space="preserve">RECURRENTE </w:t>
      </w:r>
      <w:r w:rsidRPr="00D623DC">
        <w:rPr>
          <w:rFonts w:ascii="Palatino Linotype" w:hAnsi="Palatino Linotype"/>
          <w:color w:val="000000"/>
        </w:rPr>
        <w:t xml:space="preserve">no presentó alegatos ni ofreció medios de prueba, según constancias del </w:t>
      </w:r>
      <w:r w:rsidRPr="00D623DC">
        <w:rPr>
          <w:rFonts w:ascii="Palatino Linotype" w:hAnsi="Palatino Linotype"/>
          <w:b/>
          <w:color w:val="000000"/>
        </w:rPr>
        <w:t>SAIMEX.</w:t>
      </w:r>
    </w:p>
    <w:p w14:paraId="772B4276" w14:textId="77777777" w:rsidR="00844A2B" w:rsidRPr="00D623DC" w:rsidRDefault="00844A2B" w:rsidP="00487BE9">
      <w:pPr>
        <w:pStyle w:val="Prrafodelista"/>
        <w:tabs>
          <w:tab w:val="left" w:pos="567"/>
        </w:tabs>
        <w:spacing w:line="360" w:lineRule="auto"/>
        <w:ind w:left="0"/>
        <w:jc w:val="both"/>
        <w:rPr>
          <w:rFonts w:ascii="Palatino Linotype" w:hAnsi="Palatino Linotype"/>
          <w:i/>
        </w:rPr>
      </w:pPr>
    </w:p>
    <w:p w14:paraId="51A19CB5" w14:textId="77777777" w:rsidR="00844A2B" w:rsidRPr="00D623DC" w:rsidRDefault="00844A2B" w:rsidP="00487BE9">
      <w:pPr>
        <w:pStyle w:val="Prrafodelista"/>
        <w:numPr>
          <w:ilvl w:val="0"/>
          <w:numId w:val="1"/>
        </w:numPr>
        <w:tabs>
          <w:tab w:val="left" w:pos="567"/>
        </w:tabs>
        <w:spacing w:line="360" w:lineRule="auto"/>
        <w:ind w:left="0" w:firstLine="0"/>
        <w:jc w:val="both"/>
        <w:rPr>
          <w:rFonts w:ascii="Palatino Linotype" w:hAnsi="Palatino Linotype"/>
          <w:i/>
        </w:rPr>
      </w:pPr>
      <w:r w:rsidRPr="00D623DC">
        <w:rPr>
          <w:rFonts w:ascii="Palatino Linotype" w:hAnsi="Palatino Linotype" w:cs="Arial"/>
          <w:color w:val="222222"/>
        </w:rPr>
        <w:t>A</w:t>
      </w:r>
      <w:r w:rsidR="00B170E1" w:rsidRPr="00D623DC">
        <w:rPr>
          <w:rFonts w:ascii="Palatino Linotype" w:hAnsi="Palatino Linotype" w:cs="Arial"/>
          <w:color w:val="222222"/>
        </w:rPr>
        <w:t xml:space="preserve">nte la omisión de rendir informe justificado, se tiene que el </w:t>
      </w:r>
      <w:r w:rsidR="00B170E1" w:rsidRPr="00D623DC">
        <w:rPr>
          <w:rFonts w:ascii="Palatino Linotype" w:hAnsi="Palatino Linotype" w:cs="Arial"/>
          <w:b/>
          <w:bCs/>
          <w:color w:val="222222"/>
        </w:rPr>
        <w:t>SUJETO OBLIGADO</w:t>
      </w:r>
      <w:r w:rsidR="00B170E1" w:rsidRPr="00D623DC">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0059EB3" w14:textId="77777777" w:rsidR="00844A2B" w:rsidRPr="00D623DC" w:rsidRDefault="00844A2B" w:rsidP="00487BE9">
      <w:pPr>
        <w:pStyle w:val="Prrafodelista"/>
        <w:spacing w:line="360" w:lineRule="auto"/>
        <w:rPr>
          <w:rFonts w:ascii="Palatino Linotype" w:hAnsi="Palatino Linotype" w:cs="Arial"/>
          <w:b/>
          <w:bCs/>
          <w:i/>
          <w:iCs/>
          <w:color w:val="222222"/>
        </w:rPr>
      </w:pPr>
    </w:p>
    <w:p w14:paraId="32A615CA" w14:textId="77777777" w:rsidR="00B170E1" w:rsidRPr="00D623DC" w:rsidRDefault="00B170E1" w:rsidP="00487BE9">
      <w:pPr>
        <w:pStyle w:val="Prrafodelista"/>
        <w:tabs>
          <w:tab w:val="left" w:pos="567"/>
        </w:tabs>
        <w:spacing w:line="360" w:lineRule="auto"/>
        <w:ind w:left="567" w:right="616"/>
        <w:jc w:val="both"/>
        <w:rPr>
          <w:rFonts w:ascii="Palatino Linotype" w:hAnsi="Palatino Linotype"/>
          <w:i/>
        </w:rPr>
      </w:pPr>
      <w:r w:rsidRPr="00D623DC">
        <w:rPr>
          <w:rFonts w:ascii="Palatino Linotype" w:hAnsi="Palatino Linotype" w:cs="Arial"/>
          <w:b/>
          <w:bCs/>
          <w:i/>
          <w:iCs/>
          <w:color w:val="222222"/>
        </w:rPr>
        <w:t>QUEJA, RECURSO DE. LA OMISION DE RENDIR EL INFORME RESPECTIVO NO IMPIDE QUE SE RESUELV</w:t>
      </w:r>
      <w:r w:rsidRPr="00D623DC">
        <w:rPr>
          <w:rFonts w:ascii="Palatino Linotype" w:hAnsi="Palatino Linotype" w:cs="Arial"/>
          <w:i/>
          <w:iCs/>
          <w:color w:val="2222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D623DC">
        <w:rPr>
          <w:rFonts w:ascii="Palatino Linotype" w:hAnsi="Palatino Linotype" w:cs="Arial"/>
          <w:i/>
          <w:iCs/>
          <w:color w:val="222222"/>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89EBB47" w14:textId="77777777" w:rsidR="00B170E1" w:rsidRPr="00D623DC" w:rsidRDefault="00B170E1" w:rsidP="00487BE9">
      <w:pPr>
        <w:tabs>
          <w:tab w:val="left" w:pos="567"/>
        </w:tabs>
        <w:spacing w:line="360" w:lineRule="auto"/>
        <w:contextualSpacing/>
        <w:jc w:val="both"/>
        <w:rPr>
          <w:rFonts w:ascii="Palatino Linotype" w:hAnsi="Palatino Linotype" w:cs="Arial"/>
          <w:color w:val="222222"/>
          <w:lang w:val="es-ES"/>
        </w:rPr>
      </w:pPr>
    </w:p>
    <w:p w14:paraId="6C8364E9" w14:textId="77777777" w:rsidR="00B170E1" w:rsidRPr="00D623DC" w:rsidRDefault="00844A2B" w:rsidP="00487BE9">
      <w:pPr>
        <w:pStyle w:val="Prrafodelista"/>
        <w:numPr>
          <w:ilvl w:val="0"/>
          <w:numId w:val="1"/>
        </w:numPr>
        <w:tabs>
          <w:tab w:val="left" w:pos="567"/>
        </w:tabs>
        <w:spacing w:line="360" w:lineRule="auto"/>
        <w:ind w:left="0" w:firstLine="0"/>
        <w:jc w:val="both"/>
        <w:rPr>
          <w:rFonts w:ascii="Palatino Linotype" w:hAnsi="Palatino Linotype" w:cs="Arial"/>
          <w:b/>
          <w:bCs/>
        </w:rPr>
      </w:pPr>
      <w:r w:rsidRPr="00D623DC">
        <w:rPr>
          <w:rFonts w:ascii="Palatino Linotype" w:hAnsi="Palatino Linotype" w:cs="Arial"/>
          <w:color w:val="222222"/>
        </w:rPr>
        <w:t xml:space="preserve">Por lo cual, se reitera </w:t>
      </w:r>
      <w:r w:rsidR="00B170E1" w:rsidRPr="00D623DC">
        <w:rPr>
          <w:rFonts w:ascii="Palatino Linotype" w:hAnsi="Palatino Linotype" w:cs="Arial"/>
          <w:color w:val="222222"/>
        </w:rPr>
        <w:t>que la falta de informe justificado no impide que este Órgano Garante conozca y resuelva el recurso de revisión, solo propicia que el </w:t>
      </w:r>
      <w:r w:rsidR="00B170E1" w:rsidRPr="00D623DC">
        <w:rPr>
          <w:rFonts w:ascii="Palatino Linotype" w:hAnsi="Palatino Linotype" w:cs="Arial"/>
          <w:b/>
          <w:bCs/>
          <w:color w:val="222222"/>
        </w:rPr>
        <w:t>SUJETO OBLIGADO</w:t>
      </w:r>
      <w:r w:rsidR="00B170E1" w:rsidRPr="00D623DC">
        <w:rPr>
          <w:rFonts w:ascii="Palatino Linotype" w:hAnsi="Palatino Linotype" w:cs="Arial"/>
          <w:color w:val="222222"/>
        </w:rPr>
        <w:t> pierda la oportunidad de justificar su falta de respuesta y manifestar lo que a su derecho convenga.</w:t>
      </w:r>
    </w:p>
    <w:p w14:paraId="07C341D9" w14:textId="77777777" w:rsidR="00B170E1" w:rsidRPr="00D623DC" w:rsidRDefault="00B170E1" w:rsidP="00487BE9">
      <w:pPr>
        <w:pStyle w:val="Prrafodelista"/>
        <w:tabs>
          <w:tab w:val="left" w:pos="567"/>
        </w:tabs>
        <w:spacing w:line="360" w:lineRule="auto"/>
        <w:ind w:left="0"/>
        <w:jc w:val="both"/>
        <w:rPr>
          <w:rFonts w:ascii="Palatino Linotype" w:hAnsi="Palatino Linotype"/>
          <w:i/>
        </w:rPr>
      </w:pPr>
    </w:p>
    <w:p w14:paraId="68C1D767" w14:textId="77777777" w:rsidR="00844A2B" w:rsidRPr="00D623DC" w:rsidRDefault="004D754A"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hAnsi="Palatino Linotype"/>
        </w:rPr>
        <w:t>El nueve (09) de diciembre</w:t>
      </w:r>
      <w:r w:rsidR="00BB1976" w:rsidRPr="00D623DC">
        <w:rPr>
          <w:rFonts w:ascii="Palatino Linotype" w:hAnsi="Palatino Linotype"/>
        </w:rPr>
        <w:t xml:space="preserve"> </w:t>
      </w:r>
      <w:r w:rsidRPr="00D623DC">
        <w:rPr>
          <w:rFonts w:ascii="Palatino Linotype" w:hAnsi="Palatino Linotype"/>
        </w:rPr>
        <w:t>de dos mil veintidós</w:t>
      </w:r>
      <w:r w:rsidR="00BA2B14" w:rsidRPr="00D623DC">
        <w:rPr>
          <w:rFonts w:ascii="Palatino Linotype" w:hAnsi="Palatino Linotype"/>
        </w:rPr>
        <w:t xml:space="preserve">, </w:t>
      </w:r>
      <w:r w:rsidR="00316ACD" w:rsidRPr="00D623DC">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6F7185BF" w14:textId="77777777" w:rsidR="00844A2B" w:rsidRPr="00D623DC" w:rsidRDefault="00844A2B" w:rsidP="00487BE9">
      <w:pPr>
        <w:pStyle w:val="Prrafodelista"/>
        <w:tabs>
          <w:tab w:val="left" w:pos="567"/>
        </w:tabs>
        <w:spacing w:line="360" w:lineRule="auto"/>
        <w:ind w:left="0"/>
        <w:jc w:val="both"/>
        <w:rPr>
          <w:rFonts w:ascii="Palatino Linotype" w:hAnsi="Palatino Linotype"/>
        </w:rPr>
      </w:pPr>
    </w:p>
    <w:p w14:paraId="7124EFD6" w14:textId="77777777" w:rsidR="00316ACD" w:rsidRPr="00D623DC" w:rsidRDefault="00316ACD"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D623DC">
        <w:rPr>
          <w:rFonts w:ascii="Palatino Linotype" w:eastAsia="MS Mincho" w:hAnsi="Palatino Linotype"/>
        </w:rPr>
        <w:lastRenderedPageBreak/>
        <w:t>las capacidades técnicas y humanas del personal encargado de la proyección de las resoluciones a dichos medios de impugnación.</w:t>
      </w:r>
    </w:p>
    <w:p w14:paraId="3111E3E6" w14:textId="77777777" w:rsidR="00BE6307" w:rsidRPr="00D623DC" w:rsidRDefault="00BE6307" w:rsidP="00487BE9">
      <w:pPr>
        <w:pStyle w:val="Prrafodelista"/>
        <w:spacing w:line="360" w:lineRule="auto"/>
        <w:rPr>
          <w:rFonts w:ascii="Palatino Linotype" w:hAnsi="Palatino Linotype"/>
        </w:rPr>
      </w:pPr>
    </w:p>
    <w:p w14:paraId="1660AB79" w14:textId="77777777" w:rsidR="00844A2B" w:rsidRPr="00D623DC" w:rsidRDefault="00316ACD"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9F0E49" w14:textId="77777777" w:rsidR="00844A2B" w:rsidRPr="00D623DC" w:rsidRDefault="00844A2B" w:rsidP="00487BE9">
      <w:pPr>
        <w:pStyle w:val="Prrafodelista"/>
        <w:tabs>
          <w:tab w:val="left" w:pos="567"/>
        </w:tabs>
        <w:spacing w:line="360" w:lineRule="auto"/>
        <w:ind w:left="0"/>
        <w:jc w:val="both"/>
        <w:rPr>
          <w:rFonts w:ascii="Palatino Linotype" w:hAnsi="Palatino Linotype"/>
        </w:rPr>
      </w:pPr>
    </w:p>
    <w:p w14:paraId="11F3CB62" w14:textId="77777777" w:rsidR="00844A2B" w:rsidRPr="00D623DC" w:rsidRDefault="00316ACD"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CE1F4E" w14:textId="77777777" w:rsidR="00844A2B" w:rsidRPr="00D623DC" w:rsidRDefault="00844A2B" w:rsidP="00487BE9">
      <w:pPr>
        <w:pStyle w:val="Prrafodelista"/>
        <w:tabs>
          <w:tab w:val="left" w:pos="567"/>
        </w:tabs>
        <w:spacing w:line="360" w:lineRule="auto"/>
        <w:ind w:left="0"/>
        <w:jc w:val="both"/>
        <w:rPr>
          <w:rFonts w:ascii="Palatino Linotype" w:hAnsi="Palatino Linotype"/>
        </w:rPr>
      </w:pPr>
    </w:p>
    <w:p w14:paraId="0E93CFBA" w14:textId="77777777" w:rsidR="00844A2B" w:rsidRPr="00D623DC" w:rsidRDefault="00316ACD"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94C49F" w14:textId="77777777" w:rsidR="00844A2B" w:rsidRPr="00D623DC" w:rsidRDefault="00844A2B" w:rsidP="00487BE9">
      <w:pPr>
        <w:pStyle w:val="Prrafodelista"/>
        <w:tabs>
          <w:tab w:val="left" w:pos="567"/>
        </w:tabs>
        <w:spacing w:line="360" w:lineRule="auto"/>
        <w:ind w:left="0"/>
        <w:jc w:val="both"/>
        <w:rPr>
          <w:rFonts w:ascii="Palatino Linotype" w:hAnsi="Palatino Linotype"/>
        </w:rPr>
      </w:pPr>
    </w:p>
    <w:p w14:paraId="0147EE7E" w14:textId="77777777" w:rsidR="00844A2B" w:rsidRPr="00D623DC" w:rsidRDefault="00316ACD"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D623DC">
        <w:rPr>
          <w:rFonts w:ascii="Palatino Linotype" w:eastAsia="MS Mincho" w:hAnsi="Palatino Linotype"/>
        </w:rPr>
        <w:t>os a los siguientes criterios:</w:t>
      </w:r>
    </w:p>
    <w:p w14:paraId="3F950C60" w14:textId="77777777" w:rsidR="00844A2B" w:rsidRPr="00D623DC" w:rsidRDefault="00844A2B" w:rsidP="00487BE9">
      <w:pPr>
        <w:pStyle w:val="Prrafodelista"/>
        <w:tabs>
          <w:tab w:val="left" w:pos="567"/>
        </w:tabs>
        <w:spacing w:line="360" w:lineRule="auto"/>
        <w:ind w:left="0"/>
        <w:jc w:val="both"/>
        <w:rPr>
          <w:rFonts w:ascii="Palatino Linotype" w:hAnsi="Palatino Linotype"/>
        </w:rPr>
      </w:pPr>
    </w:p>
    <w:p w14:paraId="540885FB" w14:textId="77777777" w:rsidR="00316ACD" w:rsidRPr="00D623DC" w:rsidRDefault="00844A2B" w:rsidP="00487BE9">
      <w:pPr>
        <w:tabs>
          <w:tab w:val="left" w:pos="284"/>
          <w:tab w:val="left" w:pos="709"/>
        </w:tabs>
        <w:spacing w:line="360" w:lineRule="auto"/>
        <w:ind w:left="851" w:right="616" w:hanging="284"/>
        <w:contextualSpacing/>
        <w:jc w:val="both"/>
        <w:rPr>
          <w:rFonts w:ascii="Palatino Linotype" w:eastAsia="MS Mincho" w:hAnsi="Palatino Linotype"/>
        </w:rPr>
      </w:pPr>
      <w:r w:rsidRPr="00D623DC">
        <w:rPr>
          <w:rFonts w:ascii="Palatino Linotype" w:eastAsia="MS Mincho" w:hAnsi="Palatino Linotype"/>
        </w:rPr>
        <w:lastRenderedPageBreak/>
        <w:t>a)</w:t>
      </w:r>
      <w:r w:rsidR="00316ACD" w:rsidRPr="00D623DC">
        <w:rPr>
          <w:rFonts w:ascii="Palatino Linotype" w:eastAsia="MS Mincho" w:hAnsi="Palatino Linotype"/>
        </w:rPr>
        <w:t xml:space="preserve"> Complejidad del asunto: La complejidad de la prueba, la pluralidad de sujetos procesales, el tiempo transcurrido, las características y contexto del recurso.</w:t>
      </w:r>
    </w:p>
    <w:p w14:paraId="6608E1F2" w14:textId="77777777" w:rsidR="00316ACD" w:rsidRPr="00D623DC" w:rsidRDefault="00844A2B" w:rsidP="00487BE9">
      <w:pPr>
        <w:tabs>
          <w:tab w:val="left" w:pos="284"/>
          <w:tab w:val="left" w:pos="709"/>
        </w:tabs>
        <w:spacing w:line="360" w:lineRule="auto"/>
        <w:ind w:left="851" w:right="616" w:hanging="284"/>
        <w:contextualSpacing/>
        <w:jc w:val="both"/>
        <w:rPr>
          <w:rFonts w:ascii="Palatino Linotype" w:eastAsia="MS Mincho" w:hAnsi="Palatino Linotype"/>
        </w:rPr>
      </w:pPr>
      <w:r w:rsidRPr="00D623DC">
        <w:rPr>
          <w:rFonts w:ascii="Palatino Linotype" w:eastAsia="MS Mincho" w:hAnsi="Palatino Linotype"/>
        </w:rPr>
        <w:t xml:space="preserve">b) </w:t>
      </w:r>
      <w:r w:rsidR="00316ACD" w:rsidRPr="00D623DC">
        <w:rPr>
          <w:rFonts w:ascii="Palatino Linotype" w:eastAsia="MS Mincho" w:hAnsi="Palatino Linotype"/>
        </w:rPr>
        <w:t>Actividad Procesal del interesado: Acciones u omisiones del interesado.</w:t>
      </w:r>
    </w:p>
    <w:p w14:paraId="7DD0F31A" w14:textId="77777777" w:rsidR="00316ACD" w:rsidRPr="00D623DC" w:rsidRDefault="00844A2B" w:rsidP="00487BE9">
      <w:pPr>
        <w:tabs>
          <w:tab w:val="left" w:pos="284"/>
          <w:tab w:val="left" w:pos="709"/>
        </w:tabs>
        <w:spacing w:line="360" w:lineRule="auto"/>
        <w:ind w:left="851" w:right="616" w:hanging="284"/>
        <w:contextualSpacing/>
        <w:jc w:val="both"/>
        <w:rPr>
          <w:rFonts w:ascii="Palatino Linotype" w:eastAsia="MS Mincho" w:hAnsi="Palatino Linotype"/>
        </w:rPr>
      </w:pPr>
      <w:r w:rsidRPr="00D623DC">
        <w:rPr>
          <w:rFonts w:ascii="Palatino Linotype" w:eastAsia="MS Mincho" w:hAnsi="Palatino Linotype"/>
        </w:rPr>
        <w:t>c)</w:t>
      </w:r>
      <w:r w:rsidR="00316ACD" w:rsidRPr="00D623DC">
        <w:rPr>
          <w:rFonts w:ascii="Palatino Linotype" w:eastAsia="MS Mincho" w:hAnsi="Palatino Linotype"/>
        </w:rPr>
        <w:t xml:space="preserve"> Conducta de la Autoridad: Las Acciones u omisiones realizadas en el procedimiento. Así como si la autoridad actuó con la debida diligencia.</w:t>
      </w:r>
    </w:p>
    <w:p w14:paraId="540B25C1" w14:textId="77777777" w:rsidR="00316ACD" w:rsidRPr="00D623DC" w:rsidRDefault="00316ACD" w:rsidP="00487BE9">
      <w:pPr>
        <w:tabs>
          <w:tab w:val="left" w:pos="284"/>
          <w:tab w:val="left" w:pos="709"/>
        </w:tabs>
        <w:spacing w:line="360" w:lineRule="auto"/>
        <w:ind w:left="851" w:right="616" w:hanging="284"/>
        <w:contextualSpacing/>
        <w:jc w:val="both"/>
        <w:rPr>
          <w:rFonts w:ascii="Palatino Linotype" w:eastAsia="MS Mincho" w:hAnsi="Palatino Linotype"/>
        </w:rPr>
      </w:pPr>
      <w:r w:rsidRPr="00D623DC">
        <w:rPr>
          <w:rFonts w:ascii="Palatino Linotype" w:eastAsia="MS Mincho" w:hAnsi="Palatino Linotype"/>
        </w:rPr>
        <w:t>d) La afectación generada en la situación jurídica de la persona involucrada en el proceso: Violación a sus derechos humanos.</w:t>
      </w:r>
    </w:p>
    <w:p w14:paraId="4AB439F3" w14:textId="77777777" w:rsidR="00316ACD" w:rsidRPr="00D623DC" w:rsidRDefault="00316ACD" w:rsidP="00487BE9">
      <w:pPr>
        <w:tabs>
          <w:tab w:val="left" w:pos="284"/>
          <w:tab w:val="left" w:pos="567"/>
          <w:tab w:val="left" w:pos="709"/>
        </w:tabs>
        <w:spacing w:line="360" w:lineRule="auto"/>
        <w:ind w:right="49"/>
        <w:contextualSpacing/>
        <w:jc w:val="both"/>
        <w:rPr>
          <w:rFonts w:ascii="Palatino Linotype" w:eastAsia="MS Mincho" w:hAnsi="Palatino Linotype"/>
        </w:rPr>
      </w:pPr>
    </w:p>
    <w:p w14:paraId="7F1FFB23" w14:textId="77777777" w:rsidR="00316ACD" w:rsidRPr="00D623DC" w:rsidRDefault="00316ACD" w:rsidP="00487BE9">
      <w:pPr>
        <w:numPr>
          <w:ilvl w:val="0"/>
          <w:numId w:val="1"/>
        </w:numPr>
        <w:tabs>
          <w:tab w:val="left" w:pos="567"/>
          <w:tab w:val="left" w:pos="709"/>
        </w:tabs>
        <w:spacing w:line="360" w:lineRule="auto"/>
        <w:ind w:left="0" w:right="49" w:firstLine="0"/>
        <w:contextualSpacing/>
        <w:jc w:val="both"/>
        <w:rPr>
          <w:rFonts w:ascii="Palatino Linotype" w:eastAsia="MS Mincho" w:hAnsi="Palatino Linotype"/>
        </w:rPr>
      </w:pPr>
      <w:r w:rsidRPr="00D623DC">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F26215" w14:textId="77777777" w:rsidR="00316ACD" w:rsidRPr="00D623DC" w:rsidRDefault="00316ACD" w:rsidP="00487BE9">
      <w:pPr>
        <w:tabs>
          <w:tab w:val="left" w:pos="284"/>
          <w:tab w:val="left" w:pos="567"/>
          <w:tab w:val="left" w:pos="709"/>
        </w:tabs>
        <w:spacing w:line="360" w:lineRule="auto"/>
        <w:ind w:right="49"/>
        <w:contextualSpacing/>
        <w:jc w:val="both"/>
        <w:rPr>
          <w:rFonts w:ascii="Palatino Linotype" w:eastAsia="MS Mincho" w:hAnsi="Palatino Linotype"/>
        </w:rPr>
      </w:pPr>
    </w:p>
    <w:p w14:paraId="55A9768D" w14:textId="77777777" w:rsidR="00316ACD" w:rsidRPr="00D623DC" w:rsidRDefault="00316ACD" w:rsidP="00487BE9">
      <w:pPr>
        <w:numPr>
          <w:ilvl w:val="0"/>
          <w:numId w:val="1"/>
        </w:numPr>
        <w:tabs>
          <w:tab w:val="left" w:pos="567"/>
        </w:tabs>
        <w:spacing w:line="360" w:lineRule="auto"/>
        <w:ind w:left="0" w:right="49" w:firstLine="0"/>
        <w:contextualSpacing/>
        <w:jc w:val="both"/>
        <w:rPr>
          <w:rFonts w:ascii="Palatino Linotype" w:eastAsia="MS Mincho" w:hAnsi="Palatino Linotype"/>
        </w:rPr>
      </w:pPr>
      <w:r w:rsidRPr="00D623DC">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135DE88" w14:textId="77777777" w:rsidR="007E1D43" w:rsidRPr="00D623DC" w:rsidRDefault="007E1D43" w:rsidP="007E1D43">
      <w:pPr>
        <w:pStyle w:val="Prrafodelista"/>
        <w:rPr>
          <w:rFonts w:ascii="Palatino Linotype" w:eastAsia="MS Mincho" w:hAnsi="Palatino Linotype"/>
        </w:rPr>
      </w:pPr>
    </w:p>
    <w:p w14:paraId="6AA6E30B" w14:textId="77777777" w:rsidR="00844A2B" w:rsidRPr="00D623DC" w:rsidRDefault="00316ACD" w:rsidP="00487BE9">
      <w:pPr>
        <w:numPr>
          <w:ilvl w:val="0"/>
          <w:numId w:val="1"/>
        </w:numPr>
        <w:tabs>
          <w:tab w:val="left" w:pos="567"/>
        </w:tabs>
        <w:spacing w:line="360" w:lineRule="auto"/>
        <w:ind w:left="0" w:right="49" w:firstLine="0"/>
        <w:contextualSpacing/>
        <w:jc w:val="both"/>
        <w:rPr>
          <w:rFonts w:ascii="Palatino Linotype" w:eastAsia="MS Mincho" w:hAnsi="Palatino Linotype"/>
        </w:rPr>
      </w:pPr>
      <w:r w:rsidRPr="00D623DC">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60FC75" w14:textId="77777777" w:rsidR="00844A2B" w:rsidRPr="00D623DC" w:rsidRDefault="00844A2B" w:rsidP="00487BE9">
      <w:pPr>
        <w:spacing w:line="360" w:lineRule="auto"/>
        <w:rPr>
          <w:rFonts w:ascii="Palatino Linotype" w:eastAsia="MS Mincho" w:hAnsi="Palatino Linotype"/>
        </w:rPr>
      </w:pPr>
    </w:p>
    <w:p w14:paraId="66C1D7B6" w14:textId="77777777" w:rsidR="00316ACD" w:rsidRPr="00D623DC" w:rsidRDefault="00316ACD" w:rsidP="00487BE9">
      <w:pPr>
        <w:numPr>
          <w:ilvl w:val="0"/>
          <w:numId w:val="1"/>
        </w:numPr>
        <w:tabs>
          <w:tab w:val="left" w:pos="567"/>
        </w:tabs>
        <w:spacing w:line="360" w:lineRule="auto"/>
        <w:ind w:left="0" w:right="49" w:firstLine="0"/>
        <w:contextualSpacing/>
        <w:jc w:val="both"/>
        <w:rPr>
          <w:rFonts w:ascii="Palatino Linotype" w:eastAsia="MS Mincho" w:hAnsi="Palatino Linotype"/>
        </w:rPr>
      </w:pPr>
      <w:r w:rsidRPr="00D623DC">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357D5EB3" w14:textId="77777777" w:rsidR="00844A2B" w:rsidRPr="00D623DC" w:rsidRDefault="00844A2B" w:rsidP="00487BE9">
      <w:pPr>
        <w:tabs>
          <w:tab w:val="left" w:pos="284"/>
          <w:tab w:val="left" w:pos="567"/>
          <w:tab w:val="left" w:pos="709"/>
        </w:tabs>
        <w:spacing w:line="360" w:lineRule="auto"/>
        <w:ind w:right="49"/>
        <w:contextualSpacing/>
        <w:jc w:val="both"/>
        <w:rPr>
          <w:rFonts w:ascii="Palatino Linotype" w:eastAsia="MS Mincho" w:hAnsi="Palatino Linotype"/>
        </w:rPr>
      </w:pPr>
    </w:p>
    <w:p w14:paraId="25A6BCFD" w14:textId="77777777" w:rsidR="00316ACD" w:rsidRPr="00D623DC" w:rsidRDefault="00316ACD" w:rsidP="00487BE9">
      <w:pPr>
        <w:tabs>
          <w:tab w:val="left" w:pos="284"/>
          <w:tab w:val="left" w:pos="567"/>
          <w:tab w:val="left" w:pos="709"/>
          <w:tab w:val="left" w:pos="8364"/>
        </w:tabs>
        <w:spacing w:line="360" w:lineRule="auto"/>
        <w:ind w:left="567" w:right="616"/>
        <w:contextualSpacing/>
        <w:jc w:val="both"/>
        <w:rPr>
          <w:rFonts w:ascii="Palatino Linotype" w:eastAsia="MS Mincho" w:hAnsi="Palatino Linotype"/>
        </w:rPr>
      </w:pPr>
      <w:r w:rsidRPr="00D623DC">
        <w:rPr>
          <w:rFonts w:ascii="Palatino Linotype" w:eastAsia="MS Mincho" w:hAnsi="Palatino Linotype"/>
        </w:rPr>
        <w:t>“PLAZO RAZONABLE PARA RESOLVER. DIMENSIÓN Y EFECTOS DE ESTE CONCEPTO CUANDO SE ADUCE EXCESIVA CARGA DE TRABAJO.” consultable en el Seminario Judicial de la Federación y su gaceta, con el registro digital 2002351.</w:t>
      </w:r>
    </w:p>
    <w:p w14:paraId="08AD0616" w14:textId="77777777" w:rsidR="00316ACD" w:rsidRPr="00D623DC" w:rsidRDefault="00316ACD" w:rsidP="00487BE9">
      <w:pPr>
        <w:tabs>
          <w:tab w:val="left" w:pos="284"/>
          <w:tab w:val="left" w:pos="567"/>
          <w:tab w:val="left" w:pos="709"/>
          <w:tab w:val="left" w:pos="8364"/>
        </w:tabs>
        <w:spacing w:line="360" w:lineRule="auto"/>
        <w:ind w:left="567" w:right="616"/>
        <w:contextualSpacing/>
        <w:jc w:val="both"/>
        <w:rPr>
          <w:rFonts w:ascii="Palatino Linotype" w:eastAsia="MS Mincho" w:hAnsi="Palatino Linotype"/>
        </w:rPr>
      </w:pPr>
      <w:r w:rsidRPr="00D623DC">
        <w:rPr>
          <w:rFonts w:ascii="Palatino Linotype" w:eastAsia="MS Mincho" w:hAnsi="Palatino Linotype"/>
        </w:rPr>
        <w:t xml:space="preserve"> </w:t>
      </w:r>
    </w:p>
    <w:p w14:paraId="70CF3B1A" w14:textId="77777777" w:rsidR="00316ACD" w:rsidRPr="00D623DC" w:rsidRDefault="00316ACD" w:rsidP="00487BE9">
      <w:pPr>
        <w:tabs>
          <w:tab w:val="left" w:pos="284"/>
          <w:tab w:val="left" w:pos="567"/>
          <w:tab w:val="left" w:pos="709"/>
          <w:tab w:val="left" w:pos="8364"/>
        </w:tabs>
        <w:spacing w:line="360" w:lineRule="auto"/>
        <w:ind w:left="567" w:right="616"/>
        <w:contextualSpacing/>
        <w:jc w:val="both"/>
        <w:rPr>
          <w:rFonts w:ascii="Palatino Linotype" w:eastAsia="MS Mincho" w:hAnsi="Palatino Linotype"/>
        </w:rPr>
      </w:pPr>
      <w:r w:rsidRPr="00D623DC">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14:paraId="591B4EBA" w14:textId="77777777" w:rsidR="007E1D43" w:rsidRPr="00D623DC" w:rsidRDefault="007E1D43" w:rsidP="00487BE9">
      <w:pPr>
        <w:tabs>
          <w:tab w:val="left" w:pos="284"/>
          <w:tab w:val="left" w:pos="567"/>
          <w:tab w:val="left" w:pos="709"/>
          <w:tab w:val="left" w:pos="8364"/>
        </w:tabs>
        <w:spacing w:line="360" w:lineRule="auto"/>
        <w:ind w:left="567" w:right="616"/>
        <w:contextualSpacing/>
        <w:jc w:val="both"/>
        <w:rPr>
          <w:rFonts w:ascii="Palatino Linotype" w:eastAsia="MS Mincho" w:hAnsi="Palatino Linotype"/>
        </w:rPr>
      </w:pPr>
    </w:p>
    <w:p w14:paraId="07A82032" w14:textId="77777777" w:rsidR="00844A2B" w:rsidRPr="00D623DC" w:rsidRDefault="00844A2B" w:rsidP="00487BE9">
      <w:pPr>
        <w:numPr>
          <w:ilvl w:val="0"/>
          <w:numId w:val="1"/>
        </w:numPr>
        <w:tabs>
          <w:tab w:val="left" w:pos="567"/>
        </w:tabs>
        <w:spacing w:line="360" w:lineRule="auto"/>
        <w:ind w:left="0" w:right="49" w:firstLine="0"/>
        <w:contextualSpacing/>
        <w:jc w:val="both"/>
        <w:rPr>
          <w:rFonts w:ascii="Palatino Linotype" w:eastAsia="MS Mincho" w:hAnsi="Palatino Linotype"/>
        </w:rPr>
      </w:pPr>
      <w:r w:rsidRPr="00D623DC">
        <w:rPr>
          <w:rFonts w:ascii="Palatino Linotype" w:eastAsia="MS Mincho" w:hAnsi="Palatino Linotype"/>
        </w:rPr>
        <w:t>Por ello, este Organismo G</w:t>
      </w:r>
      <w:r w:rsidR="00316ACD" w:rsidRPr="00D623DC">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57E7E3D9" w14:textId="77777777" w:rsidR="00844A2B" w:rsidRPr="00D623DC" w:rsidRDefault="00844A2B" w:rsidP="00487BE9">
      <w:pPr>
        <w:tabs>
          <w:tab w:val="left" w:pos="567"/>
        </w:tabs>
        <w:spacing w:line="360" w:lineRule="auto"/>
        <w:ind w:right="49"/>
        <w:contextualSpacing/>
        <w:jc w:val="both"/>
        <w:rPr>
          <w:rFonts w:ascii="Palatino Linotype" w:eastAsia="MS Mincho" w:hAnsi="Palatino Linotype"/>
        </w:rPr>
      </w:pPr>
    </w:p>
    <w:p w14:paraId="761CD2D2" w14:textId="77777777" w:rsidR="00844A2B" w:rsidRPr="00D623DC" w:rsidRDefault="00BE6307" w:rsidP="00487BE9">
      <w:pPr>
        <w:numPr>
          <w:ilvl w:val="0"/>
          <w:numId w:val="1"/>
        </w:numPr>
        <w:tabs>
          <w:tab w:val="left" w:pos="567"/>
        </w:tabs>
        <w:spacing w:line="360" w:lineRule="auto"/>
        <w:ind w:left="0" w:right="49" w:firstLine="0"/>
        <w:contextualSpacing/>
        <w:jc w:val="both"/>
        <w:rPr>
          <w:rFonts w:ascii="Palatino Linotype" w:eastAsia="MS Mincho" w:hAnsi="Palatino Linotype"/>
        </w:rPr>
      </w:pPr>
      <w:r w:rsidRPr="00D623DC">
        <w:rPr>
          <w:rFonts w:ascii="Palatino Linotype" w:hAnsi="Palatino Linotype"/>
          <w:color w:val="000000" w:themeColor="text1"/>
        </w:rPr>
        <w:t>Finalmente</w:t>
      </w:r>
      <w:r w:rsidR="00316ACD" w:rsidRPr="00D623DC">
        <w:rPr>
          <w:rFonts w:ascii="Palatino Linotype" w:hAnsi="Palatino Linotype"/>
          <w:color w:val="000000" w:themeColor="text1"/>
        </w:rPr>
        <w:t xml:space="preserve">, </w:t>
      </w:r>
      <w:r w:rsidRPr="00D623DC">
        <w:rPr>
          <w:rFonts w:ascii="Palatino Linotype" w:hAnsi="Palatino Linotype"/>
          <w:color w:val="000000" w:themeColor="text1"/>
        </w:rPr>
        <w:t>se</w:t>
      </w:r>
      <w:r w:rsidR="00316ACD" w:rsidRPr="00D623DC">
        <w:rPr>
          <w:rFonts w:ascii="Palatino Linotype" w:hAnsi="Palatino Linotype"/>
          <w:color w:val="000000" w:themeColor="text1"/>
        </w:rPr>
        <w:t xml:space="preserve"> decretó el cierre de </w:t>
      </w:r>
      <w:r w:rsidR="00844A2B" w:rsidRPr="00D623DC">
        <w:rPr>
          <w:rFonts w:ascii="Palatino Linotype" w:hAnsi="Palatino Linotype"/>
          <w:color w:val="000000" w:themeColor="text1"/>
        </w:rPr>
        <w:t xml:space="preserve">instrucción mediante acuerdo del </w:t>
      </w:r>
      <w:r w:rsidR="002C5AE3" w:rsidRPr="00D623DC">
        <w:rPr>
          <w:rFonts w:ascii="Palatino Linotype" w:hAnsi="Palatino Linotype"/>
          <w:color w:val="000000" w:themeColor="text1"/>
        </w:rPr>
        <w:t>once (11</w:t>
      </w:r>
      <w:r w:rsidR="00316ACD" w:rsidRPr="00D623DC">
        <w:rPr>
          <w:rFonts w:ascii="Palatino Linotype" w:hAnsi="Palatino Linotype"/>
          <w:color w:val="000000" w:themeColor="text1"/>
        </w:rPr>
        <w:t xml:space="preserve">) de </w:t>
      </w:r>
      <w:r w:rsidR="004D754A" w:rsidRPr="00D623DC">
        <w:rPr>
          <w:rFonts w:ascii="Palatino Linotype" w:hAnsi="Palatino Linotype"/>
          <w:color w:val="000000" w:themeColor="text1"/>
        </w:rPr>
        <w:t>octubre</w:t>
      </w:r>
      <w:r w:rsidR="00BB1976" w:rsidRPr="00D623DC">
        <w:rPr>
          <w:rFonts w:ascii="Palatino Linotype" w:hAnsi="Palatino Linotype"/>
          <w:color w:val="000000" w:themeColor="text1"/>
        </w:rPr>
        <w:t xml:space="preserve"> </w:t>
      </w:r>
      <w:bookmarkStart w:id="133" w:name="_Toc491791302"/>
      <w:bookmarkStart w:id="134" w:name="_Toc83128578"/>
      <w:r w:rsidRPr="00D623DC">
        <w:rPr>
          <w:rFonts w:ascii="Palatino Linotype" w:hAnsi="Palatino Linotype"/>
          <w:color w:val="000000" w:themeColor="text1"/>
        </w:rPr>
        <w:t>de dos mil veintitrés, por lo que no habiendo más que hacer constar y---</w:t>
      </w:r>
    </w:p>
    <w:p w14:paraId="4AD0BE12" w14:textId="77777777" w:rsidR="00BE6307" w:rsidRPr="00D623DC" w:rsidRDefault="00BE6307" w:rsidP="00487BE9">
      <w:pPr>
        <w:pStyle w:val="Prrafodelista"/>
        <w:spacing w:line="360" w:lineRule="auto"/>
        <w:rPr>
          <w:rFonts w:ascii="Palatino Linotype" w:eastAsia="MS Mincho" w:hAnsi="Palatino Linotype"/>
        </w:rPr>
      </w:pPr>
    </w:p>
    <w:p w14:paraId="45189513" w14:textId="77777777" w:rsidR="009F09BC" w:rsidRPr="00D623DC" w:rsidRDefault="009F09BC" w:rsidP="00487BE9">
      <w:pPr>
        <w:pStyle w:val="Ttulo1"/>
        <w:spacing w:before="0" w:line="360" w:lineRule="auto"/>
        <w:jc w:val="center"/>
        <w:rPr>
          <w:rFonts w:ascii="Palatino Linotype" w:hAnsi="Palatino Linotype"/>
          <w:b/>
          <w:color w:val="000000" w:themeColor="text1"/>
          <w:sz w:val="24"/>
          <w:szCs w:val="24"/>
        </w:rPr>
      </w:pPr>
      <w:r w:rsidRPr="00D623DC">
        <w:rPr>
          <w:rFonts w:ascii="Palatino Linotype" w:hAnsi="Palatino Linotype"/>
          <w:b/>
          <w:color w:val="000000" w:themeColor="text1"/>
          <w:sz w:val="24"/>
          <w:szCs w:val="24"/>
        </w:rPr>
        <w:t>CONSIDERANDO</w:t>
      </w:r>
      <w:bookmarkEnd w:id="133"/>
      <w:bookmarkEnd w:id="134"/>
    </w:p>
    <w:p w14:paraId="5B1BE041" w14:textId="77777777" w:rsidR="009F09BC" w:rsidRPr="00D623DC" w:rsidRDefault="009F09BC" w:rsidP="00487BE9">
      <w:pPr>
        <w:spacing w:line="360" w:lineRule="auto"/>
        <w:rPr>
          <w:rFonts w:ascii="Palatino Linotype" w:hAnsi="Palatino Linotype"/>
          <w:lang w:val="es-MX" w:eastAsia="en-US"/>
        </w:rPr>
      </w:pPr>
    </w:p>
    <w:p w14:paraId="5776FC19" w14:textId="77777777" w:rsidR="009F09BC" w:rsidRPr="00D623DC" w:rsidRDefault="009F09BC" w:rsidP="00487BE9">
      <w:pPr>
        <w:pStyle w:val="Ttulo2"/>
        <w:spacing w:before="0" w:line="360" w:lineRule="auto"/>
        <w:rPr>
          <w:rFonts w:ascii="Palatino Linotype" w:hAnsi="Palatino Linotype"/>
          <w:b/>
          <w:color w:val="auto"/>
          <w:sz w:val="24"/>
          <w:szCs w:val="24"/>
        </w:rPr>
      </w:pPr>
      <w:bookmarkStart w:id="135" w:name="_Toc491791303"/>
      <w:bookmarkStart w:id="136" w:name="_Toc83128579"/>
      <w:r w:rsidRPr="00D623DC">
        <w:rPr>
          <w:rFonts w:ascii="Palatino Linotype" w:hAnsi="Palatino Linotype"/>
          <w:b/>
          <w:color w:val="auto"/>
          <w:sz w:val="24"/>
          <w:szCs w:val="24"/>
        </w:rPr>
        <w:t>PRIMERO. De la competencia</w:t>
      </w:r>
      <w:bookmarkEnd w:id="135"/>
      <w:bookmarkEnd w:id="136"/>
    </w:p>
    <w:p w14:paraId="0AB226CC" w14:textId="77777777" w:rsidR="009F09BC" w:rsidRPr="00D623DC" w:rsidRDefault="009F09BC" w:rsidP="00487BE9">
      <w:pPr>
        <w:spacing w:line="360" w:lineRule="auto"/>
        <w:rPr>
          <w:rFonts w:ascii="Palatino Linotype" w:hAnsi="Palatino Linotype"/>
          <w:lang w:val="es-MX" w:eastAsia="en-US"/>
        </w:rPr>
      </w:pPr>
    </w:p>
    <w:p w14:paraId="6F87202C" w14:textId="77777777" w:rsidR="00AA1E3F" w:rsidRPr="00D623DC" w:rsidRDefault="00AA1E3F" w:rsidP="00487BE9">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D623DC">
        <w:rPr>
          <w:rFonts w:ascii="Palatino Linotype" w:hAnsi="Palatino Linotype"/>
          <w:color w:val="000000" w:themeColor="text1"/>
        </w:rPr>
        <w:t xml:space="preserve">Este </w:t>
      </w:r>
      <w:r w:rsidR="00E61E1E" w:rsidRPr="00D623DC">
        <w:rPr>
          <w:rFonts w:ascii="Palatino Linotype" w:hAnsi="Palatino Linotype" w:cs="Arial"/>
          <w:color w:val="222222"/>
          <w:shd w:val="clear" w:color="auto" w:fill="FFFFFF"/>
        </w:rPr>
        <w:t>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DEA1D70" w14:textId="77777777" w:rsidR="009F09BC" w:rsidRPr="00D623DC" w:rsidRDefault="009F09BC" w:rsidP="00487BE9">
      <w:pPr>
        <w:pStyle w:val="Ttulo2"/>
        <w:spacing w:before="0" w:line="360" w:lineRule="auto"/>
        <w:rPr>
          <w:rFonts w:ascii="Palatino Linotype" w:hAnsi="Palatino Linotype"/>
          <w:b/>
          <w:color w:val="auto"/>
          <w:sz w:val="24"/>
          <w:szCs w:val="24"/>
        </w:rPr>
      </w:pPr>
      <w:bookmarkStart w:id="137" w:name="_Toc491791304"/>
      <w:bookmarkStart w:id="138" w:name="_Toc83128580"/>
      <w:r w:rsidRPr="00D623DC">
        <w:rPr>
          <w:rFonts w:ascii="Palatino Linotype" w:hAnsi="Palatino Linotype"/>
          <w:b/>
          <w:color w:val="auto"/>
          <w:sz w:val="24"/>
          <w:szCs w:val="24"/>
        </w:rPr>
        <w:t>SEGUNDO. De la oportunidad y procedencia.</w:t>
      </w:r>
      <w:bookmarkEnd w:id="137"/>
      <w:bookmarkEnd w:id="138"/>
    </w:p>
    <w:p w14:paraId="0978296F" w14:textId="77777777" w:rsidR="009F09BC" w:rsidRPr="00D623DC" w:rsidRDefault="009F09BC" w:rsidP="00487BE9">
      <w:pPr>
        <w:spacing w:line="360" w:lineRule="auto"/>
        <w:rPr>
          <w:rFonts w:ascii="Palatino Linotype" w:hAnsi="Palatino Linotype"/>
          <w:lang w:val="es-MX" w:eastAsia="en-US"/>
        </w:rPr>
      </w:pPr>
    </w:p>
    <w:p w14:paraId="61DA2F56" w14:textId="77777777" w:rsidR="00E101E2" w:rsidRPr="00D623DC" w:rsidRDefault="00425842" w:rsidP="00487BE9">
      <w:pPr>
        <w:pStyle w:val="Prrafodelista"/>
        <w:numPr>
          <w:ilvl w:val="0"/>
          <w:numId w:val="1"/>
        </w:numPr>
        <w:tabs>
          <w:tab w:val="left" w:pos="567"/>
        </w:tabs>
        <w:spacing w:line="360" w:lineRule="auto"/>
        <w:ind w:left="0" w:firstLine="0"/>
        <w:jc w:val="both"/>
        <w:rPr>
          <w:rFonts w:ascii="Palatino Linotype" w:hAnsi="Palatino Linotype"/>
        </w:rPr>
      </w:pPr>
      <w:r w:rsidRPr="00D623DC">
        <w:rPr>
          <w:rFonts w:ascii="Palatino Linotype" w:eastAsia="Calibri" w:hAnsi="Palatino Linotype" w:cs="Arial"/>
        </w:rPr>
        <w:lastRenderedPageBreak/>
        <w:t>El</w:t>
      </w:r>
      <w:r w:rsidR="00AD63B4" w:rsidRPr="00D623DC">
        <w:rPr>
          <w:rFonts w:ascii="Palatino Linotype" w:eastAsia="Calibri" w:hAnsi="Palatino Linotype" w:cs="Arial"/>
        </w:rPr>
        <w:t xml:space="preserve"> </w:t>
      </w:r>
      <w:r w:rsidR="009F09BC" w:rsidRPr="00D623DC">
        <w:rPr>
          <w:rFonts w:ascii="Palatino Linotype" w:eastAsia="Calibri" w:hAnsi="Palatino Linotype" w:cs="Arial"/>
        </w:rPr>
        <w:t xml:space="preserve">medio de impugnación fue presentado a través del </w:t>
      </w:r>
      <w:r w:rsidR="009F09BC" w:rsidRPr="00D623DC">
        <w:rPr>
          <w:rFonts w:ascii="Palatino Linotype" w:eastAsia="Calibri" w:hAnsi="Palatino Linotype" w:cs="Arial"/>
          <w:b/>
        </w:rPr>
        <w:t>SAIMEX,</w:t>
      </w:r>
      <w:r w:rsidR="009F09BC" w:rsidRPr="00D623D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623DC">
        <w:rPr>
          <w:rFonts w:ascii="Palatino Linotype" w:eastAsia="Calibri" w:hAnsi="Palatino Linotype" w:cs="Arial"/>
          <w:b/>
        </w:rPr>
        <w:t>SUJETO OBLIGADO</w:t>
      </w:r>
      <w:r w:rsidRPr="00D623DC">
        <w:rPr>
          <w:rFonts w:ascii="Palatino Linotype" w:eastAsia="Calibri" w:hAnsi="Palatino Linotype" w:cs="Arial"/>
        </w:rPr>
        <w:t xml:space="preserve"> entregó su</w:t>
      </w:r>
      <w:r w:rsidR="009F09BC" w:rsidRPr="00D623DC">
        <w:rPr>
          <w:rFonts w:ascii="Palatino Linotype" w:eastAsia="Calibri" w:hAnsi="Palatino Linotype" w:cs="Arial"/>
        </w:rPr>
        <w:t xml:space="preserve"> respuesta </w:t>
      </w:r>
      <w:r w:rsidRPr="00D623DC">
        <w:rPr>
          <w:rFonts w:ascii="Palatino Linotype" w:eastAsia="Calibri" w:hAnsi="Palatino Linotype" w:cs="Arial"/>
        </w:rPr>
        <w:t>e</w:t>
      </w:r>
      <w:r w:rsidR="009F09BC" w:rsidRPr="00D623DC">
        <w:rPr>
          <w:rFonts w:ascii="Palatino Linotype" w:eastAsia="Calibri" w:hAnsi="Palatino Linotype" w:cs="Arial"/>
        </w:rPr>
        <w:t xml:space="preserve">l </w:t>
      </w:r>
      <w:r w:rsidR="004D754A" w:rsidRPr="00D623DC">
        <w:rPr>
          <w:rFonts w:ascii="Palatino Linotype" w:eastAsia="Calibri" w:hAnsi="Palatino Linotype" w:cs="Arial"/>
        </w:rPr>
        <w:t xml:space="preserve">siete </w:t>
      </w:r>
      <w:r w:rsidRPr="00D623DC">
        <w:rPr>
          <w:rFonts w:ascii="Palatino Linotype" w:eastAsia="Calibri" w:hAnsi="Palatino Linotype" w:cs="Arial"/>
        </w:rPr>
        <w:t>(</w:t>
      </w:r>
      <w:r w:rsidR="004D754A" w:rsidRPr="00D623DC">
        <w:rPr>
          <w:rFonts w:ascii="Palatino Linotype" w:eastAsia="Calibri" w:hAnsi="Palatino Linotype" w:cs="Arial"/>
        </w:rPr>
        <w:t>07) de marzo</w:t>
      </w:r>
      <w:r w:rsidR="00502A6A" w:rsidRPr="00D623DC">
        <w:rPr>
          <w:rFonts w:ascii="Palatino Linotype" w:eastAsia="Calibri" w:hAnsi="Palatino Linotype" w:cs="Arial"/>
        </w:rPr>
        <w:t xml:space="preserve"> </w:t>
      </w:r>
      <w:r w:rsidRPr="00D623DC">
        <w:rPr>
          <w:rFonts w:ascii="Palatino Linotype" w:eastAsia="Calibri" w:hAnsi="Palatino Linotype" w:cs="Arial"/>
        </w:rPr>
        <w:t>de dos mil veintidós</w:t>
      </w:r>
      <w:r w:rsidR="009F09BC" w:rsidRPr="00D623DC">
        <w:rPr>
          <w:rFonts w:ascii="Palatino Linotype" w:eastAsia="Calibri" w:hAnsi="Palatino Linotype" w:cs="Arial"/>
        </w:rPr>
        <w:t xml:space="preserve">, </w:t>
      </w:r>
      <w:r w:rsidR="009F09BC" w:rsidRPr="00D623DC">
        <w:rPr>
          <w:rFonts w:ascii="Palatino Linotype" w:hAnsi="Palatino Linotype" w:cs="Arial"/>
        </w:rPr>
        <w:t xml:space="preserve">de tal forma que </w:t>
      </w:r>
      <w:r w:rsidRPr="00D623DC">
        <w:rPr>
          <w:rFonts w:ascii="Palatino Linotype" w:hAnsi="Palatino Linotype" w:cs="Arial"/>
        </w:rPr>
        <w:t>e</w:t>
      </w:r>
      <w:r w:rsidR="009F09BC" w:rsidRPr="00D623DC">
        <w:rPr>
          <w:rFonts w:ascii="Palatino Linotype" w:hAnsi="Palatino Linotype" w:cs="Arial"/>
        </w:rPr>
        <w:t xml:space="preserve">l plazo para interponer </w:t>
      </w:r>
      <w:r w:rsidRPr="00D623DC">
        <w:rPr>
          <w:rFonts w:ascii="Palatino Linotype" w:hAnsi="Palatino Linotype" w:cs="Arial"/>
        </w:rPr>
        <w:t>e</w:t>
      </w:r>
      <w:r w:rsidR="009F09BC" w:rsidRPr="00D623DC">
        <w:rPr>
          <w:rFonts w:ascii="Palatino Linotype" w:hAnsi="Palatino Linotype" w:cs="Arial"/>
        </w:rPr>
        <w:t xml:space="preserve">l recurso de revisión </w:t>
      </w:r>
      <w:r w:rsidRPr="00D623DC">
        <w:rPr>
          <w:rFonts w:ascii="Palatino Linotype" w:hAnsi="Palatino Linotype" w:cs="Arial"/>
        </w:rPr>
        <w:t>transcurrió</w:t>
      </w:r>
      <w:r w:rsidR="00050BF2" w:rsidRPr="00D623DC">
        <w:rPr>
          <w:rFonts w:ascii="Palatino Linotype" w:hAnsi="Palatino Linotype" w:cs="Arial"/>
        </w:rPr>
        <w:t xml:space="preserve"> del ocho</w:t>
      </w:r>
      <w:r w:rsidR="00626AC3" w:rsidRPr="00D623DC">
        <w:rPr>
          <w:rFonts w:ascii="Palatino Linotype" w:hAnsi="Palatino Linotype" w:cs="Arial"/>
        </w:rPr>
        <w:t xml:space="preserve"> </w:t>
      </w:r>
      <w:r w:rsidRPr="00D623DC">
        <w:rPr>
          <w:rFonts w:ascii="Palatino Linotype" w:hAnsi="Palatino Linotype" w:cs="Arial"/>
        </w:rPr>
        <w:t>(</w:t>
      </w:r>
      <w:r w:rsidR="00050BF2" w:rsidRPr="00D623DC">
        <w:rPr>
          <w:rFonts w:ascii="Palatino Linotype" w:hAnsi="Palatino Linotype" w:cs="Arial"/>
        </w:rPr>
        <w:t>08</w:t>
      </w:r>
      <w:r w:rsidR="00502A6A" w:rsidRPr="00D623DC">
        <w:rPr>
          <w:rFonts w:ascii="Palatino Linotype" w:hAnsi="Palatino Linotype" w:cs="Arial"/>
        </w:rPr>
        <w:t xml:space="preserve">) </w:t>
      </w:r>
      <w:r w:rsidR="000F4046" w:rsidRPr="00D623DC">
        <w:rPr>
          <w:rFonts w:ascii="Palatino Linotype" w:hAnsi="Palatino Linotype" w:cs="Arial"/>
        </w:rPr>
        <w:t xml:space="preserve">al </w:t>
      </w:r>
      <w:r w:rsidR="00502A6A" w:rsidRPr="00D623DC">
        <w:rPr>
          <w:rFonts w:ascii="Palatino Linotype" w:hAnsi="Palatino Linotype" w:cs="Arial"/>
        </w:rPr>
        <w:t xml:space="preserve">veintinueve </w:t>
      </w:r>
      <w:r w:rsidR="009F09BC" w:rsidRPr="00D623DC">
        <w:rPr>
          <w:rFonts w:ascii="Palatino Linotype" w:hAnsi="Palatino Linotype" w:cs="Arial"/>
        </w:rPr>
        <w:t>(</w:t>
      </w:r>
      <w:r w:rsidR="00502A6A" w:rsidRPr="00D623DC">
        <w:rPr>
          <w:rFonts w:ascii="Palatino Linotype" w:hAnsi="Palatino Linotype" w:cs="Arial"/>
        </w:rPr>
        <w:t>29</w:t>
      </w:r>
      <w:r w:rsidR="009F09BC" w:rsidRPr="00D623DC">
        <w:rPr>
          <w:rFonts w:ascii="Palatino Linotype" w:hAnsi="Palatino Linotype" w:cs="Arial"/>
        </w:rPr>
        <w:t>)</w:t>
      </w:r>
      <w:r w:rsidR="00652D9B" w:rsidRPr="00D623DC">
        <w:rPr>
          <w:rFonts w:ascii="Palatino Linotype" w:hAnsi="Palatino Linotype" w:cs="Arial"/>
        </w:rPr>
        <w:t xml:space="preserve"> de marzo</w:t>
      </w:r>
      <w:r w:rsidR="00502A6A" w:rsidRPr="00D623DC">
        <w:rPr>
          <w:rFonts w:ascii="Palatino Linotype" w:hAnsi="Palatino Linotype" w:cs="Arial"/>
        </w:rPr>
        <w:t xml:space="preserve"> </w:t>
      </w:r>
      <w:r w:rsidR="0001674C" w:rsidRPr="00D623DC">
        <w:rPr>
          <w:rFonts w:ascii="Palatino Linotype" w:hAnsi="Palatino Linotype" w:cs="Arial"/>
        </w:rPr>
        <w:t xml:space="preserve">de dos mil </w:t>
      </w:r>
      <w:r w:rsidRPr="00D623DC">
        <w:rPr>
          <w:rFonts w:ascii="Palatino Linotype" w:hAnsi="Palatino Linotype" w:cs="Arial"/>
        </w:rPr>
        <w:t>veintidós</w:t>
      </w:r>
      <w:r w:rsidR="0001674C" w:rsidRPr="00D623DC">
        <w:rPr>
          <w:rFonts w:ascii="Palatino Linotype" w:hAnsi="Palatino Linotype" w:cs="Arial"/>
        </w:rPr>
        <w:t>; e</w:t>
      </w:r>
      <w:r w:rsidR="009F09BC" w:rsidRPr="00D623DC">
        <w:rPr>
          <w:rFonts w:ascii="Palatino Linotype" w:hAnsi="Palatino Linotype" w:cs="Arial"/>
        </w:rPr>
        <w:t xml:space="preserve">n consecuencia, el ahora </w:t>
      </w:r>
      <w:r w:rsidR="009F09BC" w:rsidRPr="00D623DC">
        <w:rPr>
          <w:rFonts w:ascii="Palatino Linotype" w:hAnsi="Palatino Linotype" w:cs="Arial"/>
          <w:b/>
        </w:rPr>
        <w:t>RECURRENTE</w:t>
      </w:r>
      <w:r w:rsidR="009F09BC" w:rsidRPr="00D623DC">
        <w:rPr>
          <w:rFonts w:ascii="Palatino Linotype" w:hAnsi="Palatino Linotype" w:cs="Arial"/>
        </w:rPr>
        <w:t xml:space="preserve"> presentó </w:t>
      </w:r>
      <w:r w:rsidR="00E101E2" w:rsidRPr="00D623DC">
        <w:rPr>
          <w:rFonts w:ascii="Palatino Linotype" w:hAnsi="Palatino Linotype" w:cs="Arial"/>
        </w:rPr>
        <w:t xml:space="preserve">su inconformidad el </w:t>
      </w:r>
      <w:r w:rsidR="00652D9B" w:rsidRPr="00D623DC">
        <w:rPr>
          <w:rFonts w:ascii="Palatino Linotype" w:hAnsi="Palatino Linotype" w:cs="Arial"/>
        </w:rPr>
        <w:t>once (11) de marzo</w:t>
      </w:r>
      <w:r w:rsidR="00502A6A" w:rsidRPr="00D623DC">
        <w:rPr>
          <w:rFonts w:ascii="Palatino Linotype" w:hAnsi="Palatino Linotype" w:cs="Arial"/>
        </w:rPr>
        <w:t xml:space="preserve"> </w:t>
      </w:r>
      <w:r w:rsidR="006F3EF7" w:rsidRPr="00D623DC">
        <w:rPr>
          <w:rFonts w:ascii="Palatino Linotype" w:hAnsi="Palatino Linotype" w:cs="Arial"/>
        </w:rPr>
        <w:t>de dos mil veintidós</w:t>
      </w:r>
      <w:r w:rsidR="009F09BC" w:rsidRPr="00D623DC">
        <w:rPr>
          <w:rFonts w:ascii="Palatino Linotype" w:hAnsi="Palatino Linotype" w:cs="Arial"/>
        </w:rPr>
        <w:t>; por lo que el medio de impugnación se encuentran dentro del lapso legalme</w:t>
      </w:r>
      <w:r w:rsidR="00E101E2" w:rsidRPr="00D623DC">
        <w:rPr>
          <w:rFonts w:ascii="Palatino Linotype" w:hAnsi="Palatino Linotype" w:cs="Arial"/>
        </w:rPr>
        <w:t>nte establecido para tal efecto.</w:t>
      </w:r>
    </w:p>
    <w:p w14:paraId="0A56CFEF" w14:textId="77777777" w:rsidR="00E101E2" w:rsidRPr="00D623DC" w:rsidRDefault="00E101E2" w:rsidP="00487BE9">
      <w:pPr>
        <w:pStyle w:val="Prrafodelista"/>
        <w:tabs>
          <w:tab w:val="left" w:pos="567"/>
        </w:tabs>
        <w:spacing w:line="360" w:lineRule="auto"/>
        <w:ind w:left="0"/>
        <w:jc w:val="both"/>
        <w:rPr>
          <w:rFonts w:ascii="Palatino Linotype" w:hAnsi="Palatino Linotype"/>
        </w:rPr>
      </w:pPr>
    </w:p>
    <w:p w14:paraId="3F73C78F" w14:textId="77777777" w:rsidR="000F4046" w:rsidRPr="00D623DC" w:rsidRDefault="00E101E2" w:rsidP="00487BE9">
      <w:pPr>
        <w:pStyle w:val="Prrafodelista"/>
        <w:numPr>
          <w:ilvl w:val="0"/>
          <w:numId w:val="1"/>
        </w:numPr>
        <w:tabs>
          <w:tab w:val="left" w:pos="567"/>
        </w:tabs>
        <w:spacing w:line="360" w:lineRule="auto"/>
        <w:ind w:left="0" w:right="49" w:firstLine="0"/>
        <w:jc w:val="both"/>
        <w:rPr>
          <w:rFonts w:ascii="Palatino Linotype" w:hAnsi="Palatino Linotype"/>
        </w:rPr>
      </w:pPr>
      <w:r w:rsidRPr="00D623DC">
        <w:rPr>
          <w:rFonts w:ascii="Palatino Linotype" w:eastAsia="Calibri" w:hAnsi="Palatino Linotype" w:cs="Arial"/>
        </w:rPr>
        <w:t>En consecuencia, el escrito contiene</w:t>
      </w:r>
      <w:r w:rsidR="000F4046" w:rsidRPr="00D623D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BB9A94" w14:textId="77777777" w:rsidR="00FA5CDD" w:rsidRPr="00D623DC" w:rsidRDefault="00FA5CDD" w:rsidP="00487BE9">
      <w:pPr>
        <w:spacing w:line="360" w:lineRule="auto"/>
        <w:rPr>
          <w:rFonts w:ascii="Palatino Linotype" w:hAnsi="Palatino Linotype"/>
        </w:rPr>
      </w:pPr>
    </w:p>
    <w:p w14:paraId="5326139B" w14:textId="77777777" w:rsidR="009F09BC" w:rsidRPr="00D623DC" w:rsidRDefault="009F09BC" w:rsidP="00487BE9">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D623DC">
        <w:rPr>
          <w:rFonts w:ascii="Palatino Linotype" w:hAnsi="Palatino Linotype"/>
          <w:b/>
          <w:color w:val="000000" w:themeColor="text1"/>
          <w:sz w:val="24"/>
          <w:szCs w:val="24"/>
        </w:rPr>
        <w:t xml:space="preserve">TERCERO. </w:t>
      </w:r>
      <w:bookmarkStart w:id="143" w:name="_Toc501021589"/>
      <w:r w:rsidRPr="00D623DC">
        <w:rPr>
          <w:rFonts w:ascii="Palatino Linotype" w:hAnsi="Palatino Linotype"/>
          <w:b/>
          <w:color w:val="000000" w:themeColor="text1"/>
          <w:sz w:val="24"/>
          <w:szCs w:val="24"/>
        </w:rPr>
        <w:t xml:space="preserve">Del planteamiento de la </w:t>
      </w:r>
      <w:r w:rsidRPr="00D623DC">
        <w:rPr>
          <w:rFonts w:ascii="Palatino Linotype" w:hAnsi="Palatino Linotype"/>
          <w:b/>
          <w:i/>
          <w:color w:val="000000" w:themeColor="text1"/>
          <w:sz w:val="24"/>
          <w:szCs w:val="24"/>
        </w:rPr>
        <w:t>Litis</w:t>
      </w:r>
      <w:r w:rsidRPr="00D623DC">
        <w:rPr>
          <w:rFonts w:ascii="Palatino Linotype" w:hAnsi="Palatino Linotype"/>
          <w:b/>
          <w:color w:val="000000" w:themeColor="text1"/>
          <w:sz w:val="24"/>
          <w:szCs w:val="24"/>
        </w:rPr>
        <w:t>.</w:t>
      </w:r>
      <w:bookmarkEnd w:id="139"/>
      <w:bookmarkEnd w:id="140"/>
      <w:bookmarkEnd w:id="141"/>
      <w:bookmarkEnd w:id="142"/>
      <w:bookmarkEnd w:id="143"/>
    </w:p>
    <w:p w14:paraId="76CAF41A" w14:textId="77777777" w:rsidR="00E101E2" w:rsidRPr="00D623DC" w:rsidRDefault="00E101E2" w:rsidP="00487BE9">
      <w:pPr>
        <w:spacing w:line="360" w:lineRule="auto"/>
        <w:rPr>
          <w:rFonts w:ascii="Palatino Linotype" w:hAnsi="Palatino Linotype"/>
        </w:rPr>
      </w:pPr>
    </w:p>
    <w:p w14:paraId="63037EA2" w14:textId="77777777" w:rsidR="00F87704" w:rsidRPr="00D623DC" w:rsidRDefault="000B1EE1"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 xml:space="preserve">De las constancias en el expediente al rubro indicado, se desprende que el </w:t>
      </w:r>
      <w:r w:rsidRPr="00D623DC">
        <w:rPr>
          <w:rFonts w:ascii="Palatino Linotype" w:hAnsi="Palatino Linotype" w:cs="Arial"/>
          <w:b/>
        </w:rPr>
        <w:t>RECURRENTE</w:t>
      </w:r>
      <w:r w:rsidRPr="00D623DC">
        <w:rPr>
          <w:rFonts w:ascii="Palatino Linotype" w:hAnsi="Palatino Linotype" w:cs="Arial"/>
        </w:rPr>
        <w:t xml:space="preserve"> </w:t>
      </w:r>
      <w:r w:rsidR="00D14447" w:rsidRPr="00D623DC">
        <w:rPr>
          <w:rFonts w:ascii="Palatino Linotype" w:hAnsi="Palatino Linotype" w:cs="Arial"/>
        </w:rPr>
        <w:t xml:space="preserve">requirió </w:t>
      </w:r>
      <w:r w:rsidR="00E101E2" w:rsidRPr="00D623DC">
        <w:rPr>
          <w:rFonts w:ascii="Palatino Linotype" w:hAnsi="Palatino Linotype" w:cs="Arial"/>
        </w:rPr>
        <w:t>la siguiente información</w:t>
      </w:r>
      <w:r w:rsidR="00F64221" w:rsidRPr="00D623DC">
        <w:rPr>
          <w:rFonts w:ascii="Palatino Linotype" w:hAnsi="Palatino Linotype" w:cs="Arial"/>
        </w:rPr>
        <w:t>:</w:t>
      </w:r>
    </w:p>
    <w:p w14:paraId="181DE9FD" w14:textId="77777777" w:rsidR="00D67BD2" w:rsidRPr="00D623DC" w:rsidRDefault="00D67BD2" w:rsidP="00487BE9">
      <w:pPr>
        <w:pStyle w:val="Prrafodelista"/>
        <w:tabs>
          <w:tab w:val="left" w:pos="567"/>
        </w:tabs>
        <w:spacing w:line="360" w:lineRule="auto"/>
        <w:ind w:left="0"/>
        <w:jc w:val="both"/>
        <w:rPr>
          <w:rFonts w:ascii="Palatino Linotype" w:hAnsi="Palatino Linotype" w:cs="Arial"/>
        </w:rPr>
      </w:pPr>
    </w:p>
    <w:p w14:paraId="4EA66048" w14:textId="77777777" w:rsidR="00F87704" w:rsidRPr="00D623DC" w:rsidRDefault="00E74F31" w:rsidP="00487BE9">
      <w:pPr>
        <w:pStyle w:val="Prrafodelista"/>
        <w:numPr>
          <w:ilvl w:val="0"/>
          <w:numId w:val="28"/>
        </w:numPr>
        <w:spacing w:line="360" w:lineRule="auto"/>
        <w:ind w:left="851" w:right="900" w:hanging="425"/>
        <w:jc w:val="both"/>
        <w:rPr>
          <w:rFonts w:ascii="Palatino Linotype" w:hAnsi="Palatino Linotype"/>
          <w:b/>
        </w:rPr>
      </w:pPr>
      <w:r w:rsidRPr="00D623DC">
        <w:rPr>
          <w:rFonts w:ascii="Palatino Linotype" w:hAnsi="Palatino Linotype"/>
          <w:b/>
        </w:rPr>
        <w:t>A</w:t>
      </w:r>
      <w:r w:rsidR="00F07888" w:rsidRPr="00D623DC">
        <w:rPr>
          <w:rFonts w:ascii="Palatino Linotype" w:hAnsi="Palatino Linotype"/>
          <w:b/>
        </w:rPr>
        <w:t>poyos fiscales, o cualquier beneficio que implique la omisión del pago de impuesto predial y agua</w:t>
      </w:r>
      <w:r w:rsidRPr="00D623DC">
        <w:rPr>
          <w:rFonts w:ascii="Palatino Linotype" w:hAnsi="Palatino Linotype"/>
          <w:b/>
        </w:rPr>
        <w:t xml:space="preserve"> de</w:t>
      </w:r>
      <w:r w:rsidR="00F07888" w:rsidRPr="00D623DC">
        <w:rPr>
          <w:rFonts w:ascii="Palatino Linotype" w:hAnsi="Palatino Linotype"/>
          <w:b/>
        </w:rPr>
        <w:t xml:space="preserve"> </w:t>
      </w:r>
      <w:r w:rsidRPr="00D623DC">
        <w:rPr>
          <w:rFonts w:ascii="Palatino Linotype" w:hAnsi="Palatino Linotype"/>
          <w:b/>
        </w:rPr>
        <w:t>los departamentos de la Unidad Habitacional Cebadales secciones I y II;</w:t>
      </w:r>
    </w:p>
    <w:p w14:paraId="5FC88E09" w14:textId="77777777" w:rsidR="00E74F31" w:rsidRPr="00D623DC" w:rsidRDefault="00E74F31" w:rsidP="00487BE9">
      <w:pPr>
        <w:pStyle w:val="Prrafodelista"/>
        <w:spacing w:line="360" w:lineRule="auto"/>
        <w:ind w:left="851" w:right="900" w:hanging="425"/>
        <w:jc w:val="both"/>
        <w:rPr>
          <w:rFonts w:ascii="Palatino Linotype" w:hAnsi="Palatino Linotype"/>
          <w:b/>
        </w:rPr>
      </w:pPr>
    </w:p>
    <w:p w14:paraId="2BFDCDFB" w14:textId="77777777" w:rsidR="002C5AE3" w:rsidRPr="00D623DC" w:rsidRDefault="00E74F31" w:rsidP="00487BE9">
      <w:pPr>
        <w:pStyle w:val="Prrafodelista"/>
        <w:numPr>
          <w:ilvl w:val="0"/>
          <w:numId w:val="28"/>
        </w:numPr>
        <w:spacing w:line="360" w:lineRule="auto"/>
        <w:ind w:left="851" w:right="900" w:hanging="425"/>
        <w:jc w:val="both"/>
        <w:rPr>
          <w:rFonts w:ascii="Palatino Linotype" w:hAnsi="Palatino Linotype"/>
          <w:b/>
        </w:rPr>
      </w:pPr>
      <w:r w:rsidRPr="00D623DC">
        <w:rPr>
          <w:rFonts w:ascii="Palatino Linotype" w:hAnsi="Palatino Linotype"/>
          <w:b/>
        </w:rPr>
        <w:lastRenderedPageBreak/>
        <w:t>D</w:t>
      </w:r>
      <w:r w:rsidR="002C5AE3" w:rsidRPr="00D623DC">
        <w:rPr>
          <w:rFonts w:ascii="Palatino Linotype" w:hAnsi="Palatino Linotype"/>
          <w:b/>
        </w:rPr>
        <w:t xml:space="preserve">epartamentos de la </w:t>
      </w:r>
      <w:r w:rsidRPr="00D623DC">
        <w:rPr>
          <w:rFonts w:ascii="Palatino Linotype" w:hAnsi="Palatino Linotype"/>
          <w:b/>
        </w:rPr>
        <w:t>Unidad H</w:t>
      </w:r>
      <w:r w:rsidR="002C5AE3" w:rsidRPr="00D623DC">
        <w:rPr>
          <w:rFonts w:ascii="Palatino Linotype" w:hAnsi="Palatino Linotype"/>
          <w:b/>
        </w:rPr>
        <w:t xml:space="preserve">abitacional Cebadales I y II, </w:t>
      </w:r>
      <w:r w:rsidRPr="00D623DC">
        <w:rPr>
          <w:rFonts w:ascii="Palatino Linotype" w:hAnsi="Palatino Linotype"/>
          <w:b/>
        </w:rPr>
        <w:t xml:space="preserve">que como contribuyente moroso, </w:t>
      </w:r>
      <w:r w:rsidR="002C5AE3" w:rsidRPr="00D623DC">
        <w:rPr>
          <w:rFonts w:ascii="Palatino Linotype" w:hAnsi="Palatino Linotype"/>
          <w:b/>
        </w:rPr>
        <w:t xml:space="preserve">han incumplido con sus obligaciones fiscales de </w:t>
      </w:r>
      <w:r w:rsidRPr="00D623DC">
        <w:rPr>
          <w:rFonts w:ascii="Palatino Linotype" w:hAnsi="Palatino Linotype"/>
          <w:b/>
        </w:rPr>
        <w:t>pago de impuesto predial y agua.</w:t>
      </w:r>
    </w:p>
    <w:p w14:paraId="42D3E070" w14:textId="77777777" w:rsidR="002C5AE3" w:rsidRPr="00D623DC" w:rsidRDefault="002C5AE3" w:rsidP="00487BE9">
      <w:pPr>
        <w:spacing w:line="360" w:lineRule="auto"/>
        <w:ind w:right="616"/>
        <w:jc w:val="both"/>
        <w:rPr>
          <w:rFonts w:ascii="Palatino Linotype" w:hAnsi="Palatino Linotype"/>
          <w:b/>
        </w:rPr>
      </w:pPr>
    </w:p>
    <w:p w14:paraId="555602C0" w14:textId="77777777" w:rsidR="005C112D" w:rsidRPr="00D623DC" w:rsidRDefault="00FA15BA" w:rsidP="00487BE9">
      <w:pPr>
        <w:numPr>
          <w:ilvl w:val="0"/>
          <w:numId w:val="1"/>
        </w:numPr>
        <w:tabs>
          <w:tab w:val="left" w:pos="567"/>
        </w:tabs>
        <w:spacing w:line="360" w:lineRule="auto"/>
        <w:ind w:left="0" w:firstLine="0"/>
        <w:contextualSpacing/>
        <w:jc w:val="both"/>
        <w:rPr>
          <w:rFonts w:ascii="Palatino Linotype" w:hAnsi="Palatino Linotype" w:cs="Arial"/>
        </w:rPr>
      </w:pPr>
      <w:r w:rsidRPr="00D623DC">
        <w:rPr>
          <w:rFonts w:ascii="Palatino Linotype" w:hAnsi="Palatino Linotype" w:cs="Arial"/>
        </w:rPr>
        <w:t xml:space="preserve">En respuesta, el </w:t>
      </w:r>
      <w:r w:rsidRPr="00D623DC">
        <w:rPr>
          <w:rFonts w:ascii="Palatino Linotype" w:hAnsi="Palatino Linotype" w:cs="Arial"/>
          <w:b/>
        </w:rPr>
        <w:t>SUJETO OBLIGADO</w:t>
      </w:r>
      <w:r w:rsidR="007C0A2E" w:rsidRPr="00D623DC">
        <w:rPr>
          <w:rFonts w:ascii="Palatino Linotype" w:hAnsi="Palatino Linotype" w:cs="Arial"/>
        </w:rPr>
        <w:t xml:space="preserve"> manifestó </w:t>
      </w:r>
      <w:r w:rsidR="005C112D" w:rsidRPr="00D623DC">
        <w:rPr>
          <w:rFonts w:ascii="Palatino Linotype" w:hAnsi="Palatino Linotype" w:cs="Arial"/>
        </w:rPr>
        <w:t xml:space="preserve">por medio del Tesorero Municipal que los Sujetos Obligados solo proporcionaran Información Pública que se les requiera y que obre en sus archivos y en el estado en el que ésta se encuentra. </w:t>
      </w:r>
    </w:p>
    <w:p w14:paraId="5FB46653" w14:textId="77777777" w:rsidR="00FA15BA" w:rsidRPr="00D623DC" w:rsidRDefault="00FA15BA" w:rsidP="00487BE9">
      <w:pPr>
        <w:spacing w:line="360" w:lineRule="auto"/>
        <w:jc w:val="both"/>
        <w:rPr>
          <w:rFonts w:ascii="Palatino Linotype" w:hAnsi="Palatino Linotype" w:cs="Arial"/>
        </w:rPr>
      </w:pPr>
    </w:p>
    <w:p w14:paraId="26C6718B" w14:textId="77777777" w:rsidR="00E16B71" w:rsidRPr="00D623DC" w:rsidRDefault="00D67BD2" w:rsidP="00487BE9">
      <w:pPr>
        <w:numPr>
          <w:ilvl w:val="0"/>
          <w:numId w:val="1"/>
        </w:numPr>
        <w:tabs>
          <w:tab w:val="left" w:pos="567"/>
        </w:tabs>
        <w:spacing w:line="360" w:lineRule="auto"/>
        <w:ind w:left="0" w:firstLine="0"/>
        <w:contextualSpacing/>
        <w:jc w:val="both"/>
        <w:rPr>
          <w:rFonts w:ascii="Palatino Linotype" w:eastAsia="SimSun" w:hAnsi="Palatino Linotype"/>
        </w:rPr>
      </w:pPr>
      <w:r w:rsidRPr="00D623DC">
        <w:rPr>
          <w:rFonts w:ascii="Palatino Linotype" w:hAnsi="Palatino Linotype" w:cs="Arial"/>
        </w:rPr>
        <w:t xml:space="preserve">El </w:t>
      </w:r>
      <w:r w:rsidRPr="00D623DC">
        <w:rPr>
          <w:rFonts w:ascii="Palatino Linotype" w:hAnsi="Palatino Linotype" w:cs="Arial"/>
          <w:b/>
        </w:rPr>
        <w:t>RECURRENTE</w:t>
      </w:r>
      <w:r w:rsidR="009F09BC" w:rsidRPr="00D623DC">
        <w:rPr>
          <w:rFonts w:ascii="Palatino Linotype" w:hAnsi="Palatino Linotype" w:cs="Arial"/>
          <w:b/>
        </w:rPr>
        <w:t xml:space="preserve"> </w:t>
      </w:r>
      <w:r w:rsidR="009F09BC" w:rsidRPr="00D623DC">
        <w:rPr>
          <w:rFonts w:ascii="Palatino Linotype" w:hAnsi="Palatino Linotype" w:cs="Arial"/>
        </w:rPr>
        <w:t>inconforme con la respuesta</w:t>
      </w:r>
      <w:r w:rsidRPr="00D623DC">
        <w:rPr>
          <w:rFonts w:ascii="Palatino Linotype" w:hAnsi="Palatino Linotype" w:cs="Arial"/>
        </w:rPr>
        <w:t>,</w:t>
      </w:r>
      <w:r w:rsidR="00402466" w:rsidRPr="00D623DC">
        <w:rPr>
          <w:rFonts w:ascii="Palatino Linotype" w:hAnsi="Palatino Linotype" w:cs="Arial"/>
        </w:rPr>
        <w:t xml:space="preserve"> interpuso recurso de revisión</w:t>
      </w:r>
      <w:r w:rsidR="009F09BC" w:rsidRPr="00D623DC">
        <w:rPr>
          <w:rFonts w:ascii="Palatino Linotype" w:hAnsi="Palatino Linotype" w:cs="Arial"/>
        </w:rPr>
        <w:t xml:space="preserve">, </w:t>
      </w:r>
      <w:r w:rsidR="00402466" w:rsidRPr="00D623DC">
        <w:rPr>
          <w:rFonts w:ascii="Palatino Linotype" w:hAnsi="Palatino Linotype" w:cs="Arial"/>
        </w:rPr>
        <w:t>señalando</w:t>
      </w:r>
      <w:r w:rsidR="009F09BC" w:rsidRPr="00D623DC">
        <w:rPr>
          <w:rFonts w:ascii="Palatino Linotype" w:hAnsi="Palatino Linotype" w:cs="Arial"/>
        </w:rPr>
        <w:t xml:space="preserve"> </w:t>
      </w:r>
      <w:r w:rsidR="00CF0D2B" w:rsidRPr="00D623DC">
        <w:rPr>
          <w:rFonts w:ascii="Palatino Linotype" w:hAnsi="Palatino Linotype" w:cs="Arial"/>
          <w:i/>
        </w:rPr>
        <w:t>grosso modo</w:t>
      </w:r>
      <w:r w:rsidRPr="00D623DC">
        <w:rPr>
          <w:rFonts w:ascii="Palatino Linotype" w:hAnsi="Palatino Linotype" w:cs="Arial"/>
        </w:rPr>
        <w:t xml:space="preserve">, </w:t>
      </w:r>
      <w:r w:rsidR="00A7784E" w:rsidRPr="00D623DC">
        <w:rPr>
          <w:rFonts w:ascii="Palatino Linotype" w:hAnsi="Palatino Linotype" w:cs="Arial"/>
        </w:rPr>
        <w:t xml:space="preserve">la falta de respuesta a la solicitud de información. </w:t>
      </w:r>
    </w:p>
    <w:p w14:paraId="25FEB0D9" w14:textId="77777777" w:rsidR="0094092A" w:rsidRPr="00D623DC" w:rsidRDefault="0094092A" w:rsidP="00487BE9">
      <w:pPr>
        <w:tabs>
          <w:tab w:val="left" w:pos="567"/>
        </w:tabs>
        <w:spacing w:line="360" w:lineRule="auto"/>
        <w:contextualSpacing/>
        <w:jc w:val="both"/>
        <w:rPr>
          <w:rFonts w:ascii="Palatino Linotype" w:eastAsia="SimSun" w:hAnsi="Palatino Linotype"/>
        </w:rPr>
      </w:pPr>
    </w:p>
    <w:p w14:paraId="36D33605" w14:textId="77777777" w:rsidR="00BA3473" w:rsidRPr="00D623DC" w:rsidRDefault="00BA3473" w:rsidP="00487BE9">
      <w:pPr>
        <w:numPr>
          <w:ilvl w:val="0"/>
          <w:numId w:val="1"/>
        </w:numPr>
        <w:tabs>
          <w:tab w:val="left" w:pos="567"/>
        </w:tabs>
        <w:spacing w:line="360" w:lineRule="auto"/>
        <w:ind w:left="0" w:firstLine="0"/>
        <w:contextualSpacing/>
        <w:jc w:val="both"/>
        <w:rPr>
          <w:rFonts w:ascii="Palatino Linotype" w:hAnsi="Palatino Linotype" w:cs="Arial"/>
        </w:rPr>
      </w:pPr>
      <w:r w:rsidRPr="00D623DC">
        <w:rPr>
          <w:rFonts w:ascii="Palatino Linotype" w:eastAsia="SimSun" w:hAnsi="Palatino Linotype"/>
        </w:rPr>
        <w:t xml:space="preserve">En </w:t>
      </w:r>
      <w:r w:rsidR="00D67BD2" w:rsidRPr="00D623DC">
        <w:rPr>
          <w:rFonts w:ascii="Palatino Linotype" w:hAnsi="Palatino Linotype"/>
          <w:color w:val="000000" w:themeColor="text1"/>
        </w:rPr>
        <w:t>este</w:t>
      </w:r>
      <w:r w:rsidRPr="00D623DC">
        <w:rPr>
          <w:rFonts w:ascii="Palatino Linotype" w:hAnsi="Palatino Linotype"/>
          <w:color w:val="000000" w:themeColor="text1"/>
        </w:rPr>
        <w:t xml:space="preserve"> sentido, este Organismo Garante advierte que las razones o motivos de inconformidad manifestados por el </w:t>
      </w:r>
      <w:r w:rsidRPr="00D623DC">
        <w:rPr>
          <w:rFonts w:ascii="Palatino Linotype" w:hAnsi="Palatino Linotype"/>
          <w:b/>
          <w:bCs/>
          <w:color w:val="000000" w:themeColor="text1"/>
        </w:rPr>
        <w:t>RECURRENTE</w:t>
      </w:r>
      <w:r w:rsidRPr="00D623DC">
        <w:rPr>
          <w:rFonts w:ascii="Palatino Linotype" w:hAnsi="Palatino Linotype"/>
          <w:color w:val="000000" w:themeColor="text1"/>
        </w:rPr>
        <w:t xml:space="preserve"> sugieren que la respuesta proporcionada por el </w:t>
      </w:r>
      <w:r w:rsidRPr="00D623DC">
        <w:rPr>
          <w:rFonts w:ascii="Palatino Linotype" w:hAnsi="Palatino Linotype"/>
          <w:b/>
          <w:bCs/>
          <w:color w:val="000000" w:themeColor="text1"/>
        </w:rPr>
        <w:t>SUJETO OBLIGADO</w:t>
      </w:r>
      <w:r w:rsidRPr="00D623DC">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w:t>
      </w:r>
      <w:r w:rsidR="00A7784E" w:rsidRPr="00D623DC">
        <w:rPr>
          <w:rFonts w:ascii="Palatino Linotype" w:hAnsi="Palatino Linotype"/>
          <w:color w:val="000000" w:themeColor="text1"/>
        </w:rPr>
        <w:t xml:space="preserve"> </w:t>
      </w:r>
      <w:r w:rsidR="00A7784E" w:rsidRPr="00D623DC">
        <w:rPr>
          <w:rFonts w:ascii="Palatino Linotype" w:hAnsi="Palatino Linotype"/>
          <w:b/>
          <w:color w:val="000000" w:themeColor="text1"/>
        </w:rPr>
        <w:t>expedita y</w:t>
      </w:r>
      <w:r w:rsidRPr="00D623DC">
        <w:rPr>
          <w:rFonts w:ascii="Palatino Linotype" w:hAnsi="Palatino Linotype"/>
          <w:color w:val="000000" w:themeColor="text1"/>
        </w:rPr>
        <w:t xml:space="preserve"> </w:t>
      </w:r>
      <w:r w:rsidR="00D67BD2" w:rsidRPr="00D623DC">
        <w:rPr>
          <w:rFonts w:ascii="Palatino Linotype" w:hAnsi="Palatino Linotype"/>
          <w:b/>
          <w:bCs/>
          <w:color w:val="000000" w:themeColor="text1"/>
        </w:rPr>
        <w:t>completa</w:t>
      </w:r>
      <w:r w:rsidRPr="00D623DC">
        <w:rPr>
          <w:rFonts w:ascii="Palatino Linotype" w:hAnsi="Palatino Linotype"/>
          <w:color w:val="000000" w:themeColor="text1"/>
        </w:rPr>
        <w:t>.</w:t>
      </w:r>
    </w:p>
    <w:p w14:paraId="5FCC38B4" w14:textId="77777777" w:rsidR="00BA3473" w:rsidRPr="00D623DC" w:rsidRDefault="00BA3473" w:rsidP="00487BE9">
      <w:pPr>
        <w:spacing w:line="360" w:lineRule="auto"/>
        <w:rPr>
          <w:rFonts w:ascii="Palatino Linotype" w:eastAsia="SimSun" w:hAnsi="Palatino Linotype"/>
        </w:rPr>
      </w:pPr>
    </w:p>
    <w:p w14:paraId="38A837E5" w14:textId="77777777" w:rsidR="00BA3473" w:rsidRPr="00D623DC" w:rsidRDefault="00BA3473" w:rsidP="00487BE9">
      <w:pPr>
        <w:numPr>
          <w:ilvl w:val="0"/>
          <w:numId w:val="1"/>
        </w:numPr>
        <w:tabs>
          <w:tab w:val="left" w:pos="567"/>
        </w:tabs>
        <w:spacing w:line="360" w:lineRule="auto"/>
        <w:ind w:left="0" w:firstLine="0"/>
        <w:contextualSpacing/>
        <w:jc w:val="both"/>
        <w:rPr>
          <w:rFonts w:ascii="Palatino Linotype" w:hAnsi="Palatino Linotype" w:cs="Arial"/>
        </w:rPr>
      </w:pPr>
      <w:r w:rsidRPr="00D623DC">
        <w:rPr>
          <w:rFonts w:ascii="Palatino Linotype" w:eastAsia="SimSun" w:hAnsi="Palatino Linotype"/>
        </w:rPr>
        <w:t xml:space="preserve">Por </w:t>
      </w:r>
      <w:r w:rsidRPr="00D623DC">
        <w:rPr>
          <w:rFonts w:ascii="Palatino Linotype" w:hAnsi="Palatino Linotype"/>
          <w:color w:val="000000" w:themeColor="text1"/>
        </w:rPr>
        <w:t>lo anterior, se actualizan las causales de procedencia del recurso de revisión establecidas en e</w:t>
      </w:r>
      <w:r w:rsidR="00AA1E3F" w:rsidRPr="00D623DC">
        <w:rPr>
          <w:rFonts w:ascii="Palatino Linotype" w:hAnsi="Palatino Linotype"/>
          <w:color w:val="000000" w:themeColor="text1"/>
        </w:rPr>
        <w:t xml:space="preserve">l artículo 179, fracción V </w:t>
      </w:r>
      <w:r w:rsidRPr="00D623DC">
        <w:rPr>
          <w:rFonts w:ascii="Palatino Linotype" w:hAnsi="Palatino Linotype"/>
          <w:color w:val="000000" w:themeColor="text1"/>
        </w:rPr>
        <w:t>de la Ley de Transparencia y Acceso a la Información Pública del Estado de México y Municipios, las cuales dictan lo siguiente:</w:t>
      </w:r>
    </w:p>
    <w:p w14:paraId="28751240" w14:textId="77777777" w:rsidR="00BA3473" w:rsidRPr="00D623DC" w:rsidRDefault="00BA3473" w:rsidP="00487BE9">
      <w:pPr>
        <w:pStyle w:val="Prrafodelista"/>
        <w:tabs>
          <w:tab w:val="left" w:pos="567"/>
        </w:tabs>
        <w:spacing w:line="360" w:lineRule="auto"/>
        <w:ind w:left="567" w:right="900"/>
        <w:rPr>
          <w:rFonts w:ascii="Palatino Linotype" w:hAnsi="Palatino Linotype"/>
          <w:b/>
          <w:color w:val="000000" w:themeColor="text1"/>
          <w:lang w:val="es-MX" w:eastAsia="en-US"/>
        </w:rPr>
      </w:pPr>
    </w:p>
    <w:p w14:paraId="2E49F4B9" w14:textId="77777777" w:rsidR="00BA3473" w:rsidRPr="00D623DC" w:rsidRDefault="00BA3473" w:rsidP="00487BE9">
      <w:pPr>
        <w:pStyle w:val="Sinespaciado"/>
        <w:tabs>
          <w:tab w:val="left" w:pos="426"/>
          <w:tab w:val="left" w:pos="567"/>
        </w:tabs>
        <w:spacing w:line="360" w:lineRule="auto"/>
        <w:ind w:left="567" w:right="900"/>
        <w:jc w:val="both"/>
        <w:rPr>
          <w:rFonts w:ascii="Palatino Linotype" w:hAnsi="Palatino Linotype"/>
          <w:i/>
          <w:color w:val="000000" w:themeColor="text1"/>
        </w:rPr>
      </w:pPr>
      <w:r w:rsidRPr="00D623DC">
        <w:rPr>
          <w:rFonts w:ascii="Palatino Linotype" w:hAnsi="Palatino Linotype"/>
          <w:color w:val="000000" w:themeColor="text1"/>
        </w:rPr>
        <w:lastRenderedPageBreak/>
        <w:t>“</w:t>
      </w:r>
      <w:r w:rsidRPr="00D623DC">
        <w:rPr>
          <w:rFonts w:ascii="Palatino Linotype" w:hAnsi="Palatino Linotype"/>
          <w:b/>
          <w:color w:val="000000" w:themeColor="text1"/>
        </w:rPr>
        <w:t>Artículo 179.</w:t>
      </w:r>
      <w:r w:rsidRPr="00D623DC">
        <w:rPr>
          <w:rFonts w:ascii="Palatino Linotype" w:hAnsi="Palatino Linotype"/>
          <w:color w:val="000000" w:themeColor="text1"/>
        </w:rPr>
        <w:t xml:space="preserve"> </w:t>
      </w:r>
      <w:r w:rsidRPr="00D623DC">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14:paraId="663E1E05" w14:textId="77777777" w:rsidR="00BA3473" w:rsidRPr="00D623DC" w:rsidRDefault="00BA3473" w:rsidP="00487BE9">
      <w:pPr>
        <w:pStyle w:val="Sinespaciado"/>
        <w:tabs>
          <w:tab w:val="left" w:pos="426"/>
          <w:tab w:val="left" w:pos="567"/>
        </w:tabs>
        <w:spacing w:line="360" w:lineRule="auto"/>
        <w:ind w:left="567" w:right="900"/>
        <w:jc w:val="both"/>
        <w:rPr>
          <w:rFonts w:ascii="Palatino Linotype" w:hAnsi="Palatino Linotype"/>
          <w:i/>
          <w:color w:val="000000" w:themeColor="text1"/>
        </w:rPr>
      </w:pPr>
      <w:r w:rsidRPr="00D623DC">
        <w:rPr>
          <w:rFonts w:ascii="Palatino Linotype" w:hAnsi="Palatino Linotype"/>
          <w:i/>
          <w:color w:val="000000" w:themeColor="text1"/>
        </w:rPr>
        <w:t xml:space="preserve"> (…)</w:t>
      </w:r>
    </w:p>
    <w:p w14:paraId="78128439" w14:textId="77777777" w:rsidR="00BA3473" w:rsidRPr="00D623DC" w:rsidRDefault="00A7784E" w:rsidP="00487BE9">
      <w:pPr>
        <w:pStyle w:val="Sinespaciado"/>
        <w:numPr>
          <w:ilvl w:val="0"/>
          <w:numId w:val="31"/>
        </w:numPr>
        <w:tabs>
          <w:tab w:val="left" w:pos="426"/>
          <w:tab w:val="left" w:pos="567"/>
        </w:tabs>
        <w:spacing w:line="360" w:lineRule="auto"/>
        <w:ind w:left="567" w:right="900" w:firstLine="0"/>
        <w:jc w:val="both"/>
        <w:rPr>
          <w:rFonts w:ascii="Palatino Linotype" w:hAnsi="Palatino Linotype"/>
          <w:b/>
          <w:i/>
          <w:color w:val="000000" w:themeColor="text1"/>
        </w:rPr>
      </w:pPr>
      <w:r w:rsidRPr="00D623DC">
        <w:rPr>
          <w:rFonts w:ascii="Palatino Linotype" w:hAnsi="Palatino Linotype"/>
          <w:b/>
          <w:i/>
          <w:color w:val="000000" w:themeColor="text1"/>
        </w:rPr>
        <w:t>La negativa a la información solicitada;</w:t>
      </w:r>
    </w:p>
    <w:p w14:paraId="796779D0" w14:textId="77777777" w:rsidR="00A7784E" w:rsidRPr="00D623DC" w:rsidRDefault="00A7784E" w:rsidP="00487BE9">
      <w:pPr>
        <w:pStyle w:val="Sinespaciado"/>
        <w:tabs>
          <w:tab w:val="left" w:pos="426"/>
          <w:tab w:val="left" w:pos="567"/>
        </w:tabs>
        <w:spacing w:line="360" w:lineRule="auto"/>
        <w:ind w:left="567" w:right="900"/>
        <w:jc w:val="both"/>
        <w:rPr>
          <w:rFonts w:ascii="Palatino Linotype" w:hAnsi="Palatino Linotype"/>
          <w:color w:val="000000" w:themeColor="text1"/>
        </w:rPr>
      </w:pPr>
      <w:r w:rsidRPr="00D623DC">
        <w:rPr>
          <w:rFonts w:ascii="Palatino Linotype" w:hAnsi="Palatino Linotype"/>
          <w:color w:val="000000" w:themeColor="text1"/>
        </w:rPr>
        <w:t>(…)</w:t>
      </w:r>
    </w:p>
    <w:p w14:paraId="11B90B30" w14:textId="77777777" w:rsidR="00A7784E" w:rsidRPr="00D623DC" w:rsidRDefault="00A7784E" w:rsidP="00487BE9">
      <w:pPr>
        <w:pStyle w:val="Sinespaciado"/>
        <w:tabs>
          <w:tab w:val="left" w:pos="426"/>
          <w:tab w:val="left" w:pos="567"/>
        </w:tabs>
        <w:spacing w:line="360" w:lineRule="auto"/>
        <w:ind w:left="567" w:right="900"/>
        <w:jc w:val="both"/>
        <w:rPr>
          <w:rFonts w:ascii="Palatino Linotype" w:hAnsi="Palatino Linotype"/>
          <w:b/>
          <w:i/>
          <w:color w:val="000000" w:themeColor="text1"/>
        </w:rPr>
      </w:pPr>
      <w:r w:rsidRPr="00D623DC">
        <w:rPr>
          <w:rFonts w:ascii="Palatino Linotype" w:hAnsi="Palatino Linotype"/>
          <w:b/>
          <w:i/>
          <w:color w:val="000000" w:themeColor="text1"/>
        </w:rPr>
        <w:t>VII. La falta de respuesta a una solicitud de acceso a la información;</w:t>
      </w:r>
    </w:p>
    <w:p w14:paraId="02EEF633" w14:textId="77777777" w:rsidR="00BA3473" w:rsidRPr="00D623DC" w:rsidRDefault="00BA3473" w:rsidP="00487BE9">
      <w:pPr>
        <w:pStyle w:val="Sinespaciado"/>
        <w:tabs>
          <w:tab w:val="left" w:pos="426"/>
          <w:tab w:val="left" w:pos="567"/>
        </w:tabs>
        <w:spacing w:line="360" w:lineRule="auto"/>
        <w:ind w:left="567" w:right="900"/>
        <w:jc w:val="both"/>
        <w:rPr>
          <w:rFonts w:ascii="Palatino Linotype" w:hAnsi="Palatino Linotype"/>
          <w:i/>
          <w:color w:val="000000" w:themeColor="text1"/>
        </w:rPr>
      </w:pPr>
      <w:r w:rsidRPr="00D623DC">
        <w:rPr>
          <w:rFonts w:ascii="Palatino Linotype" w:hAnsi="Palatino Linotype"/>
          <w:i/>
          <w:color w:val="000000" w:themeColor="text1"/>
        </w:rPr>
        <w:t>(…)”</w:t>
      </w:r>
    </w:p>
    <w:p w14:paraId="2467BA20" w14:textId="77777777" w:rsidR="001D0A69" w:rsidRPr="00D623DC" w:rsidRDefault="001D0A69" w:rsidP="00487BE9">
      <w:pPr>
        <w:pStyle w:val="Sinespaciado"/>
        <w:tabs>
          <w:tab w:val="left" w:pos="426"/>
          <w:tab w:val="left" w:pos="567"/>
        </w:tabs>
        <w:spacing w:line="360" w:lineRule="auto"/>
        <w:ind w:left="567" w:right="900"/>
        <w:jc w:val="both"/>
        <w:rPr>
          <w:rFonts w:ascii="Palatino Linotype" w:hAnsi="Palatino Linotype"/>
          <w:i/>
          <w:color w:val="000000" w:themeColor="text1"/>
        </w:rPr>
      </w:pPr>
    </w:p>
    <w:p w14:paraId="3A5C2EED" w14:textId="77777777" w:rsidR="001D0A69" w:rsidRPr="00D623DC" w:rsidRDefault="001D0A69" w:rsidP="00487BE9">
      <w:pPr>
        <w:pStyle w:val="Prrafodelista"/>
        <w:numPr>
          <w:ilvl w:val="0"/>
          <w:numId w:val="1"/>
        </w:numPr>
        <w:spacing w:line="360" w:lineRule="auto"/>
        <w:ind w:left="0" w:firstLine="0"/>
        <w:jc w:val="both"/>
        <w:rPr>
          <w:rFonts w:ascii="Palatino Linotype" w:eastAsia="MS Mincho" w:hAnsi="Palatino Linotype" w:cs="Arial"/>
        </w:rPr>
      </w:pPr>
      <w:r w:rsidRPr="00D623DC">
        <w:rPr>
          <w:rFonts w:ascii="Palatino Linotype" w:eastAsia="Times New Roman" w:hAnsi="Palatino Linotype" w:cs="Arial"/>
          <w:color w:val="000000" w:themeColor="text1"/>
          <w:lang w:val="es-ES" w:eastAsia="es-MX"/>
        </w:rPr>
        <w:t xml:space="preserve">De modo tal </w:t>
      </w:r>
      <w:r w:rsidRPr="00D623DC">
        <w:rPr>
          <w:rFonts w:ascii="Palatino Linotype" w:hAnsi="Palatino Linotype" w:cs="Arial"/>
          <w:color w:val="000000" w:themeColor="text1"/>
        </w:rPr>
        <w:t xml:space="preserve">que el presente recurso de revisión se abocara en determinar si el </w:t>
      </w:r>
      <w:r w:rsidRPr="00D623DC">
        <w:rPr>
          <w:rFonts w:ascii="Palatino Linotype" w:hAnsi="Palatino Linotype" w:cs="Arial"/>
          <w:b/>
          <w:color w:val="000000" w:themeColor="text1"/>
        </w:rPr>
        <w:t>SUJETO</w:t>
      </w:r>
      <w:r w:rsidRPr="00D623DC">
        <w:rPr>
          <w:rFonts w:ascii="Palatino Linotype" w:hAnsi="Palatino Linotype" w:cs="Arial"/>
          <w:color w:val="000000" w:themeColor="text1"/>
        </w:rPr>
        <w:t xml:space="preserve"> </w:t>
      </w:r>
      <w:r w:rsidRPr="00D623DC">
        <w:rPr>
          <w:rFonts w:ascii="Palatino Linotype" w:hAnsi="Palatino Linotype" w:cs="Arial"/>
          <w:b/>
          <w:color w:val="000000" w:themeColor="text1"/>
        </w:rPr>
        <w:t>OBLIGADO</w:t>
      </w:r>
      <w:r w:rsidRPr="00D623DC">
        <w:rPr>
          <w:rFonts w:ascii="Palatino Linotype" w:hAnsi="Palatino Linotype" w:cs="Arial"/>
          <w:color w:val="000000" w:themeColor="text1"/>
        </w:rPr>
        <w:t xml:space="preserve"> con su respuesta ciertamente </w:t>
      </w:r>
      <w:r w:rsidRPr="00D623DC">
        <w:rPr>
          <w:rFonts w:ascii="Palatino Linotype" w:eastAsia="Times New Roman" w:hAnsi="Palatino Linotype"/>
          <w:color w:val="000000" w:themeColor="text1"/>
        </w:rPr>
        <w:t>actualiza las causales de procedencia</w:t>
      </w:r>
      <w:r w:rsidRPr="00D623DC">
        <w:rPr>
          <w:rFonts w:ascii="Palatino Linotype" w:eastAsia="Times New Roman" w:hAnsi="Palatino Linotype"/>
          <w:b/>
          <w:color w:val="000000" w:themeColor="text1"/>
        </w:rPr>
        <w:t xml:space="preserve"> </w:t>
      </w:r>
      <w:r w:rsidRPr="00D623DC">
        <w:rPr>
          <w:rFonts w:ascii="Palatino Linotype" w:eastAsia="Times New Roman" w:hAnsi="Palatino Linotype" w:cs="Arial"/>
          <w:color w:val="000000" w:themeColor="text1"/>
          <w:lang w:eastAsia="es-MX"/>
        </w:rPr>
        <w:t>antes señaladas. Así como comprobar si la respuesta emitida resulta congruente e integral en términos del artículo 11 de la ley de la materia.</w:t>
      </w:r>
    </w:p>
    <w:p w14:paraId="7D8107A5" w14:textId="77777777" w:rsidR="009F09BC" w:rsidRPr="00D623DC" w:rsidRDefault="009F09BC" w:rsidP="00487BE9">
      <w:pPr>
        <w:spacing w:line="360" w:lineRule="auto"/>
        <w:rPr>
          <w:rFonts w:ascii="Palatino Linotype" w:eastAsia="MS Mincho" w:hAnsi="Palatino Linotype" w:cs="Arial"/>
        </w:rPr>
      </w:pPr>
    </w:p>
    <w:p w14:paraId="5A0F4511" w14:textId="77777777" w:rsidR="00A87D5E" w:rsidRPr="00D623DC" w:rsidRDefault="009F09BC" w:rsidP="00487BE9">
      <w:pPr>
        <w:pStyle w:val="Ttulo2"/>
        <w:spacing w:before="0"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D623DC">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16D98E65" w14:textId="77777777" w:rsidR="00DC7423" w:rsidRPr="00D623DC" w:rsidRDefault="00DC7423" w:rsidP="00487BE9">
      <w:pPr>
        <w:spacing w:line="360" w:lineRule="auto"/>
        <w:rPr>
          <w:rFonts w:ascii="Palatino Linotype" w:hAnsi="Palatino Linotype"/>
        </w:rPr>
      </w:pPr>
    </w:p>
    <w:p w14:paraId="33387DC7" w14:textId="77777777" w:rsidR="00614F38" w:rsidRPr="00D623DC" w:rsidRDefault="00614F38"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 xml:space="preserve">Derivado del Planteamiento de la </w:t>
      </w:r>
      <w:r w:rsidRPr="00D623DC">
        <w:rPr>
          <w:rFonts w:ascii="Palatino Linotype" w:hAnsi="Palatino Linotype" w:cs="Arial"/>
          <w:i/>
        </w:rPr>
        <w:t>Litis</w:t>
      </w:r>
      <w:r w:rsidRPr="00D623DC">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93E00E7" w14:textId="77777777" w:rsidR="007346A6" w:rsidRPr="00D623DC" w:rsidRDefault="008A482A"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Expuestas las posturas de</w:t>
      </w:r>
      <w:r w:rsidR="004920DF" w:rsidRPr="00D623DC">
        <w:rPr>
          <w:rFonts w:ascii="Palatino Linotype" w:hAnsi="Palatino Linotype" w:cs="Arial"/>
        </w:rPr>
        <w:t xml:space="preserve"> las partes, </w:t>
      </w:r>
      <w:r w:rsidR="00DC7423" w:rsidRPr="00D623DC">
        <w:rPr>
          <w:rFonts w:ascii="Palatino Linotype" w:hAnsi="Palatino Linotype" w:cs="Arial"/>
        </w:rPr>
        <w:t>resulta necesario</w:t>
      </w:r>
      <w:r w:rsidR="00D92476" w:rsidRPr="00D623DC">
        <w:rPr>
          <w:rFonts w:ascii="Palatino Linotype" w:hAnsi="Palatino Linotype" w:cs="Arial"/>
        </w:rPr>
        <w:t xml:space="preserve"> traer primeramente a colación </w:t>
      </w:r>
      <w:r w:rsidR="007346A6" w:rsidRPr="00D623DC">
        <w:rPr>
          <w:rFonts w:ascii="Palatino Linotype" w:hAnsi="Palatino Linotype" w:cs="Arial"/>
        </w:rPr>
        <w:t>el Glosario de Informe Tributario y Gestión</w:t>
      </w:r>
      <w:r w:rsidR="00D92476" w:rsidRPr="00D623DC">
        <w:rPr>
          <w:rFonts w:ascii="Palatino Linotype" w:hAnsi="Palatino Linotype" w:cs="Arial"/>
        </w:rPr>
        <w:t xml:space="preserve"> del Servicio de Administración </w:t>
      </w:r>
      <w:r w:rsidR="00D92476" w:rsidRPr="00D623DC">
        <w:rPr>
          <w:rFonts w:ascii="Palatino Linotype" w:hAnsi="Palatino Linotype" w:cs="Arial"/>
        </w:rPr>
        <w:lastRenderedPageBreak/>
        <w:t>Tributaria</w:t>
      </w:r>
      <w:r w:rsidR="007346A6" w:rsidRPr="00D623DC">
        <w:rPr>
          <w:rFonts w:ascii="Palatino Linotype" w:hAnsi="Palatino Linotype" w:cs="Arial"/>
        </w:rPr>
        <w:t xml:space="preserve">, </w:t>
      </w:r>
      <w:r w:rsidR="00DC7423" w:rsidRPr="00D623DC">
        <w:rPr>
          <w:rFonts w:ascii="Palatino Linotype" w:hAnsi="Palatino Linotype" w:cs="Arial"/>
        </w:rPr>
        <w:t xml:space="preserve">en virtud que </w:t>
      </w:r>
      <w:r w:rsidR="007346A6" w:rsidRPr="00D623DC">
        <w:rPr>
          <w:rFonts w:ascii="Palatino Linotype" w:hAnsi="Palatino Linotype"/>
          <w:lang w:val="es-ES"/>
        </w:rPr>
        <w:t xml:space="preserve">nos brinda el siguiente concepto, </w:t>
      </w:r>
      <w:r w:rsidR="00DC7423" w:rsidRPr="00D623DC">
        <w:rPr>
          <w:rFonts w:ascii="Palatino Linotype" w:hAnsi="Palatino Linotype"/>
          <w:lang w:val="es-ES"/>
        </w:rPr>
        <w:t>que otorga</w:t>
      </w:r>
      <w:r w:rsidR="007346A6" w:rsidRPr="00D623DC">
        <w:rPr>
          <w:rFonts w:ascii="Palatino Linotype" w:hAnsi="Palatino Linotype"/>
          <w:lang w:val="es-ES"/>
        </w:rPr>
        <w:t xml:space="preserve"> un panorama</w:t>
      </w:r>
      <w:r w:rsidR="00DC7423" w:rsidRPr="00D623DC">
        <w:rPr>
          <w:rFonts w:ascii="Palatino Linotype" w:hAnsi="Palatino Linotype"/>
          <w:lang w:val="es-ES"/>
        </w:rPr>
        <w:t xml:space="preserve"> mayor del asunto en análisis</w:t>
      </w:r>
      <w:r w:rsidR="007346A6" w:rsidRPr="00D623DC">
        <w:rPr>
          <w:rFonts w:ascii="Palatino Linotype" w:hAnsi="Palatino Linotype"/>
          <w:lang w:val="es-ES"/>
        </w:rPr>
        <w:t>:</w:t>
      </w:r>
    </w:p>
    <w:p w14:paraId="7AB56DF0" w14:textId="77777777" w:rsidR="00480463" w:rsidRPr="00D623DC" w:rsidRDefault="00480463" w:rsidP="00487BE9">
      <w:pPr>
        <w:pStyle w:val="Prrafodelista"/>
        <w:tabs>
          <w:tab w:val="left" w:pos="567"/>
        </w:tabs>
        <w:spacing w:line="360" w:lineRule="auto"/>
        <w:ind w:left="0"/>
        <w:jc w:val="both"/>
        <w:rPr>
          <w:rFonts w:ascii="Palatino Linotype" w:hAnsi="Palatino Linotype" w:cs="Arial"/>
        </w:rPr>
      </w:pPr>
    </w:p>
    <w:p w14:paraId="1D479018" w14:textId="77777777" w:rsidR="007346A6" w:rsidRPr="00D623DC" w:rsidRDefault="007346A6" w:rsidP="00487BE9">
      <w:pPr>
        <w:pStyle w:val="Prrafodelista"/>
        <w:tabs>
          <w:tab w:val="left" w:pos="567"/>
        </w:tabs>
        <w:spacing w:line="360" w:lineRule="auto"/>
        <w:ind w:left="567" w:right="900"/>
        <w:jc w:val="both"/>
        <w:rPr>
          <w:rFonts w:ascii="Palatino Linotype" w:hAnsi="Palatino Linotype"/>
        </w:rPr>
      </w:pPr>
      <w:r w:rsidRPr="00D623DC">
        <w:rPr>
          <w:rFonts w:ascii="Palatino Linotype" w:hAnsi="Palatino Linotype"/>
          <w:b/>
          <w:i/>
        </w:rPr>
        <w:t>Contribuyente:</w:t>
      </w:r>
      <w:r w:rsidRPr="00D623DC">
        <w:rPr>
          <w:rFonts w:ascii="Palatino Linotype" w:hAnsi="Palatino Linotype"/>
          <w:i/>
        </w:rPr>
        <w:t xml:space="preserve"> Persona física o moral obligada al pago de contribuciones, de conformidad con las leyes fiscales vigentes</w:t>
      </w:r>
      <w:r w:rsidR="00DC7423" w:rsidRPr="00D623DC">
        <w:rPr>
          <w:rFonts w:ascii="Palatino Linotype" w:hAnsi="Palatino Linotype"/>
        </w:rPr>
        <w:t>.</w:t>
      </w:r>
    </w:p>
    <w:p w14:paraId="5D6F9E97" w14:textId="77777777" w:rsidR="00DC7423" w:rsidRPr="00D623DC" w:rsidRDefault="00DC7423" w:rsidP="00487BE9">
      <w:pPr>
        <w:pStyle w:val="Prrafodelista"/>
        <w:tabs>
          <w:tab w:val="left" w:pos="567"/>
        </w:tabs>
        <w:spacing w:line="360" w:lineRule="auto"/>
        <w:ind w:left="567" w:right="900"/>
        <w:jc w:val="both"/>
        <w:rPr>
          <w:rFonts w:ascii="Palatino Linotype" w:hAnsi="Palatino Linotype" w:cs="Arial"/>
        </w:rPr>
      </w:pPr>
    </w:p>
    <w:p w14:paraId="1E23F7B3" w14:textId="77777777" w:rsidR="00853957" w:rsidRPr="00D623DC" w:rsidRDefault="001D0A69"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En esa tesitura</w:t>
      </w:r>
      <w:r w:rsidR="00DC7423" w:rsidRPr="00D623DC">
        <w:rPr>
          <w:rFonts w:ascii="Palatino Linotype" w:hAnsi="Palatino Linotype" w:cs="Arial"/>
        </w:rPr>
        <w:t>,</w:t>
      </w:r>
      <w:r w:rsidR="00AD68CD" w:rsidRPr="00D623DC">
        <w:rPr>
          <w:rFonts w:ascii="Palatino Linotype" w:hAnsi="Palatino Linotype" w:cs="Arial"/>
        </w:rPr>
        <w:t xml:space="preserve"> </w:t>
      </w:r>
      <w:r w:rsidR="00DC7423" w:rsidRPr="00D623DC">
        <w:rPr>
          <w:rFonts w:ascii="Palatino Linotype" w:hAnsi="Palatino Linotype" w:cs="Arial"/>
        </w:rPr>
        <w:t>l</w:t>
      </w:r>
      <w:r w:rsidR="00AD68CD" w:rsidRPr="00D623DC">
        <w:rPr>
          <w:rFonts w:ascii="Palatino Linotype" w:hAnsi="Palatino Linotype" w:cs="Arial"/>
        </w:rPr>
        <w:t>a Ley de Ingresos de los Municipios del Estado de México</w:t>
      </w:r>
      <w:r w:rsidR="00853957" w:rsidRPr="00D623DC">
        <w:rPr>
          <w:rFonts w:ascii="Palatino Linotype" w:hAnsi="Palatino Linotype" w:cs="Arial"/>
        </w:rPr>
        <w:t xml:space="preserve"> para el Ejercicio Fiscal 2022, establece que el pago del impuesto predial </w:t>
      </w:r>
      <w:r w:rsidR="007E3FBD" w:rsidRPr="00D623DC">
        <w:rPr>
          <w:rFonts w:ascii="Palatino Linotype" w:hAnsi="Palatino Linotype" w:cs="Arial"/>
        </w:rPr>
        <w:t xml:space="preserve">y agua </w:t>
      </w:r>
      <w:r w:rsidR="00853957" w:rsidRPr="00D623DC">
        <w:rPr>
          <w:rFonts w:ascii="Palatino Linotype" w:hAnsi="Palatino Linotype" w:cs="Arial"/>
        </w:rPr>
        <w:t>será percibido por la hacienda municipal de los municipios, lo anterior se encuentra en el artículo 1 de la Ley en mención que se trascribe a continuación:</w:t>
      </w:r>
    </w:p>
    <w:p w14:paraId="64E256A2" w14:textId="77777777" w:rsidR="00853957" w:rsidRPr="00D623DC" w:rsidRDefault="00853957" w:rsidP="00487BE9">
      <w:pPr>
        <w:pStyle w:val="Prrafodelista"/>
        <w:spacing w:line="360" w:lineRule="auto"/>
        <w:rPr>
          <w:rFonts w:ascii="Palatino Linotype" w:hAnsi="Palatino Linotype"/>
          <w:lang w:val="es-ES"/>
        </w:rPr>
      </w:pPr>
    </w:p>
    <w:p w14:paraId="5A225F10" w14:textId="77777777" w:rsidR="00853957" w:rsidRPr="00D623DC" w:rsidRDefault="00853957" w:rsidP="00487BE9">
      <w:pPr>
        <w:spacing w:line="360" w:lineRule="auto"/>
        <w:ind w:left="851" w:right="851"/>
        <w:jc w:val="both"/>
        <w:rPr>
          <w:rFonts w:ascii="Palatino Linotype" w:hAnsi="Palatino Linotype" w:cs="Arial"/>
          <w:i/>
        </w:rPr>
      </w:pPr>
      <w:r w:rsidRPr="00D623DC">
        <w:rPr>
          <w:rFonts w:ascii="Palatino Linotype" w:hAnsi="Palatino Linotype" w:cs="Arial"/>
          <w:i/>
        </w:rPr>
        <w:t xml:space="preserve">“Artículo 1.- La hacienda pública de los municipios del Estado de México, percibirá durante el ejercicio fiscal del año 2022, los ingresos provenientes de los conceptos que a continuación se enumeran: </w:t>
      </w:r>
    </w:p>
    <w:p w14:paraId="73A5DD53" w14:textId="77777777" w:rsidR="00853957" w:rsidRPr="00D623DC" w:rsidRDefault="00853957" w:rsidP="00487BE9">
      <w:pPr>
        <w:spacing w:line="360" w:lineRule="auto"/>
        <w:ind w:left="851" w:right="851"/>
        <w:jc w:val="both"/>
        <w:rPr>
          <w:rFonts w:ascii="Palatino Linotype" w:hAnsi="Palatino Linotype" w:cs="Arial"/>
          <w:i/>
        </w:rPr>
      </w:pPr>
      <w:r w:rsidRPr="00D623DC">
        <w:rPr>
          <w:rFonts w:ascii="Palatino Linotype" w:hAnsi="Palatino Linotype" w:cs="Arial"/>
          <w:i/>
        </w:rPr>
        <w:t xml:space="preserve">1. IMPUESTOS: </w:t>
      </w:r>
    </w:p>
    <w:p w14:paraId="3D28A44D" w14:textId="77777777" w:rsidR="007E3FBD" w:rsidRPr="00D623DC" w:rsidRDefault="00853957" w:rsidP="00487BE9">
      <w:pPr>
        <w:tabs>
          <w:tab w:val="left" w:pos="6810"/>
        </w:tabs>
        <w:spacing w:line="360" w:lineRule="auto"/>
        <w:ind w:left="851" w:right="851"/>
        <w:jc w:val="both"/>
        <w:rPr>
          <w:rFonts w:ascii="Palatino Linotype" w:hAnsi="Palatino Linotype" w:cs="Arial"/>
          <w:i/>
        </w:rPr>
      </w:pPr>
      <w:r w:rsidRPr="00D623DC">
        <w:rPr>
          <w:rFonts w:ascii="Palatino Linotype" w:hAnsi="Palatino Linotype" w:cs="Arial"/>
          <w:i/>
        </w:rPr>
        <w:t>(…)</w:t>
      </w:r>
      <w:r w:rsidRPr="00D623DC">
        <w:rPr>
          <w:rFonts w:ascii="Palatino Linotype" w:hAnsi="Palatino Linotype" w:cs="Arial"/>
          <w:i/>
        </w:rPr>
        <w:tab/>
      </w:r>
    </w:p>
    <w:p w14:paraId="5B33EE38" w14:textId="77777777" w:rsidR="007E3FBD" w:rsidRPr="00D623DC" w:rsidRDefault="007E3FBD" w:rsidP="00487BE9">
      <w:pPr>
        <w:tabs>
          <w:tab w:val="left" w:pos="6810"/>
        </w:tabs>
        <w:spacing w:line="360" w:lineRule="auto"/>
        <w:ind w:left="851" w:right="851"/>
        <w:jc w:val="both"/>
        <w:rPr>
          <w:rFonts w:ascii="Palatino Linotype" w:hAnsi="Palatino Linotype" w:cs="Arial"/>
          <w:i/>
        </w:rPr>
      </w:pPr>
      <w:r w:rsidRPr="00D623DC">
        <w:rPr>
          <w:rFonts w:ascii="Palatino Linotype" w:hAnsi="Palatino Linotype" w:cs="Arial"/>
          <w:i/>
        </w:rPr>
        <w:t xml:space="preserve">1.1.1 </w:t>
      </w:r>
      <w:r w:rsidR="00853957" w:rsidRPr="00D623DC">
        <w:rPr>
          <w:rFonts w:ascii="Palatino Linotype" w:hAnsi="Palatino Linotype" w:cs="Arial"/>
          <w:i/>
        </w:rPr>
        <w:t xml:space="preserve">Predial. </w:t>
      </w:r>
    </w:p>
    <w:p w14:paraId="7246C8C9" w14:textId="77777777" w:rsidR="007E3FBD" w:rsidRPr="00D623DC" w:rsidRDefault="00853957" w:rsidP="00487BE9">
      <w:pPr>
        <w:spacing w:line="360" w:lineRule="auto"/>
        <w:ind w:left="851" w:right="851"/>
        <w:jc w:val="both"/>
        <w:rPr>
          <w:rFonts w:ascii="Palatino Linotype" w:hAnsi="Palatino Linotype" w:cs="Arial"/>
          <w:i/>
        </w:rPr>
      </w:pPr>
      <w:r w:rsidRPr="00D623DC">
        <w:rPr>
          <w:rFonts w:ascii="Palatino Linotype" w:hAnsi="Palatino Linotype" w:cs="Arial"/>
          <w:i/>
        </w:rPr>
        <w:t>(…)</w:t>
      </w:r>
    </w:p>
    <w:p w14:paraId="2091BD2F" w14:textId="77777777" w:rsidR="007E3FBD" w:rsidRPr="00D623DC" w:rsidRDefault="007E3FBD" w:rsidP="00487BE9">
      <w:pPr>
        <w:spacing w:line="360" w:lineRule="auto"/>
        <w:ind w:left="851" w:right="851"/>
        <w:jc w:val="both"/>
        <w:rPr>
          <w:rFonts w:ascii="Palatino Linotype" w:hAnsi="Palatino Linotype" w:cs="Arial"/>
          <w:i/>
        </w:rPr>
      </w:pPr>
      <w:r w:rsidRPr="00D623DC">
        <w:rPr>
          <w:rFonts w:ascii="Palatino Linotype" w:hAnsi="Palatino Linotype" w:cs="Arial"/>
          <w:i/>
        </w:rPr>
        <w:t>4. DERECHOS</w:t>
      </w:r>
    </w:p>
    <w:p w14:paraId="121378C9" w14:textId="77777777" w:rsidR="007E3FBD" w:rsidRPr="00D623DC" w:rsidRDefault="007E3FBD" w:rsidP="00487BE9">
      <w:pPr>
        <w:spacing w:line="360" w:lineRule="auto"/>
        <w:ind w:left="851" w:right="851"/>
        <w:jc w:val="both"/>
        <w:rPr>
          <w:rFonts w:ascii="Palatino Linotype" w:hAnsi="Palatino Linotype" w:cs="Arial"/>
          <w:i/>
        </w:rPr>
      </w:pPr>
      <w:r w:rsidRPr="00D623DC">
        <w:rPr>
          <w:rFonts w:ascii="Palatino Linotype" w:hAnsi="Palatino Linotype" w:cs="Arial"/>
          <w:i/>
        </w:rPr>
        <w:t xml:space="preserve">4.3 Derecho de prestación de Servicios </w:t>
      </w:r>
    </w:p>
    <w:p w14:paraId="100D8027" w14:textId="77777777" w:rsidR="007E3FBD" w:rsidRPr="00D623DC" w:rsidRDefault="007E3FBD" w:rsidP="00487BE9">
      <w:pPr>
        <w:spacing w:line="360" w:lineRule="auto"/>
        <w:ind w:left="851" w:right="851"/>
        <w:jc w:val="both"/>
        <w:rPr>
          <w:rFonts w:ascii="Palatino Linotype" w:hAnsi="Palatino Linotype"/>
          <w:i/>
        </w:rPr>
      </w:pPr>
      <w:r w:rsidRPr="00D623DC">
        <w:rPr>
          <w:rFonts w:ascii="Palatino Linotype" w:hAnsi="Palatino Linotype" w:cs="Arial"/>
          <w:i/>
        </w:rPr>
        <w:t xml:space="preserve">4.3.1 </w:t>
      </w:r>
      <w:r w:rsidRPr="00D623DC">
        <w:rPr>
          <w:rFonts w:ascii="Palatino Linotype" w:hAnsi="Palatino Linotype"/>
          <w:i/>
        </w:rPr>
        <w:t>Agua Potable, Drenaje, Alcantarillado y Recepción de Caudales de Aguas Residuales para su Tratamiento.</w:t>
      </w:r>
    </w:p>
    <w:p w14:paraId="70FA166E" w14:textId="77777777" w:rsidR="00853957" w:rsidRPr="00D623DC" w:rsidRDefault="00D92476" w:rsidP="00487BE9">
      <w:pPr>
        <w:tabs>
          <w:tab w:val="left" w:pos="1980"/>
        </w:tabs>
        <w:spacing w:line="360" w:lineRule="auto"/>
        <w:ind w:left="851" w:right="851"/>
        <w:jc w:val="both"/>
        <w:rPr>
          <w:rFonts w:ascii="Palatino Linotype" w:hAnsi="Palatino Linotype" w:cs="Arial"/>
          <w:i/>
        </w:rPr>
      </w:pPr>
      <w:r w:rsidRPr="00D623DC">
        <w:rPr>
          <w:rFonts w:ascii="Palatino Linotype" w:hAnsi="Palatino Linotype" w:cs="Arial"/>
          <w:i/>
        </w:rPr>
        <w:t>…</w:t>
      </w:r>
      <w:r w:rsidR="00853957" w:rsidRPr="00D623DC">
        <w:rPr>
          <w:rFonts w:ascii="Palatino Linotype" w:hAnsi="Palatino Linotype" w:cs="Arial"/>
          <w:i/>
        </w:rPr>
        <w:t>”</w:t>
      </w:r>
      <w:r w:rsidR="007E3FBD" w:rsidRPr="00D623DC">
        <w:rPr>
          <w:rFonts w:ascii="Palatino Linotype" w:hAnsi="Palatino Linotype" w:cs="Arial"/>
          <w:i/>
        </w:rPr>
        <w:tab/>
      </w:r>
    </w:p>
    <w:p w14:paraId="453B77FE" w14:textId="77777777" w:rsidR="009B0107" w:rsidRPr="00D623DC" w:rsidRDefault="00853957" w:rsidP="00487B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23DC">
        <w:rPr>
          <w:rFonts w:ascii="Palatino Linotype" w:hAnsi="Palatino Linotype" w:cs="Arial"/>
        </w:rPr>
        <w:t xml:space="preserve">Del precepto anterior se desprende que el pago del impuesto predial, como obligación de los contribuyentes, ingresa a la hacienda municipal y a su vez está </w:t>
      </w:r>
      <w:r w:rsidRPr="00D623DC">
        <w:rPr>
          <w:rFonts w:ascii="Palatino Linotype" w:hAnsi="Palatino Linotype" w:cs="Arial"/>
        </w:rPr>
        <w:lastRenderedPageBreak/>
        <w:t>integrado en la Ley de Ingresos, por lo tanto tiene una doble naturaleza que se debe transparentar, por un lado es un acto de autoridad y por otro al ingresar al Municipio, obtiene la calidad de recurso público.</w:t>
      </w:r>
    </w:p>
    <w:p w14:paraId="157712D5" w14:textId="77777777" w:rsidR="009B0107" w:rsidRPr="00D623DC" w:rsidRDefault="009B0107" w:rsidP="00487BE9">
      <w:pPr>
        <w:pStyle w:val="Prrafodelista"/>
        <w:tabs>
          <w:tab w:val="left" w:pos="851"/>
        </w:tabs>
        <w:spacing w:line="360" w:lineRule="auto"/>
        <w:ind w:left="0" w:right="49"/>
        <w:jc w:val="both"/>
        <w:rPr>
          <w:rFonts w:ascii="Palatino Linotype" w:hAnsi="Palatino Linotype"/>
          <w:lang w:val="es-ES"/>
        </w:rPr>
      </w:pPr>
    </w:p>
    <w:p w14:paraId="141A3AC4" w14:textId="77777777" w:rsidR="009B0107" w:rsidRPr="00D623DC" w:rsidRDefault="00DC7423" w:rsidP="00487BE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623DC">
        <w:rPr>
          <w:rFonts w:ascii="Palatino Linotype" w:hAnsi="Palatino Linotype" w:cs="Arial"/>
        </w:rPr>
        <w:t>E</w:t>
      </w:r>
      <w:r w:rsidR="00094145" w:rsidRPr="00D623DC">
        <w:rPr>
          <w:rFonts w:ascii="Palatino Linotype" w:hAnsi="Palatino Linotype" w:cs="Arial"/>
        </w:rPr>
        <w:t xml:space="preserve">s importante </w:t>
      </w:r>
      <w:r w:rsidR="002B0B67" w:rsidRPr="00D623DC">
        <w:rPr>
          <w:rFonts w:ascii="Palatino Linotype" w:hAnsi="Palatino Linotype" w:cs="Arial"/>
        </w:rPr>
        <w:t xml:space="preserve">subrayar </w:t>
      </w:r>
      <w:r w:rsidR="000405CA" w:rsidRPr="00D623DC">
        <w:rPr>
          <w:rFonts w:ascii="Palatino Linotype" w:hAnsi="Palatino Linotype" w:cs="Arial"/>
        </w:rPr>
        <w:t xml:space="preserve">que la condonación se deduce como </w:t>
      </w:r>
      <w:r w:rsidR="00094145" w:rsidRPr="00D623DC">
        <w:rPr>
          <w:rFonts w:ascii="Palatino Linotype" w:hAnsi="Palatino Linotype" w:cs="Arial"/>
        </w:rPr>
        <w:t xml:space="preserve">la </w:t>
      </w:r>
      <w:r w:rsidR="000405CA" w:rsidRPr="00D623DC">
        <w:rPr>
          <w:rFonts w:ascii="Palatino Linotype" w:hAnsi="Palatino Linotype" w:cs="Arial"/>
        </w:rPr>
        <w:t>liberación de la deuda, otorgada gratuitamente por el acreedor a favor del deudor</w:t>
      </w:r>
      <w:r w:rsidR="00094145" w:rsidRPr="00D623DC">
        <w:rPr>
          <w:rFonts w:ascii="Palatino Linotype" w:hAnsi="Palatino Linotype" w:cs="Arial"/>
        </w:rPr>
        <w:t xml:space="preserve">, </w:t>
      </w:r>
      <w:r w:rsidR="009B0107" w:rsidRPr="00D623DC">
        <w:rPr>
          <w:rFonts w:ascii="Palatino Linotype" w:hAnsi="Palatino Linotype" w:cs="Arial"/>
        </w:rPr>
        <w:t xml:space="preserve">siendo aplicable lo establecido en el Capítulo XIV, artículo 120 del Bando de policía y gobierno 2022 del Ayuntamiento de </w:t>
      </w:r>
      <w:r w:rsidR="009B0107" w:rsidRPr="00D623DC">
        <w:rPr>
          <w:rFonts w:ascii="Palatino Linotype" w:hAnsi="Palatino Linotype"/>
          <w:bCs/>
          <w:color w:val="000000"/>
        </w:rPr>
        <w:t xml:space="preserve">Cuautitlán, </w:t>
      </w:r>
      <w:r w:rsidRPr="00D623DC">
        <w:rPr>
          <w:rFonts w:ascii="Palatino Linotype" w:hAnsi="Palatino Linotype"/>
          <w:bCs/>
          <w:color w:val="000000"/>
        </w:rPr>
        <w:t>a saber</w:t>
      </w:r>
      <w:r w:rsidR="009B0107" w:rsidRPr="00D623DC">
        <w:rPr>
          <w:rFonts w:ascii="Palatino Linotype" w:hAnsi="Palatino Linotype"/>
          <w:bCs/>
          <w:color w:val="000000"/>
        </w:rPr>
        <w:t xml:space="preserve">: </w:t>
      </w:r>
    </w:p>
    <w:p w14:paraId="4D4D2C52" w14:textId="77777777" w:rsidR="009B0107" w:rsidRPr="00D623DC" w:rsidRDefault="009B0107" w:rsidP="00487BE9">
      <w:pPr>
        <w:pStyle w:val="Prrafodelista"/>
        <w:spacing w:line="360" w:lineRule="auto"/>
        <w:rPr>
          <w:rFonts w:ascii="Palatino Linotype" w:hAnsi="Palatino Linotype"/>
        </w:rPr>
      </w:pPr>
    </w:p>
    <w:p w14:paraId="24AA2BB2" w14:textId="77777777" w:rsidR="009B0107" w:rsidRPr="00D623DC" w:rsidRDefault="009B0107" w:rsidP="00487BE9">
      <w:pPr>
        <w:pStyle w:val="Prrafodelista"/>
        <w:tabs>
          <w:tab w:val="left" w:pos="567"/>
        </w:tabs>
        <w:spacing w:line="360" w:lineRule="auto"/>
        <w:ind w:left="567" w:right="900"/>
        <w:jc w:val="center"/>
        <w:rPr>
          <w:rFonts w:ascii="Palatino Linotype" w:hAnsi="Palatino Linotype"/>
          <w:b/>
          <w:i/>
        </w:rPr>
      </w:pPr>
      <w:r w:rsidRPr="00D623DC">
        <w:rPr>
          <w:rFonts w:ascii="Palatino Linotype" w:hAnsi="Palatino Linotype"/>
          <w:b/>
          <w:i/>
        </w:rPr>
        <w:t>“Capítulo XIV</w:t>
      </w:r>
    </w:p>
    <w:p w14:paraId="2F5B0057" w14:textId="77777777" w:rsidR="009B0107" w:rsidRPr="00D623DC" w:rsidRDefault="009B0107" w:rsidP="00487BE9">
      <w:pPr>
        <w:pStyle w:val="Prrafodelista"/>
        <w:tabs>
          <w:tab w:val="left" w:pos="567"/>
        </w:tabs>
        <w:spacing w:line="360" w:lineRule="auto"/>
        <w:ind w:left="567" w:right="900"/>
        <w:jc w:val="center"/>
        <w:rPr>
          <w:rFonts w:ascii="Palatino Linotype" w:hAnsi="Palatino Linotype"/>
          <w:b/>
          <w:i/>
        </w:rPr>
      </w:pPr>
      <w:r w:rsidRPr="00D623DC">
        <w:rPr>
          <w:rFonts w:ascii="Palatino Linotype" w:hAnsi="Palatino Linotype"/>
          <w:b/>
          <w:i/>
        </w:rPr>
        <w:t>De la Dirección de Servicios Público</w:t>
      </w:r>
    </w:p>
    <w:p w14:paraId="5128D7AE" w14:textId="77777777" w:rsidR="009B0107" w:rsidRPr="00D623DC" w:rsidRDefault="009B0107" w:rsidP="00487BE9">
      <w:pPr>
        <w:pStyle w:val="Prrafodelista"/>
        <w:tabs>
          <w:tab w:val="left" w:pos="567"/>
        </w:tabs>
        <w:spacing w:line="360" w:lineRule="auto"/>
        <w:ind w:left="567" w:right="900"/>
        <w:jc w:val="both"/>
        <w:rPr>
          <w:rFonts w:ascii="Palatino Linotype" w:hAnsi="Palatino Linotype"/>
          <w:i/>
        </w:rPr>
      </w:pPr>
    </w:p>
    <w:p w14:paraId="26E71264" w14:textId="77777777" w:rsidR="009B0107" w:rsidRPr="00D623DC" w:rsidRDefault="009B0107" w:rsidP="00487BE9">
      <w:pPr>
        <w:pStyle w:val="Prrafodelista"/>
        <w:tabs>
          <w:tab w:val="left" w:pos="567"/>
        </w:tabs>
        <w:spacing w:line="360" w:lineRule="auto"/>
        <w:ind w:left="567" w:right="900"/>
        <w:jc w:val="both"/>
        <w:rPr>
          <w:rFonts w:ascii="Palatino Linotype" w:hAnsi="Palatino Linotype"/>
          <w:i/>
        </w:rPr>
      </w:pPr>
      <w:r w:rsidRPr="00D623DC">
        <w:rPr>
          <w:rFonts w:ascii="Palatino Linotype" w:hAnsi="Palatino Linotype"/>
          <w:i/>
        </w:rPr>
        <w:t>Artículo 120. Corresponde a la Dirección de Servicios Públicos, todas las actividades inherentes a los servicios públicos que requiere el Municipio en beneficio de la colectividad, mejorando las acciones y dando seguimiento a las actividades que se realizan en respuesta a las solicitudes</w:t>
      </w:r>
      <w:r w:rsidRPr="00D623DC">
        <w:rPr>
          <w:rFonts w:ascii="Palatino Linotype" w:hAnsi="Palatino Linotype"/>
          <w:b/>
          <w:i/>
        </w:rPr>
        <w:t>, apoyos</w:t>
      </w:r>
      <w:r w:rsidRPr="00D623DC">
        <w:rPr>
          <w:rFonts w:ascii="Palatino Linotype" w:hAnsi="Palatino Linotype"/>
          <w:i/>
        </w:rPr>
        <w:t xml:space="preserve"> y mantenimiento.”</w:t>
      </w:r>
    </w:p>
    <w:p w14:paraId="09B95A8D" w14:textId="77777777" w:rsidR="009B0107" w:rsidRPr="00D623DC" w:rsidRDefault="009B0107" w:rsidP="00487BE9">
      <w:pPr>
        <w:pStyle w:val="Prrafodelista"/>
        <w:tabs>
          <w:tab w:val="left" w:pos="851"/>
        </w:tabs>
        <w:spacing w:line="360" w:lineRule="auto"/>
        <w:ind w:left="0" w:right="49"/>
        <w:jc w:val="both"/>
        <w:rPr>
          <w:rFonts w:ascii="Palatino Linotype" w:hAnsi="Palatino Linotype"/>
          <w:lang w:val="es-ES"/>
        </w:rPr>
      </w:pPr>
    </w:p>
    <w:p w14:paraId="26D38CFF" w14:textId="77777777" w:rsidR="00CF64FC" w:rsidRPr="00D623DC" w:rsidRDefault="00E7617F"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Tahoma"/>
          <w:iCs/>
          <w:color w:val="000000" w:themeColor="text1"/>
          <w:lang w:val="es-ES" w:eastAsia="es-ES_tradnl"/>
        </w:rPr>
        <w:t>Del artícu</w:t>
      </w:r>
      <w:r w:rsidR="00CF64FC" w:rsidRPr="00D623DC">
        <w:rPr>
          <w:rFonts w:ascii="Palatino Linotype" w:hAnsi="Palatino Linotype" w:cs="Tahoma"/>
          <w:iCs/>
          <w:color w:val="000000" w:themeColor="text1"/>
          <w:lang w:val="es-ES" w:eastAsia="es-ES_tradnl"/>
        </w:rPr>
        <w:t xml:space="preserve">lo en cita, se desprende que la Dirección de Servicios Públicos </w:t>
      </w:r>
      <w:r w:rsidRPr="00D623DC">
        <w:rPr>
          <w:rFonts w:ascii="Palatino Linotype" w:hAnsi="Palatino Linotype" w:cs="Tahoma"/>
          <w:iCs/>
          <w:color w:val="000000" w:themeColor="text1"/>
          <w:lang w:val="es-ES" w:eastAsia="es-ES_tradnl"/>
        </w:rPr>
        <w:t>debe, entre otras</w:t>
      </w:r>
      <w:r w:rsidR="00CF64FC" w:rsidRPr="00D623DC">
        <w:rPr>
          <w:rFonts w:ascii="Palatino Linotype" w:hAnsi="Palatino Linotype" w:cs="Tahoma"/>
          <w:iCs/>
          <w:color w:val="000000" w:themeColor="text1"/>
          <w:lang w:val="es-ES" w:eastAsia="es-ES_tradnl"/>
        </w:rPr>
        <w:t xml:space="preserve"> cosas, dar seguimiento a las actividades que se realizan en respuesta a los </w:t>
      </w:r>
      <w:r w:rsidR="00CF64FC" w:rsidRPr="00D623DC">
        <w:rPr>
          <w:rFonts w:ascii="Palatino Linotype" w:hAnsi="Palatino Linotype" w:cs="Tahoma"/>
          <w:b/>
          <w:iCs/>
          <w:color w:val="000000" w:themeColor="text1"/>
          <w:lang w:val="es-ES" w:eastAsia="es-ES_tradnl"/>
        </w:rPr>
        <w:t>apoyos</w:t>
      </w:r>
      <w:r w:rsidR="00CF64FC" w:rsidRPr="00D623DC">
        <w:rPr>
          <w:rFonts w:ascii="Palatino Linotype" w:hAnsi="Palatino Linotype" w:cs="Tahoma"/>
          <w:iCs/>
          <w:color w:val="000000" w:themeColor="text1"/>
          <w:lang w:val="es-ES" w:eastAsia="es-ES_tradnl"/>
        </w:rPr>
        <w:t xml:space="preserve"> así </w:t>
      </w:r>
      <w:r w:rsidRPr="00D623DC">
        <w:rPr>
          <w:rFonts w:ascii="Palatino Linotype" w:hAnsi="Palatino Linotype" w:cs="Tahoma"/>
          <w:iCs/>
          <w:color w:val="000000" w:themeColor="text1"/>
          <w:lang w:val="es-ES" w:eastAsia="es-ES_tradnl"/>
        </w:rPr>
        <w:t xml:space="preserve">pues, en ejercicio de las funciones con las que cuenta el </w:t>
      </w:r>
      <w:r w:rsidR="00CF64FC" w:rsidRPr="00D623DC">
        <w:rPr>
          <w:rFonts w:ascii="Palatino Linotype" w:hAnsi="Palatino Linotype" w:cs="Tahoma"/>
          <w:b/>
          <w:iCs/>
          <w:color w:val="000000" w:themeColor="text1"/>
          <w:lang w:val="es-ES" w:eastAsia="es-ES_tradnl"/>
        </w:rPr>
        <w:t>SUJETO OBLIGADO</w:t>
      </w:r>
      <w:r w:rsidRPr="00D623DC">
        <w:rPr>
          <w:rFonts w:ascii="Palatino Linotype" w:hAnsi="Palatino Linotype" w:cs="Tahoma"/>
          <w:iCs/>
          <w:color w:val="000000" w:themeColor="text1"/>
          <w:lang w:val="es-ES" w:eastAsia="es-ES_tradnl"/>
        </w:rPr>
        <w:t>, se aprecia que puede contar con información relacionada con la condonación o excepciones de pago de algún servicio a favor de personas.</w:t>
      </w:r>
    </w:p>
    <w:p w14:paraId="1CD4C7D7" w14:textId="77777777" w:rsidR="00E7617F" w:rsidRPr="00D623DC" w:rsidRDefault="00E7617F"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Tahoma"/>
          <w:iCs/>
          <w:color w:val="000000" w:themeColor="text1"/>
          <w:lang w:val="es-ES" w:eastAsia="es-ES_tradnl"/>
        </w:rPr>
        <w:t xml:space="preserve">Es importante señalar que el nombre y monto de las condonaciones que se realizaron, corresponde a información de carácter pública, de conformidad con lo </w:t>
      </w:r>
      <w:r w:rsidRPr="00D623DC">
        <w:rPr>
          <w:rFonts w:ascii="Palatino Linotype" w:hAnsi="Palatino Linotype" w:cs="Tahoma"/>
          <w:iCs/>
          <w:color w:val="000000" w:themeColor="text1"/>
          <w:lang w:val="es-ES" w:eastAsia="es-ES_tradnl"/>
        </w:rPr>
        <w:lastRenderedPageBreak/>
        <w:t>dispuesto en los artículos 92, fracción XIV, inciso p)</w:t>
      </w:r>
      <w:r w:rsidR="00C17EB8" w:rsidRPr="00D623DC">
        <w:rPr>
          <w:rFonts w:ascii="Palatino Linotype" w:hAnsi="Palatino Linotype" w:cs="Tahoma"/>
          <w:iCs/>
          <w:color w:val="000000" w:themeColor="text1"/>
          <w:lang w:val="es-ES" w:eastAsia="es-ES_tradnl"/>
        </w:rPr>
        <w:t xml:space="preserve"> y XLVII;</w:t>
      </w:r>
      <w:r w:rsidRPr="00D623DC">
        <w:rPr>
          <w:rFonts w:ascii="Palatino Linotype" w:hAnsi="Palatino Linotype" w:cs="Tahoma"/>
          <w:iCs/>
          <w:color w:val="000000" w:themeColor="text1"/>
          <w:lang w:val="es-ES" w:eastAsia="es-ES_tradnl"/>
        </w:rPr>
        <w:t xml:space="preserve"> y 94 fracción I, inciso d) de la Ley de Transparencia y Acceso a la Información Pública del Estado de México y Municipios, que a la letra disponen:</w:t>
      </w:r>
    </w:p>
    <w:p w14:paraId="2A03353C" w14:textId="77777777" w:rsidR="00E7617F" w:rsidRPr="00D623DC" w:rsidRDefault="00E7617F" w:rsidP="00487BE9">
      <w:pPr>
        <w:spacing w:line="360" w:lineRule="auto"/>
        <w:ind w:left="567" w:right="900"/>
        <w:contextualSpacing/>
        <w:jc w:val="both"/>
        <w:rPr>
          <w:rFonts w:ascii="Palatino Linotype" w:hAnsi="Palatino Linotype" w:cs="Tahoma"/>
          <w:iCs/>
          <w:color w:val="000000" w:themeColor="text1"/>
          <w:lang w:val="es-ES" w:eastAsia="es-ES_tradnl"/>
        </w:rPr>
      </w:pPr>
    </w:p>
    <w:p w14:paraId="581E0621"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b/>
          <w:i/>
          <w:iCs/>
          <w:color w:val="000000" w:themeColor="text1"/>
          <w:lang w:val="es-ES" w:eastAsia="es-ES_tradnl"/>
        </w:rPr>
        <w:t>“Artículo 92.</w:t>
      </w:r>
      <w:r w:rsidRPr="00D623DC">
        <w:rPr>
          <w:rFonts w:ascii="Palatino Linotype" w:hAnsi="Palatino Linotype" w:cs="Tahoma"/>
          <w:i/>
          <w:iCs/>
          <w:color w:val="000000" w:themeColor="text1"/>
          <w:lang w:val="es-ES"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DDF6D5"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i/>
          <w:iCs/>
          <w:color w:val="000000" w:themeColor="text1"/>
          <w:lang w:val="es-ES" w:eastAsia="es-ES_tradnl"/>
        </w:rPr>
        <w:t>(…)</w:t>
      </w:r>
    </w:p>
    <w:p w14:paraId="685310DC"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b/>
          <w:i/>
          <w:iCs/>
          <w:color w:val="000000" w:themeColor="text1"/>
          <w:u w:val="single"/>
          <w:lang w:val="es-ES" w:eastAsia="es-ES_tradnl"/>
        </w:rPr>
        <w:t>XIV. La información de los programas de subsidios, estímulos y apoyos</w:t>
      </w:r>
      <w:r w:rsidRPr="00D623DC">
        <w:rPr>
          <w:rFonts w:ascii="Palatino Linotype" w:hAnsi="Palatino Linotype" w:cs="Tahoma"/>
          <w:b/>
          <w:i/>
          <w:iCs/>
          <w:color w:val="000000" w:themeColor="text1"/>
          <w:lang w:val="es-ES" w:eastAsia="es-ES_tradnl"/>
        </w:rPr>
        <w:t xml:space="preserve">, </w:t>
      </w:r>
      <w:r w:rsidRPr="00D623DC">
        <w:rPr>
          <w:rFonts w:ascii="Palatino Linotype" w:hAnsi="Palatino Linotype" w:cs="Tahoma"/>
          <w:i/>
          <w:iCs/>
          <w:color w:val="000000" w:themeColor="text1"/>
          <w:lang w:val="es-ES" w:eastAsia="es-ES_tradnl"/>
        </w:rPr>
        <w:t>en el que se deberá informar respecto de los programas de transferencia, de servicios, de infraestructura social y de subsidio, en los que se deberá contener lo siguiente:</w:t>
      </w:r>
    </w:p>
    <w:p w14:paraId="55BAACB3"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i/>
          <w:iCs/>
          <w:color w:val="000000" w:themeColor="text1"/>
          <w:lang w:val="es-ES" w:eastAsia="es-ES_tradnl"/>
        </w:rPr>
        <w:t>(…)</w:t>
      </w:r>
    </w:p>
    <w:p w14:paraId="758034A1"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i/>
          <w:iCs/>
          <w:color w:val="000000" w:themeColor="text1"/>
          <w:lang w:val="es-ES" w:eastAsia="es-ES_tradnl"/>
        </w:rPr>
        <w:t>p</w:t>
      </w:r>
      <w:r w:rsidRPr="00D623DC">
        <w:rPr>
          <w:rFonts w:ascii="Palatino Linotype" w:hAnsi="Palatino Linotype" w:cs="Tahoma"/>
          <w:b/>
          <w:i/>
          <w:iCs/>
          <w:color w:val="000000" w:themeColor="text1"/>
          <w:lang w:val="es-ES" w:eastAsia="es-ES_tradnl"/>
        </w:rPr>
        <w:t>) Padrón de beneficiarios mismo que deberá contener los siguientes datos: nombre de la persona</w:t>
      </w:r>
      <w:r w:rsidRPr="00D623DC">
        <w:rPr>
          <w:rFonts w:ascii="Palatino Linotype" w:hAnsi="Palatino Linotype" w:cs="Tahoma"/>
          <w:i/>
          <w:iCs/>
          <w:color w:val="000000" w:themeColor="text1"/>
          <w:lang w:val="es-ES" w:eastAsia="es-ES_tradnl"/>
        </w:rPr>
        <w:t xml:space="preserve"> física o denominación social de las personas jurídicas colectivas beneficiadas, </w:t>
      </w:r>
      <w:r w:rsidRPr="00D623DC">
        <w:rPr>
          <w:rFonts w:ascii="Palatino Linotype" w:hAnsi="Palatino Linotype" w:cs="Tahoma"/>
          <w:b/>
          <w:i/>
          <w:iCs/>
          <w:color w:val="000000" w:themeColor="text1"/>
          <w:lang w:val="es-ES" w:eastAsia="es-ES_tradnl"/>
        </w:rPr>
        <w:t>el monto,</w:t>
      </w:r>
      <w:r w:rsidRPr="00D623DC">
        <w:rPr>
          <w:rFonts w:ascii="Palatino Linotype" w:hAnsi="Palatino Linotype" w:cs="Tahoma"/>
          <w:i/>
          <w:iCs/>
          <w:color w:val="000000" w:themeColor="text1"/>
          <w:lang w:val="es-ES" w:eastAsia="es-ES_tradnl"/>
        </w:rPr>
        <w:t xml:space="preserve"> recurso, beneficio o apoyo otorgado para cada una de ellas, unidad territorial, en su caso, edad y sexo.</w:t>
      </w:r>
    </w:p>
    <w:p w14:paraId="526FEA04" w14:textId="77777777" w:rsidR="00C17EB8" w:rsidRPr="00D623DC" w:rsidRDefault="00C17EB8" w:rsidP="00487BE9">
      <w:pPr>
        <w:spacing w:line="360" w:lineRule="auto"/>
        <w:ind w:left="850" w:right="900"/>
        <w:contextualSpacing/>
        <w:jc w:val="both"/>
        <w:rPr>
          <w:rFonts w:ascii="Palatino Linotype" w:hAnsi="Palatino Linotype" w:cs="Tahoma"/>
          <w:i/>
          <w:iCs/>
          <w:color w:val="000000" w:themeColor="text1"/>
          <w:lang w:val="es-ES" w:eastAsia="es-ES_tradnl"/>
        </w:rPr>
      </w:pPr>
    </w:p>
    <w:p w14:paraId="2A717A17" w14:textId="77777777" w:rsidR="00E7617F" w:rsidRPr="00D623DC" w:rsidRDefault="00C17EB8" w:rsidP="00487BE9">
      <w:pPr>
        <w:spacing w:line="360" w:lineRule="auto"/>
        <w:ind w:left="851" w:right="900"/>
        <w:jc w:val="both"/>
        <w:rPr>
          <w:rFonts w:ascii="Palatino Linotype" w:hAnsi="Palatino Linotype" w:cs="Arial"/>
          <w:i/>
        </w:rPr>
      </w:pPr>
      <w:r w:rsidRPr="00D623DC">
        <w:rPr>
          <w:rFonts w:ascii="Palatino Linotype" w:hAnsi="Palatino Linotype" w:cs="Arial"/>
          <w:i/>
        </w:rPr>
        <w:t xml:space="preserve">XLVII. Los ingresos recibidos por cualquier concepto señalando el nombre de los responsables de recibirlos, administrarlos y ejercerlos, indicando el destino de cada uno de ellos; </w:t>
      </w:r>
    </w:p>
    <w:p w14:paraId="5E6587A4" w14:textId="77777777" w:rsidR="00C17EB8" w:rsidRPr="00D623DC" w:rsidRDefault="00C17EB8" w:rsidP="00487BE9">
      <w:pPr>
        <w:spacing w:line="360" w:lineRule="auto"/>
        <w:ind w:left="851" w:right="900"/>
        <w:jc w:val="both"/>
        <w:rPr>
          <w:rFonts w:ascii="Palatino Linotype" w:hAnsi="Palatino Linotype" w:cs="Arial"/>
          <w:i/>
        </w:rPr>
      </w:pPr>
      <w:r w:rsidRPr="00D623DC">
        <w:rPr>
          <w:rFonts w:ascii="Palatino Linotype" w:hAnsi="Palatino Linotype" w:cs="Arial"/>
          <w:i/>
        </w:rPr>
        <w:t>(…)</w:t>
      </w:r>
    </w:p>
    <w:p w14:paraId="78117CC3" w14:textId="77777777" w:rsidR="001D0A69" w:rsidRPr="00D623DC" w:rsidRDefault="001D0A69" w:rsidP="00487BE9">
      <w:pPr>
        <w:spacing w:line="360" w:lineRule="auto"/>
        <w:ind w:left="851" w:right="900"/>
        <w:jc w:val="both"/>
        <w:rPr>
          <w:rFonts w:ascii="Palatino Linotype" w:hAnsi="Palatino Linotype" w:cs="Arial"/>
          <w:i/>
        </w:rPr>
      </w:pPr>
    </w:p>
    <w:p w14:paraId="51EC2B0B"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b/>
          <w:i/>
          <w:iCs/>
          <w:color w:val="000000" w:themeColor="text1"/>
          <w:lang w:val="es-ES" w:eastAsia="es-ES_tradnl"/>
        </w:rPr>
        <w:t>Artículo 94.</w:t>
      </w:r>
      <w:r w:rsidRPr="00D623DC">
        <w:rPr>
          <w:rFonts w:ascii="Palatino Linotype" w:hAnsi="Palatino Linotype" w:cs="Tahoma"/>
          <w:i/>
          <w:iCs/>
          <w:color w:val="000000" w:themeColor="text1"/>
          <w:lang w:val="es-ES" w:eastAsia="es-ES_tradnl"/>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6C3C158B"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p>
    <w:p w14:paraId="58135973"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i/>
          <w:iCs/>
          <w:color w:val="000000" w:themeColor="text1"/>
          <w:lang w:val="es-ES" w:eastAsia="es-ES_tradnl"/>
        </w:rPr>
        <w:t xml:space="preserve">I. En el caso del Poder Ejecutivo y </w:t>
      </w:r>
      <w:r w:rsidRPr="00D623DC">
        <w:rPr>
          <w:rFonts w:ascii="Palatino Linotype" w:hAnsi="Palatino Linotype" w:cs="Tahoma"/>
          <w:b/>
          <w:i/>
          <w:iCs/>
          <w:color w:val="000000" w:themeColor="text1"/>
          <w:lang w:val="es-ES" w:eastAsia="es-ES_tradnl"/>
        </w:rPr>
        <w:t>los Municipios, en el ámbito de su competencia</w:t>
      </w:r>
      <w:r w:rsidRPr="00D623DC">
        <w:rPr>
          <w:rFonts w:ascii="Palatino Linotype" w:hAnsi="Palatino Linotype" w:cs="Tahoma"/>
          <w:i/>
          <w:iCs/>
          <w:color w:val="000000" w:themeColor="text1"/>
          <w:lang w:val="es-ES" w:eastAsia="es-ES_tradnl"/>
        </w:rPr>
        <w:t xml:space="preserve">: </w:t>
      </w:r>
    </w:p>
    <w:p w14:paraId="795B769A"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i/>
          <w:iCs/>
          <w:color w:val="000000" w:themeColor="text1"/>
          <w:lang w:val="es-ES" w:eastAsia="es-ES_tradnl"/>
        </w:rPr>
        <w:t>(…)</w:t>
      </w:r>
    </w:p>
    <w:p w14:paraId="44E1EC61" w14:textId="77777777" w:rsidR="00E7617F"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cs="Tahoma"/>
          <w:b/>
          <w:i/>
          <w:iCs/>
          <w:color w:val="000000" w:themeColor="text1"/>
          <w:lang w:val="es-ES" w:eastAsia="es-ES_tradnl"/>
        </w:rPr>
        <w:t>d) El nombre, denominación o razón social y clave del registro federal de los contribuyentes a los que se les hubiera cancelado o condonado algún crédito fiscal local o municipal, así como los montos respectivos</w:t>
      </w:r>
      <w:r w:rsidRPr="00D623DC">
        <w:rPr>
          <w:rFonts w:ascii="Palatino Linotype" w:hAnsi="Palatino Linotype" w:cs="Tahoma"/>
          <w:i/>
          <w:iCs/>
          <w:color w:val="000000" w:themeColor="text1"/>
          <w:lang w:val="es-ES" w:eastAsia="es-ES_tradnl"/>
        </w:rPr>
        <w:t xml:space="preserve">. Asimismo, la información estadística sobre las exenciones previstas en las disposiciones fiscales; </w:t>
      </w:r>
    </w:p>
    <w:p w14:paraId="2A361796" w14:textId="77777777" w:rsidR="00C17EB8" w:rsidRPr="00D623DC" w:rsidRDefault="00E7617F" w:rsidP="00487BE9">
      <w:pPr>
        <w:spacing w:line="360" w:lineRule="auto"/>
        <w:ind w:left="850" w:right="900"/>
        <w:contextualSpacing/>
        <w:jc w:val="both"/>
        <w:rPr>
          <w:rFonts w:ascii="Palatino Linotype" w:hAnsi="Palatino Linotype" w:cs="Tahoma"/>
          <w:i/>
          <w:iCs/>
          <w:color w:val="000000" w:themeColor="text1"/>
          <w:lang w:val="es-ES" w:eastAsia="es-ES_tradnl"/>
        </w:rPr>
      </w:pPr>
      <w:r w:rsidRPr="00D623DC">
        <w:rPr>
          <w:rFonts w:ascii="Palatino Linotype" w:hAnsi="Palatino Linotype"/>
          <w:i/>
        </w:rPr>
        <w:t>(…)</w:t>
      </w:r>
      <w:r w:rsidRPr="00D623DC">
        <w:rPr>
          <w:rFonts w:ascii="Palatino Linotype" w:hAnsi="Palatino Linotype" w:cs="Tahoma"/>
          <w:i/>
          <w:iCs/>
          <w:color w:val="000000" w:themeColor="text1"/>
          <w:lang w:val="es-ES" w:eastAsia="es-ES_tradnl"/>
        </w:rPr>
        <w:t>”</w:t>
      </w:r>
    </w:p>
    <w:p w14:paraId="7833A0DE" w14:textId="77777777" w:rsidR="00C17EB8" w:rsidRPr="00D623DC" w:rsidRDefault="00C17EB8" w:rsidP="00487BE9">
      <w:pPr>
        <w:spacing w:line="360" w:lineRule="auto"/>
        <w:ind w:left="850" w:right="900"/>
        <w:contextualSpacing/>
        <w:jc w:val="both"/>
        <w:rPr>
          <w:rFonts w:ascii="Palatino Linotype" w:eastAsia="Calibri" w:hAnsi="Palatino Linotype" w:cs="Tahoma"/>
          <w:b/>
          <w:bCs/>
          <w:lang w:val="es-ES" w:eastAsia="en-US"/>
        </w:rPr>
      </w:pPr>
    </w:p>
    <w:p w14:paraId="6FAF5A82" w14:textId="77777777" w:rsidR="00480463" w:rsidRPr="00D623DC" w:rsidRDefault="00E7617F" w:rsidP="00487BE9">
      <w:pPr>
        <w:spacing w:line="360" w:lineRule="auto"/>
        <w:ind w:left="850" w:right="900"/>
        <w:contextualSpacing/>
        <w:jc w:val="both"/>
        <w:rPr>
          <w:rFonts w:ascii="Palatino Linotype" w:eastAsia="Calibri" w:hAnsi="Palatino Linotype" w:cs="Tahoma"/>
          <w:b/>
          <w:bCs/>
          <w:lang w:val="es-ES" w:eastAsia="en-US"/>
        </w:rPr>
      </w:pPr>
      <w:r w:rsidRPr="00D623DC">
        <w:rPr>
          <w:rFonts w:ascii="Palatino Linotype" w:eastAsia="Calibri" w:hAnsi="Palatino Linotype" w:cs="Tahoma"/>
          <w:b/>
          <w:bCs/>
          <w:lang w:val="es-ES" w:eastAsia="en-US"/>
        </w:rPr>
        <w:t>(Énfasis añadido)</w:t>
      </w:r>
    </w:p>
    <w:p w14:paraId="353022CA" w14:textId="77777777" w:rsidR="00480463" w:rsidRPr="00D623DC" w:rsidRDefault="00480463" w:rsidP="00487BE9">
      <w:pPr>
        <w:spacing w:line="360" w:lineRule="auto"/>
        <w:ind w:left="850" w:right="900"/>
        <w:contextualSpacing/>
        <w:jc w:val="both"/>
        <w:rPr>
          <w:rFonts w:ascii="Palatino Linotype" w:hAnsi="Palatino Linotype" w:cs="Tahoma"/>
          <w:i/>
          <w:iCs/>
          <w:color w:val="000000" w:themeColor="text1"/>
          <w:lang w:val="es-ES" w:eastAsia="es-ES_tradnl"/>
        </w:rPr>
      </w:pPr>
    </w:p>
    <w:p w14:paraId="12B37913" w14:textId="77777777" w:rsidR="00480463" w:rsidRPr="00D623DC" w:rsidRDefault="00480463"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Por su parte, la Ley General de Transparencia y Acceso a la Información Pública en el artículo 70, fracción XV establece lo siguiente:</w:t>
      </w:r>
    </w:p>
    <w:p w14:paraId="0A3891A4" w14:textId="77777777" w:rsidR="00480463" w:rsidRPr="00D623DC" w:rsidRDefault="00480463" w:rsidP="00487BE9">
      <w:pPr>
        <w:spacing w:line="360" w:lineRule="auto"/>
        <w:jc w:val="both"/>
        <w:rPr>
          <w:rFonts w:ascii="Palatino Linotype" w:hAnsi="Palatino Linotype" w:cs="Arial"/>
        </w:rPr>
      </w:pPr>
    </w:p>
    <w:p w14:paraId="3737FBD9" w14:textId="77777777" w:rsidR="00480463" w:rsidRPr="00D623DC" w:rsidRDefault="00480463" w:rsidP="00487BE9">
      <w:pPr>
        <w:spacing w:line="360" w:lineRule="auto"/>
        <w:ind w:left="567" w:right="822"/>
        <w:jc w:val="both"/>
        <w:rPr>
          <w:rFonts w:ascii="Palatino Linotype" w:hAnsi="Palatino Linotype" w:cs="Arial"/>
          <w:i/>
        </w:rPr>
      </w:pPr>
      <w:r w:rsidRPr="00D623DC">
        <w:rPr>
          <w:rFonts w:ascii="Palatino Linotype" w:hAnsi="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w:t>
      </w:r>
      <w:r w:rsidRPr="00D623DC">
        <w:rPr>
          <w:rFonts w:ascii="Palatino Linotype" w:hAnsi="Palatino Linotype"/>
          <w:i/>
        </w:rPr>
        <w:lastRenderedPageBreak/>
        <w:t>información, por lo menos, de los temas, documentos y políticas que a continuación se señalan:</w:t>
      </w:r>
    </w:p>
    <w:p w14:paraId="79C5814E" w14:textId="77777777" w:rsidR="00480463" w:rsidRPr="00D623DC" w:rsidRDefault="00594F05" w:rsidP="00487BE9">
      <w:pPr>
        <w:pStyle w:val="Prrafodelista"/>
        <w:spacing w:line="360" w:lineRule="auto"/>
        <w:ind w:left="567"/>
        <w:jc w:val="both"/>
        <w:rPr>
          <w:rFonts w:ascii="Palatino Linotype" w:hAnsi="Palatino Linotype" w:cs="Arial"/>
        </w:rPr>
      </w:pPr>
      <w:r w:rsidRPr="00D623DC">
        <w:rPr>
          <w:rFonts w:ascii="Palatino Linotype" w:hAnsi="Palatino Linotype" w:cs="Arial"/>
        </w:rPr>
        <w:t>…</w:t>
      </w:r>
    </w:p>
    <w:p w14:paraId="28FE867F"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XV. La información de los programas de subsidios, estímulos y apoyos, en el que se deberá informar respecto de los programas de transferencia, de servicios, de infraestructura social y de subsidio, en los que se deberá contener lo siguiente: </w:t>
      </w:r>
    </w:p>
    <w:p w14:paraId="477A8509"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a) Área; </w:t>
      </w:r>
    </w:p>
    <w:p w14:paraId="424E8E60"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b) Denominación del programa; </w:t>
      </w:r>
    </w:p>
    <w:p w14:paraId="5AB8C620"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c) Periodo de vigencia; </w:t>
      </w:r>
    </w:p>
    <w:p w14:paraId="7D959DE0"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d) Diseño, objetivos y alcances; </w:t>
      </w:r>
    </w:p>
    <w:p w14:paraId="6FD69BEC"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e) Metas físicas; </w:t>
      </w:r>
    </w:p>
    <w:p w14:paraId="1728AF30"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f) Población beneficiada estimada; </w:t>
      </w:r>
    </w:p>
    <w:p w14:paraId="0ED5810F"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g) Monto aprobado, modificado y ejercido, así como los calendarios de su programación presupuestal; </w:t>
      </w:r>
    </w:p>
    <w:p w14:paraId="2FC4CDE7"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h) Requisitos y procedimientos de acceso; </w:t>
      </w:r>
    </w:p>
    <w:p w14:paraId="2C1BEC43"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i) Procedimiento de queja o inconformidad ciudadana;</w:t>
      </w:r>
    </w:p>
    <w:p w14:paraId="46439BE8"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j) Mecanismos de exigibilidad; </w:t>
      </w:r>
    </w:p>
    <w:p w14:paraId="2AC0FDC2"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k) Mecanismos de evaluación, informes de evaluación y seguimiento de recomendaciones; </w:t>
      </w:r>
    </w:p>
    <w:p w14:paraId="48D3B339"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l) Indicadores con nombre, definición, método de cálculo, unidad de medida, dimensión, frecuencia de medición, nombre de las bases de datos utilizadas para su cálculo; </w:t>
      </w:r>
    </w:p>
    <w:p w14:paraId="7C8F70F0"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m) Formas de participación social; </w:t>
      </w:r>
    </w:p>
    <w:p w14:paraId="25ECA239"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n) Articulación con otros programas sociales; </w:t>
      </w:r>
    </w:p>
    <w:p w14:paraId="02182214"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lastRenderedPageBreak/>
        <w:t xml:space="preserve">o) Vínculo a las reglas de operación o Documento equivalente; </w:t>
      </w:r>
    </w:p>
    <w:p w14:paraId="72E003AC" w14:textId="77777777" w:rsidR="00480463" w:rsidRPr="00D623DC" w:rsidRDefault="00480463" w:rsidP="00487BE9">
      <w:pPr>
        <w:pStyle w:val="Prrafodelista"/>
        <w:spacing w:line="360" w:lineRule="auto"/>
        <w:ind w:left="567" w:right="822"/>
        <w:jc w:val="both"/>
        <w:rPr>
          <w:rFonts w:ascii="Palatino Linotype" w:hAnsi="Palatino Linotype"/>
          <w:i/>
        </w:rPr>
      </w:pPr>
      <w:r w:rsidRPr="00D623DC">
        <w:rPr>
          <w:rFonts w:ascii="Palatino Linotype" w:hAnsi="Palatino Linotype"/>
          <w:i/>
        </w:rPr>
        <w:t xml:space="preserve">p) Informes periódicos sobre la ejecución y los resultados de las evaluaciones realizadas, y </w:t>
      </w:r>
    </w:p>
    <w:p w14:paraId="16F9D659" w14:textId="77777777" w:rsidR="00480463" w:rsidRPr="00D623DC" w:rsidRDefault="00480463" w:rsidP="00487BE9">
      <w:pPr>
        <w:pStyle w:val="Prrafodelista"/>
        <w:spacing w:line="360" w:lineRule="auto"/>
        <w:ind w:left="567" w:right="822"/>
        <w:jc w:val="both"/>
        <w:rPr>
          <w:rFonts w:ascii="Palatino Linotype" w:hAnsi="Palatino Linotype" w:cs="Arial"/>
          <w:b/>
          <w:i/>
        </w:rPr>
      </w:pPr>
      <w:r w:rsidRPr="00D623DC">
        <w:rPr>
          <w:rFonts w:ascii="Palatino Linotype" w:hAnsi="Palatino Linotype"/>
          <w:b/>
          <w:i/>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p>
    <w:p w14:paraId="09A0DE4A" w14:textId="77777777" w:rsidR="00480463" w:rsidRPr="00D623DC" w:rsidRDefault="00480463" w:rsidP="00487BE9">
      <w:pPr>
        <w:pStyle w:val="Prrafodelista"/>
        <w:spacing w:line="360" w:lineRule="auto"/>
        <w:ind w:left="0"/>
        <w:jc w:val="both"/>
        <w:rPr>
          <w:rFonts w:ascii="Palatino Linotype" w:hAnsi="Palatino Linotype" w:cs="Arial"/>
        </w:rPr>
      </w:pPr>
    </w:p>
    <w:p w14:paraId="7B7C7B12" w14:textId="77777777" w:rsidR="00480463" w:rsidRPr="00D623DC" w:rsidRDefault="00D92476"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hAnsi="Palatino Linotype" w:cs="Arial"/>
        </w:rPr>
        <w:t>Asimismo,</w:t>
      </w:r>
      <w:r w:rsidR="00594F05" w:rsidRPr="00D623DC">
        <w:rPr>
          <w:rFonts w:ascii="Palatino Linotype" w:hAnsi="Palatino Linotype" w:cs="Arial"/>
        </w:rPr>
        <w:t xml:space="preserve"> l</w:t>
      </w:r>
      <w:r w:rsidR="00480463" w:rsidRPr="00D623DC">
        <w:rPr>
          <w:rFonts w:ascii="Palatino Linotype" w:hAnsi="Palatino Linotype" w:cs="Arial"/>
        </w:rPr>
        <w:t xml:space="preserve">os </w:t>
      </w:r>
      <w:r w:rsidR="00480463" w:rsidRPr="00D623DC">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480463" w:rsidRPr="00D623DC">
        <w:rPr>
          <w:rStyle w:val="Refdenotaalpie"/>
          <w:rFonts w:ascii="Palatino Linotype" w:hAnsi="Palatino Linotype" w:cs="Arial"/>
          <w:i/>
        </w:rPr>
        <w:footnoteReference w:id="1"/>
      </w:r>
      <w:r w:rsidR="00480463" w:rsidRPr="00D623DC">
        <w:rPr>
          <w:rFonts w:ascii="Palatino Linotype" w:hAnsi="Palatino Linotype" w:cs="Arial"/>
        </w:rPr>
        <w:t>al respecto establecen lo siguiente:</w:t>
      </w:r>
    </w:p>
    <w:p w14:paraId="718A5899" w14:textId="77777777" w:rsidR="00480463" w:rsidRPr="00D623DC" w:rsidRDefault="00480463" w:rsidP="00487BE9">
      <w:pPr>
        <w:pStyle w:val="Prrafodelista"/>
        <w:spacing w:line="360" w:lineRule="auto"/>
        <w:ind w:left="0"/>
        <w:jc w:val="both"/>
        <w:rPr>
          <w:rFonts w:ascii="Palatino Linotype" w:hAnsi="Palatino Linotype" w:cs="Arial"/>
        </w:rPr>
      </w:pPr>
    </w:p>
    <w:p w14:paraId="6375D78C"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Por cada programa se publicará en formatos explotables el padrón de participantes o beneficiarios actualizado (salvaguardando los datos personales), e información sobre los recursos económicos o en especie entregados:</w:t>
      </w:r>
    </w:p>
    <w:p w14:paraId="3ADAFA57"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Criterio 51    Hipervínculo al padrón de beneficiarios o participantes. Deberá publicarse en un documento explotable y constituido con los siguientes campos:</w:t>
      </w:r>
    </w:p>
    <w:p w14:paraId="7DC2A555" w14:textId="77777777" w:rsidR="00480463" w:rsidRPr="00D623DC" w:rsidRDefault="00480463" w:rsidP="00487BE9">
      <w:pPr>
        <w:pStyle w:val="Prrafodelista"/>
        <w:spacing w:line="360" w:lineRule="auto"/>
        <w:ind w:left="567" w:right="822"/>
        <w:jc w:val="both"/>
        <w:rPr>
          <w:rFonts w:ascii="Palatino Linotype" w:hAnsi="Palatino Linotype" w:cs="Arial"/>
          <w:b/>
          <w:i/>
        </w:rPr>
      </w:pPr>
      <w:r w:rsidRPr="00D623DC">
        <w:rPr>
          <w:rFonts w:ascii="Palatino Linotype" w:hAnsi="Palatino Linotype" w:cs="Arial"/>
          <w:b/>
          <w:i/>
        </w:rPr>
        <w:lastRenderedPageBreak/>
        <w:t>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otorgue(32)</w:t>
      </w:r>
    </w:p>
    <w:p w14:paraId="2F4DA3E4" w14:textId="77777777" w:rsidR="00480463" w:rsidRPr="00D623DC" w:rsidRDefault="00480463" w:rsidP="00487BE9">
      <w:pPr>
        <w:pStyle w:val="Prrafodelista"/>
        <w:spacing w:line="360" w:lineRule="auto"/>
        <w:ind w:left="567" w:right="822"/>
        <w:jc w:val="both"/>
        <w:rPr>
          <w:rFonts w:ascii="Palatino Linotype" w:hAnsi="Palatino Linotype" w:cs="Arial"/>
          <w:b/>
          <w:i/>
        </w:rPr>
      </w:pPr>
      <w:r w:rsidRPr="00D623DC">
        <w:rPr>
          <w:rFonts w:ascii="Palatino Linotype" w:hAnsi="Palatino Linotype" w:cs="Arial"/>
          <w:b/>
          <w:i/>
        </w:rPr>
        <w:t>Criterio 53    Monto (en pesos), recurso, beneficio o apoyo (en dinero o en especie) otorgado a cada una de las personas físicas, morales o grupos que el sujeto obligado determine</w:t>
      </w:r>
    </w:p>
    <w:p w14:paraId="50953EF7" w14:textId="77777777" w:rsidR="00480463" w:rsidRPr="00D623DC" w:rsidRDefault="00480463" w:rsidP="00487BE9">
      <w:pPr>
        <w:pStyle w:val="Prrafodelista"/>
        <w:spacing w:line="360" w:lineRule="auto"/>
        <w:ind w:left="567" w:right="822"/>
        <w:jc w:val="both"/>
        <w:rPr>
          <w:rFonts w:ascii="Palatino Linotype" w:hAnsi="Palatino Linotype" w:cs="Arial"/>
          <w:b/>
          <w:i/>
        </w:rPr>
      </w:pPr>
      <w:r w:rsidRPr="00D623DC">
        <w:rPr>
          <w:rFonts w:ascii="Palatino Linotype" w:hAnsi="Palatino Linotype" w:cs="Arial"/>
          <w:i/>
        </w:rPr>
        <w:t xml:space="preserve">Se incluirán los siguientes datos, únicamente cuando formen parte de los criterios y requisitos de elegibilidad previstos en los programas de desarrollo social, </w:t>
      </w:r>
      <w:r w:rsidRPr="00D623DC">
        <w:rPr>
          <w:rFonts w:ascii="Palatino Linotype" w:hAnsi="Palatino Linotype" w:cs="Arial"/>
          <w:b/>
          <w:i/>
        </w:rPr>
        <w:t>excepto aquellos casos en el que el beneficiario directo sea un(a) niño(a), adolescente (33) o víctima del delito:</w:t>
      </w:r>
    </w:p>
    <w:p w14:paraId="089D5B1B"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Criterio 54    Unidad territorial (34) (colonia, municipio, delegación, estado y/o país)</w:t>
      </w:r>
    </w:p>
    <w:p w14:paraId="17BCD854"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Criterio 55    Edad (en su caso)</w:t>
      </w:r>
    </w:p>
    <w:p w14:paraId="42C3C6DD"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Criterio 56    Sexo (en su caso)</w:t>
      </w:r>
    </w:p>
    <w:p w14:paraId="6BB0D689"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Respecto a la información estadística de programas que sean abiertos a la población en general y de los cuales no se genere un padrón de beneficiarios, se publicará:</w:t>
      </w:r>
    </w:p>
    <w:p w14:paraId="7A234632" w14:textId="77777777" w:rsidR="00480463" w:rsidRPr="00D623DC" w:rsidRDefault="00480463" w:rsidP="00487BE9">
      <w:pPr>
        <w:pStyle w:val="Prrafodelista"/>
        <w:spacing w:line="360" w:lineRule="auto"/>
        <w:ind w:left="567" w:right="822"/>
        <w:jc w:val="both"/>
        <w:rPr>
          <w:rFonts w:ascii="Palatino Linotype" w:hAnsi="Palatino Linotype" w:cs="Arial"/>
          <w:i/>
        </w:rPr>
      </w:pPr>
      <w:r w:rsidRPr="00D623DC">
        <w:rPr>
          <w:rFonts w:ascii="Palatino Linotype" w:hAnsi="Palatino Linotype" w:cs="Arial"/>
          <w:i/>
        </w:rPr>
        <w:t>Criterio 57    Hipervínculo a información estadística general de las personas beneficiadas por el programa (35)</w:t>
      </w:r>
    </w:p>
    <w:p w14:paraId="3648D2E4" w14:textId="77777777" w:rsidR="00480463" w:rsidRPr="00D623DC" w:rsidRDefault="00480463" w:rsidP="00487BE9">
      <w:pPr>
        <w:pStyle w:val="Prrafodelista"/>
        <w:spacing w:line="360" w:lineRule="auto"/>
        <w:ind w:left="0"/>
        <w:jc w:val="both"/>
        <w:rPr>
          <w:rFonts w:ascii="Palatino Linotype" w:hAnsi="Palatino Linotype" w:cs="Arial"/>
        </w:rPr>
      </w:pPr>
    </w:p>
    <w:p w14:paraId="22CF4FDE" w14:textId="77777777" w:rsidR="00480463" w:rsidRPr="00D623DC" w:rsidRDefault="00D92476"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t>Por otro lado</w:t>
      </w:r>
      <w:r w:rsidR="00480463" w:rsidRPr="00D623DC">
        <w:rPr>
          <w:rFonts w:ascii="Palatino Linotype" w:hAnsi="Palatino Linotype" w:cs="Arial"/>
        </w:rPr>
        <w:t xml:space="preserve">, proporciona el formato 15 b LGT_Art_70_Fr_XV, </w:t>
      </w:r>
      <w:r w:rsidR="00594F05" w:rsidRPr="00D623DC">
        <w:rPr>
          <w:rFonts w:ascii="Palatino Linotype" w:hAnsi="Palatino Linotype" w:cs="Arial"/>
        </w:rPr>
        <w:t>que se encuentra conformado de la siguiente manera</w:t>
      </w:r>
      <w:r w:rsidR="00480463" w:rsidRPr="00D623DC">
        <w:rPr>
          <w:rFonts w:ascii="Palatino Linotype" w:hAnsi="Palatino Linotype" w:cs="Arial"/>
        </w:rPr>
        <w:t>:</w:t>
      </w:r>
    </w:p>
    <w:p w14:paraId="0637C5BA" w14:textId="77777777" w:rsidR="00480463" w:rsidRPr="00D623DC" w:rsidRDefault="00480463" w:rsidP="00487BE9">
      <w:pPr>
        <w:pStyle w:val="Prrafodelista"/>
        <w:spacing w:line="360" w:lineRule="auto"/>
        <w:ind w:left="0"/>
        <w:jc w:val="both"/>
        <w:rPr>
          <w:rFonts w:ascii="Palatino Linotype" w:hAnsi="Palatino Linotype" w:cs="Arial"/>
        </w:rPr>
      </w:pPr>
    </w:p>
    <w:p w14:paraId="24A92E63" w14:textId="77777777" w:rsidR="00480463" w:rsidRPr="00D623DC" w:rsidRDefault="00480463" w:rsidP="00487BE9">
      <w:pPr>
        <w:pStyle w:val="Prrafodelista"/>
        <w:spacing w:line="360" w:lineRule="auto"/>
        <w:ind w:left="0"/>
        <w:jc w:val="center"/>
        <w:rPr>
          <w:rFonts w:ascii="Palatino Linotype" w:hAnsi="Palatino Linotype" w:cs="Arial"/>
        </w:rPr>
      </w:pPr>
      <w:r w:rsidRPr="00D623DC">
        <w:rPr>
          <w:rFonts w:ascii="Palatino Linotype" w:hAnsi="Palatino Linotype"/>
          <w:noProof/>
          <w:lang w:val="es-MX" w:eastAsia="es-MX"/>
        </w:rPr>
        <w:lastRenderedPageBreak/>
        <w:drawing>
          <wp:inline distT="0" distB="0" distL="0" distR="0" wp14:anchorId="5CB9D6CE" wp14:editId="60728A61">
            <wp:extent cx="4661535" cy="1232877"/>
            <wp:effectExtent l="19050" t="19050" r="24765"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12" t="14448" r="9775" b="45155"/>
                    <a:stretch/>
                  </pic:blipFill>
                  <pic:spPr bwMode="auto">
                    <a:xfrm>
                      <a:off x="0" y="0"/>
                      <a:ext cx="4669474" cy="12349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656030" w14:textId="77777777" w:rsidR="00480463" w:rsidRPr="00D623DC" w:rsidRDefault="00480463" w:rsidP="00487BE9">
      <w:pPr>
        <w:pStyle w:val="Prrafodelista"/>
        <w:spacing w:line="360" w:lineRule="auto"/>
        <w:ind w:left="0"/>
        <w:jc w:val="both"/>
        <w:rPr>
          <w:rFonts w:ascii="Palatino Linotype" w:hAnsi="Palatino Linotype" w:cs="Arial"/>
        </w:rPr>
      </w:pPr>
    </w:p>
    <w:p w14:paraId="1127CB36" w14:textId="77777777" w:rsidR="00480463" w:rsidRPr="00D623DC" w:rsidRDefault="00480463"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t>Es así que, conforma lo que establece la normatividad antes referida, la información relativa al padrón de beneficiarios de programas sociales, debe ser pública y debe contener al menos lo siguiente:</w:t>
      </w:r>
    </w:p>
    <w:p w14:paraId="3EAB8BD1" w14:textId="77777777" w:rsidR="00480463" w:rsidRPr="00D623DC" w:rsidRDefault="00480463" w:rsidP="00487BE9">
      <w:pPr>
        <w:pStyle w:val="Prrafodelista"/>
        <w:spacing w:line="360" w:lineRule="auto"/>
        <w:ind w:left="0" w:right="900"/>
        <w:jc w:val="both"/>
        <w:rPr>
          <w:rFonts w:ascii="Palatino Linotype" w:hAnsi="Palatino Linotype" w:cs="Arial"/>
        </w:rPr>
      </w:pPr>
    </w:p>
    <w:p w14:paraId="561FA96A" w14:textId="77777777" w:rsidR="00480463" w:rsidRPr="00D623DC" w:rsidRDefault="00480463" w:rsidP="00487BE9">
      <w:pPr>
        <w:pStyle w:val="Prrafodelista"/>
        <w:numPr>
          <w:ilvl w:val="0"/>
          <w:numId w:val="35"/>
        </w:numPr>
        <w:spacing w:line="360" w:lineRule="auto"/>
        <w:ind w:left="567" w:right="900"/>
        <w:jc w:val="both"/>
        <w:rPr>
          <w:rFonts w:ascii="Palatino Linotype" w:hAnsi="Palatino Linotype"/>
          <w:b/>
          <w:i/>
        </w:rPr>
      </w:pPr>
      <w:r w:rsidRPr="00D623DC">
        <w:rPr>
          <w:rFonts w:ascii="Palatino Linotype" w:hAnsi="Palatino Linotype"/>
          <w:b/>
          <w:i/>
        </w:rPr>
        <w:t>Nombre de la persona física o denominación social de las personas morales beneficiarias;</w:t>
      </w:r>
    </w:p>
    <w:p w14:paraId="17B33535" w14:textId="77777777" w:rsidR="00480463" w:rsidRPr="00D623DC" w:rsidRDefault="00480463" w:rsidP="00487BE9">
      <w:pPr>
        <w:pStyle w:val="Prrafodelista"/>
        <w:numPr>
          <w:ilvl w:val="0"/>
          <w:numId w:val="35"/>
        </w:numPr>
        <w:spacing w:line="360" w:lineRule="auto"/>
        <w:ind w:left="567" w:right="900"/>
        <w:jc w:val="both"/>
        <w:rPr>
          <w:rFonts w:ascii="Palatino Linotype" w:hAnsi="Palatino Linotype"/>
          <w:b/>
          <w:i/>
        </w:rPr>
      </w:pPr>
      <w:r w:rsidRPr="00D623DC">
        <w:rPr>
          <w:rFonts w:ascii="Palatino Linotype" w:hAnsi="Palatino Linotype"/>
          <w:b/>
          <w:i/>
        </w:rPr>
        <w:t>Monto;</w:t>
      </w:r>
    </w:p>
    <w:p w14:paraId="510CE2BB" w14:textId="77777777" w:rsidR="00480463" w:rsidRPr="00D623DC" w:rsidRDefault="00480463" w:rsidP="00487BE9">
      <w:pPr>
        <w:pStyle w:val="Prrafodelista"/>
        <w:numPr>
          <w:ilvl w:val="0"/>
          <w:numId w:val="35"/>
        </w:numPr>
        <w:spacing w:line="360" w:lineRule="auto"/>
        <w:ind w:left="567" w:right="900"/>
        <w:jc w:val="both"/>
        <w:rPr>
          <w:rFonts w:ascii="Palatino Linotype" w:hAnsi="Palatino Linotype"/>
          <w:b/>
          <w:i/>
        </w:rPr>
      </w:pPr>
      <w:r w:rsidRPr="00D623DC">
        <w:rPr>
          <w:rFonts w:ascii="Palatino Linotype" w:hAnsi="Palatino Linotype"/>
          <w:b/>
          <w:i/>
        </w:rPr>
        <w:t>Recurso, beneficio o apoyo otorgado para cada una de ellas; y,</w:t>
      </w:r>
    </w:p>
    <w:p w14:paraId="76630DC7" w14:textId="77777777" w:rsidR="00480463" w:rsidRPr="00D623DC" w:rsidRDefault="00480463" w:rsidP="00487BE9">
      <w:pPr>
        <w:pStyle w:val="Prrafodelista"/>
        <w:numPr>
          <w:ilvl w:val="0"/>
          <w:numId w:val="35"/>
        </w:numPr>
        <w:spacing w:line="360" w:lineRule="auto"/>
        <w:ind w:left="567" w:right="900"/>
        <w:jc w:val="both"/>
        <w:rPr>
          <w:rFonts w:ascii="Palatino Linotype" w:hAnsi="Palatino Linotype"/>
          <w:b/>
          <w:i/>
        </w:rPr>
      </w:pPr>
      <w:r w:rsidRPr="00D623DC">
        <w:rPr>
          <w:rFonts w:ascii="Palatino Linotype" w:hAnsi="Palatino Linotype"/>
          <w:b/>
          <w:i/>
        </w:rPr>
        <w:t>Unidad territorial, en su caso, edad y sexo.</w:t>
      </w:r>
    </w:p>
    <w:p w14:paraId="51147012" w14:textId="77777777" w:rsidR="00480463" w:rsidRPr="00D623DC" w:rsidRDefault="00480463" w:rsidP="00487BE9">
      <w:pPr>
        <w:pStyle w:val="Prrafodelista"/>
        <w:spacing w:line="360" w:lineRule="auto"/>
        <w:ind w:left="0"/>
        <w:jc w:val="both"/>
        <w:rPr>
          <w:rFonts w:ascii="Palatino Linotype" w:hAnsi="Palatino Linotype" w:cs="Arial"/>
        </w:rPr>
      </w:pPr>
    </w:p>
    <w:p w14:paraId="181C4838" w14:textId="77777777" w:rsidR="00480463" w:rsidRPr="00D623DC" w:rsidRDefault="00480463"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t>No obstante, la información pública se encuentra sujeta a un régimen estricto de restricción, y una de sus causas, es el Derecho a la Protección de Datos Personales, lo cual es contemplado por la los lineamientos antes citados, que indican que no debe ser pública de los beneficiarios que sean un(a) niño(a), adolescente o víctima del delito. En esos casos, debe prevalecer la confidencialidad de la información que identifique o haga identificable a la persona, conforme a lo que establecen</w:t>
      </w:r>
      <w:r w:rsidRPr="00D623DC">
        <w:rPr>
          <w:rFonts w:ascii="Palatino Linotype" w:hAnsi="Palatino Linotype" w:cs="Arial"/>
          <w:b/>
        </w:rPr>
        <w:t xml:space="preserve"> </w:t>
      </w:r>
      <w:r w:rsidRPr="00D623DC">
        <w:rPr>
          <w:rFonts w:ascii="Palatino Linotype" w:hAnsi="Palatino Linotype" w:cs="Arial"/>
        </w:rPr>
        <w:t xml:space="preserve">los artículos 3 fracción IX, 143 fracción I, de la Ley de Transparencia y Acceso a la Información Pública del Estado de México y Municipios, así como el artículo 4, fracción XI y XII de la Ley de Protección de Datos Personales en Posesión de los </w:t>
      </w:r>
      <w:r w:rsidRPr="00D623DC">
        <w:rPr>
          <w:rFonts w:ascii="Palatino Linotype" w:hAnsi="Palatino Linotype" w:cs="Arial"/>
        </w:rPr>
        <w:lastRenderedPageBreak/>
        <w:t>Sujetos Obligados del Estado de México y Municipios, los cuales disponen lo siguiente:</w:t>
      </w:r>
    </w:p>
    <w:p w14:paraId="100B527B" w14:textId="77777777" w:rsidR="00480463" w:rsidRPr="00D623DC" w:rsidRDefault="00480463" w:rsidP="00487BE9">
      <w:pPr>
        <w:pStyle w:val="Prrafodelista"/>
        <w:spacing w:line="360" w:lineRule="auto"/>
        <w:ind w:left="567" w:right="900"/>
        <w:rPr>
          <w:rFonts w:ascii="Palatino Linotype" w:hAnsi="Palatino Linotype" w:cs="Arial"/>
          <w:b/>
        </w:rPr>
      </w:pPr>
    </w:p>
    <w:p w14:paraId="1D67ECC3" w14:textId="77777777" w:rsidR="00480463" w:rsidRPr="00D623DC" w:rsidRDefault="00480463" w:rsidP="00487BE9">
      <w:pPr>
        <w:pStyle w:val="Prrafodelista"/>
        <w:spacing w:line="360" w:lineRule="auto"/>
        <w:ind w:left="567" w:right="900"/>
        <w:rPr>
          <w:rFonts w:ascii="Palatino Linotype" w:hAnsi="Palatino Linotype" w:cs="Arial"/>
          <w:b/>
        </w:rPr>
      </w:pPr>
      <w:r w:rsidRPr="00D623DC">
        <w:rPr>
          <w:rFonts w:ascii="Palatino Linotype" w:hAnsi="Palatino Linotype" w:cs="Arial"/>
          <w:b/>
        </w:rPr>
        <w:t>Ley de Transparencia y Acceso a la Información Pública del Estado de México y Municipios</w:t>
      </w:r>
    </w:p>
    <w:p w14:paraId="36F2B188" w14:textId="77777777" w:rsidR="00480463" w:rsidRPr="00D623DC" w:rsidRDefault="00480463" w:rsidP="00487BE9">
      <w:pPr>
        <w:pStyle w:val="Prrafodelista"/>
        <w:spacing w:line="360" w:lineRule="auto"/>
        <w:ind w:left="567" w:right="900"/>
        <w:rPr>
          <w:rFonts w:ascii="Palatino Linotype" w:hAnsi="Palatino Linotype" w:cs="Arial"/>
        </w:rPr>
      </w:pPr>
    </w:p>
    <w:p w14:paraId="17918D31" w14:textId="77777777" w:rsidR="00480463" w:rsidRPr="00D623DC" w:rsidRDefault="00AC6537" w:rsidP="00487BE9">
      <w:pPr>
        <w:pStyle w:val="Prrafodelista"/>
        <w:spacing w:line="360" w:lineRule="auto"/>
        <w:ind w:left="567" w:right="900"/>
        <w:jc w:val="both"/>
        <w:rPr>
          <w:rFonts w:ascii="Palatino Linotype" w:hAnsi="Palatino Linotype"/>
          <w:i/>
          <w:iCs/>
        </w:rPr>
      </w:pPr>
      <w:r w:rsidRPr="00D623DC">
        <w:rPr>
          <w:rFonts w:ascii="Palatino Linotype" w:hAnsi="Palatino Linotype"/>
          <w:i/>
          <w:iCs/>
        </w:rPr>
        <w:t>“</w:t>
      </w:r>
      <w:r w:rsidR="00480463" w:rsidRPr="00D623DC">
        <w:rPr>
          <w:rFonts w:ascii="Palatino Linotype" w:hAnsi="Palatino Linotype"/>
          <w:i/>
          <w:iCs/>
        </w:rPr>
        <w:t>Artículo 3. Para los efectos de la presente Ley se entenderá por:</w:t>
      </w:r>
    </w:p>
    <w:p w14:paraId="45E26206" w14:textId="77777777" w:rsidR="00480463" w:rsidRPr="00D623DC" w:rsidRDefault="00480463" w:rsidP="00487BE9">
      <w:pPr>
        <w:pStyle w:val="Prrafodelista"/>
        <w:spacing w:line="360" w:lineRule="auto"/>
        <w:ind w:left="567" w:right="900"/>
        <w:jc w:val="both"/>
        <w:rPr>
          <w:rFonts w:ascii="Palatino Linotype" w:hAnsi="Palatino Linotype" w:cs="Arial"/>
          <w:i/>
          <w:iCs/>
        </w:rPr>
      </w:pPr>
      <w:r w:rsidRPr="00D623DC">
        <w:rPr>
          <w:rFonts w:ascii="Palatino Linotype" w:hAnsi="Palatino Linotype"/>
          <w:i/>
          <w:iCs/>
        </w:rPr>
        <w:t>…</w:t>
      </w:r>
    </w:p>
    <w:p w14:paraId="18D75620" w14:textId="77777777" w:rsidR="00480463" w:rsidRPr="00D623DC" w:rsidRDefault="00480463" w:rsidP="00487BE9">
      <w:pPr>
        <w:pStyle w:val="Prrafodelista"/>
        <w:spacing w:line="360" w:lineRule="auto"/>
        <w:ind w:left="567" w:right="900"/>
        <w:jc w:val="both"/>
        <w:rPr>
          <w:rFonts w:ascii="Palatino Linotype" w:hAnsi="Palatino Linotype"/>
          <w:i/>
          <w:iCs/>
        </w:rPr>
      </w:pPr>
      <w:r w:rsidRPr="00D623DC">
        <w:rPr>
          <w:rFonts w:ascii="Palatino Linotype" w:hAnsi="Palatino Linotype"/>
          <w:i/>
          <w:iCs/>
        </w:rPr>
        <w:t>IX. Datos personales: La información concerniente a una persona, identificada o identificable según lo dispuesto por la Ley de Protección de Datos Personales del Estado de México;</w:t>
      </w:r>
    </w:p>
    <w:p w14:paraId="180FCA37" w14:textId="77777777" w:rsidR="00480463" w:rsidRPr="00D623DC" w:rsidRDefault="00480463" w:rsidP="00487BE9">
      <w:pPr>
        <w:pStyle w:val="Prrafodelista"/>
        <w:spacing w:line="360" w:lineRule="auto"/>
        <w:ind w:left="567" w:right="900"/>
        <w:jc w:val="both"/>
        <w:rPr>
          <w:rFonts w:ascii="Palatino Linotype" w:hAnsi="Palatino Linotype"/>
          <w:i/>
          <w:iCs/>
        </w:rPr>
      </w:pPr>
    </w:p>
    <w:p w14:paraId="30CD697D" w14:textId="77777777" w:rsidR="00480463" w:rsidRPr="00D623DC" w:rsidRDefault="00480463" w:rsidP="00487BE9">
      <w:pPr>
        <w:pStyle w:val="Prrafodelista"/>
        <w:spacing w:line="360" w:lineRule="auto"/>
        <w:ind w:left="567" w:right="900"/>
        <w:jc w:val="both"/>
        <w:rPr>
          <w:rFonts w:ascii="Palatino Linotype" w:hAnsi="Palatino Linotype"/>
          <w:i/>
          <w:iCs/>
        </w:rPr>
      </w:pPr>
      <w:r w:rsidRPr="00D623DC">
        <w:rPr>
          <w:rFonts w:ascii="Palatino Linotype" w:hAnsi="Palatino Linotype"/>
          <w:i/>
          <w:iCs/>
        </w:rPr>
        <w:t>Artículo 143. Para los efectos de esta Ley se considera información confidencial, la clasificada como tal, de manera permanente, por su naturaleza, cuando:</w:t>
      </w:r>
    </w:p>
    <w:p w14:paraId="53549B27" w14:textId="77777777" w:rsidR="00480463" w:rsidRPr="00D623DC" w:rsidRDefault="00480463" w:rsidP="00487BE9">
      <w:pPr>
        <w:pStyle w:val="Prrafodelista"/>
        <w:spacing w:line="360" w:lineRule="auto"/>
        <w:ind w:left="567" w:right="900"/>
        <w:jc w:val="both"/>
        <w:rPr>
          <w:rFonts w:ascii="Palatino Linotype" w:hAnsi="Palatino Linotype"/>
          <w:i/>
          <w:iCs/>
        </w:rPr>
      </w:pPr>
    </w:p>
    <w:p w14:paraId="6FD11097" w14:textId="77777777" w:rsidR="00480463" w:rsidRPr="00D623DC" w:rsidRDefault="00480463" w:rsidP="00487BE9">
      <w:pPr>
        <w:pStyle w:val="Prrafodelista"/>
        <w:numPr>
          <w:ilvl w:val="1"/>
          <w:numId w:val="1"/>
        </w:numPr>
        <w:tabs>
          <w:tab w:val="left" w:pos="851"/>
        </w:tabs>
        <w:spacing w:line="360" w:lineRule="auto"/>
        <w:ind w:left="567" w:right="900" w:firstLine="0"/>
        <w:jc w:val="both"/>
        <w:rPr>
          <w:rFonts w:ascii="Palatino Linotype" w:hAnsi="Palatino Linotype"/>
          <w:i/>
          <w:iCs/>
        </w:rPr>
      </w:pPr>
      <w:r w:rsidRPr="00D623DC">
        <w:rPr>
          <w:rFonts w:ascii="Palatino Linotype" w:hAnsi="Palatino Linotype"/>
          <w:i/>
          <w:iCs/>
        </w:rPr>
        <w:t>Se refiera a la información privada y los datos personales concernientes a una persona física o jurídico colectiva identificada o identificable;</w:t>
      </w:r>
      <w:r w:rsidR="00AC6537" w:rsidRPr="00D623DC">
        <w:rPr>
          <w:rFonts w:ascii="Palatino Linotype" w:hAnsi="Palatino Linotype"/>
          <w:i/>
          <w:iCs/>
        </w:rPr>
        <w:t>”</w:t>
      </w:r>
    </w:p>
    <w:p w14:paraId="42766080" w14:textId="77777777" w:rsidR="00480463" w:rsidRPr="00D623DC" w:rsidRDefault="00480463" w:rsidP="00487BE9">
      <w:pPr>
        <w:pStyle w:val="Prrafodelista"/>
        <w:spacing w:line="360" w:lineRule="auto"/>
        <w:ind w:left="567" w:right="900"/>
        <w:jc w:val="both"/>
        <w:rPr>
          <w:rFonts w:ascii="Palatino Linotype" w:hAnsi="Palatino Linotype"/>
          <w:i/>
          <w:iCs/>
        </w:rPr>
      </w:pPr>
    </w:p>
    <w:p w14:paraId="5260DADA" w14:textId="77777777" w:rsidR="00480463" w:rsidRPr="00D623DC" w:rsidRDefault="00480463" w:rsidP="00487BE9">
      <w:pPr>
        <w:pStyle w:val="Prrafodelista"/>
        <w:spacing w:line="360" w:lineRule="auto"/>
        <w:ind w:left="567" w:right="900"/>
        <w:jc w:val="both"/>
        <w:rPr>
          <w:rFonts w:ascii="Palatino Linotype" w:hAnsi="Palatino Linotype" w:cs="Arial"/>
          <w:b/>
          <w:i/>
          <w:iCs/>
        </w:rPr>
      </w:pPr>
      <w:r w:rsidRPr="00D623DC">
        <w:rPr>
          <w:rFonts w:ascii="Palatino Linotype" w:hAnsi="Palatino Linotype" w:cs="Arial"/>
          <w:b/>
        </w:rPr>
        <w:t>Ley de Protección de Datos Personales en Posesión de los Sujetos Obligados del Estado de México y Municipios</w:t>
      </w:r>
    </w:p>
    <w:p w14:paraId="68B8BA8E" w14:textId="77777777" w:rsidR="00480463" w:rsidRPr="00D623DC" w:rsidRDefault="00480463" w:rsidP="00487BE9">
      <w:pPr>
        <w:pStyle w:val="Prrafodelista"/>
        <w:spacing w:line="360" w:lineRule="auto"/>
        <w:ind w:left="567" w:right="900"/>
        <w:jc w:val="both"/>
        <w:rPr>
          <w:rFonts w:ascii="Palatino Linotype" w:hAnsi="Palatino Linotype" w:cs="Arial"/>
          <w:i/>
          <w:iCs/>
        </w:rPr>
      </w:pPr>
    </w:p>
    <w:p w14:paraId="11D9BFDE" w14:textId="77777777" w:rsidR="00480463" w:rsidRPr="00D623DC" w:rsidRDefault="00AC6537" w:rsidP="00487BE9">
      <w:pPr>
        <w:spacing w:line="360" w:lineRule="auto"/>
        <w:ind w:left="567" w:right="900"/>
        <w:jc w:val="both"/>
        <w:rPr>
          <w:rFonts w:ascii="Palatino Linotype" w:hAnsi="Palatino Linotype"/>
          <w:i/>
          <w:iCs/>
        </w:rPr>
      </w:pPr>
      <w:r w:rsidRPr="00D623DC">
        <w:rPr>
          <w:rFonts w:ascii="Palatino Linotype" w:hAnsi="Palatino Linotype"/>
          <w:i/>
          <w:iCs/>
        </w:rPr>
        <w:t>“</w:t>
      </w:r>
      <w:r w:rsidR="00480463" w:rsidRPr="00D623DC">
        <w:rPr>
          <w:rFonts w:ascii="Palatino Linotype" w:hAnsi="Palatino Linotype"/>
          <w:i/>
          <w:iCs/>
        </w:rPr>
        <w:t>Artículo 4. Para los efectos de esta Ley se entenderá por:</w:t>
      </w:r>
    </w:p>
    <w:p w14:paraId="69A258CD" w14:textId="77777777" w:rsidR="00480463" w:rsidRPr="00D623DC" w:rsidRDefault="00480463" w:rsidP="00487BE9">
      <w:pPr>
        <w:spacing w:line="360" w:lineRule="auto"/>
        <w:ind w:left="567" w:right="900"/>
        <w:jc w:val="both"/>
        <w:rPr>
          <w:rFonts w:ascii="Palatino Linotype" w:hAnsi="Palatino Linotype"/>
          <w:i/>
          <w:iCs/>
        </w:rPr>
      </w:pPr>
      <w:r w:rsidRPr="00D623DC">
        <w:rPr>
          <w:rFonts w:ascii="Palatino Linotype" w:hAnsi="Palatino Linotype"/>
          <w:i/>
          <w:iCs/>
        </w:rPr>
        <w:t>…</w:t>
      </w:r>
    </w:p>
    <w:p w14:paraId="1435904F" w14:textId="77777777" w:rsidR="00480463" w:rsidRPr="00D623DC" w:rsidRDefault="00480463" w:rsidP="00487BE9">
      <w:pPr>
        <w:spacing w:line="360" w:lineRule="auto"/>
        <w:ind w:left="567" w:right="900"/>
        <w:jc w:val="both"/>
        <w:rPr>
          <w:rFonts w:ascii="Palatino Linotype" w:hAnsi="Palatino Linotype"/>
          <w:i/>
          <w:iCs/>
        </w:rPr>
      </w:pPr>
      <w:r w:rsidRPr="00D623DC">
        <w:rPr>
          <w:rFonts w:ascii="Palatino Linotype" w:hAnsi="Palatino Linotype"/>
          <w:i/>
          <w:iCs/>
        </w:rPr>
        <w:lastRenderedPageBreak/>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65EDE663" w14:textId="77777777" w:rsidR="00480463" w:rsidRPr="00D623DC" w:rsidRDefault="00480463" w:rsidP="00487BE9">
      <w:pPr>
        <w:spacing w:line="360" w:lineRule="auto"/>
        <w:ind w:left="567" w:right="900"/>
        <w:jc w:val="both"/>
        <w:rPr>
          <w:rFonts w:ascii="Palatino Linotype" w:hAnsi="Palatino Linotype"/>
          <w:i/>
          <w:iCs/>
        </w:rPr>
      </w:pPr>
    </w:p>
    <w:p w14:paraId="72AC4CF0" w14:textId="77777777" w:rsidR="00480463" w:rsidRPr="00D623DC" w:rsidRDefault="00480463" w:rsidP="00487BE9">
      <w:pPr>
        <w:spacing w:line="360" w:lineRule="auto"/>
        <w:ind w:left="567" w:right="900"/>
        <w:jc w:val="both"/>
        <w:rPr>
          <w:rFonts w:ascii="Palatino Linotype" w:hAnsi="Palatino Linotype"/>
          <w:b/>
          <w:bCs/>
          <w:i/>
          <w:iCs/>
        </w:rPr>
      </w:pPr>
      <w:r w:rsidRPr="00D623DC">
        <w:rPr>
          <w:rFonts w:ascii="Palatino Linotype" w:hAnsi="Palatino Linotype"/>
          <w:i/>
          <w:iCs/>
        </w:rPr>
        <w:t xml:space="preserve">XII. Datos personales sensibles: </w:t>
      </w:r>
      <w:r w:rsidRPr="00D623DC">
        <w:rPr>
          <w:rFonts w:ascii="Palatino Linotype" w:hAnsi="Palatino Linotype"/>
          <w:b/>
          <w:bCs/>
          <w:i/>
          <w:iC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00AC6537" w:rsidRPr="00D623DC">
        <w:rPr>
          <w:rFonts w:ascii="Palatino Linotype" w:hAnsi="Palatino Linotype"/>
          <w:b/>
          <w:bCs/>
          <w:i/>
          <w:iCs/>
        </w:rPr>
        <w:t>”</w:t>
      </w:r>
    </w:p>
    <w:p w14:paraId="57107F62" w14:textId="77777777" w:rsidR="00480463" w:rsidRPr="00D623DC" w:rsidRDefault="00480463" w:rsidP="00487BE9">
      <w:pPr>
        <w:spacing w:line="360" w:lineRule="auto"/>
        <w:ind w:left="567" w:right="900"/>
        <w:jc w:val="both"/>
        <w:rPr>
          <w:rFonts w:ascii="Palatino Linotype" w:hAnsi="Palatino Linotype"/>
          <w:b/>
          <w:bCs/>
          <w:iCs/>
        </w:rPr>
      </w:pPr>
      <w:r w:rsidRPr="00D623DC">
        <w:rPr>
          <w:rFonts w:ascii="Palatino Linotype" w:hAnsi="Palatino Linotype"/>
          <w:iCs/>
        </w:rPr>
        <w:t>(Énfasis añadido)</w:t>
      </w:r>
    </w:p>
    <w:p w14:paraId="2EF3B788" w14:textId="77777777" w:rsidR="00480463" w:rsidRPr="00D623DC" w:rsidRDefault="00480463" w:rsidP="00487BE9">
      <w:pPr>
        <w:spacing w:line="360" w:lineRule="auto"/>
        <w:rPr>
          <w:rFonts w:ascii="Palatino Linotype" w:hAnsi="Palatino Linotype" w:cs="Arial"/>
        </w:rPr>
      </w:pPr>
    </w:p>
    <w:p w14:paraId="56D4A995" w14:textId="77777777" w:rsidR="00480463" w:rsidRPr="00D623DC" w:rsidRDefault="00480463"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t xml:space="preserve">Es así que, si bien hay una normatividad que establece la publicidad de la información relativa a los beneficiarios de estímulos, apoyos o subsidios, también lo es que, en los casos en que los beneficiarios correspondan a, niños, adolescentes o víctimas de delitos, debe prevalecer la protección de datos personales, </w:t>
      </w:r>
      <w:r w:rsidRPr="00D623DC">
        <w:rPr>
          <w:rFonts w:ascii="Palatino Linotype" w:hAnsi="Palatino Linotype" w:cs="Arial"/>
          <w:u w:val="single"/>
        </w:rPr>
        <w:t>así como de las personas de la tercera edad, personas discapacitadas y/o de grupos vulnerables</w:t>
      </w:r>
      <w:r w:rsidRPr="00D623DC">
        <w:rPr>
          <w:rFonts w:ascii="Palatino Linotype" w:hAnsi="Palatino Linotype" w:cs="Arial"/>
        </w:rPr>
        <w:t>, puesto que en estos casos, se refiere a datos personales sensibles, dado a que su utilización indebida puede dar origen a discriminación.</w:t>
      </w:r>
    </w:p>
    <w:p w14:paraId="377A966A" w14:textId="77777777" w:rsidR="00480463" w:rsidRPr="00D623DC" w:rsidRDefault="00480463" w:rsidP="00487BE9">
      <w:pPr>
        <w:pStyle w:val="Prrafodelista"/>
        <w:spacing w:line="360" w:lineRule="auto"/>
        <w:ind w:left="0"/>
        <w:jc w:val="both"/>
        <w:rPr>
          <w:rFonts w:ascii="Palatino Linotype" w:hAnsi="Palatino Linotype" w:cs="Arial"/>
        </w:rPr>
      </w:pPr>
    </w:p>
    <w:p w14:paraId="74E93FD0" w14:textId="77777777" w:rsidR="00480463" w:rsidRPr="00D623DC" w:rsidRDefault="00480463"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lastRenderedPageBreak/>
        <w:t>Sirve de sustento el criterio 04/19 del Instituto de Transparencia, Acceso a la Información Pública y Protección de Datos Personales del Estado de México y Municipios:</w:t>
      </w:r>
    </w:p>
    <w:p w14:paraId="33421090" w14:textId="77777777" w:rsidR="00480463" w:rsidRPr="00D623DC" w:rsidRDefault="00480463" w:rsidP="00487BE9">
      <w:pPr>
        <w:pStyle w:val="Prrafodelista"/>
        <w:spacing w:line="360" w:lineRule="auto"/>
        <w:rPr>
          <w:rFonts w:ascii="Palatino Linotype" w:hAnsi="Palatino Linotype" w:cs="Arial"/>
        </w:rPr>
      </w:pPr>
    </w:p>
    <w:p w14:paraId="088243DA" w14:textId="77777777" w:rsidR="00480463" w:rsidRPr="00D623DC" w:rsidRDefault="00AC6537" w:rsidP="00487BE9">
      <w:pPr>
        <w:spacing w:line="360" w:lineRule="auto"/>
        <w:ind w:left="567" w:right="567"/>
        <w:jc w:val="both"/>
        <w:rPr>
          <w:rFonts w:ascii="Palatino Linotype" w:hAnsi="Palatino Linotype"/>
          <w:i/>
          <w:iCs/>
        </w:rPr>
      </w:pPr>
      <w:r w:rsidRPr="00D623DC">
        <w:rPr>
          <w:rFonts w:ascii="Palatino Linotype" w:hAnsi="Palatino Linotype"/>
          <w:b/>
          <w:i/>
          <w:iCs/>
        </w:rPr>
        <w:t>“</w:t>
      </w:r>
      <w:r w:rsidR="00480463" w:rsidRPr="00D623DC">
        <w:rPr>
          <w:rFonts w:ascii="Palatino Linotype" w:hAnsi="Palatino Linotype"/>
          <w:b/>
          <w:i/>
          <w:iCs/>
        </w:rPr>
        <w:t xml:space="preserve">PADRÓN DE BENEFICIARIOS EN POSESIÓN DE SUJETOS OBLIGADOS. EXCEPCIONES PARA LA PUBLICACIÓN DE DATOS PERSONALES CONTENIDOS EN AQUÉL. </w:t>
      </w:r>
      <w:r w:rsidR="00480463" w:rsidRPr="00D623DC">
        <w:rPr>
          <w:rFonts w:ascii="Palatino Linotype" w:hAnsi="Palatino Linotype"/>
          <w:i/>
          <w:iCs/>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w:t>
      </w:r>
      <w:r w:rsidR="00480463" w:rsidRPr="00D623DC">
        <w:rPr>
          <w:rFonts w:ascii="Palatino Linotype" w:hAnsi="Palatino Linotype"/>
          <w:i/>
          <w:iCs/>
        </w:rPr>
        <w:lastRenderedPageBreak/>
        <w:t>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r w:rsidRPr="00D623DC">
        <w:rPr>
          <w:rFonts w:ascii="Palatino Linotype" w:hAnsi="Palatino Linotype"/>
          <w:i/>
          <w:iCs/>
        </w:rPr>
        <w:t>”</w:t>
      </w:r>
    </w:p>
    <w:p w14:paraId="0871A604" w14:textId="77777777" w:rsidR="00480463" w:rsidRPr="00D623DC" w:rsidRDefault="00480463" w:rsidP="00487BE9">
      <w:pPr>
        <w:spacing w:line="360" w:lineRule="auto"/>
        <w:ind w:left="567" w:right="567"/>
        <w:jc w:val="both"/>
        <w:rPr>
          <w:rFonts w:ascii="Palatino Linotype" w:hAnsi="Palatino Linotype"/>
          <w:b/>
          <w:i/>
          <w:iCs/>
        </w:rPr>
      </w:pPr>
    </w:p>
    <w:p w14:paraId="0AFA9430" w14:textId="77777777" w:rsidR="00C17EB8" w:rsidRPr="00D623DC" w:rsidRDefault="00AC6537" w:rsidP="00487BE9">
      <w:pPr>
        <w:pStyle w:val="Prrafodelista"/>
        <w:numPr>
          <w:ilvl w:val="0"/>
          <w:numId w:val="1"/>
        </w:numPr>
        <w:spacing w:line="360" w:lineRule="auto"/>
        <w:ind w:left="0" w:firstLine="0"/>
        <w:jc w:val="both"/>
        <w:rPr>
          <w:rFonts w:ascii="Palatino Linotype" w:hAnsi="Palatino Linotype" w:cs="Arial"/>
        </w:rPr>
      </w:pPr>
      <w:r w:rsidRPr="00D623DC">
        <w:rPr>
          <w:rFonts w:ascii="Palatino Linotype" w:hAnsi="Palatino Linotype" w:cs="Arial"/>
        </w:rPr>
        <w:lastRenderedPageBreak/>
        <w:t>Ahora bien</w:t>
      </w:r>
      <w:r w:rsidR="00C17EB8" w:rsidRPr="00D623DC">
        <w:rPr>
          <w:rFonts w:ascii="Palatino Linotype" w:hAnsi="Palatino Linotype" w:cs="Arial"/>
        </w:rPr>
        <w:t>,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w:t>
      </w:r>
    </w:p>
    <w:p w14:paraId="4A13B9C6" w14:textId="77777777" w:rsidR="00C17EB8" w:rsidRPr="00D623DC" w:rsidRDefault="00C17EB8"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71CAAD94" w14:textId="77777777" w:rsidR="00AC6537" w:rsidRPr="00D623DC" w:rsidRDefault="00E7617F" w:rsidP="00487BE9">
      <w:pPr>
        <w:pStyle w:val="Prrafodelista"/>
        <w:numPr>
          <w:ilvl w:val="0"/>
          <w:numId w:val="1"/>
        </w:numPr>
        <w:spacing w:line="360" w:lineRule="auto"/>
        <w:ind w:left="0" w:firstLine="0"/>
        <w:jc w:val="both"/>
        <w:rPr>
          <w:rFonts w:ascii="Palatino Linotype" w:eastAsia="Calibri" w:hAnsi="Palatino Linotype" w:cs="Tahoma"/>
          <w:bCs/>
          <w:iCs/>
          <w:color w:val="000000"/>
          <w:lang w:eastAsia="en-US"/>
        </w:rPr>
      </w:pPr>
      <w:r w:rsidRPr="00D623DC">
        <w:rPr>
          <w:rFonts w:ascii="Palatino Linotype" w:hAnsi="Palatino Linotype" w:cs="Tahoma"/>
          <w:iCs/>
          <w:color w:val="000000" w:themeColor="text1"/>
          <w:lang w:val="es-ES" w:eastAsia="es-ES_tradnl"/>
        </w:rPr>
        <w:t>Entonces, la información relativa a las condonaciones realizadas</w:t>
      </w:r>
      <w:r w:rsidR="00D760DC" w:rsidRPr="00D623DC">
        <w:rPr>
          <w:rFonts w:ascii="Palatino Linotype" w:hAnsi="Palatino Linotype" w:cs="Tahoma"/>
          <w:iCs/>
          <w:color w:val="000000" w:themeColor="text1"/>
          <w:lang w:val="es-ES" w:eastAsia="es-ES_tradnl"/>
        </w:rPr>
        <w:t xml:space="preserve"> por el concepto de pago </w:t>
      </w:r>
      <w:r w:rsidR="00480463" w:rsidRPr="00D623DC">
        <w:rPr>
          <w:rFonts w:ascii="Palatino Linotype" w:hAnsi="Palatino Linotype" w:cs="Tahoma"/>
          <w:iCs/>
          <w:color w:val="000000" w:themeColor="text1"/>
          <w:lang w:val="es-ES" w:eastAsia="es-ES_tradnl"/>
        </w:rPr>
        <w:t>de impuesto predial y agua</w:t>
      </w:r>
      <w:r w:rsidRPr="00D623DC">
        <w:rPr>
          <w:rFonts w:ascii="Palatino Linotype" w:hAnsi="Palatino Linotype" w:cs="Tahoma"/>
          <w:iCs/>
          <w:color w:val="000000" w:themeColor="text1"/>
          <w:lang w:val="es-ES" w:eastAsia="es-ES_tradnl"/>
        </w:rPr>
        <w:t xml:space="preserve"> por el </w:t>
      </w:r>
      <w:r w:rsidRPr="00D623DC">
        <w:rPr>
          <w:rFonts w:ascii="Palatino Linotype" w:hAnsi="Palatino Linotype" w:cs="Tahoma"/>
          <w:b/>
          <w:iCs/>
          <w:color w:val="000000" w:themeColor="text1"/>
          <w:lang w:val="es-ES" w:eastAsia="es-ES_tradnl"/>
        </w:rPr>
        <w:t>Sujeto Obligado</w:t>
      </w:r>
      <w:r w:rsidRPr="00D623DC">
        <w:rPr>
          <w:rFonts w:ascii="Palatino Linotype" w:hAnsi="Palatino Linotype" w:cs="Tahoma"/>
          <w:iCs/>
          <w:color w:val="000000" w:themeColor="text1"/>
          <w:lang w:val="es-ES" w:eastAsia="es-ES_tradnl"/>
        </w:rPr>
        <w:t xml:space="preserve">, tiene el carácter de pública; sin embargo, no se debe dejar de lado, </w:t>
      </w:r>
      <w:r w:rsidR="00AC6537" w:rsidRPr="00D623DC">
        <w:rPr>
          <w:rFonts w:ascii="Palatino Linotype" w:hAnsi="Palatino Linotype" w:cs="Tahoma"/>
          <w:iCs/>
          <w:color w:val="000000" w:themeColor="text1"/>
          <w:lang w:val="es-ES" w:eastAsia="es-ES_tradnl"/>
        </w:rPr>
        <w:t>que el Ayuntamiento no cuenta con una base de datos con las características de la que cuenta el Sistema de Administración Tributaria</w:t>
      </w:r>
      <w:r w:rsidR="00637188" w:rsidRPr="00D623DC">
        <w:rPr>
          <w:rFonts w:ascii="Palatino Linotype" w:hAnsi="Palatino Linotype" w:cs="Tahoma"/>
          <w:iCs/>
          <w:color w:val="000000" w:themeColor="text1"/>
          <w:lang w:val="es-ES" w:eastAsia="es-ES_tradnl"/>
        </w:rPr>
        <w:t xml:space="preserve"> invocado en la solicitud de información a manera de precedente</w:t>
      </w:r>
      <w:r w:rsidR="00AC6537" w:rsidRPr="00D623DC">
        <w:rPr>
          <w:rFonts w:ascii="Palatino Linotype" w:hAnsi="Palatino Linotype" w:cs="Tahoma"/>
          <w:iCs/>
          <w:color w:val="000000" w:themeColor="text1"/>
          <w:lang w:val="es-ES" w:eastAsia="es-ES_tradnl"/>
        </w:rPr>
        <w:t xml:space="preserve">, quien cuenta con bases de datos especializadas en datos abiertos, los cuales pueden ser usados, reutilizados y redistribuidos libremente por cualquier persona, en cualquier momento y en cualquier lugar, lo que motivó a que el Órgano Garante Nacional en los asuntos que </w:t>
      </w:r>
      <w:r w:rsidR="00AC6537" w:rsidRPr="00D623DC">
        <w:rPr>
          <w:rFonts w:ascii="Palatino Linotype" w:hAnsi="Palatino Linotype" w:cs="Tahoma"/>
          <w:b/>
          <w:iCs/>
          <w:color w:val="000000" w:themeColor="text1"/>
          <w:lang w:val="es-ES" w:eastAsia="es-ES_tradnl"/>
        </w:rPr>
        <w:t xml:space="preserve"> </w:t>
      </w:r>
      <w:r w:rsidR="00AC6537" w:rsidRPr="00D623DC">
        <w:rPr>
          <w:rFonts w:ascii="Palatino Linotype" w:hAnsi="Palatino Linotype" w:cs="Tahoma"/>
          <w:iCs/>
          <w:color w:val="000000" w:themeColor="text1"/>
          <w:lang w:val="es-ES" w:eastAsia="es-ES_tradnl"/>
        </w:rPr>
        <w:t>invocara en su solicitud de información, fuera procedente su entrega por ya obrar en una fuente de acceso público.</w:t>
      </w:r>
    </w:p>
    <w:p w14:paraId="07720001" w14:textId="77777777" w:rsidR="00AC6537" w:rsidRPr="00D623DC" w:rsidRDefault="00AC6537" w:rsidP="00487BE9">
      <w:pPr>
        <w:pStyle w:val="Prrafodelista"/>
        <w:spacing w:line="360" w:lineRule="auto"/>
        <w:rPr>
          <w:rFonts w:ascii="Palatino Linotype" w:hAnsi="Palatino Linotype" w:cs="Tahoma"/>
          <w:iCs/>
          <w:color w:val="000000" w:themeColor="text1"/>
          <w:lang w:val="es-ES" w:eastAsia="es-ES_tradnl"/>
        </w:rPr>
      </w:pPr>
    </w:p>
    <w:p w14:paraId="3B76D5F1" w14:textId="77777777" w:rsidR="00AC6537" w:rsidRPr="00D623DC" w:rsidRDefault="00AC6537"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t xml:space="preserve">Dichas bases de datos especializadas, versan sobre los siguientes contenidos: </w:t>
      </w:r>
    </w:p>
    <w:p w14:paraId="58FA6580" w14:textId="77777777" w:rsidR="00AC6537" w:rsidRPr="00D623DC" w:rsidRDefault="00AC6537" w:rsidP="00487BE9">
      <w:pPr>
        <w:pStyle w:val="Prrafodelista"/>
        <w:spacing w:line="360" w:lineRule="auto"/>
        <w:rPr>
          <w:rFonts w:ascii="Palatino Linotype" w:eastAsia="Calibri" w:hAnsi="Palatino Linotype" w:cs="Tahoma"/>
          <w:bCs/>
          <w:iCs/>
          <w:color w:val="000000"/>
          <w:lang w:eastAsia="en-US"/>
        </w:rPr>
      </w:pPr>
    </w:p>
    <w:p w14:paraId="1914CF5F"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Declaraciones anonimizadas de personas físicas, morales e informativa múltiple de sueldos y salarios.</w:t>
      </w:r>
    </w:p>
    <w:p w14:paraId="4E642A41"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Los padrones de los contribuyentes de los que lleva registro el SAT.</w:t>
      </w:r>
    </w:p>
    <w:p w14:paraId="73B5E909"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Número de declaraciones, pagos y operaciones de comercio exterior.</w:t>
      </w:r>
    </w:p>
    <w:p w14:paraId="24B9EDEA"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Número de emisores, comprobantes, contribuyentes y certificados.</w:t>
      </w:r>
    </w:p>
    <w:p w14:paraId="0BE8F65D"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lastRenderedPageBreak/>
        <w:t>Número de devoluciones automáticas y clasificadas por tipo de impuesto.</w:t>
      </w:r>
    </w:p>
    <w:p w14:paraId="034004C9"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Vigilancia en el cumplimiento de Obligaciones fiscales.</w:t>
      </w:r>
    </w:p>
    <w:p w14:paraId="4A0452EF"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Sentencias definitivas y condenatorias.</w:t>
      </w:r>
    </w:p>
    <w:p w14:paraId="22EE7258"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Actos de fiscalización y Procedimientos Administrativos en Materia Aduanera.</w:t>
      </w:r>
    </w:p>
    <w:p w14:paraId="30A56A71"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Número e importe de adeudos en la cartera del SAT.</w:t>
      </w:r>
    </w:p>
    <w:p w14:paraId="54F14E09"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Recaudación de ingresos tributarios del Gobierno Federal clasificados por impuesto.</w:t>
      </w:r>
    </w:p>
    <w:p w14:paraId="484B9911" w14:textId="77777777" w:rsidR="00AC6537" w:rsidRPr="00D623DC" w:rsidRDefault="00AC6537" w:rsidP="00487BE9">
      <w:pPr>
        <w:pStyle w:val="Prrafodelista"/>
        <w:numPr>
          <w:ilvl w:val="0"/>
          <w:numId w:val="42"/>
        </w:numPr>
        <w:spacing w:line="360" w:lineRule="auto"/>
        <w:rPr>
          <w:rFonts w:ascii="Palatino Linotype" w:hAnsi="Palatino Linotype" w:cs="Tahoma"/>
          <w:b/>
          <w:iCs/>
          <w:color w:val="000000" w:themeColor="text1"/>
          <w:u w:val="single"/>
          <w:lang w:val="es-ES" w:eastAsia="es-ES_tradnl"/>
        </w:rPr>
      </w:pPr>
      <w:r w:rsidRPr="00D623DC">
        <w:rPr>
          <w:rFonts w:ascii="Palatino Linotype" w:hAnsi="Palatino Linotype" w:cs="Tahoma"/>
          <w:b/>
          <w:iCs/>
          <w:color w:val="000000" w:themeColor="text1"/>
          <w:u w:val="single"/>
          <w:lang w:val="es-ES" w:eastAsia="es-ES_tradnl"/>
        </w:rPr>
        <w:t>Estadísticas respecto a los contribuyentes incumplidos en términos de los artículos 69 y 69B del Código Fiscal de la Federación.</w:t>
      </w:r>
    </w:p>
    <w:p w14:paraId="173C0D4D"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Proyectos del SAT derivados del presupuesto de Egresos de la Federación.</w:t>
      </w:r>
    </w:p>
    <w:p w14:paraId="75D6FA91"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Informes del SAT y de la Secretaría de Hacienda y Crédito Público.</w:t>
      </w:r>
    </w:p>
    <w:p w14:paraId="53578456"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Agencias tributarias del mundo y organismos internacionales.</w:t>
      </w:r>
    </w:p>
    <w:p w14:paraId="5F7CB43A" w14:textId="77777777" w:rsidR="00AC6537" w:rsidRPr="00D623DC" w:rsidRDefault="00AC6537" w:rsidP="00487BE9">
      <w:pPr>
        <w:pStyle w:val="Prrafodelista"/>
        <w:numPr>
          <w:ilvl w:val="0"/>
          <w:numId w:val="42"/>
        </w:numPr>
        <w:spacing w:line="360" w:lineRule="auto"/>
        <w:rPr>
          <w:rFonts w:ascii="Palatino Linotype" w:hAnsi="Palatino Linotype" w:cs="Tahoma"/>
          <w:iCs/>
          <w:color w:val="000000" w:themeColor="text1"/>
          <w:lang w:val="es-ES" w:eastAsia="es-ES_tradnl"/>
        </w:rPr>
      </w:pPr>
      <w:r w:rsidRPr="00D623DC">
        <w:rPr>
          <w:rFonts w:ascii="Palatino Linotype" w:hAnsi="Palatino Linotype" w:cs="Tahoma"/>
          <w:iCs/>
          <w:color w:val="000000" w:themeColor="text1"/>
          <w:lang w:val="es-ES" w:eastAsia="es-ES_tradnl"/>
        </w:rPr>
        <w:t>Estadístico de solicitudes de acceso a la información.</w:t>
      </w:r>
    </w:p>
    <w:p w14:paraId="4E1AFEDE" w14:textId="77777777" w:rsidR="00AC6537" w:rsidRPr="00D623DC" w:rsidRDefault="00AC6537" w:rsidP="00487BE9">
      <w:pPr>
        <w:pStyle w:val="Prrafodelista"/>
        <w:spacing w:line="360" w:lineRule="auto"/>
        <w:rPr>
          <w:rFonts w:ascii="Palatino Linotype" w:hAnsi="Palatino Linotype" w:cs="Tahoma"/>
          <w:iCs/>
          <w:color w:val="000000" w:themeColor="text1"/>
          <w:lang w:val="es-ES" w:eastAsia="es-ES_tradnl"/>
        </w:rPr>
      </w:pPr>
    </w:p>
    <w:p w14:paraId="7CB076C4" w14:textId="77777777" w:rsidR="00AC6537" w:rsidRPr="00D623DC" w:rsidRDefault="00AC6537" w:rsidP="00487BE9">
      <w:pPr>
        <w:pStyle w:val="Prrafodelista"/>
        <w:spacing w:line="360" w:lineRule="auto"/>
        <w:rPr>
          <w:rFonts w:ascii="Palatino Linotype" w:hAnsi="Palatino Linotype" w:cs="Tahoma"/>
          <w:iCs/>
          <w:color w:val="000000" w:themeColor="text1"/>
          <w:lang w:val="es-ES" w:eastAsia="es-ES_tradnl"/>
        </w:rPr>
      </w:pPr>
    </w:p>
    <w:p w14:paraId="18C94187" w14:textId="77777777" w:rsidR="00125FEC" w:rsidRPr="00D623DC" w:rsidRDefault="00AC6537"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hAnsi="Palatino Linotype" w:cs="Tahoma"/>
          <w:iCs/>
          <w:color w:val="000000" w:themeColor="text1"/>
          <w:lang w:val="es-ES" w:eastAsia="es-ES_tradnl"/>
        </w:rPr>
        <w:t xml:space="preserve">Por lo que -se insiste- el Ayuntamiento no cuenta con bases de datos con las mismas características, pero no </w:t>
      </w:r>
      <w:r w:rsidR="00FA3768" w:rsidRPr="00D623DC">
        <w:rPr>
          <w:rFonts w:ascii="Palatino Linotype" w:hAnsi="Palatino Linotype" w:cs="Tahoma"/>
          <w:iCs/>
          <w:color w:val="000000" w:themeColor="text1"/>
          <w:lang w:val="es-ES" w:eastAsia="es-ES_tradnl"/>
        </w:rPr>
        <w:t>resulta</w:t>
      </w:r>
      <w:r w:rsidRPr="00D623DC">
        <w:rPr>
          <w:rFonts w:ascii="Palatino Linotype" w:hAnsi="Palatino Linotype" w:cs="Tahoma"/>
          <w:iCs/>
          <w:color w:val="000000" w:themeColor="text1"/>
          <w:lang w:val="es-ES" w:eastAsia="es-ES_tradnl"/>
        </w:rPr>
        <w:t xml:space="preserve"> óbice para que desconozca la información de mérito</w:t>
      </w:r>
      <w:r w:rsidR="00125FEC" w:rsidRPr="00D623DC">
        <w:rPr>
          <w:rFonts w:ascii="Palatino Linotype" w:hAnsi="Palatino Linotype" w:cs="Tahoma"/>
          <w:iCs/>
          <w:color w:val="000000" w:themeColor="text1"/>
          <w:lang w:val="es-ES" w:eastAsia="es-ES_tradnl"/>
        </w:rPr>
        <w:t>. Ahora bien</w:t>
      </w:r>
      <w:r w:rsidR="00FA3768" w:rsidRPr="00D623DC">
        <w:rPr>
          <w:rFonts w:ascii="Palatino Linotype" w:hAnsi="Palatino Linotype" w:cs="Tahoma"/>
          <w:iCs/>
          <w:color w:val="000000" w:themeColor="text1"/>
          <w:lang w:val="es-ES" w:eastAsia="es-ES_tradnl"/>
        </w:rPr>
        <w:t xml:space="preserve">, </w:t>
      </w:r>
      <w:r w:rsidR="00D92476" w:rsidRPr="00D623DC">
        <w:rPr>
          <w:rFonts w:ascii="Palatino Linotype" w:hAnsi="Palatino Linotype" w:cs="Tahoma"/>
          <w:iCs/>
          <w:color w:val="000000" w:themeColor="text1"/>
          <w:lang w:val="es-ES" w:eastAsia="es-ES_tradnl"/>
        </w:rPr>
        <w:t>tratarse de personas</w:t>
      </w:r>
      <w:r w:rsidR="00FA3768" w:rsidRPr="00D623DC">
        <w:rPr>
          <w:rFonts w:ascii="Palatino Linotype" w:hAnsi="Palatino Linotype" w:cs="Tahoma"/>
          <w:iCs/>
          <w:color w:val="000000" w:themeColor="text1"/>
          <w:lang w:val="es-ES" w:eastAsia="es-ES_tradnl"/>
        </w:rPr>
        <w:t xml:space="preserve"> </w:t>
      </w:r>
      <w:r w:rsidR="00FA3768" w:rsidRPr="00D623DC">
        <w:rPr>
          <w:rFonts w:ascii="Palatino Linotype" w:hAnsi="Palatino Linotype" w:cs="Tahoma"/>
          <w:i/>
          <w:iCs/>
          <w:color w:val="000000" w:themeColor="text1"/>
          <w:lang w:val="es-ES" w:eastAsia="es-ES_tradnl"/>
        </w:rPr>
        <w:t>morosa</w:t>
      </w:r>
      <w:r w:rsidR="00D92476" w:rsidRPr="00D623DC">
        <w:rPr>
          <w:rFonts w:ascii="Palatino Linotype" w:hAnsi="Palatino Linotype" w:cs="Tahoma"/>
          <w:i/>
          <w:iCs/>
          <w:color w:val="000000" w:themeColor="text1"/>
          <w:lang w:val="es-ES" w:eastAsia="es-ES_tradnl"/>
        </w:rPr>
        <w:t>s</w:t>
      </w:r>
      <w:r w:rsidR="00D92476" w:rsidRPr="00D623DC">
        <w:rPr>
          <w:rFonts w:ascii="Palatino Linotype" w:hAnsi="Palatino Linotype" w:cs="Tahoma"/>
          <w:iCs/>
          <w:color w:val="000000" w:themeColor="text1"/>
          <w:lang w:val="es-ES" w:eastAsia="es-ES_tradnl"/>
        </w:rPr>
        <w:t>;</w:t>
      </w:r>
      <w:r w:rsidR="00FA3768" w:rsidRPr="00D623DC">
        <w:rPr>
          <w:rFonts w:ascii="Palatino Linotype" w:hAnsi="Palatino Linotype" w:cs="Tahoma"/>
          <w:iCs/>
          <w:color w:val="000000" w:themeColor="text1"/>
          <w:lang w:val="es-ES" w:eastAsia="es-ES_tradnl"/>
        </w:rPr>
        <w:t xml:space="preserve"> es decir, alguien que no cumple con sus obligaciones financieras o fiscales, puede tener diversas repercusiones negativas en la vida cotidiana como cuestiones de discriminación y en el futuro financiero de esa persona.</w:t>
      </w:r>
    </w:p>
    <w:p w14:paraId="7BE3A97D" w14:textId="77777777" w:rsidR="00FA3768" w:rsidRPr="00D623DC" w:rsidRDefault="00FA3768"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67EA0B41" w14:textId="77777777" w:rsidR="00FA3768" w:rsidRPr="00D623DC" w:rsidRDefault="00FA3768"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lastRenderedPageBreak/>
        <w:t xml:space="preserve">Al respecto el artículo 55 del </w:t>
      </w:r>
      <w:r w:rsidRPr="00D623DC">
        <w:rPr>
          <w:rFonts w:ascii="Palatino Linotype" w:eastAsia="Calibri" w:hAnsi="Palatino Linotype" w:cs="Tahoma"/>
          <w:b/>
          <w:bCs/>
          <w:iCs/>
          <w:color w:val="000000"/>
          <w:lang w:eastAsia="en-US"/>
        </w:rPr>
        <w:t>Código Financiero del Estado de México</w:t>
      </w:r>
      <w:r w:rsidRPr="00D623DC">
        <w:rPr>
          <w:rFonts w:ascii="Palatino Linotype" w:eastAsia="Calibri" w:hAnsi="Palatino Linotype" w:cs="Tahoma"/>
          <w:bCs/>
          <w:iCs/>
          <w:color w:val="000000"/>
          <w:lang w:eastAsia="en-US"/>
        </w:rPr>
        <w:t xml:space="preserve">, establece que los servidores públicos en este caso del Ayuntamiento, que intervengan en los trámites que </w:t>
      </w:r>
      <w:r w:rsidRPr="00D623DC">
        <w:rPr>
          <w:rFonts w:ascii="Palatino Linotype" w:hAnsi="Palatino Linotype" w:cs="Tahoma"/>
          <w:iCs/>
          <w:color w:val="000000" w:themeColor="text1"/>
          <w:lang w:val="es-ES" w:eastAsia="es-ES_tradnl"/>
        </w:rPr>
        <w:t>regule</w:t>
      </w:r>
      <w:r w:rsidRPr="00D623DC">
        <w:rPr>
          <w:rFonts w:ascii="Palatino Linotype" w:eastAsia="Calibri" w:hAnsi="Palatino Linotype" w:cs="Tahoma"/>
          <w:bCs/>
          <w:iCs/>
          <w:color w:val="000000"/>
          <w:lang w:eastAsia="en-US"/>
        </w:rPr>
        <w:t xml:space="preserve"> dicho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 como del caso concreto se desprende (pago de impuesto Predial y Agua).</w:t>
      </w:r>
    </w:p>
    <w:p w14:paraId="18BEBDB8" w14:textId="77777777" w:rsidR="00125FEC" w:rsidRPr="00D623DC" w:rsidRDefault="00125FEC"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6880EE0B" w14:textId="77777777" w:rsidR="00FA3768" w:rsidRPr="00D623DC" w:rsidRDefault="00B966DB"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t xml:space="preserve">Empero, siempre y cuando no trate de diversos supuestos como lo es </w:t>
      </w:r>
      <w:r w:rsidR="00D92476" w:rsidRPr="00D623DC">
        <w:rPr>
          <w:rFonts w:ascii="Palatino Linotype" w:eastAsia="Calibri" w:hAnsi="Palatino Linotype" w:cs="Tahoma"/>
          <w:bCs/>
          <w:iCs/>
          <w:color w:val="000000"/>
          <w:lang w:eastAsia="en-US"/>
        </w:rPr>
        <w:t xml:space="preserve">que </w:t>
      </w:r>
      <w:r w:rsidRPr="00D623DC">
        <w:rPr>
          <w:rFonts w:ascii="Palatino Linotype" w:eastAsia="Calibri" w:hAnsi="Palatino Linotype" w:cs="Tahoma"/>
          <w:bCs/>
          <w:iCs/>
          <w:color w:val="000000"/>
          <w:lang w:eastAsia="en-US"/>
        </w:rPr>
        <w:t>se trate de créditos fiscales, no estén garantizados, no pagados y contribuyentes no localizados, como se observa:</w:t>
      </w:r>
    </w:p>
    <w:p w14:paraId="353910A9" w14:textId="77777777" w:rsidR="00FA3768" w:rsidRPr="00D623DC" w:rsidRDefault="00FA3768"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6940F61D"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“Artículo 55.- Los servidores públicos que intervengan en los trámites que regule este Código</w:t>
      </w:r>
      <w:r w:rsidRPr="00D623DC">
        <w:rPr>
          <w:rFonts w:ascii="Palatino Linotype" w:eastAsia="Calibri" w:hAnsi="Palatino Linotype" w:cs="Tahoma"/>
          <w:b/>
          <w:bCs/>
          <w:i/>
          <w:iCs/>
          <w:color w:val="000000"/>
          <w:lang w:eastAsia="en-US"/>
        </w:rPr>
        <w:t>, están obligados a guardar absoluta reserva y confidencialidad, en términos de lo dispuesto por la Ley de Protección de Datos Personales en Posesión de Sujetos Obligados del Estado de México y Municipios, en cuanto a los datos</w:t>
      </w:r>
      <w:r w:rsidRPr="00D623DC">
        <w:rPr>
          <w:rFonts w:ascii="Palatino Linotype" w:eastAsia="Calibri" w:hAnsi="Palatino Linotype" w:cs="Tahoma"/>
          <w:bCs/>
          <w:i/>
          <w:iCs/>
          <w:color w:val="000000"/>
          <w:lang w:eastAsia="en-US"/>
        </w:rPr>
        <w:t xml:space="preserve"> y documentos que proporcionen los particulares o terceros relacionados con ellos; así como, los relativos a los procedimientos administrativos y jurisdiccionales originados por la aplicación del mismo.</w:t>
      </w:r>
    </w:p>
    <w:p w14:paraId="7C2EA4C0"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
          <w:bCs/>
          <w:i/>
          <w:iCs/>
          <w:color w:val="000000"/>
          <w:lang w:eastAsia="en-US"/>
        </w:rPr>
      </w:pPr>
      <w:r w:rsidRPr="00D623DC">
        <w:rPr>
          <w:rFonts w:ascii="Palatino Linotype" w:eastAsia="Calibri" w:hAnsi="Palatino Linotype" w:cs="Tahoma"/>
          <w:b/>
          <w:bCs/>
          <w:i/>
          <w:iCs/>
          <w:color w:val="000000"/>
          <w:lang w:eastAsia="en-US"/>
        </w:rPr>
        <w:t>Lo anterior no será aplicable cuando se presenten los siguientes supuestos:</w:t>
      </w:r>
    </w:p>
    <w:p w14:paraId="2473615F"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I. De manera expresa lo disponga el Código;</w:t>
      </w:r>
    </w:p>
    <w:p w14:paraId="796B4AA8"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II. Lo requiera la autoridad competente para la administración o defensa de los intereses de la hacienda pública;</w:t>
      </w:r>
    </w:p>
    <w:p w14:paraId="241C045F"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lastRenderedPageBreak/>
        <w:t>III. La que soliciten las autoridades judiciales o administrativas encargadas de la procuración de justicia;</w:t>
      </w:r>
    </w:p>
    <w:p w14:paraId="61E0755E"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
          <w:bCs/>
          <w:i/>
          <w:iCs/>
          <w:color w:val="000000"/>
          <w:lang w:eastAsia="en-US"/>
        </w:rPr>
      </w:pPr>
      <w:r w:rsidRPr="00D623DC">
        <w:rPr>
          <w:rFonts w:ascii="Palatino Linotype" w:eastAsia="Calibri" w:hAnsi="Palatino Linotype" w:cs="Tahoma"/>
          <w:b/>
          <w:bCs/>
          <w:i/>
          <w:iCs/>
          <w:color w:val="000000"/>
          <w:lang w:eastAsia="en-US"/>
        </w:rPr>
        <w:t>IV. Los créditos fiscales, que se encuentren en los siguientes supuestos:</w:t>
      </w:r>
    </w:p>
    <w:p w14:paraId="7B039493"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
          <w:bCs/>
          <w:i/>
          <w:iCs/>
          <w:color w:val="000000"/>
          <w:lang w:eastAsia="en-US"/>
        </w:rPr>
      </w:pPr>
      <w:r w:rsidRPr="00D623DC">
        <w:rPr>
          <w:rFonts w:ascii="Palatino Linotype" w:eastAsia="Calibri" w:hAnsi="Palatino Linotype" w:cs="Tahoma"/>
          <w:b/>
          <w:bCs/>
          <w:i/>
          <w:iCs/>
          <w:color w:val="000000"/>
          <w:lang w:eastAsia="en-US"/>
        </w:rPr>
        <w:t>A). Firmes;</w:t>
      </w:r>
    </w:p>
    <w:p w14:paraId="5367CE27"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
          <w:bCs/>
          <w:i/>
          <w:iCs/>
          <w:color w:val="000000"/>
          <w:lang w:eastAsia="en-US"/>
        </w:rPr>
      </w:pPr>
      <w:r w:rsidRPr="00D623DC">
        <w:rPr>
          <w:rFonts w:ascii="Palatino Linotype" w:eastAsia="Calibri" w:hAnsi="Palatino Linotype" w:cs="Tahoma"/>
          <w:b/>
          <w:bCs/>
          <w:i/>
          <w:iCs/>
          <w:color w:val="000000"/>
          <w:lang w:eastAsia="en-US"/>
        </w:rPr>
        <w:t>B). En controversia que no estén garantizados;</w:t>
      </w:r>
    </w:p>
    <w:p w14:paraId="505C86A8"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
          <w:bCs/>
          <w:i/>
          <w:iCs/>
          <w:color w:val="000000"/>
          <w:lang w:eastAsia="en-US"/>
        </w:rPr>
        <w:t>C). Que no estén pagados o cese la autorización del pago a plazos</w:t>
      </w:r>
      <w:r w:rsidRPr="00D623DC">
        <w:rPr>
          <w:rFonts w:ascii="Palatino Linotype" w:eastAsia="Calibri" w:hAnsi="Palatino Linotype" w:cs="Tahoma"/>
          <w:bCs/>
          <w:i/>
          <w:iCs/>
          <w:color w:val="000000"/>
          <w:lang w:eastAsia="en-US"/>
        </w:rPr>
        <w:t>, y</w:t>
      </w:r>
    </w:p>
    <w:p w14:paraId="08A6C8BB"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D). Determinados a contribuyentes no localizados.</w:t>
      </w:r>
    </w:p>
    <w:p w14:paraId="016F5E6B"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V. Información otorgada a terceros que auxilien a las autoridades fiscales en la búsqueda y localización de contribuyentes.</w:t>
      </w:r>
    </w:p>
    <w:p w14:paraId="2885CFFE"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VI. La información comunicada a las autoridades administrativas o aquellas del ámbito federal que para el ejercicio de sus funciones obtengan datos para fines de transparencia  y acceso a la información pública o estadísticos.</w:t>
      </w:r>
    </w:p>
    <w:p w14:paraId="308901B1"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VII. La información que requieran las Dependencias u órganos internos de control, respecto de la presunta comisión de delitos fiscales y de cualquier otra naturaleza, así como para determinar las responsabilidades administrativas de los servidores públicos.</w:t>
      </w:r>
    </w:p>
    <w:p w14:paraId="1312AE0B"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p>
    <w:p w14:paraId="4EABA9CF"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
          <w:bCs/>
          <w:i/>
          <w:iCs/>
          <w:color w:val="000000"/>
          <w:lang w:eastAsia="en-US"/>
        </w:rPr>
        <w:t>Dicha confidencialidad tampoco comprenderá la información relativa a los créditos fiscales de los contribuyentes que las autoridades fiscales proporcionen a las sociedades de información crediticia que obtengan autorización de la Secretaría de Hacienda y Crédito Público de conformidad con la Ley para Regular las Agrupaciones Financieras, ni la que se proporcione para efectos de la notificación por terceros</w:t>
      </w:r>
      <w:r w:rsidRPr="00D623DC">
        <w:rPr>
          <w:rFonts w:ascii="Palatino Linotype" w:eastAsia="Calibri" w:hAnsi="Palatino Linotype" w:cs="Tahoma"/>
          <w:bCs/>
          <w:i/>
          <w:iCs/>
          <w:color w:val="000000"/>
          <w:lang w:eastAsia="en-US"/>
        </w:rPr>
        <w:t>.</w:t>
      </w:r>
    </w:p>
    <w:p w14:paraId="2A9E492C"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Cs/>
          <w:i/>
          <w:iCs/>
          <w:color w:val="000000"/>
          <w:lang w:eastAsia="en-US"/>
        </w:rPr>
        <w:t>…</w:t>
      </w:r>
    </w:p>
    <w:p w14:paraId="1569EC69"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
          <w:iCs/>
          <w:color w:val="000000"/>
          <w:lang w:eastAsia="en-US"/>
        </w:rPr>
      </w:pPr>
      <w:r w:rsidRPr="00D623DC">
        <w:rPr>
          <w:rFonts w:ascii="Palatino Linotype" w:eastAsia="Calibri" w:hAnsi="Palatino Linotype" w:cs="Tahoma"/>
          <w:b/>
          <w:bCs/>
          <w:i/>
          <w:iCs/>
          <w:color w:val="000000"/>
          <w:lang w:eastAsia="en-US"/>
        </w:rPr>
        <w:lastRenderedPageBreak/>
        <w:t>El uso, manejo y transmisión de datos personales a que se refieren los párrafos anteriores se sujetará a las disposiciones que para tal efecto señale la ley de la materia.</w:t>
      </w:r>
      <w:r w:rsidRPr="00D623DC">
        <w:rPr>
          <w:rFonts w:ascii="Palatino Linotype" w:eastAsia="Calibri" w:hAnsi="Palatino Linotype" w:cs="Tahoma"/>
          <w:bCs/>
          <w:i/>
          <w:iCs/>
          <w:color w:val="000000"/>
          <w:lang w:eastAsia="en-US"/>
        </w:rPr>
        <w:t>”</w:t>
      </w:r>
    </w:p>
    <w:p w14:paraId="1B9F404E" w14:textId="77777777" w:rsidR="00B966DB" w:rsidRPr="00D623DC" w:rsidRDefault="00B966DB" w:rsidP="00487BE9">
      <w:pPr>
        <w:pStyle w:val="Prrafodelista"/>
        <w:tabs>
          <w:tab w:val="left" w:pos="567"/>
        </w:tabs>
        <w:spacing w:line="360" w:lineRule="auto"/>
        <w:ind w:left="284" w:right="333"/>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t>(Énfasis añadido)</w:t>
      </w:r>
    </w:p>
    <w:p w14:paraId="4772A0BD" w14:textId="77777777" w:rsidR="00B966DB" w:rsidRPr="00D623DC" w:rsidRDefault="00B966DB"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138D598A" w14:textId="77777777" w:rsidR="00E01CD2" w:rsidRPr="00D623DC" w:rsidRDefault="00B966DB"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t>En ese tenor al versar lo requerido respecto de contribuyentes morosos, s</w:t>
      </w:r>
      <w:r w:rsidR="00D0359A" w:rsidRPr="00D623DC">
        <w:rPr>
          <w:rFonts w:ascii="Palatino Linotype" w:eastAsia="Calibri" w:hAnsi="Palatino Linotype" w:cs="Tahoma"/>
          <w:bCs/>
          <w:iCs/>
          <w:color w:val="000000"/>
          <w:lang w:eastAsia="en-US"/>
        </w:rPr>
        <w:t>e entiende que la falta de pago, se configura como un crédito fiscal, toda vez que estos corresponden a la cantidad de dinero que un contribuyente debe pagar como impuestos, multas o recargos. Este crédito fiscal surge cuando un contribuyente no cumple con sus obligaciones fiscales, como no pagar impuestos correctamente, presentar declaraciones incorrectas o no cumplir con otros requisitos fiscales, como los señalados en la solicitud de información de mérito. Luego entonces, se concluye que en virtud que lo solicitado se encuentra delimitado únicamente a contribuyentes morosos</w:t>
      </w:r>
      <w:r w:rsidR="00D0359A" w:rsidRPr="00D623DC">
        <w:rPr>
          <w:rFonts w:ascii="Palatino Linotype" w:eastAsia="Calibri" w:hAnsi="Palatino Linotype" w:cs="Tahoma"/>
          <w:b/>
          <w:bCs/>
          <w:iCs/>
          <w:color w:val="000000"/>
          <w:lang w:eastAsia="en-US"/>
        </w:rPr>
        <w:t>, queda insubsistente la causal de reserva y confidencialidad</w:t>
      </w:r>
      <w:r w:rsidR="00D0359A" w:rsidRPr="00D623DC">
        <w:rPr>
          <w:rFonts w:ascii="Palatino Linotype" w:eastAsia="Calibri" w:hAnsi="Palatino Linotype" w:cs="Tahoma"/>
          <w:bCs/>
          <w:iCs/>
          <w:color w:val="000000"/>
          <w:lang w:eastAsia="en-US"/>
        </w:rPr>
        <w:t>.</w:t>
      </w:r>
    </w:p>
    <w:p w14:paraId="30B0C5AC" w14:textId="77777777" w:rsidR="00D0359A" w:rsidRPr="00D623DC" w:rsidRDefault="00D0359A"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089C165A" w14:textId="77777777" w:rsidR="00E01CD2" w:rsidRPr="00D623DC" w:rsidRDefault="00D0359A" w:rsidP="00487BE9">
      <w:pPr>
        <w:pStyle w:val="Prrafodelista"/>
        <w:numPr>
          <w:ilvl w:val="0"/>
          <w:numId w:val="1"/>
        </w:numPr>
        <w:tabs>
          <w:tab w:val="left" w:pos="567"/>
        </w:tabs>
        <w:spacing w:line="360" w:lineRule="auto"/>
        <w:ind w:left="0" w:firstLine="0"/>
        <w:jc w:val="both"/>
        <w:rPr>
          <w:rFonts w:ascii="Palatino Linotype" w:eastAsia="Calibri" w:hAnsi="Palatino Linotype" w:cs="Tahoma"/>
          <w:bCs/>
          <w:iCs/>
          <w:color w:val="000000"/>
          <w:lang w:eastAsia="en-US"/>
        </w:rPr>
      </w:pPr>
      <w:r w:rsidRPr="00D623DC">
        <w:rPr>
          <w:rFonts w:ascii="Palatino Linotype" w:eastAsia="Calibri" w:hAnsi="Palatino Linotype" w:cs="Tahoma"/>
          <w:bCs/>
          <w:iCs/>
          <w:color w:val="000000"/>
          <w:lang w:eastAsia="en-US"/>
        </w:rPr>
        <w:t xml:space="preserve">Por lo que en </w:t>
      </w:r>
      <w:r w:rsidR="00AC4EB7" w:rsidRPr="00D623DC">
        <w:rPr>
          <w:rFonts w:ascii="Palatino Linotype" w:eastAsia="Calibri" w:hAnsi="Palatino Linotype" w:cs="Tahoma"/>
          <w:bCs/>
          <w:iCs/>
          <w:color w:val="000000"/>
          <w:lang w:eastAsia="en-US"/>
        </w:rPr>
        <w:t xml:space="preserve">relatadas circunstancias lo dable es ordenar una nueva búsqueda exhaustiva y razonable de lo solicitado en las áreas de la estructura orgánica del Ayuntamiento, que de acuerdo a sus facultades y atribuciones, eventualmente generen, posean o administren la información y que de manera enunciativa y mas no limitativa de conformidad al Bando Municipal vigente en el año 2022, la Tesorería Municipal, toda vez que es el área administrativa encargada de recibir el </w:t>
      </w:r>
      <w:r w:rsidR="00AC4EB7" w:rsidRPr="00D623DC">
        <w:rPr>
          <w:rFonts w:ascii="Palatino Linotype" w:eastAsia="Calibri" w:hAnsi="Palatino Linotype" w:cs="Tahoma"/>
          <w:b/>
          <w:bCs/>
          <w:iCs/>
          <w:color w:val="000000"/>
          <w:lang w:eastAsia="en-US"/>
        </w:rPr>
        <w:t>pago los pagos de impuesto predial y derechos de agua</w:t>
      </w:r>
      <w:r w:rsidR="00AC4EB7" w:rsidRPr="00D623DC">
        <w:rPr>
          <w:rFonts w:ascii="Palatino Linotype" w:eastAsia="Calibri" w:hAnsi="Palatino Linotype" w:cs="Tahoma"/>
          <w:bCs/>
          <w:iCs/>
          <w:color w:val="000000"/>
          <w:lang w:eastAsia="en-US"/>
        </w:rPr>
        <w:t xml:space="preserve">. </w:t>
      </w:r>
    </w:p>
    <w:p w14:paraId="67123D61" w14:textId="77777777" w:rsidR="00F333F7" w:rsidRPr="00D623DC" w:rsidRDefault="00F333F7" w:rsidP="00487BE9">
      <w:pPr>
        <w:pStyle w:val="Prrafodelista"/>
        <w:spacing w:line="360" w:lineRule="auto"/>
        <w:rPr>
          <w:rFonts w:ascii="Palatino Linotype" w:eastAsia="Calibri" w:hAnsi="Palatino Linotype" w:cs="Tahoma"/>
          <w:bCs/>
          <w:iCs/>
          <w:color w:val="000000"/>
          <w:lang w:eastAsia="en-US"/>
        </w:rPr>
      </w:pPr>
    </w:p>
    <w:p w14:paraId="41C9A567" w14:textId="77777777" w:rsidR="00407B32" w:rsidRPr="00D623DC" w:rsidRDefault="00407B32"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Calibri" w:hAnsi="Palatino Linotype"/>
          <w:bCs/>
          <w:iCs/>
          <w:color w:val="000000" w:themeColor="text1"/>
          <w:lang w:val="es-ES" w:eastAsia="en-US"/>
        </w:rPr>
        <w:lastRenderedPageBreak/>
        <w:t xml:space="preserve">Ya que la documentación comprobatoria del pago </w:t>
      </w:r>
      <w:r w:rsidR="00EA7837" w:rsidRPr="00D623DC">
        <w:rPr>
          <w:rFonts w:ascii="Palatino Linotype" w:eastAsia="Calibri" w:hAnsi="Palatino Linotype"/>
          <w:bCs/>
          <w:iCs/>
          <w:color w:val="000000" w:themeColor="text1"/>
          <w:lang w:val="es-ES" w:eastAsia="en-US"/>
        </w:rPr>
        <w:t>u</w:t>
      </w:r>
      <w:r w:rsidRPr="00D623DC">
        <w:rPr>
          <w:rFonts w:ascii="Palatino Linotype" w:eastAsia="Calibri" w:hAnsi="Palatino Linotype"/>
          <w:bCs/>
          <w:iCs/>
          <w:color w:val="000000" w:themeColor="text1"/>
          <w:lang w:val="es-ES" w:eastAsia="en-US"/>
        </w:rPr>
        <w:t xml:space="preserve"> omisión del impuesto predial y agua, obra en poder del Ayuntamiento, en términos del Código Financiero del Estado de México y Municipios, dispone lo siguiente:</w:t>
      </w:r>
    </w:p>
    <w:p w14:paraId="6FDB4139" w14:textId="77777777" w:rsidR="00EA7837" w:rsidRPr="00D623DC" w:rsidRDefault="00EA7837" w:rsidP="00487BE9">
      <w:pPr>
        <w:pStyle w:val="Prrafodelista"/>
        <w:spacing w:line="360" w:lineRule="auto"/>
        <w:rPr>
          <w:rFonts w:ascii="Palatino Linotype" w:eastAsia="MS Mincho" w:hAnsi="Palatino Linotype"/>
          <w:i/>
          <w:color w:val="000000"/>
        </w:rPr>
      </w:pPr>
    </w:p>
    <w:p w14:paraId="49621B9F" w14:textId="77777777" w:rsidR="00407B32" w:rsidRPr="00D623DC" w:rsidRDefault="00407B32" w:rsidP="00487BE9">
      <w:pPr>
        <w:spacing w:line="360" w:lineRule="auto"/>
        <w:ind w:left="567" w:right="567"/>
        <w:jc w:val="both"/>
        <w:rPr>
          <w:rFonts w:ascii="Palatino Linotype" w:eastAsia="Calibri" w:hAnsi="Palatino Linotype"/>
          <w:bCs/>
          <w:i/>
          <w:iCs/>
          <w:color w:val="000000" w:themeColor="text1"/>
          <w:lang w:val="es-ES" w:eastAsia="en-US"/>
        </w:rPr>
      </w:pPr>
      <w:r w:rsidRPr="00D623DC">
        <w:rPr>
          <w:rFonts w:ascii="Palatino Linotype" w:eastAsia="Calibri" w:hAnsi="Palatino Linotype"/>
          <w:b/>
          <w:bCs/>
          <w:i/>
          <w:iCs/>
          <w:color w:val="000000" w:themeColor="text1"/>
          <w:lang w:val="es-ES" w:eastAsia="en-US"/>
        </w:rPr>
        <w:t>“Artículo 16.-</w:t>
      </w:r>
      <w:r w:rsidRPr="00D623DC">
        <w:rPr>
          <w:rFonts w:ascii="Palatino Linotype" w:eastAsia="Calibri" w:hAnsi="Palatino Linotype"/>
          <w:bCs/>
          <w:i/>
          <w:iCs/>
          <w:color w:val="000000" w:themeColor="text1"/>
          <w:lang w:val="es-ES" w:eastAsia="en-US"/>
        </w:rPr>
        <w:t xml:space="preserve"> </w:t>
      </w:r>
      <w:r w:rsidRPr="00D623DC">
        <w:rPr>
          <w:rFonts w:ascii="Palatino Linotype" w:eastAsia="Calibri" w:hAnsi="Palatino Linotype"/>
          <w:b/>
          <w:bCs/>
          <w:i/>
          <w:iCs/>
          <w:color w:val="000000" w:themeColor="text1"/>
          <w:lang w:val="es-ES" w:eastAsia="en-US"/>
        </w:rPr>
        <w:t>Son autoridades fiscales</w:t>
      </w:r>
      <w:r w:rsidRPr="00D623DC">
        <w:rPr>
          <w:rFonts w:ascii="Palatino Linotype" w:eastAsia="Calibri" w:hAnsi="Palatino Linotype"/>
          <w:bCs/>
          <w:i/>
          <w:iCs/>
          <w:color w:val="000000" w:themeColor="text1"/>
          <w:lang w:val="es-ES" w:eastAsia="en-US"/>
        </w:rPr>
        <w:t xml:space="preserve">, el Gobernador, </w:t>
      </w:r>
      <w:r w:rsidRPr="00D623DC">
        <w:rPr>
          <w:rFonts w:ascii="Palatino Linotype" w:eastAsia="Calibri" w:hAnsi="Palatino Linotype"/>
          <w:b/>
          <w:bCs/>
          <w:i/>
          <w:iCs/>
          <w:color w:val="000000" w:themeColor="text1"/>
          <w:lang w:val="es-ES" w:eastAsia="en-US"/>
        </w:rPr>
        <w:t>los ayuntamientos</w:t>
      </w:r>
      <w:r w:rsidRPr="00D623DC">
        <w:rPr>
          <w:rFonts w:ascii="Palatino Linotype" w:eastAsia="Calibri" w:hAnsi="Palatino Linotype"/>
          <w:bCs/>
          <w:i/>
          <w:iCs/>
          <w:color w:val="000000" w:themeColor="text1"/>
          <w:lang w:val="es-ES" w:eastAsia="en-U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53CA7C9A" w14:textId="77777777" w:rsidR="00407B32" w:rsidRPr="00D623DC" w:rsidRDefault="00407B32" w:rsidP="00487BE9">
      <w:pPr>
        <w:spacing w:line="360" w:lineRule="auto"/>
        <w:ind w:left="567" w:right="567"/>
        <w:jc w:val="both"/>
        <w:rPr>
          <w:rFonts w:ascii="Palatino Linotype" w:eastAsia="Calibri" w:hAnsi="Palatino Linotype"/>
          <w:b/>
          <w:bCs/>
          <w:i/>
          <w:iCs/>
          <w:color w:val="000000" w:themeColor="text1"/>
          <w:lang w:val="es-ES" w:eastAsia="en-US"/>
        </w:rPr>
      </w:pPr>
    </w:p>
    <w:p w14:paraId="1A1AF19F" w14:textId="77777777" w:rsidR="00407B32" w:rsidRPr="00D623DC" w:rsidRDefault="00407B32" w:rsidP="00487BE9">
      <w:pPr>
        <w:pStyle w:val="Prrafodelista"/>
        <w:numPr>
          <w:ilvl w:val="0"/>
          <w:numId w:val="1"/>
        </w:numPr>
        <w:tabs>
          <w:tab w:val="left" w:pos="567"/>
        </w:tabs>
        <w:spacing w:line="360" w:lineRule="auto"/>
        <w:ind w:left="0" w:firstLine="0"/>
        <w:jc w:val="both"/>
        <w:rPr>
          <w:rFonts w:ascii="Palatino Linotype" w:eastAsia="Calibri" w:hAnsi="Palatino Linotype"/>
          <w:bCs/>
          <w:iCs/>
          <w:color w:val="000000" w:themeColor="text1"/>
          <w:lang w:val="es-ES" w:eastAsia="en-US"/>
        </w:rPr>
      </w:pPr>
      <w:r w:rsidRPr="00D623DC">
        <w:rPr>
          <w:rFonts w:ascii="Palatino Linotype" w:eastAsia="Calibri" w:hAnsi="Palatino Linotype"/>
          <w:bCs/>
          <w:iCs/>
          <w:color w:val="000000" w:themeColor="text1"/>
          <w:lang w:val="es-ES" w:eastAsia="en-US"/>
        </w:rPr>
        <w:t xml:space="preserve">Por tanto, se advierte que los Ayuntamientos, se erigen como autoridad fiscal respecto del cobro del impuesto predial. Por su parte, el artículo 143, fracción II, de la Ley de Transparencia y Acceso a la Información Pública del Estado de México y Municipios, dispone que se considera información confidencial, los secretos bancario, fiduciario, industrial, comercial, </w:t>
      </w:r>
      <w:r w:rsidRPr="00D623DC">
        <w:rPr>
          <w:rFonts w:ascii="Palatino Linotype" w:eastAsia="Calibri" w:hAnsi="Palatino Linotype"/>
          <w:b/>
          <w:bCs/>
          <w:iCs/>
          <w:color w:val="000000" w:themeColor="text1"/>
          <w:lang w:val="es-ES" w:eastAsia="en-US"/>
        </w:rPr>
        <w:t>fiscal</w:t>
      </w:r>
      <w:r w:rsidRPr="00D623DC">
        <w:rPr>
          <w:rFonts w:ascii="Palatino Linotype" w:eastAsia="Calibri" w:hAnsi="Palatino Linotype"/>
          <w:bCs/>
          <w:iCs/>
          <w:color w:val="000000" w:themeColor="text1"/>
          <w:lang w:val="es-ES" w:eastAsia="en-US"/>
        </w:rPr>
        <w:t xml:space="preserve">, bursátil y postal, </w:t>
      </w:r>
      <w:r w:rsidRPr="00D623DC">
        <w:rPr>
          <w:rFonts w:ascii="Palatino Linotype" w:eastAsia="Calibri" w:hAnsi="Palatino Linotype"/>
          <w:b/>
          <w:bCs/>
          <w:iCs/>
          <w:color w:val="000000" w:themeColor="text1"/>
          <w:lang w:val="es-ES" w:eastAsia="en-US"/>
        </w:rPr>
        <w:t>cuya titularidad corresponda a particulares</w:t>
      </w:r>
      <w:r w:rsidRPr="00D623DC">
        <w:rPr>
          <w:rFonts w:ascii="Palatino Linotype" w:eastAsia="Calibri" w:hAnsi="Palatino Linotype"/>
          <w:bCs/>
          <w:iCs/>
          <w:color w:val="000000" w:themeColor="text1"/>
          <w:lang w:val="es-ES" w:eastAsia="en-US"/>
        </w:rPr>
        <w:t xml:space="preserve">, sujetos de derecho internacional o a sujetos obligados </w:t>
      </w:r>
      <w:r w:rsidRPr="00D623DC">
        <w:rPr>
          <w:rFonts w:ascii="Palatino Linotype" w:eastAsia="Calibri" w:hAnsi="Palatino Linotype"/>
          <w:b/>
          <w:bCs/>
          <w:iCs/>
          <w:color w:val="000000" w:themeColor="text1"/>
          <w:lang w:val="es-ES" w:eastAsia="en-US"/>
        </w:rPr>
        <w:t>cuando no involucren el ejercicio de recursos públicos.</w:t>
      </w:r>
    </w:p>
    <w:p w14:paraId="16B413CA" w14:textId="77777777" w:rsidR="00407B32" w:rsidRPr="00D623DC" w:rsidRDefault="00407B32" w:rsidP="00487BE9">
      <w:pPr>
        <w:pStyle w:val="Prrafodelista"/>
        <w:tabs>
          <w:tab w:val="left" w:pos="567"/>
        </w:tabs>
        <w:spacing w:line="360" w:lineRule="auto"/>
        <w:ind w:left="0"/>
        <w:jc w:val="both"/>
        <w:rPr>
          <w:rFonts w:ascii="Palatino Linotype" w:eastAsia="Calibri" w:hAnsi="Palatino Linotype"/>
          <w:bCs/>
          <w:iCs/>
          <w:color w:val="000000" w:themeColor="text1"/>
          <w:lang w:val="es-ES" w:eastAsia="en-US"/>
        </w:rPr>
      </w:pPr>
    </w:p>
    <w:p w14:paraId="1567FA9C" w14:textId="77777777" w:rsidR="00407B32" w:rsidRPr="00D623DC" w:rsidRDefault="00407B32" w:rsidP="00487BE9">
      <w:pPr>
        <w:pStyle w:val="Prrafodelista"/>
        <w:numPr>
          <w:ilvl w:val="0"/>
          <w:numId w:val="1"/>
        </w:numPr>
        <w:tabs>
          <w:tab w:val="left" w:pos="567"/>
        </w:tabs>
        <w:spacing w:line="360" w:lineRule="auto"/>
        <w:ind w:left="0" w:firstLine="0"/>
        <w:jc w:val="both"/>
        <w:rPr>
          <w:rFonts w:ascii="Palatino Linotype" w:eastAsia="Calibri" w:hAnsi="Palatino Linotype"/>
          <w:bCs/>
          <w:iCs/>
          <w:color w:val="000000" w:themeColor="text1"/>
          <w:lang w:val="es-ES" w:eastAsia="en-US"/>
        </w:rPr>
      </w:pPr>
      <w:r w:rsidRPr="00D623DC">
        <w:rPr>
          <w:rFonts w:ascii="Palatino Linotype" w:eastAsia="Calibri" w:hAnsi="Palatino Linotype"/>
          <w:bCs/>
          <w:iCs/>
          <w:color w:val="000000" w:themeColor="text1"/>
          <w:lang w:val="es-ES" w:eastAsia="en-US"/>
        </w:rPr>
        <w:t xml:space="preserve">En este orden de ideas, en términos del Cuadragésimo quinto de los </w:t>
      </w:r>
      <w:r w:rsidRPr="00D623DC">
        <w:rPr>
          <w:rFonts w:ascii="Palatino Linotype" w:eastAsia="Calibri" w:hAnsi="Palatino Linotype"/>
          <w:bCs/>
          <w:iCs/>
          <w:color w:val="000000" w:themeColor="text1"/>
          <w:lang w:eastAsia="en-US"/>
        </w:rPr>
        <w:t xml:space="preserve">Lineamientos Generales en Materia de Clasificación y Desclasificación de la Información, así como para la Elaboración de Versiones Públicas, </w:t>
      </w:r>
      <w:r w:rsidRPr="00D623DC">
        <w:rPr>
          <w:rFonts w:ascii="Palatino Linotype" w:eastAsia="Calibri" w:hAnsi="Palatino Linotype"/>
          <w:bCs/>
          <w:iCs/>
          <w:color w:val="000000" w:themeColor="text1"/>
          <w:lang w:val="es-ES" w:eastAsia="en-US"/>
        </w:rPr>
        <w:t xml:space="preserve">para clasificar la información por secreto fiscal, se deberá acreditar que se trata de información tributaria, declaraciones o datos suministrados por los contribuyentes o aquellos obtenidos por la autoridad fiscal en el ejercicio de sus facultades de comprobación. Así, las autoridades municipales, en su carácter de autoridad fiscal, tienen la </w:t>
      </w:r>
      <w:r w:rsidRPr="00D623DC">
        <w:rPr>
          <w:rFonts w:ascii="Palatino Linotype" w:eastAsia="Calibri" w:hAnsi="Palatino Linotype"/>
          <w:bCs/>
          <w:iCs/>
          <w:color w:val="000000" w:themeColor="text1"/>
          <w:lang w:val="es-ES" w:eastAsia="en-US"/>
        </w:rPr>
        <w:lastRenderedPageBreak/>
        <w:t>facultad de clasificar la información obtenida en virtud de los diversos trámites relativos al cobro de contribuciones, como es el caso del impuesto predial y agua, así como de aquella relacionada con el ejercicio de sus atribuciones de comprobación.</w:t>
      </w:r>
    </w:p>
    <w:p w14:paraId="5105FE6C" w14:textId="77777777" w:rsidR="00407B32" w:rsidRPr="00D623DC" w:rsidRDefault="00407B32" w:rsidP="00487BE9">
      <w:pPr>
        <w:spacing w:line="360" w:lineRule="auto"/>
        <w:rPr>
          <w:rFonts w:ascii="Palatino Linotype" w:eastAsia="Calibri" w:hAnsi="Palatino Linotype"/>
          <w:bCs/>
          <w:iCs/>
          <w:color w:val="000000" w:themeColor="text1"/>
          <w:lang w:val="es-ES" w:eastAsia="en-US"/>
        </w:rPr>
      </w:pPr>
    </w:p>
    <w:p w14:paraId="6DFE6793" w14:textId="77777777" w:rsidR="00407B32" w:rsidRPr="00D623DC" w:rsidRDefault="00407B32" w:rsidP="00487BE9">
      <w:pPr>
        <w:pStyle w:val="Prrafodelista"/>
        <w:numPr>
          <w:ilvl w:val="0"/>
          <w:numId w:val="1"/>
        </w:numPr>
        <w:tabs>
          <w:tab w:val="left" w:pos="567"/>
        </w:tabs>
        <w:spacing w:line="360" w:lineRule="auto"/>
        <w:ind w:left="0" w:firstLine="0"/>
        <w:jc w:val="both"/>
        <w:rPr>
          <w:rFonts w:ascii="Palatino Linotype" w:eastAsia="Calibri" w:hAnsi="Palatino Linotype"/>
          <w:bCs/>
          <w:iCs/>
          <w:color w:val="000000" w:themeColor="text1"/>
          <w:lang w:val="es-ES" w:eastAsia="en-US"/>
        </w:rPr>
      </w:pPr>
      <w:r w:rsidRPr="00D623DC">
        <w:rPr>
          <w:rFonts w:ascii="Palatino Linotype" w:eastAsia="Calibri" w:hAnsi="Palatino Linotype"/>
          <w:bCs/>
          <w:iCs/>
          <w:color w:val="000000" w:themeColor="text1"/>
          <w:lang w:val="es-ES" w:eastAsia="en-US"/>
        </w:rPr>
        <w:t>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53D85349" w14:textId="77777777" w:rsidR="00407B32" w:rsidRPr="00D623DC" w:rsidRDefault="00407B32" w:rsidP="00487BE9">
      <w:pPr>
        <w:spacing w:line="360" w:lineRule="auto"/>
        <w:jc w:val="both"/>
        <w:rPr>
          <w:rFonts w:ascii="Palatino Linotype" w:eastAsia="Calibri" w:hAnsi="Palatino Linotype"/>
          <w:bCs/>
          <w:iCs/>
          <w:color w:val="000000" w:themeColor="text1"/>
          <w:lang w:val="es-ES" w:eastAsia="en-US"/>
        </w:rPr>
      </w:pPr>
    </w:p>
    <w:p w14:paraId="2CFFEC1D" w14:textId="77777777" w:rsidR="00407B32" w:rsidRPr="00D623DC" w:rsidRDefault="00407B32" w:rsidP="00487BE9">
      <w:pPr>
        <w:spacing w:line="360" w:lineRule="auto"/>
        <w:ind w:left="567" w:right="567"/>
        <w:jc w:val="both"/>
        <w:rPr>
          <w:rFonts w:ascii="Palatino Linotype" w:eastAsia="Calibri" w:hAnsi="Palatino Linotype"/>
          <w:bCs/>
          <w:i/>
          <w:iCs/>
          <w:color w:val="000000" w:themeColor="text1"/>
          <w:lang w:val="es-ES" w:eastAsia="en-US"/>
        </w:rPr>
      </w:pPr>
      <w:r w:rsidRPr="00D623DC">
        <w:rPr>
          <w:rFonts w:ascii="Palatino Linotype" w:eastAsia="Calibri" w:hAnsi="Palatino Linotype"/>
          <w:b/>
          <w:bCs/>
          <w:i/>
          <w:iCs/>
          <w:color w:val="000000" w:themeColor="text1"/>
          <w:lang w:val="es-ES" w:eastAsia="en-US"/>
        </w:rPr>
        <w:t xml:space="preserve">“SECRETO FISCAL. CONCEPTO DE. </w:t>
      </w:r>
      <w:r w:rsidRPr="00D623DC">
        <w:rPr>
          <w:rFonts w:ascii="Palatino Linotype" w:eastAsia="Calibri" w:hAnsi="Palatino Linotype"/>
          <w:bCs/>
          <w:i/>
          <w:iCs/>
          <w:color w:val="000000" w:themeColor="text1"/>
          <w:lang w:val="es-ES" w:eastAsia="en-U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w:t>
      </w:r>
      <w:r w:rsidRPr="00D623DC">
        <w:rPr>
          <w:rFonts w:ascii="Palatino Linotype" w:eastAsia="Calibri" w:hAnsi="Palatino Linotype"/>
          <w:bCs/>
          <w:i/>
          <w:iCs/>
          <w:color w:val="000000" w:themeColor="text1"/>
          <w:lang w:val="es-ES" w:eastAsia="en-US"/>
        </w:rPr>
        <w:lastRenderedPageBreak/>
        <w:t>textualmente, sino relativa al establecer dicho precepto distintas excepciones al respecto.”</w:t>
      </w:r>
    </w:p>
    <w:p w14:paraId="7111F125" w14:textId="77777777" w:rsidR="00407B32" w:rsidRPr="00D623DC" w:rsidRDefault="00407B32" w:rsidP="00487BE9">
      <w:pPr>
        <w:spacing w:line="360" w:lineRule="auto"/>
        <w:jc w:val="both"/>
        <w:rPr>
          <w:rFonts w:ascii="Palatino Linotype" w:eastAsia="Calibri" w:hAnsi="Palatino Linotype"/>
          <w:bCs/>
          <w:iCs/>
          <w:color w:val="000000" w:themeColor="text1"/>
          <w:lang w:val="es-ES" w:eastAsia="en-US"/>
        </w:rPr>
      </w:pPr>
    </w:p>
    <w:p w14:paraId="585D05C3" w14:textId="77777777" w:rsidR="00F333F7" w:rsidRPr="00D623DC" w:rsidRDefault="00407B32" w:rsidP="00487BE9">
      <w:pPr>
        <w:pStyle w:val="Prrafodelista"/>
        <w:numPr>
          <w:ilvl w:val="0"/>
          <w:numId w:val="1"/>
        </w:numPr>
        <w:spacing w:line="360" w:lineRule="auto"/>
        <w:ind w:left="0" w:right="49" w:firstLine="0"/>
        <w:jc w:val="both"/>
        <w:rPr>
          <w:rFonts w:ascii="Palatino Linotype" w:hAnsi="Palatino Linotype" w:cs="Arial"/>
        </w:rPr>
      </w:pPr>
      <w:r w:rsidRPr="00D623DC">
        <w:rPr>
          <w:rFonts w:ascii="Palatino Linotype" w:eastAsia="Calibri" w:hAnsi="Palatino Linotype"/>
          <w:bCs/>
          <w:iCs/>
          <w:color w:val="000000" w:themeColor="text1"/>
          <w:lang w:val="es-ES"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r w:rsidRPr="00D623DC">
        <w:rPr>
          <w:rFonts w:ascii="Palatino Linotype" w:hAnsi="Palatino Linotype"/>
        </w:rPr>
        <w:t>Empero, de conformidad con lo dispuesto en el precepto 55 del Código Financiero del Estado de México y Municipios anteriormente citado, al caso concreto queda insubsistente la causal de reserva.</w:t>
      </w:r>
    </w:p>
    <w:p w14:paraId="03B2E448" w14:textId="77777777" w:rsidR="00407B32" w:rsidRPr="00D623DC" w:rsidRDefault="00407B32" w:rsidP="00487BE9">
      <w:pPr>
        <w:spacing w:line="360" w:lineRule="auto"/>
        <w:contextualSpacing/>
        <w:jc w:val="both"/>
        <w:rPr>
          <w:rFonts w:ascii="Palatino Linotype" w:hAnsi="Palatino Linotype" w:cs="Arial"/>
        </w:rPr>
      </w:pPr>
    </w:p>
    <w:p w14:paraId="00EC5ADA" w14:textId="77777777" w:rsidR="00875330" w:rsidRPr="00D623DC" w:rsidRDefault="00AA5F6D" w:rsidP="00487BE9">
      <w:pPr>
        <w:numPr>
          <w:ilvl w:val="0"/>
          <w:numId w:val="1"/>
        </w:numPr>
        <w:spacing w:line="360" w:lineRule="auto"/>
        <w:ind w:left="0" w:firstLine="0"/>
        <w:contextualSpacing/>
        <w:jc w:val="both"/>
        <w:rPr>
          <w:rFonts w:ascii="Palatino Linotype" w:hAnsi="Palatino Linotype" w:cs="Arial"/>
        </w:rPr>
      </w:pPr>
      <w:r w:rsidRPr="00D623DC">
        <w:rPr>
          <w:rFonts w:ascii="Palatino Linotype" w:eastAsia="Calibri" w:hAnsi="Palatino Linotype" w:cs="Tahoma"/>
          <w:bCs/>
          <w:iCs/>
          <w:color w:val="000000"/>
          <w:lang w:eastAsia="en-US"/>
        </w:rPr>
        <w:t xml:space="preserve">Ahora bien, derivado de la falta de pronunciamiento al respecto en la respuesta primigenia, no se cuenta con certeza de que los propietarios de los departamentos específicamente señalados cuenten con adeudos o créditos fiscales </w:t>
      </w:r>
      <w:r w:rsidR="00875330" w:rsidRPr="00D623DC">
        <w:rPr>
          <w:rFonts w:ascii="Palatino Linotype" w:hAnsi="Palatino Linotype"/>
          <w:color w:val="000000" w:themeColor="text1"/>
        </w:rPr>
        <w:t xml:space="preserve">es que si para el caso de la nueva búsqueda no existiera ningún registro al respecto, el </w:t>
      </w:r>
      <w:r w:rsidR="00875330" w:rsidRPr="00D623DC">
        <w:rPr>
          <w:rFonts w:ascii="Palatino Linotype" w:hAnsi="Palatino Linotype"/>
          <w:b/>
        </w:rPr>
        <w:t>SUJETO OBLIGADO</w:t>
      </w:r>
      <w:r w:rsidR="00875330" w:rsidRPr="00D623DC">
        <w:rPr>
          <w:rFonts w:ascii="Palatino Linotype" w:hAnsi="Palatino Linotype"/>
        </w:rPr>
        <w:t xml:space="preserve"> deberá hacer del conocimiento del particular, de las razones, por las cuales no lo genero, posee o administra.  En ese sentido </w:t>
      </w:r>
      <w:r w:rsidR="00875330" w:rsidRPr="00D623DC">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666159F" w14:textId="77777777" w:rsidR="00875330" w:rsidRPr="00D623DC" w:rsidRDefault="00875330" w:rsidP="00487BE9">
      <w:pPr>
        <w:pStyle w:val="Prrafodelista"/>
        <w:spacing w:line="360" w:lineRule="auto"/>
        <w:ind w:left="851" w:right="425"/>
        <w:jc w:val="both"/>
        <w:rPr>
          <w:rFonts w:ascii="Palatino Linotype" w:eastAsia="Calibri" w:hAnsi="Palatino Linotype" w:cs="Times New Roman"/>
          <w:b/>
          <w:i/>
          <w:lang w:val="es-ES"/>
        </w:rPr>
      </w:pPr>
    </w:p>
    <w:p w14:paraId="15581FA0" w14:textId="77777777" w:rsidR="00875330" w:rsidRPr="00D623DC" w:rsidRDefault="00875330" w:rsidP="00487BE9">
      <w:pPr>
        <w:pStyle w:val="Prrafodelista"/>
        <w:spacing w:line="360" w:lineRule="auto"/>
        <w:ind w:left="567" w:right="425"/>
        <w:jc w:val="both"/>
        <w:rPr>
          <w:rFonts w:ascii="Palatino Linotype" w:eastAsia="Calibri" w:hAnsi="Palatino Linotype" w:cs="Times New Roman"/>
          <w:i/>
          <w:lang w:val="es-ES"/>
        </w:rPr>
      </w:pPr>
      <w:r w:rsidRPr="00D623DC">
        <w:rPr>
          <w:rFonts w:ascii="Palatino Linotype" w:eastAsia="Calibri" w:hAnsi="Palatino Linotype" w:cs="Times New Roman"/>
          <w:b/>
          <w:i/>
          <w:lang w:val="es-ES"/>
        </w:rPr>
        <w:lastRenderedPageBreak/>
        <w:t>“Artículo 19.</w:t>
      </w:r>
      <w:r w:rsidRPr="00D623DC">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70C1F833" w14:textId="77777777" w:rsidR="00875330" w:rsidRPr="00D623DC" w:rsidRDefault="00875330" w:rsidP="00487BE9">
      <w:pPr>
        <w:pStyle w:val="Prrafodelista"/>
        <w:spacing w:line="360" w:lineRule="auto"/>
        <w:ind w:left="567" w:right="425"/>
        <w:jc w:val="both"/>
        <w:rPr>
          <w:rFonts w:ascii="Palatino Linotype" w:eastAsia="Calibri" w:hAnsi="Palatino Linotype" w:cs="Times New Roman"/>
          <w:b/>
          <w:i/>
          <w:lang w:val="es-ES"/>
        </w:rPr>
      </w:pPr>
      <w:r w:rsidRPr="00D623DC">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C5BAA80" w14:textId="77777777" w:rsidR="00875330" w:rsidRPr="00D623DC" w:rsidRDefault="00875330" w:rsidP="00487BE9">
      <w:pPr>
        <w:pStyle w:val="Prrafodelista"/>
        <w:spacing w:line="360" w:lineRule="auto"/>
        <w:ind w:left="567" w:right="425"/>
        <w:jc w:val="both"/>
        <w:rPr>
          <w:rFonts w:ascii="Palatino Linotype" w:eastAsia="Calibri" w:hAnsi="Palatino Linotype" w:cs="Times New Roman"/>
          <w:i/>
          <w:lang w:val="es-ES"/>
        </w:rPr>
      </w:pPr>
      <w:r w:rsidRPr="00D623DC">
        <w:rPr>
          <w:rFonts w:ascii="Palatino Linotype" w:eastAsia="Calibri" w:hAnsi="Palatino Linotype" w:cs="Times New Roman"/>
          <w:i/>
          <w:lang w:val="es-ES"/>
        </w:rPr>
        <w:t xml:space="preserve">Si el sujeto obligado, en el ejercicio de sus atribuciones, </w:t>
      </w:r>
      <w:r w:rsidRPr="00D623DC">
        <w:rPr>
          <w:rFonts w:ascii="Palatino Linotype" w:eastAsia="Calibri" w:hAnsi="Palatino Linotype" w:cs="Times New Roman"/>
          <w:b/>
          <w:i/>
          <w:lang w:val="es-ES"/>
        </w:rPr>
        <w:t>debía generar, poseer o administrar la información, pero ésta no se encuentra</w:t>
      </w:r>
      <w:r w:rsidRPr="00D623DC">
        <w:rPr>
          <w:rFonts w:ascii="Palatino Linotype" w:eastAsia="Calibri" w:hAnsi="Palatino Linotype" w:cs="Times New Roman"/>
          <w:i/>
          <w:lang w:val="es-ES"/>
        </w:rPr>
        <w:t xml:space="preserve">, el Comité de transparencia deberá emitir un acuerdo de inexistencia, debidamente fundado y motivado, en el que detalle las razones del por qué no obra en sus archivos. </w:t>
      </w:r>
    </w:p>
    <w:p w14:paraId="43A8EB28" w14:textId="77777777" w:rsidR="00875330" w:rsidRPr="00D623DC" w:rsidRDefault="00875330" w:rsidP="00487BE9">
      <w:pPr>
        <w:pStyle w:val="Prrafodelista"/>
        <w:spacing w:line="360" w:lineRule="auto"/>
        <w:ind w:left="567" w:right="425"/>
        <w:jc w:val="both"/>
        <w:rPr>
          <w:rFonts w:ascii="Palatino Linotype" w:eastAsia="Calibri" w:hAnsi="Palatino Linotype" w:cs="Times New Roman"/>
          <w:lang w:val="es-ES"/>
        </w:rPr>
      </w:pPr>
      <w:r w:rsidRPr="00D623DC">
        <w:rPr>
          <w:rFonts w:ascii="Palatino Linotype" w:eastAsia="Calibri" w:hAnsi="Palatino Linotype" w:cs="Times New Roman"/>
          <w:lang w:val="es-ES"/>
        </w:rPr>
        <w:t>(Énfasis añadido)</w:t>
      </w:r>
    </w:p>
    <w:p w14:paraId="425244A2" w14:textId="77777777" w:rsidR="00875330" w:rsidRPr="00D623DC" w:rsidRDefault="00875330" w:rsidP="00487BE9">
      <w:pPr>
        <w:pStyle w:val="Prrafodelista"/>
        <w:spacing w:line="360" w:lineRule="auto"/>
        <w:ind w:left="567" w:right="425"/>
        <w:jc w:val="both"/>
        <w:rPr>
          <w:rFonts w:ascii="Palatino Linotype" w:eastAsia="Calibri" w:hAnsi="Palatino Linotype" w:cs="Times New Roman"/>
          <w:lang w:val="es-ES"/>
        </w:rPr>
      </w:pPr>
    </w:p>
    <w:p w14:paraId="691FD24A" w14:textId="77777777" w:rsidR="00875330" w:rsidRPr="00D623DC" w:rsidRDefault="00875330" w:rsidP="00487BE9">
      <w:pPr>
        <w:pStyle w:val="Prrafodelista"/>
        <w:numPr>
          <w:ilvl w:val="0"/>
          <w:numId w:val="1"/>
        </w:numPr>
        <w:spacing w:line="360" w:lineRule="auto"/>
        <w:ind w:left="0" w:firstLine="0"/>
        <w:jc w:val="both"/>
        <w:rPr>
          <w:rFonts w:ascii="Palatino Linotype" w:eastAsia="Calibri" w:hAnsi="Palatino Linotype" w:cs="Times New Roman"/>
          <w:lang w:val="es-ES"/>
        </w:rPr>
      </w:pPr>
      <w:r w:rsidRPr="00D623DC">
        <w:rPr>
          <w:rFonts w:ascii="Palatino Linotype" w:eastAsia="Calibri" w:hAnsi="Palatino Linotype" w:cs="Times New Roman"/>
          <w:lang w:val="es-ES"/>
        </w:rPr>
        <w:t>El</w:t>
      </w:r>
      <w:r w:rsidRPr="00D623DC">
        <w:rPr>
          <w:rFonts w:ascii="Palatino Linotype" w:eastAsia="Calibri" w:hAnsi="Palatino Linotype" w:cs="Arial"/>
        </w:rPr>
        <w:t xml:space="preserve">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4D3601D" w14:textId="77777777" w:rsidR="00875330" w:rsidRPr="00D623DC" w:rsidRDefault="00875330" w:rsidP="00487BE9">
      <w:pPr>
        <w:spacing w:line="360" w:lineRule="auto"/>
        <w:jc w:val="both"/>
        <w:rPr>
          <w:rFonts w:ascii="Palatino Linotype" w:eastAsia="Calibri" w:hAnsi="Palatino Linotype" w:cs="Arial"/>
        </w:rPr>
      </w:pPr>
    </w:p>
    <w:p w14:paraId="3C1AFC59" w14:textId="77777777" w:rsidR="00875330" w:rsidRPr="00D623DC" w:rsidRDefault="00875330" w:rsidP="00487BE9">
      <w:pPr>
        <w:pStyle w:val="Prrafodelista"/>
        <w:numPr>
          <w:ilvl w:val="0"/>
          <w:numId w:val="1"/>
        </w:numPr>
        <w:spacing w:line="360" w:lineRule="auto"/>
        <w:ind w:left="0" w:firstLine="0"/>
        <w:jc w:val="both"/>
        <w:rPr>
          <w:rFonts w:ascii="Palatino Linotype" w:eastAsia="Calibri" w:hAnsi="Palatino Linotype" w:cs="Arial"/>
        </w:rPr>
      </w:pPr>
      <w:r w:rsidRPr="00D623DC">
        <w:rPr>
          <w:rFonts w:ascii="Palatino Linotype" w:eastAsia="Calibri" w:hAnsi="Palatino Linotype" w:cs="Arial"/>
        </w:rPr>
        <w:t xml:space="preserve">Por lo que de ser el caso que dicha información no haya sido generada el </w:t>
      </w:r>
      <w:r w:rsidRPr="00D623DC">
        <w:rPr>
          <w:rFonts w:ascii="Palatino Linotype" w:eastAsia="Calibri" w:hAnsi="Palatino Linotype" w:cs="Arial"/>
          <w:b/>
        </w:rPr>
        <w:t xml:space="preserve">SUJETO OBLIGADO </w:t>
      </w:r>
      <w:r w:rsidRPr="00D623DC">
        <w:rPr>
          <w:rFonts w:ascii="Palatino Linotype" w:eastAsia="Calibri" w:hAnsi="Palatino Linotype" w:cs="Arial"/>
        </w:rPr>
        <w:t>deberá de manifestar, de manera precisa y clara</w:t>
      </w:r>
      <w:r w:rsidRPr="00D623DC">
        <w:rPr>
          <w:rFonts w:ascii="Palatino Linotype" w:eastAsia="Calibri" w:hAnsi="Palatino Linotype" w:cs="Arial"/>
          <w:b/>
        </w:rPr>
        <w:t xml:space="preserve">, las razones </w:t>
      </w:r>
      <w:r w:rsidRPr="00D623DC">
        <w:rPr>
          <w:rFonts w:ascii="Palatino Linotype" w:eastAsia="Calibri" w:hAnsi="Palatino Linotype" w:cs="Arial"/>
          <w:b/>
        </w:rPr>
        <w:lastRenderedPageBreak/>
        <w:t>que expliquen las causas por las que no se haya generado</w:t>
      </w:r>
      <w:r w:rsidRPr="00D623DC">
        <w:rPr>
          <w:rFonts w:ascii="Palatino Linotype" w:eastAsia="Calibri" w:hAnsi="Palatino Linotype" w:cs="Arial"/>
        </w:rPr>
        <w:t xml:space="preserve"> la información requerida, en observancia a la salvedad contenida en el </w:t>
      </w:r>
      <w:r w:rsidRPr="00D623DC">
        <w:rPr>
          <w:rFonts w:ascii="Palatino Linotype" w:eastAsia="Calibri" w:hAnsi="Palatino Linotype" w:cs="Arial"/>
          <w:b/>
        </w:rPr>
        <w:t>segundo párrafo</w:t>
      </w:r>
      <w:r w:rsidRPr="00D623DC">
        <w:rPr>
          <w:rFonts w:ascii="Palatino Linotype" w:eastAsia="Calibri" w:hAnsi="Palatino Linotype" w:cs="Arial"/>
        </w:rPr>
        <w:t xml:space="preserve"> del artículo 19 antes transcrito</w:t>
      </w:r>
      <w:r w:rsidRPr="00D623DC">
        <w:rPr>
          <w:rFonts w:ascii="Palatino Linotype" w:eastAsia="Calibri" w:hAnsi="Palatino Linotype" w:cs="Arial"/>
          <w:b/>
        </w:rPr>
        <w:t>.</w:t>
      </w:r>
    </w:p>
    <w:p w14:paraId="724FA491" w14:textId="77777777" w:rsidR="00822F8B" w:rsidRPr="00D623DC" w:rsidRDefault="00822F8B" w:rsidP="00487BE9">
      <w:pPr>
        <w:pStyle w:val="Prrafodelista"/>
        <w:tabs>
          <w:tab w:val="left" w:pos="567"/>
        </w:tabs>
        <w:spacing w:line="360" w:lineRule="auto"/>
        <w:ind w:left="0"/>
        <w:jc w:val="both"/>
        <w:rPr>
          <w:rFonts w:ascii="Palatino Linotype" w:eastAsia="Calibri" w:hAnsi="Palatino Linotype" w:cs="Tahoma"/>
          <w:bCs/>
          <w:iCs/>
          <w:color w:val="000000"/>
          <w:lang w:eastAsia="en-US"/>
        </w:rPr>
      </w:pPr>
    </w:p>
    <w:p w14:paraId="74693E64" w14:textId="77777777" w:rsidR="00822F8B" w:rsidRPr="00D623DC" w:rsidRDefault="00822F8B"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eastAsia="MS Mincho" w:hAnsi="Palatino Linotype"/>
          <w:color w:val="000000"/>
        </w:rPr>
        <w:t>Por otro lado,</w:t>
      </w:r>
      <w:r w:rsidR="00875330" w:rsidRPr="00D623DC">
        <w:rPr>
          <w:rFonts w:ascii="Palatino Linotype" w:eastAsia="MS Mincho" w:hAnsi="Palatino Linotype"/>
          <w:color w:val="000000"/>
        </w:rPr>
        <w:t xml:space="preserve"> no debe perderse de vista que  no señaló</w:t>
      </w:r>
      <w:r w:rsidRPr="00D623DC">
        <w:rPr>
          <w:rFonts w:ascii="Palatino Linotype" w:eastAsia="MS Mincho" w:hAnsi="Palatino Linotype"/>
          <w:color w:val="000000"/>
        </w:rPr>
        <w:t xml:space="preserve"> el </w:t>
      </w:r>
      <w:r w:rsidR="00875330" w:rsidRPr="00D623DC">
        <w:rPr>
          <w:rFonts w:ascii="Palatino Linotype" w:eastAsia="MS Mincho" w:hAnsi="Palatino Linotype"/>
          <w:color w:val="000000"/>
        </w:rPr>
        <w:t>lapso temporal</w:t>
      </w:r>
      <w:r w:rsidRPr="00D623DC">
        <w:rPr>
          <w:rFonts w:ascii="Palatino Linotype" w:eastAsia="MS Mincho" w:hAnsi="Palatino Linotype"/>
          <w:color w:val="000000"/>
        </w:rPr>
        <w:t xml:space="preserve"> d</w:t>
      </w:r>
      <w:r w:rsidR="00875330" w:rsidRPr="00D623DC">
        <w:rPr>
          <w:rFonts w:ascii="Palatino Linotype" w:eastAsia="MS Mincho" w:hAnsi="Palatino Linotype"/>
          <w:color w:val="000000"/>
        </w:rPr>
        <w:t xml:space="preserve">el cual requiere la información; en virtud de lo anterior </w:t>
      </w:r>
      <w:r w:rsidRPr="00D623DC">
        <w:rPr>
          <w:rFonts w:ascii="Palatino Linotype" w:hAnsi="Palatino Linotype" w:cs="Arial"/>
        </w:rPr>
        <w:t>se deberá realizar la búsqueda de lo solicitado en los archivos del</w:t>
      </w:r>
      <w:r w:rsidRPr="00D623DC">
        <w:rPr>
          <w:rFonts w:ascii="Palatino Linotype" w:hAnsi="Palatino Linotype" w:cs="Arial"/>
          <w:b/>
        </w:rPr>
        <w:t xml:space="preserve"> SUJETO OBLIGADO </w:t>
      </w:r>
      <w:r w:rsidRPr="00D623DC">
        <w:rPr>
          <w:rFonts w:ascii="Palatino Linotype" w:hAnsi="Palatino Linotype" w:cs="Arial"/>
        </w:rPr>
        <w:t xml:space="preserve">por periodo consistente del año inmediato anterior a la fecha de la presentación de la solicitud, esto es del uno (01) de febrero de dos mil veintiuno al uno (01) de febrero del dos mil veintidós. </w:t>
      </w:r>
    </w:p>
    <w:p w14:paraId="048B7BF1" w14:textId="77777777" w:rsidR="00822F8B" w:rsidRPr="00D623DC" w:rsidRDefault="00822F8B" w:rsidP="00487BE9">
      <w:pPr>
        <w:pStyle w:val="Prrafodelista"/>
        <w:tabs>
          <w:tab w:val="left" w:pos="567"/>
        </w:tabs>
        <w:spacing w:line="360" w:lineRule="auto"/>
        <w:ind w:left="0"/>
        <w:jc w:val="both"/>
        <w:rPr>
          <w:rFonts w:ascii="Palatino Linotype" w:hAnsi="Palatino Linotype" w:cs="Arial"/>
        </w:rPr>
      </w:pPr>
    </w:p>
    <w:p w14:paraId="761E7888" w14:textId="77777777" w:rsidR="00822F8B" w:rsidRPr="00D623DC" w:rsidRDefault="00822F8B" w:rsidP="00487BE9">
      <w:pPr>
        <w:pStyle w:val="Prrafodelista"/>
        <w:numPr>
          <w:ilvl w:val="0"/>
          <w:numId w:val="1"/>
        </w:numPr>
        <w:tabs>
          <w:tab w:val="left" w:pos="567"/>
        </w:tabs>
        <w:spacing w:line="360" w:lineRule="auto"/>
        <w:ind w:left="0" w:firstLine="0"/>
        <w:jc w:val="both"/>
        <w:rPr>
          <w:rFonts w:ascii="Palatino Linotype" w:hAnsi="Palatino Linotype" w:cs="Arial"/>
        </w:rPr>
      </w:pPr>
      <w:r w:rsidRPr="00D623DC">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14:paraId="0A02EB27" w14:textId="77777777" w:rsidR="00822F8B" w:rsidRPr="00D623DC" w:rsidRDefault="00822F8B" w:rsidP="00487BE9">
      <w:pPr>
        <w:pStyle w:val="Prrafodelista"/>
        <w:tabs>
          <w:tab w:val="left" w:pos="567"/>
          <w:tab w:val="left" w:pos="8222"/>
        </w:tabs>
        <w:spacing w:line="360" w:lineRule="auto"/>
        <w:ind w:left="0"/>
        <w:jc w:val="both"/>
        <w:rPr>
          <w:rFonts w:ascii="Palatino Linotype" w:hAnsi="Palatino Linotype" w:cs="Arial"/>
        </w:rPr>
      </w:pPr>
    </w:p>
    <w:p w14:paraId="2D03E074" w14:textId="77777777" w:rsidR="00822F8B" w:rsidRPr="00D623DC" w:rsidRDefault="00822F8B" w:rsidP="00487BE9">
      <w:pPr>
        <w:tabs>
          <w:tab w:val="left" w:pos="8222"/>
        </w:tabs>
        <w:spacing w:line="360" w:lineRule="auto"/>
        <w:ind w:left="567" w:right="900"/>
        <w:jc w:val="both"/>
        <w:rPr>
          <w:rFonts w:ascii="Palatino Linotype" w:eastAsia="MS Mincho" w:hAnsi="Palatino Linotype"/>
          <w:i/>
          <w:color w:val="000000"/>
        </w:rPr>
      </w:pPr>
      <w:r w:rsidRPr="00D623DC">
        <w:rPr>
          <w:rFonts w:ascii="Palatino Linotype" w:eastAsia="MS Mincho" w:hAnsi="Palatino Linotype"/>
          <w:b/>
          <w:i/>
          <w:color w:val="000000"/>
        </w:rPr>
        <w:t>“PERIODO DE BÚSQUEDA DE LA INFORMACIÓN.</w:t>
      </w:r>
      <w:r w:rsidRPr="00D623DC">
        <w:rPr>
          <w:rFonts w:ascii="Palatino Linotype" w:eastAsia="MS Mincho" w:hAnsi="Palatino Linotype"/>
          <w:i/>
          <w:color w:val="00000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8C69F35" w14:textId="77777777" w:rsidR="00F87704" w:rsidRPr="00D623DC" w:rsidRDefault="00F87704" w:rsidP="00487BE9">
      <w:pPr>
        <w:tabs>
          <w:tab w:val="left" w:pos="8222"/>
        </w:tabs>
        <w:spacing w:line="360" w:lineRule="auto"/>
        <w:ind w:left="567" w:right="900"/>
        <w:jc w:val="both"/>
        <w:rPr>
          <w:rFonts w:ascii="Palatino Linotype" w:eastAsia="MS Mincho" w:hAnsi="Palatino Linotype"/>
          <w:i/>
          <w:color w:val="000000"/>
        </w:rPr>
      </w:pPr>
    </w:p>
    <w:p w14:paraId="46D6584B" w14:textId="77777777" w:rsidR="00487BE9" w:rsidRPr="00D623DC" w:rsidRDefault="00487BE9" w:rsidP="00487BE9">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D623DC">
        <w:rPr>
          <w:rFonts w:ascii="Palatino Linotype" w:eastAsia="Calibri" w:hAnsi="Palatino Linotype"/>
        </w:rPr>
        <w:t xml:space="preserve">No pasa desapercibido que el ahora </w:t>
      </w:r>
      <w:r w:rsidRPr="00D623DC">
        <w:rPr>
          <w:rFonts w:ascii="Palatino Linotype" w:eastAsia="Calibri" w:hAnsi="Palatino Linotype"/>
          <w:b/>
        </w:rPr>
        <w:t>RECURRENTE</w:t>
      </w:r>
      <w:r w:rsidRPr="00D623DC">
        <w:rPr>
          <w:rFonts w:ascii="Palatino Linotype" w:eastAsia="Calibri" w:hAnsi="Palatino Linotype"/>
        </w:rPr>
        <w:t xml:space="preserve"> pretende que la información le sea entregada de manera desagregada por departamento. Al respecto </w:t>
      </w:r>
      <w:r w:rsidRPr="00D623DC">
        <w:rPr>
          <w:rFonts w:ascii="Palatino Linotype" w:hAnsi="Palatino Linotype" w:cs="Arial"/>
        </w:rPr>
        <w:t xml:space="preserve">los sujetos obligados no se encuentran obligados a generar documentos </w:t>
      </w:r>
      <w:r w:rsidRPr="00D623DC">
        <w:rPr>
          <w:rFonts w:ascii="Palatino Linotype" w:hAnsi="Palatino Linotype" w:cs="Arial"/>
          <w:i/>
        </w:rPr>
        <w:t>ad hoc</w:t>
      </w:r>
      <w:r w:rsidRPr="00D623DC">
        <w:rPr>
          <w:rFonts w:ascii="Palatino Linotype" w:hAnsi="Palatino Linotype" w:cs="Arial"/>
        </w:rPr>
        <w:t xml:space="preserve"> para atender las </w:t>
      </w:r>
      <w:r w:rsidRPr="00D623DC">
        <w:rPr>
          <w:rFonts w:ascii="Palatino Linotype" w:eastAsia="MS Mincho" w:hAnsi="Palatino Linotype"/>
          <w:color w:val="000000"/>
        </w:rPr>
        <w:t>solicitudes</w:t>
      </w:r>
      <w:r w:rsidRPr="00D623DC">
        <w:rPr>
          <w:rFonts w:ascii="Palatino Linotype" w:hAnsi="Palatino Linotype" w:cs="Arial"/>
        </w:rPr>
        <w:t xml:space="preserve"> de información de los </w:t>
      </w:r>
      <w:r w:rsidRPr="00D623DC">
        <w:rPr>
          <w:rFonts w:ascii="Palatino Linotype" w:hAnsi="Palatino Linotype"/>
          <w:color w:val="000000" w:themeColor="text1"/>
        </w:rPr>
        <w:t>particulares</w:t>
      </w:r>
      <w:r w:rsidRPr="00D623DC">
        <w:rPr>
          <w:rFonts w:ascii="Palatino Linotype" w:hAnsi="Palatino Linotype" w:cs="Arial"/>
        </w:rPr>
        <w:t xml:space="preserve"> </w:t>
      </w:r>
      <w:r w:rsidRPr="00D623DC">
        <w:rPr>
          <w:rFonts w:ascii="Palatino Linotype" w:hAnsi="Palatino Linotype" w:cs="Arial"/>
          <w:b/>
        </w:rPr>
        <w:t xml:space="preserve">conforme a sus intereses </w:t>
      </w:r>
      <w:r w:rsidRPr="00D623DC">
        <w:rPr>
          <w:rFonts w:ascii="Palatino Linotype" w:hAnsi="Palatino Linotype" w:cs="Arial"/>
          <w:b/>
        </w:rPr>
        <w:lastRenderedPageBreak/>
        <w:t>particulares</w:t>
      </w:r>
      <w:r w:rsidRPr="00D623DC">
        <w:rPr>
          <w:rFonts w:ascii="Palatino Linotype" w:hAnsi="Palatino Linotype" w:cs="Arial"/>
        </w:rPr>
        <w:t xml:space="preserve">, </w:t>
      </w:r>
      <w:r w:rsidRPr="00D623DC">
        <w:rPr>
          <w:rFonts w:ascii="Palatino Linotype" w:eastAsia="MS Mincho" w:hAnsi="Palatino Linotype" w:cs="Arial"/>
        </w:rPr>
        <w:t>c</w:t>
      </w:r>
      <w:r w:rsidRPr="00D623DC">
        <w:rPr>
          <w:rFonts w:ascii="Palatino Linotype" w:hAnsi="Palatino Linotype" w:cs="Arial"/>
        </w:rPr>
        <w:t xml:space="preserve">omo apoyo a lo anterior, es aplicable por analogía el </w:t>
      </w:r>
      <w:r w:rsidRPr="00D623DC">
        <w:rPr>
          <w:rFonts w:ascii="Palatino Linotype" w:hAnsi="Palatino Linotype" w:cs="Arial"/>
          <w:b/>
        </w:rPr>
        <w:t>Criterio 03/17</w:t>
      </w:r>
      <w:r w:rsidRPr="00D623DC">
        <w:rPr>
          <w:rFonts w:ascii="Palatino Linotype" w:hAnsi="Palatino Linotype" w:cs="Arial"/>
        </w:rPr>
        <w:t>, emitido por el Pleno del Instituto Nacional de Transparencia, Acceso a la Información y Protección de Datos Personales (INAI)</w:t>
      </w:r>
      <w:r w:rsidRPr="00D623DC">
        <w:rPr>
          <w:rFonts w:ascii="Palatino Linotype" w:hAnsi="Palatino Linotype" w:cs="Arial"/>
          <w:bCs/>
        </w:rPr>
        <w:t>, que a la letra dice:</w:t>
      </w:r>
    </w:p>
    <w:p w14:paraId="28061D40" w14:textId="77777777" w:rsidR="00487BE9" w:rsidRPr="00D623DC" w:rsidRDefault="00487BE9" w:rsidP="00487BE9">
      <w:pPr>
        <w:pStyle w:val="Prrafodelista"/>
        <w:spacing w:line="360" w:lineRule="auto"/>
        <w:rPr>
          <w:rFonts w:ascii="Palatino Linotype" w:hAnsi="Palatino Linotype" w:cs="Arial"/>
          <w:i/>
          <w:lang w:eastAsia="es-MX"/>
        </w:rPr>
      </w:pPr>
    </w:p>
    <w:p w14:paraId="0D9CD83A" w14:textId="77777777" w:rsidR="00487BE9" w:rsidRPr="00D623DC" w:rsidRDefault="00487BE9" w:rsidP="00487BE9">
      <w:pPr>
        <w:pStyle w:val="Prrafodelista"/>
        <w:spacing w:line="360" w:lineRule="auto"/>
        <w:ind w:left="567" w:right="618"/>
        <w:jc w:val="both"/>
        <w:rPr>
          <w:rFonts w:ascii="Palatino Linotype" w:hAnsi="Palatino Linotype" w:cs="Arial"/>
          <w:bCs/>
          <w:i/>
        </w:rPr>
      </w:pPr>
      <w:r w:rsidRPr="00D623DC">
        <w:rPr>
          <w:rFonts w:ascii="Palatino Linotype" w:hAnsi="Palatino Linotype" w:cs="Arial"/>
          <w:b/>
          <w:bCs/>
          <w:i/>
        </w:rPr>
        <w:t xml:space="preserve">“No existe obligación de elaborar documentos ad hoc para atender las solicitudes de acceso a la información. </w:t>
      </w:r>
      <w:r w:rsidRPr="00D623DC">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w:t>
      </w:r>
      <w:r w:rsidRPr="00D623DC">
        <w:rPr>
          <w:rFonts w:ascii="Palatino Linotype" w:hAnsi="Palatino Linotype" w:cs="Arial"/>
          <w:b/>
          <w:bCs/>
          <w:i/>
        </w:rPr>
        <w:t>sin necesidad de elaborar documentos ad hoc para atender las solicitudes de información</w:t>
      </w:r>
      <w:r w:rsidRPr="00D623DC">
        <w:rPr>
          <w:rFonts w:ascii="Palatino Linotype" w:hAnsi="Palatino Linotype" w:cs="Arial"/>
          <w:bCs/>
          <w:i/>
        </w:rPr>
        <w:t>.</w:t>
      </w:r>
    </w:p>
    <w:p w14:paraId="551FD07B" w14:textId="77777777" w:rsidR="00487BE9" w:rsidRPr="00D623DC" w:rsidRDefault="00487BE9" w:rsidP="00487BE9">
      <w:pPr>
        <w:pStyle w:val="Prrafodelista"/>
        <w:spacing w:line="360" w:lineRule="auto"/>
        <w:ind w:left="567" w:right="618"/>
        <w:jc w:val="both"/>
        <w:rPr>
          <w:rFonts w:ascii="Palatino Linotype" w:hAnsi="Palatino Linotype" w:cs="Arial"/>
          <w:bCs/>
        </w:rPr>
      </w:pPr>
      <w:r w:rsidRPr="00D623DC">
        <w:rPr>
          <w:rFonts w:ascii="Palatino Linotype" w:hAnsi="Palatino Linotype" w:cs="Arial"/>
          <w:bCs/>
        </w:rPr>
        <w:t>Énfasis añadido</w:t>
      </w:r>
    </w:p>
    <w:p w14:paraId="408DED5A" w14:textId="77777777" w:rsidR="00487BE9" w:rsidRPr="00D623DC" w:rsidRDefault="00487BE9" w:rsidP="00487BE9">
      <w:pPr>
        <w:pStyle w:val="Prrafodelista"/>
        <w:spacing w:line="360" w:lineRule="auto"/>
        <w:ind w:left="567" w:right="618"/>
        <w:jc w:val="both"/>
        <w:rPr>
          <w:rFonts w:ascii="Palatino Linotype" w:hAnsi="Palatino Linotype" w:cs="Arial"/>
          <w:bCs/>
          <w:i/>
        </w:rPr>
      </w:pPr>
    </w:p>
    <w:p w14:paraId="1FD77A67"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eastAsia="Calibri" w:hAnsi="Palatino Linotype"/>
        </w:rPr>
      </w:pPr>
      <w:r w:rsidRPr="00D623DC">
        <w:rPr>
          <w:rFonts w:ascii="Palatino Linotype" w:eastAsia="Calibri" w:hAnsi="Palatino Linotype"/>
        </w:rPr>
        <w:t xml:space="preserve">Por lo que la información deberá ser entregada al mayor grado de desagregación posible conforme a lo solicitado por el particular y conforme lo genere, posea o administre el Ayuntamiento en sus archivos, insistiendo en que no existe fuente obligacional para constreñir al </w:t>
      </w:r>
      <w:r w:rsidRPr="00D623DC">
        <w:rPr>
          <w:rFonts w:ascii="Palatino Linotype" w:eastAsia="Calibri" w:hAnsi="Palatino Linotype"/>
          <w:b/>
        </w:rPr>
        <w:t xml:space="preserve">SUJETO OBLIGADO </w:t>
      </w:r>
      <w:r w:rsidRPr="00D623DC">
        <w:rPr>
          <w:rFonts w:ascii="Palatino Linotype" w:eastAsia="Calibri" w:hAnsi="Palatino Linotype"/>
        </w:rPr>
        <w:t>a que se remita de dicha manera.</w:t>
      </w:r>
    </w:p>
    <w:p w14:paraId="287F79B1" w14:textId="77777777" w:rsidR="00487BE9" w:rsidRPr="00D623DC" w:rsidRDefault="00487BE9" w:rsidP="00487BE9">
      <w:pPr>
        <w:pStyle w:val="Prrafodelista"/>
        <w:tabs>
          <w:tab w:val="left" w:pos="567"/>
        </w:tabs>
        <w:spacing w:line="360" w:lineRule="auto"/>
        <w:ind w:left="0"/>
        <w:contextualSpacing w:val="0"/>
        <w:jc w:val="both"/>
        <w:rPr>
          <w:rFonts w:ascii="Palatino Linotype" w:eastAsia="Calibri" w:hAnsi="Palatino Linotype"/>
        </w:rPr>
      </w:pPr>
    </w:p>
    <w:p w14:paraId="3D6C3E96"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s="Arial"/>
          <w:i/>
        </w:rPr>
      </w:pPr>
      <w:r w:rsidRPr="00D623DC">
        <w:rPr>
          <w:rFonts w:ascii="Palatino Linotype" w:hAnsi="Palatino Linotype" w:cs="Arial"/>
        </w:rPr>
        <w:lastRenderedPageBreak/>
        <w:t xml:space="preserve">Lo anterior, en virtud que la información generada, obtenida, adquirida, </w:t>
      </w:r>
      <w:r w:rsidRPr="00D623DC">
        <w:rPr>
          <w:rFonts w:ascii="Palatino Linotype" w:hAnsi="Palatino Linotype" w:cs="Arial"/>
          <w:bCs/>
        </w:rPr>
        <w:t>transmitida</w:t>
      </w:r>
      <w:r w:rsidRPr="00D623DC">
        <w:rPr>
          <w:rFonts w:ascii="Palatino Linotype" w:hAnsi="Palatino Linotype" w:cs="Arial"/>
        </w:rPr>
        <w:t>, administrada o en posesión de los Sujetos Obligados, será accesible de manera permanente a cualquier persona, privilegiando el principio de máxima publicidad de la información.</w:t>
      </w:r>
    </w:p>
    <w:p w14:paraId="7CA9DEAC" w14:textId="77777777" w:rsidR="00487BE9" w:rsidRPr="00D623DC" w:rsidRDefault="00487BE9" w:rsidP="00487BE9">
      <w:pPr>
        <w:pStyle w:val="Prrafodelista"/>
        <w:spacing w:line="360" w:lineRule="auto"/>
        <w:ind w:left="502"/>
        <w:jc w:val="both"/>
        <w:rPr>
          <w:rFonts w:ascii="Palatino Linotype" w:hAnsi="Palatino Linotype" w:cs="Arial"/>
          <w:i/>
        </w:rPr>
      </w:pPr>
    </w:p>
    <w:p w14:paraId="1BD0790D"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s="Arial"/>
          <w:i/>
        </w:rPr>
      </w:pPr>
      <w:r w:rsidRPr="00D623DC">
        <w:rPr>
          <w:rFonts w:ascii="Palatino Linotype" w:hAnsi="Palatino Linotype" w:cs="Arial"/>
        </w:rPr>
        <w:t xml:space="preserve">En ese contexto,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7C0B846" w14:textId="77777777" w:rsidR="00487BE9" w:rsidRPr="00D623DC" w:rsidRDefault="00487BE9" w:rsidP="00487BE9">
      <w:pPr>
        <w:pStyle w:val="Prrafodelista"/>
        <w:spacing w:line="360" w:lineRule="auto"/>
        <w:ind w:left="502" w:right="567"/>
        <w:jc w:val="both"/>
        <w:rPr>
          <w:rFonts w:ascii="Palatino Linotype" w:hAnsi="Palatino Linotype" w:cs="Arial"/>
          <w:i/>
        </w:rPr>
      </w:pPr>
    </w:p>
    <w:p w14:paraId="276A1306" w14:textId="77777777" w:rsidR="00487BE9" w:rsidRPr="00D623DC" w:rsidRDefault="00487BE9" w:rsidP="00487BE9">
      <w:pPr>
        <w:pStyle w:val="Prrafodelista"/>
        <w:spacing w:line="360" w:lineRule="auto"/>
        <w:ind w:left="505" w:right="567"/>
        <w:jc w:val="both"/>
        <w:rPr>
          <w:rFonts w:ascii="Palatino Linotype" w:hAnsi="Palatino Linotype" w:cs="Arial"/>
          <w:i/>
        </w:rPr>
      </w:pPr>
      <w:r w:rsidRPr="00D623DC">
        <w:rPr>
          <w:rFonts w:ascii="Palatino Linotype" w:hAnsi="Palatino Linotype" w:cs="Arial"/>
          <w:i/>
        </w:rPr>
        <w:t>“</w:t>
      </w:r>
      <w:r w:rsidRPr="00D623DC">
        <w:rPr>
          <w:rFonts w:ascii="Palatino Linotype" w:hAnsi="Palatino Linotype" w:cs="Arial"/>
          <w:b/>
          <w:i/>
          <w:color w:val="000000"/>
        </w:rPr>
        <w:t>Artículo 12.</w:t>
      </w:r>
      <w:r w:rsidRPr="00D623D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2B688C7F" w14:textId="77777777" w:rsidR="00487BE9" w:rsidRPr="00D623DC" w:rsidRDefault="00487BE9" w:rsidP="00487BE9">
      <w:pPr>
        <w:pStyle w:val="Prrafodelista"/>
        <w:spacing w:line="360" w:lineRule="auto"/>
        <w:ind w:left="505" w:right="567"/>
        <w:jc w:val="both"/>
        <w:rPr>
          <w:rFonts w:ascii="Palatino Linotype" w:hAnsi="Palatino Linotype" w:cs="Arial"/>
          <w:i/>
        </w:rPr>
      </w:pPr>
      <w:r w:rsidRPr="00D623DC">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623DC">
        <w:rPr>
          <w:rFonts w:ascii="Palatino Linotype" w:hAnsi="Palatino Linotype" w:cs="Arial"/>
          <w:i/>
        </w:rPr>
        <w:t>”</w:t>
      </w:r>
    </w:p>
    <w:p w14:paraId="64E2AA45" w14:textId="77777777" w:rsidR="00487BE9" w:rsidRPr="00D623DC" w:rsidRDefault="00487BE9" w:rsidP="00487BE9">
      <w:pPr>
        <w:pStyle w:val="Prrafodelista"/>
        <w:spacing w:line="360" w:lineRule="auto"/>
        <w:ind w:left="505" w:right="567"/>
        <w:jc w:val="both"/>
        <w:rPr>
          <w:rFonts w:ascii="Palatino Linotype" w:hAnsi="Palatino Linotype" w:cs="Arial"/>
          <w:color w:val="000000"/>
        </w:rPr>
      </w:pPr>
      <w:r w:rsidRPr="00D623DC">
        <w:rPr>
          <w:rFonts w:ascii="Palatino Linotype" w:hAnsi="Palatino Linotype" w:cs="Arial"/>
          <w:color w:val="000000"/>
        </w:rPr>
        <w:t>Énfasis añadido</w:t>
      </w:r>
    </w:p>
    <w:p w14:paraId="66AAF381" w14:textId="77777777" w:rsidR="00487BE9" w:rsidRPr="00D623DC" w:rsidRDefault="00487BE9" w:rsidP="00487BE9">
      <w:pPr>
        <w:pStyle w:val="Prrafodelista"/>
        <w:spacing w:line="360" w:lineRule="auto"/>
        <w:ind w:left="505" w:right="567"/>
        <w:jc w:val="both"/>
        <w:rPr>
          <w:rFonts w:ascii="Palatino Linotype" w:hAnsi="Palatino Linotype" w:cs="Arial"/>
        </w:rPr>
      </w:pPr>
    </w:p>
    <w:p w14:paraId="474C7EEB"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s="Arial"/>
          <w:color w:val="000000" w:themeColor="text1"/>
        </w:rPr>
      </w:pPr>
      <w:r w:rsidRPr="00D623DC">
        <w:rPr>
          <w:rFonts w:ascii="Palatino Linotype" w:hAnsi="Palatino Linotype" w:cs="Arial"/>
          <w:color w:val="000000"/>
        </w:rPr>
        <w:t xml:space="preserve">En síntesis, el derecho de acceso a la información pública se satisface en aquellos casos en </w:t>
      </w:r>
      <w:r w:rsidRPr="00D623DC">
        <w:rPr>
          <w:rFonts w:ascii="Palatino Linotype" w:hAnsi="Palatino Linotype" w:cs="Arial"/>
        </w:rPr>
        <w:t>que</w:t>
      </w:r>
      <w:r w:rsidRPr="00D623DC">
        <w:rPr>
          <w:rFonts w:ascii="Palatino Linotype" w:hAnsi="Palatino Linotype" w:cs="Arial"/>
          <w:color w:val="000000"/>
        </w:rPr>
        <w:t xml:space="preserve"> </w:t>
      </w:r>
      <w:r w:rsidRPr="00D623DC">
        <w:rPr>
          <w:rFonts w:ascii="Palatino Linotype" w:hAnsi="Palatino Linotype" w:cs="Arial"/>
        </w:rPr>
        <w:t>se</w:t>
      </w:r>
      <w:r w:rsidRPr="00D623DC">
        <w:rPr>
          <w:rFonts w:ascii="Palatino Linotype" w:hAnsi="Palatino Linotype" w:cs="Arial"/>
          <w:color w:val="000000"/>
        </w:rPr>
        <w:t xml:space="preserve"> entregue el soporte documental en que conste la </w:t>
      </w:r>
      <w:r w:rsidRPr="00D623DC">
        <w:rPr>
          <w:rFonts w:ascii="Palatino Linotype" w:hAnsi="Palatino Linotype" w:cs="Arial"/>
          <w:color w:val="000000"/>
        </w:rPr>
        <w:lastRenderedPageBreak/>
        <w:t xml:space="preserve">información pública. </w:t>
      </w:r>
      <w:r w:rsidRPr="00D623DC">
        <w:rPr>
          <w:rFonts w:ascii="Palatino Linotype" w:hAnsi="Palatino Linotype" w:cs="Arial"/>
        </w:rPr>
        <w:t>Asimismo</w:t>
      </w:r>
      <w:r w:rsidRPr="00D623DC">
        <w:rPr>
          <w:rFonts w:ascii="Palatino Linotype" w:hAnsi="Palatino Linotype" w:cs="Arial"/>
          <w:color w:val="000000" w:themeColor="text1"/>
        </w:rPr>
        <w:t xml:space="preserve">, el artículo 24, de la Ley de la materia, dispone que los Sujetos Obligados sólo proporcionarán la información pública que </w:t>
      </w:r>
      <w:r w:rsidRPr="00D623DC">
        <w:rPr>
          <w:rFonts w:ascii="Palatino Linotype" w:hAnsi="Palatino Linotype" w:cs="Arial"/>
        </w:rPr>
        <w:t>generen</w:t>
      </w:r>
      <w:r w:rsidRPr="00D623DC">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ADDC27" w14:textId="77777777" w:rsidR="00487BE9" w:rsidRPr="00D623DC" w:rsidRDefault="00487BE9" w:rsidP="00487BE9">
      <w:pPr>
        <w:pStyle w:val="Prrafodelista"/>
        <w:autoSpaceDE w:val="0"/>
        <w:autoSpaceDN w:val="0"/>
        <w:adjustRightInd w:val="0"/>
        <w:spacing w:line="360" w:lineRule="auto"/>
        <w:ind w:left="0"/>
        <w:jc w:val="both"/>
        <w:rPr>
          <w:rFonts w:ascii="Palatino Linotype" w:hAnsi="Palatino Linotype" w:cs="Arial"/>
          <w:color w:val="000000" w:themeColor="text1"/>
        </w:rPr>
      </w:pPr>
    </w:p>
    <w:p w14:paraId="14E3BBC2"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s="Arial"/>
          <w:color w:val="000000" w:themeColor="text1"/>
        </w:rPr>
      </w:pPr>
      <w:r w:rsidRPr="00D623DC">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D623DC">
        <w:rPr>
          <w:rFonts w:ascii="Palatino Linotype" w:hAnsi="Palatino Linotype" w:cs="Arial"/>
        </w:rPr>
        <w:t xml:space="preserve">expedientes, reportes, estudios, actas, </w:t>
      </w:r>
      <w:r w:rsidRPr="00D623DC">
        <w:rPr>
          <w:rFonts w:ascii="Palatino Linotype" w:hAnsi="Palatino Linotype" w:cs="Arial"/>
          <w:color w:val="000000"/>
        </w:rPr>
        <w:t>resoluciones</w:t>
      </w:r>
      <w:r w:rsidRPr="00D623DC">
        <w:rPr>
          <w:rFonts w:ascii="Palatino Linotype" w:hAnsi="Palatino Linotype" w:cs="Arial"/>
        </w:rPr>
        <w:t>, oficios, correspondencia, acuerdos, directivas, directrices, circulares, contratos, convenios, instructivos, notas, memorandos, estadísticas o bien, cualquier otro registro que documente el ejercicio de las facultades, funciones y competencias de los Sujetos Obligados</w:t>
      </w:r>
      <w:r w:rsidRPr="00D623DC">
        <w:rPr>
          <w:rFonts w:ascii="Palatino Linotype" w:hAnsi="Palatino Linotype" w:cs="Arial"/>
          <w:color w:val="000000" w:themeColor="text1"/>
        </w:rPr>
        <w:t xml:space="preserve">; los que, </w:t>
      </w:r>
      <w:r w:rsidRPr="00D623DC">
        <w:rPr>
          <w:rFonts w:ascii="Palatino Linotype" w:hAnsi="Palatino Linotype" w:cs="Arial"/>
        </w:rPr>
        <w:t>podrán estar en cualquier medio, sea escrito, impreso, sonoro, visual, electrónico, informático u holográfico</w:t>
      </w:r>
      <w:r w:rsidRPr="00D623DC">
        <w:rPr>
          <w:rFonts w:ascii="Palatino Linotype" w:hAnsi="Palatino Linotype" w:cs="Arial"/>
          <w:color w:val="000000" w:themeColor="text1"/>
        </w:rPr>
        <w:t xml:space="preserve">, de conformidad con el artículo 3, fracción XI, de la Ley de la materia, el cual dispone lo siguiente: </w:t>
      </w:r>
    </w:p>
    <w:p w14:paraId="7FA6B10D" w14:textId="77777777" w:rsidR="00487BE9" w:rsidRPr="00D623DC" w:rsidRDefault="00487BE9" w:rsidP="00487BE9">
      <w:pPr>
        <w:pStyle w:val="Prrafodelista"/>
        <w:spacing w:line="360" w:lineRule="auto"/>
        <w:rPr>
          <w:rFonts w:ascii="Palatino Linotype" w:hAnsi="Palatino Linotype" w:cs="Arial"/>
          <w:color w:val="000000" w:themeColor="text1"/>
        </w:rPr>
      </w:pPr>
    </w:p>
    <w:p w14:paraId="38E34D0A" w14:textId="77777777" w:rsidR="00487BE9" w:rsidRPr="00D623DC" w:rsidRDefault="00487BE9" w:rsidP="00487BE9">
      <w:pPr>
        <w:spacing w:line="360" w:lineRule="auto"/>
        <w:ind w:left="567" w:right="567"/>
        <w:jc w:val="both"/>
        <w:rPr>
          <w:rFonts w:ascii="Palatino Linotype" w:hAnsi="Palatino Linotype" w:cs="Arial"/>
          <w:i/>
          <w:color w:val="000000"/>
        </w:rPr>
      </w:pPr>
      <w:r w:rsidRPr="00D623DC">
        <w:rPr>
          <w:rFonts w:ascii="Palatino Linotype" w:hAnsi="Palatino Linotype" w:cs="Arial"/>
          <w:i/>
          <w:color w:val="000000"/>
        </w:rPr>
        <w:t>“</w:t>
      </w:r>
      <w:r w:rsidRPr="00D623DC">
        <w:rPr>
          <w:rFonts w:ascii="Palatino Linotype" w:hAnsi="Palatino Linotype" w:cs="Arial"/>
          <w:b/>
          <w:i/>
          <w:color w:val="000000"/>
        </w:rPr>
        <w:t xml:space="preserve">Artículo 3. </w:t>
      </w:r>
      <w:r w:rsidRPr="00D623DC">
        <w:rPr>
          <w:rFonts w:ascii="Palatino Linotype" w:hAnsi="Palatino Linotype" w:cs="Arial"/>
          <w:i/>
          <w:color w:val="000000"/>
        </w:rPr>
        <w:t>Para los efectos de la presente Ley se entenderá por:</w:t>
      </w:r>
    </w:p>
    <w:p w14:paraId="030F424B" w14:textId="77777777" w:rsidR="00487BE9" w:rsidRPr="00D623DC" w:rsidRDefault="00487BE9" w:rsidP="00487BE9">
      <w:pPr>
        <w:spacing w:line="360" w:lineRule="auto"/>
        <w:ind w:left="567" w:right="567"/>
        <w:jc w:val="both"/>
        <w:rPr>
          <w:rFonts w:ascii="Palatino Linotype" w:hAnsi="Palatino Linotype" w:cs="Arial"/>
          <w:i/>
          <w:color w:val="000000"/>
        </w:rPr>
      </w:pPr>
      <w:r w:rsidRPr="00D623DC">
        <w:rPr>
          <w:rFonts w:ascii="Palatino Linotype" w:hAnsi="Palatino Linotype" w:cs="Arial"/>
          <w:i/>
          <w:color w:val="000000"/>
        </w:rPr>
        <w:t>(…)</w:t>
      </w:r>
    </w:p>
    <w:p w14:paraId="7B6ED98F" w14:textId="77777777" w:rsidR="00487BE9" w:rsidRPr="00D623DC" w:rsidRDefault="00487BE9" w:rsidP="00487BE9">
      <w:pPr>
        <w:spacing w:line="360" w:lineRule="auto"/>
        <w:ind w:left="567" w:right="567"/>
        <w:jc w:val="both"/>
        <w:rPr>
          <w:rFonts w:ascii="Palatino Linotype" w:hAnsi="Palatino Linotype" w:cs="Arial"/>
          <w:i/>
          <w:color w:val="000000"/>
        </w:rPr>
      </w:pPr>
      <w:r w:rsidRPr="00D623DC">
        <w:rPr>
          <w:rFonts w:ascii="Palatino Linotype" w:hAnsi="Palatino Linotype" w:cs="Arial"/>
          <w:b/>
          <w:i/>
          <w:color w:val="000000"/>
        </w:rPr>
        <w:t>XI. Documento:</w:t>
      </w:r>
      <w:r w:rsidRPr="00D623D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D623DC">
        <w:rPr>
          <w:rFonts w:ascii="Palatino Linotype" w:hAnsi="Palatino Linotype" w:cs="Arial"/>
          <w:i/>
          <w:color w:val="000000"/>
        </w:rPr>
        <w:lastRenderedPageBreak/>
        <w:t>o fecha de elaboración. Los documentos podrán estar en cualquier medio, sea escrito, impreso, sonoro, visual, electrónico, informático u holográfico;</w:t>
      </w:r>
    </w:p>
    <w:p w14:paraId="669D4A7F" w14:textId="77777777" w:rsidR="00487BE9" w:rsidRPr="00D623DC" w:rsidRDefault="00487BE9" w:rsidP="00487BE9">
      <w:pPr>
        <w:spacing w:line="360" w:lineRule="auto"/>
        <w:ind w:left="567" w:right="567"/>
        <w:jc w:val="both"/>
        <w:rPr>
          <w:rFonts w:ascii="Palatino Linotype" w:hAnsi="Palatino Linotype" w:cs="Arial"/>
          <w:i/>
          <w:color w:val="000000"/>
        </w:rPr>
      </w:pPr>
      <w:r w:rsidRPr="00D623DC">
        <w:rPr>
          <w:rFonts w:ascii="Palatino Linotype" w:hAnsi="Palatino Linotype" w:cs="Arial"/>
          <w:i/>
          <w:color w:val="000000"/>
        </w:rPr>
        <w:t>(…)”</w:t>
      </w:r>
    </w:p>
    <w:p w14:paraId="3B3FCB2B" w14:textId="77777777" w:rsidR="00487BE9" w:rsidRPr="00D623DC" w:rsidRDefault="00487BE9" w:rsidP="00487BE9">
      <w:pPr>
        <w:autoSpaceDE w:val="0"/>
        <w:autoSpaceDN w:val="0"/>
        <w:adjustRightInd w:val="0"/>
        <w:spacing w:line="360" w:lineRule="auto"/>
        <w:jc w:val="both"/>
        <w:rPr>
          <w:rFonts w:ascii="Palatino Linotype" w:hAnsi="Palatino Linotype" w:cs="Arial"/>
        </w:rPr>
      </w:pPr>
    </w:p>
    <w:p w14:paraId="19621314"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s="Arial"/>
        </w:rPr>
      </w:pPr>
      <w:r w:rsidRPr="00D623DC">
        <w:rPr>
          <w:rFonts w:ascii="Palatino Linotype" w:hAnsi="Palatino Linotype" w:cs="Arial"/>
        </w:rPr>
        <w:t xml:space="preserve">Siendo aplicable el Criterio </w:t>
      </w:r>
      <w:r w:rsidRPr="00D623DC">
        <w:rPr>
          <w:rFonts w:ascii="Palatino Linotype" w:hAnsi="Palatino Linotype" w:cs="Arial"/>
          <w:bCs/>
          <w:lang w:eastAsia="es-MX"/>
        </w:rPr>
        <w:t xml:space="preserve">de interpretación en el orden administrativo número 0002-11, emitido por Acuerdo del Pleno del Instituto de Transparencia y Acceso a la </w:t>
      </w:r>
      <w:r w:rsidRPr="00D623DC">
        <w:rPr>
          <w:rFonts w:ascii="Palatino Linotype" w:hAnsi="Palatino Linotype" w:cs="Arial"/>
          <w:color w:val="000000" w:themeColor="text1"/>
        </w:rPr>
        <w:t>Información</w:t>
      </w:r>
      <w:r w:rsidRPr="00D623DC">
        <w:rPr>
          <w:rFonts w:ascii="Palatino Linotype" w:hAnsi="Palatino Linotype" w:cs="Arial"/>
          <w:bCs/>
          <w:lang w:eastAsia="es-MX"/>
        </w:rPr>
        <w:t xml:space="preserve"> Pública del Estado de México y Municipios; publicado en el Periódico Oficial del Gobierno del Estado Libre y Soberano de México “Gaceta del Gobierno”, el diecinueve de octubre de dos mil once, </w:t>
      </w:r>
      <w:r w:rsidRPr="00D623DC">
        <w:rPr>
          <w:rFonts w:ascii="Palatino Linotype" w:hAnsi="Palatino Linotype" w:cs="Arial"/>
        </w:rPr>
        <w:t>cuyo rubro y texto dispone:</w:t>
      </w:r>
    </w:p>
    <w:p w14:paraId="6282B3AA" w14:textId="77777777" w:rsidR="00487BE9" w:rsidRPr="00D623DC" w:rsidRDefault="00487BE9" w:rsidP="00487BE9">
      <w:pPr>
        <w:spacing w:line="360" w:lineRule="auto"/>
        <w:ind w:left="567" w:right="567"/>
        <w:jc w:val="both"/>
        <w:rPr>
          <w:rFonts w:ascii="Palatino Linotype" w:hAnsi="Palatino Linotype" w:cs="Arial"/>
        </w:rPr>
      </w:pPr>
    </w:p>
    <w:p w14:paraId="4B3372F3" w14:textId="77777777" w:rsidR="00487BE9" w:rsidRPr="00D623DC" w:rsidRDefault="00487BE9" w:rsidP="00487BE9">
      <w:pPr>
        <w:spacing w:line="360" w:lineRule="auto"/>
        <w:ind w:left="567" w:right="567"/>
        <w:jc w:val="both"/>
        <w:rPr>
          <w:rFonts w:ascii="Palatino Linotype" w:hAnsi="Palatino Linotype" w:cs="Arial"/>
          <w:b/>
          <w:i/>
        </w:rPr>
      </w:pPr>
      <w:r w:rsidRPr="00D623DC">
        <w:rPr>
          <w:rFonts w:ascii="Palatino Linotype" w:hAnsi="Palatino Linotype" w:cs="Arial"/>
          <w:b/>
        </w:rPr>
        <w:t>“</w:t>
      </w:r>
      <w:r w:rsidRPr="00D623DC">
        <w:rPr>
          <w:rFonts w:ascii="Palatino Linotype" w:hAnsi="Palatino Linotype" w:cs="Arial"/>
          <w:b/>
          <w:i/>
        </w:rPr>
        <w:t>CRITERIO 0002-11</w:t>
      </w:r>
    </w:p>
    <w:p w14:paraId="0FCDA73A" w14:textId="77777777" w:rsidR="00487BE9" w:rsidRPr="00D623DC" w:rsidRDefault="00487BE9" w:rsidP="00487BE9">
      <w:pPr>
        <w:spacing w:line="360" w:lineRule="auto"/>
        <w:ind w:left="567" w:right="567"/>
        <w:jc w:val="both"/>
        <w:rPr>
          <w:rFonts w:ascii="Palatino Linotype" w:hAnsi="Palatino Linotype" w:cs="Arial"/>
          <w:i/>
        </w:rPr>
      </w:pPr>
      <w:r w:rsidRPr="00D623DC">
        <w:rPr>
          <w:rFonts w:ascii="Palatino Linotype" w:hAnsi="Palatino Linotype" w:cs="Arial"/>
          <w:b/>
          <w:i/>
        </w:rPr>
        <w:t xml:space="preserve">INFORMACIÓN PÚBLICA, CONCEPTO DE, EN MATERIA DE TRANSPARENCIA. INTERPRETACIÓN SISTEMÁTICA DE LOS ARTÍCULOS 2°, FRACCIÓN </w:t>
      </w:r>
      <w:r w:rsidRPr="00D623DC">
        <w:rPr>
          <w:rFonts w:ascii="Palatino Linotype" w:hAnsi="Palatino Linotype" w:cs="Arial"/>
          <w:b/>
          <w:bCs/>
          <w:i/>
        </w:rPr>
        <w:t xml:space="preserve">V, XV, Y XVI, </w:t>
      </w:r>
      <w:r w:rsidRPr="00D623DC">
        <w:rPr>
          <w:rFonts w:ascii="Palatino Linotype" w:hAnsi="Palatino Linotype" w:cs="Arial"/>
          <w:b/>
          <w:i/>
        </w:rPr>
        <w:t>3°, 4°, 11 Y 41.</w:t>
      </w:r>
      <w:r w:rsidRPr="00D623DC">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951277" w14:textId="77777777" w:rsidR="00487BE9" w:rsidRPr="00D623DC" w:rsidRDefault="00487BE9" w:rsidP="00487BE9">
      <w:pPr>
        <w:spacing w:line="360" w:lineRule="auto"/>
        <w:ind w:left="567" w:right="567"/>
        <w:jc w:val="both"/>
        <w:rPr>
          <w:rFonts w:ascii="Palatino Linotype" w:hAnsi="Palatino Linotype" w:cs="Arial"/>
          <w:i/>
        </w:rPr>
      </w:pPr>
      <w:r w:rsidRPr="00D623DC">
        <w:rPr>
          <w:rFonts w:ascii="Palatino Linotype" w:hAnsi="Palatino Linotype" w:cs="Arial"/>
          <w:i/>
        </w:rPr>
        <w:t>En consecuencia el acceso a la información se refiere a que se cumplan cualquiera de los siguientes tres supuestos:</w:t>
      </w:r>
    </w:p>
    <w:p w14:paraId="74F25A7C" w14:textId="77777777" w:rsidR="00487BE9" w:rsidRPr="00D623DC" w:rsidRDefault="00487BE9" w:rsidP="00487BE9">
      <w:pPr>
        <w:spacing w:line="360" w:lineRule="auto"/>
        <w:ind w:left="567" w:right="567"/>
        <w:jc w:val="both"/>
        <w:rPr>
          <w:rFonts w:ascii="Palatino Linotype" w:hAnsi="Palatino Linotype" w:cs="Arial"/>
          <w:b/>
          <w:i/>
        </w:rPr>
      </w:pPr>
      <w:r w:rsidRPr="00D623DC">
        <w:rPr>
          <w:rFonts w:ascii="Palatino Linotype" w:hAnsi="Palatino Linotype" w:cs="Arial"/>
          <w:b/>
          <w:i/>
        </w:rPr>
        <w:t xml:space="preserve">1) </w:t>
      </w:r>
      <w:r w:rsidRPr="00D623DC">
        <w:rPr>
          <w:rFonts w:ascii="Palatino Linotype" w:hAnsi="Palatino Linotype" w:cs="Arial"/>
          <w:b/>
          <w:i/>
          <w:u w:val="single"/>
        </w:rPr>
        <w:t>Que se trate de información registrada en cualquier soporte documental, que en ejercicio de las atribuciones conferidas, sea generada por los Sujetos Obligados;</w:t>
      </w:r>
    </w:p>
    <w:p w14:paraId="10863F89" w14:textId="77777777" w:rsidR="00487BE9" w:rsidRPr="00D623DC" w:rsidRDefault="00487BE9" w:rsidP="00487BE9">
      <w:pPr>
        <w:spacing w:line="360" w:lineRule="auto"/>
        <w:ind w:left="567" w:right="567"/>
        <w:jc w:val="both"/>
        <w:rPr>
          <w:rFonts w:ascii="Palatino Linotype" w:hAnsi="Palatino Linotype" w:cs="Arial"/>
          <w:i/>
        </w:rPr>
      </w:pPr>
      <w:r w:rsidRPr="00D623DC">
        <w:rPr>
          <w:rFonts w:ascii="Palatino Linotype" w:hAnsi="Palatino Linotype" w:cs="Arial"/>
          <w:i/>
        </w:rPr>
        <w:lastRenderedPageBreak/>
        <w:t>2) Que se trate de información registrada en cualquier soporte documental, que en ejercicio de las atribuciones conferidas, sea administrada por los Sujetos Obligados, y</w:t>
      </w:r>
    </w:p>
    <w:p w14:paraId="0940213F" w14:textId="77777777" w:rsidR="00487BE9" w:rsidRPr="00D623DC" w:rsidRDefault="00487BE9" w:rsidP="00487BE9">
      <w:pPr>
        <w:spacing w:line="360" w:lineRule="auto"/>
        <w:ind w:left="567" w:right="567"/>
        <w:jc w:val="both"/>
        <w:rPr>
          <w:rFonts w:ascii="Palatino Linotype" w:hAnsi="Palatino Linotype" w:cs="Arial"/>
          <w:i/>
        </w:rPr>
      </w:pPr>
      <w:r w:rsidRPr="00D623DC">
        <w:rPr>
          <w:rFonts w:ascii="Palatino Linotype" w:hAnsi="Palatino Linotype" w:cs="Arial"/>
          <w:i/>
        </w:rPr>
        <w:t>3) Que se trate de información registrada en cualquier soporte documental, que en ejercicio de las atribuciones conferidas, se encuentre en posesión de los Sujetos Obligados.”</w:t>
      </w:r>
    </w:p>
    <w:p w14:paraId="7C482362" w14:textId="77777777" w:rsidR="00487BE9" w:rsidRPr="00D623DC" w:rsidRDefault="00487BE9" w:rsidP="00487BE9">
      <w:pPr>
        <w:tabs>
          <w:tab w:val="left" w:pos="851"/>
        </w:tabs>
        <w:spacing w:line="360" w:lineRule="auto"/>
        <w:ind w:left="567" w:right="567"/>
        <w:rPr>
          <w:rFonts w:ascii="Palatino Linotype" w:hAnsi="Palatino Linotype" w:cs="Arial"/>
        </w:rPr>
      </w:pPr>
      <w:r w:rsidRPr="00D623DC">
        <w:rPr>
          <w:rFonts w:ascii="Palatino Linotype" w:hAnsi="Palatino Linotype" w:cs="Arial"/>
        </w:rPr>
        <w:t>(Énfasis Añadido)</w:t>
      </w:r>
    </w:p>
    <w:p w14:paraId="76825AF6" w14:textId="77777777" w:rsidR="00487BE9" w:rsidRPr="00D623DC" w:rsidRDefault="00487BE9" w:rsidP="00487BE9">
      <w:pPr>
        <w:pStyle w:val="Prrafodelista"/>
        <w:autoSpaceDE w:val="0"/>
        <w:autoSpaceDN w:val="0"/>
        <w:adjustRightInd w:val="0"/>
        <w:spacing w:line="360" w:lineRule="auto"/>
        <w:ind w:left="0"/>
        <w:jc w:val="both"/>
        <w:rPr>
          <w:rFonts w:ascii="Palatino Linotype" w:hAnsi="Palatino Linotype" w:cs="Arial"/>
          <w:color w:val="000000"/>
        </w:rPr>
      </w:pPr>
    </w:p>
    <w:p w14:paraId="01E89305"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rPr>
      </w:pPr>
      <w:r w:rsidRPr="00D623DC">
        <w:rPr>
          <w:rFonts w:ascii="Palatino Linotype" w:eastAsia="Calibri" w:hAnsi="Palatino Linotype"/>
        </w:rPr>
        <w:t xml:space="preserve">Por su </w:t>
      </w:r>
      <w:r w:rsidRPr="00D623DC">
        <w:rPr>
          <w:rFonts w:ascii="Palatino Linotype" w:hAnsi="Palatino Linotype" w:cs="Arial"/>
        </w:rPr>
        <w:t>parte</w:t>
      </w:r>
      <w:r w:rsidRPr="00D623DC">
        <w:rPr>
          <w:rFonts w:ascii="Palatino Linotype" w:eastAsia="Calibri" w:hAnsi="Palatino Linotype"/>
        </w:rPr>
        <w:t xml:space="preserve"> los artículos 160 y 166, </w:t>
      </w:r>
      <w:r w:rsidRPr="00D623DC">
        <w:rPr>
          <w:rFonts w:ascii="Palatino Linotype" w:hAnsi="Palatino Linotype"/>
          <w:bCs/>
        </w:rPr>
        <w:t>de la Ley local en la materia, que se reproduce de la siguiente forma</w:t>
      </w:r>
      <w:r w:rsidRPr="00D623DC">
        <w:rPr>
          <w:rFonts w:ascii="Palatino Linotype" w:hAnsi="Palatino Linotype"/>
        </w:rPr>
        <w:t>:</w:t>
      </w:r>
    </w:p>
    <w:p w14:paraId="525CDFD6" w14:textId="77777777" w:rsidR="00487BE9" w:rsidRPr="00D623DC" w:rsidRDefault="00487BE9" w:rsidP="00487BE9">
      <w:pPr>
        <w:pStyle w:val="Sinespaciado"/>
        <w:spacing w:line="360" w:lineRule="auto"/>
        <w:rPr>
          <w:rFonts w:ascii="Palatino Linotype" w:hAnsi="Palatino Linotype"/>
        </w:rPr>
      </w:pPr>
    </w:p>
    <w:p w14:paraId="5003F759" w14:textId="77777777" w:rsidR="00487BE9" w:rsidRPr="00D623DC" w:rsidRDefault="00487BE9" w:rsidP="00487BE9">
      <w:pPr>
        <w:spacing w:line="360" w:lineRule="auto"/>
        <w:ind w:left="567" w:right="567"/>
        <w:jc w:val="both"/>
        <w:rPr>
          <w:rFonts w:ascii="Palatino Linotype" w:hAnsi="Palatino Linotype"/>
          <w:i/>
        </w:rPr>
      </w:pPr>
      <w:r w:rsidRPr="00D623DC">
        <w:rPr>
          <w:rFonts w:ascii="Palatino Linotype" w:hAnsi="Palatino Linotype"/>
          <w:i/>
        </w:rPr>
        <w:t>“</w:t>
      </w:r>
      <w:r w:rsidRPr="00D623DC">
        <w:rPr>
          <w:rFonts w:ascii="Palatino Linotype" w:hAnsi="Palatino Linotype"/>
          <w:b/>
          <w:i/>
        </w:rPr>
        <w:t>Artículo 160.</w:t>
      </w:r>
      <w:r w:rsidRPr="00D623DC">
        <w:rPr>
          <w:rFonts w:ascii="Palatino Linotype" w:hAnsi="Palatino Linotype"/>
          <w:i/>
        </w:rPr>
        <w:t xml:space="preserve"> </w:t>
      </w:r>
      <w:r w:rsidRPr="00D623DC">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623DC">
        <w:rPr>
          <w:rFonts w:ascii="Palatino Linotype" w:hAnsi="Palatino Linotype"/>
          <w:i/>
        </w:rPr>
        <w:t>.</w:t>
      </w:r>
    </w:p>
    <w:p w14:paraId="433503AC" w14:textId="77777777" w:rsidR="00487BE9" w:rsidRPr="00D623DC" w:rsidRDefault="00487BE9" w:rsidP="00487BE9">
      <w:pPr>
        <w:spacing w:line="360" w:lineRule="auto"/>
        <w:ind w:left="567" w:right="567"/>
        <w:jc w:val="both"/>
        <w:rPr>
          <w:rFonts w:ascii="Palatino Linotype" w:hAnsi="Palatino Linotype"/>
          <w:i/>
        </w:rPr>
      </w:pPr>
    </w:p>
    <w:p w14:paraId="63DABE5D" w14:textId="77777777" w:rsidR="00487BE9" w:rsidRPr="00D623DC" w:rsidRDefault="00487BE9" w:rsidP="00487BE9">
      <w:pPr>
        <w:spacing w:line="360" w:lineRule="auto"/>
        <w:ind w:left="567" w:right="567"/>
        <w:jc w:val="both"/>
        <w:rPr>
          <w:rFonts w:ascii="Palatino Linotype" w:hAnsi="Palatino Linotype"/>
          <w:i/>
        </w:rPr>
      </w:pPr>
      <w:r w:rsidRPr="00D623DC">
        <w:rPr>
          <w:rFonts w:ascii="Palatino Linotype" w:hAnsi="Palatino Linotype"/>
          <w:i/>
        </w:rPr>
        <w:t>En caso que la información solicitada consista en bases de datos se deberá privilegiar la entrega de la misma en formatos abiertos.</w:t>
      </w:r>
    </w:p>
    <w:p w14:paraId="59C5F0AB" w14:textId="77777777" w:rsidR="00487BE9" w:rsidRPr="00D623DC" w:rsidRDefault="00487BE9" w:rsidP="00487BE9">
      <w:pPr>
        <w:spacing w:line="360" w:lineRule="auto"/>
        <w:ind w:left="567" w:right="567"/>
        <w:jc w:val="both"/>
        <w:rPr>
          <w:rFonts w:ascii="Palatino Linotype" w:hAnsi="Palatino Linotype"/>
          <w:i/>
        </w:rPr>
      </w:pPr>
    </w:p>
    <w:p w14:paraId="19AEA5C4" w14:textId="77777777" w:rsidR="00487BE9" w:rsidRPr="00D623DC" w:rsidRDefault="00487BE9" w:rsidP="00487BE9">
      <w:pPr>
        <w:spacing w:line="360" w:lineRule="auto"/>
        <w:ind w:left="567" w:right="567"/>
        <w:jc w:val="both"/>
        <w:rPr>
          <w:rFonts w:ascii="Palatino Linotype" w:hAnsi="Palatino Linotype" w:cs="Arial"/>
          <w:i/>
          <w:u w:val="single"/>
        </w:rPr>
      </w:pPr>
      <w:r w:rsidRPr="00D623DC">
        <w:rPr>
          <w:rFonts w:ascii="Palatino Linotype" w:hAnsi="Palatino Linotype" w:cs="Arial"/>
          <w:b/>
          <w:i/>
        </w:rPr>
        <w:t>Artículo 166.</w:t>
      </w:r>
      <w:r w:rsidRPr="00D623DC">
        <w:rPr>
          <w:rFonts w:ascii="Palatino Linotype" w:hAnsi="Palatino Linotype" w:cs="Arial"/>
          <w:i/>
        </w:rPr>
        <w:t xml:space="preserve"> </w:t>
      </w:r>
      <w:r w:rsidRPr="00D623DC">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5C1A1B48" w14:textId="77777777" w:rsidR="00487BE9" w:rsidRPr="00D623DC" w:rsidRDefault="00487BE9" w:rsidP="00487BE9">
      <w:pPr>
        <w:spacing w:line="360" w:lineRule="auto"/>
        <w:ind w:left="567" w:right="567"/>
        <w:jc w:val="both"/>
        <w:rPr>
          <w:rFonts w:ascii="Palatino Linotype" w:hAnsi="Palatino Linotype" w:cs="Arial"/>
        </w:rPr>
      </w:pPr>
      <w:r w:rsidRPr="00D623DC">
        <w:rPr>
          <w:rFonts w:ascii="Palatino Linotype" w:hAnsi="Palatino Linotype" w:cs="Arial"/>
        </w:rPr>
        <w:t>Énfasis añadido</w:t>
      </w:r>
    </w:p>
    <w:p w14:paraId="70957324" w14:textId="77777777" w:rsidR="00487BE9" w:rsidRPr="00D623DC" w:rsidRDefault="00487BE9" w:rsidP="00487BE9">
      <w:pPr>
        <w:spacing w:line="360" w:lineRule="auto"/>
        <w:jc w:val="both"/>
        <w:rPr>
          <w:rFonts w:ascii="Palatino Linotype" w:hAnsi="Palatino Linotype"/>
        </w:rPr>
      </w:pPr>
    </w:p>
    <w:p w14:paraId="306F320D" w14:textId="77777777" w:rsidR="00487BE9" w:rsidRPr="00D623DC" w:rsidRDefault="00487BE9" w:rsidP="00487BE9">
      <w:pPr>
        <w:pStyle w:val="Prrafodelista"/>
        <w:numPr>
          <w:ilvl w:val="0"/>
          <w:numId w:val="1"/>
        </w:numPr>
        <w:tabs>
          <w:tab w:val="left" w:pos="567"/>
        </w:tabs>
        <w:spacing w:line="360" w:lineRule="auto"/>
        <w:ind w:left="0" w:firstLine="0"/>
        <w:contextualSpacing w:val="0"/>
        <w:jc w:val="both"/>
        <w:rPr>
          <w:rFonts w:ascii="Palatino Linotype" w:hAnsi="Palatino Linotype"/>
          <w:color w:val="000000"/>
        </w:rPr>
      </w:pPr>
      <w:r w:rsidRPr="00D623DC">
        <w:rPr>
          <w:rFonts w:ascii="Palatino Linotype" w:hAnsi="Palatino Linotype"/>
        </w:rPr>
        <w:lastRenderedPageBreak/>
        <w:t xml:space="preserve">Así que la obligación de los Sujetos Obligados de dar acceso a la información pública que </w:t>
      </w:r>
      <w:r w:rsidRPr="00D623DC">
        <w:rPr>
          <w:rFonts w:ascii="Palatino Linotype" w:eastAsia="Calibri" w:hAnsi="Palatino Linotype"/>
        </w:rPr>
        <w:t>generen</w:t>
      </w:r>
      <w:r w:rsidRPr="00D623DC">
        <w:rPr>
          <w:rFonts w:ascii="Palatino Linotype" w:hAnsi="Palatino Linotype"/>
        </w:rPr>
        <w:t>, administren o posean, se tendrá por cumplida cuando el solicitante tenga a su disposición la información requerida, o cuando realice la consulta de la misma en el lugar que ésta se localice, siempre y cuando así resultare procedente.</w:t>
      </w:r>
    </w:p>
    <w:p w14:paraId="34DFEDDF" w14:textId="77777777" w:rsidR="00487BE9" w:rsidRPr="00D623DC" w:rsidRDefault="00487BE9" w:rsidP="00487BE9">
      <w:pPr>
        <w:pStyle w:val="Prrafodelista"/>
        <w:tabs>
          <w:tab w:val="left" w:pos="567"/>
        </w:tabs>
        <w:spacing w:line="360" w:lineRule="auto"/>
        <w:ind w:left="0"/>
        <w:contextualSpacing w:val="0"/>
        <w:jc w:val="both"/>
        <w:rPr>
          <w:rFonts w:ascii="Palatino Linotype" w:eastAsia="Calibri" w:hAnsi="Palatino Linotype"/>
        </w:rPr>
      </w:pPr>
    </w:p>
    <w:p w14:paraId="0DB552FD" w14:textId="77777777" w:rsidR="007147E3" w:rsidRPr="00D623DC" w:rsidRDefault="00875330" w:rsidP="00487BE9">
      <w:pPr>
        <w:pStyle w:val="Prrafodelista"/>
        <w:numPr>
          <w:ilvl w:val="0"/>
          <w:numId w:val="1"/>
        </w:numPr>
        <w:tabs>
          <w:tab w:val="left" w:pos="567"/>
        </w:tabs>
        <w:spacing w:line="360" w:lineRule="auto"/>
        <w:ind w:left="0" w:firstLine="0"/>
        <w:contextualSpacing w:val="0"/>
        <w:jc w:val="both"/>
        <w:rPr>
          <w:rFonts w:ascii="Palatino Linotype" w:eastAsia="Calibri" w:hAnsi="Palatino Linotype"/>
        </w:rPr>
      </w:pPr>
      <w:r w:rsidRPr="00D623DC">
        <w:rPr>
          <w:rFonts w:ascii="Palatino Linotype" w:hAnsi="Palatino Linotype"/>
        </w:rPr>
        <w:t>Una vez resuelta la controversia del presente asunto, mención aparte merecen las siguientes manifestaciones vertidas por el solicitante</w:t>
      </w:r>
      <w:r w:rsidR="007147E3" w:rsidRPr="00D623DC">
        <w:rPr>
          <w:rFonts w:ascii="Palatino Linotype" w:hAnsi="Palatino Linotype"/>
        </w:rPr>
        <w:t>:</w:t>
      </w:r>
    </w:p>
    <w:p w14:paraId="003D78A0" w14:textId="77777777" w:rsidR="007147E3" w:rsidRPr="00D623DC" w:rsidRDefault="007147E3" w:rsidP="00487BE9">
      <w:pPr>
        <w:pStyle w:val="Prrafodelista"/>
        <w:spacing w:line="360" w:lineRule="auto"/>
        <w:rPr>
          <w:rFonts w:ascii="Palatino Linotype" w:hAnsi="Palatino Linotype"/>
        </w:rPr>
      </w:pPr>
    </w:p>
    <w:p w14:paraId="514934E4" w14:textId="77777777" w:rsidR="00165DF8" w:rsidRPr="00D623DC" w:rsidRDefault="007147E3" w:rsidP="00487BE9">
      <w:pPr>
        <w:pStyle w:val="Prrafodelista"/>
        <w:spacing w:line="360" w:lineRule="auto"/>
        <w:ind w:left="426" w:right="333"/>
        <w:contextualSpacing w:val="0"/>
        <w:jc w:val="both"/>
        <w:rPr>
          <w:rFonts w:ascii="Palatino Linotype" w:eastAsia="MS Mincho" w:hAnsi="Palatino Linotype"/>
          <w:i/>
          <w:color w:val="000000"/>
        </w:rPr>
      </w:pPr>
      <w:r w:rsidRPr="00D623DC">
        <w:rPr>
          <w:rFonts w:ascii="Palatino Linotype" w:hAnsi="Palatino Linotype"/>
        </w:rPr>
        <w:t>“</w:t>
      </w:r>
      <w:r w:rsidR="00875330" w:rsidRPr="00D623DC">
        <w:rPr>
          <w:rFonts w:ascii="Palatino Linotype" w:hAnsi="Palatino Linotype"/>
          <w:i/>
        </w:rPr>
        <w:t>…</w:t>
      </w:r>
      <w:r w:rsidRPr="00D623DC">
        <w:rPr>
          <w:rFonts w:ascii="Palatino Linotype" w:hAnsi="Palatino Linotype"/>
          <w:i/>
        </w:rPr>
        <w:t xml:space="preserve">existen antecedentes por parte del INAI El Instituto Nacional de Transparencia, Acceso a la Información y Protección de Datos Personales (Inai) ordenó al Servicio de Administración Tributaria (SAT) entregar los archivos que contengan el histórico de los contribuyentes que han incumplido con sus obligaciones fiscales, para el periodo que va del 1 de enero de 2014 al 10 de febrero de 2016. https://expansion.mx/economia/2016/04/27/el-inai-pide-al-sat-entregar-la-lista-de-contribuyentes-morosos EXIGE A SAT LISTADO DE CONTRIBUYENTES INCUMPLIDOS El Servicio de Administración Tributaria (SAT) debe entregar los archivos que contengan el total de los contribuyentes que han incumplido con sus obligaciones fiscales, del primero de enero de 2014 al 10 de febrero de 2016, ordenó el Instituto Nacional de Transparencia (INAI), cuyo pleno, por unanimidad, consideró inaceptable la negativa del SAT a entregar la información. http://gruposolfis.com/gs/?p=915 Debe SAT exhibir a morosos: INAI El comisionado Javier Acuña recordó que desde enero de 2014, el Sistema de Administración Tributaria está obligado a hacer públicos los datos de quienes incumplen con sus obligaciones fiscales </w:t>
      </w:r>
      <w:r w:rsidRPr="00D623DC">
        <w:rPr>
          <w:rFonts w:ascii="Palatino Linotype" w:hAnsi="Palatino Linotype"/>
          <w:i/>
        </w:rPr>
        <w:lastRenderedPageBreak/>
        <w:t>https://www.eluniversal.com.mx/articulo/nacion/sociedad/2016/04/27/debe-sat-exhibir-morosos-inai</w:t>
      </w:r>
      <w:r w:rsidRPr="00D623DC">
        <w:rPr>
          <w:rFonts w:ascii="Palatino Linotype" w:eastAsia="Calibri" w:hAnsi="Palatino Linotype"/>
        </w:rPr>
        <w:t>”</w:t>
      </w:r>
      <w:r w:rsidRPr="00D623DC">
        <w:rPr>
          <w:rFonts w:ascii="Palatino Linotype" w:eastAsia="MS Mincho" w:hAnsi="Palatino Linotype"/>
          <w:i/>
          <w:color w:val="000000"/>
        </w:rPr>
        <w:t xml:space="preserve"> </w:t>
      </w:r>
      <w:r w:rsidR="00875330" w:rsidRPr="00D623DC">
        <w:rPr>
          <w:rFonts w:ascii="Palatino Linotype" w:eastAsia="MS Mincho" w:hAnsi="Palatino Linotype"/>
          <w:color w:val="000000"/>
        </w:rPr>
        <w:t>(Sic)</w:t>
      </w:r>
    </w:p>
    <w:p w14:paraId="007EF376" w14:textId="77777777" w:rsidR="003D3DCD" w:rsidRPr="00D623DC" w:rsidRDefault="003D3DCD" w:rsidP="00487BE9">
      <w:pPr>
        <w:pStyle w:val="Prrafodelista"/>
        <w:tabs>
          <w:tab w:val="left" w:pos="567"/>
        </w:tabs>
        <w:spacing w:line="360" w:lineRule="auto"/>
        <w:ind w:left="567"/>
        <w:contextualSpacing w:val="0"/>
        <w:jc w:val="both"/>
        <w:rPr>
          <w:rFonts w:ascii="Palatino Linotype" w:eastAsia="MS Mincho" w:hAnsi="Palatino Linotype"/>
          <w:i/>
          <w:color w:val="000000"/>
        </w:rPr>
      </w:pPr>
    </w:p>
    <w:p w14:paraId="214EB58F" w14:textId="77777777" w:rsidR="007147E3" w:rsidRPr="00D623DC" w:rsidRDefault="00967E5E"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hAnsi="Palatino Linotype" w:cs="Arial"/>
          <w:color w:val="000000"/>
        </w:rPr>
        <w:t>Lo anterior en virtud de que</w:t>
      </w:r>
      <w:r w:rsidR="00EA7837" w:rsidRPr="00D623DC">
        <w:rPr>
          <w:rFonts w:ascii="Palatino Linotype" w:hAnsi="Palatino Linotype" w:cs="Arial"/>
          <w:color w:val="000000"/>
        </w:rPr>
        <w:t xml:space="preserve"> si bien es cierto no constituyen una solicitud de información,</w:t>
      </w:r>
      <w:r w:rsidRPr="00D623DC">
        <w:rPr>
          <w:rFonts w:ascii="Palatino Linotype" w:hAnsi="Palatino Linotype" w:cs="Arial"/>
          <w:color w:val="000000"/>
        </w:rPr>
        <w:t xml:space="preserve"> ciertamente constituyen precedentes importantes en relación a los temas desarrollados en el presente proveído, emitidos por el Órgano Garante Nacional. En ese contexto,</w:t>
      </w:r>
      <w:r w:rsidR="007147E3" w:rsidRPr="00D623DC">
        <w:rPr>
          <w:rFonts w:ascii="Palatino Linotype" w:hAnsi="Palatino Linotype" w:cs="Arial"/>
          <w:color w:val="000000"/>
        </w:rPr>
        <w:t xml:space="preserve"> de la consulta a los enlaces remitidos se aprecia que el </w:t>
      </w:r>
      <w:r w:rsidR="007147E3" w:rsidRPr="00D623DC">
        <w:rPr>
          <w:rFonts w:ascii="Palatino Linotype" w:eastAsia="MS Mincho" w:hAnsi="Palatino Linotype"/>
          <w:color w:val="000000"/>
        </w:rPr>
        <w:t>Instituto Nacional de Transparencia, Acceso a la Información y Protección de Datos Personales (INAI), ordenó al Servicio de Administración Tributaria (SAT) entregar los archivos que contengan el histórico de los contribuyentes que han incumplido con sus obligaciones fiscale</w:t>
      </w:r>
      <w:r w:rsidR="00690A11" w:rsidRPr="00D623DC">
        <w:rPr>
          <w:rFonts w:ascii="Palatino Linotype" w:eastAsia="MS Mincho" w:hAnsi="Palatino Linotype"/>
          <w:color w:val="000000"/>
        </w:rPr>
        <w:t xml:space="preserve">s, </w:t>
      </w:r>
      <w:r w:rsidR="007147E3" w:rsidRPr="00D623DC">
        <w:rPr>
          <w:rFonts w:ascii="Palatino Linotype" w:eastAsia="MS Mincho" w:hAnsi="Palatino Linotype"/>
          <w:color w:val="000000"/>
        </w:rPr>
        <w:t>del 1 de enero de 2014 al 10 de febrero de 2016.</w:t>
      </w:r>
    </w:p>
    <w:p w14:paraId="6397F18F" w14:textId="77777777" w:rsidR="00E93F5F" w:rsidRPr="00D623DC" w:rsidRDefault="00E93F5F"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p w14:paraId="571AF2A5" w14:textId="77777777" w:rsidR="00C869B8" w:rsidRPr="00D623DC" w:rsidRDefault="00967E5E"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Al respecto</w:t>
      </w:r>
      <w:r w:rsidR="00E93F5F" w:rsidRPr="00D623DC">
        <w:rPr>
          <w:rFonts w:ascii="Palatino Linotype" w:eastAsia="MS Mincho" w:hAnsi="Palatino Linotype"/>
          <w:color w:val="000000"/>
        </w:rPr>
        <w:t xml:space="preserve">, es importante referir </w:t>
      </w:r>
      <w:r w:rsidRPr="00D623DC">
        <w:rPr>
          <w:rFonts w:ascii="Palatino Linotype" w:eastAsia="MS Mincho" w:hAnsi="Palatino Linotype"/>
          <w:color w:val="000000"/>
        </w:rPr>
        <w:t xml:space="preserve">que </w:t>
      </w:r>
      <w:r w:rsidR="00E93F5F" w:rsidRPr="00D623DC">
        <w:rPr>
          <w:rFonts w:ascii="Palatino Linotype" w:eastAsia="MS Mincho" w:hAnsi="Palatino Linotype"/>
          <w:color w:val="000000"/>
        </w:rPr>
        <w:t xml:space="preserve">la resolución del INAI con número de expediente </w:t>
      </w:r>
      <w:r w:rsidR="00E93F5F" w:rsidRPr="00D623DC">
        <w:rPr>
          <w:rFonts w:ascii="Palatino Linotype" w:eastAsia="MS Mincho" w:hAnsi="Palatino Linotype"/>
          <w:b/>
          <w:color w:val="000000"/>
        </w:rPr>
        <w:t xml:space="preserve">RDA 1667/16, </w:t>
      </w:r>
      <w:r w:rsidR="00E93F5F" w:rsidRPr="00D623DC">
        <w:rPr>
          <w:rFonts w:ascii="Palatino Linotype" w:eastAsia="MS Mincho" w:hAnsi="Palatino Linotype"/>
          <w:color w:val="000000"/>
        </w:rPr>
        <w:t xml:space="preserve">en donde </w:t>
      </w:r>
      <w:r w:rsidRPr="00D623DC">
        <w:rPr>
          <w:rFonts w:ascii="Palatino Linotype" w:eastAsia="MS Mincho" w:hAnsi="Palatino Linotype"/>
          <w:color w:val="000000"/>
        </w:rPr>
        <w:t>se requirió</w:t>
      </w:r>
      <w:r w:rsidR="00544673" w:rsidRPr="00D623DC">
        <w:rPr>
          <w:rFonts w:ascii="Palatino Linotype" w:eastAsia="MS Mincho" w:hAnsi="Palatino Linotype"/>
          <w:color w:val="000000"/>
        </w:rPr>
        <w:t xml:space="preserve"> </w:t>
      </w:r>
      <w:r w:rsidR="00E93F5F" w:rsidRPr="00D623DC">
        <w:rPr>
          <w:rFonts w:ascii="Palatino Linotype" w:eastAsia="MS Mincho" w:hAnsi="Palatino Linotype"/>
          <w:color w:val="000000"/>
        </w:rPr>
        <w:t>la información de contribuyentes que han incumplido con sus obligaciones fis</w:t>
      </w:r>
      <w:r w:rsidR="00544673" w:rsidRPr="00D623DC">
        <w:rPr>
          <w:rFonts w:ascii="Palatino Linotype" w:eastAsia="MS Mincho" w:hAnsi="Palatino Linotype"/>
          <w:color w:val="000000"/>
        </w:rPr>
        <w:t xml:space="preserve">cales, </w:t>
      </w:r>
      <w:r w:rsidRPr="00D623DC">
        <w:rPr>
          <w:rFonts w:ascii="Palatino Linotype" w:eastAsia="MS Mincho" w:hAnsi="Palatino Linotype"/>
          <w:color w:val="000000"/>
        </w:rPr>
        <w:t>la cual</w:t>
      </w:r>
      <w:r w:rsidR="00E93F5F" w:rsidRPr="00D623DC">
        <w:rPr>
          <w:rFonts w:ascii="Palatino Linotype" w:eastAsia="MS Mincho" w:hAnsi="Palatino Linotype"/>
          <w:color w:val="000000"/>
        </w:rPr>
        <w:t xml:space="preserve"> ya había estado publicad</w:t>
      </w:r>
      <w:r w:rsidRPr="00D623DC">
        <w:rPr>
          <w:rFonts w:ascii="Palatino Linotype" w:eastAsia="MS Mincho" w:hAnsi="Palatino Linotype"/>
          <w:color w:val="000000"/>
        </w:rPr>
        <w:t>a en la Página de I</w:t>
      </w:r>
      <w:r w:rsidR="00E93F5F" w:rsidRPr="00D623DC">
        <w:rPr>
          <w:rFonts w:ascii="Palatino Linotype" w:eastAsia="MS Mincho" w:hAnsi="Palatino Linotype"/>
          <w:color w:val="000000"/>
        </w:rPr>
        <w:t>nternet del Servicios de Administraci</w:t>
      </w:r>
      <w:r w:rsidR="00C869B8" w:rsidRPr="00D623DC">
        <w:rPr>
          <w:rFonts w:ascii="Palatino Linotype" w:eastAsia="MS Mincho" w:hAnsi="Palatino Linotype"/>
          <w:color w:val="000000"/>
        </w:rPr>
        <w:t>ón Tributaria</w:t>
      </w:r>
      <w:r w:rsidRPr="00D623DC">
        <w:rPr>
          <w:rFonts w:ascii="Palatino Linotype" w:eastAsia="MS Mincho" w:hAnsi="Palatino Linotype"/>
          <w:color w:val="000000"/>
        </w:rPr>
        <w:t>.</w:t>
      </w:r>
    </w:p>
    <w:p w14:paraId="3FDB977B" w14:textId="77777777" w:rsidR="00487BE9" w:rsidRPr="00D623DC" w:rsidRDefault="00487BE9" w:rsidP="00487BE9">
      <w:pPr>
        <w:pStyle w:val="Prrafodelista"/>
        <w:rPr>
          <w:rFonts w:ascii="Palatino Linotype" w:eastAsia="MS Mincho" w:hAnsi="Palatino Linotype"/>
          <w:i/>
          <w:color w:val="000000"/>
        </w:rPr>
      </w:pPr>
    </w:p>
    <w:p w14:paraId="664F26F8" w14:textId="77777777" w:rsidR="00C869B8" w:rsidRPr="00D623DC" w:rsidRDefault="00967E5E"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Asimismo</w:t>
      </w:r>
      <w:r w:rsidR="00C869B8" w:rsidRPr="00D623DC">
        <w:rPr>
          <w:rFonts w:ascii="Palatino Linotype" w:eastAsia="MS Mincho" w:hAnsi="Palatino Linotype"/>
          <w:color w:val="000000"/>
        </w:rPr>
        <w:t>, el particular señaló que la información más reciente se encontraba en la página de Internet; sin embargo, precisó que buscaba de manera específica la fecha en la cual aparecieron como incumplidos por primera vez los contribuyentes, al respecto señaló que esa información no podía encontrarse en las publicaciones al día de su solicitud en la página del Servicio de Administración</w:t>
      </w:r>
      <w:r w:rsidR="00C869B8" w:rsidRPr="00D623DC">
        <w:rPr>
          <w:rFonts w:ascii="Palatino Linotype" w:eastAsia="MS Mincho" w:hAnsi="Palatino Linotype"/>
          <w:i/>
          <w:color w:val="000000"/>
        </w:rPr>
        <w:t xml:space="preserve"> </w:t>
      </w:r>
      <w:r w:rsidR="00C869B8" w:rsidRPr="00D623DC">
        <w:rPr>
          <w:rFonts w:ascii="Palatino Linotype" w:eastAsia="MS Mincho" w:hAnsi="Palatino Linotype"/>
          <w:color w:val="000000"/>
        </w:rPr>
        <w:t>Tributaria.</w:t>
      </w:r>
    </w:p>
    <w:p w14:paraId="0596D768" w14:textId="77777777" w:rsidR="0069351C" w:rsidRPr="00D623DC" w:rsidRDefault="0069351C" w:rsidP="00487BE9">
      <w:pPr>
        <w:spacing w:line="360" w:lineRule="auto"/>
        <w:rPr>
          <w:rFonts w:ascii="Palatino Linotype" w:eastAsia="MS Mincho" w:hAnsi="Palatino Linotype"/>
          <w:i/>
          <w:color w:val="000000"/>
        </w:rPr>
      </w:pPr>
    </w:p>
    <w:p w14:paraId="06D2660F" w14:textId="77777777" w:rsidR="0069351C" w:rsidRPr="00D623DC" w:rsidRDefault="0069351C"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De</w:t>
      </w:r>
      <w:r w:rsidR="00967E5E" w:rsidRPr="00D623DC">
        <w:rPr>
          <w:rFonts w:ascii="Palatino Linotype" w:eastAsia="MS Mincho" w:hAnsi="Palatino Linotype"/>
          <w:color w:val="000000"/>
        </w:rPr>
        <w:t xml:space="preserve"> </w:t>
      </w:r>
      <w:r w:rsidRPr="00D623DC">
        <w:rPr>
          <w:rFonts w:ascii="Palatino Linotype" w:eastAsia="MS Mincho" w:hAnsi="Palatino Linotype"/>
          <w:color w:val="000000"/>
        </w:rPr>
        <w:t>l</w:t>
      </w:r>
      <w:r w:rsidR="00967E5E" w:rsidRPr="00D623DC">
        <w:rPr>
          <w:rFonts w:ascii="Palatino Linotype" w:eastAsia="MS Mincho" w:hAnsi="Palatino Linotype"/>
          <w:color w:val="000000"/>
        </w:rPr>
        <w:t>a</w:t>
      </w:r>
      <w:r w:rsidRPr="00D623DC">
        <w:rPr>
          <w:rFonts w:ascii="Palatino Linotype" w:eastAsia="MS Mincho" w:hAnsi="Palatino Linotype"/>
          <w:color w:val="000000"/>
        </w:rPr>
        <w:t xml:space="preserve"> </w:t>
      </w:r>
      <w:r w:rsidR="00967E5E" w:rsidRPr="00D623DC">
        <w:rPr>
          <w:rFonts w:ascii="Palatino Linotype" w:eastAsia="MS Mincho" w:hAnsi="Palatino Linotype"/>
          <w:color w:val="000000"/>
        </w:rPr>
        <w:t xml:space="preserve">resolución de referencia, se expuso </w:t>
      </w:r>
      <w:r w:rsidRPr="00D623DC">
        <w:rPr>
          <w:rFonts w:ascii="Palatino Linotype" w:eastAsia="MS Mincho" w:hAnsi="Palatino Linotype"/>
          <w:color w:val="000000"/>
        </w:rPr>
        <w:t xml:space="preserve">que el Servicio de Administración Tributaria es un órgano administrativo desconcentrado de la Secretaría de Hacienda y Crédito Público, que tiene a su cargo el ejercicio de las atribuciones y el despacho </w:t>
      </w:r>
      <w:r w:rsidRPr="00D623DC">
        <w:rPr>
          <w:rFonts w:ascii="Palatino Linotype" w:eastAsia="MS Mincho" w:hAnsi="Palatino Linotype"/>
          <w:color w:val="000000"/>
        </w:rPr>
        <w:lastRenderedPageBreak/>
        <w:t>de los asuntos que le otorga la Ley del Servicio de Administración Tributaria, y demás disposiciones jurídicas aplicables, así como los asuntos que el Secretario de Hacienda y Crédito Público le encomiende ejecu</w:t>
      </w:r>
      <w:r w:rsidR="003D3DCD" w:rsidRPr="00D623DC">
        <w:rPr>
          <w:rFonts w:ascii="Palatino Linotype" w:eastAsia="MS Mincho" w:hAnsi="Palatino Linotype"/>
          <w:color w:val="000000"/>
        </w:rPr>
        <w:t>tar y coordinar en la materia.</w:t>
      </w:r>
    </w:p>
    <w:p w14:paraId="50A2068B" w14:textId="77777777" w:rsidR="0069351C" w:rsidRPr="00D623DC" w:rsidRDefault="0069351C" w:rsidP="00487BE9">
      <w:pPr>
        <w:pStyle w:val="Prrafodelista"/>
        <w:spacing w:line="360" w:lineRule="auto"/>
        <w:rPr>
          <w:rFonts w:ascii="Palatino Linotype" w:eastAsia="MS Mincho" w:hAnsi="Palatino Linotype"/>
          <w:color w:val="000000"/>
        </w:rPr>
      </w:pPr>
    </w:p>
    <w:p w14:paraId="72E1EC11" w14:textId="77777777" w:rsidR="0078404E" w:rsidRPr="00D623DC" w:rsidRDefault="0069351C"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color w:val="000000"/>
        </w:rPr>
      </w:pPr>
      <w:r w:rsidRPr="00D623DC">
        <w:rPr>
          <w:rFonts w:ascii="Palatino Linotype" w:eastAsia="MS Mincho" w:hAnsi="Palatino Linotype"/>
          <w:color w:val="000000"/>
        </w:rPr>
        <w:t xml:space="preserve">También se </w:t>
      </w:r>
      <w:r w:rsidR="00F333F7" w:rsidRPr="00D623DC">
        <w:rPr>
          <w:rFonts w:ascii="Palatino Linotype" w:eastAsia="MS Mincho" w:hAnsi="Palatino Linotype"/>
          <w:color w:val="000000"/>
        </w:rPr>
        <w:t xml:space="preserve">señaló </w:t>
      </w:r>
      <w:r w:rsidRPr="00D623DC">
        <w:rPr>
          <w:rFonts w:ascii="Palatino Linotype" w:eastAsia="MS Mincho" w:hAnsi="Palatino Linotype"/>
          <w:color w:val="000000"/>
        </w:rPr>
        <w:t xml:space="preserve">que para el despacho de los asuntos de su competencia, contará con diversas unidades administrativas, entre las que se encuentra la Administración General de recaudación, que a su vez cuenta con la Administración Central de Cobro Persuasivo y Garantías, la cual tiene entre otras atribuciones, la inherente a publicar a través de la página de Internet del Servicio de Administración Tributaria, el nombre o denominación o razón social y la clave del Registro Federal de Contribuyentes, de aquellos sujetos que se ubiquen en alguno de los supuestos establecidos en el artículo 69 del Código Fiscal de la Federación, así como de los contribuyentes a los que se les hubiera cancelado o condonado algún crédito fiscal y los montos respectivos, conforme a lo previsto en la Ley </w:t>
      </w:r>
      <w:r w:rsidR="00F333F7" w:rsidRPr="00D623DC">
        <w:rPr>
          <w:rFonts w:ascii="Palatino Linotype" w:eastAsia="MS Mincho" w:hAnsi="Palatino Linotype"/>
          <w:color w:val="000000"/>
        </w:rPr>
        <w:t xml:space="preserve"> </w:t>
      </w:r>
      <w:r w:rsidRPr="00D623DC">
        <w:rPr>
          <w:rFonts w:ascii="Palatino Linotype" w:eastAsia="MS Mincho" w:hAnsi="Palatino Linotype"/>
          <w:color w:val="000000"/>
        </w:rPr>
        <w:t>General de Transparencia y Acceso a la Información Pública.</w:t>
      </w:r>
    </w:p>
    <w:p w14:paraId="602A45C1" w14:textId="77777777" w:rsidR="0069351C" w:rsidRPr="00D623DC" w:rsidRDefault="0069351C" w:rsidP="00487BE9">
      <w:pPr>
        <w:pStyle w:val="Prrafodelista"/>
        <w:tabs>
          <w:tab w:val="left" w:pos="567"/>
          <w:tab w:val="left" w:pos="8789"/>
        </w:tabs>
        <w:spacing w:line="360" w:lineRule="auto"/>
        <w:ind w:left="0" w:right="49"/>
        <w:jc w:val="both"/>
        <w:rPr>
          <w:rFonts w:ascii="Palatino Linotype" w:eastAsia="MS Mincho" w:hAnsi="Palatino Linotype"/>
          <w:color w:val="000000"/>
        </w:rPr>
      </w:pPr>
    </w:p>
    <w:p w14:paraId="50C2E770" w14:textId="77777777" w:rsidR="0078404E" w:rsidRPr="00D623DC" w:rsidRDefault="00F333F7"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En dicha resolución se concluyó</w:t>
      </w:r>
      <w:r w:rsidR="0078404E" w:rsidRPr="00D623DC">
        <w:rPr>
          <w:rFonts w:ascii="Palatino Linotype" w:eastAsia="MS Mincho" w:hAnsi="Palatino Linotype"/>
          <w:color w:val="000000"/>
        </w:rPr>
        <w:t xml:space="preserve"> </w:t>
      </w:r>
      <w:r w:rsidRPr="00D623DC">
        <w:rPr>
          <w:rFonts w:ascii="Palatino Linotype" w:eastAsia="MS Mincho" w:hAnsi="Palatino Linotype"/>
          <w:color w:val="000000"/>
        </w:rPr>
        <w:t>modificar</w:t>
      </w:r>
      <w:r w:rsidR="003D3DCD" w:rsidRPr="00D623DC">
        <w:rPr>
          <w:rFonts w:ascii="Palatino Linotype" w:eastAsia="MS Mincho" w:hAnsi="Palatino Linotype"/>
          <w:color w:val="000000"/>
        </w:rPr>
        <w:t xml:space="preserve"> </w:t>
      </w:r>
      <w:r w:rsidR="0078404E" w:rsidRPr="00D623DC">
        <w:rPr>
          <w:rFonts w:ascii="Palatino Linotype" w:eastAsia="MS Mincho" w:hAnsi="Palatino Linotype"/>
          <w:color w:val="000000"/>
        </w:rPr>
        <w:t>la respuesta otorgada por el sujeto obli</w:t>
      </w:r>
      <w:r w:rsidRPr="00D623DC">
        <w:rPr>
          <w:rFonts w:ascii="Palatino Linotype" w:eastAsia="MS Mincho" w:hAnsi="Palatino Linotype"/>
          <w:color w:val="000000"/>
        </w:rPr>
        <w:t>gado, y se le instruyó a</w:t>
      </w:r>
      <w:r w:rsidR="0078404E" w:rsidRPr="00D623DC">
        <w:rPr>
          <w:rFonts w:ascii="Palatino Linotype" w:eastAsia="MS Mincho" w:hAnsi="Palatino Linotype"/>
          <w:color w:val="000000"/>
        </w:rPr>
        <w:t xml:space="preserve"> realizar una búsqueda en todas las unidades administrativas competentes, entre las que no podrá omitir a la Administración Central de Cobro Persuasivo y Garantías, así como la Administración General de Comunicaciones y Tecnologías de la Informaci</w:t>
      </w:r>
      <w:r w:rsidRPr="00D623DC">
        <w:rPr>
          <w:rFonts w:ascii="Palatino Linotype" w:eastAsia="MS Mincho" w:hAnsi="Palatino Linotype"/>
          <w:color w:val="000000"/>
        </w:rPr>
        <w:t>ón de su adscripción, y entregar</w:t>
      </w:r>
      <w:r w:rsidR="0078404E" w:rsidRPr="00D623DC">
        <w:rPr>
          <w:rFonts w:ascii="Palatino Linotype" w:eastAsia="MS Mincho" w:hAnsi="Palatino Linotype"/>
          <w:color w:val="000000"/>
        </w:rPr>
        <w:t xml:space="preserve"> al recurrente la lista que dé cuenta de los contribuyentes que han incumplido con sus obligaciones fiscales, desde que comenzaron a publicarse dichos datos, esto</w:t>
      </w:r>
      <w:r w:rsidR="0078404E" w:rsidRPr="00D623DC">
        <w:rPr>
          <w:rFonts w:ascii="Palatino Linotype" w:eastAsia="MS Mincho" w:hAnsi="Palatino Linotype"/>
          <w:i/>
          <w:color w:val="000000"/>
        </w:rPr>
        <w:t xml:space="preserve"> </w:t>
      </w:r>
      <w:r w:rsidR="0078404E" w:rsidRPr="00D623DC">
        <w:rPr>
          <w:rFonts w:ascii="Palatino Linotype" w:eastAsia="MS Mincho" w:hAnsi="Palatino Linotype"/>
          <w:color w:val="000000"/>
        </w:rPr>
        <w:t>es a partir del 1 de enero de 2014.</w:t>
      </w:r>
    </w:p>
    <w:p w14:paraId="603583DC" w14:textId="77777777" w:rsidR="000842A2" w:rsidRPr="00D623DC" w:rsidRDefault="000842A2"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p w14:paraId="00107667" w14:textId="77777777" w:rsidR="0009573A" w:rsidRPr="00D623DC" w:rsidRDefault="00F333F7" w:rsidP="00487BE9">
      <w:pPr>
        <w:numPr>
          <w:ilvl w:val="0"/>
          <w:numId w:val="1"/>
        </w:numPr>
        <w:spacing w:line="360" w:lineRule="auto"/>
        <w:ind w:left="0" w:firstLine="0"/>
        <w:contextualSpacing/>
        <w:jc w:val="both"/>
        <w:rPr>
          <w:rFonts w:ascii="Palatino Linotype" w:hAnsi="Palatino Linotype"/>
          <w:color w:val="000000" w:themeColor="text1"/>
        </w:rPr>
      </w:pPr>
      <w:r w:rsidRPr="00D623DC">
        <w:rPr>
          <w:rFonts w:ascii="Palatino Linotype" w:eastAsia="MS Mincho" w:hAnsi="Palatino Linotype"/>
          <w:color w:val="000000"/>
        </w:rPr>
        <w:lastRenderedPageBreak/>
        <w:t>Lo anterior en virtud que</w:t>
      </w:r>
      <w:r w:rsidR="0078404E" w:rsidRPr="00D623DC">
        <w:rPr>
          <w:rFonts w:ascii="Palatino Linotype" w:eastAsia="MS Mincho" w:hAnsi="Palatino Linotype"/>
          <w:color w:val="000000"/>
        </w:rPr>
        <w:t xml:space="preserve"> la información requerida </w:t>
      </w:r>
      <w:r w:rsidR="00774727" w:rsidRPr="00D623DC">
        <w:rPr>
          <w:rFonts w:ascii="Palatino Linotype" w:eastAsia="MS Mincho" w:hAnsi="Palatino Linotype"/>
          <w:color w:val="000000"/>
        </w:rPr>
        <w:t xml:space="preserve">en la solicitud </w:t>
      </w:r>
      <w:r w:rsidRPr="00D623DC">
        <w:rPr>
          <w:rFonts w:ascii="Palatino Linotype" w:eastAsia="MS Mincho" w:hAnsi="Palatino Linotype"/>
          <w:color w:val="000000"/>
        </w:rPr>
        <w:t>de información</w:t>
      </w:r>
      <w:r w:rsidR="00774727" w:rsidRPr="00D623DC">
        <w:rPr>
          <w:rFonts w:ascii="Palatino Linotype" w:eastAsia="MS Mincho" w:hAnsi="Palatino Linotype"/>
          <w:color w:val="000000"/>
        </w:rPr>
        <w:t xml:space="preserve">, ya obraban una fuente de acceso público, </w:t>
      </w:r>
      <w:r w:rsidRPr="00D623DC">
        <w:rPr>
          <w:rFonts w:ascii="Palatino Linotype" w:eastAsia="MS Mincho" w:hAnsi="Palatino Linotype"/>
          <w:color w:val="000000"/>
        </w:rPr>
        <w:t>resultando</w:t>
      </w:r>
      <w:r w:rsidR="0009573A" w:rsidRPr="00D623DC">
        <w:rPr>
          <w:rFonts w:ascii="Palatino Linotype" w:eastAsia="MS Mincho" w:hAnsi="Palatino Linotype"/>
          <w:color w:val="000000"/>
        </w:rPr>
        <w:t xml:space="preserve"> aplicable el </w:t>
      </w:r>
      <w:r w:rsidRPr="00D623DC">
        <w:rPr>
          <w:rFonts w:ascii="Palatino Linotype" w:eastAsia="MS Mincho" w:hAnsi="Palatino Linotype"/>
          <w:color w:val="000000"/>
        </w:rPr>
        <w:t>C</w:t>
      </w:r>
      <w:r w:rsidR="0009573A" w:rsidRPr="00D623DC">
        <w:rPr>
          <w:rFonts w:ascii="Palatino Linotype" w:eastAsia="MS Mincho" w:hAnsi="Palatino Linotype"/>
          <w:color w:val="000000"/>
        </w:rPr>
        <w:t xml:space="preserve">riterio 13/2009, </w:t>
      </w:r>
      <w:r w:rsidR="0009573A" w:rsidRPr="00D623DC">
        <w:rPr>
          <w:rFonts w:ascii="Palatino Linotype" w:hAnsi="Palatino Linotype" w:cs="Arial"/>
        </w:rPr>
        <w:t xml:space="preserve">emitido por el Pleno del </w:t>
      </w:r>
      <w:r w:rsidRPr="00D623DC">
        <w:rPr>
          <w:rFonts w:ascii="Palatino Linotype" w:hAnsi="Palatino Linotype" w:cs="Arial"/>
        </w:rPr>
        <w:t>INAI</w:t>
      </w:r>
      <w:r w:rsidR="0009573A" w:rsidRPr="00D623DC">
        <w:rPr>
          <w:rFonts w:ascii="Palatino Linotype" w:hAnsi="Palatino Linotype" w:cs="Arial"/>
          <w:bCs/>
        </w:rPr>
        <w:t xml:space="preserve">, </w:t>
      </w:r>
      <w:r w:rsidRPr="00D623DC">
        <w:rPr>
          <w:rFonts w:ascii="Palatino Linotype" w:hAnsi="Palatino Linotype" w:cs="Arial"/>
          <w:bCs/>
        </w:rPr>
        <w:t>a saber</w:t>
      </w:r>
      <w:r w:rsidR="0009573A" w:rsidRPr="00D623DC">
        <w:rPr>
          <w:rFonts w:ascii="Palatino Linotype" w:hAnsi="Palatino Linotype" w:cs="Arial"/>
          <w:bCs/>
        </w:rPr>
        <w:t>:</w:t>
      </w:r>
    </w:p>
    <w:p w14:paraId="129AFAFA" w14:textId="77777777" w:rsidR="0009573A" w:rsidRPr="00D623DC" w:rsidRDefault="0009573A" w:rsidP="00487BE9">
      <w:pPr>
        <w:pStyle w:val="Prrafodelista"/>
        <w:spacing w:line="360" w:lineRule="auto"/>
        <w:ind w:left="567" w:right="616"/>
        <w:rPr>
          <w:rFonts w:ascii="Palatino Linotype" w:hAnsi="Palatino Linotype"/>
          <w:color w:val="000000" w:themeColor="text1"/>
        </w:rPr>
      </w:pPr>
    </w:p>
    <w:p w14:paraId="5E9B0D14" w14:textId="77777777" w:rsidR="0009573A" w:rsidRPr="00D623DC" w:rsidRDefault="0009573A" w:rsidP="00487BE9">
      <w:pPr>
        <w:spacing w:line="360" w:lineRule="auto"/>
        <w:ind w:left="567" w:right="616"/>
        <w:contextualSpacing/>
        <w:jc w:val="both"/>
        <w:rPr>
          <w:rFonts w:ascii="Palatino Linotype" w:hAnsi="Palatino Linotype"/>
          <w:i/>
          <w:color w:val="000000" w:themeColor="text1"/>
          <w:lang w:val="es-MX"/>
        </w:rPr>
      </w:pPr>
      <w:r w:rsidRPr="00D623DC">
        <w:rPr>
          <w:rFonts w:ascii="Palatino Linotype" w:hAnsi="Palatino Linotype"/>
          <w:b/>
          <w:color w:val="000000" w:themeColor="text1"/>
          <w:lang w:val="es-MX"/>
        </w:rPr>
        <w:t>“</w:t>
      </w:r>
      <w:r w:rsidRPr="00D623DC">
        <w:rPr>
          <w:rFonts w:ascii="Palatino Linotype" w:hAnsi="Palatino Linotype"/>
          <w:b/>
          <w:i/>
          <w:color w:val="000000" w:themeColor="text1"/>
          <w:lang w:val="es-MX"/>
        </w:rPr>
        <w:t xml:space="preserve">Datos personales en fuentes de acceso público. De acuerdo con el principio de finalidad, ante solicitudes de acceso a datos personales, realizadas por personas distintas de su titular, procede su remisión cuando dichos datos obran en una fuente de acceso público. </w:t>
      </w:r>
      <w:r w:rsidRPr="00D623DC">
        <w:rPr>
          <w:rFonts w:ascii="Palatino Linotype" w:hAnsi="Palatino Linotype"/>
          <w:i/>
          <w:color w:val="000000" w:themeColor="text1"/>
          <w:lang w:val="es-MX"/>
        </w:rPr>
        <w:t>Si bien el hecho de que los datos personales obren en una fuente de acceso público no permite considerarlos información confidencial, según dispone el artículo 18 de la Ley Federal de Transparencia y Acceso a la Información Pública Gubernamental, lo cierto es que dicho supuesto no debe constituir una excepción al principio de finalidad que debe regir todo tratamiento de datos personales en posesión de los sujetos obligados, previsto en el artículo 20, fracción II de la Ley Federal de Transparencia y Acceso a la Información Pública Gubernamental, en virtud del cual los citados datos, únicamente se pueden tratar para la finalidad para lo cual fueron recabados, directa o indirectamente. En tal sentido, la dependencia o entidad cumple con sus obligaciones derivadas del derecho a la protección de los datos personales y las derivadas del derecho de acceso a la información, de manera armónica, remitiendo a la fuente de acceso público donde pueden obtenerse los datos solicitados, en términos de lo que establece el artículo 42 de la Ley Federal de Transparencia y Acceso a la Información Pública Gubernamental.</w:t>
      </w:r>
    </w:p>
    <w:p w14:paraId="7D51B1F7" w14:textId="77777777" w:rsidR="0009573A" w:rsidRPr="00D623DC" w:rsidRDefault="0009573A" w:rsidP="00487BE9">
      <w:pPr>
        <w:spacing w:line="360" w:lineRule="auto"/>
        <w:ind w:right="616"/>
        <w:contextualSpacing/>
        <w:jc w:val="both"/>
        <w:rPr>
          <w:rFonts w:ascii="Palatino Linotype" w:hAnsi="Palatino Linotype"/>
          <w:i/>
          <w:color w:val="000000" w:themeColor="text1"/>
          <w:lang w:val="es-MX"/>
        </w:rPr>
      </w:pPr>
    </w:p>
    <w:p w14:paraId="42254877" w14:textId="77777777" w:rsidR="0078404E" w:rsidRPr="00D623DC" w:rsidRDefault="0074760A"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color w:val="000000"/>
        </w:rPr>
      </w:pPr>
      <w:r w:rsidRPr="00D623DC">
        <w:rPr>
          <w:rFonts w:ascii="Palatino Linotype" w:eastAsia="MS Mincho" w:hAnsi="Palatino Linotype"/>
          <w:color w:val="000000"/>
        </w:rPr>
        <w:lastRenderedPageBreak/>
        <w:t>Robustece a lo anterior por analogía, lo establecido en el artículo 120 fracción I de la Ley General de Transparencia y Acceso a la Información Pública, el cual señala lo siguiente:</w:t>
      </w:r>
    </w:p>
    <w:p w14:paraId="2B59E143" w14:textId="77777777" w:rsidR="0074760A" w:rsidRPr="00D623DC" w:rsidRDefault="0074760A" w:rsidP="00487BE9">
      <w:pPr>
        <w:pStyle w:val="Prrafodelista"/>
        <w:tabs>
          <w:tab w:val="left" w:pos="567"/>
          <w:tab w:val="left" w:pos="8789"/>
        </w:tabs>
        <w:spacing w:line="360" w:lineRule="auto"/>
        <w:ind w:left="0" w:right="49"/>
        <w:jc w:val="both"/>
        <w:rPr>
          <w:rFonts w:ascii="Palatino Linotype" w:eastAsia="MS Mincho" w:hAnsi="Palatino Linotype"/>
          <w:color w:val="000000"/>
        </w:rPr>
      </w:pPr>
    </w:p>
    <w:p w14:paraId="32238DA0" w14:textId="77777777" w:rsidR="0074760A" w:rsidRPr="00D623DC" w:rsidRDefault="0074760A" w:rsidP="00487BE9">
      <w:pPr>
        <w:pStyle w:val="Prrafodelista"/>
        <w:tabs>
          <w:tab w:val="left" w:pos="567"/>
          <w:tab w:val="left" w:pos="8222"/>
        </w:tabs>
        <w:spacing w:line="360" w:lineRule="auto"/>
        <w:ind w:left="567" w:right="616"/>
        <w:jc w:val="both"/>
        <w:rPr>
          <w:rFonts w:ascii="Palatino Linotype" w:eastAsia="MS Mincho" w:hAnsi="Palatino Linotype"/>
          <w:i/>
          <w:color w:val="000000"/>
        </w:rPr>
      </w:pPr>
      <w:r w:rsidRPr="00D623DC">
        <w:rPr>
          <w:rFonts w:ascii="Palatino Linotype" w:eastAsia="MS Mincho" w:hAnsi="Palatino Linotype"/>
          <w:color w:val="000000"/>
        </w:rPr>
        <w:t>“</w:t>
      </w:r>
      <w:r w:rsidRPr="00D623DC">
        <w:rPr>
          <w:rFonts w:ascii="Palatino Linotype" w:eastAsia="MS Mincho" w:hAnsi="Palatino Linotype"/>
          <w:b/>
          <w:i/>
          <w:color w:val="000000"/>
        </w:rPr>
        <w:t>Artículo 120</w:t>
      </w:r>
      <w:r w:rsidRPr="00D623DC">
        <w:rPr>
          <w:rFonts w:ascii="Palatino Linotype" w:eastAsia="MS Mincho" w:hAnsi="Palatino Linotype"/>
          <w:i/>
          <w:color w:val="000000"/>
        </w:rPr>
        <w:t xml:space="preserve">. Para que los sujetos obligados </w:t>
      </w:r>
      <w:r w:rsidRPr="00D623DC">
        <w:rPr>
          <w:rFonts w:ascii="Palatino Linotype" w:eastAsia="MS Mincho" w:hAnsi="Palatino Linotype"/>
          <w:b/>
          <w:i/>
          <w:color w:val="000000"/>
        </w:rPr>
        <w:t>puedan permitir el acceso a información confidencial</w:t>
      </w:r>
      <w:r w:rsidRPr="00D623DC">
        <w:rPr>
          <w:rFonts w:ascii="Palatino Linotype" w:eastAsia="MS Mincho" w:hAnsi="Palatino Linotype"/>
          <w:i/>
          <w:color w:val="000000"/>
        </w:rPr>
        <w:t xml:space="preserve"> requieren obtener el consentimiento de los particulares titulares de la información.</w:t>
      </w:r>
    </w:p>
    <w:p w14:paraId="18FCF524" w14:textId="77777777" w:rsidR="00DD095E" w:rsidRPr="00D623DC" w:rsidRDefault="0074760A" w:rsidP="00487BE9">
      <w:pPr>
        <w:pStyle w:val="Prrafodelista"/>
        <w:tabs>
          <w:tab w:val="left" w:pos="567"/>
          <w:tab w:val="left" w:pos="8222"/>
        </w:tabs>
        <w:spacing w:line="360" w:lineRule="auto"/>
        <w:ind w:left="567" w:right="616"/>
        <w:jc w:val="both"/>
        <w:rPr>
          <w:rFonts w:ascii="Palatino Linotype" w:eastAsia="MS Mincho" w:hAnsi="Palatino Linotype"/>
          <w:i/>
          <w:color w:val="000000"/>
        </w:rPr>
      </w:pPr>
      <w:r w:rsidRPr="00D623DC">
        <w:rPr>
          <w:rFonts w:ascii="Palatino Linotype" w:eastAsia="MS Mincho" w:hAnsi="Palatino Linotype"/>
          <w:i/>
          <w:color w:val="000000"/>
        </w:rPr>
        <w:t>No se requerirá el consentimiento del titular de la información confidencial cuando:</w:t>
      </w:r>
    </w:p>
    <w:p w14:paraId="3B551A87" w14:textId="77777777" w:rsidR="0074760A" w:rsidRPr="00D623DC" w:rsidRDefault="00DD095E" w:rsidP="00487BE9">
      <w:pPr>
        <w:pStyle w:val="Prrafodelista"/>
        <w:numPr>
          <w:ilvl w:val="0"/>
          <w:numId w:val="41"/>
        </w:numPr>
        <w:tabs>
          <w:tab w:val="left" w:pos="567"/>
          <w:tab w:val="left" w:pos="8222"/>
        </w:tabs>
        <w:spacing w:line="360" w:lineRule="auto"/>
        <w:ind w:left="1134" w:right="616" w:hanging="567"/>
        <w:jc w:val="both"/>
        <w:rPr>
          <w:rFonts w:ascii="Palatino Linotype" w:eastAsia="MS Mincho" w:hAnsi="Palatino Linotype"/>
          <w:b/>
          <w:i/>
          <w:color w:val="000000"/>
        </w:rPr>
      </w:pPr>
      <w:r w:rsidRPr="00D623DC">
        <w:rPr>
          <w:rFonts w:ascii="Palatino Linotype" w:eastAsia="MS Mincho" w:hAnsi="Palatino Linotype"/>
          <w:b/>
          <w:i/>
          <w:color w:val="000000"/>
        </w:rPr>
        <w:t xml:space="preserve"> l</w:t>
      </w:r>
      <w:r w:rsidR="0074760A" w:rsidRPr="00D623DC">
        <w:rPr>
          <w:rFonts w:ascii="Palatino Linotype" w:eastAsia="MS Mincho" w:hAnsi="Palatino Linotype"/>
          <w:b/>
          <w:i/>
          <w:color w:val="000000"/>
        </w:rPr>
        <w:t>a información se encuentre en registros públicos o fuentes de acceso público;</w:t>
      </w:r>
    </w:p>
    <w:p w14:paraId="4AE78C94" w14:textId="77777777" w:rsidR="0074760A" w:rsidRPr="00D623DC" w:rsidRDefault="0074760A" w:rsidP="00487BE9">
      <w:pPr>
        <w:tabs>
          <w:tab w:val="left" w:pos="567"/>
          <w:tab w:val="left" w:pos="8222"/>
        </w:tabs>
        <w:spacing w:line="360" w:lineRule="auto"/>
        <w:ind w:left="567" w:right="616"/>
        <w:jc w:val="both"/>
        <w:rPr>
          <w:rFonts w:ascii="Palatino Linotype" w:eastAsia="MS Mincho" w:hAnsi="Palatino Linotype"/>
          <w:color w:val="000000"/>
        </w:rPr>
      </w:pPr>
      <w:r w:rsidRPr="00D623DC">
        <w:rPr>
          <w:rFonts w:ascii="Palatino Linotype" w:eastAsia="MS Mincho" w:hAnsi="Palatino Linotype"/>
          <w:i/>
          <w:color w:val="000000"/>
        </w:rPr>
        <w:t>(…)</w:t>
      </w:r>
      <w:r w:rsidRPr="00D623DC">
        <w:rPr>
          <w:rFonts w:ascii="Palatino Linotype" w:eastAsia="MS Mincho" w:hAnsi="Palatino Linotype"/>
          <w:color w:val="000000"/>
        </w:rPr>
        <w:t>”</w:t>
      </w:r>
    </w:p>
    <w:p w14:paraId="3008D3F2" w14:textId="77777777" w:rsidR="00DD095E" w:rsidRPr="00D623DC" w:rsidRDefault="00DD095E" w:rsidP="00487BE9">
      <w:pPr>
        <w:tabs>
          <w:tab w:val="left" w:pos="567"/>
          <w:tab w:val="left" w:pos="8222"/>
        </w:tabs>
        <w:spacing w:line="360" w:lineRule="auto"/>
        <w:ind w:left="567" w:right="616"/>
        <w:jc w:val="both"/>
        <w:rPr>
          <w:rFonts w:ascii="Palatino Linotype" w:eastAsia="MS Mincho" w:hAnsi="Palatino Linotype"/>
          <w:color w:val="000000"/>
        </w:rPr>
      </w:pPr>
      <w:r w:rsidRPr="00D623DC">
        <w:rPr>
          <w:rFonts w:ascii="Palatino Linotype" w:eastAsia="MS Mincho" w:hAnsi="Palatino Linotype"/>
          <w:color w:val="000000"/>
        </w:rPr>
        <w:t>(Énfasis añadido)</w:t>
      </w:r>
    </w:p>
    <w:p w14:paraId="5DB7BE02" w14:textId="77777777" w:rsidR="00774727" w:rsidRPr="00D623DC" w:rsidRDefault="00774727"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p w14:paraId="6D013D6C" w14:textId="77777777" w:rsidR="00DD095E" w:rsidRPr="00D623DC" w:rsidRDefault="00DD095E"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 xml:space="preserve">En el mismo sentir, </w:t>
      </w:r>
      <w:r w:rsidRPr="00D623DC">
        <w:rPr>
          <w:rFonts w:ascii="Palatino Linotype" w:eastAsia="MS Mincho" w:hAnsi="Palatino Linotype" w:cs="Arial"/>
        </w:rPr>
        <w:t>la Ley de Transparencia y Acceso a la Información Pública del Estado de México y Municipios, estipula lo siguiente:</w:t>
      </w:r>
    </w:p>
    <w:p w14:paraId="639E4B3F" w14:textId="77777777" w:rsidR="00E0631C" w:rsidRPr="00D623DC" w:rsidRDefault="00E0631C"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p w14:paraId="4AB9A932" w14:textId="77777777" w:rsidR="00DD095E" w:rsidRPr="00D623DC" w:rsidRDefault="00E0631C" w:rsidP="00487BE9">
      <w:pPr>
        <w:pStyle w:val="Prrafodelista"/>
        <w:tabs>
          <w:tab w:val="left" w:pos="567"/>
          <w:tab w:val="left" w:pos="8364"/>
        </w:tabs>
        <w:spacing w:line="360" w:lineRule="auto"/>
        <w:ind w:left="426" w:right="333"/>
        <w:jc w:val="center"/>
        <w:rPr>
          <w:rFonts w:ascii="Palatino Linotype" w:eastAsia="MS Mincho" w:hAnsi="Palatino Linotype"/>
          <w:b/>
          <w:i/>
          <w:color w:val="000000"/>
        </w:rPr>
      </w:pPr>
      <w:r w:rsidRPr="00D623DC">
        <w:rPr>
          <w:rFonts w:ascii="Palatino Linotype" w:eastAsia="MS Mincho" w:hAnsi="Palatino Linotype"/>
          <w:b/>
          <w:i/>
          <w:color w:val="000000"/>
        </w:rPr>
        <w:t>“</w:t>
      </w:r>
      <w:r w:rsidR="00DD095E" w:rsidRPr="00D623DC">
        <w:rPr>
          <w:rFonts w:ascii="Palatino Linotype" w:eastAsia="MS Mincho" w:hAnsi="Palatino Linotype"/>
          <w:b/>
          <w:i/>
          <w:color w:val="000000"/>
        </w:rPr>
        <w:t>Capítulo III</w:t>
      </w:r>
    </w:p>
    <w:p w14:paraId="4F9CBFED" w14:textId="77777777" w:rsidR="00DD095E" w:rsidRPr="00D623DC" w:rsidRDefault="00DD095E" w:rsidP="00487BE9">
      <w:pPr>
        <w:pStyle w:val="Prrafodelista"/>
        <w:tabs>
          <w:tab w:val="left" w:pos="567"/>
          <w:tab w:val="left" w:pos="8364"/>
        </w:tabs>
        <w:spacing w:line="360" w:lineRule="auto"/>
        <w:ind w:left="426" w:right="333"/>
        <w:jc w:val="center"/>
        <w:rPr>
          <w:rFonts w:ascii="Palatino Linotype" w:eastAsia="MS Mincho" w:hAnsi="Palatino Linotype"/>
          <w:b/>
          <w:i/>
          <w:color w:val="000000"/>
        </w:rPr>
      </w:pPr>
      <w:r w:rsidRPr="00D623DC">
        <w:rPr>
          <w:rFonts w:ascii="Palatino Linotype" w:eastAsia="MS Mincho" w:hAnsi="Palatino Linotype"/>
          <w:b/>
          <w:i/>
          <w:color w:val="000000"/>
        </w:rPr>
        <w:t>De la Información Confidencial</w:t>
      </w:r>
    </w:p>
    <w:p w14:paraId="4B7BBBFE"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i/>
          <w:color w:val="000000"/>
        </w:rPr>
        <w:t xml:space="preserve">Artículo 143. Para los efectos de esta Ley se considera </w:t>
      </w:r>
      <w:r w:rsidRPr="00D623DC">
        <w:rPr>
          <w:rFonts w:ascii="Palatino Linotype" w:eastAsia="MS Mincho" w:hAnsi="Palatino Linotype"/>
          <w:b/>
          <w:i/>
          <w:color w:val="000000"/>
        </w:rPr>
        <w:t>información  confidencial, la clasificada</w:t>
      </w:r>
      <w:r w:rsidRPr="00D623DC">
        <w:rPr>
          <w:rFonts w:ascii="Palatino Linotype" w:eastAsia="MS Mincho" w:hAnsi="Palatino Linotype"/>
          <w:i/>
          <w:color w:val="000000"/>
        </w:rPr>
        <w:t xml:space="preserve"> como tal, de manera permanente, por su naturaleza, cuando: </w:t>
      </w:r>
    </w:p>
    <w:p w14:paraId="64E7D165"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i/>
          <w:color w:val="000000"/>
        </w:rPr>
        <w:t xml:space="preserve">I. Se refiera a la información privada y los datos personales concernientes a una persona física o jurídico colectiva identificada o identificable; </w:t>
      </w:r>
    </w:p>
    <w:p w14:paraId="2C58EC87"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i/>
          <w:color w:val="000000"/>
        </w:rPr>
        <w:lastRenderedPageBreak/>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A76D2E7"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i/>
          <w:color w:val="000000"/>
        </w:rPr>
        <w:t xml:space="preserve">III. La que presenten los particulares a los sujetos obligados, de conformidad con lo dispuesto por las leyes o los tratados internacionales. </w:t>
      </w:r>
    </w:p>
    <w:p w14:paraId="6B85DC47"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p>
    <w:p w14:paraId="0960935F"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i/>
          <w:color w:val="000000"/>
        </w:rPr>
        <w:t xml:space="preserve">La información confidencial no estará sujeta a temporalidad alguna y sólo podrán tener acceso a ella los titulares de la misma, sus representantes y los servidores públicos facultados para ello. </w:t>
      </w:r>
    </w:p>
    <w:p w14:paraId="5902557D"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p>
    <w:p w14:paraId="49967C2B" w14:textId="77777777" w:rsidR="00DD095E" w:rsidRPr="00D623DC" w:rsidRDefault="00DD095E" w:rsidP="00487BE9">
      <w:pPr>
        <w:pStyle w:val="Prrafodelista"/>
        <w:tabs>
          <w:tab w:val="left" w:pos="567"/>
          <w:tab w:val="left" w:pos="8364"/>
        </w:tabs>
        <w:spacing w:line="360" w:lineRule="auto"/>
        <w:ind w:left="426" w:right="333"/>
        <w:jc w:val="both"/>
        <w:rPr>
          <w:rFonts w:ascii="Palatino Linotype" w:eastAsia="MS Mincho" w:hAnsi="Palatino Linotype"/>
          <w:i/>
          <w:color w:val="000000"/>
        </w:rPr>
      </w:pPr>
      <w:r w:rsidRPr="00D623DC">
        <w:rPr>
          <w:rFonts w:ascii="Palatino Linotype" w:eastAsia="MS Mincho" w:hAnsi="Palatino Linotype"/>
          <w:b/>
          <w:i/>
          <w:color w:val="000000"/>
        </w:rPr>
        <w:t>No se considerará confidencial la información que se encuentre en los registros públicos o en fuentes de acceso público, ni tampoco la que sea considerada por la presente ley como información pública</w:t>
      </w:r>
      <w:r w:rsidRPr="00D623DC">
        <w:rPr>
          <w:rFonts w:ascii="Palatino Linotype" w:eastAsia="MS Mincho" w:hAnsi="Palatino Linotype"/>
          <w:i/>
          <w:color w:val="000000"/>
        </w:rPr>
        <w:t>.”</w:t>
      </w:r>
    </w:p>
    <w:p w14:paraId="2D265CB5" w14:textId="77777777" w:rsidR="00DD095E" w:rsidRPr="00D623DC" w:rsidRDefault="00DD095E"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p w14:paraId="33BF527D" w14:textId="77777777" w:rsidR="00CF0C27" w:rsidRPr="00D623DC" w:rsidRDefault="00DD095E" w:rsidP="00487BE9">
      <w:pPr>
        <w:pStyle w:val="Prrafodelista"/>
        <w:numPr>
          <w:ilvl w:val="0"/>
          <w:numId w:val="1"/>
        </w:numPr>
        <w:tabs>
          <w:tab w:val="left" w:pos="567"/>
          <w:tab w:val="left" w:pos="8789"/>
        </w:tabs>
        <w:spacing w:line="360" w:lineRule="auto"/>
        <w:ind w:left="0" w:right="49" w:firstLine="0"/>
        <w:jc w:val="both"/>
        <w:rPr>
          <w:rFonts w:ascii="Palatino Linotype" w:eastAsia="MS Mincho" w:hAnsi="Palatino Linotype"/>
          <w:i/>
          <w:color w:val="000000"/>
        </w:rPr>
      </w:pPr>
      <w:r w:rsidRPr="00D623DC">
        <w:rPr>
          <w:rFonts w:ascii="Palatino Linotype" w:eastAsia="MS Mincho" w:hAnsi="Palatino Linotype"/>
          <w:color w:val="000000"/>
        </w:rPr>
        <w:t xml:space="preserve">De los preceptos citados, se desprende que toda información </w:t>
      </w:r>
      <w:r w:rsidR="00B25B49" w:rsidRPr="00D623DC">
        <w:rPr>
          <w:rFonts w:ascii="Palatino Linotype" w:eastAsia="MS Mincho" w:hAnsi="Palatino Linotype"/>
          <w:color w:val="000000"/>
        </w:rPr>
        <w:t xml:space="preserve">que se encuentra en los </w:t>
      </w:r>
      <w:r w:rsidRPr="00D623DC">
        <w:rPr>
          <w:rFonts w:ascii="Palatino Linotype" w:eastAsia="MS Mincho" w:hAnsi="Palatino Linotype"/>
          <w:color w:val="000000"/>
        </w:rPr>
        <w:t>registros públicos o en fuentes de acceso público</w:t>
      </w:r>
      <w:r w:rsidR="00B25B49" w:rsidRPr="00D623DC">
        <w:rPr>
          <w:rFonts w:ascii="Palatino Linotype" w:eastAsia="MS Mincho" w:hAnsi="Palatino Linotype"/>
          <w:color w:val="000000"/>
        </w:rPr>
        <w:t>, no se considera confidencial, esto en virtud de la resoluci</w:t>
      </w:r>
      <w:r w:rsidR="00CF0C27" w:rsidRPr="00D623DC">
        <w:rPr>
          <w:rFonts w:ascii="Palatino Linotype" w:eastAsia="MS Mincho" w:hAnsi="Palatino Linotype"/>
          <w:color w:val="000000"/>
        </w:rPr>
        <w:t xml:space="preserve">ón RDA 1667/16, </w:t>
      </w:r>
      <w:r w:rsidR="00F333F7" w:rsidRPr="00D623DC">
        <w:rPr>
          <w:rFonts w:ascii="Palatino Linotype" w:eastAsia="MS Mincho" w:hAnsi="Palatino Linotype"/>
          <w:color w:val="000000"/>
        </w:rPr>
        <w:t>citada por el particular si bien es cierto versa sobre contribuyentes, en estricto sentido</w:t>
      </w:r>
      <w:r w:rsidR="00B25B49" w:rsidRPr="00D623DC">
        <w:rPr>
          <w:rFonts w:ascii="Palatino Linotype" w:eastAsia="MS Mincho" w:hAnsi="Palatino Linotype"/>
          <w:color w:val="000000"/>
        </w:rPr>
        <w:t xml:space="preserve"> no guarda relaci</w:t>
      </w:r>
      <w:r w:rsidR="00F333F7" w:rsidRPr="00D623DC">
        <w:rPr>
          <w:rFonts w:ascii="Palatino Linotype" w:eastAsia="MS Mincho" w:hAnsi="Palatino Linotype"/>
          <w:color w:val="000000"/>
        </w:rPr>
        <w:t xml:space="preserve">ón con </w:t>
      </w:r>
      <w:r w:rsidR="00EA7837" w:rsidRPr="00D623DC">
        <w:rPr>
          <w:rFonts w:ascii="Palatino Linotype" w:eastAsia="MS Mincho" w:hAnsi="Palatino Linotype"/>
          <w:color w:val="000000"/>
        </w:rPr>
        <w:t>las particularidades d</w:t>
      </w:r>
      <w:r w:rsidR="00F333F7" w:rsidRPr="00D623DC">
        <w:rPr>
          <w:rFonts w:ascii="Palatino Linotype" w:eastAsia="MS Mincho" w:hAnsi="Palatino Linotype"/>
          <w:color w:val="000000"/>
        </w:rPr>
        <w:t>el presente asunto.</w:t>
      </w:r>
      <w:r w:rsidR="00637188" w:rsidRPr="00D623DC">
        <w:rPr>
          <w:rFonts w:ascii="Palatino Linotype" w:eastAsia="MS Mincho" w:hAnsi="Palatino Linotype"/>
          <w:color w:val="000000"/>
        </w:rPr>
        <w:t xml:space="preserve"> Expuesto lo anterior, es que resulta dable </w:t>
      </w:r>
      <w:r w:rsidR="00637188" w:rsidRPr="00D623DC">
        <w:rPr>
          <w:rFonts w:ascii="Palatino Linotype" w:eastAsia="MS Mincho" w:hAnsi="Palatino Linotype"/>
          <w:b/>
          <w:color w:val="000000"/>
        </w:rPr>
        <w:t>REVOCAR</w:t>
      </w:r>
      <w:r w:rsidR="00637188" w:rsidRPr="00D623DC">
        <w:rPr>
          <w:rFonts w:ascii="Palatino Linotype" w:eastAsia="MS Mincho" w:hAnsi="Palatino Linotype"/>
          <w:color w:val="000000"/>
        </w:rPr>
        <w:t xml:space="preserve"> la respuesta inicial en los términos del presente Considerando a efecto de que se entregue la información materia del presente proveído de ser el caso en versión pública en términos del Considerando siguiente.</w:t>
      </w:r>
    </w:p>
    <w:p w14:paraId="4DCC4ADE" w14:textId="77777777" w:rsidR="00CF0C27" w:rsidRPr="00D623DC" w:rsidRDefault="00CF0C27" w:rsidP="00487BE9">
      <w:pPr>
        <w:pStyle w:val="Prrafodelista"/>
        <w:tabs>
          <w:tab w:val="left" w:pos="567"/>
          <w:tab w:val="left" w:pos="8789"/>
        </w:tabs>
        <w:spacing w:line="360" w:lineRule="auto"/>
        <w:ind w:left="0" w:right="49"/>
        <w:jc w:val="both"/>
        <w:rPr>
          <w:rFonts w:ascii="Palatino Linotype" w:eastAsia="MS Mincho" w:hAnsi="Palatino Linotype"/>
          <w:i/>
          <w:color w:val="000000"/>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31610F1A" w14:textId="77777777" w:rsidR="00681C08" w:rsidRPr="00D623DC" w:rsidRDefault="00681C08" w:rsidP="00487BE9">
      <w:pPr>
        <w:pStyle w:val="Prrafodelista"/>
        <w:keepNext/>
        <w:keepLines/>
        <w:tabs>
          <w:tab w:val="left" w:pos="142"/>
          <w:tab w:val="left" w:pos="284"/>
          <w:tab w:val="left" w:pos="426"/>
        </w:tabs>
        <w:spacing w:line="360" w:lineRule="auto"/>
        <w:ind w:left="0"/>
        <w:jc w:val="both"/>
        <w:outlineLvl w:val="0"/>
        <w:rPr>
          <w:rFonts w:ascii="Palatino Linotype" w:eastAsia="Calibri" w:hAnsi="Palatino Linotype" w:cs="Times New Roman"/>
          <w:b/>
          <w:lang w:val="es-MX" w:eastAsia="en-US"/>
        </w:rPr>
      </w:pPr>
      <w:r w:rsidRPr="00D623DC">
        <w:rPr>
          <w:rFonts w:ascii="Palatino Linotype" w:eastAsia="Calibri" w:hAnsi="Palatino Linotype" w:cs="Times New Roman"/>
          <w:b/>
          <w:lang w:val="es-MX" w:eastAsia="en-US"/>
        </w:rPr>
        <w:lastRenderedPageBreak/>
        <w:t>QUINTO. VERSIÓN PÚBLICA.</w:t>
      </w:r>
    </w:p>
    <w:p w14:paraId="738D13DC" w14:textId="77777777" w:rsidR="00637188" w:rsidRPr="00D623DC" w:rsidRDefault="00637188" w:rsidP="00487BE9">
      <w:pPr>
        <w:pStyle w:val="Prrafodelista"/>
        <w:keepNext/>
        <w:keepLines/>
        <w:tabs>
          <w:tab w:val="left" w:pos="142"/>
          <w:tab w:val="left" w:pos="284"/>
          <w:tab w:val="left" w:pos="426"/>
        </w:tabs>
        <w:spacing w:line="360" w:lineRule="auto"/>
        <w:ind w:left="0"/>
        <w:jc w:val="both"/>
        <w:outlineLvl w:val="0"/>
        <w:rPr>
          <w:rFonts w:ascii="Palatino Linotype" w:eastAsia="Calibri" w:hAnsi="Palatino Linotype" w:cs="Times New Roman"/>
          <w:b/>
          <w:lang w:val="es-MX" w:eastAsia="en-US"/>
        </w:rPr>
      </w:pPr>
    </w:p>
    <w:p w14:paraId="063FE0B4" w14:textId="77777777" w:rsidR="006B69DB" w:rsidRPr="00D623DC" w:rsidRDefault="00681C08" w:rsidP="00487BE9">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66" w:name="_Toc48135362"/>
      <w:bookmarkStart w:id="167" w:name="_Toc82017070"/>
      <w:bookmarkStart w:id="168" w:name="_Toc82537188"/>
      <w:bookmarkStart w:id="169" w:name="_Toc83830735"/>
      <w:bookmarkStart w:id="170" w:name="_Toc85112355"/>
      <w:r w:rsidRPr="00D623DC">
        <w:rPr>
          <w:rFonts w:ascii="Palatino Linotype" w:eastAsia="MS Gothic" w:hAnsi="Palatino Linotype" w:cs="Times New Roman"/>
          <w:b/>
          <w:color w:val="000000"/>
          <w:lang w:val="es-MX" w:eastAsia="es-ES_tradnl"/>
        </w:rPr>
        <w:t>Nociones generales.</w:t>
      </w:r>
      <w:bookmarkEnd w:id="166"/>
      <w:bookmarkEnd w:id="167"/>
      <w:bookmarkEnd w:id="168"/>
      <w:bookmarkEnd w:id="169"/>
      <w:bookmarkEnd w:id="170"/>
      <w:r w:rsidRPr="00D623DC">
        <w:rPr>
          <w:rFonts w:ascii="Palatino Linotype" w:eastAsia="MS Gothic" w:hAnsi="Palatino Linotype" w:cs="Times New Roman"/>
          <w:b/>
          <w:color w:val="000000"/>
          <w:lang w:val="es-MX" w:eastAsia="es-ES_tradnl"/>
        </w:rPr>
        <w:t xml:space="preserve"> </w:t>
      </w:r>
    </w:p>
    <w:p w14:paraId="5B9BFD94" w14:textId="77777777" w:rsidR="00681C08" w:rsidRPr="00D623DC" w:rsidRDefault="00EA7837" w:rsidP="00487BE9">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D623DC">
        <w:rPr>
          <w:rFonts w:ascii="Palatino Linotype" w:eastAsia="MS Mincho" w:hAnsi="Palatino Linotype" w:cs="Arial"/>
          <w:color w:val="000000"/>
          <w:lang w:val="es-MX"/>
        </w:rPr>
        <w:t>Finalmente, d</w:t>
      </w:r>
      <w:r w:rsidR="00681C08" w:rsidRPr="00D623DC">
        <w:rPr>
          <w:rFonts w:ascii="Palatino Linotype" w:eastAsia="MS Mincho" w:hAnsi="Palatino Linotype" w:cs="Arial"/>
          <w:color w:val="000000"/>
          <w:lang w:val="es-MX"/>
        </w:rPr>
        <w:t xml:space="preserve">ebe destacarse que, debido a la </w:t>
      </w:r>
      <w:r w:rsidRPr="00D623DC">
        <w:rPr>
          <w:rFonts w:ascii="Palatino Linotype" w:eastAsia="MS Mincho" w:hAnsi="Palatino Linotype" w:cs="Arial"/>
          <w:color w:val="000000"/>
          <w:lang w:val="es-MX"/>
        </w:rPr>
        <w:t xml:space="preserve">propia y especial </w:t>
      </w:r>
      <w:r w:rsidR="00681C08" w:rsidRPr="00D623DC">
        <w:rPr>
          <w:rFonts w:ascii="Palatino Linotype" w:eastAsia="MS Mincho" w:hAnsi="Palatino Linotype" w:cs="Arial"/>
          <w:color w:val="000000"/>
          <w:lang w:val="es-MX"/>
        </w:rPr>
        <w:t>naturaleza de la información solicitada</w:t>
      </w:r>
      <w:r w:rsidR="00681C08" w:rsidRPr="00D623DC">
        <w:rPr>
          <w:rFonts w:ascii="Palatino Linotype" w:eastAsia="MS Mincho" w:hAnsi="Palatino Linotype" w:cs="Arial"/>
          <w:b/>
          <w:color w:val="000000"/>
          <w:lang w:val="es-MX"/>
        </w:rPr>
        <w:t xml:space="preserve">, </w:t>
      </w:r>
      <w:r w:rsidR="00681C08" w:rsidRPr="00D623DC">
        <w:rPr>
          <w:rFonts w:ascii="Palatino Linotype" w:eastAsia="MS Mincho" w:hAnsi="Palatino Linotype" w:cs="Arial"/>
          <w:color w:val="000000"/>
          <w:lang w:val="es-MX"/>
        </w:rPr>
        <w:t xml:space="preserve">eventualmente pudiera obrar datos personales susceptibles de protegerse, el </w:t>
      </w:r>
      <w:r w:rsidR="00681C08" w:rsidRPr="00D623DC">
        <w:rPr>
          <w:rFonts w:ascii="Palatino Linotype" w:eastAsia="MS Mincho" w:hAnsi="Palatino Linotype" w:cs="Arial"/>
          <w:b/>
          <w:bCs/>
          <w:color w:val="000000"/>
          <w:lang w:val="es-MX"/>
        </w:rPr>
        <w:t xml:space="preserve">Sujeto Obligado </w:t>
      </w:r>
      <w:r w:rsidR="00681C08" w:rsidRPr="00D623DC">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0A5C0CB5" w14:textId="77777777" w:rsidR="00681C08" w:rsidRPr="00D623DC" w:rsidRDefault="00681C08" w:rsidP="00487BE9">
      <w:pPr>
        <w:spacing w:line="360" w:lineRule="auto"/>
        <w:ind w:right="49"/>
        <w:contextualSpacing/>
        <w:jc w:val="both"/>
        <w:rPr>
          <w:rFonts w:ascii="Palatino Linotype" w:eastAsia="MS Mincho" w:hAnsi="Palatino Linotype" w:cs="Arial"/>
          <w:color w:val="000000"/>
          <w:lang w:val="es-MX"/>
        </w:rPr>
      </w:pPr>
    </w:p>
    <w:p w14:paraId="08602B7D" w14:textId="77777777" w:rsidR="00681C08" w:rsidRPr="00D623DC" w:rsidRDefault="00681C08" w:rsidP="00487BE9">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D623DC">
        <w:rPr>
          <w:rFonts w:ascii="Palatino Linotype" w:eastAsia="MS Mincho" w:hAnsi="Palatino Linotype" w:cs="Arial"/>
          <w:color w:val="000000"/>
          <w:lang w:val="es-MX"/>
        </w:rPr>
        <w:t xml:space="preserve">No pasa desapercibido para este Órgano Garante que los </w:t>
      </w:r>
      <w:r w:rsidRPr="00D623DC">
        <w:rPr>
          <w:rFonts w:ascii="Palatino Linotype" w:eastAsia="MS Mincho" w:hAnsi="Palatino Linotype" w:cs="Arial"/>
          <w:bCs/>
          <w:color w:val="000000"/>
          <w:lang w:val="es-MX"/>
        </w:rPr>
        <w:t>Sujetos Obligados</w:t>
      </w:r>
      <w:r w:rsidRPr="00D623DC">
        <w:rPr>
          <w:rFonts w:ascii="Palatino Linotype" w:eastAsia="MS Mincho" w:hAnsi="Palatino Linotype" w:cs="Arial"/>
          <w:b/>
          <w:bCs/>
          <w:color w:val="000000"/>
          <w:lang w:val="es-MX"/>
        </w:rPr>
        <w:t xml:space="preserve"> </w:t>
      </w:r>
      <w:r w:rsidRPr="00D623DC">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C710292" w14:textId="77777777" w:rsidR="00681C08" w:rsidRPr="00D623DC" w:rsidRDefault="00681C08" w:rsidP="00487BE9">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D623DC" w14:paraId="267B3355"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7C82AA" w14:textId="77777777" w:rsidR="00681C08" w:rsidRPr="00D623DC" w:rsidRDefault="00681C08" w:rsidP="00487BE9">
            <w:pPr>
              <w:spacing w:line="360" w:lineRule="auto"/>
              <w:rPr>
                <w:rFonts w:ascii="Palatino Linotype" w:eastAsia="Cambria" w:hAnsi="Palatino Linotype" w:cs="Times New Roman"/>
                <w:bCs w:val="0"/>
                <w:lang w:val="es-MX" w:eastAsia="en-US"/>
              </w:rPr>
            </w:pPr>
            <w:r w:rsidRPr="00D623DC">
              <w:rPr>
                <w:rFonts w:ascii="Palatino Linotype" w:eastAsia="Cambria" w:hAnsi="Palatino Linotype" w:cs="Times New Roman"/>
                <w:lang w:val="es-MX" w:eastAsia="en-US"/>
              </w:rPr>
              <w:t>a) Requisitos previos.</w:t>
            </w:r>
          </w:p>
        </w:tc>
        <w:tc>
          <w:tcPr>
            <w:tcW w:w="6990" w:type="dxa"/>
            <w:hideMark/>
          </w:tcPr>
          <w:p w14:paraId="31AD95B1" w14:textId="77777777" w:rsidR="00681C08" w:rsidRPr="00D623DC" w:rsidRDefault="00681C08" w:rsidP="00487B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D623DC">
              <w:rPr>
                <w:rFonts w:ascii="Palatino Linotype" w:eastAsia="Cambria" w:hAnsi="Palatino Linotype" w:cs="Arial"/>
                <w:color w:val="000000"/>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B546A49" w14:textId="77777777" w:rsidR="00681C08" w:rsidRPr="00D623DC" w:rsidRDefault="00681C08" w:rsidP="00487B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D623DC">
              <w:rPr>
                <w:rFonts w:ascii="Palatino Linotype" w:eastAsia="Cambria" w:hAnsi="Palatino Linotype" w:cs="Arial"/>
                <w:color w:val="000000"/>
                <w:lang w:val="es-MX" w:eastAsia="en-US"/>
              </w:rPr>
              <w:t>Al hacerlo tienen que precisar de qué información se trata, señalando el supuesto de clasificación (confidencialidad o reserva).</w:t>
            </w:r>
          </w:p>
          <w:p w14:paraId="207E5B32" w14:textId="77777777" w:rsidR="00681C08" w:rsidRPr="00D623DC" w:rsidRDefault="00681C08" w:rsidP="00487BE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lang w:val="es-MX" w:eastAsia="en-US"/>
              </w:rPr>
            </w:pPr>
            <w:r w:rsidRPr="00D623DC">
              <w:rPr>
                <w:rFonts w:ascii="Palatino Linotype" w:eastAsia="Cambria" w:hAnsi="Palatino Linotype" w:cs="Arial"/>
                <w:color w:val="000000"/>
                <w:lang w:val="es-MX" w:eastAsia="en-US"/>
              </w:rPr>
              <w:lastRenderedPageBreak/>
              <w:t>Además, se debe señalar el procedimiento, de los tres que establecen los artículos 132 y 106 de la Ley Estatal y General, respectivamente.</w:t>
            </w:r>
          </w:p>
          <w:p w14:paraId="2A7D5D90" w14:textId="77777777" w:rsidR="00681C08" w:rsidRPr="00D623DC" w:rsidRDefault="00681C08" w:rsidP="00487BE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D623DC">
              <w:rPr>
                <w:rFonts w:ascii="Palatino Linotype" w:eastAsia="Cambria" w:hAnsi="Palatino Linotype" w:cs="Arial"/>
                <w:color w:val="000000"/>
                <w:lang w:val="es-MX" w:eastAsia="en-US"/>
              </w:rPr>
              <w:t xml:space="preserve">El último de estos requisitos previos consiste en que no se pueden emitir acuerdos de carácter general ni particular, esto es, </w:t>
            </w:r>
            <w:r w:rsidRPr="00D623DC">
              <w:rPr>
                <w:rFonts w:ascii="Palatino Linotype" w:eastAsia="Cambria" w:hAnsi="Palatino Linotype" w:cs="Arial"/>
                <w:color w:val="000000"/>
                <w:u w:val="single"/>
                <w:lang w:val="es-MX" w:eastAsia="en-US"/>
              </w:rPr>
              <w:t>no se puede hacer un acuerdo para clasificar de manera general todos los documentos de un expediente o área, sin</w:t>
            </w:r>
            <w:r w:rsidRPr="00D623DC">
              <w:rPr>
                <w:rFonts w:ascii="Palatino Linotype" w:eastAsia="Cambria" w:hAnsi="Palatino Linotype" w:cs="Arial"/>
                <w:color w:val="000000"/>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D623DC" w14:paraId="711433D3"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F6D0B6F" w14:textId="77777777" w:rsidR="00681C08" w:rsidRPr="00D623DC" w:rsidRDefault="00681C08" w:rsidP="00487BE9">
            <w:pPr>
              <w:spacing w:line="360" w:lineRule="auto"/>
              <w:rPr>
                <w:rFonts w:ascii="Palatino Linotype" w:eastAsia="Cambria" w:hAnsi="Palatino Linotype" w:cs="Times New Roman"/>
                <w:bCs w:val="0"/>
                <w:lang w:val="es-MX" w:eastAsia="en-US"/>
              </w:rPr>
            </w:pPr>
            <w:r w:rsidRPr="00D623DC">
              <w:rPr>
                <w:rFonts w:ascii="Palatino Linotype" w:eastAsia="Cambria" w:hAnsi="Palatino Linotype" w:cs="Times New Roman"/>
                <w:lang w:val="es-MX" w:eastAsia="en-US"/>
              </w:rPr>
              <w:lastRenderedPageBreak/>
              <w:t>b) Supuestos de clasificación.</w:t>
            </w:r>
          </w:p>
        </w:tc>
        <w:tc>
          <w:tcPr>
            <w:tcW w:w="6990" w:type="dxa"/>
            <w:hideMark/>
          </w:tcPr>
          <w:p w14:paraId="755C8D11"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Las disposiciones constitucionales y legales en la materia establecen los dos supuestos generales para clasificar la información: por reserva y por confidencialidad.</w:t>
            </w:r>
          </w:p>
          <w:p w14:paraId="7A9CCD04"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C721ECB" w14:textId="77777777" w:rsidR="00681C08" w:rsidRPr="00D623DC" w:rsidRDefault="00681C08" w:rsidP="00487BE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lang w:val="es-MX" w:eastAsia="en-US"/>
              </w:rPr>
            </w:pPr>
            <w:r w:rsidRPr="00D623DC">
              <w:rPr>
                <w:rFonts w:ascii="Palatino Linotype" w:eastAsia="Cambria" w:hAnsi="Palatino Linotype" w:cs="Arial"/>
                <w:color w:val="000000"/>
                <w:lang w:val="es-MX" w:eastAsia="en-US"/>
              </w:rPr>
              <w:t xml:space="preserve">El </w:t>
            </w:r>
            <w:r w:rsidRPr="00D623DC">
              <w:rPr>
                <w:rFonts w:ascii="Palatino Linotype" w:eastAsia="Cambria" w:hAnsi="Palatino Linotype" w:cs="Arial"/>
                <w:b/>
                <w:color w:val="000000"/>
                <w:lang w:val="es-MX" w:eastAsia="en-US"/>
              </w:rPr>
              <w:t>Sujeto Obligado</w:t>
            </w:r>
            <w:r w:rsidRPr="00D623DC">
              <w:rPr>
                <w:rFonts w:ascii="Palatino Linotype" w:eastAsia="Cambria" w:hAnsi="Palatino Linotype" w:cs="Arial"/>
                <w:color w:val="000000"/>
                <w:lang w:val="es-MX" w:eastAsia="en-US"/>
              </w:rPr>
              <w:t xml:space="preserve"> debe identificar claramente el tipo de información y hacer un juicio de subsunción o encaje para </w:t>
            </w:r>
            <w:r w:rsidRPr="00D623DC">
              <w:rPr>
                <w:rFonts w:ascii="Palatino Linotype" w:eastAsia="Cambria" w:hAnsi="Palatino Linotype" w:cs="Arial"/>
                <w:color w:val="000000"/>
                <w:lang w:val="es-MX" w:eastAsia="en-US"/>
              </w:rPr>
              <w:lastRenderedPageBreak/>
              <w:t>acreditar que el supuesto de hecho corresponde estrictamente con la hipótesis jurídica. Esto también lo debe de realizar el servidor público habilitado y el titular del área que administra la información.</w:t>
            </w:r>
          </w:p>
        </w:tc>
      </w:tr>
      <w:tr w:rsidR="00681C08" w:rsidRPr="00D623DC" w14:paraId="38DC5E27"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2F151D04" w14:textId="77777777" w:rsidR="00681C08" w:rsidRPr="00D623DC" w:rsidRDefault="00681C08" w:rsidP="00487BE9">
            <w:pPr>
              <w:spacing w:line="360" w:lineRule="auto"/>
              <w:rPr>
                <w:rFonts w:ascii="Palatino Linotype" w:eastAsia="Cambria" w:hAnsi="Palatino Linotype" w:cs="Times New Roman"/>
                <w:bCs w:val="0"/>
                <w:lang w:val="es-MX" w:eastAsia="en-US"/>
              </w:rPr>
            </w:pPr>
            <w:r w:rsidRPr="00D623DC">
              <w:rPr>
                <w:rFonts w:ascii="Palatino Linotype" w:eastAsia="Cambria" w:hAnsi="Palatino Linotype" w:cs="Times New Roman"/>
                <w:lang w:val="es-MX" w:eastAsia="en-US"/>
              </w:rPr>
              <w:lastRenderedPageBreak/>
              <w:t>c) Formalidades para emitir el acuerdo de clasificación.</w:t>
            </w:r>
          </w:p>
        </w:tc>
        <w:tc>
          <w:tcPr>
            <w:tcW w:w="6990" w:type="dxa"/>
            <w:hideMark/>
          </w:tcPr>
          <w:p w14:paraId="5806E391" w14:textId="77777777" w:rsidR="00681C08" w:rsidRPr="00D623DC" w:rsidRDefault="00681C08" w:rsidP="00487B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El Comité de Transparencia, según lo dispuesto en los artículos cuenta con las facultades para aprobar, modificar o revocar la clasificación de la información que haya propuesto. </w:t>
            </w:r>
          </w:p>
          <w:p w14:paraId="1B550599" w14:textId="77777777" w:rsidR="00681C08" w:rsidRPr="00D623DC" w:rsidRDefault="00681C08" w:rsidP="00487B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Es necesario que </w:t>
            </w:r>
            <w:r w:rsidRPr="00D623DC">
              <w:rPr>
                <w:rFonts w:ascii="Palatino Linotype" w:eastAsia="Cambria" w:hAnsi="Palatino Linotype" w:cs="Arial"/>
                <w:b/>
                <w:color w:val="000000"/>
                <w:u w:val="single"/>
                <w:lang w:val="es-MX" w:eastAsia="en-US"/>
              </w:rPr>
              <w:t>el acto reúna con los requisitos elementales</w:t>
            </w:r>
            <w:r w:rsidRPr="00D623DC">
              <w:rPr>
                <w:rFonts w:ascii="Palatino Linotype" w:eastAsia="Cambria" w:hAnsi="Palatino Linotype" w:cs="Arial"/>
                <w:color w:val="000000"/>
                <w:lang w:val="es-MX" w:eastAsia="en-US"/>
              </w:rPr>
              <w:t>, entre ellos, que la autoridad que va a emitir el acto de autoridad sea la legalmente facultada para ello.</w:t>
            </w:r>
          </w:p>
          <w:p w14:paraId="27C482D8" w14:textId="77777777" w:rsidR="00681C08" w:rsidRPr="00D623DC" w:rsidRDefault="00681C08" w:rsidP="00487BE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D623DC">
              <w:rPr>
                <w:rFonts w:ascii="Palatino Linotype" w:eastAsia="Cambria" w:hAnsi="Palatino Linotype" w:cs="Arial"/>
                <w:color w:val="000000"/>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D623DC" w14:paraId="65FAD87D"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914D528" w14:textId="77777777" w:rsidR="00681C08" w:rsidRPr="00D623DC" w:rsidRDefault="00681C08" w:rsidP="00487BE9">
            <w:pPr>
              <w:spacing w:line="360" w:lineRule="auto"/>
              <w:rPr>
                <w:rFonts w:ascii="Palatino Linotype" w:eastAsia="Cambria" w:hAnsi="Palatino Linotype" w:cs="Times New Roman"/>
                <w:b w:val="0"/>
                <w:lang w:val="es-MX" w:eastAsia="en-US"/>
              </w:rPr>
            </w:pPr>
          </w:p>
          <w:p w14:paraId="2F425B50" w14:textId="77777777" w:rsidR="00681C08" w:rsidRPr="00D623DC" w:rsidRDefault="00681C08" w:rsidP="00487BE9">
            <w:pPr>
              <w:spacing w:line="360" w:lineRule="auto"/>
              <w:jc w:val="both"/>
              <w:rPr>
                <w:rFonts w:ascii="Palatino Linotype" w:eastAsia="Cambria" w:hAnsi="Palatino Linotype" w:cs="Times New Roman"/>
                <w:bCs w:val="0"/>
                <w:lang w:val="es-MX" w:eastAsia="en-US"/>
              </w:rPr>
            </w:pPr>
            <w:r w:rsidRPr="00D623DC">
              <w:rPr>
                <w:rFonts w:ascii="Palatino Linotype" w:eastAsia="Cambria" w:hAnsi="Palatino Linotype" w:cs="Arial"/>
                <w:color w:val="000000"/>
                <w:lang w:val="es-MX" w:eastAsia="en-US"/>
              </w:rPr>
              <w:t xml:space="preserve">d) Requisitos de fondo del acuerdo de clasificación. </w:t>
            </w:r>
          </w:p>
        </w:tc>
        <w:tc>
          <w:tcPr>
            <w:tcW w:w="6990" w:type="dxa"/>
            <w:hideMark/>
          </w:tcPr>
          <w:p w14:paraId="1FB5E89A"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623DC">
              <w:rPr>
                <w:rFonts w:ascii="Palatino Linotype" w:eastAsia="Cambria" w:hAnsi="Palatino Linotype" w:cs="Arial"/>
                <w:b/>
                <w:color w:val="000000"/>
                <w:lang w:val="es-MX" w:eastAsia="en-US"/>
              </w:rPr>
              <w:lastRenderedPageBreak/>
              <w:t>Sujetos Obligados</w:t>
            </w:r>
            <w:r w:rsidRPr="00D623DC">
              <w:rPr>
                <w:rFonts w:ascii="Palatino Linotype" w:eastAsia="Cambria" w:hAnsi="Palatino Linotype" w:cs="Arial"/>
                <w:color w:val="000000"/>
                <w:lang w:val="es-MX" w:eastAsia="en-US"/>
              </w:rPr>
              <w:t xml:space="preserve">, por lo que deberán fundar y motivar debidamente la clasificación. </w:t>
            </w:r>
          </w:p>
          <w:p w14:paraId="20A91BF0"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De lo anterior, se desprende que para una correcta </w:t>
            </w:r>
            <w:r w:rsidRPr="00D623DC">
              <w:rPr>
                <w:rFonts w:ascii="Palatino Linotype" w:eastAsia="Cambria" w:hAnsi="Palatino Linotype" w:cs="Arial"/>
                <w:b/>
                <w:color w:val="000000"/>
                <w:lang w:val="es-MX" w:eastAsia="en-US"/>
              </w:rPr>
              <w:t>clasificación total o parcial</w:t>
            </w:r>
            <w:r w:rsidRPr="00D623DC">
              <w:rPr>
                <w:rFonts w:ascii="Palatino Linotype" w:eastAsia="Cambria" w:hAnsi="Palatino Linotype" w:cs="Arial"/>
                <w:color w:val="000000"/>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A17E50"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8777869"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En ese mismo sentido, el numeral trigésimo tercero fracción V de los Lineamientos Generales, precisa que para motivar la clasificación se deben acreditar las circunstancias de tiempo, modo y lugar.</w:t>
            </w:r>
          </w:p>
          <w:p w14:paraId="7A533A91" w14:textId="77777777" w:rsidR="00681C08" w:rsidRPr="00D623DC" w:rsidRDefault="00681C08" w:rsidP="00487BE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Ahora bien, </w:t>
            </w:r>
            <w:r w:rsidRPr="00D623DC">
              <w:rPr>
                <w:rFonts w:ascii="Palatino Linotype" w:eastAsia="Cambria" w:hAnsi="Palatino Linotype" w:cs="Arial"/>
                <w:b/>
                <w:color w:val="000000"/>
                <w:u w:val="single"/>
                <w:lang w:val="es-MX" w:eastAsia="en-US"/>
              </w:rPr>
              <w:t>para cada caso además de fundar y motivar</w:t>
            </w:r>
            <w:r w:rsidRPr="00D623DC">
              <w:rPr>
                <w:rFonts w:ascii="Palatino Linotype" w:eastAsia="Cambria" w:hAnsi="Palatino Linotype" w:cs="Arial"/>
                <w:color w:val="000000"/>
                <w:lang w:val="es-MX" w:eastAsia="en-US"/>
              </w:rPr>
              <w:t xml:space="preserve">, se debe identificar con claridad que datos contenidos en las documentales que son susceptibles de suprimirse, por ejemplo; </w:t>
            </w:r>
            <w:r w:rsidRPr="00D623DC">
              <w:rPr>
                <w:rFonts w:ascii="Palatino Linotype" w:eastAsia="Cambria" w:hAnsi="Palatino Linotype" w:cs="Arial"/>
                <w:color w:val="000000"/>
                <w:lang w:val="es-ES" w:eastAsia="en-US"/>
              </w:rPr>
              <w:t xml:space="preserve">Clave Única de Registro de Población (CURP), Registro Federal </w:t>
            </w:r>
            <w:r w:rsidRPr="00D623DC">
              <w:rPr>
                <w:rFonts w:ascii="Palatino Linotype" w:eastAsia="Cambria" w:hAnsi="Palatino Linotype" w:cs="Arial"/>
                <w:color w:val="000000"/>
                <w:lang w:val="es-ES" w:eastAsia="en-US"/>
              </w:rPr>
              <w:lastRenderedPageBreak/>
              <w:t>de Contribuyentes (R.F.C.), claves de seguros, préstamos o descuentos personales, secretos bancario, fiduciario, industrial, comercial, fiscal, bursátil y postal, cuya titularidad corresponda a particulares, entre otros.</w:t>
            </w:r>
          </w:p>
        </w:tc>
      </w:tr>
      <w:tr w:rsidR="00681C08" w:rsidRPr="00D623DC" w14:paraId="3A1B0E8B"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63503183" w14:textId="77777777" w:rsidR="00681C08" w:rsidRPr="00D623DC" w:rsidRDefault="00681C08" w:rsidP="00487BE9">
            <w:pPr>
              <w:spacing w:line="360" w:lineRule="auto"/>
              <w:ind w:right="49"/>
              <w:jc w:val="both"/>
              <w:rPr>
                <w:rFonts w:ascii="Palatino Linotype" w:eastAsia="Cambria" w:hAnsi="Palatino Linotype" w:cs="Arial"/>
                <w:bCs w:val="0"/>
                <w:lang w:val="es-MX" w:eastAsia="en-US"/>
              </w:rPr>
            </w:pPr>
            <w:r w:rsidRPr="00D623DC">
              <w:rPr>
                <w:rFonts w:ascii="Palatino Linotype" w:eastAsia="MS Gothic" w:hAnsi="Palatino Linotype" w:cs="Times New Roman"/>
                <w:lang w:val="es-MX" w:eastAsia="en-US"/>
              </w:rPr>
              <w:lastRenderedPageBreak/>
              <w:t xml:space="preserve">e) Condiciones especiales de la clasificación de la información como confidencial. </w:t>
            </w:r>
          </w:p>
        </w:tc>
        <w:tc>
          <w:tcPr>
            <w:tcW w:w="6990" w:type="dxa"/>
            <w:hideMark/>
          </w:tcPr>
          <w:p w14:paraId="16886355" w14:textId="77777777" w:rsidR="00681C08" w:rsidRPr="00D623DC" w:rsidRDefault="00681C08" w:rsidP="00487B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09576735" w14:textId="77777777" w:rsidR="00681C08" w:rsidRPr="00D623DC" w:rsidRDefault="00681C08" w:rsidP="00487BE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lang w:val="es-MX" w:eastAsia="en-US"/>
              </w:rPr>
            </w:pPr>
            <w:r w:rsidRPr="00D623DC">
              <w:rPr>
                <w:rFonts w:ascii="Palatino Linotype" w:eastAsia="Cambria" w:hAnsi="Palatino Linotype" w:cs="Arial"/>
                <w:color w:val="000000"/>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91F1FFC" w14:textId="77777777" w:rsidR="00681C08" w:rsidRPr="00D623DC" w:rsidRDefault="00681C08" w:rsidP="00487BE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lang w:val="es-MX" w:eastAsia="en-US"/>
              </w:rPr>
            </w:pPr>
            <w:r w:rsidRPr="00D623DC">
              <w:rPr>
                <w:rFonts w:ascii="Palatino Linotype" w:eastAsia="Cambria" w:hAnsi="Palatino Linotype" w:cs="Arial"/>
                <w:color w:val="000000"/>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09B80C" w14:textId="77777777" w:rsidR="00681C08" w:rsidRPr="00D623DC" w:rsidRDefault="00681C08" w:rsidP="00487BE9">
      <w:pPr>
        <w:spacing w:line="360" w:lineRule="auto"/>
        <w:ind w:right="49"/>
        <w:contextualSpacing/>
        <w:jc w:val="both"/>
        <w:rPr>
          <w:rFonts w:ascii="Palatino Linotype" w:eastAsia="MS Mincho" w:hAnsi="Palatino Linotype" w:cs="Arial"/>
          <w:color w:val="000000"/>
          <w:lang w:val="es-MX"/>
        </w:rPr>
      </w:pPr>
    </w:p>
    <w:p w14:paraId="7EE67E1F" w14:textId="77777777" w:rsidR="00681C08" w:rsidRPr="00D623DC" w:rsidRDefault="006B69DB" w:rsidP="00487BE9">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D623DC">
        <w:rPr>
          <w:rFonts w:ascii="Palatino Linotype" w:eastAsia="MS Mincho" w:hAnsi="Palatino Linotype" w:cs="Arial"/>
          <w:lang w:val="es-MX" w:eastAsia="en-US"/>
        </w:rPr>
        <w:t>Si el Servidor P</w:t>
      </w:r>
      <w:r w:rsidR="00681C08" w:rsidRPr="00D623DC">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6B815C54" w14:textId="77777777" w:rsidR="00681C08" w:rsidRPr="00D623DC" w:rsidRDefault="00681C08" w:rsidP="00487BE9">
      <w:pPr>
        <w:spacing w:line="360" w:lineRule="auto"/>
        <w:contextualSpacing/>
        <w:rPr>
          <w:rFonts w:ascii="Palatino Linotype" w:eastAsia="Calibri" w:hAnsi="Palatino Linotype" w:cs="Arial"/>
          <w:lang w:val="es-MX"/>
        </w:rPr>
      </w:pPr>
    </w:p>
    <w:p w14:paraId="5CBFE01A" w14:textId="77777777" w:rsidR="006B69DB" w:rsidRPr="00D623DC" w:rsidRDefault="00681C08" w:rsidP="00487BE9">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D623DC">
        <w:rPr>
          <w:rFonts w:ascii="Palatino Linotype" w:eastAsia="Times New Roman" w:hAnsi="Palatino Linotype" w:cs="Arial"/>
          <w:color w:val="222222"/>
          <w:lang w:val="es-MX" w:eastAsia="es-MX"/>
        </w:rPr>
        <w:lastRenderedPageBreak/>
        <w:t xml:space="preserve">Por lo anteriormente expuesto y fundado, este </w:t>
      </w:r>
      <w:r w:rsidRPr="00D623DC">
        <w:rPr>
          <w:rFonts w:ascii="Palatino Linotype" w:eastAsia="Times New Roman" w:hAnsi="Palatino Linotype" w:cs="Arial"/>
          <w:b/>
          <w:bCs/>
          <w:color w:val="222222"/>
          <w:lang w:val="es-MX" w:eastAsia="es-MX"/>
        </w:rPr>
        <w:t>ÓRGANO GARANTE</w:t>
      </w:r>
      <w:r w:rsidRPr="00D623DC">
        <w:rPr>
          <w:rFonts w:ascii="Palatino Linotype" w:eastAsia="Times New Roman" w:hAnsi="Palatino Linotype" w:cs="Arial"/>
          <w:color w:val="222222"/>
          <w:lang w:val="es-MX" w:eastAsia="es-MX"/>
        </w:rPr>
        <w:t xml:space="preserve"> emite los siguientes:</w:t>
      </w:r>
    </w:p>
    <w:p w14:paraId="48051A57" w14:textId="77777777" w:rsidR="009F09BC" w:rsidRPr="00D623DC" w:rsidRDefault="009F09BC" w:rsidP="00487BE9">
      <w:pPr>
        <w:pStyle w:val="Ttulo1"/>
        <w:spacing w:before="0" w:line="360" w:lineRule="auto"/>
        <w:jc w:val="center"/>
        <w:rPr>
          <w:rFonts w:ascii="Palatino Linotype" w:eastAsia="Calibri" w:hAnsi="Palatino Linotype"/>
          <w:b/>
          <w:color w:val="000000" w:themeColor="text1"/>
          <w:sz w:val="24"/>
          <w:szCs w:val="24"/>
          <w:lang w:val="es-ES"/>
        </w:rPr>
      </w:pPr>
      <w:bookmarkStart w:id="171" w:name="_Toc504500693"/>
      <w:bookmarkStart w:id="172" w:name="_Toc534742545"/>
      <w:bookmarkStart w:id="173" w:name="_Toc2248738"/>
      <w:bookmarkStart w:id="174" w:name="_Toc34819440"/>
      <w:bookmarkStart w:id="175" w:name="_Toc51259595"/>
      <w:bookmarkStart w:id="176" w:name="_Toc83128595"/>
      <w:r w:rsidRPr="00D623DC">
        <w:rPr>
          <w:rFonts w:ascii="Palatino Linotype" w:eastAsia="Calibri" w:hAnsi="Palatino Linotype"/>
          <w:b/>
          <w:color w:val="000000" w:themeColor="text1"/>
          <w:sz w:val="24"/>
          <w:szCs w:val="24"/>
          <w:lang w:val="es-ES"/>
        </w:rPr>
        <w:t>R E S O L U T I V O S</w:t>
      </w:r>
      <w:bookmarkEnd w:id="171"/>
      <w:bookmarkEnd w:id="172"/>
      <w:bookmarkEnd w:id="173"/>
      <w:bookmarkEnd w:id="174"/>
      <w:bookmarkEnd w:id="175"/>
      <w:bookmarkEnd w:id="176"/>
      <w:r w:rsidRPr="00D623DC">
        <w:rPr>
          <w:rFonts w:ascii="Palatino Linotype" w:eastAsia="Calibri" w:hAnsi="Palatino Linotype"/>
          <w:b/>
          <w:color w:val="000000" w:themeColor="text1"/>
          <w:sz w:val="24"/>
          <w:szCs w:val="24"/>
          <w:lang w:val="es-ES"/>
        </w:rPr>
        <w:t xml:space="preserve"> </w:t>
      </w:r>
    </w:p>
    <w:p w14:paraId="06D04DBB" w14:textId="77777777" w:rsidR="00EA7837" w:rsidRPr="00D623DC" w:rsidRDefault="00EA7837" w:rsidP="00487BE9">
      <w:pPr>
        <w:spacing w:line="360" w:lineRule="auto"/>
        <w:rPr>
          <w:rFonts w:ascii="Palatino Linotype" w:hAnsi="Palatino Linotype"/>
          <w:lang w:val="es-ES"/>
        </w:rPr>
      </w:pPr>
    </w:p>
    <w:p w14:paraId="0042B569" w14:textId="77777777" w:rsidR="009F09BC" w:rsidRPr="00D623DC" w:rsidRDefault="009F09BC" w:rsidP="00487BE9">
      <w:pPr>
        <w:spacing w:line="360" w:lineRule="auto"/>
        <w:jc w:val="both"/>
        <w:rPr>
          <w:rFonts w:ascii="Palatino Linotype" w:eastAsia="Times New Roman" w:hAnsi="Palatino Linotype" w:cs="Arial"/>
          <w:lang w:val="es-ES"/>
        </w:rPr>
      </w:pPr>
      <w:r w:rsidRPr="00D623DC">
        <w:rPr>
          <w:rFonts w:ascii="Palatino Linotype" w:eastAsia="Times New Roman" w:hAnsi="Palatino Linotype" w:cs="Arial"/>
          <w:b/>
        </w:rPr>
        <w:t>PRIMERO</w:t>
      </w:r>
      <w:r w:rsidRPr="00D623DC">
        <w:rPr>
          <w:rFonts w:ascii="Palatino Linotype" w:eastAsia="Times New Roman" w:hAnsi="Palatino Linotype" w:cs="Arial"/>
          <w:lang w:val="es-ES"/>
        </w:rPr>
        <w:t xml:space="preserve">. </w:t>
      </w:r>
      <w:r w:rsidR="003416EA" w:rsidRPr="00D623DC">
        <w:rPr>
          <w:rFonts w:ascii="Palatino Linotype" w:eastAsia="Times New Roman" w:hAnsi="Palatino Linotype" w:cs="Arial"/>
          <w:lang w:val="es-ES"/>
        </w:rPr>
        <w:t>Resultan</w:t>
      </w:r>
      <w:r w:rsidRPr="00D623DC">
        <w:rPr>
          <w:rFonts w:ascii="Palatino Linotype" w:eastAsia="Times New Roman" w:hAnsi="Palatino Linotype" w:cs="Arial"/>
          <w:lang w:val="es-ES"/>
        </w:rPr>
        <w:t xml:space="preserve"> </w:t>
      </w:r>
      <w:r w:rsidR="008E7A2D" w:rsidRPr="00D623DC">
        <w:rPr>
          <w:rFonts w:ascii="Palatino Linotype" w:eastAsia="Times New Roman" w:hAnsi="Palatino Linotype" w:cs="Arial"/>
          <w:lang w:val="es-ES"/>
        </w:rPr>
        <w:t xml:space="preserve">parcialmente </w:t>
      </w:r>
      <w:r w:rsidRPr="00D623DC">
        <w:rPr>
          <w:rFonts w:ascii="Palatino Linotype" w:eastAsia="Times New Roman" w:hAnsi="Palatino Linotype" w:cs="Arial"/>
          <w:lang w:val="es-ES"/>
        </w:rPr>
        <w:t>fundadas las razones o motivos de inconformidad hechos valer en</w:t>
      </w:r>
      <w:r w:rsidR="009A2251" w:rsidRPr="00D623DC">
        <w:rPr>
          <w:rFonts w:ascii="Palatino Linotype" w:eastAsia="Times New Roman" w:hAnsi="Palatino Linotype" w:cs="Arial"/>
          <w:lang w:val="es-ES"/>
        </w:rPr>
        <w:t xml:space="preserve"> el</w:t>
      </w:r>
      <w:r w:rsidRPr="00D623DC">
        <w:rPr>
          <w:rFonts w:ascii="Palatino Linotype" w:eastAsia="Times New Roman" w:hAnsi="Palatino Linotype" w:cs="Arial"/>
          <w:lang w:val="es-ES"/>
        </w:rPr>
        <w:t xml:space="preserve"> Recurso de R</w:t>
      </w:r>
      <w:r w:rsidR="00455041" w:rsidRPr="00D623DC">
        <w:rPr>
          <w:rFonts w:ascii="Palatino Linotype" w:eastAsia="Times New Roman" w:hAnsi="Palatino Linotype" w:cs="Arial"/>
          <w:lang w:val="es-ES"/>
        </w:rPr>
        <w:t>evisión</w:t>
      </w:r>
      <w:r w:rsidR="00455041" w:rsidRPr="00D623DC">
        <w:rPr>
          <w:rFonts w:ascii="Palatino Linotype" w:eastAsia="Times New Roman" w:hAnsi="Palatino Linotype" w:cs="Arial"/>
          <w:b/>
          <w:lang w:val="es-ES"/>
        </w:rPr>
        <w:t xml:space="preserve"> </w:t>
      </w:r>
      <w:r w:rsidR="00822F8B" w:rsidRPr="00D623DC">
        <w:rPr>
          <w:rFonts w:ascii="Palatino Linotype" w:eastAsia="Times New Roman" w:hAnsi="Palatino Linotype" w:cs="Arial"/>
          <w:b/>
          <w:lang w:val="es-ES"/>
        </w:rPr>
        <w:t>03773/INFOEM/IP/RR/2022</w:t>
      </w:r>
      <w:r w:rsidRPr="00D623DC">
        <w:rPr>
          <w:rFonts w:ascii="Palatino Linotype" w:hAnsi="Palatino Linotype"/>
        </w:rPr>
        <w:t>,</w:t>
      </w:r>
      <w:r w:rsidRPr="00D623DC">
        <w:rPr>
          <w:rFonts w:ascii="Palatino Linotype" w:eastAsia="Times New Roman" w:hAnsi="Palatino Linotype" w:cs="Arial"/>
          <w:b/>
          <w:lang w:val="es-ES"/>
        </w:rPr>
        <w:t xml:space="preserve"> </w:t>
      </w:r>
      <w:r w:rsidRPr="00D623DC">
        <w:rPr>
          <w:rFonts w:ascii="Palatino Linotype" w:eastAsia="Times New Roman" w:hAnsi="Palatino Linotype" w:cs="Arial"/>
          <w:lang w:val="es-ES"/>
        </w:rPr>
        <w:t>en términos de los C</w:t>
      </w:r>
      <w:r w:rsidR="00681C08" w:rsidRPr="00D623DC">
        <w:rPr>
          <w:rFonts w:ascii="Palatino Linotype" w:eastAsia="Times New Roman" w:hAnsi="Palatino Linotype" w:cs="Arial"/>
          <w:lang w:val="es-ES"/>
        </w:rPr>
        <w:t>onsiderando</w:t>
      </w:r>
      <w:r w:rsidR="0070751E" w:rsidRPr="00D623DC">
        <w:rPr>
          <w:rFonts w:ascii="Palatino Linotype" w:eastAsia="Times New Roman" w:hAnsi="Palatino Linotype" w:cs="Arial"/>
          <w:lang w:val="es-ES"/>
        </w:rPr>
        <w:t>s</w:t>
      </w:r>
      <w:r w:rsidR="00681C08" w:rsidRPr="00D623DC">
        <w:rPr>
          <w:rFonts w:ascii="Palatino Linotype" w:eastAsia="Times New Roman" w:hAnsi="Palatino Linotype" w:cs="Arial"/>
          <w:lang w:val="es-ES"/>
        </w:rPr>
        <w:t xml:space="preserve"> </w:t>
      </w:r>
      <w:r w:rsidR="00681C08" w:rsidRPr="00D623DC">
        <w:rPr>
          <w:rFonts w:ascii="Palatino Linotype" w:eastAsia="Times New Roman" w:hAnsi="Palatino Linotype" w:cs="Arial"/>
          <w:b/>
          <w:lang w:val="es-ES"/>
        </w:rPr>
        <w:t xml:space="preserve">CUARTO </w:t>
      </w:r>
      <w:r w:rsidR="0070751E" w:rsidRPr="00D623DC">
        <w:rPr>
          <w:rFonts w:ascii="Palatino Linotype" w:eastAsia="Times New Roman" w:hAnsi="Palatino Linotype" w:cs="Arial"/>
          <w:lang w:val="es-ES"/>
        </w:rPr>
        <w:t xml:space="preserve">y </w:t>
      </w:r>
      <w:r w:rsidR="0070751E" w:rsidRPr="00D623DC">
        <w:rPr>
          <w:rFonts w:ascii="Palatino Linotype" w:eastAsia="Times New Roman" w:hAnsi="Palatino Linotype" w:cs="Arial"/>
          <w:b/>
          <w:lang w:val="es-ES"/>
        </w:rPr>
        <w:t xml:space="preserve">QUINTO </w:t>
      </w:r>
      <w:r w:rsidR="008E7A2D" w:rsidRPr="00D623DC">
        <w:rPr>
          <w:rFonts w:ascii="Palatino Linotype" w:eastAsia="Times New Roman" w:hAnsi="Palatino Linotype" w:cs="Arial"/>
          <w:lang w:val="es-ES"/>
        </w:rPr>
        <w:t>de la presente resolución.</w:t>
      </w:r>
    </w:p>
    <w:p w14:paraId="1A3632A5" w14:textId="77777777" w:rsidR="008E7A2D" w:rsidRPr="00D623DC" w:rsidRDefault="008E7A2D" w:rsidP="00487BE9">
      <w:pPr>
        <w:spacing w:line="360" w:lineRule="auto"/>
        <w:jc w:val="both"/>
        <w:rPr>
          <w:rFonts w:ascii="Palatino Linotype" w:hAnsi="Palatino Linotype"/>
          <w:b/>
        </w:rPr>
      </w:pPr>
    </w:p>
    <w:p w14:paraId="2C41B1F2" w14:textId="77777777" w:rsidR="00822F8B" w:rsidRPr="00D623DC" w:rsidRDefault="009F09BC" w:rsidP="00487BE9">
      <w:pPr>
        <w:spacing w:line="360" w:lineRule="auto"/>
        <w:jc w:val="both"/>
        <w:rPr>
          <w:rFonts w:ascii="Palatino Linotype" w:eastAsia="MS Mincho" w:hAnsi="Palatino Linotype" w:cs="Times New Roman"/>
          <w:color w:val="000000" w:themeColor="text1"/>
        </w:rPr>
      </w:pPr>
      <w:bookmarkStart w:id="177" w:name="_Toc503891607"/>
      <w:bookmarkStart w:id="178" w:name="_Toc511647757"/>
      <w:bookmarkStart w:id="179" w:name="_Toc511647818"/>
      <w:bookmarkStart w:id="180" w:name="_Toc477891768"/>
      <w:bookmarkStart w:id="181" w:name="_Toc477891858"/>
      <w:bookmarkStart w:id="182" w:name="_Toc481576259"/>
      <w:bookmarkStart w:id="183" w:name="_Toc492590391"/>
      <w:bookmarkStart w:id="184" w:name="_Toc462653937"/>
      <w:bookmarkStart w:id="185" w:name="_Toc453696502"/>
      <w:bookmarkStart w:id="186" w:name="_Toc454301155"/>
      <w:r w:rsidRPr="00D623DC">
        <w:rPr>
          <w:rFonts w:ascii="Palatino Linotype" w:eastAsia="Times New Roman" w:hAnsi="Palatino Linotype" w:cs="Times New Roman"/>
          <w:b/>
        </w:rPr>
        <w:t>SEGUNDO.</w:t>
      </w:r>
      <w:bookmarkEnd w:id="177"/>
      <w:bookmarkEnd w:id="178"/>
      <w:bookmarkEnd w:id="179"/>
      <w:r w:rsidRPr="00D623DC">
        <w:rPr>
          <w:rFonts w:ascii="Palatino Linotype" w:eastAsia="Times New Roman" w:hAnsi="Palatino Linotype" w:cs="Times New Roman"/>
          <w:b/>
        </w:rPr>
        <w:t xml:space="preserve"> </w:t>
      </w:r>
      <w:bookmarkEnd w:id="180"/>
      <w:bookmarkEnd w:id="181"/>
      <w:bookmarkEnd w:id="182"/>
      <w:bookmarkEnd w:id="183"/>
      <w:bookmarkEnd w:id="184"/>
      <w:bookmarkEnd w:id="185"/>
      <w:bookmarkEnd w:id="186"/>
      <w:r w:rsidRPr="00D623DC">
        <w:rPr>
          <w:rFonts w:ascii="Palatino Linotype" w:eastAsia="MS Mincho" w:hAnsi="Palatino Linotype" w:cs="Times New Roman"/>
          <w:color w:val="000000" w:themeColor="text1"/>
        </w:rPr>
        <w:t xml:space="preserve">Se </w:t>
      </w:r>
      <w:r w:rsidR="00822F8B" w:rsidRPr="00D623DC">
        <w:rPr>
          <w:rFonts w:ascii="Palatino Linotype" w:eastAsia="MS Mincho" w:hAnsi="Palatino Linotype" w:cs="Times New Roman"/>
          <w:b/>
          <w:color w:val="000000" w:themeColor="text1"/>
        </w:rPr>
        <w:t xml:space="preserve">REVOCA </w:t>
      </w:r>
      <w:r w:rsidRPr="00D623DC">
        <w:rPr>
          <w:rFonts w:ascii="Palatino Linotype" w:eastAsia="MS Mincho" w:hAnsi="Palatino Linotype" w:cs="Times New Roman"/>
          <w:color w:val="000000" w:themeColor="text1"/>
        </w:rPr>
        <w:t>la respuesta</w:t>
      </w:r>
      <w:r w:rsidR="00455041" w:rsidRPr="00D623DC">
        <w:rPr>
          <w:rFonts w:ascii="Palatino Linotype" w:eastAsia="MS Mincho" w:hAnsi="Palatino Linotype" w:cs="Times New Roman"/>
          <w:color w:val="000000" w:themeColor="text1"/>
        </w:rPr>
        <w:t xml:space="preserve"> emitida por el </w:t>
      </w:r>
      <w:r w:rsidR="00822F8B" w:rsidRPr="00D623DC">
        <w:rPr>
          <w:rFonts w:ascii="Palatino Linotype" w:eastAsia="MS Mincho" w:hAnsi="Palatino Linotype" w:cs="Times New Roman"/>
          <w:b/>
          <w:color w:val="000000" w:themeColor="text1"/>
        </w:rPr>
        <w:t>Ayuntamiento Cuautitlán</w:t>
      </w:r>
      <w:r w:rsidR="00996E33" w:rsidRPr="00D623DC">
        <w:rPr>
          <w:rFonts w:ascii="Palatino Linotype" w:eastAsia="MS Mincho" w:hAnsi="Palatino Linotype" w:cs="Times New Roman"/>
          <w:color w:val="000000" w:themeColor="text1"/>
        </w:rPr>
        <w:t xml:space="preserve"> </w:t>
      </w:r>
      <w:r w:rsidRPr="00D623DC">
        <w:rPr>
          <w:rFonts w:ascii="Palatino Linotype" w:eastAsia="MS Mincho" w:hAnsi="Palatino Linotype" w:cs="Times New Roman"/>
          <w:color w:val="000000" w:themeColor="text1"/>
        </w:rPr>
        <w:t xml:space="preserve">y se </w:t>
      </w:r>
      <w:r w:rsidRPr="00D623DC">
        <w:rPr>
          <w:rFonts w:ascii="Palatino Linotype" w:eastAsia="MS Mincho" w:hAnsi="Palatino Linotype" w:cs="Times New Roman"/>
          <w:b/>
          <w:color w:val="000000" w:themeColor="text1"/>
        </w:rPr>
        <w:t>ORDENA</w:t>
      </w:r>
      <w:r w:rsidRPr="00D623DC">
        <w:rPr>
          <w:rFonts w:ascii="Palatino Linotype" w:eastAsia="MS Mincho" w:hAnsi="Palatino Linotype" w:cs="Times New Roman"/>
          <w:color w:val="000000" w:themeColor="text1"/>
        </w:rPr>
        <w:t xml:space="preserve"> entregar vía Sistema de Acceso a la Información Mexiquense </w:t>
      </w:r>
      <w:r w:rsidRPr="00D623DC">
        <w:rPr>
          <w:rFonts w:ascii="Palatino Linotype" w:eastAsia="MS Mincho" w:hAnsi="Palatino Linotype" w:cs="Times New Roman"/>
          <w:b/>
          <w:color w:val="000000" w:themeColor="text1"/>
        </w:rPr>
        <w:t>(SAIMEX)</w:t>
      </w:r>
      <w:r w:rsidR="00487BE9" w:rsidRPr="00D623DC">
        <w:rPr>
          <w:rFonts w:ascii="Palatino Linotype" w:eastAsia="MS Mincho" w:hAnsi="Palatino Linotype" w:cs="Times New Roman"/>
          <w:b/>
          <w:color w:val="000000" w:themeColor="text1"/>
        </w:rPr>
        <w:t xml:space="preserve"> </w:t>
      </w:r>
      <w:r w:rsidR="00487BE9" w:rsidRPr="00D623DC">
        <w:rPr>
          <w:rFonts w:ascii="Palatino Linotype" w:eastAsia="MS Mincho" w:hAnsi="Palatino Linotype" w:cs="Times New Roman"/>
          <w:color w:val="000000" w:themeColor="text1"/>
        </w:rPr>
        <w:t>al mayor grado de desagregación</w:t>
      </w:r>
      <w:r w:rsidR="006B69DB" w:rsidRPr="00D623DC">
        <w:rPr>
          <w:rFonts w:ascii="Palatino Linotype" w:eastAsia="MS Mincho" w:hAnsi="Palatino Linotype" w:cs="Times New Roman"/>
          <w:color w:val="000000" w:themeColor="text1"/>
        </w:rPr>
        <w:t>, previa búsqueda exhaustiva y razonable, de ser procedente</w:t>
      </w:r>
      <w:r w:rsidRPr="00D623DC">
        <w:rPr>
          <w:rFonts w:ascii="Palatino Linotype" w:eastAsia="MS Mincho" w:hAnsi="Palatino Linotype" w:cs="Times New Roman"/>
          <w:color w:val="000000" w:themeColor="text1"/>
        </w:rPr>
        <w:t xml:space="preserve"> </w:t>
      </w:r>
      <w:r w:rsidR="00487BE9" w:rsidRPr="00D623DC">
        <w:rPr>
          <w:rFonts w:ascii="Palatino Linotype" w:eastAsia="MS Mincho" w:hAnsi="Palatino Linotype" w:cs="Times New Roman"/>
          <w:color w:val="000000" w:themeColor="text1"/>
        </w:rPr>
        <w:t xml:space="preserve">en </w:t>
      </w:r>
      <w:r w:rsidRPr="00D623DC">
        <w:rPr>
          <w:rFonts w:ascii="Palatino Linotype" w:eastAsia="MS Mincho" w:hAnsi="Palatino Linotype" w:cs="Times New Roman"/>
          <w:color w:val="000000" w:themeColor="text1"/>
        </w:rPr>
        <w:t>versión pública</w:t>
      </w:r>
      <w:r w:rsidR="00487BE9" w:rsidRPr="00D623DC">
        <w:rPr>
          <w:rFonts w:ascii="Palatino Linotype" w:eastAsia="MS Mincho" w:hAnsi="Palatino Linotype" w:cs="Times New Roman"/>
          <w:color w:val="000000" w:themeColor="text1"/>
        </w:rPr>
        <w:t xml:space="preserve">, </w:t>
      </w:r>
      <w:r w:rsidR="007F3187" w:rsidRPr="00D623DC">
        <w:rPr>
          <w:rFonts w:ascii="Palatino Linotype" w:eastAsia="MS Mincho" w:hAnsi="Palatino Linotype" w:cs="Times New Roman"/>
          <w:color w:val="000000" w:themeColor="text1"/>
        </w:rPr>
        <w:t>la siguiente información</w:t>
      </w:r>
      <w:r w:rsidR="00031275" w:rsidRPr="00D623DC">
        <w:rPr>
          <w:rFonts w:ascii="Palatino Linotype" w:hAnsi="Palatino Linotype"/>
          <w:color w:val="000000"/>
        </w:rPr>
        <w:t xml:space="preserve"> al </w:t>
      </w:r>
      <w:r w:rsidR="00031275" w:rsidRPr="00D623DC">
        <w:rPr>
          <w:rFonts w:ascii="Palatino Linotype" w:hAnsi="Palatino Linotype"/>
          <w:b/>
          <w:color w:val="000000"/>
        </w:rPr>
        <w:t>1 de febrero de 2022</w:t>
      </w:r>
      <w:r w:rsidRPr="00D623DC">
        <w:rPr>
          <w:rFonts w:ascii="Palatino Linotype" w:eastAsia="MS Mincho" w:hAnsi="Palatino Linotype" w:cs="Times New Roman"/>
          <w:color w:val="000000" w:themeColor="text1"/>
        </w:rPr>
        <w:t>:</w:t>
      </w:r>
    </w:p>
    <w:p w14:paraId="6F545620" w14:textId="77777777" w:rsidR="00AC4EB7" w:rsidRPr="00D623DC" w:rsidRDefault="00AC4EB7" w:rsidP="00BD29FB">
      <w:pPr>
        <w:spacing w:line="360" w:lineRule="auto"/>
        <w:jc w:val="both"/>
        <w:rPr>
          <w:rFonts w:ascii="Palatino Linotype" w:eastAsia="MS Mincho" w:hAnsi="Palatino Linotype" w:cs="Times New Roman"/>
          <w:b/>
          <w:color w:val="000000" w:themeColor="text1"/>
        </w:rPr>
      </w:pPr>
    </w:p>
    <w:p w14:paraId="11790B67" w14:textId="77777777" w:rsidR="001D0A69" w:rsidRPr="00D623DC" w:rsidRDefault="001D0A69" w:rsidP="00031275">
      <w:pPr>
        <w:pStyle w:val="Prrafodelista"/>
        <w:spacing w:line="360" w:lineRule="auto"/>
        <w:ind w:left="709" w:right="474"/>
        <w:jc w:val="both"/>
        <w:rPr>
          <w:rFonts w:ascii="Palatino Linotype" w:hAnsi="Palatino Linotype"/>
          <w:color w:val="000000"/>
        </w:rPr>
      </w:pPr>
      <w:r w:rsidRPr="00D623DC">
        <w:rPr>
          <w:rFonts w:ascii="Palatino Linotype" w:hAnsi="Palatino Linotype"/>
          <w:color w:val="000000"/>
        </w:rPr>
        <w:t>De los departamentos pertenecientes a la Unidad Habitacional Cebadales, secciones I y II</w:t>
      </w:r>
      <w:r w:rsidR="00A112A7" w:rsidRPr="00D623DC">
        <w:rPr>
          <w:rFonts w:ascii="Palatino Linotype" w:hAnsi="Palatino Linotype"/>
          <w:color w:val="000000"/>
        </w:rPr>
        <w:t>, documento (s) donde conste lo siguiente</w:t>
      </w:r>
      <w:r w:rsidRPr="00D623DC">
        <w:rPr>
          <w:rFonts w:ascii="Palatino Linotype" w:hAnsi="Palatino Linotype"/>
          <w:color w:val="000000"/>
        </w:rPr>
        <w:t>:</w:t>
      </w:r>
    </w:p>
    <w:p w14:paraId="6BB738F8" w14:textId="77777777" w:rsidR="001D0A69" w:rsidRPr="00D623DC" w:rsidRDefault="001D0A69" w:rsidP="00031275">
      <w:pPr>
        <w:pStyle w:val="Prrafodelista"/>
        <w:spacing w:line="360" w:lineRule="auto"/>
        <w:ind w:left="709" w:right="474"/>
        <w:rPr>
          <w:rFonts w:ascii="Palatino Linotype" w:hAnsi="Palatino Linotype"/>
          <w:color w:val="000000"/>
        </w:rPr>
      </w:pPr>
    </w:p>
    <w:p w14:paraId="6F117807" w14:textId="77777777" w:rsidR="001D0A69" w:rsidRPr="00D623DC" w:rsidRDefault="00A112A7" w:rsidP="00031275">
      <w:pPr>
        <w:pStyle w:val="Prrafodelista"/>
        <w:numPr>
          <w:ilvl w:val="0"/>
          <w:numId w:val="30"/>
        </w:numPr>
        <w:spacing w:line="360" w:lineRule="auto"/>
        <w:ind w:left="709" w:right="474"/>
        <w:jc w:val="both"/>
        <w:rPr>
          <w:rFonts w:ascii="Palatino Linotype" w:hAnsi="Palatino Linotype"/>
          <w:color w:val="000000"/>
        </w:rPr>
      </w:pPr>
      <w:r w:rsidRPr="00D623DC">
        <w:rPr>
          <w:rFonts w:ascii="Palatino Linotype" w:hAnsi="Palatino Linotype"/>
          <w:color w:val="000000"/>
        </w:rPr>
        <w:t>Nombre de los c</w:t>
      </w:r>
      <w:r w:rsidR="00031275" w:rsidRPr="00D623DC">
        <w:rPr>
          <w:rFonts w:ascii="Palatino Linotype" w:hAnsi="Palatino Linotype"/>
          <w:color w:val="000000"/>
        </w:rPr>
        <w:t xml:space="preserve">ontribuyentes con créditos fiscales firmes por </w:t>
      </w:r>
      <w:r w:rsidRPr="00D623DC">
        <w:rPr>
          <w:rFonts w:ascii="Palatino Linotype" w:hAnsi="Palatino Linotype"/>
          <w:color w:val="000000"/>
        </w:rPr>
        <w:t xml:space="preserve">concepto de pago de impuesto </w:t>
      </w:r>
      <w:r w:rsidR="001D0A69" w:rsidRPr="00D623DC">
        <w:rPr>
          <w:rFonts w:ascii="Palatino Linotype" w:hAnsi="Palatino Linotype"/>
          <w:color w:val="000000"/>
        </w:rPr>
        <w:t xml:space="preserve">predial y </w:t>
      </w:r>
      <w:r w:rsidRPr="00D623DC">
        <w:rPr>
          <w:rFonts w:ascii="Palatino Linotype" w:hAnsi="Palatino Linotype"/>
          <w:color w:val="000000"/>
        </w:rPr>
        <w:t xml:space="preserve">derechos </w:t>
      </w:r>
      <w:r w:rsidR="001D0A69" w:rsidRPr="00D623DC">
        <w:rPr>
          <w:rFonts w:ascii="Palatino Linotype" w:hAnsi="Palatino Linotype"/>
          <w:color w:val="000000"/>
        </w:rPr>
        <w:t>de agua;</w:t>
      </w:r>
      <w:r w:rsidR="00031275" w:rsidRPr="00D623DC">
        <w:rPr>
          <w:rFonts w:ascii="Palatino Linotype" w:hAnsi="Palatino Linotype"/>
          <w:color w:val="000000"/>
        </w:rPr>
        <w:t xml:space="preserve"> y</w:t>
      </w:r>
    </w:p>
    <w:p w14:paraId="0C36A127" w14:textId="77777777" w:rsidR="00487BE9" w:rsidRPr="00D623DC" w:rsidRDefault="00487BE9" w:rsidP="00D560BC">
      <w:pPr>
        <w:pStyle w:val="Prrafodelista"/>
        <w:spacing w:line="360" w:lineRule="auto"/>
        <w:ind w:left="709" w:right="474"/>
        <w:rPr>
          <w:rFonts w:ascii="Palatino Linotype" w:hAnsi="Palatino Linotype"/>
          <w:color w:val="000000"/>
        </w:rPr>
      </w:pPr>
    </w:p>
    <w:p w14:paraId="26D10B58" w14:textId="77777777" w:rsidR="001D0A69" w:rsidRPr="00D623DC" w:rsidRDefault="001D0A69" w:rsidP="00031275">
      <w:pPr>
        <w:pStyle w:val="Prrafodelista"/>
        <w:numPr>
          <w:ilvl w:val="0"/>
          <w:numId w:val="30"/>
        </w:numPr>
        <w:spacing w:line="360" w:lineRule="auto"/>
        <w:ind w:left="709" w:right="474"/>
        <w:jc w:val="both"/>
        <w:rPr>
          <w:rFonts w:ascii="Palatino Linotype" w:hAnsi="Palatino Linotype"/>
          <w:color w:val="000000"/>
        </w:rPr>
      </w:pPr>
      <w:r w:rsidRPr="00D623DC">
        <w:rPr>
          <w:rFonts w:ascii="Palatino Linotype" w:hAnsi="Palatino Linotype"/>
          <w:color w:val="000000"/>
        </w:rPr>
        <w:t xml:space="preserve">Estímulos fiscales </w:t>
      </w:r>
      <w:r w:rsidR="00265C76" w:rsidRPr="00D623DC">
        <w:rPr>
          <w:rFonts w:ascii="Palatino Linotype" w:hAnsi="Palatino Linotype"/>
          <w:color w:val="000000"/>
        </w:rPr>
        <w:t>o</w:t>
      </w:r>
      <w:r w:rsidR="00031275" w:rsidRPr="00D623DC">
        <w:rPr>
          <w:rFonts w:ascii="Palatino Linotype" w:hAnsi="Palatino Linotype"/>
          <w:color w:val="000000"/>
        </w:rPr>
        <w:t xml:space="preserve"> exención de impuestos </w:t>
      </w:r>
      <w:r w:rsidRPr="00D623DC">
        <w:rPr>
          <w:rFonts w:ascii="Palatino Linotype" w:hAnsi="Palatino Linotype"/>
          <w:color w:val="000000"/>
        </w:rPr>
        <w:t xml:space="preserve">para el pago del impuesto predial y </w:t>
      </w:r>
      <w:r w:rsidR="00A112A7" w:rsidRPr="00D623DC">
        <w:rPr>
          <w:rFonts w:ascii="Palatino Linotype" w:hAnsi="Palatino Linotype"/>
          <w:color w:val="000000"/>
        </w:rPr>
        <w:t xml:space="preserve">derechos </w:t>
      </w:r>
      <w:r w:rsidRPr="00D623DC">
        <w:rPr>
          <w:rFonts w:ascii="Palatino Linotype" w:hAnsi="Palatino Linotype"/>
          <w:color w:val="000000"/>
        </w:rPr>
        <w:t>de agua</w:t>
      </w:r>
      <w:r w:rsidR="00031275" w:rsidRPr="00D623DC">
        <w:rPr>
          <w:rFonts w:ascii="Palatino Linotype" w:hAnsi="Palatino Linotype"/>
          <w:color w:val="000000"/>
        </w:rPr>
        <w:t>.</w:t>
      </w:r>
    </w:p>
    <w:p w14:paraId="3CACEEF5" w14:textId="77777777" w:rsidR="001D0A69" w:rsidRPr="00D623DC" w:rsidRDefault="001D0A69" w:rsidP="00D560BC">
      <w:pPr>
        <w:pStyle w:val="Prrafodelista"/>
        <w:spacing w:line="360" w:lineRule="auto"/>
        <w:ind w:left="1287"/>
        <w:rPr>
          <w:rFonts w:ascii="Palatino Linotype" w:hAnsi="Palatino Linotype"/>
          <w:color w:val="000000"/>
        </w:rPr>
      </w:pPr>
    </w:p>
    <w:p w14:paraId="51580B7D" w14:textId="77777777" w:rsidR="00875330" w:rsidRPr="00D623DC" w:rsidRDefault="00875330" w:rsidP="00487BE9">
      <w:pPr>
        <w:spacing w:line="360" w:lineRule="auto"/>
        <w:jc w:val="both"/>
        <w:rPr>
          <w:rFonts w:ascii="Palatino Linotype" w:eastAsia="Calibri" w:hAnsi="Palatino Linotype" w:cs="Arial"/>
          <w:b/>
        </w:rPr>
      </w:pPr>
      <w:bookmarkStart w:id="187" w:name="_Toc503891610"/>
      <w:bookmarkStart w:id="188" w:name="_Toc453696503"/>
      <w:bookmarkStart w:id="189" w:name="_Toc454301156"/>
      <w:bookmarkStart w:id="190" w:name="_Toc462653938"/>
      <w:bookmarkStart w:id="191" w:name="_Toc477891769"/>
      <w:bookmarkStart w:id="192" w:name="_Toc477891859"/>
      <w:bookmarkStart w:id="193" w:name="_Toc481576260"/>
      <w:bookmarkStart w:id="194" w:name="_Toc492590392"/>
      <w:r w:rsidRPr="00D623D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D623DC">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623DC">
        <w:rPr>
          <w:rFonts w:ascii="Palatino Linotype" w:eastAsia="Calibri" w:hAnsi="Palatino Linotype" w:cs="Arial"/>
          <w:b/>
        </w:rPr>
        <w:t>EL RECURRENTE.</w:t>
      </w:r>
    </w:p>
    <w:p w14:paraId="39BD9620" w14:textId="77777777" w:rsidR="00875330" w:rsidRPr="00D623DC" w:rsidRDefault="00875330" w:rsidP="00487BE9">
      <w:pPr>
        <w:spacing w:line="360" w:lineRule="auto"/>
        <w:jc w:val="both"/>
        <w:rPr>
          <w:rFonts w:ascii="Palatino Linotype" w:eastAsia="Calibri" w:hAnsi="Palatino Linotype" w:cs="Arial"/>
          <w:b/>
        </w:rPr>
      </w:pPr>
    </w:p>
    <w:p w14:paraId="393509B0" w14:textId="77777777" w:rsidR="00487BE9" w:rsidRPr="00D623DC" w:rsidRDefault="00487BE9" w:rsidP="00487BE9">
      <w:pPr>
        <w:spacing w:line="360" w:lineRule="auto"/>
        <w:jc w:val="both"/>
        <w:rPr>
          <w:rFonts w:ascii="Palatino Linotype" w:eastAsia="Calibri" w:hAnsi="Palatino Linotype" w:cs="Arial"/>
          <w:color w:val="000000" w:themeColor="text1"/>
        </w:rPr>
      </w:pPr>
      <w:r w:rsidRPr="00D623DC">
        <w:rPr>
          <w:rFonts w:ascii="Palatino Linotype" w:hAnsi="Palatino Linotype"/>
        </w:rPr>
        <w:t>Para el caso que la información que se ordena en los incisos anteriores</w:t>
      </w:r>
      <w:r w:rsidRPr="00D623DC">
        <w:rPr>
          <w:rFonts w:ascii="Palatino Linotype" w:hAnsi="Palatino Linotype"/>
          <w:b/>
        </w:rPr>
        <w:t xml:space="preserve">, </w:t>
      </w:r>
      <w:r w:rsidRPr="00D623DC">
        <w:rPr>
          <w:rFonts w:ascii="Palatino Linotype" w:eastAsia="Calibri" w:hAnsi="Palatino Linotype" w:cs="Arial"/>
          <w:color w:val="000000" w:themeColor="text1"/>
        </w:rPr>
        <w:t xml:space="preserve">no haya sido generada, poseída o administrada, el </w:t>
      </w:r>
      <w:r w:rsidRPr="00D623DC">
        <w:rPr>
          <w:rFonts w:ascii="Palatino Linotype" w:eastAsia="Calibri" w:hAnsi="Palatino Linotype" w:cs="Arial"/>
          <w:b/>
          <w:color w:val="000000" w:themeColor="text1"/>
        </w:rPr>
        <w:t>SUJETO OBLIGADO</w:t>
      </w:r>
      <w:r w:rsidRPr="00D623DC">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42C18A64" w14:textId="77777777" w:rsidR="00E27FDD" w:rsidRPr="00D623DC" w:rsidRDefault="00E27FDD" w:rsidP="00487BE9">
      <w:pPr>
        <w:spacing w:line="360" w:lineRule="auto"/>
        <w:jc w:val="both"/>
        <w:rPr>
          <w:rFonts w:ascii="Palatino Linotype" w:eastAsia="Calibri" w:hAnsi="Palatino Linotype" w:cs="Arial"/>
          <w:lang w:val="es-MX"/>
        </w:rPr>
      </w:pPr>
    </w:p>
    <w:bookmarkEnd w:id="187"/>
    <w:bookmarkEnd w:id="188"/>
    <w:bookmarkEnd w:id="189"/>
    <w:bookmarkEnd w:id="190"/>
    <w:bookmarkEnd w:id="191"/>
    <w:bookmarkEnd w:id="192"/>
    <w:bookmarkEnd w:id="193"/>
    <w:bookmarkEnd w:id="194"/>
    <w:p w14:paraId="15E6F5EC" w14:textId="77777777" w:rsidR="00681C08" w:rsidRPr="00D623DC" w:rsidRDefault="00681C08" w:rsidP="00487BE9">
      <w:pPr>
        <w:spacing w:line="360" w:lineRule="auto"/>
        <w:jc w:val="both"/>
        <w:rPr>
          <w:rFonts w:ascii="Palatino Linotype" w:hAnsi="Palatino Linotype" w:cs="Arial"/>
          <w:color w:val="222222"/>
          <w:lang w:eastAsia="es-MX"/>
        </w:rPr>
      </w:pPr>
      <w:r w:rsidRPr="00D623DC">
        <w:rPr>
          <w:rFonts w:ascii="Palatino Linotype" w:eastAsia="MS Mincho" w:hAnsi="Palatino Linotype"/>
          <w:b/>
          <w:color w:val="000000"/>
          <w:lang w:val="es-MX" w:eastAsia="es-MX"/>
        </w:rPr>
        <w:t>TERCERO.</w:t>
      </w:r>
      <w:r w:rsidRPr="00D623DC">
        <w:rPr>
          <w:rFonts w:ascii="Palatino Linotype" w:eastAsia="MS Mincho" w:hAnsi="Palatino Linotype"/>
          <w:color w:val="000000"/>
          <w:lang w:val="es-MX" w:eastAsia="es-MX"/>
        </w:rPr>
        <w:t xml:space="preserve"> Notifíquese al Titular de la Unidad de Transparencia </w:t>
      </w:r>
      <w:r w:rsidRPr="00D623DC">
        <w:rPr>
          <w:rFonts w:ascii="Palatino Linotype" w:hAnsi="Palatino Linotype" w:cs="Arial"/>
          <w:color w:val="222222"/>
          <w:lang w:eastAsia="es-MX"/>
        </w:rPr>
        <w:t xml:space="preserve">del </w:t>
      </w:r>
      <w:r w:rsidRPr="00D623DC">
        <w:rPr>
          <w:rFonts w:ascii="Palatino Linotype" w:hAnsi="Palatino Linotype" w:cs="Arial"/>
          <w:b/>
          <w:bCs/>
          <w:color w:val="222222"/>
          <w:lang w:eastAsia="es-MX"/>
        </w:rPr>
        <w:t xml:space="preserve">SUJETO OBLIGADO </w:t>
      </w:r>
      <w:r w:rsidRPr="00D623DC">
        <w:rPr>
          <w:rFonts w:ascii="Palatino Linotype" w:hAnsi="Palatino Linotype" w:cs="Arial"/>
          <w:bCs/>
          <w:color w:val="222222"/>
          <w:lang w:eastAsia="es-MX"/>
        </w:rPr>
        <w:t>la presente resolución, vía Sistema de Acceso a la Información Mexiquense (SAIMEX)</w:t>
      </w:r>
      <w:r w:rsidRPr="00D623DC">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ordenado dentro del plazo de </w:t>
      </w:r>
      <w:r w:rsidRPr="00D623DC">
        <w:rPr>
          <w:rFonts w:ascii="Palatino Linotype" w:hAnsi="Palatino Linotype" w:cs="Arial"/>
          <w:b/>
          <w:bCs/>
          <w:color w:val="222222"/>
          <w:lang w:eastAsia="es-MX"/>
        </w:rPr>
        <w:t>diez días hábiles</w:t>
      </w:r>
      <w:r w:rsidRPr="00D623DC">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751F2C" w14:textId="77777777" w:rsidR="00637188" w:rsidRPr="00D623DC" w:rsidRDefault="00637188" w:rsidP="00487BE9">
      <w:pPr>
        <w:spacing w:line="360" w:lineRule="auto"/>
        <w:jc w:val="both"/>
        <w:rPr>
          <w:rFonts w:ascii="Palatino Linotype" w:eastAsia="MS Mincho" w:hAnsi="Palatino Linotype"/>
          <w:color w:val="000000"/>
          <w:lang w:val="es-MX" w:eastAsia="es-MX"/>
        </w:rPr>
      </w:pPr>
    </w:p>
    <w:p w14:paraId="2039BCEB" w14:textId="77777777" w:rsidR="0057514F" w:rsidRPr="00D623DC" w:rsidRDefault="0057514F" w:rsidP="00487BE9">
      <w:pPr>
        <w:spacing w:line="360" w:lineRule="auto"/>
        <w:jc w:val="both"/>
        <w:rPr>
          <w:rFonts w:ascii="Palatino Linotype" w:eastAsia="Calibri" w:hAnsi="Palatino Linotype" w:cs="Arial"/>
          <w:bCs/>
        </w:rPr>
      </w:pPr>
      <w:r w:rsidRPr="00D623DC">
        <w:rPr>
          <w:rFonts w:ascii="Palatino Linotype" w:hAnsi="Palatino Linotype" w:cs="Arial"/>
          <w:b/>
        </w:rPr>
        <w:t xml:space="preserve">CUARTO. </w:t>
      </w:r>
      <w:r w:rsidRPr="00D623DC">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D623DC">
        <w:rPr>
          <w:rFonts w:ascii="Palatino Linotype" w:eastAsia="Calibri" w:hAnsi="Palatino Linotype" w:cs="Arial"/>
          <w:bCs/>
        </w:rPr>
        <w:lastRenderedPageBreak/>
        <w:t xml:space="preserve">procedente, el </w:t>
      </w:r>
      <w:r w:rsidRPr="00D623DC">
        <w:rPr>
          <w:rFonts w:ascii="Palatino Linotype" w:eastAsia="Calibri" w:hAnsi="Palatino Linotype" w:cs="Arial"/>
          <w:b/>
          <w:bCs/>
        </w:rPr>
        <w:t>SUJETO OBLIGADO</w:t>
      </w:r>
      <w:r w:rsidRPr="00D623DC">
        <w:rPr>
          <w:rFonts w:ascii="Palatino Linotype" w:eastAsia="Calibri" w:hAnsi="Palatino Linotype" w:cs="Arial"/>
          <w:bCs/>
        </w:rPr>
        <w:t xml:space="preserve"> de manera fundada y motivada, podrá solicitar una ampliación de plazo para el cumplimiento de la presente resolución.</w:t>
      </w:r>
    </w:p>
    <w:p w14:paraId="6211465B" w14:textId="77777777" w:rsidR="001D0A69" w:rsidRPr="00D623DC" w:rsidRDefault="001D0A69" w:rsidP="00487BE9">
      <w:pPr>
        <w:spacing w:line="360" w:lineRule="auto"/>
        <w:jc w:val="both"/>
        <w:rPr>
          <w:rFonts w:ascii="Palatino Linotype" w:eastAsia="Calibri" w:hAnsi="Palatino Linotype" w:cs="Arial"/>
          <w:bCs/>
        </w:rPr>
      </w:pPr>
    </w:p>
    <w:p w14:paraId="4BC4F9BC" w14:textId="77777777" w:rsidR="003266FD" w:rsidRPr="00D623DC" w:rsidRDefault="0057514F" w:rsidP="00487BE9">
      <w:pPr>
        <w:tabs>
          <w:tab w:val="left" w:pos="8080"/>
        </w:tabs>
        <w:spacing w:line="360" w:lineRule="auto"/>
        <w:ind w:right="49"/>
        <w:jc w:val="both"/>
        <w:rPr>
          <w:rFonts w:ascii="Palatino Linotype" w:eastAsia="Times New Roman" w:hAnsi="Palatino Linotype" w:cs="Arial"/>
          <w:b/>
          <w:lang w:val="es-ES"/>
        </w:rPr>
      </w:pPr>
      <w:bookmarkStart w:id="195" w:name="_Toc492590393"/>
      <w:bookmarkStart w:id="196" w:name="_Toc503891611"/>
      <w:bookmarkStart w:id="197" w:name="_Toc511647759"/>
      <w:bookmarkStart w:id="198" w:name="_Toc511647820"/>
      <w:r w:rsidRPr="00D623DC">
        <w:rPr>
          <w:rFonts w:ascii="Palatino Linotype" w:eastAsia="Times New Roman" w:hAnsi="Palatino Linotype" w:cs="Times New Roman"/>
          <w:b/>
        </w:rPr>
        <w:t>QUIN</w:t>
      </w:r>
      <w:r w:rsidR="009F09BC" w:rsidRPr="00D623DC">
        <w:rPr>
          <w:rFonts w:ascii="Palatino Linotype" w:eastAsia="Times New Roman" w:hAnsi="Palatino Linotype" w:cs="Times New Roman"/>
          <w:b/>
        </w:rPr>
        <w:t xml:space="preserve">TO. </w:t>
      </w:r>
      <w:bookmarkEnd w:id="195"/>
      <w:bookmarkEnd w:id="196"/>
      <w:bookmarkEnd w:id="197"/>
      <w:bookmarkEnd w:id="198"/>
      <w:r w:rsidR="001D0A69" w:rsidRPr="00D623DC">
        <w:rPr>
          <w:rFonts w:ascii="Palatino Linotype" w:eastAsia="Times New Roman" w:hAnsi="Palatino Linotype" w:cs="Times New Roman"/>
          <w:lang w:val="es-ES" w:eastAsia="es-MX"/>
        </w:rPr>
        <w:t xml:space="preserve">Se hace del conocimiento de </w:t>
      </w:r>
      <w:r w:rsidR="001D0A69" w:rsidRPr="00D623DC">
        <w:rPr>
          <w:rFonts w:ascii="Palatino Linotype" w:eastAsia="Times New Roman" w:hAnsi="Palatino Linotype" w:cs="Times New Roman"/>
          <w:b/>
          <w:lang w:val="es-ES" w:eastAsia="es-MX"/>
        </w:rPr>
        <w:t>EL RECURRENTE</w:t>
      </w:r>
      <w:r w:rsidR="001D0A69" w:rsidRPr="00D623D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1D0A69" w:rsidRPr="00D623DC">
        <w:rPr>
          <w:rFonts w:ascii="Palatino Linotype" w:eastAsia="Times New Roman" w:hAnsi="Palatino Linotype" w:cs="Times New Roman"/>
          <w:bCs/>
          <w:lang w:val="es-ES" w:eastAsia="es-MX"/>
        </w:rPr>
        <w:t>vía juicio de amparo</w:t>
      </w:r>
      <w:r w:rsidR="001D0A69" w:rsidRPr="00D623DC">
        <w:rPr>
          <w:rFonts w:ascii="Palatino Linotype" w:eastAsia="Times New Roman" w:hAnsi="Palatino Linotype" w:cs="Times New Roman"/>
          <w:lang w:val="es-ES" w:eastAsia="es-MX"/>
        </w:rPr>
        <w:t> en los términos de las leyes aplicable</w:t>
      </w:r>
      <w:r w:rsidR="001D0A69" w:rsidRPr="00D623DC">
        <w:rPr>
          <w:rFonts w:ascii="Palatino Linotype" w:eastAsia="Palatino Linotype" w:hAnsi="Palatino Linotype" w:cs="Palatino Linotype"/>
        </w:rPr>
        <w:t>.</w:t>
      </w:r>
    </w:p>
    <w:p w14:paraId="5EAD719E" w14:textId="77777777" w:rsidR="003266FD" w:rsidRPr="00D623DC" w:rsidRDefault="003266FD" w:rsidP="00487BE9">
      <w:pPr>
        <w:tabs>
          <w:tab w:val="left" w:pos="8080"/>
        </w:tabs>
        <w:spacing w:line="360" w:lineRule="auto"/>
        <w:ind w:right="49"/>
        <w:jc w:val="both"/>
        <w:rPr>
          <w:rFonts w:ascii="Palatino Linotype" w:eastAsia="Times New Roman" w:hAnsi="Palatino Linotype" w:cs="Arial"/>
          <w:b/>
          <w:lang w:val="es-ES"/>
        </w:rPr>
      </w:pPr>
    </w:p>
    <w:p w14:paraId="3EECAFD0" w14:textId="77777777" w:rsidR="003266FD" w:rsidRPr="00487BE9" w:rsidRDefault="003266FD" w:rsidP="00487BE9">
      <w:pPr>
        <w:spacing w:line="360" w:lineRule="auto"/>
        <w:ind w:right="48"/>
        <w:jc w:val="both"/>
        <w:rPr>
          <w:rFonts w:ascii="Palatino Linotype" w:hAnsi="Palatino Linotype" w:cs="Arial"/>
          <w:color w:val="000000" w:themeColor="text1"/>
        </w:rPr>
      </w:pPr>
      <w:r w:rsidRPr="00D623D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0A69" w:rsidRPr="00D623DC">
        <w:rPr>
          <w:rFonts w:ascii="Palatino Linotype" w:hAnsi="Palatino Linotype"/>
        </w:rPr>
        <w:t xml:space="preserve">CUADRAGÉSIMA PRIMERA </w:t>
      </w:r>
      <w:r w:rsidRPr="00D623DC">
        <w:rPr>
          <w:rFonts w:ascii="Palatino Linotype" w:hAnsi="Palatino Linotype"/>
        </w:rPr>
        <w:t xml:space="preserve">SESIÓN ORDINARIA CELEBRADA EL </w:t>
      </w:r>
      <w:r w:rsidR="001D0A69" w:rsidRPr="00D623DC">
        <w:rPr>
          <w:rFonts w:ascii="Palatino Linotype" w:hAnsi="Palatino Linotype"/>
        </w:rPr>
        <w:t>QUINCE</w:t>
      </w:r>
      <w:r w:rsidRPr="00D623DC">
        <w:rPr>
          <w:rFonts w:ascii="Palatino Linotype" w:hAnsi="Palatino Linotype"/>
        </w:rPr>
        <w:t xml:space="preserve">  DE </w:t>
      </w:r>
      <w:r w:rsidR="001D0A69" w:rsidRPr="00D623DC">
        <w:rPr>
          <w:rFonts w:ascii="Palatino Linotype" w:hAnsi="Palatino Linotype"/>
        </w:rPr>
        <w:t>NOVIEM</w:t>
      </w:r>
      <w:r w:rsidRPr="00D623DC">
        <w:rPr>
          <w:rFonts w:ascii="Palatino Linotype" w:hAnsi="Palatino Linotype"/>
        </w:rPr>
        <w:t>BRE DE DOS MIL VEINTITRÉS, ANTE EL SECRETARIO TÉCNICO DEL PLENO ALEXIS TAPIA RAMÍREZ.</w:t>
      </w:r>
      <w:bookmarkStart w:id="199" w:name="_GoBack"/>
      <w:bookmarkEnd w:id="199"/>
      <w:r w:rsidRPr="00487BE9">
        <w:rPr>
          <w:rFonts w:ascii="Palatino Linotype" w:hAnsi="Palatino Linotype"/>
        </w:rPr>
        <w:t xml:space="preserve"> </w:t>
      </w:r>
      <w:r w:rsidRPr="00487BE9">
        <w:rPr>
          <w:rFonts w:ascii="Palatino Linotype" w:hAnsi="Palatino Linotype" w:cs="Arial"/>
          <w:color w:val="000000" w:themeColor="text1"/>
        </w:rPr>
        <w:br w:type="page"/>
      </w:r>
    </w:p>
    <w:p w14:paraId="19218A3E" w14:textId="77777777" w:rsidR="009F09BC" w:rsidRPr="00487BE9" w:rsidRDefault="009F09BC" w:rsidP="00487BE9">
      <w:pPr>
        <w:spacing w:line="360" w:lineRule="auto"/>
        <w:jc w:val="both"/>
        <w:rPr>
          <w:rFonts w:ascii="Palatino Linotype" w:hAnsi="Palatino Linotype"/>
        </w:rPr>
      </w:pPr>
    </w:p>
    <w:p w14:paraId="36C13189" w14:textId="77777777" w:rsidR="009F09BC" w:rsidRPr="00487BE9" w:rsidRDefault="009F09BC" w:rsidP="00487BE9">
      <w:pPr>
        <w:spacing w:line="360" w:lineRule="auto"/>
        <w:rPr>
          <w:rFonts w:ascii="Palatino Linotype" w:hAnsi="Palatino Linotype"/>
        </w:rPr>
      </w:pPr>
    </w:p>
    <w:p w14:paraId="2C961369" w14:textId="77777777" w:rsidR="00E75656" w:rsidRPr="00487BE9" w:rsidRDefault="00E75656" w:rsidP="00487BE9">
      <w:pPr>
        <w:spacing w:line="360" w:lineRule="auto"/>
        <w:rPr>
          <w:rFonts w:ascii="Palatino Linotype" w:hAnsi="Palatino Linotype"/>
        </w:rPr>
      </w:pPr>
    </w:p>
    <w:p w14:paraId="1473774B" w14:textId="77777777" w:rsidR="00E75656" w:rsidRPr="00487BE9" w:rsidRDefault="00E75656" w:rsidP="00487BE9">
      <w:pPr>
        <w:spacing w:line="360" w:lineRule="auto"/>
        <w:rPr>
          <w:rFonts w:ascii="Palatino Linotype" w:hAnsi="Palatino Linotype"/>
        </w:rPr>
      </w:pPr>
    </w:p>
    <w:p w14:paraId="2CB42B0D" w14:textId="77777777" w:rsidR="00E75656" w:rsidRPr="00487BE9" w:rsidRDefault="00E75656" w:rsidP="00487BE9">
      <w:pPr>
        <w:spacing w:line="360" w:lineRule="auto"/>
        <w:rPr>
          <w:rFonts w:ascii="Palatino Linotype" w:hAnsi="Palatino Linotype"/>
        </w:rPr>
      </w:pPr>
    </w:p>
    <w:p w14:paraId="16E44B0C" w14:textId="77777777" w:rsidR="00E75656" w:rsidRPr="00487BE9" w:rsidRDefault="00E75656" w:rsidP="00487BE9">
      <w:pPr>
        <w:spacing w:line="360" w:lineRule="auto"/>
        <w:rPr>
          <w:rFonts w:ascii="Palatino Linotype" w:hAnsi="Palatino Linotype"/>
        </w:rPr>
      </w:pPr>
    </w:p>
    <w:p w14:paraId="4F1FBD1C" w14:textId="77777777" w:rsidR="00E75656" w:rsidRPr="00487BE9" w:rsidRDefault="00E75656" w:rsidP="00487BE9">
      <w:pPr>
        <w:spacing w:line="360" w:lineRule="auto"/>
        <w:rPr>
          <w:rFonts w:ascii="Palatino Linotype" w:hAnsi="Palatino Linotype"/>
        </w:rPr>
      </w:pPr>
    </w:p>
    <w:p w14:paraId="0FA6CC64" w14:textId="77777777" w:rsidR="00E75656" w:rsidRPr="00487BE9" w:rsidRDefault="00E75656" w:rsidP="00487BE9">
      <w:pPr>
        <w:spacing w:line="360" w:lineRule="auto"/>
        <w:rPr>
          <w:rFonts w:ascii="Palatino Linotype" w:hAnsi="Palatino Linotype"/>
        </w:rPr>
      </w:pPr>
    </w:p>
    <w:p w14:paraId="0CFBDD6A" w14:textId="77777777" w:rsidR="00E75656" w:rsidRPr="00487BE9" w:rsidRDefault="00E75656" w:rsidP="00487BE9">
      <w:pPr>
        <w:spacing w:line="360" w:lineRule="auto"/>
        <w:rPr>
          <w:rFonts w:ascii="Palatino Linotype" w:hAnsi="Palatino Linotype"/>
        </w:rPr>
      </w:pPr>
    </w:p>
    <w:p w14:paraId="3569F11E" w14:textId="77777777" w:rsidR="00E75656" w:rsidRPr="00487BE9" w:rsidRDefault="00E75656" w:rsidP="00487BE9">
      <w:pPr>
        <w:spacing w:line="360" w:lineRule="auto"/>
        <w:rPr>
          <w:rFonts w:ascii="Palatino Linotype" w:hAnsi="Palatino Linotype"/>
        </w:rPr>
      </w:pPr>
    </w:p>
    <w:p w14:paraId="3C53DBEC" w14:textId="77777777" w:rsidR="00E75656" w:rsidRPr="00487BE9" w:rsidRDefault="00E75656" w:rsidP="00487BE9">
      <w:pPr>
        <w:spacing w:line="360" w:lineRule="auto"/>
        <w:rPr>
          <w:rFonts w:ascii="Palatino Linotype" w:hAnsi="Palatino Linotype"/>
        </w:rPr>
      </w:pPr>
    </w:p>
    <w:p w14:paraId="7828C645" w14:textId="77777777" w:rsidR="009F09BC" w:rsidRPr="00487BE9" w:rsidRDefault="009F09BC" w:rsidP="00487BE9">
      <w:pPr>
        <w:spacing w:line="360" w:lineRule="auto"/>
        <w:rPr>
          <w:rFonts w:ascii="Palatino Linotype" w:hAnsi="Palatino Linotype"/>
        </w:rPr>
      </w:pPr>
    </w:p>
    <w:p w14:paraId="4F4B4797" w14:textId="77777777" w:rsidR="009F09BC" w:rsidRPr="00487BE9" w:rsidRDefault="009F09BC" w:rsidP="00487BE9">
      <w:pPr>
        <w:spacing w:line="360" w:lineRule="auto"/>
        <w:rPr>
          <w:rFonts w:ascii="Palatino Linotype" w:hAnsi="Palatino Linotype"/>
        </w:rPr>
      </w:pPr>
    </w:p>
    <w:p w14:paraId="160655E2" w14:textId="77777777" w:rsidR="009F09BC" w:rsidRPr="00487BE9" w:rsidRDefault="009F09BC" w:rsidP="00487BE9">
      <w:pPr>
        <w:spacing w:line="360" w:lineRule="auto"/>
        <w:rPr>
          <w:rFonts w:ascii="Palatino Linotype" w:hAnsi="Palatino Linotype"/>
        </w:rPr>
      </w:pPr>
    </w:p>
    <w:p w14:paraId="0C197368" w14:textId="77777777" w:rsidR="009F09BC" w:rsidRPr="00487BE9" w:rsidRDefault="009F09BC" w:rsidP="00487BE9">
      <w:pPr>
        <w:spacing w:line="360" w:lineRule="auto"/>
        <w:rPr>
          <w:rFonts w:ascii="Palatino Linotype" w:hAnsi="Palatino Linotype"/>
        </w:rPr>
      </w:pPr>
    </w:p>
    <w:p w14:paraId="476D0804" w14:textId="77777777" w:rsidR="009F09BC" w:rsidRPr="00487BE9" w:rsidRDefault="009F09BC" w:rsidP="00487BE9">
      <w:pPr>
        <w:spacing w:line="360" w:lineRule="auto"/>
        <w:rPr>
          <w:rFonts w:ascii="Palatino Linotype" w:hAnsi="Palatino Linotype"/>
        </w:rPr>
      </w:pPr>
    </w:p>
    <w:p w14:paraId="3CD953E0" w14:textId="77777777" w:rsidR="009F09BC" w:rsidRPr="00487BE9" w:rsidRDefault="009F09BC" w:rsidP="00487BE9">
      <w:pPr>
        <w:tabs>
          <w:tab w:val="left" w:pos="3374"/>
        </w:tabs>
        <w:spacing w:line="360" w:lineRule="auto"/>
        <w:rPr>
          <w:rFonts w:ascii="Palatino Linotype" w:hAnsi="Palatino Linotype"/>
        </w:rPr>
      </w:pPr>
    </w:p>
    <w:p w14:paraId="78738AB8" w14:textId="77777777" w:rsidR="00196CE7" w:rsidRPr="00487BE9" w:rsidRDefault="00196CE7" w:rsidP="00487BE9">
      <w:pPr>
        <w:tabs>
          <w:tab w:val="left" w:pos="3374"/>
        </w:tabs>
        <w:spacing w:line="360" w:lineRule="auto"/>
        <w:rPr>
          <w:rFonts w:ascii="Palatino Linotype" w:hAnsi="Palatino Linotype"/>
        </w:rPr>
      </w:pPr>
    </w:p>
    <w:sectPr w:rsidR="00196CE7" w:rsidRPr="00487BE9" w:rsidSect="00310233">
      <w:headerReference w:type="even" r:id="rId9"/>
      <w:headerReference w:type="default" r:id="rId10"/>
      <w:footerReference w:type="default" r:id="rId11"/>
      <w:headerReference w:type="first" r:id="rId12"/>
      <w:footerReference w:type="first" r:id="rId13"/>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9518" w14:textId="77777777" w:rsidR="00AD65B6" w:rsidRDefault="00AD65B6" w:rsidP="003B7751">
      <w:r>
        <w:separator/>
      </w:r>
    </w:p>
  </w:endnote>
  <w:endnote w:type="continuationSeparator" w:id="0">
    <w:p w14:paraId="1A8B4C63" w14:textId="77777777" w:rsidR="00AD65B6" w:rsidRDefault="00AD65B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796443"/>
      <w:docPartObj>
        <w:docPartGallery w:val="Page Numbers (Bottom of Page)"/>
        <w:docPartUnique/>
      </w:docPartObj>
    </w:sdtPr>
    <w:sdtEndPr/>
    <w:sdtContent>
      <w:sdt>
        <w:sdtPr>
          <w:id w:val="170689975"/>
          <w:docPartObj>
            <w:docPartGallery w:val="Page Numbers (Top of Page)"/>
            <w:docPartUnique/>
          </w:docPartObj>
        </w:sdtPr>
        <w:sdtEndPr/>
        <w:sdtContent>
          <w:p w14:paraId="6B21C96B" w14:textId="77777777" w:rsidR="00031275" w:rsidRPr="002D6DD8" w:rsidRDefault="000312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23DC">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23DC">
              <w:rPr>
                <w:rFonts w:ascii="Palatino Linotype" w:hAnsi="Palatino Linotype"/>
                <w:bCs/>
                <w:noProof/>
                <w:sz w:val="20"/>
              </w:rPr>
              <w:t>56</w:t>
            </w:r>
            <w:r>
              <w:rPr>
                <w:rFonts w:ascii="Palatino Linotype" w:hAnsi="Palatino Linotype"/>
                <w:bCs/>
                <w:noProof/>
                <w:sz w:val="20"/>
              </w:rPr>
              <w:fldChar w:fldCharType="end"/>
            </w:r>
          </w:p>
        </w:sdtContent>
      </w:sdt>
    </w:sdtContent>
  </w:sdt>
  <w:p w14:paraId="0A38F786" w14:textId="77777777" w:rsidR="00031275" w:rsidRDefault="000312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6B6A" w14:textId="77777777" w:rsidR="00031275" w:rsidRPr="000B69FA" w:rsidRDefault="000312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23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623DC">
      <w:rPr>
        <w:rFonts w:ascii="Palatino Linotype" w:hAnsi="Palatino Linotype"/>
        <w:bCs/>
        <w:noProof/>
        <w:sz w:val="20"/>
      </w:rPr>
      <w:t>56</w:t>
    </w:r>
    <w:r>
      <w:rPr>
        <w:rFonts w:ascii="Palatino Linotype" w:hAnsi="Palatino Linotype"/>
        <w:bCs/>
        <w:noProof/>
        <w:sz w:val="20"/>
      </w:rPr>
      <w:fldChar w:fldCharType="end"/>
    </w:r>
  </w:p>
  <w:p w14:paraId="005EA22B" w14:textId="77777777" w:rsidR="00031275" w:rsidRDefault="000312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3CD5C" w14:textId="77777777" w:rsidR="00AD65B6" w:rsidRDefault="00AD65B6" w:rsidP="003B7751">
      <w:r>
        <w:separator/>
      </w:r>
    </w:p>
  </w:footnote>
  <w:footnote w:type="continuationSeparator" w:id="0">
    <w:p w14:paraId="53C5DF9B" w14:textId="77777777" w:rsidR="00AD65B6" w:rsidRDefault="00AD65B6" w:rsidP="003B7751">
      <w:r>
        <w:continuationSeparator/>
      </w:r>
    </w:p>
  </w:footnote>
  <w:footnote w:id="1">
    <w:p w14:paraId="039DA697" w14:textId="77777777" w:rsidR="00031275" w:rsidRDefault="00031275" w:rsidP="00480463">
      <w:pPr>
        <w:pStyle w:val="Textonotapie"/>
      </w:pPr>
      <w:r>
        <w:rPr>
          <w:rStyle w:val="Refdenotaalpie"/>
        </w:rPr>
        <w:footnoteRef/>
      </w:r>
      <w:r>
        <w:t xml:space="preserve"> Disponible para su consulta en </w:t>
      </w:r>
      <w:hyperlink r:id="rId1" w:history="1">
        <w:r w:rsidRPr="00213E1F">
          <w:rPr>
            <w:rStyle w:val="Hipervnculo"/>
          </w:rPr>
          <w:t>https://www.dof.gob.mx/nota_detalle.php?codigo=5436072&amp;fecha=04/05/2016</w:t>
        </w:r>
      </w:hyperlink>
    </w:p>
    <w:p w14:paraId="520C9824" w14:textId="77777777" w:rsidR="00031275" w:rsidRDefault="00031275" w:rsidP="0048046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57A24" w14:textId="77777777" w:rsidR="00031275" w:rsidRDefault="00AD65B6">
    <w:pPr>
      <w:pStyle w:val="Encabezado"/>
    </w:pPr>
    <w:r>
      <w:rPr>
        <w:noProof/>
        <w:lang w:eastAsia="es-MX"/>
      </w:rPr>
      <w:pict w14:anchorId="2AC70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031275" w14:paraId="0EB71E6C" w14:textId="77777777" w:rsidTr="006A04B6">
      <w:trPr>
        <w:trHeight w:val="227"/>
      </w:trPr>
      <w:tc>
        <w:tcPr>
          <w:tcW w:w="2976" w:type="dxa"/>
          <w:vAlign w:val="center"/>
          <w:hideMark/>
        </w:tcPr>
        <w:p w14:paraId="56C333AF" w14:textId="77777777" w:rsidR="00031275" w:rsidRPr="00674A46" w:rsidRDefault="000312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9A29EE9" w14:textId="77777777" w:rsidR="00031275" w:rsidRPr="00B00FB8" w:rsidRDefault="00031275" w:rsidP="003E66D2">
          <w:pPr>
            <w:pStyle w:val="Encabezado"/>
            <w:rPr>
              <w:rFonts w:ascii="Palatino Linotype" w:hAnsi="Palatino Linotype" w:cs="Arial"/>
              <w:b/>
              <w:bCs/>
              <w:sz w:val="22"/>
              <w:szCs w:val="22"/>
              <w:lang w:eastAsia="es-MX"/>
            </w:rPr>
          </w:pPr>
          <w:r w:rsidRPr="00FB0683">
            <w:rPr>
              <w:rFonts w:ascii="Palatino Linotype" w:hAnsi="Palatino Linotype" w:cs="Arial"/>
              <w:b/>
              <w:bCs/>
              <w:sz w:val="22"/>
              <w:szCs w:val="22"/>
              <w:lang w:eastAsia="es-MX"/>
            </w:rPr>
            <w:t>03773/INFOEM/IP/RR/2022</w:t>
          </w:r>
        </w:p>
      </w:tc>
    </w:tr>
    <w:tr w:rsidR="00031275" w14:paraId="7A277F60" w14:textId="77777777" w:rsidTr="006A04B6">
      <w:trPr>
        <w:trHeight w:val="242"/>
      </w:trPr>
      <w:tc>
        <w:tcPr>
          <w:tcW w:w="2976" w:type="dxa"/>
          <w:vAlign w:val="center"/>
          <w:hideMark/>
        </w:tcPr>
        <w:p w14:paraId="2216DD8B" w14:textId="77777777" w:rsidR="00031275" w:rsidRPr="00674A46" w:rsidRDefault="000312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23DDBD6" w14:textId="77777777" w:rsidR="00031275" w:rsidRPr="00081CFC" w:rsidRDefault="00031275" w:rsidP="00FB0683">
          <w:pPr>
            <w:pStyle w:val="Encabezado"/>
            <w:jc w:val="both"/>
            <w:rPr>
              <w:rFonts w:ascii="Palatino Linotype" w:hAnsi="Palatino Linotype"/>
              <w:b/>
              <w:bCs/>
              <w:color w:val="000000"/>
              <w:sz w:val="22"/>
              <w:szCs w:val="22"/>
            </w:rPr>
          </w:pPr>
          <w:r w:rsidRPr="00FB0683">
            <w:rPr>
              <w:rFonts w:ascii="Palatino Linotype" w:hAnsi="Palatino Linotype"/>
              <w:b/>
              <w:bCs/>
              <w:color w:val="000000"/>
              <w:sz w:val="22"/>
              <w:szCs w:val="22"/>
            </w:rPr>
            <w:t>Ayuntamiento de Cuautitlán</w:t>
          </w:r>
        </w:p>
      </w:tc>
    </w:tr>
    <w:tr w:rsidR="00031275" w14:paraId="689FD53A" w14:textId="77777777" w:rsidTr="006A04B6">
      <w:trPr>
        <w:trHeight w:val="342"/>
      </w:trPr>
      <w:tc>
        <w:tcPr>
          <w:tcW w:w="2976" w:type="dxa"/>
          <w:vAlign w:val="center"/>
          <w:hideMark/>
        </w:tcPr>
        <w:p w14:paraId="584E6F86" w14:textId="77777777" w:rsidR="00031275" w:rsidRPr="00674A46" w:rsidRDefault="00031275"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54194603" w14:textId="77777777" w:rsidR="00031275" w:rsidRPr="00485ED8" w:rsidRDefault="000312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56C400BD" w14:textId="77777777" w:rsidR="00031275" w:rsidRPr="00AE046A" w:rsidRDefault="00AD65B6" w:rsidP="003B7751">
    <w:pPr>
      <w:pStyle w:val="Encabezado"/>
      <w:tabs>
        <w:tab w:val="clear" w:pos="4419"/>
        <w:tab w:val="clear" w:pos="8838"/>
        <w:tab w:val="left" w:pos="6005"/>
      </w:tabs>
      <w:rPr>
        <w:sz w:val="14"/>
      </w:rPr>
    </w:pPr>
    <w:r>
      <w:rPr>
        <w:noProof/>
        <w:sz w:val="14"/>
        <w:lang w:eastAsia="es-MX"/>
      </w:rPr>
      <w:pict w14:anchorId="311EA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031275" w14:paraId="3CEDD78C" w14:textId="77777777" w:rsidTr="006A04B6">
      <w:trPr>
        <w:trHeight w:val="227"/>
      </w:trPr>
      <w:tc>
        <w:tcPr>
          <w:tcW w:w="2977" w:type="dxa"/>
          <w:vAlign w:val="center"/>
          <w:hideMark/>
        </w:tcPr>
        <w:p w14:paraId="326CDF72" w14:textId="77777777" w:rsidR="00031275" w:rsidRPr="00674A46" w:rsidRDefault="000312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15C4E0B9" w14:textId="77777777" w:rsidR="00031275" w:rsidRPr="00485ED8" w:rsidRDefault="00031275" w:rsidP="008A699B">
          <w:pPr>
            <w:pStyle w:val="Encabezado"/>
            <w:rPr>
              <w:rFonts w:ascii="Palatino Linotype" w:hAnsi="Palatino Linotype"/>
              <w:b/>
              <w:sz w:val="22"/>
              <w:szCs w:val="22"/>
            </w:rPr>
          </w:pPr>
          <w:r w:rsidRPr="00342081">
            <w:rPr>
              <w:rFonts w:ascii="Palatino Linotype" w:hAnsi="Palatino Linotype"/>
              <w:b/>
              <w:sz w:val="22"/>
              <w:szCs w:val="22"/>
            </w:rPr>
            <w:t>03773/INFOEM/IP/RR/2022</w:t>
          </w:r>
        </w:p>
      </w:tc>
    </w:tr>
    <w:tr w:rsidR="00031275" w14:paraId="1531606C" w14:textId="77777777" w:rsidTr="006A04B6">
      <w:trPr>
        <w:trHeight w:val="242"/>
      </w:trPr>
      <w:tc>
        <w:tcPr>
          <w:tcW w:w="2977" w:type="dxa"/>
          <w:vAlign w:val="center"/>
          <w:hideMark/>
        </w:tcPr>
        <w:p w14:paraId="0B72F47F" w14:textId="77777777" w:rsidR="00031275" w:rsidRPr="00674A46" w:rsidRDefault="000312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41A6F6C" w14:textId="29183E57" w:rsidR="00031275" w:rsidRPr="00B75F20" w:rsidRDefault="00D623DC"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031275" w14:paraId="57060BBB" w14:textId="77777777" w:rsidTr="006A04B6">
      <w:trPr>
        <w:trHeight w:val="342"/>
      </w:trPr>
      <w:tc>
        <w:tcPr>
          <w:tcW w:w="2977" w:type="dxa"/>
          <w:vAlign w:val="center"/>
        </w:tcPr>
        <w:p w14:paraId="224CCF13" w14:textId="77777777" w:rsidR="00031275" w:rsidRPr="00674A46" w:rsidRDefault="000312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7B0DC72" w14:textId="77777777" w:rsidR="00031275" w:rsidRPr="00674A46" w:rsidRDefault="00031275" w:rsidP="00FB0683">
          <w:pPr>
            <w:pStyle w:val="Encabezado"/>
            <w:jc w:val="both"/>
            <w:rPr>
              <w:rFonts w:ascii="Palatino Linotype" w:hAnsi="Palatino Linotype"/>
              <w:b/>
              <w:sz w:val="22"/>
              <w:szCs w:val="22"/>
            </w:rPr>
          </w:pPr>
          <w:r w:rsidRPr="00FB0683">
            <w:rPr>
              <w:rFonts w:ascii="Palatino Linotype" w:hAnsi="Palatino Linotype"/>
              <w:b/>
              <w:sz w:val="22"/>
              <w:szCs w:val="22"/>
            </w:rPr>
            <w:t>Ayuntamiento de Cuautitlán</w:t>
          </w:r>
        </w:p>
      </w:tc>
    </w:tr>
    <w:tr w:rsidR="00031275" w14:paraId="1193D2D8" w14:textId="77777777" w:rsidTr="006A04B6">
      <w:trPr>
        <w:trHeight w:val="342"/>
      </w:trPr>
      <w:tc>
        <w:tcPr>
          <w:tcW w:w="2977" w:type="dxa"/>
          <w:vAlign w:val="center"/>
        </w:tcPr>
        <w:p w14:paraId="1DFCEAC3" w14:textId="77777777" w:rsidR="00031275" w:rsidRPr="00674A46" w:rsidRDefault="000312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AC70EEA" w14:textId="77777777" w:rsidR="00031275" w:rsidRPr="00674A46" w:rsidRDefault="000312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F0C65E8" w14:textId="77777777" w:rsidR="00031275" w:rsidRPr="00C222C0" w:rsidRDefault="00AD65B6">
    <w:pPr>
      <w:pStyle w:val="Encabezado"/>
      <w:rPr>
        <w:sz w:val="16"/>
      </w:rPr>
    </w:pPr>
    <w:r>
      <w:rPr>
        <w:noProof/>
        <w:sz w:val="16"/>
        <w:lang w:eastAsia="es-MX"/>
      </w:rPr>
      <w:pict w14:anchorId="7F878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549A20E0"/>
    <w:lvl w:ilvl="0" w:tplc="A80699EA">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72421FA"/>
    <w:multiLevelType w:val="hybridMultilevel"/>
    <w:tmpl w:val="514C3EA2"/>
    <w:lvl w:ilvl="0" w:tplc="2EACE98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0B583C"/>
    <w:multiLevelType w:val="hybridMultilevel"/>
    <w:tmpl w:val="646E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F032A6"/>
    <w:multiLevelType w:val="hybridMultilevel"/>
    <w:tmpl w:val="F81833B8"/>
    <w:lvl w:ilvl="0" w:tplc="81C02F6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444AE9"/>
    <w:multiLevelType w:val="hybridMultilevel"/>
    <w:tmpl w:val="3A2870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A95F43"/>
    <w:multiLevelType w:val="hybridMultilevel"/>
    <w:tmpl w:val="BB2E4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52D2BF2"/>
    <w:multiLevelType w:val="hybridMultilevel"/>
    <w:tmpl w:val="394C83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A081414"/>
    <w:multiLevelType w:val="multilevel"/>
    <w:tmpl w:val="153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DD51C6"/>
    <w:multiLevelType w:val="hybridMultilevel"/>
    <w:tmpl w:val="D65887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CF4EED"/>
    <w:multiLevelType w:val="multilevel"/>
    <w:tmpl w:val="36EEDA54"/>
    <w:lvl w:ilvl="0">
      <w:start w:val="1"/>
      <w:numFmt w:val="upperRoman"/>
      <w:lvlText w:val="%1."/>
      <w:lvlJc w:val="left"/>
      <w:pPr>
        <w:ind w:left="1287" w:hanging="72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1"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4"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07A6EF6"/>
    <w:multiLevelType w:val="hybridMultilevel"/>
    <w:tmpl w:val="82741BCA"/>
    <w:lvl w:ilvl="0" w:tplc="788E488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num>
  <w:num w:numId="2">
    <w:abstractNumId w:val="43"/>
  </w:num>
  <w:num w:numId="3">
    <w:abstractNumId w:val="13"/>
  </w:num>
  <w:num w:numId="4">
    <w:abstractNumId w:val="9"/>
  </w:num>
  <w:num w:numId="5">
    <w:abstractNumId w:val="17"/>
  </w:num>
  <w:num w:numId="6">
    <w:abstractNumId w:val="31"/>
  </w:num>
  <w:num w:numId="7">
    <w:abstractNumId w:val="34"/>
  </w:num>
  <w:num w:numId="8">
    <w:abstractNumId w:val="12"/>
  </w:num>
  <w:num w:numId="9">
    <w:abstractNumId w:val="6"/>
  </w:num>
  <w:num w:numId="10">
    <w:abstractNumId w:val="38"/>
  </w:num>
  <w:num w:numId="11">
    <w:abstractNumId w:val="15"/>
  </w:num>
  <w:num w:numId="12">
    <w:abstractNumId w:val="22"/>
  </w:num>
  <w:num w:numId="13">
    <w:abstractNumId w:val="3"/>
  </w:num>
  <w:num w:numId="14">
    <w:abstractNumId w:val="5"/>
  </w:num>
  <w:num w:numId="15">
    <w:abstractNumId w:val="7"/>
  </w:num>
  <w:num w:numId="16">
    <w:abstractNumId w:val="29"/>
  </w:num>
  <w:num w:numId="17">
    <w:abstractNumId w:val="40"/>
  </w:num>
  <w:num w:numId="18">
    <w:abstractNumId w:val="25"/>
  </w:num>
  <w:num w:numId="19">
    <w:abstractNumId w:val="42"/>
  </w:num>
  <w:num w:numId="20">
    <w:abstractNumId w:val="33"/>
  </w:num>
  <w:num w:numId="21">
    <w:abstractNumId w:val="10"/>
  </w:num>
  <w:num w:numId="22">
    <w:abstractNumId w:val="24"/>
  </w:num>
  <w:num w:numId="23">
    <w:abstractNumId w:val="32"/>
  </w:num>
  <w:num w:numId="24">
    <w:abstractNumId w:val="41"/>
  </w:num>
  <w:num w:numId="25">
    <w:abstractNumId w:val="0"/>
  </w:num>
  <w:num w:numId="26">
    <w:abstractNumId w:val="19"/>
  </w:num>
  <w:num w:numId="27">
    <w:abstractNumId w:val="27"/>
  </w:num>
  <w:num w:numId="28">
    <w:abstractNumId w:val="36"/>
  </w:num>
  <w:num w:numId="29">
    <w:abstractNumId w:val="21"/>
  </w:num>
  <w:num w:numId="30">
    <w:abstractNumId w:val="1"/>
  </w:num>
  <w:num w:numId="31">
    <w:abstractNumId w:val="30"/>
  </w:num>
  <w:num w:numId="32">
    <w:abstractNumId w:val="11"/>
  </w:num>
  <w:num w:numId="33">
    <w:abstractNumId w:val="23"/>
  </w:num>
  <w:num w:numId="34">
    <w:abstractNumId w:val="26"/>
  </w:num>
  <w:num w:numId="35">
    <w:abstractNumId w:val="16"/>
  </w:num>
  <w:num w:numId="36">
    <w:abstractNumId w:val="18"/>
  </w:num>
  <w:num w:numId="37">
    <w:abstractNumId w:val="39"/>
  </w:num>
  <w:num w:numId="38">
    <w:abstractNumId w:val="4"/>
  </w:num>
  <w:num w:numId="39">
    <w:abstractNumId w:val="2"/>
  </w:num>
  <w:num w:numId="40">
    <w:abstractNumId w:val="8"/>
  </w:num>
  <w:num w:numId="41">
    <w:abstractNumId w:val="37"/>
  </w:num>
  <w:num w:numId="42">
    <w:abstractNumId w:val="28"/>
  </w:num>
  <w:num w:numId="43">
    <w:abstractNumId w:val="14"/>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32CB"/>
    <w:rsid w:val="00015A3B"/>
    <w:rsid w:val="0001674C"/>
    <w:rsid w:val="00020780"/>
    <w:rsid w:val="000303F5"/>
    <w:rsid w:val="00030FBC"/>
    <w:rsid w:val="00031275"/>
    <w:rsid w:val="00033640"/>
    <w:rsid w:val="00033A51"/>
    <w:rsid w:val="000373F6"/>
    <w:rsid w:val="000405CA"/>
    <w:rsid w:val="00050598"/>
    <w:rsid w:val="00050BF2"/>
    <w:rsid w:val="00051287"/>
    <w:rsid w:val="000670DF"/>
    <w:rsid w:val="00081CFC"/>
    <w:rsid w:val="0008243D"/>
    <w:rsid w:val="000842A2"/>
    <w:rsid w:val="00084977"/>
    <w:rsid w:val="00090F3D"/>
    <w:rsid w:val="00094145"/>
    <w:rsid w:val="0009573A"/>
    <w:rsid w:val="000A77E7"/>
    <w:rsid w:val="000B1EE1"/>
    <w:rsid w:val="000B5CEA"/>
    <w:rsid w:val="000E140E"/>
    <w:rsid w:val="000E1A02"/>
    <w:rsid w:val="000E4891"/>
    <w:rsid w:val="000E4DE8"/>
    <w:rsid w:val="000E69D2"/>
    <w:rsid w:val="000F0BBD"/>
    <w:rsid w:val="000F4046"/>
    <w:rsid w:val="000F4F6F"/>
    <w:rsid w:val="00114502"/>
    <w:rsid w:val="00122574"/>
    <w:rsid w:val="00125FEC"/>
    <w:rsid w:val="001352F5"/>
    <w:rsid w:val="00165DF8"/>
    <w:rsid w:val="001732E0"/>
    <w:rsid w:val="00196CE7"/>
    <w:rsid w:val="001A0DDE"/>
    <w:rsid w:val="001A18E7"/>
    <w:rsid w:val="001C1787"/>
    <w:rsid w:val="001C4290"/>
    <w:rsid w:val="001C5CBB"/>
    <w:rsid w:val="001D0A69"/>
    <w:rsid w:val="001D0AB7"/>
    <w:rsid w:val="001D23C1"/>
    <w:rsid w:val="001D373F"/>
    <w:rsid w:val="001D5404"/>
    <w:rsid w:val="001E25E6"/>
    <w:rsid w:val="001E6398"/>
    <w:rsid w:val="001F0471"/>
    <w:rsid w:val="00203C55"/>
    <w:rsid w:val="0021441A"/>
    <w:rsid w:val="00223C06"/>
    <w:rsid w:val="00236FC3"/>
    <w:rsid w:val="00246A14"/>
    <w:rsid w:val="00265C76"/>
    <w:rsid w:val="00270310"/>
    <w:rsid w:val="00272CA2"/>
    <w:rsid w:val="00277BC8"/>
    <w:rsid w:val="00277FAC"/>
    <w:rsid w:val="002901F4"/>
    <w:rsid w:val="00291500"/>
    <w:rsid w:val="002A6FF9"/>
    <w:rsid w:val="002B0B67"/>
    <w:rsid w:val="002C0D3C"/>
    <w:rsid w:val="002C4997"/>
    <w:rsid w:val="002C5AE3"/>
    <w:rsid w:val="002D7153"/>
    <w:rsid w:val="002F0D84"/>
    <w:rsid w:val="0030094A"/>
    <w:rsid w:val="00307E97"/>
    <w:rsid w:val="00310233"/>
    <w:rsid w:val="00312281"/>
    <w:rsid w:val="00316ACD"/>
    <w:rsid w:val="003201ED"/>
    <w:rsid w:val="00323FFD"/>
    <w:rsid w:val="003266FD"/>
    <w:rsid w:val="003416EA"/>
    <w:rsid w:val="00342081"/>
    <w:rsid w:val="003437D9"/>
    <w:rsid w:val="003522EE"/>
    <w:rsid w:val="00353F1D"/>
    <w:rsid w:val="003833B3"/>
    <w:rsid w:val="003A15C8"/>
    <w:rsid w:val="003A69CE"/>
    <w:rsid w:val="003A7A43"/>
    <w:rsid w:val="003B7751"/>
    <w:rsid w:val="003C13F1"/>
    <w:rsid w:val="003C1FDD"/>
    <w:rsid w:val="003D3DCD"/>
    <w:rsid w:val="003E4715"/>
    <w:rsid w:val="003E66D2"/>
    <w:rsid w:val="003F510D"/>
    <w:rsid w:val="00402466"/>
    <w:rsid w:val="0040679F"/>
    <w:rsid w:val="00407B32"/>
    <w:rsid w:val="00407BAA"/>
    <w:rsid w:val="00407FDA"/>
    <w:rsid w:val="004118FA"/>
    <w:rsid w:val="0042423F"/>
    <w:rsid w:val="00425842"/>
    <w:rsid w:val="00437672"/>
    <w:rsid w:val="00440812"/>
    <w:rsid w:val="004500F8"/>
    <w:rsid w:val="004525CB"/>
    <w:rsid w:val="00455041"/>
    <w:rsid w:val="0045592A"/>
    <w:rsid w:val="00456CFF"/>
    <w:rsid w:val="00457E56"/>
    <w:rsid w:val="00463332"/>
    <w:rsid w:val="0046395B"/>
    <w:rsid w:val="00477B49"/>
    <w:rsid w:val="00480463"/>
    <w:rsid w:val="00487BE9"/>
    <w:rsid w:val="004920DF"/>
    <w:rsid w:val="004A6005"/>
    <w:rsid w:val="004A642A"/>
    <w:rsid w:val="004A6EA2"/>
    <w:rsid w:val="004B2C98"/>
    <w:rsid w:val="004B2D0B"/>
    <w:rsid w:val="004C139A"/>
    <w:rsid w:val="004D754A"/>
    <w:rsid w:val="004E3823"/>
    <w:rsid w:val="004E4EE6"/>
    <w:rsid w:val="004E6CE4"/>
    <w:rsid w:val="004F34D1"/>
    <w:rsid w:val="0050113D"/>
    <w:rsid w:val="005027ED"/>
    <w:rsid w:val="00502A6A"/>
    <w:rsid w:val="0052044E"/>
    <w:rsid w:val="00533B0D"/>
    <w:rsid w:val="00540979"/>
    <w:rsid w:val="00542258"/>
    <w:rsid w:val="005432D0"/>
    <w:rsid w:val="00544673"/>
    <w:rsid w:val="00546076"/>
    <w:rsid w:val="005463B7"/>
    <w:rsid w:val="00547ACE"/>
    <w:rsid w:val="005507B0"/>
    <w:rsid w:val="00551E77"/>
    <w:rsid w:val="00554A21"/>
    <w:rsid w:val="00556E0A"/>
    <w:rsid w:val="00563F2E"/>
    <w:rsid w:val="005712DD"/>
    <w:rsid w:val="0057514F"/>
    <w:rsid w:val="00594F05"/>
    <w:rsid w:val="005B076D"/>
    <w:rsid w:val="005B0B31"/>
    <w:rsid w:val="005B69A1"/>
    <w:rsid w:val="005C0DAD"/>
    <w:rsid w:val="005C112D"/>
    <w:rsid w:val="005C5021"/>
    <w:rsid w:val="005D1B6B"/>
    <w:rsid w:val="005D2F1C"/>
    <w:rsid w:val="005D4C57"/>
    <w:rsid w:val="005D5704"/>
    <w:rsid w:val="00614B85"/>
    <w:rsid w:val="00614F38"/>
    <w:rsid w:val="00625AEC"/>
    <w:rsid w:val="00626AC3"/>
    <w:rsid w:val="00637188"/>
    <w:rsid w:val="00647F7C"/>
    <w:rsid w:val="00651F81"/>
    <w:rsid w:val="00652D9B"/>
    <w:rsid w:val="006543E2"/>
    <w:rsid w:val="00657639"/>
    <w:rsid w:val="0067366F"/>
    <w:rsid w:val="00681C08"/>
    <w:rsid w:val="00690A11"/>
    <w:rsid w:val="0069351C"/>
    <w:rsid w:val="006A04B6"/>
    <w:rsid w:val="006A6390"/>
    <w:rsid w:val="006B69DB"/>
    <w:rsid w:val="006C29A8"/>
    <w:rsid w:val="006C3EF6"/>
    <w:rsid w:val="006D15D0"/>
    <w:rsid w:val="006D5CF0"/>
    <w:rsid w:val="006D6CC1"/>
    <w:rsid w:val="006E636C"/>
    <w:rsid w:val="006E7397"/>
    <w:rsid w:val="006E7C94"/>
    <w:rsid w:val="006F3EF7"/>
    <w:rsid w:val="007039C2"/>
    <w:rsid w:val="00705EFD"/>
    <w:rsid w:val="0070751E"/>
    <w:rsid w:val="00711062"/>
    <w:rsid w:val="00711132"/>
    <w:rsid w:val="007147E3"/>
    <w:rsid w:val="00716BCA"/>
    <w:rsid w:val="00720371"/>
    <w:rsid w:val="007346A6"/>
    <w:rsid w:val="0073654B"/>
    <w:rsid w:val="00742823"/>
    <w:rsid w:val="0074760A"/>
    <w:rsid w:val="00751B3D"/>
    <w:rsid w:val="007617FE"/>
    <w:rsid w:val="00762CFF"/>
    <w:rsid w:val="00774727"/>
    <w:rsid w:val="00775EB2"/>
    <w:rsid w:val="00782A12"/>
    <w:rsid w:val="0078404E"/>
    <w:rsid w:val="007851DB"/>
    <w:rsid w:val="0078659D"/>
    <w:rsid w:val="00790310"/>
    <w:rsid w:val="00790765"/>
    <w:rsid w:val="007A6A1A"/>
    <w:rsid w:val="007B762E"/>
    <w:rsid w:val="007B763F"/>
    <w:rsid w:val="007C0A2E"/>
    <w:rsid w:val="007E1D43"/>
    <w:rsid w:val="007E3FBD"/>
    <w:rsid w:val="007E7DCC"/>
    <w:rsid w:val="007F3187"/>
    <w:rsid w:val="00821662"/>
    <w:rsid w:val="00822F8B"/>
    <w:rsid w:val="008250AC"/>
    <w:rsid w:val="00844A2B"/>
    <w:rsid w:val="00851406"/>
    <w:rsid w:val="008526F4"/>
    <w:rsid w:val="00853957"/>
    <w:rsid w:val="008563C8"/>
    <w:rsid w:val="008573BF"/>
    <w:rsid w:val="0086792A"/>
    <w:rsid w:val="00873EB6"/>
    <w:rsid w:val="00875330"/>
    <w:rsid w:val="00881E30"/>
    <w:rsid w:val="00887ED3"/>
    <w:rsid w:val="008A482A"/>
    <w:rsid w:val="008A699B"/>
    <w:rsid w:val="008B0637"/>
    <w:rsid w:val="008B1630"/>
    <w:rsid w:val="008B4FFD"/>
    <w:rsid w:val="008C1ED7"/>
    <w:rsid w:val="008E24E7"/>
    <w:rsid w:val="008E330F"/>
    <w:rsid w:val="008E6050"/>
    <w:rsid w:val="008E6574"/>
    <w:rsid w:val="008E7A2D"/>
    <w:rsid w:val="008F3919"/>
    <w:rsid w:val="008F6D18"/>
    <w:rsid w:val="0091113D"/>
    <w:rsid w:val="00911A75"/>
    <w:rsid w:val="009126F1"/>
    <w:rsid w:val="009335F9"/>
    <w:rsid w:val="0094092A"/>
    <w:rsid w:val="0094185E"/>
    <w:rsid w:val="00942E93"/>
    <w:rsid w:val="009441BB"/>
    <w:rsid w:val="00945135"/>
    <w:rsid w:val="00963A8C"/>
    <w:rsid w:val="0096600C"/>
    <w:rsid w:val="00967E5E"/>
    <w:rsid w:val="009772CD"/>
    <w:rsid w:val="00984E7E"/>
    <w:rsid w:val="009938B5"/>
    <w:rsid w:val="00995661"/>
    <w:rsid w:val="00996E33"/>
    <w:rsid w:val="009A2251"/>
    <w:rsid w:val="009B0107"/>
    <w:rsid w:val="009B5CFD"/>
    <w:rsid w:val="009D5A32"/>
    <w:rsid w:val="009E023F"/>
    <w:rsid w:val="009E1BF2"/>
    <w:rsid w:val="009E757F"/>
    <w:rsid w:val="009F09BC"/>
    <w:rsid w:val="009F48B5"/>
    <w:rsid w:val="00A112A7"/>
    <w:rsid w:val="00A1447C"/>
    <w:rsid w:val="00A23E82"/>
    <w:rsid w:val="00A3613C"/>
    <w:rsid w:val="00A4300B"/>
    <w:rsid w:val="00A473F0"/>
    <w:rsid w:val="00A626EB"/>
    <w:rsid w:val="00A63DE3"/>
    <w:rsid w:val="00A7784E"/>
    <w:rsid w:val="00A80B32"/>
    <w:rsid w:val="00A8206E"/>
    <w:rsid w:val="00A87D5E"/>
    <w:rsid w:val="00A92D3A"/>
    <w:rsid w:val="00AA0F80"/>
    <w:rsid w:val="00AA1E3F"/>
    <w:rsid w:val="00AA5F6D"/>
    <w:rsid w:val="00AB4EE9"/>
    <w:rsid w:val="00AC207E"/>
    <w:rsid w:val="00AC4EB7"/>
    <w:rsid w:val="00AC6537"/>
    <w:rsid w:val="00AD1CD6"/>
    <w:rsid w:val="00AD316E"/>
    <w:rsid w:val="00AD4563"/>
    <w:rsid w:val="00AD57A8"/>
    <w:rsid w:val="00AD63B4"/>
    <w:rsid w:val="00AD65B6"/>
    <w:rsid w:val="00AD68CD"/>
    <w:rsid w:val="00AE1ED3"/>
    <w:rsid w:val="00AE3514"/>
    <w:rsid w:val="00AF4BBC"/>
    <w:rsid w:val="00AF4EB9"/>
    <w:rsid w:val="00B00FB8"/>
    <w:rsid w:val="00B0443F"/>
    <w:rsid w:val="00B05C22"/>
    <w:rsid w:val="00B07BF8"/>
    <w:rsid w:val="00B1448F"/>
    <w:rsid w:val="00B170E1"/>
    <w:rsid w:val="00B242FA"/>
    <w:rsid w:val="00B25B49"/>
    <w:rsid w:val="00B33D8E"/>
    <w:rsid w:val="00B33F8E"/>
    <w:rsid w:val="00B41F2B"/>
    <w:rsid w:val="00B45267"/>
    <w:rsid w:val="00B47955"/>
    <w:rsid w:val="00B53695"/>
    <w:rsid w:val="00B54047"/>
    <w:rsid w:val="00B70F31"/>
    <w:rsid w:val="00B966DB"/>
    <w:rsid w:val="00BA2B14"/>
    <w:rsid w:val="00BA3473"/>
    <w:rsid w:val="00BB1976"/>
    <w:rsid w:val="00BB1DE8"/>
    <w:rsid w:val="00BB5E25"/>
    <w:rsid w:val="00BC3EE3"/>
    <w:rsid w:val="00BD130E"/>
    <w:rsid w:val="00BD29FB"/>
    <w:rsid w:val="00BD5F0C"/>
    <w:rsid w:val="00BE6307"/>
    <w:rsid w:val="00BF39E7"/>
    <w:rsid w:val="00BF3FB5"/>
    <w:rsid w:val="00C0715F"/>
    <w:rsid w:val="00C105CC"/>
    <w:rsid w:val="00C14F2A"/>
    <w:rsid w:val="00C17EB8"/>
    <w:rsid w:val="00C21FAE"/>
    <w:rsid w:val="00C22D79"/>
    <w:rsid w:val="00C24F99"/>
    <w:rsid w:val="00C35C43"/>
    <w:rsid w:val="00C41368"/>
    <w:rsid w:val="00C41774"/>
    <w:rsid w:val="00C41B2B"/>
    <w:rsid w:val="00C54D99"/>
    <w:rsid w:val="00C62E91"/>
    <w:rsid w:val="00C634AF"/>
    <w:rsid w:val="00C669E6"/>
    <w:rsid w:val="00C85E64"/>
    <w:rsid w:val="00C869B8"/>
    <w:rsid w:val="00C87396"/>
    <w:rsid w:val="00C90814"/>
    <w:rsid w:val="00C917AE"/>
    <w:rsid w:val="00C91F0F"/>
    <w:rsid w:val="00C96CAF"/>
    <w:rsid w:val="00CA1063"/>
    <w:rsid w:val="00CA3A63"/>
    <w:rsid w:val="00CA7B38"/>
    <w:rsid w:val="00CB5DEB"/>
    <w:rsid w:val="00CC426E"/>
    <w:rsid w:val="00CC5B2F"/>
    <w:rsid w:val="00CD1743"/>
    <w:rsid w:val="00CE253C"/>
    <w:rsid w:val="00CF0C27"/>
    <w:rsid w:val="00CF0D2B"/>
    <w:rsid w:val="00CF1B6E"/>
    <w:rsid w:val="00CF64FC"/>
    <w:rsid w:val="00D021A5"/>
    <w:rsid w:val="00D0359A"/>
    <w:rsid w:val="00D14447"/>
    <w:rsid w:val="00D16FC7"/>
    <w:rsid w:val="00D311E5"/>
    <w:rsid w:val="00D313A5"/>
    <w:rsid w:val="00D3215B"/>
    <w:rsid w:val="00D47231"/>
    <w:rsid w:val="00D560BC"/>
    <w:rsid w:val="00D6224B"/>
    <w:rsid w:val="00D623DC"/>
    <w:rsid w:val="00D67BD2"/>
    <w:rsid w:val="00D7443C"/>
    <w:rsid w:val="00D760DC"/>
    <w:rsid w:val="00D81329"/>
    <w:rsid w:val="00D92476"/>
    <w:rsid w:val="00DA6D37"/>
    <w:rsid w:val="00DB753F"/>
    <w:rsid w:val="00DC7423"/>
    <w:rsid w:val="00DD095E"/>
    <w:rsid w:val="00DD4238"/>
    <w:rsid w:val="00DD4726"/>
    <w:rsid w:val="00DF15C7"/>
    <w:rsid w:val="00E01CD2"/>
    <w:rsid w:val="00E0631C"/>
    <w:rsid w:val="00E101E2"/>
    <w:rsid w:val="00E118BA"/>
    <w:rsid w:val="00E16B71"/>
    <w:rsid w:val="00E17429"/>
    <w:rsid w:val="00E27FDD"/>
    <w:rsid w:val="00E37F0A"/>
    <w:rsid w:val="00E43FC8"/>
    <w:rsid w:val="00E50E72"/>
    <w:rsid w:val="00E532FE"/>
    <w:rsid w:val="00E56172"/>
    <w:rsid w:val="00E5636B"/>
    <w:rsid w:val="00E566C9"/>
    <w:rsid w:val="00E61DA9"/>
    <w:rsid w:val="00E61E1E"/>
    <w:rsid w:val="00E74F31"/>
    <w:rsid w:val="00E75656"/>
    <w:rsid w:val="00E7617F"/>
    <w:rsid w:val="00E819F3"/>
    <w:rsid w:val="00E81C22"/>
    <w:rsid w:val="00E8772F"/>
    <w:rsid w:val="00E9138A"/>
    <w:rsid w:val="00E92E04"/>
    <w:rsid w:val="00E93F5F"/>
    <w:rsid w:val="00EA0CE3"/>
    <w:rsid w:val="00EA7837"/>
    <w:rsid w:val="00EA7AE1"/>
    <w:rsid w:val="00EB1C22"/>
    <w:rsid w:val="00ED1D6B"/>
    <w:rsid w:val="00ED3A35"/>
    <w:rsid w:val="00ED4579"/>
    <w:rsid w:val="00ED6E75"/>
    <w:rsid w:val="00EE56BA"/>
    <w:rsid w:val="00EE7063"/>
    <w:rsid w:val="00EF4A1A"/>
    <w:rsid w:val="00F07888"/>
    <w:rsid w:val="00F21597"/>
    <w:rsid w:val="00F24A04"/>
    <w:rsid w:val="00F333F7"/>
    <w:rsid w:val="00F35B0C"/>
    <w:rsid w:val="00F41E2F"/>
    <w:rsid w:val="00F42ADB"/>
    <w:rsid w:val="00F51D93"/>
    <w:rsid w:val="00F64221"/>
    <w:rsid w:val="00F72092"/>
    <w:rsid w:val="00F7371C"/>
    <w:rsid w:val="00F765A3"/>
    <w:rsid w:val="00F816B0"/>
    <w:rsid w:val="00F87704"/>
    <w:rsid w:val="00F9028F"/>
    <w:rsid w:val="00F946B5"/>
    <w:rsid w:val="00FA15BA"/>
    <w:rsid w:val="00FA3768"/>
    <w:rsid w:val="00FA4E1E"/>
    <w:rsid w:val="00FA5CDD"/>
    <w:rsid w:val="00FB0683"/>
    <w:rsid w:val="00FB694F"/>
    <w:rsid w:val="00FC0A83"/>
    <w:rsid w:val="00FC21D0"/>
    <w:rsid w:val="00FD2FA4"/>
    <w:rsid w:val="00FD6DEE"/>
    <w:rsid w:val="00FE3FBE"/>
    <w:rsid w:val="00FE6761"/>
    <w:rsid w:val="00FF38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E1BA6"/>
  <w15:chartTrackingRefBased/>
  <w15:docId w15:val="{166EB8FE-5108-4FA4-81E2-86E52A3F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1768">
      <w:bodyDiv w:val="1"/>
      <w:marLeft w:val="0"/>
      <w:marRight w:val="0"/>
      <w:marTop w:val="0"/>
      <w:marBottom w:val="0"/>
      <w:divBdr>
        <w:top w:val="none" w:sz="0" w:space="0" w:color="auto"/>
        <w:left w:val="none" w:sz="0" w:space="0" w:color="auto"/>
        <w:bottom w:val="none" w:sz="0" w:space="0" w:color="auto"/>
        <w:right w:val="none" w:sz="0" w:space="0" w:color="auto"/>
      </w:divBdr>
    </w:div>
    <w:div w:id="330841226">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33135179">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1577325664">
      <w:bodyDiv w:val="1"/>
      <w:marLeft w:val="0"/>
      <w:marRight w:val="0"/>
      <w:marTop w:val="0"/>
      <w:marBottom w:val="0"/>
      <w:divBdr>
        <w:top w:val="none" w:sz="0" w:space="0" w:color="auto"/>
        <w:left w:val="none" w:sz="0" w:space="0" w:color="auto"/>
        <w:bottom w:val="none" w:sz="0" w:space="0" w:color="auto"/>
        <w:right w:val="none" w:sz="0" w:space="0" w:color="auto"/>
      </w:divBdr>
    </w:div>
    <w:div w:id="1937712630">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8F1F-F001-4CC0-A3D2-6349ABD0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11857</Words>
  <Characters>65215</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3</cp:revision>
  <dcterms:created xsi:type="dcterms:W3CDTF">2023-11-14T19:12:00Z</dcterms:created>
  <dcterms:modified xsi:type="dcterms:W3CDTF">2023-11-17T18:55:00Z</dcterms:modified>
</cp:coreProperties>
</file>