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F2B2" w14:textId="77777777" w:rsidR="009F09BC" w:rsidRPr="000835A9" w:rsidRDefault="009F09BC" w:rsidP="00247898">
      <w:pPr>
        <w:tabs>
          <w:tab w:val="left" w:pos="3465"/>
        </w:tabs>
        <w:spacing w:line="360" w:lineRule="auto"/>
        <w:jc w:val="both"/>
        <w:rPr>
          <w:rFonts w:ascii="Palatino Linotype" w:hAnsi="Palatino Linotype"/>
          <w:color w:val="000000" w:themeColor="text1"/>
        </w:rPr>
      </w:pPr>
      <w:r w:rsidRPr="000835A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0835A9" w:rsidRPr="000835A9">
        <w:rPr>
          <w:rFonts w:ascii="Palatino Linotype" w:hAnsi="Palatino Linotype"/>
          <w:color w:val="000000" w:themeColor="text1"/>
        </w:rPr>
        <w:t>ocho</w:t>
      </w:r>
      <w:r w:rsidRPr="000835A9">
        <w:rPr>
          <w:rFonts w:ascii="Palatino Linotype" w:hAnsi="Palatino Linotype"/>
          <w:color w:val="000000" w:themeColor="text1"/>
        </w:rPr>
        <w:t xml:space="preserve"> </w:t>
      </w:r>
      <w:r w:rsidR="003406EF">
        <w:rPr>
          <w:rFonts w:ascii="Palatino Linotype" w:hAnsi="Palatino Linotype"/>
          <w:color w:val="000000" w:themeColor="text1"/>
        </w:rPr>
        <w:t xml:space="preserve">(08) </w:t>
      </w:r>
      <w:r w:rsidRPr="000835A9">
        <w:rPr>
          <w:rFonts w:ascii="Palatino Linotype" w:hAnsi="Palatino Linotype"/>
          <w:color w:val="000000" w:themeColor="text1"/>
        </w:rPr>
        <w:t xml:space="preserve">de </w:t>
      </w:r>
      <w:r w:rsidR="00077AAD" w:rsidRPr="000835A9">
        <w:rPr>
          <w:rFonts w:ascii="Palatino Linotype" w:hAnsi="Palatino Linotype"/>
          <w:color w:val="000000" w:themeColor="text1"/>
        </w:rPr>
        <w:t>noviembre</w:t>
      </w:r>
      <w:r w:rsidR="00E61C13" w:rsidRPr="000835A9">
        <w:rPr>
          <w:rFonts w:ascii="Palatino Linotype" w:hAnsi="Palatino Linotype"/>
          <w:color w:val="000000" w:themeColor="text1"/>
        </w:rPr>
        <w:t xml:space="preserve"> de dos mil </w:t>
      </w:r>
      <w:r w:rsidR="004D465B" w:rsidRPr="000835A9">
        <w:rPr>
          <w:rFonts w:ascii="Palatino Linotype" w:hAnsi="Palatino Linotype"/>
          <w:color w:val="000000" w:themeColor="text1"/>
        </w:rPr>
        <w:t>veintitrés</w:t>
      </w:r>
      <w:r w:rsidRPr="000835A9">
        <w:rPr>
          <w:rFonts w:ascii="Palatino Linotype" w:hAnsi="Palatino Linotype"/>
          <w:color w:val="000000" w:themeColor="text1"/>
        </w:rPr>
        <w:t>.</w:t>
      </w:r>
    </w:p>
    <w:p w14:paraId="18B4F2B3" w14:textId="77777777" w:rsidR="00247898" w:rsidRPr="000835A9" w:rsidRDefault="00247898" w:rsidP="00247898">
      <w:pPr>
        <w:tabs>
          <w:tab w:val="left" w:pos="3465"/>
        </w:tabs>
        <w:spacing w:line="360" w:lineRule="auto"/>
        <w:jc w:val="both"/>
        <w:rPr>
          <w:rFonts w:ascii="Palatino Linotype" w:hAnsi="Palatino Linotype"/>
          <w:color w:val="000000" w:themeColor="text1"/>
        </w:rPr>
      </w:pPr>
    </w:p>
    <w:p w14:paraId="18B4F2B4" w14:textId="77777777" w:rsidR="009F09BC" w:rsidRPr="000835A9" w:rsidRDefault="009F09BC" w:rsidP="00247898">
      <w:pPr>
        <w:spacing w:line="360" w:lineRule="auto"/>
        <w:jc w:val="both"/>
        <w:rPr>
          <w:rFonts w:ascii="Palatino Linotype" w:hAnsi="Palatino Linotype"/>
          <w:color w:val="000000" w:themeColor="text1"/>
        </w:rPr>
      </w:pPr>
      <w:r w:rsidRPr="000835A9">
        <w:rPr>
          <w:rFonts w:ascii="Palatino Linotype" w:hAnsi="Palatino Linotype"/>
          <w:b/>
          <w:color w:val="000000" w:themeColor="text1"/>
        </w:rPr>
        <w:t>VISTO</w:t>
      </w:r>
      <w:r w:rsidRPr="000835A9">
        <w:rPr>
          <w:rFonts w:ascii="Palatino Linotype" w:hAnsi="Palatino Linotype"/>
          <w:color w:val="000000" w:themeColor="text1"/>
        </w:rPr>
        <w:t xml:space="preserve"> </w:t>
      </w:r>
      <w:r w:rsidR="008A699B" w:rsidRPr="000835A9">
        <w:rPr>
          <w:rFonts w:ascii="Palatino Linotype" w:hAnsi="Palatino Linotype"/>
          <w:color w:val="000000" w:themeColor="text1"/>
        </w:rPr>
        <w:t>e</w:t>
      </w:r>
      <w:r w:rsidRPr="000835A9">
        <w:rPr>
          <w:rFonts w:ascii="Palatino Linotype" w:hAnsi="Palatino Linotype"/>
          <w:color w:val="000000" w:themeColor="text1"/>
        </w:rPr>
        <w:t xml:space="preserve">l expediente electrónico formado con motivo del recurso de revisión </w:t>
      </w:r>
      <w:r w:rsidR="00077AAD" w:rsidRPr="000835A9">
        <w:rPr>
          <w:rFonts w:ascii="Palatino Linotype" w:hAnsi="Palatino Linotype"/>
          <w:b/>
          <w:color w:val="000000" w:themeColor="text1"/>
        </w:rPr>
        <w:t>06003/INFOEM/IP/RR/2023</w:t>
      </w:r>
      <w:r w:rsidRPr="000835A9">
        <w:rPr>
          <w:rFonts w:ascii="Palatino Linotype" w:hAnsi="Palatino Linotype"/>
          <w:color w:val="000000" w:themeColor="text1"/>
        </w:rPr>
        <w:t>,</w:t>
      </w:r>
      <w:r w:rsidRPr="000835A9">
        <w:rPr>
          <w:rFonts w:ascii="Palatino Linotype" w:hAnsi="Palatino Linotype" w:cs="Arial"/>
          <w:b/>
          <w:bCs/>
          <w:color w:val="000000" w:themeColor="text1"/>
        </w:rPr>
        <w:t xml:space="preserve"> </w:t>
      </w:r>
      <w:r w:rsidRPr="000835A9">
        <w:rPr>
          <w:rFonts w:ascii="Palatino Linotype" w:hAnsi="Palatino Linotype"/>
          <w:color w:val="000000" w:themeColor="text1"/>
        </w:rPr>
        <w:t xml:space="preserve">promovido por </w:t>
      </w:r>
      <w:r w:rsidR="006C6E54" w:rsidRPr="000835A9">
        <w:rPr>
          <w:rFonts w:ascii="Palatino Linotype" w:hAnsi="Palatino Linotype"/>
          <w:b/>
          <w:color w:val="000000" w:themeColor="text1"/>
        </w:rPr>
        <w:t>una persona que no proporcionó datos de identificación</w:t>
      </w:r>
      <w:r w:rsidRPr="000835A9">
        <w:rPr>
          <w:rFonts w:ascii="Palatino Linotype" w:hAnsi="Palatino Linotype"/>
          <w:color w:val="000000" w:themeColor="text1"/>
        </w:rPr>
        <w:t xml:space="preserve">, a quien en lo sucesivo se le identificará como </w:t>
      </w:r>
      <w:r w:rsidR="00C860B1" w:rsidRPr="000835A9">
        <w:rPr>
          <w:rFonts w:ascii="Palatino Linotype" w:hAnsi="Palatino Linotype"/>
          <w:b/>
          <w:color w:val="000000" w:themeColor="text1"/>
        </w:rPr>
        <w:t>EL RECURRENTE</w:t>
      </w:r>
      <w:r w:rsidRPr="000835A9">
        <w:rPr>
          <w:rFonts w:ascii="Palatino Linotype" w:hAnsi="Palatino Linotype" w:cs="Arial"/>
          <w:color w:val="000000" w:themeColor="text1"/>
        </w:rPr>
        <w:t xml:space="preserve">, en contra de la respuesta del </w:t>
      </w:r>
      <w:r w:rsidR="006C6E54" w:rsidRPr="000835A9">
        <w:rPr>
          <w:rFonts w:ascii="Palatino Linotype" w:hAnsi="Palatino Linotype" w:cs="Arial"/>
          <w:b/>
          <w:color w:val="000000" w:themeColor="text1"/>
        </w:rPr>
        <w:t>Ayuntamiento de Zinacantepec</w:t>
      </w:r>
      <w:r w:rsidRPr="000835A9">
        <w:rPr>
          <w:rFonts w:ascii="Palatino Linotype" w:hAnsi="Palatino Linotype" w:cs="Arial"/>
          <w:b/>
          <w:color w:val="000000" w:themeColor="text1"/>
        </w:rPr>
        <w:t>,</w:t>
      </w:r>
      <w:r w:rsidRPr="000835A9">
        <w:rPr>
          <w:rFonts w:ascii="Palatino Linotype" w:hAnsi="Palatino Linotype"/>
          <w:b/>
          <w:color w:val="000000" w:themeColor="text1"/>
        </w:rPr>
        <w:t xml:space="preserve"> </w:t>
      </w:r>
      <w:r w:rsidRPr="000835A9">
        <w:rPr>
          <w:rFonts w:ascii="Palatino Linotype" w:hAnsi="Palatino Linotype"/>
          <w:color w:val="000000" w:themeColor="text1"/>
        </w:rPr>
        <w:t>en lo sucesivo el</w:t>
      </w:r>
      <w:r w:rsidRPr="000835A9">
        <w:rPr>
          <w:rFonts w:ascii="Palatino Linotype" w:hAnsi="Palatino Linotype"/>
          <w:b/>
          <w:color w:val="000000" w:themeColor="text1"/>
        </w:rPr>
        <w:t xml:space="preserve"> SUJETO OBLIGADO</w:t>
      </w:r>
      <w:r w:rsidRPr="000835A9">
        <w:rPr>
          <w:rFonts w:ascii="Palatino Linotype" w:hAnsi="Palatino Linotype"/>
          <w:color w:val="000000" w:themeColor="text1"/>
        </w:rPr>
        <w:t>, se procede a dictar la presente resolución, con base en los siguientes:</w:t>
      </w:r>
    </w:p>
    <w:p w14:paraId="18B4F2B5" w14:textId="77777777" w:rsidR="009F09BC" w:rsidRPr="000835A9" w:rsidRDefault="009F09BC" w:rsidP="00247898">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0835A9">
        <w:rPr>
          <w:rFonts w:ascii="Palatino Linotype" w:hAnsi="Palatino Linotype"/>
          <w:b/>
          <w:color w:val="000000" w:themeColor="text1"/>
          <w:sz w:val="24"/>
          <w:szCs w:val="24"/>
        </w:rPr>
        <w:t>ANTECEDENTES</w:t>
      </w:r>
      <w:bookmarkEnd w:id="0"/>
      <w:bookmarkEnd w:id="1"/>
      <w:bookmarkEnd w:id="2"/>
    </w:p>
    <w:p w14:paraId="18B4F2B6" w14:textId="77777777" w:rsidR="00247898" w:rsidRPr="000835A9" w:rsidRDefault="00247898" w:rsidP="00247898">
      <w:pPr>
        <w:rPr>
          <w:rFonts w:ascii="Palatino Linotype" w:hAnsi="Palatino Linotype"/>
        </w:rPr>
      </w:pPr>
    </w:p>
    <w:p w14:paraId="18B4F2B7" w14:textId="77777777" w:rsidR="009F09BC" w:rsidRPr="000835A9" w:rsidRDefault="009F09BC" w:rsidP="00247898">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0835A9">
        <w:rPr>
          <w:rFonts w:ascii="Palatino Linotype" w:eastAsia="Calibri" w:hAnsi="Palatino Linotype" w:cs="Arial"/>
          <w:color w:val="000000" w:themeColor="text1"/>
          <w:lang w:val="es-ES"/>
        </w:rPr>
        <w:t xml:space="preserve">El día </w:t>
      </w:r>
      <w:r w:rsidR="00077AAD" w:rsidRPr="000835A9">
        <w:rPr>
          <w:rFonts w:ascii="Palatino Linotype" w:eastAsia="Calibri" w:hAnsi="Palatino Linotype" w:cs="Arial"/>
          <w:color w:val="000000" w:themeColor="text1"/>
          <w:lang w:val="es-ES"/>
        </w:rPr>
        <w:t>dieciséis de agosto</w:t>
      </w:r>
      <w:r w:rsidR="00E61C13" w:rsidRPr="000835A9">
        <w:rPr>
          <w:rFonts w:ascii="Palatino Linotype" w:eastAsia="Calibri" w:hAnsi="Palatino Linotype" w:cs="Arial"/>
          <w:color w:val="000000" w:themeColor="text1"/>
          <w:lang w:val="es-ES"/>
        </w:rPr>
        <w:t xml:space="preserve"> de dos mil </w:t>
      </w:r>
      <w:r w:rsidR="004D465B" w:rsidRPr="000835A9">
        <w:rPr>
          <w:rFonts w:ascii="Palatino Linotype" w:eastAsia="Calibri" w:hAnsi="Palatino Linotype" w:cs="Arial"/>
          <w:color w:val="000000" w:themeColor="text1"/>
          <w:lang w:val="es-ES"/>
        </w:rPr>
        <w:t>veintitrés</w:t>
      </w:r>
      <w:r w:rsidRPr="000835A9">
        <w:rPr>
          <w:rFonts w:ascii="Palatino Linotype" w:hAnsi="Palatino Linotype"/>
          <w:b/>
          <w:color w:val="000000" w:themeColor="text1"/>
        </w:rPr>
        <w:t xml:space="preserve">, </w:t>
      </w:r>
      <w:r w:rsidRPr="000835A9">
        <w:rPr>
          <w:rFonts w:ascii="Palatino Linotype" w:eastAsia="Calibri" w:hAnsi="Palatino Linotype" w:cs="Arial"/>
          <w:color w:val="000000" w:themeColor="text1"/>
          <w:lang w:val="es-ES"/>
        </w:rPr>
        <w:t xml:space="preserve">se presentó ante el </w:t>
      </w:r>
      <w:r w:rsidRPr="000835A9">
        <w:rPr>
          <w:rFonts w:ascii="Palatino Linotype" w:eastAsia="Calibri" w:hAnsi="Palatino Linotype" w:cs="Arial"/>
          <w:b/>
          <w:color w:val="000000" w:themeColor="text1"/>
          <w:lang w:val="es-ES"/>
        </w:rPr>
        <w:t>SUJETO OBLIGADO</w:t>
      </w:r>
      <w:r w:rsidRPr="000835A9">
        <w:rPr>
          <w:rFonts w:ascii="Palatino Linotype" w:eastAsia="Calibri" w:hAnsi="Palatino Linotype" w:cs="Arial"/>
          <w:color w:val="000000" w:themeColor="text1"/>
        </w:rPr>
        <w:t xml:space="preserve"> vía </w:t>
      </w:r>
      <w:r w:rsidR="008A699B" w:rsidRPr="000835A9">
        <w:rPr>
          <w:rFonts w:ascii="Palatino Linotype" w:eastAsia="Calibri" w:hAnsi="Palatino Linotype" w:cs="Arial"/>
          <w:color w:val="000000" w:themeColor="text1"/>
          <w:lang w:val="es-ES"/>
        </w:rPr>
        <w:t>SAIMEX, la solicitud</w:t>
      </w:r>
      <w:r w:rsidRPr="000835A9">
        <w:rPr>
          <w:rFonts w:ascii="Palatino Linotype" w:eastAsia="Calibri" w:hAnsi="Palatino Linotype" w:cs="Arial"/>
          <w:color w:val="000000" w:themeColor="text1"/>
          <w:lang w:val="es-ES"/>
        </w:rPr>
        <w:t xml:space="preserve"> de información pública</w:t>
      </w:r>
      <w:r w:rsidR="008A699B" w:rsidRPr="000835A9">
        <w:rPr>
          <w:rFonts w:ascii="Palatino Linotype" w:eastAsia="Calibri" w:hAnsi="Palatino Linotype" w:cs="Arial"/>
          <w:color w:val="000000" w:themeColor="text1"/>
          <w:lang w:val="es-ES"/>
        </w:rPr>
        <w:t xml:space="preserve"> registrada</w:t>
      </w:r>
      <w:r w:rsidRPr="000835A9">
        <w:rPr>
          <w:rFonts w:ascii="Palatino Linotype" w:eastAsia="Calibri" w:hAnsi="Palatino Linotype" w:cs="Arial"/>
          <w:color w:val="000000" w:themeColor="text1"/>
          <w:lang w:val="es-ES"/>
        </w:rPr>
        <w:t xml:space="preserve"> con </w:t>
      </w:r>
      <w:r w:rsidR="008A699B" w:rsidRPr="000835A9">
        <w:rPr>
          <w:rFonts w:ascii="Palatino Linotype" w:eastAsia="Calibri" w:hAnsi="Palatino Linotype" w:cs="Arial"/>
          <w:color w:val="000000" w:themeColor="text1"/>
          <w:lang w:val="es-ES"/>
        </w:rPr>
        <w:t xml:space="preserve">el </w:t>
      </w:r>
      <w:r w:rsidRPr="000835A9">
        <w:rPr>
          <w:rFonts w:ascii="Palatino Linotype" w:eastAsia="Calibri" w:hAnsi="Palatino Linotype" w:cs="Arial"/>
          <w:color w:val="000000" w:themeColor="text1"/>
          <w:lang w:val="es-ES"/>
        </w:rPr>
        <w:t>número</w:t>
      </w:r>
      <w:r w:rsidRPr="000835A9">
        <w:rPr>
          <w:rFonts w:ascii="Palatino Linotype" w:hAnsi="Palatino Linotype"/>
          <w:b/>
          <w:bCs/>
          <w:color w:val="000000" w:themeColor="text1"/>
        </w:rPr>
        <w:t xml:space="preserve"> </w:t>
      </w:r>
      <w:r w:rsidR="00077AAD" w:rsidRPr="000835A9">
        <w:rPr>
          <w:rFonts w:ascii="Palatino Linotype" w:hAnsi="Palatino Linotype"/>
          <w:b/>
          <w:bCs/>
          <w:color w:val="000000" w:themeColor="text1"/>
        </w:rPr>
        <w:t>01265/ZINACANT/IP/2023</w:t>
      </w:r>
      <w:r w:rsidRPr="000835A9">
        <w:rPr>
          <w:rFonts w:ascii="Palatino Linotype" w:hAnsi="Palatino Linotype"/>
          <w:b/>
          <w:bCs/>
          <w:color w:val="000000" w:themeColor="text1"/>
        </w:rPr>
        <w:t xml:space="preserve">; </w:t>
      </w:r>
      <w:r w:rsidR="00B92945">
        <w:rPr>
          <w:rFonts w:ascii="Palatino Linotype" w:eastAsia="Calibri" w:hAnsi="Palatino Linotype" w:cs="Arial"/>
          <w:color w:val="000000" w:themeColor="text1"/>
          <w:lang w:val="es-ES"/>
        </w:rPr>
        <w:t>en la que</w:t>
      </w:r>
      <w:r w:rsidRPr="000835A9">
        <w:rPr>
          <w:rFonts w:ascii="Palatino Linotype" w:eastAsia="Calibri" w:hAnsi="Palatino Linotype" w:cs="Arial"/>
          <w:color w:val="000000" w:themeColor="text1"/>
          <w:lang w:val="es-ES"/>
        </w:rPr>
        <w:t xml:space="preserve"> solicitó la siguiente información:</w:t>
      </w:r>
    </w:p>
    <w:p w14:paraId="18B4F2B8" w14:textId="77777777" w:rsidR="008A699B" w:rsidRPr="000835A9" w:rsidRDefault="008A699B" w:rsidP="00247898">
      <w:pPr>
        <w:pStyle w:val="Prrafodelista"/>
        <w:spacing w:line="360" w:lineRule="auto"/>
        <w:ind w:left="0"/>
        <w:jc w:val="both"/>
        <w:rPr>
          <w:rFonts w:ascii="Palatino Linotype" w:eastAsia="Calibri" w:hAnsi="Palatino Linotype" w:cs="Arial"/>
          <w:color w:val="000000" w:themeColor="text1"/>
          <w:lang w:val="es-ES"/>
        </w:rPr>
      </w:pPr>
    </w:p>
    <w:p w14:paraId="18B4F2B9" w14:textId="77777777" w:rsidR="009F09BC" w:rsidRPr="000835A9" w:rsidRDefault="00EB1CE2" w:rsidP="00247898">
      <w:pPr>
        <w:pStyle w:val="Prrafodelista"/>
        <w:spacing w:line="360" w:lineRule="auto"/>
        <w:ind w:left="425" w:right="476"/>
        <w:jc w:val="both"/>
        <w:rPr>
          <w:rFonts w:ascii="Palatino Linotype" w:hAnsi="Palatino Linotype"/>
          <w:i/>
          <w:color w:val="000000" w:themeColor="text1"/>
        </w:rPr>
      </w:pPr>
      <w:r w:rsidRPr="000835A9">
        <w:rPr>
          <w:rFonts w:ascii="Palatino Linotype" w:hAnsi="Palatino Linotype"/>
          <w:i/>
          <w:color w:val="000000" w:themeColor="text1"/>
        </w:rPr>
        <w:t>“</w:t>
      </w:r>
      <w:r w:rsidR="00077AAD" w:rsidRPr="000835A9">
        <w:rPr>
          <w:rFonts w:ascii="Palatino Linotype" w:hAnsi="Palatino Linotype"/>
          <w:i/>
          <w:color w:val="000000" w:themeColor="text1"/>
        </w:rPr>
        <w:t>SOLICITO EL INDICE DE INCIDENCIA DELICTIVA QUE HAY EN EL MUNICIPIO DESDE 2022 A LA FECHA</w:t>
      </w:r>
      <w:r w:rsidR="008A699B" w:rsidRPr="000835A9">
        <w:rPr>
          <w:rFonts w:ascii="Palatino Linotype" w:hAnsi="Palatino Linotype"/>
          <w:i/>
          <w:color w:val="000000" w:themeColor="text1"/>
        </w:rPr>
        <w:t>”</w:t>
      </w:r>
    </w:p>
    <w:p w14:paraId="18B4F2BA" w14:textId="77777777" w:rsidR="008A699B" w:rsidRPr="000835A9" w:rsidRDefault="008A699B" w:rsidP="00032DD8">
      <w:pPr>
        <w:spacing w:line="360" w:lineRule="auto"/>
        <w:ind w:right="34"/>
        <w:jc w:val="both"/>
        <w:rPr>
          <w:rFonts w:ascii="Palatino Linotype" w:hAnsi="Palatino Linotype"/>
          <w:color w:val="000000" w:themeColor="text1"/>
        </w:rPr>
      </w:pPr>
    </w:p>
    <w:p w14:paraId="18B4F2BB" w14:textId="77777777" w:rsidR="009F09BC" w:rsidRPr="000835A9" w:rsidRDefault="009F09BC" w:rsidP="00247898">
      <w:pPr>
        <w:pStyle w:val="Prrafodelista"/>
        <w:numPr>
          <w:ilvl w:val="0"/>
          <w:numId w:val="23"/>
        </w:numPr>
        <w:spacing w:line="360" w:lineRule="auto"/>
        <w:ind w:left="709" w:right="34" w:hanging="283"/>
        <w:jc w:val="both"/>
        <w:rPr>
          <w:rFonts w:ascii="Palatino Linotype" w:hAnsi="Palatino Linotype"/>
          <w:color w:val="000000" w:themeColor="text1"/>
        </w:rPr>
      </w:pPr>
      <w:r w:rsidRPr="000835A9">
        <w:rPr>
          <w:rFonts w:ascii="Palatino Linotype" w:eastAsia="Times New Roman" w:hAnsi="Palatino Linotype" w:cs="Arial"/>
          <w:color w:val="000000" w:themeColor="text1"/>
          <w:lang w:val="es-ES"/>
        </w:rPr>
        <w:t>Se eligió como modalidad de entrega de la información</w:t>
      </w:r>
      <w:r w:rsidRPr="000835A9">
        <w:rPr>
          <w:rFonts w:ascii="Palatino Linotype" w:hAnsi="Palatino Linotype"/>
          <w:color w:val="000000" w:themeColor="text1"/>
        </w:rPr>
        <w:t xml:space="preserve">: A través del </w:t>
      </w:r>
      <w:r w:rsidRPr="000835A9">
        <w:rPr>
          <w:rFonts w:ascii="Palatino Linotype" w:hAnsi="Palatino Linotype"/>
          <w:b/>
          <w:color w:val="000000" w:themeColor="text1"/>
        </w:rPr>
        <w:t>SAIMEX</w:t>
      </w:r>
      <w:r w:rsidR="0069487D" w:rsidRPr="000835A9">
        <w:rPr>
          <w:rFonts w:ascii="Palatino Linotype" w:hAnsi="Palatino Linotype"/>
          <w:b/>
          <w:color w:val="000000" w:themeColor="text1"/>
        </w:rPr>
        <w:t>.</w:t>
      </w:r>
    </w:p>
    <w:p w14:paraId="18B4F2BC" w14:textId="77777777" w:rsidR="00F54259" w:rsidRPr="000835A9" w:rsidRDefault="00F54259" w:rsidP="00F54259">
      <w:pPr>
        <w:pStyle w:val="Prrafodelista"/>
        <w:tabs>
          <w:tab w:val="left" w:pos="0"/>
        </w:tabs>
        <w:spacing w:line="360" w:lineRule="auto"/>
        <w:ind w:left="0" w:right="49"/>
        <w:jc w:val="both"/>
        <w:rPr>
          <w:rFonts w:ascii="Palatino Linotype" w:hAnsi="Palatino Linotype" w:cs="Arial"/>
          <w:i/>
          <w:color w:val="000000" w:themeColor="text1"/>
        </w:rPr>
      </w:pPr>
    </w:p>
    <w:p w14:paraId="18B4F2BD" w14:textId="77777777" w:rsidR="00E61C13" w:rsidRPr="000835A9" w:rsidRDefault="00C860B1" w:rsidP="00F54259">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0835A9">
        <w:rPr>
          <w:rFonts w:ascii="Palatino Linotype" w:hAnsi="Palatino Linotype" w:cs="Arial"/>
          <w:color w:val="000000" w:themeColor="text1"/>
        </w:rPr>
        <w:lastRenderedPageBreak/>
        <w:t xml:space="preserve">El </w:t>
      </w:r>
      <w:r w:rsidR="00032DD8" w:rsidRPr="000835A9">
        <w:rPr>
          <w:rFonts w:ascii="Palatino Linotype" w:hAnsi="Palatino Linotype" w:cs="Arial"/>
          <w:color w:val="000000" w:themeColor="text1"/>
        </w:rPr>
        <w:t>seis de septiembre</w:t>
      </w:r>
      <w:r w:rsidR="002C4997" w:rsidRPr="000835A9">
        <w:rPr>
          <w:rFonts w:ascii="Palatino Linotype" w:hAnsi="Palatino Linotype" w:cs="Arial"/>
          <w:color w:val="000000" w:themeColor="text1"/>
        </w:rPr>
        <w:t xml:space="preserve"> de dos mil </w:t>
      </w:r>
      <w:r w:rsidR="004D465B" w:rsidRPr="000835A9">
        <w:rPr>
          <w:rFonts w:ascii="Palatino Linotype" w:hAnsi="Palatino Linotype" w:cs="Arial"/>
          <w:color w:val="000000" w:themeColor="text1"/>
        </w:rPr>
        <w:t>veintitrés</w:t>
      </w:r>
      <w:r w:rsidR="009F09BC" w:rsidRPr="000835A9">
        <w:rPr>
          <w:rFonts w:ascii="Palatino Linotype" w:hAnsi="Palatino Linotype" w:cs="Arial"/>
          <w:color w:val="000000" w:themeColor="text1"/>
        </w:rPr>
        <w:t xml:space="preserve">, el </w:t>
      </w:r>
      <w:r w:rsidR="009F09BC" w:rsidRPr="000835A9">
        <w:rPr>
          <w:rFonts w:ascii="Palatino Linotype" w:hAnsi="Palatino Linotype" w:cs="Arial"/>
          <w:b/>
          <w:color w:val="000000" w:themeColor="text1"/>
        </w:rPr>
        <w:t>SUJETO OBLIGADO,</w:t>
      </w:r>
      <w:r w:rsidR="00EB1CE2" w:rsidRPr="000835A9">
        <w:rPr>
          <w:rFonts w:ascii="Palatino Linotype" w:hAnsi="Palatino Linotype" w:cs="Arial"/>
          <w:color w:val="000000" w:themeColor="text1"/>
        </w:rPr>
        <w:t xml:space="preserve"> dio respuesta a través del </w:t>
      </w:r>
      <w:r w:rsidR="00222E80" w:rsidRPr="000835A9">
        <w:rPr>
          <w:rFonts w:ascii="Palatino Linotype" w:hAnsi="Palatino Linotype" w:cs="Arial"/>
          <w:color w:val="000000" w:themeColor="text1"/>
        </w:rPr>
        <w:t>siguiente</w:t>
      </w:r>
      <w:r w:rsidR="00423410" w:rsidRPr="000835A9">
        <w:rPr>
          <w:rFonts w:ascii="Palatino Linotype" w:hAnsi="Palatino Linotype" w:cs="Arial"/>
          <w:color w:val="000000" w:themeColor="text1"/>
        </w:rPr>
        <w:t xml:space="preserve"> oficio</w:t>
      </w:r>
      <w:r w:rsidR="003A06E6" w:rsidRPr="000835A9">
        <w:rPr>
          <w:rFonts w:ascii="Palatino Linotype" w:hAnsi="Palatino Linotype" w:cs="Arial"/>
          <w:color w:val="000000" w:themeColor="text1"/>
        </w:rPr>
        <w:t>:</w:t>
      </w:r>
    </w:p>
    <w:p w14:paraId="18B4F2BE" w14:textId="77777777" w:rsidR="00EB1CE2" w:rsidRPr="000835A9" w:rsidRDefault="00EB1CE2" w:rsidP="00247898">
      <w:pPr>
        <w:pStyle w:val="Prrafodelista"/>
        <w:tabs>
          <w:tab w:val="left" w:pos="0"/>
        </w:tabs>
        <w:spacing w:line="360" w:lineRule="auto"/>
        <w:ind w:left="0" w:right="49"/>
        <w:jc w:val="center"/>
        <w:rPr>
          <w:rFonts w:ascii="Palatino Linotype" w:hAnsi="Palatino Linotype" w:cs="Arial"/>
          <w:i/>
          <w:noProof/>
          <w:color w:val="000000" w:themeColor="text1"/>
          <w:lang w:val="es-MX" w:eastAsia="es-MX"/>
        </w:rPr>
      </w:pPr>
    </w:p>
    <w:p w14:paraId="18B4F2BF" w14:textId="77777777" w:rsidR="00423410" w:rsidRPr="000835A9" w:rsidRDefault="00423410" w:rsidP="00247898">
      <w:pPr>
        <w:pStyle w:val="Prrafodelista"/>
        <w:tabs>
          <w:tab w:val="left" w:pos="0"/>
        </w:tabs>
        <w:spacing w:line="360" w:lineRule="auto"/>
        <w:ind w:left="0" w:right="49"/>
        <w:jc w:val="center"/>
        <w:rPr>
          <w:rFonts w:ascii="Palatino Linotype" w:hAnsi="Palatino Linotype" w:cs="Arial"/>
          <w:i/>
          <w:color w:val="000000" w:themeColor="text1"/>
        </w:rPr>
      </w:pPr>
      <w:r w:rsidRPr="000835A9">
        <w:rPr>
          <w:rFonts w:ascii="Palatino Linotype" w:hAnsi="Palatino Linotype" w:cs="Arial"/>
          <w:i/>
          <w:noProof/>
          <w:color w:val="000000" w:themeColor="text1"/>
          <w:lang w:val="es-MX" w:eastAsia="es-MX"/>
        </w:rPr>
        <w:drawing>
          <wp:inline distT="0" distB="0" distL="0" distR="0" wp14:anchorId="18B4F37B" wp14:editId="18B4F37C">
            <wp:extent cx="4652467" cy="6317294"/>
            <wp:effectExtent l="19050" t="19050" r="1524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3703" cy="6318972"/>
                    </a:xfrm>
                    <a:prstGeom prst="rect">
                      <a:avLst/>
                    </a:prstGeom>
                    <a:ln>
                      <a:solidFill>
                        <a:schemeClr val="tx1"/>
                      </a:solidFill>
                    </a:ln>
                  </pic:spPr>
                </pic:pic>
              </a:graphicData>
            </a:graphic>
          </wp:inline>
        </w:drawing>
      </w:r>
    </w:p>
    <w:p w14:paraId="18B4F2C0" w14:textId="77777777" w:rsidR="009F09BC" w:rsidRPr="000835A9" w:rsidRDefault="009F09BC" w:rsidP="0024789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0835A9">
        <w:rPr>
          <w:rFonts w:ascii="Palatino Linotype" w:eastAsia="Times New Roman" w:hAnsi="Palatino Linotype" w:cs="Arial"/>
          <w:color w:val="000000" w:themeColor="text1"/>
          <w:lang w:val="es-ES"/>
        </w:rPr>
        <w:lastRenderedPageBreak/>
        <w:t>E</w:t>
      </w:r>
      <w:r w:rsidR="002C4997" w:rsidRPr="000835A9">
        <w:rPr>
          <w:rFonts w:ascii="Palatino Linotype" w:eastAsia="Times New Roman" w:hAnsi="Palatino Linotype" w:cs="Arial"/>
          <w:color w:val="000000" w:themeColor="text1"/>
          <w:lang w:val="es-ES"/>
        </w:rPr>
        <w:t xml:space="preserve">l </w:t>
      </w:r>
      <w:r w:rsidR="00730341">
        <w:rPr>
          <w:rFonts w:ascii="Palatino Linotype" w:eastAsia="Times New Roman" w:hAnsi="Palatino Linotype" w:cs="Arial"/>
          <w:color w:val="000000" w:themeColor="text1"/>
          <w:lang w:val="es-ES"/>
        </w:rPr>
        <w:t>doce</w:t>
      </w:r>
      <w:r w:rsidR="00423410" w:rsidRPr="000835A9">
        <w:rPr>
          <w:rFonts w:ascii="Palatino Linotype" w:eastAsia="Times New Roman" w:hAnsi="Palatino Linotype" w:cs="Arial"/>
          <w:color w:val="000000" w:themeColor="text1"/>
          <w:lang w:val="es-ES"/>
        </w:rPr>
        <w:t xml:space="preserve"> de septiembre</w:t>
      </w:r>
      <w:r w:rsidRPr="000835A9">
        <w:rPr>
          <w:rFonts w:ascii="Palatino Linotype" w:eastAsia="Times New Roman" w:hAnsi="Palatino Linotype" w:cs="Arial"/>
          <w:color w:val="000000" w:themeColor="text1"/>
          <w:lang w:val="es-ES"/>
        </w:rPr>
        <w:t xml:space="preserve"> de </w:t>
      </w:r>
      <w:r w:rsidR="00025C53" w:rsidRPr="000835A9">
        <w:rPr>
          <w:rFonts w:ascii="Palatino Linotype" w:eastAsia="Times New Roman" w:hAnsi="Palatino Linotype" w:cs="Arial"/>
          <w:color w:val="000000" w:themeColor="text1"/>
          <w:lang w:val="es-ES"/>
        </w:rPr>
        <w:t xml:space="preserve">dos mil </w:t>
      </w:r>
      <w:r w:rsidR="004D465B" w:rsidRPr="000835A9">
        <w:rPr>
          <w:rFonts w:ascii="Palatino Linotype" w:eastAsia="Times New Roman" w:hAnsi="Palatino Linotype" w:cs="Arial"/>
          <w:color w:val="000000" w:themeColor="text1"/>
          <w:lang w:val="es-ES"/>
        </w:rPr>
        <w:t>veintitrés</w:t>
      </w:r>
      <w:r w:rsidRPr="000835A9">
        <w:rPr>
          <w:rFonts w:ascii="Palatino Linotype" w:eastAsia="Times New Roman" w:hAnsi="Palatino Linotype" w:cs="Arial"/>
          <w:color w:val="000000" w:themeColor="text1"/>
          <w:lang w:val="es-ES"/>
        </w:rPr>
        <w:t xml:space="preserve">, el particular interpuso </w:t>
      </w:r>
      <w:r w:rsidR="002C4997" w:rsidRPr="000835A9">
        <w:rPr>
          <w:rFonts w:ascii="Palatino Linotype" w:eastAsia="Times New Roman" w:hAnsi="Palatino Linotype" w:cs="Arial"/>
          <w:color w:val="000000" w:themeColor="text1"/>
          <w:lang w:val="es-ES"/>
        </w:rPr>
        <w:t>e</w:t>
      </w:r>
      <w:r w:rsidRPr="000835A9">
        <w:rPr>
          <w:rFonts w:ascii="Palatino Linotype" w:eastAsia="Times New Roman" w:hAnsi="Palatino Linotype" w:cs="Arial"/>
          <w:color w:val="000000" w:themeColor="text1"/>
          <w:lang w:val="es-ES"/>
        </w:rPr>
        <w:t>l recurso de revisión en contra de la respuesta, manifestando l</w:t>
      </w:r>
      <w:r w:rsidR="002C4997" w:rsidRPr="000835A9">
        <w:rPr>
          <w:rFonts w:ascii="Palatino Linotype" w:eastAsia="Times New Roman" w:hAnsi="Palatino Linotype" w:cs="Arial"/>
          <w:color w:val="000000" w:themeColor="text1"/>
          <w:lang w:val="es-ES"/>
        </w:rPr>
        <w:t>a</w:t>
      </w:r>
      <w:r w:rsidRPr="000835A9">
        <w:rPr>
          <w:rFonts w:ascii="Palatino Linotype" w:eastAsia="Times New Roman" w:hAnsi="Palatino Linotype" w:cs="Arial"/>
          <w:color w:val="000000" w:themeColor="text1"/>
          <w:lang w:val="es-ES"/>
        </w:rPr>
        <w:t xml:space="preserve">s </w:t>
      </w:r>
      <w:r w:rsidR="002C4997" w:rsidRPr="000835A9">
        <w:rPr>
          <w:rFonts w:ascii="Palatino Linotype" w:eastAsia="Times New Roman" w:hAnsi="Palatino Linotype" w:cs="Arial"/>
          <w:color w:val="000000" w:themeColor="text1"/>
          <w:lang w:val="es-ES"/>
        </w:rPr>
        <w:t>siguientes</w:t>
      </w:r>
      <w:r w:rsidRPr="000835A9">
        <w:rPr>
          <w:rFonts w:ascii="Palatino Linotype" w:eastAsia="Times New Roman" w:hAnsi="Palatino Linotype" w:cs="Arial"/>
          <w:color w:val="000000" w:themeColor="text1"/>
          <w:lang w:val="es-ES"/>
        </w:rPr>
        <w:t xml:space="preserve"> razones o motivos de inconformidad:</w:t>
      </w:r>
    </w:p>
    <w:p w14:paraId="18B4F2C1" w14:textId="77777777" w:rsidR="009F09BC" w:rsidRPr="000835A9" w:rsidRDefault="009F09BC" w:rsidP="00247898">
      <w:pPr>
        <w:pStyle w:val="Prrafodelista"/>
        <w:tabs>
          <w:tab w:val="left" w:pos="0"/>
        </w:tabs>
        <w:spacing w:line="360" w:lineRule="auto"/>
        <w:ind w:left="0" w:right="49"/>
        <w:jc w:val="both"/>
        <w:rPr>
          <w:rFonts w:ascii="Palatino Linotype" w:hAnsi="Palatino Linotype" w:cs="Arial"/>
          <w:i/>
          <w:color w:val="000000" w:themeColor="text1"/>
        </w:rPr>
      </w:pPr>
    </w:p>
    <w:p w14:paraId="18B4F2C2" w14:textId="77777777" w:rsidR="009F09BC" w:rsidRPr="00B92945" w:rsidRDefault="009F09BC" w:rsidP="00423410">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92945">
        <w:rPr>
          <w:rStyle w:val="Ttulo2Car"/>
          <w:rFonts w:ascii="Palatino Linotype" w:hAnsi="Palatino Linotype"/>
          <w:b/>
          <w:color w:val="000000" w:themeColor="text1"/>
          <w:sz w:val="22"/>
          <w:szCs w:val="24"/>
        </w:rPr>
        <w:t>Acto impugnado</w:t>
      </w:r>
      <w:bookmarkEnd w:id="3"/>
      <w:r w:rsidRPr="00B92945">
        <w:rPr>
          <w:rStyle w:val="Ttulo2Car"/>
          <w:rFonts w:ascii="Palatino Linotype" w:hAnsi="Palatino Linotype"/>
          <w:b/>
          <w:color w:val="000000" w:themeColor="text1"/>
          <w:sz w:val="22"/>
          <w:szCs w:val="24"/>
        </w:rPr>
        <w:t xml:space="preserve">: </w:t>
      </w:r>
      <w:r w:rsidRPr="00B92945">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423410" w:rsidRPr="00B92945">
        <w:rPr>
          <w:rStyle w:val="Ttulo2Car"/>
          <w:rFonts w:ascii="Palatino Linotype" w:hAnsi="Palatino Linotype"/>
          <w:i/>
          <w:color w:val="000000" w:themeColor="text1"/>
          <w:sz w:val="22"/>
          <w:szCs w:val="24"/>
        </w:rPr>
        <w:t>LA RESPUESTA</w:t>
      </w:r>
      <w:r w:rsidRPr="00B92945">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8B4F2C3" w14:textId="77777777" w:rsidR="009F09BC" w:rsidRPr="00B92945" w:rsidRDefault="009F09BC" w:rsidP="00423410">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B92945">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B92945">
        <w:rPr>
          <w:rFonts w:ascii="Palatino Linotype" w:hAnsi="Palatino Linotype"/>
          <w:b/>
          <w:color w:val="000000" w:themeColor="text1"/>
          <w:sz w:val="22"/>
        </w:rPr>
        <w:t xml:space="preserve"> </w:t>
      </w:r>
      <w:r w:rsidRPr="00B92945">
        <w:rPr>
          <w:rFonts w:ascii="Palatino Linotype" w:hAnsi="Palatino Linotype"/>
          <w:i/>
          <w:color w:val="000000" w:themeColor="text1"/>
          <w:sz w:val="22"/>
        </w:rPr>
        <w:t>“</w:t>
      </w:r>
      <w:r w:rsidR="00423410" w:rsidRPr="00B92945">
        <w:rPr>
          <w:rFonts w:ascii="Palatino Linotype" w:hAnsi="Palatino Linotype"/>
          <w:i/>
          <w:color w:val="000000" w:themeColor="text1"/>
          <w:sz w:val="22"/>
        </w:rPr>
        <w:t>LOS DATOS NO COINCIDEN CON LO PUBLICADO POR LAS AUTORIDADES ESTATALES</w:t>
      </w:r>
      <w:r w:rsidRPr="00B92945">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8B4F2C4" w14:textId="77777777" w:rsidR="00EB1CE2" w:rsidRPr="000835A9" w:rsidRDefault="00EB1CE2" w:rsidP="00247898">
      <w:pPr>
        <w:pStyle w:val="Prrafodelista"/>
        <w:spacing w:line="360" w:lineRule="auto"/>
        <w:jc w:val="both"/>
        <w:rPr>
          <w:rFonts w:ascii="Palatino Linotype" w:hAnsi="Palatino Linotype"/>
          <w:i/>
          <w:color w:val="000000" w:themeColor="text1"/>
        </w:rPr>
      </w:pPr>
    </w:p>
    <w:p w14:paraId="18B4F2C5" w14:textId="77777777" w:rsidR="009F09BC" w:rsidRPr="000835A9" w:rsidRDefault="00CC5B2F" w:rsidP="00247898">
      <w:pPr>
        <w:pStyle w:val="Prrafodelista"/>
        <w:numPr>
          <w:ilvl w:val="0"/>
          <w:numId w:val="15"/>
        </w:numPr>
        <w:spacing w:line="360" w:lineRule="auto"/>
        <w:ind w:left="0" w:firstLine="0"/>
        <w:jc w:val="both"/>
        <w:rPr>
          <w:rFonts w:ascii="Palatino Linotype" w:hAnsi="Palatino Linotype"/>
          <w:i/>
          <w:color w:val="000000" w:themeColor="text1"/>
        </w:rPr>
      </w:pPr>
      <w:r w:rsidRPr="000835A9">
        <w:rPr>
          <w:rFonts w:ascii="Palatino Linotype" w:eastAsia="Calibri" w:hAnsi="Palatino Linotype" w:cs="Arial"/>
          <w:color w:val="000000" w:themeColor="text1"/>
          <w:lang w:val="es-ES"/>
        </w:rPr>
        <w:t>La Comisionada</w:t>
      </w:r>
      <w:r w:rsidR="009F09BC" w:rsidRPr="000835A9">
        <w:rPr>
          <w:rFonts w:ascii="Palatino Linotype" w:eastAsia="Calibri" w:hAnsi="Palatino Linotype" w:cs="Arial"/>
          <w:color w:val="000000" w:themeColor="text1"/>
          <w:lang w:val="es-ES"/>
        </w:rPr>
        <w:t xml:space="preserve"> Ponente</w:t>
      </w:r>
      <w:r w:rsidR="000D5D5F">
        <w:rPr>
          <w:rFonts w:ascii="Palatino Linotype" w:eastAsia="Calibri" w:hAnsi="Palatino Linotype" w:cs="Arial"/>
          <w:color w:val="000000" w:themeColor="text1"/>
          <w:lang w:val="es-ES"/>
        </w:rPr>
        <w:t>,</w:t>
      </w:r>
      <w:r w:rsidR="009F09BC" w:rsidRPr="000835A9">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F54259" w:rsidRPr="000835A9">
        <w:rPr>
          <w:rFonts w:ascii="Palatino Linotype" w:eastAsia="Calibri" w:hAnsi="Palatino Linotype" w:cs="Arial"/>
          <w:color w:val="000000" w:themeColor="text1"/>
          <w:lang w:val="es-ES"/>
        </w:rPr>
        <w:t>dieci</w:t>
      </w:r>
      <w:r w:rsidR="00423410" w:rsidRPr="000835A9">
        <w:rPr>
          <w:rFonts w:ascii="Palatino Linotype" w:eastAsia="Calibri" w:hAnsi="Palatino Linotype" w:cs="Arial"/>
          <w:color w:val="000000" w:themeColor="text1"/>
          <w:lang w:val="es-ES"/>
        </w:rPr>
        <w:t>ocho</w:t>
      </w:r>
      <w:r w:rsidR="006313B5" w:rsidRPr="000835A9">
        <w:rPr>
          <w:rFonts w:ascii="Palatino Linotype" w:eastAsia="Calibri" w:hAnsi="Palatino Linotype" w:cs="Arial"/>
          <w:color w:val="000000" w:themeColor="text1"/>
          <w:lang w:val="es-ES"/>
        </w:rPr>
        <w:t xml:space="preserve"> </w:t>
      </w:r>
      <w:r w:rsidR="004D465B" w:rsidRPr="000835A9">
        <w:rPr>
          <w:rFonts w:ascii="Palatino Linotype" w:eastAsia="Calibri" w:hAnsi="Palatino Linotype" w:cs="Arial"/>
          <w:color w:val="000000" w:themeColor="text1"/>
          <w:lang w:val="es-ES"/>
        </w:rPr>
        <w:t xml:space="preserve">de </w:t>
      </w:r>
      <w:r w:rsidR="00423410" w:rsidRPr="000835A9">
        <w:rPr>
          <w:rFonts w:ascii="Palatino Linotype" w:eastAsia="Calibri" w:hAnsi="Palatino Linotype" w:cs="Arial"/>
          <w:color w:val="000000" w:themeColor="text1"/>
          <w:lang w:val="es-ES"/>
        </w:rPr>
        <w:t>septiembre</w:t>
      </w:r>
      <w:r w:rsidR="009F09BC" w:rsidRPr="000835A9">
        <w:rPr>
          <w:rFonts w:ascii="Palatino Linotype" w:eastAsia="Calibri" w:hAnsi="Palatino Linotype" w:cs="Arial"/>
          <w:color w:val="000000" w:themeColor="text1"/>
          <w:lang w:val="es-ES"/>
        </w:rPr>
        <w:t xml:space="preserve"> del año en curso, puso a disposición de las partes el expediente electrónico </w:t>
      </w:r>
      <w:r w:rsidR="009F09BC" w:rsidRPr="000835A9">
        <w:rPr>
          <w:rFonts w:ascii="Palatino Linotype" w:eastAsia="Calibri" w:hAnsi="Palatino Linotype" w:cs="Arial"/>
          <w:color w:val="000000" w:themeColor="text1"/>
        </w:rPr>
        <w:t xml:space="preserve">vía </w:t>
      </w:r>
      <w:r w:rsidR="009F09BC" w:rsidRPr="000835A9">
        <w:rPr>
          <w:rFonts w:ascii="Palatino Linotype" w:eastAsia="Calibri" w:hAnsi="Palatino Linotype" w:cs="Arial"/>
          <w:b/>
          <w:color w:val="000000" w:themeColor="text1"/>
          <w:lang w:val="es-ES"/>
        </w:rPr>
        <w:t xml:space="preserve">SAIMEX </w:t>
      </w:r>
      <w:r w:rsidR="009F09BC" w:rsidRPr="000835A9">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0835A9">
        <w:rPr>
          <w:rFonts w:ascii="Palatino Linotype" w:eastAsia="Calibri" w:hAnsi="Palatino Linotype" w:cs="Arial"/>
          <w:b/>
          <w:color w:val="000000" w:themeColor="text1"/>
          <w:lang w:val="es-ES"/>
        </w:rPr>
        <w:t>SUJETO OBLIGADO</w:t>
      </w:r>
      <w:r w:rsidR="009F09BC" w:rsidRPr="000835A9">
        <w:rPr>
          <w:rFonts w:ascii="Palatino Linotype" w:eastAsia="Calibri" w:hAnsi="Palatino Linotype" w:cs="Arial"/>
          <w:color w:val="000000" w:themeColor="text1"/>
          <w:lang w:val="es-ES"/>
        </w:rPr>
        <w:t xml:space="preserve"> presentará el Informe Justificado procedente.</w:t>
      </w:r>
    </w:p>
    <w:p w14:paraId="18B4F2C6" w14:textId="77777777" w:rsidR="009F09BC" w:rsidRPr="000835A9" w:rsidRDefault="009F09BC" w:rsidP="00247898">
      <w:pPr>
        <w:pStyle w:val="Prrafodelista"/>
        <w:spacing w:line="360" w:lineRule="auto"/>
        <w:ind w:left="0"/>
        <w:jc w:val="both"/>
        <w:rPr>
          <w:rFonts w:ascii="Palatino Linotype" w:hAnsi="Palatino Linotype"/>
          <w:color w:val="000000" w:themeColor="text1"/>
        </w:rPr>
      </w:pPr>
    </w:p>
    <w:p w14:paraId="18B4F2C7" w14:textId="77777777" w:rsidR="009F09BC" w:rsidRPr="000835A9" w:rsidRDefault="009F09BC"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 xml:space="preserve">El </w:t>
      </w:r>
      <w:r w:rsidRPr="000835A9">
        <w:rPr>
          <w:rFonts w:ascii="Palatino Linotype" w:hAnsi="Palatino Linotype"/>
          <w:b/>
          <w:color w:val="000000" w:themeColor="text1"/>
        </w:rPr>
        <w:t xml:space="preserve">SUJETO </w:t>
      </w:r>
      <w:r w:rsidRPr="000835A9">
        <w:rPr>
          <w:rFonts w:ascii="Palatino Linotype" w:eastAsia="Calibri" w:hAnsi="Palatino Linotype" w:cs="Arial"/>
          <w:b/>
          <w:color w:val="000000" w:themeColor="text1"/>
          <w:lang w:val="es-ES"/>
        </w:rPr>
        <w:t>OBLIGADO</w:t>
      </w:r>
      <w:r w:rsidR="007A6A1A" w:rsidRPr="000835A9">
        <w:rPr>
          <w:rFonts w:ascii="Palatino Linotype" w:hAnsi="Palatino Linotype"/>
          <w:color w:val="000000" w:themeColor="text1"/>
        </w:rPr>
        <w:t xml:space="preserve"> </w:t>
      </w:r>
      <w:r w:rsidR="006313B5" w:rsidRPr="000835A9">
        <w:rPr>
          <w:rFonts w:ascii="Palatino Linotype" w:hAnsi="Palatino Linotype"/>
          <w:color w:val="000000" w:themeColor="text1"/>
        </w:rPr>
        <w:t xml:space="preserve">fue omiso en rendir el informe justificado correspondiente. </w:t>
      </w:r>
      <w:r w:rsidRPr="000835A9">
        <w:rPr>
          <w:rFonts w:ascii="Palatino Linotype" w:hAnsi="Palatino Linotype"/>
          <w:color w:val="000000" w:themeColor="text1"/>
        </w:rPr>
        <w:t xml:space="preserve">Por su parte </w:t>
      </w:r>
      <w:r w:rsidR="00A56791" w:rsidRPr="000835A9">
        <w:rPr>
          <w:rFonts w:ascii="Palatino Linotype" w:hAnsi="Palatino Linotype"/>
          <w:b/>
          <w:color w:val="000000" w:themeColor="text1"/>
        </w:rPr>
        <w:t>EL</w:t>
      </w:r>
      <w:r w:rsidRPr="000835A9">
        <w:rPr>
          <w:rFonts w:ascii="Palatino Linotype" w:hAnsi="Palatino Linotype"/>
          <w:b/>
          <w:color w:val="000000" w:themeColor="text1"/>
        </w:rPr>
        <w:t xml:space="preserve"> PARTICULAR </w:t>
      </w:r>
      <w:r w:rsidR="00D5729F" w:rsidRPr="000835A9">
        <w:rPr>
          <w:rFonts w:ascii="Palatino Linotype" w:hAnsi="Palatino Linotype"/>
          <w:color w:val="000000" w:themeColor="text1"/>
        </w:rPr>
        <w:t>fue omiso</w:t>
      </w:r>
      <w:r w:rsidR="00267A08" w:rsidRPr="000835A9">
        <w:rPr>
          <w:rFonts w:ascii="Palatino Linotype" w:hAnsi="Palatino Linotype"/>
          <w:color w:val="000000" w:themeColor="text1"/>
        </w:rPr>
        <w:t xml:space="preserve"> en realizar manifestaciones que a su derecho conviniera y asistiera</w:t>
      </w:r>
      <w:r w:rsidRPr="000835A9">
        <w:rPr>
          <w:rFonts w:ascii="Palatino Linotype" w:hAnsi="Palatino Linotype"/>
          <w:color w:val="000000" w:themeColor="text1"/>
        </w:rPr>
        <w:t>.</w:t>
      </w:r>
    </w:p>
    <w:p w14:paraId="18B4F2C8" w14:textId="77777777" w:rsidR="00ED6E75" w:rsidRPr="000835A9" w:rsidRDefault="00ED6E75" w:rsidP="000B650B">
      <w:pPr>
        <w:pStyle w:val="Prrafodelista"/>
        <w:spacing w:line="360" w:lineRule="auto"/>
        <w:ind w:left="0"/>
        <w:rPr>
          <w:rFonts w:ascii="Palatino Linotype" w:hAnsi="Palatino Linotype"/>
          <w:color w:val="000000" w:themeColor="text1"/>
        </w:rPr>
      </w:pPr>
    </w:p>
    <w:p w14:paraId="18B4F2C9" w14:textId="77777777" w:rsidR="00423410" w:rsidRPr="000835A9" w:rsidRDefault="00423410" w:rsidP="00247898">
      <w:pPr>
        <w:pStyle w:val="Prrafodelista"/>
        <w:numPr>
          <w:ilvl w:val="0"/>
          <w:numId w:val="15"/>
        </w:numPr>
        <w:spacing w:line="360" w:lineRule="auto"/>
        <w:ind w:left="0" w:firstLine="0"/>
        <w:contextualSpacing w:val="0"/>
        <w:jc w:val="both"/>
        <w:rPr>
          <w:rFonts w:ascii="Palatino Linotype" w:hAnsi="Palatino Linotype"/>
          <w:color w:val="000000" w:themeColor="text1"/>
        </w:rPr>
      </w:pPr>
      <w:r w:rsidRPr="000835A9">
        <w:rPr>
          <w:rFonts w:ascii="Palatino Linotype" w:hAnsi="Palatino Linotype"/>
          <w:color w:val="000000" w:themeColor="text1"/>
        </w:rPr>
        <w:t xml:space="preserve">Posteriormente, mediante acuerdo de fecha veintiséis </w:t>
      </w:r>
      <w:r w:rsidR="000B650B" w:rsidRPr="000835A9">
        <w:rPr>
          <w:rFonts w:ascii="Palatino Linotype" w:hAnsi="Palatino Linotype"/>
          <w:color w:val="000000" w:themeColor="text1"/>
        </w:rPr>
        <w:t xml:space="preserve">de octubre </w:t>
      </w:r>
      <w:r w:rsidR="00C640EA" w:rsidRPr="000835A9">
        <w:rPr>
          <w:rFonts w:ascii="Palatino Linotype" w:hAnsi="Palatino Linotype"/>
          <w:color w:val="000000" w:themeColor="text1"/>
        </w:rPr>
        <w:t xml:space="preserve">se amplió el termino para resolver, al respecto es dable realizar las siguientes precisiones: </w:t>
      </w:r>
    </w:p>
    <w:p w14:paraId="18B4F2CA" w14:textId="77777777" w:rsidR="00C640EA" w:rsidRPr="000835A9" w:rsidRDefault="00C640EA" w:rsidP="00C640EA">
      <w:pPr>
        <w:pStyle w:val="Prrafodelista"/>
        <w:rPr>
          <w:rFonts w:ascii="Palatino Linotype" w:hAnsi="Palatino Linotype"/>
          <w:color w:val="000000" w:themeColor="text1"/>
        </w:rPr>
      </w:pPr>
    </w:p>
    <w:p w14:paraId="18B4F2CB" w14:textId="77777777" w:rsidR="00C640EA" w:rsidRPr="000D5D5F" w:rsidRDefault="00C640EA" w:rsidP="00194C78">
      <w:pPr>
        <w:pStyle w:val="Prrafodelista"/>
        <w:numPr>
          <w:ilvl w:val="0"/>
          <w:numId w:val="49"/>
        </w:numPr>
        <w:spacing w:line="360" w:lineRule="auto"/>
        <w:jc w:val="both"/>
        <w:rPr>
          <w:rFonts w:ascii="Palatino Linotype" w:hAnsi="Palatino Linotype"/>
          <w:b/>
          <w:color w:val="000000" w:themeColor="text1"/>
          <w:sz w:val="22"/>
        </w:rPr>
      </w:pPr>
      <w:r w:rsidRPr="000D5D5F">
        <w:rPr>
          <w:rFonts w:ascii="Palatino Linotype" w:hAnsi="Palatino Linotype"/>
          <w:b/>
          <w:color w:val="000000" w:themeColor="text1"/>
          <w:sz w:val="22"/>
        </w:rPr>
        <w:lastRenderedPageBreak/>
        <w:t>De previo y especial pronunciamiento. Argumentos a considerar en las resoluciones a los recursos de revisión para justificar los fallos emitidos fuera del plazo legal de 45 días.</w:t>
      </w:r>
    </w:p>
    <w:p w14:paraId="18B4F2CC" w14:textId="77777777" w:rsidR="00C640EA" w:rsidRPr="000835A9" w:rsidRDefault="00C640EA" w:rsidP="00C640EA">
      <w:pPr>
        <w:pStyle w:val="Prrafodelista"/>
        <w:spacing w:line="360" w:lineRule="auto"/>
        <w:ind w:left="0"/>
        <w:jc w:val="both"/>
        <w:rPr>
          <w:rFonts w:ascii="Palatino Linotype" w:hAnsi="Palatino Linotype"/>
        </w:rPr>
      </w:pPr>
    </w:p>
    <w:p w14:paraId="18B4F2CD"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t xml:space="preserve">Este organismo garante no pasa por alto justificar, que la dilación en la resolución del </w:t>
      </w:r>
      <w:r w:rsidRPr="000835A9">
        <w:rPr>
          <w:rFonts w:ascii="Palatino Linotype" w:hAnsi="Palatino Linotype"/>
          <w:color w:val="000000"/>
        </w:rPr>
        <w:t>presente</w:t>
      </w:r>
      <w:r w:rsidRPr="000835A9">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8B4F2CE" w14:textId="77777777" w:rsidR="00C640EA" w:rsidRPr="000835A9" w:rsidRDefault="00C640EA" w:rsidP="00C640EA">
      <w:pPr>
        <w:pStyle w:val="Prrafodelista"/>
        <w:spacing w:line="360" w:lineRule="auto"/>
        <w:ind w:left="0"/>
        <w:jc w:val="both"/>
        <w:rPr>
          <w:rFonts w:ascii="Palatino Linotype" w:hAnsi="Palatino Linotype"/>
        </w:rPr>
      </w:pPr>
    </w:p>
    <w:p w14:paraId="18B4F2CF"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8B4F2D0" w14:textId="77777777" w:rsidR="00C640EA" w:rsidRPr="000835A9" w:rsidRDefault="00C640EA" w:rsidP="00C640EA">
      <w:pPr>
        <w:pStyle w:val="Prrafodelista"/>
        <w:spacing w:line="360" w:lineRule="auto"/>
        <w:rPr>
          <w:rFonts w:ascii="Palatino Linotype" w:hAnsi="Palatino Linotype"/>
        </w:rPr>
      </w:pPr>
    </w:p>
    <w:p w14:paraId="18B4F2D1"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B4F2D2"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B4F2D3" w14:textId="77777777" w:rsidR="00C640EA" w:rsidRPr="000835A9" w:rsidRDefault="00C640EA" w:rsidP="00C640EA">
      <w:pPr>
        <w:pStyle w:val="Prrafodelista"/>
        <w:spacing w:line="360" w:lineRule="auto"/>
        <w:rPr>
          <w:rFonts w:ascii="Palatino Linotype" w:hAnsi="Palatino Linotype"/>
        </w:rPr>
      </w:pPr>
    </w:p>
    <w:p w14:paraId="18B4F2D4"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8B4F2D5" w14:textId="77777777" w:rsidR="00C640EA" w:rsidRPr="000D5D5F" w:rsidRDefault="00C640EA" w:rsidP="00C640EA">
      <w:pPr>
        <w:spacing w:line="360" w:lineRule="auto"/>
        <w:jc w:val="both"/>
        <w:rPr>
          <w:rFonts w:ascii="Palatino Linotype" w:hAnsi="Palatino Linotype"/>
          <w:sz w:val="22"/>
        </w:rPr>
      </w:pPr>
    </w:p>
    <w:p w14:paraId="18B4F2D6" w14:textId="77777777" w:rsidR="00C640EA" w:rsidRPr="000D5D5F" w:rsidRDefault="00C640EA" w:rsidP="00C640EA">
      <w:pPr>
        <w:pStyle w:val="Prrafodelista"/>
        <w:numPr>
          <w:ilvl w:val="0"/>
          <w:numId w:val="48"/>
        </w:numPr>
        <w:spacing w:line="360" w:lineRule="auto"/>
        <w:jc w:val="both"/>
        <w:rPr>
          <w:rFonts w:ascii="Palatino Linotype" w:hAnsi="Palatino Linotype"/>
          <w:sz w:val="22"/>
        </w:rPr>
      </w:pPr>
      <w:r w:rsidRPr="000D5D5F">
        <w:rPr>
          <w:rFonts w:ascii="Palatino Linotype" w:hAnsi="Palatino Linotype"/>
          <w:sz w:val="22"/>
        </w:rPr>
        <w:t xml:space="preserve">Complejidad del Asunto: La complejidad de la prueba, la pluralidad de sujetos procesales, el tiempo transcurrido, las características y contexto del recurso. </w:t>
      </w:r>
    </w:p>
    <w:p w14:paraId="18B4F2D7" w14:textId="77777777" w:rsidR="00C640EA" w:rsidRPr="000D5D5F" w:rsidRDefault="00C640EA" w:rsidP="00C640EA">
      <w:pPr>
        <w:pStyle w:val="Prrafodelista"/>
        <w:numPr>
          <w:ilvl w:val="0"/>
          <w:numId w:val="48"/>
        </w:numPr>
        <w:spacing w:line="360" w:lineRule="auto"/>
        <w:jc w:val="both"/>
        <w:rPr>
          <w:rFonts w:ascii="Palatino Linotype" w:hAnsi="Palatino Linotype"/>
          <w:sz w:val="22"/>
        </w:rPr>
      </w:pPr>
      <w:r w:rsidRPr="000D5D5F">
        <w:rPr>
          <w:rFonts w:ascii="Palatino Linotype" w:hAnsi="Palatino Linotype"/>
          <w:sz w:val="22"/>
        </w:rPr>
        <w:t>Actividad Procesal del interesado. Acciones u omisiones del interesado.</w:t>
      </w:r>
    </w:p>
    <w:p w14:paraId="18B4F2D8" w14:textId="77777777" w:rsidR="00C640EA" w:rsidRPr="000D5D5F" w:rsidRDefault="00C640EA" w:rsidP="00C640EA">
      <w:pPr>
        <w:pStyle w:val="Prrafodelista"/>
        <w:numPr>
          <w:ilvl w:val="0"/>
          <w:numId w:val="48"/>
        </w:numPr>
        <w:spacing w:line="360" w:lineRule="auto"/>
        <w:jc w:val="both"/>
        <w:rPr>
          <w:rFonts w:ascii="Palatino Linotype" w:hAnsi="Palatino Linotype"/>
          <w:sz w:val="22"/>
        </w:rPr>
      </w:pPr>
      <w:r w:rsidRPr="000D5D5F">
        <w:rPr>
          <w:rFonts w:ascii="Palatino Linotype" w:hAnsi="Palatino Linotype"/>
          <w:sz w:val="22"/>
        </w:rPr>
        <w:t>Conducta de la Autoridad: Las Acciones u omisiones realizadas en el procedimiento. Así como si la autoridad actuó con la debida diligencia.</w:t>
      </w:r>
    </w:p>
    <w:p w14:paraId="18B4F2D9" w14:textId="77777777" w:rsidR="00C640EA" w:rsidRPr="000D5D5F" w:rsidRDefault="00C640EA" w:rsidP="00C640EA">
      <w:pPr>
        <w:spacing w:line="360" w:lineRule="auto"/>
        <w:ind w:left="851" w:hanging="284"/>
        <w:jc w:val="both"/>
        <w:rPr>
          <w:rFonts w:ascii="Palatino Linotype" w:hAnsi="Palatino Linotype"/>
          <w:sz w:val="22"/>
        </w:rPr>
      </w:pPr>
      <w:r w:rsidRPr="000D5D5F">
        <w:rPr>
          <w:rFonts w:ascii="Palatino Linotype" w:hAnsi="Palatino Linotype"/>
          <w:sz w:val="22"/>
        </w:rPr>
        <w:t>d) La afectación generada en la situación jurídica de la persona involucrada en el proceso: Violación a sus derechos humanos.</w:t>
      </w:r>
    </w:p>
    <w:p w14:paraId="18B4F2DA" w14:textId="77777777" w:rsidR="00C640EA" w:rsidRPr="000D5D5F" w:rsidRDefault="00C640EA" w:rsidP="00C640EA">
      <w:pPr>
        <w:spacing w:line="360" w:lineRule="auto"/>
        <w:ind w:left="851" w:hanging="284"/>
        <w:jc w:val="both"/>
        <w:rPr>
          <w:rFonts w:ascii="Palatino Linotype" w:hAnsi="Palatino Linotype"/>
          <w:sz w:val="22"/>
        </w:rPr>
      </w:pPr>
    </w:p>
    <w:p w14:paraId="18B4F2DB"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B4F2DC" w14:textId="77777777" w:rsidR="00C640EA" w:rsidRPr="000835A9" w:rsidRDefault="00C640EA" w:rsidP="00C640EA">
      <w:pPr>
        <w:pStyle w:val="Prrafodelista"/>
        <w:spacing w:line="360" w:lineRule="auto"/>
        <w:ind w:left="0"/>
        <w:jc w:val="both"/>
        <w:rPr>
          <w:rFonts w:ascii="Palatino Linotype" w:hAnsi="Palatino Linotype"/>
        </w:rPr>
      </w:pPr>
    </w:p>
    <w:p w14:paraId="18B4F2DD"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b/>
        </w:rPr>
      </w:pPr>
      <w:r w:rsidRPr="000835A9">
        <w:rPr>
          <w:rFonts w:ascii="Palatino Linotype" w:hAnsi="Palatino Linotype"/>
        </w:rPr>
        <w:lastRenderedPageBreak/>
        <w:t xml:space="preserve">Argumento que encuentra sustento en la jurisprudencia P./J. 32/92 emitida por el Pleno de la Suprema Corte de Justicia de la Nación de rubro </w:t>
      </w:r>
      <w:r w:rsidRPr="000835A9">
        <w:rPr>
          <w:rFonts w:ascii="Palatino Linotype" w:hAnsi="Palatino Linotype"/>
          <w:i/>
        </w:rPr>
        <w:t xml:space="preserve">“TÉRMINOS PROCESALES. PARA DETERMINAR SI UN FUNCIONARIO JUDICIAL ACTUÓ </w:t>
      </w:r>
      <w:r w:rsidRPr="000835A9">
        <w:rPr>
          <w:rFonts w:ascii="Palatino Linotype" w:hAnsi="Palatino Linotype"/>
        </w:rPr>
        <w:t>INDEBIDAMENTE</w:t>
      </w:r>
      <w:r w:rsidRPr="000835A9">
        <w:rPr>
          <w:rFonts w:ascii="Palatino Linotype" w:hAnsi="Palatino Linotype"/>
          <w:i/>
        </w:rPr>
        <w:t xml:space="preserve"> POR NO RESPETARLOS SE DEBE ATENDER AL PRESUPUESTO QUE CONSIDERÓ EL LEGISLADOR AL FIJARLOS Y LAS CARACTERÍSTICAS DEL CASO.”</w:t>
      </w:r>
      <w:r w:rsidRPr="000835A9">
        <w:rPr>
          <w:rFonts w:ascii="Palatino Linotype" w:hAnsi="Palatino Linotype"/>
        </w:rPr>
        <w:t>, visible en la Gaceta del Seminario Judicial de la Federación con el registro digital 205635.</w:t>
      </w:r>
    </w:p>
    <w:p w14:paraId="18B4F2DE" w14:textId="77777777" w:rsidR="00C640EA" w:rsidRPr="000835A9" w:rsidRDefault="00C640EA" w:rsidP="00C640EA">
      <w:pPr>
        <w:spacing w:line="360" w:lineRule="auto"/>
        <w:jc w:val="both"/>
        <w:rPr>
          <w:rFonts w:ascii="Palatino Linotype" w:hAnsi="Palatino Linotype"/>
        </w:rPr>
      </w:pPr>
    </w:p>
    <w:p w14:paraId="18B4F2DF"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B4F2E0" w14:textId="77777777" w:rsidR="00C640EA" w:rsidRPr="000835A9" w:rsidRDefault="00C640EA" w:rsidP="00C640EA">
      <w:pPr>
        <w:pStyle w:val="Prrafodelista"/>
        <w:spacing w:line="360" w:lineRule="auto"/>
        <w:rPr>
          <w:rFonts w:ascii="Palatino Linotype" w:hAnsi="Palatino Linotype"/>
        </w:rPr>
      </w:pPr>
    </w:p>
    <w:p w14:paraId="18B4F2E1"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8B4F2E2" w14:textId="77777777" w:rsidR="00C640EA" w:rsidRPr="000835A9" w:rsidRDefault="00C640EA" w:rsidP="00C640EA">
      <w:pPr>
        <w:spacing w:line="360" w:lineRule="auto"/>
        <w:jc w:val="both"/>
        <w:rPr>
          <w:rFonts w:ascii="Palatino Linotype" w:hAnsi="Palatino Linotype"/>
        </w:rPr>
      </w:pPr>
    </w:p>
    <w:p w14:paraId="18B4F2E3" w14:textId="77777777" w:rsidR="00C640EA" w:rsidRPr="000835A9" w:rsidRDefault="00C640EA" w:rsidP="00C640EA">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8B4F2E4" w14:textId="77777777" w:rsidR="00C640EA" w:rsidRPr="000D5D5F" w:rsidRDefault="00C640EA" w:rsidP="00C640EA">
      <w:pPr>
        <w:spacing w:line="360" w:lineRule="auto"/>
        <w:jc w:val="both"/>
        <w:rPr>
          <w:rFonts w:ascii="Palatino Linotype" w:hAnsi="Palatino Linotype"/>
          <w:sz w:val="22"/>
        </w:rPr>
      </w:pPr>
    </w:p>
    <w:p w14:paraId="18B4F2E5" w14:textId="77777777" w:rsidR="00C640EA" w:rsidRPr="000D5D5F" w:rsidRDefault="00C640EA" w:rsidP="00C640EA">
      <w:pPr>
        <w:spacing w:line="360" w:lineRule="auto"/>
        <w:ind w:left="425" w:right="476"/>
        <w:jc w:val="both"/>
        <w:rPr>
          <w:rFonts w:ascii="Palatino Linotype" w:hAnsi="Palatino Linotype"/>
          <w:sz w:val="22"/>
        </w:rPr>
      </w:pPr>
      <w:r w:rsidRPr="000D5D5F">
        <w:rPr>
          <w:rFonts w:ascii="Palatino Linotype" w:hAnsi="Palatino Linotype"/>
          <w:sz w:val="22"/>
        </w:rPr>
        <w:t xml:space="preserve"> </w:t>
      </w:r>
      <w:r w:rsidRPr="000D5D5F">
        <w:rPr>
          <w:rFonts w:ascii="Palatino Linotype" w:hAnsi="Palatino Linotype"/>
          <w:i/>
          <w:sz w:val="22"/>
        </w:rPr>
        <w:t>“PLAZO RAZONABLE PARA RESOLVER. DIMENSIÓN Y EFECTOS DE ESTE CONCEPTO CUANDO SE ADUCE EXCESIVA CARGA DE TRABAJO.”</w:t>
      </w:r>
      <w:r w:rsidRPr="000D5D5F">
        <w:rPr>
          <w:rFonts w:ascii="Palatino Linotype" w:hAnsi="Palatino Linotype"/>
          <w:sz w:val="22"/>
        </w:rPr>
        <w:t xml:space="preserve"> consultable en el Seminario Judicial de la Federación y su gaceta, con el registro digital 2002351.</w:t>
      </w:r>
    </w:p>
    <w:p w14:paraId="18B4F2E6" w14:textId="77777777" w:rsidR="00C640EA" w:rsidRPr="000D5D5F" w:rsidRDefault="00C640EA" w:rsidP="00C640EA">
      <w:pPr>
        <w:spacing w:line="360" w:lineRule="auto"/>
        <w:ind w:left="425" w:right="476"/>
        <w:jc w:val="both"/>
        <w:rPr>
          <w:rFonts w:ascii="Palatino Linotype" w:hAnsi="Palatino Linotype"/>
          <w:b/>
          <w:sz w:val="22"/>
        </w:rPr>
      </w:pPr>
    </w:p>
    <w:p w14:paraId="18B4F2E7" w14:textId="77777777" w:rsidR="00C640EA" w:rsidRPr="000D5D5F" w:rsidRDefault="00C640EA" w:rsidP="00C640EA">
      <w:pPr>
        <w:spacing w:line="360" w:lineRule="auto"/>
        <w:ind w:left="425" w:right="476"/>
        <w:jc w:val="both"/>
        <w:rPr>
          <w:rFonts w:ascii="Palatino Linotype" w:hAnsi="Palatino Linotype"/>
          <w:sz w:val="22"/>
        </w:rPr>
      </w:pPr>
      <w:r w:rsidRPr="000D5D5F">
        <w:rPr>
          <w:rFonts w:ascii="Palatino Linotype" w:hAnsi="Palatino Linotype"/>
          <w:i/>
          <w:sz w:val="22"/>
        </w:rPr>
        <w:t>“PLAZO RAZONABLE PARA RESOLVER. CONCEPTO Y ELEMENTOS QUE LO INTEGRAN A LA LUZ DEL DERECHO INTERNACIONAL DE LOS DERECHOS HUMANOS.”</w:t>
      </w:r>
      <w:r w:rsidRPr="000D5D5F">
        <w:rPr>
          <w:rFonts w:ascii="Palatino Linotype" w:hAnsi="Palatino Linotype"/>
          <w:sz w:val="22"/>
        </w:rPr>
        <w:t>, visible en el Seminario Judicial de la Federación y su gaceta, con el registro digital 2002350.”</w:t>
      </w:r>
    </w:p>
    <w:p w14:paraId="18B4F2E8" w14:textId="77777777" w:rsidR="00423410" w:rsidRPr="000D5D5F" w:rsidRDefault="00423410" w:rsidP="000B650B">
      <w:pPr>
        <w:rPr>
          <w:rFonts w:ascii="Palatino Linotype" w:hAnsi="Palatino Linotype"/>
          <w:color w:val="000000" w:themeColor="text1"/>
          <w:sz w:val="22"/>
        </w:rPr>
      </w:pPr>
    </w:p>
    <w:p w14:paraId="18B4F2E9" w14:textId="77777777" w:rsidR="00A56791" w:rsidRPr="000835A9" w:rsidRDefault="007601B1" w:rsidP="00247898">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0835A9">
        <w:rPr>
          <w:rFonts w:ascii="Palatino Linotype" w:hAnsi="Palatino Linotype"/>
          <w:color w:val="000000" w:themeColor="text1"/>
        </w:rPr>
        <w:t xml:space="preserve">Finalmente </w:t>
      </w:r>
      <w:r w:rsidR="00D367B4" w:rsidRPr="000835A9">
        <w:rPr>
          <w:rFonts w:ascii="Palatino Linotype" w:hAnsi="Palatino Linotype"/>
          <w:color w:val="000000" w:themeColor="text1"/>
        </w:rPr>
        <w:t xml:space="preserve">mediante acuerdo de día </w:t>
      </w:r>
      <w:r w:rsidR="00C640EA" w:rsidRPr="000835A9">
        <w:rPr>
          <w:rFonts w:ascii="Palatino Linotype" w:hAnsi="Palatino Linotype"/>
          <w:color w:val="000000" w:themeColor="text1"/>
        </w:rPr>
        <w:t xml:space="preserve">veintiséis </w:t>
      </w:r>
      <w:r w:rsidR="006313B5" w:rsidRPr="000835A9">
        <w:rPr>
          <w:rFonts w:ascii="Palatino Linotype" w:hAnsi="Palatino Linotype"/>
          <w:color w:val="000000" w:themeColor="text1"/>
        </w:rPr>
        <w:t xml:space="preserve">de </w:t>
      </w:r>
      <w:r w:rsidR="00C640EA" w:rsidRPr="000835A9">
        <w:rPr>
          <w:rFonts w:ascii="Palatino Linotype" w:hAnsi="Palatino Linotype"/>
          <w:color w:val="000000" w:themeColor="text1"/>
        </w:rPr>
        <w:t>octu</w:t>
      </w:r>
      <w:r w:rsidR="006313B5" w:rsidRPr="000835A9">
        <w:rPr>
          <w:rFonts w:ascii="Palatino Linotype" w:hAnsi="Palatino Linotype"/>
          <w:color w:val="000000" w:themeColor="text1"/>
        </w:rPr>
        <w:t>bre del año en curso, se</w:t>
      </w:r>
      <w:r w:rsidR="0001674C" w:rsidRPr="000835A9">
        <w:rPr>
          <w:rFonts w:ascii="Palatino Linotype" w:hAnsi="Palatino Linotype"/>
          <w:color w:val="000000" w:themeColor="text1"/>
        </w:rPr>
        <w:t xml:space="preserve"> d</w:t>
      </w:r>
      <w:r w:rsidR="006672E1" w:rsidRPr="000835A9">
        <w:rPr>
          <w:rFonts w:ascii="Palatino Linotype" w:hAnsi="Palatino Linotype"/>
          <w:color w:val="000000" w:themeColor="text1"/>
        </w:rPr>
        <w:t>ecretó el cierre de instrucción</w:t>
      </w:r>
      <w:r w:rsidR="0001674C" w:rsidRPr="000835A9">
        <w:rPr>
          <w:rFonts w:ascii="Palatino Linotype" w:hAnsi="Palatino Linotype"/>
          <w:color w:val="000000" w:themeColor="text1"/>
        </w:rPr>
        <w:t xml:space="preserve">, </w:t>
      </w:r>
      <w:r w:rsidR="009F09BC" w:rsidRPr="000835A9">
        <w:rPr>
          <w:rFonts w:ascii="Palatino Linotype" w:hAnsi="Palatino Linotype" w:cs="Arial"/>
          <w:color w:val="000000" w:themeColor="text1"/>
        </w:rPr>
        <w:t>por lo que no habie</w:t>
      </w:r>
      <w:r w:rsidR="00C640EA" w:rsidRPr="000835A9">
        <w:rPr>
          <w:rFonts w:ascii="Palatino Linotype" w:hAnsi="Palatino Linotype" w:cs="Arial"/>
          <w:color w:val="000000" w:themeColor="text1"/>
        </w:rPr>
        <w:t>ndo más que hacer constar, y-</w:t>
      </w:r>
    </w:p>
    <w:p w14:paraId="18B4F2EA" w14:textId="77777777" w:rsidR="007601B1" w:rsidRPr="000835A9" w:rsidRDefault="007601B1" w:rsidP="00247898">
      <w:pPr>
        <w:pStyle w:val="Prrafodelista"/>
        <w:spacing w:line="360" w:lineRule="auto"/>
        <w:jc w:val="both"/>
        <w:rPr>
          <w:rFonts w:ascii="Palatino Linotype" w:hAnsi="Palatino Linotype"/>
          <w:b/>
          <w:color w:val="000000" w:themeColor="text1"/>
        </w:rPr>
      </w:pPr>
    </w:p>
    <w:p w14:paraId="18B4F2EB" w14:textId="77777777" w:rsidR="009F09BC" w:rsidRPr="000835A9" w:rsidRDefault="009F09BC" w:rsidP="00247898">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0835A9">
        <w:rPr>
          <w:rFonts w:ascii="Palatino Linotype" w:hAnsi="Palatino Linotype"/>
          <w:b/>
          <w:color w:val="000000" w:themeColor="text1"/>
          <w:sz w:val="24"/>
          <w:szCs w:val="24"/>
        </w:rPr>
        <w:t>CONSIDERANDO</w:t>
      </w:r>
      <w:bookmarkEnd w:id="133"/>
      <w:bookmarkEnd w:id="134"/>
    </w:p>
    <w:p w14:paraId="18B4F2EC" w14:textId="77777777" w:rsidR="009F09BC" w:rsidRPr="000835A9" w:rsidRDefault="009F09BC" w:rsidP="00247898">
      <w:pPr>
        <w:spacing w:line="360" w:lineRule="auto"/>
        <w:jc w:val="center"/>
        <w:rPr>
          <w:rFonts w:ascii="Palatino Linotype" w:hAnsi="Palatino Linotype"/>
          <w:color w:val="000000" w:themeColor="text1"/>
          <w:lang w:val="es-MX" w:eastAsia="en-US"/>
        </w:rPr>
      </w:pPr>
    </w:p>
    <w:p w14:paraId="18B4F2ED" w14:textId="77777777" w:rsidR="009F09BC" w:rsidRPr="000835A9" w:rsidRDefault="009F09BC" w:rsidP="00247898">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0835A9">
        <w:rPr>
          <w:rFonts w:ascii="Palatino Linotype" w:hAnsi="Palatino Linotype"/>
          <w:b/>
          <w:color w:val="000000" w:themeColor="text1"/>
          <w:sz w:val="24"/>
          <w:szCs w:val="24"/>
        </w:rPr>
        <w:t>PRIMERO. De la competencia</w:t>
      </w:r>
      <w:bookmarkEnd w:id="135"/>
      <w:bookmarkEnd w:id="136"/>
    </w:p>
    <w:p w14:paraId="18B4F2EE" w14:textId="77777777" w:rsidR="00353F1D" w:rsidRPr="000835A9"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0835A9">
        <w:rPr>
          <w:rFonts w:ascii="Palatino Linotype" w:eastAsia="Calibri" w:hAnsi="Palatino Linotype" w:cs="Arial"/>
          <w:color w:val="000000" w:themeColor="text1"/>
        </w:rPr>
        <w:t>fracción</w:t>
      </w:r>
      <w:r w:rsidRPr="000835A9">
        <w:rPr>
          <w:rFonts w:ascii="Palatino Linotype" w:hAnsi="Palatino Linotype"/>
        </w:rPr>
        <w:t xml:space="preserve"> IV de la Constitución Política de los Estados Unidos Mexicanos; 5, párrafos trigésimo segundo, trigésimo tercero y trigésimo cuarto, fracciones IV y V, de la </w:t>
      </w:r>
      <w:r w:rsidRPr="000835A9">
        <w:rPr>
          <w:rFonts w:ascii="Palatino Linotype" w:hAnsi="Palatino Linotype"/>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8B4F2EF" w14:textId="77777777" w:rsidR="009F09BC" w:rsidRPr="000835A9" w:rsidRDefault="009F09BC" w:rsidP="00247898">
      <w:pPr>
        <w:pStyle w:val="Prrafodelista"/>
        <w:spacing w:line="360" w:lineRule="auto"/>
        <w:ind w:left="0"/>
        <w:jc w:val="both"/>
        <w:rPr>
          <w:rFonts w:ascii="Palatino Linotype" w:eastAsia="Calibri" w:hAnsi="Palatino Linotype" w:cs="Times New Roman"/>
          <w:b/>
          <w:color w:val="000000" w:themeColor="text1"/>
          <w:lang w:val="es-ES"/>
        </w:rPr>
      </w:pPr>
    </w:p>
    <w:p w14:paraId="18B4F2F0" w14:textId="77777777" w:rsidR="009F09BC" w:rsidRPr="000835A9" w:rsidRDefault="009F09BC" w:rsidP="00247898">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0835A9">
        <w:rPr>
          <w:rFonts w:ascii="Palatino Linotype" w:hAnsi="Palatino Linotype"/>
          <w:b/>
          <w:color w:val="000000" w:themeColor="text1"/>
          <w:sz w:val="24"/>
          <w:szCs w:val="24"/>
        </w:rPr>
        <w:t>SEGUNDO. De la oportunidad y procedencia.</w:t>
      </w:r>
      <w:bookmarkEnd w:id="137"/>
      <w:bookmarkEnd w:id="138"/>
    </w:p>
    <w:p w14:paraId="18B4F2F1" w14:textId="77777777" w:rsidR="009F09BC" w:rsidRPr="00194C78" w:rsidRDefault="00425842"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eastAsia="Calibri" w:hAnsi="Palatino Linotype" w:cs="Arial"/>
          <w:color w:val="000000" w:themeColor="text1"/>
        </w:rPr>
        <w:t>El</w:t>
      </w:r>
      <w:r w:rsidR="00AD63B4" w:rsidRPr="000835A9">
        <w:rPr>
          <w:rFonts w:ascii="Palatino Linotype" w:eastAsia="Calibri" w:hAnsi="Palatino Linotype" w:cs="Arial"/>
          <w:color w:val="000000" w:themeColor="text1"/>
        </w:rPr>
        <w:t xml:space="preserve"> </w:t>
      </w:r>
      <w:r w:rsidR="009F09BC" w:rsidRPr="000835A9">
        <w:rPr>
          <w:rFonts w:ascii="Palatino Linotype" w:eastAsia="Calibri" w:hAnsi="Palatino Linotype" w:cs="Arial"/>
          <w:color w:val="000000" w:themeColor="text1"/>
        </w:rPr>
        <w:t xml:space="preserve">medio de impugnación fue presentado a través del </w:t>
      </w:r>
      <w:r w:rsidR="009F09BC" w:rsidRPr="000835A9">
        <w:rPr>
          <w:rFonts w:ascii="Palatino Linotype" w:eastAsia="Calibri" w:hAnsi="Palatino Linotype" w:cs="Arial"/>
          <w:b/>
          <w:color w:val="000000" w:themeColor="text1"/>
        </w:rPr>
        <w:t>SAIMEX,</w:t>
      </w:r>
      <w:r w:rsidR="009F09BC" w:rsidRPr="000835A9">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0835A9">
        <w:rPr>
          <w:rFonts w:ascii="Palatino Linotype" w:eastAsia="Calibri" w:hAnsi="Palatino Linotype" w:cs="Arial"/>
          <w:b/>
          <w:color w:val="000000" w:themeColor="text1"/>
        </w:rPr>
        <w:t>SUJETO OBLIGADO</w:t>
      </w:r>
      <w:r w:rsidRPr="000835A9">
        <w:rPr>
          <w:rFonts w:ascii="Palatino Linotype" w:eastAsia="Calibri" w:hAnsi="Palatino Linotype" w:cs="Arial"/>
          <w:color w:val="000000" w:themeColor="text1"/>
        </w:rPr>
        <w:t xml:space="preserve"> entregó su</w:t>
      </w:r>
      <w:r w:rsidR="009F09BC" w:rsidRPr="000835A9">
        <w:rPr>
          <w:rFonts w:ascii="Palatino Linotype" w:eastAsia="Calibri" w:hAnsi="Palatino Linotype" w:cs="Arial"/>
          <w:color w:val="000000" w:themeColor="text1"/>
        </w:rPr>
        <w:t xml:space="preserve"> respuesta </w:t>
      </w:r>
      <w:r w:rsidRPr="000835A9">
        <w:rPr>
          <w:rFonts w:ascii="Palatino Linotype" w:eastAsia="Calibri" w:hAnsi="Palatino Linotype" w:cs="Arial"/>
          <w:color w:val="000000" w:themeColor="text1"/>
        </w:rPr>
        <w:t>e</w:t>
      </w:r>
      <w:r w:rsidR="00E55966" w:rsidRPr="000835A9">
        <w:rPr>
          <w:rFonts w:ascii="Palatino Linotype" w:eastAsia="Calibri" w:hAnsi="Palatino Linotype" w:cs="Arial"/>
          <w:color w:val="000000" w:themeColor="text1"/>
        </w:rPr>
        <w:t xml:space="preserve">l </w:t>
      </w:r>
      <w:r w:rsidR="00C640EA" w:rsidRPr="000835A9">
        <w:rPr>
          <w:rFonts w:ascii="Palatino Linotype" w:eastAsia="Calibri" w:hAnsi="Palatino Linotype" w:cs="Arial"/>
          <w:color w:val="000000" w:themeColor="text1"/>
        </w:rPr>
        <w:t>seis de septiembre</w:t>
      </w:r>
      <w:r w:rsidRPr="000835A9">
        <w:rPr>
          <w:rFonts w:ascii="Palatino Linotype" w:eastAsia="Calibri" w:hAnsi="Palatino Linotype" w:cs="Arial"/>
          <w:color w:val="000000" w:themeColor="text1"/>
        </w:rPr>
        <w:t xml:space="preserve"> de dos mil </w:t>
      </w:r>
      <w:r w:rsidR="004D465B" w:rsidRPr="000835A9">
        <w:rPr>
          <w:rFonts w:ascii="Palatino Linotype" w:eastAsia="Calibri" w:hAnsi="Palatino Linotype" w:cs="Arial"/>
          <w:color w:val="000000" w:themeColor="text1"/>
        </w:rPr>
        <w:t>veintitrés</w:t>
      </w:r>
      <w:r w:rsidR="009F09BC" w:rsidRPr="000835A9">
        <w:rPr>
          <w:rFonts w:ascii="Palatino Linotype" w:eastAsia="Calibri" w:hAnsi="Palatino Linotype" w:cs="Arial"/>
          <w:color w:val="000000" w:themeColor="text1"/>
        </w:rPr>
        <w:t xml:space="preserve">, </w:t>
      </w:r>
      <w:r w:rsidR="009F09BC" w:rsidRPr="000835A9">
        <w:rPr>
          <w:rFonts w:ascii="Palatino Linotype" w:hAnsi="Palatino Linotype" w:cs="Arial"/>
          <w:color w:val="000000" w:themeColor="text1"/>
        </w:rPr>
        <w:t xml:space="preserve">de tal forma que </w:t>
      </w:r>
      <w:r w:rsidRPr="000835A9">
        <w:rPr>
          <w:rFonts w:ascii="Palatino Linotype" w:hAnsi="Palatino Linotype" w:cs="Arial"/>
          <w:color w:val="000000" w:themeColor="text1"/>
        </w:rPr>
        <w:t>e</w:t>
      </w:r>
      <w:r w:rsidR="009F09BC" w:rsidRPr="000835A9">
        <w:rPr>
          <w:rFonts w:ascii="Palatino Linotype" w:hAnsi="Palatino Linotype" w:cs="Arial"/>
          <w:color w:val="000000" w:themeColor="text1"/>
        </w:rPr>
        <w:t xml:space="preserve">l plazo para interponer </w:t>
      </w:r>
      <w:r w:rsidRPr="000835A9">
        <w:rPr>
          <w:rFonts w:ascii="Palatino Linotype" w:hAnsi="Palatino Linotype" w:cs="Arial"/>
          <w:color w:val="000000" w:themeColor="text1"/>
        </w:rPr>
        <w:t>e</w:t>
      </w:r>
      <w:r w:rsidR="009F09BC" w:rsidRPr="000835A9">
        <w:rPr>
          <w:rFonts w:ascii="Palatino Linotype" w:hAnsi="Palatino Linotype" w:cs="Arial"/>
          <w:color w:val="000000" w:themeColor="text1"/>
        </w:rPr>
        <w:t xml:space="preserve">l recurso de revisión </w:t>
      </w:r>
      <w:r w:rsidRPr="000835A9">
        <w:rPr>
          <w:rFonts w:ascii="Palatino Linotype" w:hAnsi="Palatino Linotype" w:cs="Arial"/>
          <w:color w:val="000000" w:themeColor="text1"/>
        </w:rPr>
        <w:t>transcurrió</w:t>
      </w:r>
      <w:r w:rsidR="009F09BC" w:rsidRPr="000835A9">
        <w:rPr>
          <w:rFonts w:ascii="Palatino Linotype" w:hAnsi="Palatino Linotype" w:cs="Arial"/>
          <w:color w:val="000000" w:themeColor="text1"/>
        </w:rPr>
        <w:t xml:space="preserve"> del día </w:t>
      </w:r>
      <w:r w:rsidR="00C640EA" w:rsidRPr="000835A9">
        <w:rPr>
          <w:rFonts w:ascii="Palatino Linotype" w:hAnsi="Palatino Linotype" w:cs="Arial"/>
          <w:color w:val="000000" w:themeColor="text1"/>
        </w:rPr>
        <w:t>siete</w:t>
      </w:r>
      <w:r w:rsidR="00EB1CE2" w:rsidRPr="000835A9">
        <w:rPr>
          <w:rFonts w:ascii="Palatino Linotype" w:hAnsi="Palatino Linotype" w:cs="Arial"/>
          <w:color w:val="000000" w:themeColor="text1"/>
        </w:rPr>
        <w:t xml:space="preserve"> de </w:t>
      </w:r>
      <w:r w:rsidR="00C640EA" w:rsidRPr="000835A9">
        <w:rPr>
          <w:rFonts w:ascii="Palatino Linotype" w:hAnsi="Palatino Linotype" w:cs="Arial"/>
          <w:color w:val="000000" w:themeColor="text1"/>
        </w:rPr>
        <w:t>septiembre</w:t>
      </w:r>
      <w:r w:rsidR="00EB1CE2" w:rsidRPr="000835A9">
        <w:rPr>
          <w:rFonts w:ascii="Palatino Linotype" w:hAnsi="Palatino Linotype" w:cs="Arial"/>
          <w:color w:val="000000" w:themeColor="text1"/>
        </w:rPr>
        <w:t xml:space="preserve"> </w:t>
      </w:r>
      <w:r w:rsidR="00E55966" w:rsidRPr="000835A9">
        <w:rPr>
          <w:rFonts w:ascii="Palatino Linotype" w:hAnsi="Palatino Linotype" w:cs="Arial"/>
          <w:color w:val="000000" w:themeColor="text1"/>
        </w:rPr>
        <w:t xml:space="preserve">al </w:t>
      </w:r>
      <w:r w:rsidR="00C640EA" w:rsidRPr="000835A9">
        <w:rPr>
          <w:rFonts w:ascii="Palatino Linotype" w:hAnsi="Palatino Linotype" w:cs="Arial"/>
          <w:color w:val="000000" w:themeColor="text1"/>
        </w:rPr>
        <w:t>veintisiete</w:t>
      </w:r>
      <w:r w:rsidR="00EB1CE2" w:rsidRPr="000835A9">
        <w:rPr>
          <w:rFonts w:ascii="Palatino Linotype" w:hAnsi="Palatino Linotype" w:cs="Arial"/>
          <w:color w:val="000000" w:themeColor="text1"/>
        </w:rPr>
        <w:t xml:space="preserve"> de </w:t>
      </w:r>
      <w:r w:rsidR="006313B5" w:rsidRPr="000835A9">
        <w:rPr>
          <w:rFonts w:ascii="Palatino Linotype" w:hAnsi="Palatino Linotype" w:cs="Arial"/>
          <w:color w:val="000000" w:themeColor="text1"/>
        </w:rPr>
        <w:t>septiembre</w:t>
      </w:r>
      <w:r w:rsidR="0001674C" w:rsidRPr="000835A9">
        <w:rPr>
          <w:rFonts w:ascii="Palatino Linotype" w:hAnsi="Palatino Linotype" w:cs="Arial"/>
          <w:color w:val="000000" w:themeColor="text1"/>
        </w:rPr>
        <w:t xml:space="preserve"> de dos mil </w:t>
      </w:r>
      <w:r w:rsidR="004D465B" w:rsidRPr="000835A9">
        <w:rPr>
          <w:rFonts w:ascii="Palatino Linotype" w:hAnsi="Palatino Linotype" w:cs="Arial"/>
          <w:color w:val="000000" w:themeColor="text1"/>
        </w:rPr>
        <w:t>veintitrés</w:t>
      </w:r>
      <w:r w:rsidR="0001674C" w:rsidRPr="000835A9">
        <w:rPr>
          <w:rFonts w:ascii="Palatino Linotype" w:hAnsi="Palatino Linotype" w:cs="Arial"/>
          <w:color w:val="000000" w:themeColor="text1"/>
        </w:rPr>
        <w:t>; e</w:t>
      </w:r>
      <w:r w:rsidR="009F09BC" w:rsidRPr="000835A9">
        <w:rPr>
          <w:rFonts w:ascii="Palatino Linotype" w:hAnsi="Palatino Linotype" w:cs="Arial"/>
          <w:color w:val="000000" w:themeColor="text1"/>
        </w:rPr>
        <w:t xml:space="preserve">n consecuencia, </w:t>
      </w:r>
      <w:r w:rsidR="00D5729F" w:rsidRPr="000835A9">
        <w:rPr>
          <w:rFonts w:ascii="Palatino Linotype" w:hAnsi="Palatino Linotype" w:cs="Arial"/>
          <w:color w:val="000000" w:themeColor="text1"/>
        </w:rPr>
        <w:t>e</w:t>
      </w:r>
      <w:r w:rsidR="009F09BC" w:rsidRPr="000835A9">
        <w:rPr>
          <w:rFonts w:ascii="Palatino Linotype" w:hAnsi="Palatino Linotype" w:cs="Arial"/>
          <w:color w:val="000000" w:themeColor="text1"/>
        </w:rPr>
        <w:t xml:space="preserve">l ahora </w:t>
      </w:r>
      <w:r w:rsidR="009F09BC" w:rsidRPr="000835A9">
        <w:rPr>
          <w:rFonts w:ascii="Palatino Linotype" w:hAnsi="Palatino Linotype" w:cs="Arial"/>
          <w:b/>
          <w:color w:val="000000" w:themeColor="text1"/>
        </w:rPr>
        <w:t>RECURRENTE</w:t>
      </w:r>
      <w:r w:rsidR="009F09BC" w:rsidRPr="000835A9">
        <w:rPr>
          <w:rFonts w:ascii="Palatino Linotype" w:hAnsi="Palatino Linotype" w:cs="Arial"/>
          <w:color w:val="000000" w:themeColor="text1"/>
        </w:rPr>
        <w:t xml:space="preserve"> presentó </w:t>
      </w:r>
      <w:r w:rsidR="00CA1063" w:rsidRPr="000835A9">
        <w:rPr>
          <w:rFonts w:ascii="Palatino Linotype" w:hAnsi="Palatino Linotype" w:cs="Arial"/>
          <w:color w:val="000000" w:themeColor="text1"/>
        </w:rPr>
        <w:t xml:space="preserve">su inconformidad el día </w:t>
      </w:r>
      <w:r w:rsidR="00C640EA" w:rsidRPr="000835A9">
        <w:rPr>
          <w:rFonts w:ascii="Palatino Linotype" w:hAnsi="Palatino Linotype" w:cs="Arial"/>
          <w:color w:val="000000" w:themeColor="text1"/>
        </w:rPr>
        <w:t>doc</w:t>
      </w:r>
      <w:r w:rsidR="00F54259" w:rsidRPr="000835A9">
        <w:rPr>
          <w:rFonts w:ascii="Palatino Linotype" w:hAnsi="Palatino Linotype" w:cs="Arial"/>
          <w:color w:val="000000" w:themeColor="text1"/>
        </w:rPr>
        <w:t>e</w:t>
      </w:r>
      <w:r w:rsidR="006313B5" w:rsidRPr="000835A9">
        <w:rPr>
          <w:rFonts w:ascii="Palatino Linotype" w:hAnsi="Palatino Linotype" w:cs="Arial"/>
          <w:color w:val="000000" w:themeColor="text1"/>
        </w:rPr>
        <w:t xml:space="preserve"> de </w:t>
      </w:r>
      <w:r w:rsidR="00C640EA" w:rsidRPr="000835A9">
        <w:rPr>
          <w:rFonts w:ascii="Palatino Linotype" w:hAnsi="Palatino Linotype" w:cs="Arial"/>
          <w:color w:val="000000" w:themeColor="text1"/>
        </w:rPr>
        <w:t>septiembre</w:t>
      </w:r>
      <w:r w:rsidR="007142D6" w:rsidRPr="000835A9">
        <w:rPr>
          <w:rFonts w:ascii="Palatino Linotype" w:hAnsi="Palatino Linotype" w:cs="Arial"/>
          <w:color w:val="000000" w:themeColor="text1"/>
        </w:rPr>
        <w:t xml:space="preserve"> de dos mil </w:t>
      </w:r>
      <w:r w:rsidR="004D465B" w:rsidRPr="000835A9">
        <w:rPr>
          <w:rFonts w:ascii="Palatino Linotype" w:hAnsi="Palatino Linotype" w:cs="Arial"/>
          <w:color w:val="000000" w:themeColor="text1"/>
        </w:rPr>
        <w:t>veintitrés</w:t>
      </w:r>
      <w:r w:rsidR="009F09BC" w:rsidRPr="000835A9">
        <w:rPr>
          <w:rFonts w:ascii="Palatino Linotype" w:hAnsi="Palatino Linotype" w:cs="Arial"/>
          <w:color w:val="000000" w:themeColor="text1"/>
        </w:rPr>
        <w:t xml:space="preserve">; </w:t>
      </w:r>
      <w:r w:rsidR="0062406B" w:rsidRPr="000835A9">
        <w:rPr>
          <w:rFonts w:ascii="Palatino Linotype" w:hAnsi="Palatino Linotype" w:cs="Arial"/>
          <w:color w:val="000000" w:themeColor="text1"/>
        </w:rPr>
        <w:t xml:space="preserve">es decir </w:t>
      </w:r>
      <w:r w:rsidR="00F54259" w:rsidRPr="000835A9">
        <w:rPr>
          <w:rFonts w:ascii="Palatino Linotype" w:hAnsi="Palatino Linotype" w:cs="Arial"/>
          <w:color w:val="000000" w:themeColor="text1"/>
        </w:rPr>
        <w:t>dentro</w:t>
      </w:r>
      <w:r w:rsidR="0082142B" w:rsidRPr="000835A9">
        <w:rPr>
          <w:rFonts w:ascii="Palatino Linotype" w:hAnsi="Palatino Linotype" w:cs="Arial"/>
          <w:color w:val="000000" w:themeColor="text1"/>
        </w:rPr>
        <w:t xml:space="preserve"> d</w:t>
      </w:r>
      <w:r w:rsidR="009F09BC" w:rsidRPr="000835A9">
        <w:rPr>
          <w:rFonts w:ascii="Palatino Linotype" w:hAnsi="Palatino Linotype" w:cs="Arial"/>
          <w:color w:val="000000" w:themeColor="text1"/>
        </w:rPr>
        <w:t>el lapso legalmente establecido para tal efecto.</w:t>
      </w:r>
    </w:p>
    <w:p w14:paraId="18B4F2F2" w14:textId="77777777" w:rsidR="00194C78" w:rsidRPr="000835A9" w:rsidRDefault="00194C78" w:rsidP="00194C78">
      <w:pPr>
        <w:pStyle w:val="Prrafodelista"/>
        <w:spacing w:line="360" w:lineRule="auto"/>
        <w:ind w:left="0"/>
        <w:jc w:val="both"/>
        <w:rPr>
          <w:rFonts w:ascii="Palatino Linotype" w:hAnsi="Palatino Linotype"/>
          <w:color w:val="000000" w:themeColor="text1"/>
        </w:rPr>
      </w:pPr>
    </w:p>
    <w:p w14:paraId="18B4F2F3" w14:textId="77777777" w:rsidR="006313B5" w:rsidRPr="000835A9"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 xml:space="preserve">Por otro lado, de la revisión al expediente electrónico del SAIMEX se desprende que la </w:t>
      </w:r>
      <w:r w:rsidRPr="000835A9">
        <w:rPr>
          <w:rFonts w:ascii="Palatino Linotype" w:eastAsia="Calibri" w:hAnsi="Palatino Linotype" w:cs="Arial"/>
          <w:color w:val="000000" w:themeColor="text1"/>
        </w:rPr>
        <w:t>parte</w:t>
      </w:r>
      <w:r w:rsidRPr="000835A9">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w:t>
      </w:r>
      <w:r w:rsidRPr="000835A9">
        <w:rPr>
          <w:rFonts w:ascii="Palatino Linotype" w:hAnsi="Palatino Linotype"/>
          <w:color w:val="000000" w:themeColor="text1"/>
        </w:rPr>
        <w:lastRenderedPageBreak/>
        <w:t>de acceso a la información, ello en estricto apego al numeral 155 párrafo tercero de la Ley de la materia, en concatenación con el 180 del mismo ordenamiento.</w:t>
      </w:r>
    </w:p>
    <w:p w14:paraId="18B4F2F4" w14:textId="77777777" w:rsidR="00060552" w:rsidRPr="000835A9" w:rsidRDefault="00060552" w:rsidP="00247898">
      <w:pPr>
        <w:pStyle w:val="Prrafodelista"/>
        <w:spacing w:line="360" w:lineRule="auto"/>
        <w:jc w:val="both"/>
        <w:rPr>
          <w:rFonts w:ascii="Palatino Linotype" w:hAnsi="Palatino Linotype"/>
          <w:color w:val="000000" w:themeColor="text1"/>
        </w:rPr>
      </w:pPr>
    </w:p>
    <w:p w14:paraId="18B4F2F5" w14:textId="77777777" w:rsidR="006313B5" w:rsidRPr="000835A9"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B4F2F6" w14:textId="77777777" w:rsidR="006313B5" w:rsidRPr="000835A9" w:rsidRDefault="006313B5" w:rsidP="00247898">
      <w:pPr>
        <w:pStyle w:val="Prrafodelista"/>
        <w:spacing w:line="360" w:lineRule="auto"/>
        <w:jc w:val="both"/>
        <w:rPr>
          <w:rFonts w:ascii="Palatino Linotype" w:hAnsi="Palatino Linotype"/>
          <w:color w:val="000000" w:themeColor="text1"/>
        </w:rPr>
      </w:pPr>
    </w:p>
    <w:p w14:paraId="18B4F2F7" w14:textId="77777777" w:rsidR="006313B5"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8B4F2F8" w14:textId="77777777" w:rsidR="000D5D5F" w:rsidRPr="000D5D5F" w:rsidRDefault="000D5D5F" w:rsidP="000D5D5F">
      <w:pPr>
        <w:pStyle w:val="Prrafodelista"/>
        <w:rPr>
          <w:rFonts w:ascii="Palatino Linotype" w:hAnsi="Palatino Linotype"/>
          <w:color w:val="000000" w:themeColor="text1"/>
        </w:rPr>
      </w:pPr>
    </w:p>
    <w:p w14:paraId="18B4F2F9" w14:textId="77777777" w:rsidR="000D5D5F" w:rsidRPr="000D5D5F" w:rsidRDefault="000D5D5F" w:rsidP="000D5D5F">
      <w:pPr>
        <w:spacing w:line="360" w:lineRule="auto"/>
        <w:jc w:val="both"/>
        <w:rPr>
          <w:rFonts w:ascii="Palatino Linotype" w:hAnsi="Palatino Linotype"/>
          <w:color w:val="000000" w:themeColor="text1"/>
        </w:rPr>
      </w:pPr>
    </w:p>
    <w:p w14:paraId="18B4F2FA" w14:textId="77777777" w:rsidR="006313B5" w:rsidRPr="000835A9"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8B4F2FB" w14:textId="77777777" w:rsidR="006313B5" w:rsidRPr="000835A9" w:rsidRDefault="006313B5" w:rsidP="00247898">
      <w:pPr>
        <w:pStyle w:val="Prrafodelista"/>
        <w:spacing w:line="360" w:lineRule="auto"/>
        <w:jc w:val="both"/>
        <w:rPr>
          <w:rFonts w:ascii="Palatino Linotype" w:hAnsi="Palatino Linotype"/>
          <w:color w:val="000000" w:themeColor="text1"/>
        </w:rPr>
      </w:pPr>
    </w:p>
    <w:p w14:paraId="18B4F2FC" w14:textId="77777777" w:rsidR="006313B5" w:rsidRPr="000835A9"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 xml:space="preserve">Por </w:t>
      </w:r>
      <w:r w:rsidR="00060552" w:rsidRPr="000835A9">
        <w:rPr>
          <w:rFonts w:ascii="Palatino Linotype" w:hAnsi="Palatino Linotype"/>
          <w:color w:val="000000" w:themeColor="text1"/>
        </w:rPr>
        <w:t>lo que el nombre del solicitante</w:t>
      </w:r>
      <w:r w:rsidRPr="000835A9">
        <w:rPr>
          <w:rFonts w:ascii="Palatino Linotype" w:hAnsi="Palatino Linotype"/>
          <w:color w:val="000000" w:themeColor="text1"/>
        </w:rPr>
        <w:t xml:space="preserv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8B4F2FD" w14:textId="77777777" w:rsidR="00EB1CE2" w:rsidRPr="000835A9" w:rsidRDefault="00EB1CE2" w:rsidP="00247898">
      <w:pPr>
        <w:pStyle w:val="Prrafodelista"/>
        <w:spacing w:line="360" w:lineRule="auto"/>
        <w:jc w:val="both"/>
        <w:rPr>
          <w:rFonts w:ascii="Palatino Linotype" w:eastAsia="Calibri" w:hAnsi="Palatino Linotype" w:cs="Arial"/>
          <w:color w:val="000000" w:themeColor="text1"/>
        </w:rPr>
      </w:pPr>
    </w:p>
    <w:p w14:paraId="18B4F2FE" w14:textId="77777777" w:rsidR="009F09BC" w:rsidRPr="000835A9" w:rsidRDefault="008E32EE"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eastAsia="Calibri" w:hAnsi="Palatino Linotype" w:cs="Arial"/>
          <w:color w:val="000000" w:themeColor="text1"/>
        </w:rPr>
        <w:t>Por último</w:t>
      </w:r>
      <w:r w:rsidR="009F09BC" w:rsidRPr="000835A9">
        <w:rPr>
          <w:rFonts w:ascii="Palatino Linotype" w:eastAsia="Calibri" w:hAnsi="Palatino Linotype" w:cs="Arial"/>
          <w:color w:val="000000" w:themeColor="text1"/>
        </w:rPr>
        <w:t xml:space="preserve">, </w:t>
      </w:r>
      <w:r w:rsidR="00CF0D2B" w:rsidRPr="000835A9">
        <w:rPr>
          <w:rFonts w:ascii="Palatino Linotype" w:eastAsia="Calibri" w:hAnsi="Palatino Linotype" w:cs="Arial"/>
          <w:color w:val="000000" w:themeColor="text1"/>
        </w:rPr>
        <w:t>e</w:t>
      </w:r>
      <w:r w:rsidR="009F09BC" w:rsidRPr="000835A9">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8B4F2FF" w14:textId="77777777" w:rsidR="00060552" w:rsidRPr="000835A9" w:rsidRDefault="00060552" w:rsidP="00247898">
      <w:pPr>
        <w:pStyle w:val="Prrafodelista"/>
        <w:spacing w:line="360" w:lineRule="auto"/>
        <w:jc w:val="both"/>
        <w:rPr>
          <w:rFonts w:ascii="Palatino Linotype" w:hAnsi="Palatino Linotype"/>
          <w:color w:val="000000" w:themeColor="text1"/>
        </w:rPr>
      </w:pPr>
    </w:p>
    <w:p w14:paraId="18B4F300" w14:textId="77777777" w:rsidR="009F09BC" w:rsidRPr="000835A9" w:rsidRDefault="009F09BC" w:rsidP="00247898">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0835A9">
        <w:rPr>
          <w:rFonts w:ascii="Palatino Linotype" w:hAnsi="Palatino Linotype"/>
          <w:b/>
          <w:color w:val="000000" w:themeColor="text1"/>
          <w:sz w:val="24"/>
          <w:szCs w:val="24"/>
        </w:rPr>
        <w:t xml:space="preserve">TERCERO. </w:t>
      </w:r>
      <w:bookmarkStart w:id="143" w:name="_Toc501021589"/>
      <w:r w:rsidRPr="000835A9">
        <w:rPr>
          <w:rFonts w:ascii="Palatino Linotype" w:hAnsi="Palatino Linotype"/>
          <w:b/>
          <w:color w:val="000000" w:themeColor="text1"/>
          <w:sz w:val="24"/>
          <w:szCs w:val="24"/>
        </w:rPr>
        <w:t>De</w:t>
      </w:r>
      <w:r w:rsidR="00EA660A" w:rsidRPr="000835A9">
        <w:rPr>
          <w:rFonts w:ascii="Palatino Linotype" w:hAnsi="Palatino Linotype"/>
          <w:b/>
          <w:color w:val="000000" w:themeColor="text1"/>
          <w:sz w:val="24"/>
          <w:szCs w:val="24"/>
        </w:rPr>
        <w:t xml:space="preserve"> las causales de sobreseimiento</w:t>
      </w:r>
      <w:r w:rsidRPr="000835A9">
        <w:rPr>
          <w:rFonts w:ascii="Palatino Linotype" w:hAnsi="Palatino Linotype"/>
          <w:b/>
          <w:color w:val="000000" w:themeColor="text1"/>
          <w:sz w:val="24"/>
          <w:szCs w:val="24"/>
        </w:rPr>
        <w:t>.</w:t>
      </w:r>
      <w:bookmarkEnd w:id="139"/>
      <w:bookmarkEnd w:id="140"/>
      <w:bookmarkEnd w:id="141"/>
      <w:bookmarkEnd w:id="142"/>
      <w:bookmarkEnd w:id="143"/>
    </w:p>
    <w:p w14:paraId="18B4F301" w14:textId="77777777" w:rsidR="00134CE6" w:rsidRPr="000835A9" w:rsidRDefault="00134CE6" w:rsidP="00274AA4">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lang w:val="es-ES"/>
        </w:rPr>
        <w:t xml:space="preserve">La solicitud de información consistió en </w:t>
      </w:r>
      <w:r w:rsidRPr="000835A9">
        <w:rPr>
          <w:rFonts w:ascii="Palatino Linotype" w:hAnsi="Palatino Linotype"/>
          <w:color w:val="000000" w:themeColor="text1"/>
        </w:rPr>
        <w:t xml:space="preserve">requerir la </w:t>
      </w:r>
      <w:r w:rsidR="008E32EE" w:rsidRPr="000835A9">
        <w:rPr>
          <w:rFonts w:ascii="Palatino Linotype" w:hAnsi="Palatino Linotype"/>
          <w:color w:val="000000" w:themeColor="text1"/>
        </w:rPr>
        <w:t xml:space="preserve">información que ya se ha tenido a bien </w:t>
      </w:r>
      <w:r w:rsidR="008E32EE" w:rsidRPr="000835A9">
        <w:rPr>
          <w:rFonts w:ascii="Palatino Linotype" w:eastAsia="Calibri" w:hAnsi="Palatino Linotype" w:cs="Arial"/>
          <w:color w:val="000000" w:themeColor="text1"/>
        </w:rPr>
        <w:t>transcribir</w:t>
      </w:r>
      <w:r w:rsidR="008E32EE" w:rsidRPr="000835A9">
        <w:rPr>
          <w:rFonts w:ascii="Palatino Linotype" w:hAnsi="Palatino Linotype"/>
          <w:color w:val="000000" w:themeColor="text1"/>
        </w:rPr>
        <w:t xml:space="preserve"> en el anterior párrafo 1, en respuesta, el </w:t>
      </w:r>
      <w:r w:rsidR="008E32EE" w:rsidRPr="000835A9">
        <w:rPr>
          <w:rFonts w:ascii="Palatino Linotype" w:hAnsi="Palatino Linotype"/>
          <w:b/>
          <w:color w:val="000000" w:themeColor="text1"/>
        </w:rPr>
        <w:t>SUJETO OBLIGADO</w:t>
      </w:r>
      <w:r w:rsidR="008E32EE" w:rsidRPr="000835A9">
        <w:rPr>
          <w:rFonts w:ascii="Palatino Linotype" w:hAnsi="Palatino Linotype"/>
          <w:color w:val="000000" w:themeColor="text1"/>
        </w:rPr>
        <w:t xml:space="preserve"> </w:t>
      </w:r>
      <w:r w:rsidR="00EB1CE2" w:rsidRPr="000835A9">
        <w:rPr>
          <w:rFonts w:ascii="Palatino Linotype" w:hAnsi="Palatino Linotype"/>
          <w:color w:val="000000" w:themeColor="text1"/>
        </w:rPr>
        <w:t xml:space="preserve">remitió un archivo de cuyo contenido se advierte </w:t>
      </w:r>
      <w:r w:rsidR="00C640EA" w:rsidRPr="000835A9">
        <w:rPr>
          <w:rFonts w:ascii="Palatino Linotype" w:hAnsi="Palatino Linotype"/>
          <w:color w:val="000000" w:themeColor="text1"/>
        </w:rPr>
        <w:t>información estadística relacionada con lo peticionado</w:t>
      </w:r>
      <w:r w:rsidR="007C3C29" w:rsidRPr="000835A9">
        <w:rPr>
          <w:rFonts w:ascii="Palatino Linotype" w:hAnsi="Palatino Linotype"/>
          <w:color w:val="000000" w:themeColor="text1"/>
        </w:rPr>
        <w:t xml:space="preserve">; </w:t>
      </w:r>
      <w:r w:rsidR="00103414" w:rsidRPr="000835A9">
        <w:rPr>
          <w:rFonts w:ascii="Palatino Linotype" w:hAnsi="Palatino Linotype"/>
          <w:color w:val="000000" w:themeColor="text1"/>
        </w:rPr>
        <w:t>in</w:t>
      </w:r>
      <w:r w:rsidR="007C3C29" w:rsidRPr="000835A9">
        <w:rPr>
          <w:rFonts w:ascii="Palatino Linotype" w:hAnsi="Palatino Linotype"/>
          <w:color w:val="000000" w:themeColor="text1"/>
        </w:rPr>
        <w:t>conforme con la respuesta</w:t>
      </w:r>
      <w:r w:rsidRPr="000835A9">
        <w:rPr>
          <w:rFonts w:ascii="Palatino Linotype" w:hAnsi="Palatino Linotype"/>
          <w:color w:val="000000" w:themeColor="text1"/>
        </w:rPr>
        <w:t xml:space="preserve">, el particular interpuso el recurso de revisión que hoy </w:t>
      </w:r>
      <w:r w:rsidR="00531473" w:rsidRPr="000835A9">
        <w:rPr>
          <w:rFonts w:ascii="Palatino Linotype" w:hAnsi="Palatino Linotype"/>
          <w:color w:val="000000" w:themeColor="text1"/>
        </w:rPr>
        <w:t>nos ocupa señalando como motivo</w:t>
      </w:r>
      <w:r w:rsidRPr="000835A9">
        <w:rPr>
          <w:rFonts w:ascii="Palatino Linotype" w:hAnsi="Palatino Linotype"/>
          <w:color w:val="000000" w:themeColor="text1"/>
        </w:rPr>
        <w:t xml:space="preserve"> de </w:t>
      </w:r>
      <w:r w:rsidRPr="000835A9">
        <w:rPr>
          <w:rFonts w:ascii="Palatino Linotype" w:hAnsi="Palatino Linotype"/>
          <w:color w:val="000000" w:themeColor="text1"/>
        </w:rPr>
        <w:lastRenderedPageBreak/>
        <w:t>inconformidad</w:t>
      </w:r>
      <w:r w:rsidR="00274AA4" w:rsidRPr="000835A9">
        <w:rPr>
          <w:rFonts w:ascii="Palatino Linotype" w:hAnsi="Palatino Linotype"/>
          <w:color w:val="000000" w:themeColor="text1"/>
        </w:rPr>
        <w:t xml:space="preserve">: </w:t>
      </w:r>
      <w:r w:rsidR="00274AA4" w:rsidRPr="000835A9">
        <w:rPr>
          <w:rFonts w:ascii="Palatino Linotype" w:hAnsi="Palatino Linotype"/>
          <w:i/>
          <w:color w:val="000000" w:themeColor="text1"/>
        </w:rPr>
        <w:t>“LOS DATOS NO COINCIDEN CON LO PUBLICADO POR LAS AUTORIDADES ESTATALES</w:t>
      </w:r>
      <w:r w:rsidR="007C3C29" w:rsidRPr="000835A9">
        <w:rPr>
          <w:rFonts w:ascii="Palatino Linotype" w:hAnsi="Palatino Linotype"/>
          <w:i/>
          <w:color w:val="000000" w:themeColor="text1"/>
        </w:rPr>
        <w:t>.</w:t>
      </w:r>
      <w:r w:rsidR="00274AA4" w:rsidRPr="000835A9">
        <w:rPr>
          <w:rFonts w:ascii="Palatino Linotype" w:hAnsi="Palatino Linotype"/>
          <w:i/>
          <w:color w:val="000000" w:themeColor="text1"/>
        </w:rPr>
        <w:t>”</w:t>
      </w:r>
    </w:p>
    <w:p w14:paraId="18B4F302" w14:textId="77777777" w:rsidR="00134CE6" w:rsidRPr="000835A9" w:rsidRDefault="00134CE6" w:rsidP="00247898">
      <w:pPr>
        <w:pStyle w:val="Prrafodelista"/>
        <w:spacing w:line="360" w:lineRule="auto"/>
        <w:jc w:val="both"/>
        <w:rPr>
          <w:rFonts w:ascii="Palatino Linotype" w:hAnsi="Palatino Linotype"/>
          <w:color w:val="000000" w:themeColor="text1"/>
        </w:rPr>
      </w:pPr>
    </w:p>
    <w:p w14:paraId="18B4F303" w14:textId="77777777" w:rsidR="007C4404" w:rsidRPr="000835A9" w:rsidRDefault="00274AA4" w:rsidP="007C4404">
      <w:pPr>
        <w:pStyle w:val="Prrafodelista"/>
        <w:numPr>
          <w:ilvl w:val="0"/>
          <w:numId w:val="15"/>
        </w:numPr>
        <w:spacing w:line="360" w:lineRule="auto"/>
        <w:ind w:left="0" w:firstLine="0"/>
        <w:jc w:val="both"/>
        <w:rPr>
          <w:rFonts w:ascii="Palatino Linotype" w:hAnsi="Palatino Linotype"/>
        </w:rPr>
      </w:pPr>
      <w:r w:rsidRPr="000835A9">
        <w:rPr>
          <w:rFonts w:ascii="Palatino Linotype" w:hAnsi="Palatino Linotype"/>
          <w:color w:val="000000" w:themeColor="text1"/>
        </w:rPr>
        <w:t xml:space="preserve">De dichos motivos de inconformidad se advierten diversos aspectos, el primero de ellos </w:t>
      </w:r>
      <w:r w:rsidR="007C4404" w:rsidRPr="000835A9">
        <w:rPr>
          <w:rFonts w:ascii="Palatino Linotype" w:hAnsi="Palatino Linotype"/>
          <w:color w:val="000000" w:themeColor="text1"/>
        </w:rPr>
        <w:t>que este Instituto no esta este Órgano Garante no se encuentra facultado para dudar de su veracidad</w:t>
      </w:r>
      <w:r w:rsidR="007C4404" w:rsidRPr="000835A9">
        <w:rPr>
          <w:rFonts w:ascii="Palatino Linotype" w:eastAsia="Palatino Linotype" w:hAnsi="Palatino Linotype" w:cs="Palatino Linotype"/>
          <w:color w:val="000000"/>
        </w:rPr>
        <w:t xml:space="preserve"> de la </w:t>
      </w:r>
      <w:r w:rsidR="007C4404" w:rsidRPr="000835A9">
        <w:rPr>
          <w:rFonts w:ascii="Palatino Linotype" w:eastAsia="MS Mincho" w:hAnsi="Palatino Linotype" w:cs="Arial"/>
        </w:rPr>
        <w:t>información</w:t>
      </w:r>
      <w:r w:rsidR="007C4404" w:rsidRPr="000835A9">
        <w:rPr>
          <w:rFonts w:ascii="Palatino Linotype" w:eastAsia="Palatino Linotype" w:hAnsi="Palatino Linotype" w:cs="Palatino Linotype"/>
          <w:color w:val="000000"/>
        </w:rPr>
        <w:t xml:space="preserve"> que le fue entregada al hoy </w:t>
      </w:r>
      <w:r w:rsidR="007C4404" w:rsidRPr="000835A9">
        <w:rPr>
          <w:rFonts w:ascii="Palatino Linotype" w:eastAsia="Palatino Linotype" w:hAnsi="Palatino Linotype" w:cs="Palatino Linotype"/>
          <w:b/>
          <w:color w:val="000000"/>
        </w:rPr>
        <w:t>RECURRENTE</w:t>
      </w:r>
      <w:r w:rsidR="007C4404" w:rsidRPr="000835A9">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7C4404" w:rsidRPr="000835A9">
        <w:rPr>
          <w:rFonts w:ascii="Palatino Linotype" w:hAnsi="Palatino Linotype" w:cs="Arial"/>
        </w:rPr>
        <w:t xml:space="preserve">situación que se aleja de las atribuciones de este Instituto </w:t>
      </w:r>
      <w:r w:rsidR="007C4404" w:rsidRPr="000835A9">
        <w:rPr>
          <w:rFonts w:ascii="Palatino Linotype" w:hAnsi="Palatino Linotype"/>
          <w:i/>
          <w:color w:val="000000"/>
        </w:rPr>
        <w:t>máxime</w:t>
      </w:r>
      <w:r w:rsidR="007C4404" w:rsidRPr="000835A9">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18B4F304" w14:textId="77777777" w:rsidR="007C4404" w:rsidRPr="000835A9" w:rsidRDefault="007C4404" w:rsidP="007C4404">
      <w:pPr>
        <w:pStyle w:val="Prrafodelista"/>
        <w:rPr>
          <w:rFonts w:ascii="Palatino Linotype" w:hAnsi="Palatino Linotype"/>
        </w:rPr>
      </w:pPr>
    </w:p>
    <w:p w14:paraId="18B4F305" w14:textId="77777777" w:rsidR="007C4404" w:rsidRPr="000835A9" w:rsidRDefault="007C4404" w:rsidP="007C4404">
      <w:pPr>
        <w:pStyle w:val="Prrafodelista"/>
        <w:numPr>
          <w:ilvl w:val="0"/>
          <w:numId w:val="15"/>
        </w:numPr>
        <w:tabs>
          <w:tab w:val="left" w:pos="0"/>
          <w:tab w:val="left" w:pos="142"/>
        </w:tabs>
        <w:spacing w:line="360" w:lineRule="auto"/>
        <w:ind w:left="0" w:firstLine="0"/>
        <w:jc w:val="both"/>
        <w:rPr>
          <w:rFonts w:ascii="Palatino Linotype" w:hAnsi="Palatino Linotype"/>
        </w:rPr>
      </w:pPr>
      <w:r w:rsidRPr="000835A9">
        <w:rPr>
          <w:rFonts w:ascii="Palatino Linotype" w:hAnsi="Palatino Linotype"/>
        </w:rPr>
        <w:t xml:space="preserve">Sirviendo de apoyo a lo anterior por analogía, el criterio 31-10 emitido por el ahora Instituto </w:t>
      </w:r>
      <w:r w:rsidRPr="000835A9">
        <w:rPr>
          <w:rFonts w:ascii="Palatino Linotype" w:eastAsia="Palatino Linotype" w:hAnsi="Palatino Linotype" w:cs="Palatino Linotype"/>
          <w:color w:val="000000"/>
        </w:rPr>
        <w:t>Nacional</w:t>
      </w:r>
      <w:r w:rsidRPr="000835A9">
        <w:rPr>
          <w:rFonts w:ascii="Palatino Linotype" w:hAnsi="Palatino Linotype"/>
        </w:rPr>
        <w:t xml:space="preserve"> de Transparencia, Acceso a la Información y Protección de Datos Personales, que a la letra dice:</w:t>
      </w:r>
    </w:p>
    <w:p w14:paraId="18B4F306" w14:textId="77777777" w:rsidR="007C4404" w:rsidRPr="000D5D5F" w:rsidRDefault="007C4404" w:rsidP="007C4404">
      <w:pPr>
        <w:pStyle w:val="Prrafodelista"/>
        <w:spacing w:line="360" w:lineRule="auto"/>
        <w:rPr>
          <w:rFonts w:ascii="Palatino Linotype" w:hAnsi="Palatino Linotype"/>
          <w:sz w:val="22"/>
        </w:rPr>
      </w:pPr>
    </w:p>
    <w:p w14:paraId="18B4F307" w14:textId="77777777" w:rsidR="007C4404" w:rsidRPr="000D5D5F" w:rsidRDefault="007C4404" w:rsidP="007C4404">
      <w:pPr>
        <w:pStyle w:val="Default"/>
        <w:spacing w:line="360" w:lineRule="auto"/>
        <w:ind w:left="567" w:right="616"/>
        <w:jc w:val="both"/>
        <w:rPr>
          <w:rFonts w:ascii="Palatino Linotype" w:hAnsi="Palatino Linotype"/>
          <w:i/>
          <w:sz w:val="22"/>
        </w:rPr>
      </w:pPr>
      <w:r w:rsidRPr="000D5D5F">
        <w:rPr>
          <w:rFonts w:ascii="Palatino Linotype" w:hAnsi="Palatino Linotype"/>
          <w:i/>
          <w:sz w:val="22"/>
        </w:rPr>
        <w:t xml:space="preserve">“El Instituto Federal de Acceso a la Información y Protección de Datos </w:t>
      </w:r>
      <w:r w:rsidRPr="000D5D5F">
        <w:rPr>
          <w:rFonts w:ascii="Palatino Linotype" w:hAnsi="Palatino Linotype"/>
          <w:b/>
          <w:i/>
          <w:sz w:val="22"/>
        </w:rPr>
        <w:t>no cuenta con facultades para pronunciarse respecto de la veracidad de los documentos proporcionados por los sujetos obligados.</w:t>
      </w:r>
      <w:r w:rsidRPr="000D5D5F">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0D5D5F">
        <w:rPr>
          <w:rFonts w:ascii="Palatino Linotype" w:hAnsi="Palatino Linotype"/>
          <w:i/>
          <w:sz w:val="22"/>
        </w:rPr>
        <w:lastRenderedPageBreak/>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B4F308" w14:textId="77777777" w:rsidR="007C4404" w:rsidRPr="000835A9" w:rsidRDefault="007C4404" w:rsidP="007C4404">
      <w:pPr>
        <w:pStyle w:val="Default"/>
        <w:spacing w:line="360" w:lineRule="auto"/>
        <w:ind w:left="851" w:right="850"/>
        <w:jc w:val="both"/>
        <w:rPr>
          <w:rFonts w:ascii="Palatino Linotype" w:hAnsi="Palatino Linotype"/>
          <w:i/>
        </w:rPr>
      </w:pPr>
    </w:p>
    <w:p w14:paraId="18B4F309" w14:textId="77777777" w:rsidR="007C4404" w:rsidRPr="000835A9" w:rsidRDefault="007C4404" w:rsidP="007C4404">
      <w:pPr>
        <w:pStyle w:val="Prrafodelista"/>
        <w:numPr>
          <w:ilvl w:val="0"/>
          <w:numId w:val="15"/>
        </w:numPr>
        <w:tabs>
          <w:tab w:val="left" w:pos="0"/>
          <w:tab w:val="left" w:pos="142"/>
        </w:tabs>
        <w:spacing w:line="360" w:lineRule="auto"/>
        <w:ind w:left="0" w:firstLine="0"/>
        <w:jc w:val="both"/>
        <w:rPr>
          <w:rFonts w:ascii="Palatino Linotype" w:hAnsi="Palatino Linotype"/>
          <w:i/>
        </w:rPr>
      </w:pPr>
      <w:r w:rsidRPr="000835A9">
        <w:rPr>
          <w:rFonts w:ascii="Palatino Linotype" w:hAnsi="Palatino Linotype" w:cs="Arial"/>
        </w:rPr>
        <w:t>Así como lo dispuesto por</w:t>
      </w:r>
      <w:r w:rsidRPr="000835A9">
        <w:rPr>
          <w:rFonts w:ascii="Palatino Linotype" w:hAnsi="Palatino Linotype"/>
        </w:rPr>
        <w:t xml:space="preserve"> la </w:t>
      </w:r>
      <w:r w:rsidRPr="000835A9">
        <w:rPr>
          <w:rFonts w:ascii="Palatino Linotype" w:hAnsi="Palatino Linotype"/>
          <w:b/>
        </w:rPr>
        <w:t xml:space="preserve">Ley de Transparencia y Acceso a la Información Pública del </w:t>
      </w:r>
      <w:r w:rsidRPr="000835A9">
        <w:rPr>
          <w:rFonts w:ascii="Palatino Linotype" w:eastAsia="Palatino Linotype" w:hAnsi="Palatino Linotype" w:cs="Palatino Linotype"/>
          <w:color w:val="000000"/>
        </w:rPr>
        <w:t>Estado</w:t>
      </w:r>
      <w:r w:rsidRPr="000835A9">
        <w:rPr>
          <w:rFonts w:ascii="Palatino Linotype" w:hAnsi="Palatino Linotype"/>
          <w:b/>
        </w:rPr>
        <w:t xml:space="preserve"> de México y Municipios</w:t>
      </w:r>
      <w:r w:rsidRPr="000835A9">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8B4F30A" w14:textId="77777777" w:rsidR="007C4404" w:rsidRPr="000835A9" w:rsidRDefault="007C4404" w:rsidP="007C4404">
      <w:pPr>
        <w:pStyle w:val="Prrafodelista"/>
        <w:spacing w:line="360" w:lineRule="auto"/>
        <w:ind w:left="0"/>
        <w:jc w:val="both"/>
        <w:rPr>
          <w:rFonts w:ascii="Palatino Linotype" w:hAnsi="Palatino Linotype"/>
          <w:i/>
        </w:rPr>
      </w:pPr>
    </w:p>
    <w:p w14:paraId="18B4F30B" w14:textId="77777777" w:rsidR="007C4404" w:rsidRDefault="007C4404" w:rsidP="007C4404">
      <w:pPr>
        <w:pStyle w:val="Prrafodelista"/>
        <w:spacing w:line="360" w:lineRule="auto"/>
        <w:ind w:left="567" w:right="680"/>
        <w:jc w:val="both"/>
        <w:rPr>
          <w:rFonts w:ascii="Palatino Linotype" w:hAnsi="Palatino Linotype" w:cs="Arial"/>
          <w:b/>
          <w:i/>
          <w:sz w:val="22"/>
          <w:szCs w:val="22"/>
        </w:rPr>
      </w:pPr>
      <w:r w:rsidRPr="000D5D5F">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D5D5F">
        <w:rPr>
          <w:rFonts w:ascii="Palatino Linotype" w:hAnsi="Palatino Linotype" w:cs="Arial"/>
          <w:b/>
          <w:i/>
          <w:sz w:val="22"/>
        </w:rPr>
        <w:t xml:space="preserve">Los Sujetos Obligados deben poner en práctica, políticas y programas de acceso a la información que se apeguen a criterios de publicidad, veracidad, </w:t>
      </w:r>
      <w:r w:rsidRPr="000D5D5F">
        <w:rPr>
          <w:rFonts w:ascii="Palatino Linotype" w:hAnsi="Palatino Linotype" w:cs="Arial"/>
          <w:b/>
          <w:i/>
          <w:sz w:val="22"/>
          <w:szCs w:val="22"/>
        </w:rPr>
        <w:t>oportunidad, precisión y suficiencia en beneficio de los solicitantes.</w:t>
      </w:r>
    </w:p>
    <w:p w14:paraId="18B4F30C" w14:textId="77777777" w:rsidR="000D5D5F" w:rsidRPr="000D5D5F" w:rsidRDefault="000D5D5F" w:rsidP="007C4404">
      <w:pPr>
        <w:pStyle w:val="Prrafodelista"/>
        <w:spacing w:line="360" w:lineRule="auto"/>
        <w:ind w:left="567" w:right="680"/>
        <w:jc w:val="both"/>
        <w:rPr>
          <w:rFonts w:ascii="Palatino Linotype" w:hAnsi="Palatino Linotype" w:cs="Arial"/>
          <w:b/>
          <w:i/>
          <w:sz w:val="22"/>
          <w:szCs w:val="22"/>
        </w:rPr>
      </w:pPr>
    </w:p>
    <w:p w14:paraId="18B4F30D" w14:textId="77777777" w:rsidR="007C4404" w:rsidRPr="000835A9" w:rsidRDefault="007C4404" w:rsidP="007C4404">
      <w:pPr>
        <w:pStyle w:val="Prrafodelista"/>
        <w:numPr>
          <w:ilvl w:val="0"/>
          <w:numId w:val="15"/>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0835A9">
        <w:rPr>
          <w:rFonts w:ascii="Palatino Linotype" w:hAnsi="Palatino Linotype" w:cs="Arial"/>
        </w:rPr>
        <w:t>Numerales</w:t>
      </w:r>
      <w:r w:rsidRPr="000835A9">
        <w:rPr>
          <w:rFonts w:ascii="Palatino Linotype" w:hAnsi="Palatino Linotype" w:cs="Arial"/>
          <w:noProof/>
          <w:lang w:eastAsia="es-MX"/>
        </w:rPr>
        <w:t xml:space="preserve"> que compelen al </w:t>
      </w:r>
      <w:r w:rsidRPr="000835A9">
        <w:rPr>
          <w:rFonts w:ascii="Palatino Linotype" w:hAnsi="Palatino Linotype" w:cs="Arial"/>
          <w:b/>
          <w:noProof/>
          <w:lang w:eastAsia="es-MX"/>
        </w:rPr>
        <w:t>SUJETO OBLIGADO</w:t>
      </w:r>
      <w:r w:rsidRPr="000835A9">
        <w:rPr>
          <w:rFonts w:ascii="Palatino Linotype" w:hAnsi="Palatino Linotype" w:cs="Arial"/>
          <w:noProof/>
          <w:lang w:eastAsia="es-MX"/>
        </w:rPr>
        <w:t xml:space="preserve"> apegarse en todo momento a los </w:t>
      </w:r>
      <w:r w:rsidRPr="000835A9">
        <w:rPr>
          <w:rFonts w:ascii="Palatino Linotype" w:hAnsi="Palatino Linotype" w:cs="Arial"/>
        </w:rPr>
        <w:t>criterios</w:t>
      </w:r>
      <w:r w:rsidRPr="000835A9">
        <w:rPr>
          <w:rFonts w:ascii="Palatino Linotype" w:hAnsi="Palatino Linotype" w:cs="Arial"/>
          <w:noProof/>
          <w:lang w:eastAsia="es-MX"/>
        </w:rPr>
        <w:t xml:space="preserve"> ya expuestos, impidiendo a este Órgano Colegiado cuestionar la veracidad de la información.</w:t>
      </w:r>
    </w:p>
    <w:p w14:paraId="18B4F30E" w14:textId="77777777" w:rsidR="007C4404" w:rsidRPr="000835A9" w:rsidRDefault="007C4404" w:rsidP="007C4404">
      <w:pPr>
        <w:pStyle w:val="Prrafodelista"/>
        <w:tabs>
          <w:tab w:val="left" w:pos="0"/>
          <w:tab w:val="left" w:pos="142"/>
        </w:tabs>
        <w:spacing w:line="360" w:lineRule="auto"/>
        <w:ind w:left="0"/>
        <w:jc w:val="both"/>
        <w:rPr>
          <w:rFonts w:ascii="Palatino Linotype" w:eastAsia="Palatino Linotype" w:hAnsi="Palatino Linotype" w:cs="Palatino Linotype"/>
          <w:color w:val="000000"/>
        </w:rPr>
      </w:pPr>
    </w:p>
    <w:p w14:paraId="18B4F30F" w14:textId="77777777" w:rsidR="007C4404" w:rsidRPr="000835A9" w:rsidRDefault="007C4404" w:rsidP="007C4404">
      <w:pPr>
        <w:pStyle w:val="Prrafodelista"/>
        <w:numPr>
          <w:ilvl w:val="0"/>
          <w:numId w:val="15"/>
        </w:numPr>
        <w:tabs>
          <w:tab w:val="left" w:pos="0"/>
          <w:tab w:val="left" w:pos="142"/>
        </w:tabs>
        <w:spacing w:line="360" w:lineRule="auto"/>
        <w:ind w:left="0" w:firstLine="0"/>
        <w:jc w:val="both"/>
        <w:rPr>
          <w:rFonts w:ascii="Palatino Linotype" w:hAnsi="Palatino Linotype"/>
          <w:b/>
          <w:color w:val="000000" w:themeColor="text1"/>
        </w:rPr>
      </w:pPr>
      <w:r w:rsidRPr="000835A9">
        <w:rPr>
          <w:rFonts w:ascii="Palatino Linotype" w:hAnsi="Palatino Linotype"/>
          <w:color w:val="000000" w:themeColor="text1"/>
        </w:rPr>
        <w:lastRenderedPageBreak/>
        <w:t xml:space="preserve">En esa tesitura, se desprende que por parte del ahora </w:t>
      </w:r>
      <w:r w:rsidRPr="000835A9">
        <w:rPr>
          <w:rFonts w:ascii="Palatino Linotype" w:hAnsi="Palatino Linotype"/>
          <w:b/>
          <w:color w:val="000000" w:themeColor="text1"/>
        </w:rPr>
        <w:t xml:space="preserve">RECURRENTE, </w:t>
      </w:r>
      <w:r w:rsidRPr="000835A9">
        <w:rPr>
          <w:rFonts w:ascii="Palatino Linotype" w:hAnsi="Palatino Linotype"/>
          <w:color w:val="000000" w:themeColor="text1"/>
        </w:rPr>
        <w:t>si se está dudando de la veracidad de la información entregada, al cuestionar la exactitud, autenticidad o su confiabilidad al compararla con información en posesión de una autoridad diversa, que –además– no estaba contemplada en la solicitud de información inicial.</w:t>
      </w:r>
    </w:p>
    <w:p w14:paraId="18B4F310" w14:textId="77777777" w:rsidR="007C4404" w:rsidRPr="000835A9" w:rsidRDefault="007C4404" w:rsidP="007C4404">
      <w:pPr>
        <w:pStyle w:val="Prrafodelista"/>
        <w:rPr>
          <w:rFonts w:ascii="Palatino Linotype" w:hAnsi="Palatino Linotype"/>
          <w:color w:val="000000" w:themeColor="text1"/>
        </w:rPr>
      </w:pPr>
    </w:p>
    <w:p w14:paraId="18B4F311" w14:textId="77777777" w:rsidR="00274AA4" w:rsidRPr="000835A9" w:rsidRDefault="007C4404" w:rsidP="007C4404">
      <w:pPr>
        <w:pStyle w:val="Prrafodelista"/>
        <w:numPr>
          <w:ilvl w:val="0"/>
          <w:numId w:val="15"/>
        </w:numPr>
        <w:tabs>
          <w:tab w:val="left" w:pos="0"/>
          <w:tab w:val="left" w:pos="142"/>
        </w:tabs>
        <w:spacing w:line="360" w:lineRule="auto"/>
        <w:ind w:left="0" w:firstLine="0"/>
        <w:jc w:val="both"/>
        <w:rPr>
          <w:rFonts w:ascii="Palatino Linotype" w:hAnsi="Palatino Linotype"/>
          <w:b/>
          <w:color w:val="000000" w:themeColor="text1"/>
        </w:rPr>
      </w:pPr>
      <w:r w:rsidRPr="000835A9">
        <w:rPr>
          <w:rFonts w:ascii="Palatino Linotype" w:hAnsi="Palatino Linotype"/>
          <w:color w:val="000000" w:themeColor="text1"/>
        </w:rPr>
        <w:t xml:space="preserve">Cuando alguien duda de la veracidad de una afirmación, declaración, pronunciamiento o cualquier otra información, significa </w:t>
      </w:r>
      <w:r w:rsidRPr="000835A9">
        <w:rPr>
          <w:rFonts w:ascii="Palatino Linotype" w:hAnsi="Palatino Linotype" w:cs="Arial"/>
        </w:rPr>
        <w:t>que</w:t>
      </w:r>
      <w:r w:rsidRPr="000835A9">
        <w:rPr>
          <w:rFonts w:ascii="Palatino Linotype" w:hAnsi="Palatino Linotype"/>
          <w:color w:val="000000" w:themeColor="text1"/>
        </w:rPr>
        <w:t xml:space="preserve"> esa persona tiene incertidumbre o desconfianza sobre si lo que se ha dicho es verdadero o preciso. Dudar de la veracidad es un proceso del pensamiento crítico, donde se examinan las afirmaciones y se busca evidencia o pruebas para confirmar su autenticidad antes de aceptarlas como verdaderas, como se desprende del caso concreto.</w:t>
      </w:r>
    </w:p>
    <w:p w14:paraId="18B4F312" w14:textId="77777777" w:rsidR="007C4404" w:rsidRPr="000835A9" w:rsidRDefault="007C4404" w:rsidP="007C4404">
      <w:pPr>
        <w:pStyle w:val="Prrafodelista"/>
        <w:rPr>
          <w:rFonts w:ascii="Palatino Linotype" w:hAnsi="Palatino Linotype"/>
          <w:b/>
          <w:color w:val="000000" w:themeColor="text1"/>
        </w:rPr>
      </w:pPr>
    </w:p>
    <w:p w14:paraId="18B4F313" w14:textId="77777777" w:rsidR="00E86E76" w:rsidRPr="000835A9" w:rsidRDefault="007C4404" w:rsidP="007C4404">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 xml:space="preserve">Sin embargo, como ya se ha hecho mención </w:t>
      </w:r>
      <w:r w:rsidR="00E86E76" w:rsidRPr="000835A9">
        <w:rPr>
          <w:rFonts w:ascii="Palatino Linotype" w:hAnsi="Palatino Linotype"/>
          <w:color w:val="000000" w:themeColor="text1"/>
        </w:rPr>
        <w:t>es un contexto que resulta improcedente, ya que además de que este Instituto no se encuentra facultado para dudar de la veracidad de los pronunciamientos o información entregada por los sujetos obligados; tampoco es una causal de procedencia para el recurso de revisión.</w:t>
      </w:r>
    </w:p>
    <w:p w14:paraId="18B4F314" w14:textId="77777777" w:rsidR="00E86E76" w:rsidRPr="000835A9" w:rsidRDefault="00E86E76" w:rsidP="00E86E76">
      <w:pPr>
        <w:pStyle w:val="Prrafodelista"/>
        <w:rPr>
          <w:rFonts w:ascii="Palatino Linotype" w:hAnsi="Palatino Linotype"/>
          <w:color w:val="000000" w:themeColor="text1"/>
        </w:rPr>
      </w:pPr>
    </w:p>
    <w:p w14:paraId="18B4F315" w14:textId="77777777" w:rsidR="007C4404" w:rsidRPr="000835A9" w:rsidRDefault="00E86E76" w:rsidP="00E86E76">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 xml:space="preserve"> En esa tesitura el artículo 179 de la Ley de Transparencia y Acceso a la Información Pública del Estado de México y Municipios, establece como causales de procedencia al recurso de revisión, las siguientes:</w:t>
      </w:r>
    </w:p>
    <w:p w14:paraId="18B4F316"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“Artículo 179. El recurso de revisión es un medio de protección que la Ley otorga a los particulares, para hacer valer su derecho de acceso a la información pública, y procederá en contra de las siguientes causas:</w:t>
      </w:r>
    </w:p>
    <w:p w14:paraId="18B4F317" w14:textId="77777777" w:rsidR="00194C78" w:rsidRPr="000D5D5F" w:rsidRDefault="00194C78" w:rsidP="00E86E76">
      <w:pPr>
        <w:tabs>
          <w:tab w:val="left" w:pos="142"/>
        </w:tabs>
        <w:spacing w:line="360" w:lineRule="auto"/>
        <w:ind w:left="426" w:right="474"/>
        <w:jc w:val="both"/>
        <w:rPr>
          <w:rFonts w:ascii="Palatino Linotype" w:hAnsi="Palatino Linotype"/>
          <w:i/>
          <w:color w:val="000000" w:themeColor="text1"/>
          <w:sz w:val="22"/>
        </w:rPr>
      </w:pPr>
    </w:p>
    <w:p w14:paraId="18B4F318"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lastRenderedPageBreak/>
        <w:t>I. La negativa a la información solicitada;</w:t>
      </w:r>
    </w:p>
    <w:p w14:paraId="18B4F319"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II. La clasificación de la información;</w:t>
      </w:r>
    </w:p>
    <w:p w14:paraId="18B4F31A"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III. La declaración de inexistencia de la información;</w:t>
      </w:r>
    </w:p>
    <w:p w14:paraId="18B4F31B"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IV. La declaración de incompetencia por el sujeto obligado;</w:t>
      </w:r>
    </w:p>
    <w:p w14:paraId="18B4F31C"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V. La entrega de información incompleta;</w:t>
      </w:r>
    </w:p>
    <w:p w14:paraId="18B4F31D"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VI. La entrega de información que no corresponda con lo solicitado;</w:t>
      </w:r>
    </w:p>
    <w:p w14:paraId="18B4F31E"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VII. La falta de respuesta a una solicitud de acceso a la información;</w:t>
      </w:r>
    </w:p>
    <w:p w14:paraId="18B4F31F"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VIII. La notificación, entrega o puesta a disposición de información en una modalidad o formato distinto al solicitado;</w:t>
      </w:r>
    </w:p>
    <w:p w14:paraId="18B4F320"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IX. La entrega o puesta a disposición de información en un formato incomprensible y/o no accesible para el solicitante;</w:t>
      </w:r>
    </w:p>
    <w:p w14:paraId="18B4F321"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X. Los costos o tiempos de entrega de la información;</w:t>
      </w:r>
    </w:p>
    <w:p w14:paraId="18B4F322"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XI. La falta de trámite a una solicitud;</w:t>
      </w:r>
    </w:p>
    <w:p w14:paraId="18B4F323"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XII. La negativa a permitir la consulta directa de la información;</w:t>
      </w:r>
    </w:p>
    <w:p w14:paraId="18B4F324"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XIII. La falta, deficiencia o insuficiencia de la fundamentación y/o motivación en la respuesta; y</w:t>
      </w:r>
    </w:p>
    <w:p w14:paraId="18B4F325"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XIV. La orientación a un trámite específico.</w:t>
      </w:r>
    </w:p>
    <w:p w14:paraId="18B4F326" w14:textId="77777777" w:rsidR="00E86E76" w:rsidRPr="000D5D5F" w:rsidRDefault="00E86E76" w:rsidP="00E86E76">
      <w:pPr>
        <w:tabs>
          <w:tab w:val="left" w:pos="142"/>
        </w:tabs>
        <w:spacing w:line="360" w:lineRule="auto"/>
        <w:ind w:left="426"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8B4F327" w14:textId="77777777" w:rsidR="00274AA4" w:rsidRPr="000D5D5F" w:rsidRDefault="00274AA4" w:rsidP="00274AA4">
      <w:pPr>
        <w:pStyle w:val="Prrafodelista"/>
        <w:spacing w:line="360" w:lineRule="auto"/>
        <w:ind w:left="0"/>
        <w:jc w:val="both"/>
        <w:rPr>
          <w:rFonts w:ascii="Palatino Linotype" w:hAnsi="Palatino Linotype"/>
          <w:color w:val="000000" w:themeColor="text1"/>
          <w:sz w:val="22"/>
        </w:rPr>
      </w:pPr>
    </w:p>
    <w:p w14:paraId="18B4F328" w14:textId="77777777" w:rsidR="00E86E76" w:rsidRPr="000835A9" w:rsidRDefault="00E86E76"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Luego entonces, el poner en duda la veracidad de los datos proporcionados en las razones o motivos de inconformidad al momento de la interposición del recurso de revisión, se advierte con claridad que no actualiza ninguna causal de procedencia del precepto legal en cita.</w:t>
      </w:r>
    </w:p>
    <w:p w14:paraId="18B4F329" w14:textId="77777777" w:rsidR="00E86E76" w:rsidRPr="000835A9" w:rsidRDefault="00E86E76"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lastRenderedPageBreak/>
        <w:t>Por el contrario, se actualiza una causal de sobreseimiento</w:t>
      </w:r>
      <w:r w:rsidR="00194C78">
        <w:rPr>
          <w:rFonts w:ascii="Palatino Linotype" w:hAnsi="Palatino Linotype"/>
          <w:color w:val="000000" w:themeColor="text1"/>
        </w:rPr>
        <w:t xml:space="preserve"> de conformidad a lo</w:t>
      </w:r>
      <w:r w:rsidRPr="000835A9">
        <w:rPr>
          <w:rFonts w:ascii="Palatino Linotype" w:hAnsi="Palatino Linotype"/>
          <w:color w:val="000000" w:themeColor="text1"/>
        </w:rPr>
        <w:t xml:space="preserve"> dispuesto en los artículos </w:t>
      </w:r>
      <w:r w:rsidR="00194C78">
        <w:rPr>
          <w:rFonts w:ascii="Palatino Linotype" w:hAnsi="Palatino Linotype"/>
          <w:color w:val="000000" w:themeColor="text1"/>
        </w:rPr>
        <w:t>191 fracción V y 192 fracción IV, a saber:</w:t>
      </w:r>
    </w:p>
    <w:p w14:paraId="18B4F32A" w14:textId="77777777" w:rsidR="00E86E76" w:rsidRPr="000D5D5F" w:rsidRDefault="00E86E76" w:rsidP="00E86E76">
      <w:pPr>
        <w:pStyle w:val="Prrafodelista"/>
        <w:spacing w:line="360" w:lineRule="auto"/>
        <w:ind w:left="0"/>
        <w:jc w:val="both"/>
        <w:rPr>
          <w:rFonts w:ascii="Palatino Linotype" w:hAnsi="Palatino Linotype"/>
          <w:color w:val="000000" w:themeColor="text1"/>
          <w:sz w:val="22"/>
        </w:rPr>
      </w:pPr>
    </w:p>
    <w:p w14:paraId="18B4F32B"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 xml:space="preserve">“Artículo 191. El recurso será desechado por </w:t>
      </w:r>
      <w:r w:rsidRPr="000D5D5F">
        <w:rPr>
          <w:rFonts w:ascii="Palatino Linotype" w:hAnsi="Palatino Linotype"/>
          <w:b/>
          <w:i/>
          <w:color w:val="000000" w:themeColor="text1"/>
          <w:sz w:val="22"/>
        </w:rPr>
        <w:t xml:space="preserve">improcedente </w:t>
      </w:r>
      <w:r w:rsidRPr="000D5D5F">
        <w:rPr>
          <w:rFonts w:ascii="Palatino Linotype" w:hAnsi="Palatino Linotype"/>
          <w:i/>
          <w:color w:val="000000" w:themeColor="text1"/>
          <w:sz w:val="22"/>
        </w:rPr>
        <w:t>cuando:</w:t>
      </w:r>
    </w:p>
    <w:p w14:paraId="18B4F32C"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w:t>
      </w:r>
    </w:p>
    <w:p w14:paraId="18B4F32D"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 xml:space="preserve">V. </w:t>
      </w:r>
      <w:r w:rsidRPr="000D5D5F">
        <w:rPr>
          <w:rFonts w:ascii="Palatino Linotype" w:hAnsi="Palatino Linotype"/>
          <w:b/>
          <w:i/>
          <w:color w:val="000000" w:themeColor="text1"/>
          <w:sz w:val="22"/>
        </w:rPr>
        <w:t>Se impugne la veracidad de la información proporcionada</w:t>
      </w:r>
      <w:r w:rsidRPr="000D5D5F">
        <w:rPr>
          <w:rFonts w:ascii="Palatino Linotype" w:hAnsi="Palatino Linotype"/>
          <w:i/>
          <w:color w:val="000000" w:themeColor="text1"/>
          <w:sz w:val="22"/>
        </w:rPr>
        <w:t>;</w:t>
      </w:r>
    </w:p>
    <w:p w14:paraId="18B4F32E"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w:t>
      </w:r>
    </w:p>
    <w:p w14:paraId="18B4F32F"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p>
    <w:p w14:paraId="18B4F330"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 xml:space="preserve">Artículo 192. </w:t>
      </w:r>
      <w:r w:rsidRPr="000D5D5F">
        <w:rPr>
          <w:rFonts w:ascii="Palatino Linotype" w:hAnsi="Palatino Linotype"/>
          <w:b/>
          <w:i/>
          <w:color w:val="000000" w:themeColor="text1"/>
          <w:sz w:val="22"/>
        </w:rPr>
        <w:t>El recurso será sobreseído</w:t>
      </w:r>
      <w:r w:rsidRPr="000D5D5F">
        <w:rPr>
          <w:rFonts w:ascii="Palatino Linotype" w:hAnsi="Palatino Linotype"/>
          <w:i/>
          <w:color w:val="000000" w:themeColor="text1"/>
          <w:sz w:val="22"/>
        </w:rPr>
        <w:t>, en todo o en parte, cuando una vez admitido, se actualicen alguno de los siguientes supuestos:</w:t>
      </w:r>
    </w:p>
    <w:p w14:paraId="18B4F331"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w:t>
      </w:r>
    </w:p>
    <w:p w14:paraId="18B4F332"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 xml:space="preserve">IV. </w:t>
      </w:r>
      <w:r w:rsidRPr="000D5D5F">
        <w:rPr>
          <w:rFonts w:ascii="Palatino Linotype" w:hAnsi="Palatino Linotype"/>
          <w:b/>
          <w:i/>
          <w:color w:val="000000" w:themeColor="text1"/>
          <w:sz w:val="22"/>
        </w:rPr>
        <w:t>Admitido el recurso de revisión, aparezca alguna causal de improcedencia</w:t>
      </w:r>
      <w:r w:rsidRPr="000D5D5F">
        <w:rPr>
          <w:rFonts w:ascii="Palatino Linotype" w:hAnsi="Palatino Linotype"/>
          <w:i/>
          <w:color w:val="000000" w:themeColor="text1"/>
          <w:sz w:val="22"/>
        </w:rPr>
        <w:t xml:space="preserve"> en los términos de la presente Ley; y</w:t>
      </w:r>
    </w:p>
    <w:p w14:paraId="18B4F333" w14:textId="77777777" w:rsidR="00D36EB5" w:rsidRPr="000D5D5F" w:rsidRDefault="00D36EB5" w:rsidP="00D36EB5">
      <w:pPr>
        <w:pStyle w:val="Prrafodelista"/>
        <w:spacing w:line="360" w:lineRule="auto"/>
        <w:ind w:left="567" w:right="474"/>
        <w:jc w:val="both"/>
        <w:rPr>
          <w:rFonts w:ascii="Palatino Linotype" w:hAnsi="Palatino Linotype"/>
          <w:i/>
          <w:color w:val="000000" w:themeColor="text1"/>
          <w:sz w:val="22"/>
        </w:rPr>
      </w:pPr>
      <w:r w:rsidRPr="000D5D5F">
        <w:rPr>
          <w:rFonts w:ascii="Palatino Linotype" w:hAnsi="Palatino Linotype"/>
          <w:i/>
          <w:color w:val="000000" w:themeColor="text1"/>
          <w:sz w:val="22"/>
        </w:rPr>
        <w:t>...”</w:t>
      </w:r>
    </w:p>
    <w:p w14:paraId="18B4F334" w14:textId="77777777" w:rsidR="00D36EB5" w:rsidRPr="000D5D5F" w:rsidRDefault="00D36EB5" w:rsidP="00E86E76">
      <w:pPr>
        <w:pStyle w:val="Prrafodelista"/>
        <w:spacing w:line="360" w:lineRule="auto"/>
        <w:ind w:left="0"/>
        <w:jc w:val="both"/>
        <w:rPr>
          <w:rFonts w:ascii="Palatino Linotype" w:hAnsi="Palatino Linotype"/>
          <w:color w:val="000000" w:themeColor="text1"/>
          <w:sz w:val="22"/>
        </w:rPr>
      </w:pPr>
    </w:p>
    <w:p w14:paraId="18B4F335" w14:textId="77777777" w:rsidR="00060552" w:rsidRPr="000835A9" w:rsidRDefault="00194C78" w:rsidP="00247898">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Por otro lado</w:t>
      </w:r>
      <w:r w:rsidR="00060552" w:rsidRPr="000835A9">
        <w:rPr>
          <w:rFonts w:ascii="Palatino Linotype" w:hAnsi="Palatino Linotype"/>
          <w:color w:val="000000" w:themeColor="text1"/>
        </w:rPr>
        <w:t xml:space="preserve">, contrario a lo señalado por el ahora </w:t>
      </w:r>
      <w:r w:rsidR="00060552" w:rsidRPr="000835A9">
        <w:rPr>
          <w:rFonts w:ascii="Palatino Linotype" w:hAnsi="Palatino Linotype"/>
          <w:b/>
          <w:color w:val="000000" w:themeColor="text1"/>
        </w:rPr>
        <w:t>RECURRENTE</w:t>
      </w:r>
      <w:r w:rsidR="00060552" w:rsidRPr="000835A9">
        <w:rPr>
          <w:rFonts w:ascii="Palatino Linotype" w:hAnsi="Palatino Linotype"/>
          <w:color w:val="000000" w:themeColor="text1"/>
        </w:rPr>
        <w:t xml:space="preserve"> si se entregó información de acuerdo a las constancias que obran en el expediente electrónico en que se actúa, por lo que al no advertirse una falta de entrega de información relacionada con lo solicitado, un silencio de la autoridad</w:t>
      </w:r>
      <w:r w:rsidR="00247898" w:rsidRPr="000835A9">
        <w:rPr>
          <w:rFonts w:ascii="Palatino Linotype" w:hAnsi="Palatino Linotype"/>
          <w:color w:val="000000" w:themeColor="text1"/>
        </w:rPr>
        <w:t xml:space="preserve">, una </w:t>
      </w:r>
      <w:r w:rsidR="00736A4D" w:rsidRPr="000835A9">
        <w:rPr>
          <w:rFonts w:ascii="Palatino Linotype" w:hAnsi="Palatino Linotype"/>
          <w:color w:val="000000" w:themeColor="text1"/>
        </w:rPr>
        <w:t>negativa a la información solicitada</w:t>
      </w:r>
      <w:r>
        <w:rPr>
          <w:rFonts w:ascii="Palatino Linotype" w:hAnsi="Palatino Linotype"/>
          <w:color w:val="000000" w:themeColor="text1"/>
        </w:rPr>
        <w:t xml:space="preserve"> y al</w:t>
      </w:r>
      <w:r w:rsidR="00060552" w:rsidRPr="000835A9">
        <w:rPr>
          <w:rFonts w:ascii="Palatino Linotype" w:hAnsi="Palatino Linotype"/>
          <w:color w:val="000000" w:themeColor="text1"/>
        </w:rPr>
        <w:t xml:space="preserve"> haberse </w:t>
      </w:r>
      <w:r w:rsidR="00624369" w:rsidRPr="000835A9">
        <w:rPr>
          <w:rFonts w:ascii="Palatino Linotype" w:hAnsi="Palatino Linotype"/>
          <w:color w:val="000000" w:themeColor="text1"/>
        </w:rPr>
        <w:t>duda</w:t>
      </w:r>
      <w:r>
        <w:rPr>
          <w:rFonts w:ascii="Palatino Linotype" w:hAnsi="Palatino Linotype"/>
          <w:color w:val="000000" w:themeColor="text1"/>
        </w:rPr>
        <w:t>do de</w:t>
      </w:r>
      <w:r w:rsidR="00624369" w:rsidRPr="000835A9">
        <w:rPr>
          <w:rFonts w:ascii="Palatino Linotype" w:hAnsi="Palatino Linotype"/>
          <w:color w:val="000000" w:themeColor="text1"/>
        </w:rPr>
        <w:t xml:space="preserve"> la veracidad de la misma, </w:t>
      </w:r>
      <w:r w:rsidR="00060552" w:rsidRPr="000835A9">
        <w:rPr>
          <w:rFonts w:ascii="Palatino Linotype" w:hAnsi="Palatino Linotype"/>
          <w:color w:val="000000" w:themeColor="text1"/>
        </w:rPr>
        <w:t>se logra concluir con claridad que los motivos de inconformidad son improcedentes</w:t>
      </w:r>
      <w:r w:rsidR="00736A4D" w:rsidRPr="000835A9">
        <w:rPr>
          <w:rFonts w:ascii="Palatino Linotype" w:hAnsi="Palatino Linotype"/>
          <w:color w:val="000000" w:themeColor="text1"/>
        </w:rPr>
        <w:t xml:space="preserve"> e inoperantes</w:t>
      </w:r>
      <w:r w:rsidR="00060552" w:rsidRPr="000835A9">
        <w:rPr>
          <w:rFonts w:ascii="Palatino Linotype" w:hAnsi="Palatino Linotype"/>
          <w:color w:val="000000" w:themeColor="text1"/>
        </w:rPr>
        <w:t>, dando como resultado que el asunto deba ser sobreseído.</w:t>
      </w:r>
    </w:p>
    <w:p w14:paraId="18B4F336" w14:textId="77777777" w:rsidR="00060552" w:rsidRPr="000835A9" w:rsidRDefault="00060552" w:rsidP="00247898">
      <w:pPr>
        <w:pStyle w:val="Prrafodelista"/>
        <w:spacing w:line="360" w:lineRule="auto"/>
        <w:ind w:left="0"/>
        <w:jc w:val="both"/>
        <w:rPr>
          <w:rFonts w:ascii="Palatino Linotype" w:hAnsi="Palatino Linotype"/>
          <w:color w:val="000000" w:themeColor="text1"/>
        </w:rPr>
      </w:pPr>
    </w:p>
    <w:p w14:paraId="18B4F337" w14:textId="77777777" w:rsidR="00247898" w:rsidRPr="000835A9" w:rsidRDefault="00247898" w:rsidP="00247898">
      <w:pPr>
        <w:pStyle w:val="Prrafodelista"/>
        <w:numPr>
          <w:ilvl w:val="0"/>
          <w:numId w:val="15"/>
        </w:numPr>
        <w:spacing w:line="360" w:lineRule="auto"/>
        <w:ind w:left="0" w:firstLine="0"/>
        <w:jc w:val="both"/>
        <w:rPr>
          <w:rFonts w:ascii="Palatino Linotype" w:hAnsi="Palatino Linotype" w:cs="Arial"/>
        </w:rPr>
      </w:pPr>
      <w:r w:rsidRPr="000835A9">
        <w:rPr>
          <w:rFonts w:ascii="Palatino Linotype" w:eastAsia="Calibri" w:hAnsi="Palatino Linotype" w:cs="Arial"/>
        </w:rPr>
        <w:lastRenderedPageBreak/>
        <w:t>Es así que se concluye, que el recurso de revisión actu</w:t>
      </w:r>
      <w:r w:rsidR="000835A9" w:rsidRPr="000835A9">
        <w:rPr>
          <w:rFonts w:ascii="Palatino Linotype" w:eastAsia="Calibri" w:hAnsi="Palatino Linotype" w:cs="Arial"/>
        </w:rPr>
        <w:t>aliza</w:t>
      </w:r>
      <w:r w:rsidRPr="000835A9">
        <w:rPr>
          <w:rFonts w:ascii="Palatino Linotype" w:eastAsia="Calibri" w:hAnsi="Palatino Linotype" w:cs="Arial"/>
        </w:rPr>
        <w:t xml:space="preserve"> la causal de </w:t>
      </w:r>
      <w:r w:rsidRPr="000835A9">
        <w:rPr>
          <w:rFonts w:ascii="Palatino Linotype" w:hAnsi="Palatino Linotype" w:cs="Arial"/>
          <w:color w:val="000000"/>
        </w:rPr>
        <w:t>sobreseimiento</w:t>
      </w:r>
      <w:r w:rsidRPr="000835A9">
        <w:rPr>
          <w:rFonts w:ascii="Palatino Linotype" w:eastAsia="Calibri" w:hAnsi="Palatino Linotype" w:cs="Arial"/>
        </w:rPr>
        <w:t xml:space="preserve"> establecida en la fracción IV del artículo 192, al ser improcedente, por no impugnarse la </w:t>
      </w:r>
      <w:r w:rsidR="000835A9" w:rsidRPr="000835A9">
        <w:rPr>
          <w:rFonts w:ascii="Palatino Linotype" w:eastAsia="Calibri" w:hAnsi="Palatino Linotype" w:cs="Arial"/>
        </w:rPr>
        <w:t xml:space="preserve">veracidad de la </w:t>
      </w:r>
      <w:r w:rsidRPr="000835A9">
        <w:rPr>
          <w:rFonts w:ascii="Palatino Linotype" w:eastAsia="Calibri" w:hAnsi="Palatino Linotype" w:cs="Arial"/>
        </w:rPr>
        <w:t>respuesta.</w:t>
      </w:r>
    </w:p>
    <w:p w14:paraId="18B4F338" w14:textId="77777777" w:rsidR="00247898" w:rsidRPr="000835A9" w:rsidRDefault="00247898" w:rsidP="00247898">
      <w:pPr>
        <w:pStyle w:val="Prrafodelista"/>
        <w:spacing w:line="360" w:lineRule="auto"/>
        <w:ind w:left="0"/>
        <w:jc w:val="both"/>
        <w:rPr>
          <w:rFonts w:ascii="Palatino Linotype" w:hAnsi="Palatino Linotype" w:cs="Arial"/>
        </w:rPr>
      </w:pPr>
    </w:p>
    <w:p w14:paraId="18B4F339" w14:textId="77777777" w:rsidR="00134CE6" w:rsidRPr="000835A9" w:rsidRDefault="00247898"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eastAsia="Batang" w:hAnsi="Palatino Linotype" w:cs="Arial"/>
          <w:color w:val="000000" w:themeColor="text1"/>
        </w:rPr>
        <w:t>Al respecto es de señalar</w:t>
      </w:r>
      <w:r w:rsidR="00134CE6" w:rsidRPr="000835A9">
        <w:rPr>
          <w:rFonts w:ascii="Palatino Linotype" w:eastAsia="Batang" w:hAnsi="Palatino Linotype" w:cs="Arial"/>
          <w:color w:val="000000" w:themeColor="text1"/>
        </w:rPr>
        <w:t>,</w:t>
      </w:r>
      <w:r w:rsidRPr="000835A9">
        <w:rPr>
          <w:rFonts w:ascii="Palatino Linotype" w:eastAsia="Batang" w:hAnsi="Palatino Linotype" w:cs="Arial"/>
          <w:color w:val="000000" w:themeColor="text1"/>
        </w:rPr>
        <w:t xml:space="preserve"> que</w:t>
      </w:r>
      <w:r w:rsidR="00134CE6" w:rsidRPr="000835A9">
        <w:rPr>
          <w:rFonts w:ascii="Palatino Linotype" w:eastAsia="Batang" w:hAnsi="Palatino Linotype" w:cs="Arial"/>
          <w:color w:val="000000" w:themeColor="text1"/>
        </w:rPr>
        <w:t xml:space="preserve"> de acuerdo con el procesalista Niceto Alcalá-Zamora y Castillo en su obra </w:t>
      </w:r>
      <w:r w:rsidR="00134CE6" w:rsidRPr="000835A9">
        <w:rPr>
          <w:rFonts w:ascii="Palatino Linotype" w:eastAsia="Batang" w:hAnsi="Palatino Linotype" w:cs="Arial"/>
          <w:i/>
          <w:color w:val="000000" w:themeColor="text1"/>
        </w:rPr>
        <w:t>“</w:t>
      </w:r>
      <w:r w:rsidR="00134CE6" w:rsidRPr="000835A9">
        <w:rPr>
          <w:rFonts w:ascii="Palatino Linotype" w:eastAsia="Calibri" w:hAnsi="Palatino Linotype" w:cs="Times New Roman"/>
          <w:color w:val="000000" w:themeColor="text1"/>
        </w:rPr>
        <w:t>Cuestiones</w:t>
      </w:r>
      <w:r w:rsidR="00134CE6" w:rsidRPr="000835A9">
        <w:rPr>
          <w:rFonts w:ascii="Palatino Linotype" w:eastAsia="Batang" w:hAnsi="Palatino Linotype" w:cs="Arial"/>
          <w:i/>
          <w:color w:val="000000" w:themeColor="text1"/>
        </w:rPr>
        <w:t xml:space="preserve"> de Terminología Procesal”</w:t>
      </w:r>
      <w:r w:rsidR="00134CE6" w:rsidRPr="000835A9">
        <w:rPr>
          <w:rFonts w:ascii="Palatino Linotype" w:eastAsia="Batang" w:hAnsi="Palatino Linotype" w:cs="Arial"/>
          <w:color w:val="000000" w:themeColor="text1"/>
        </w:rPr>
        <w:t xml:space="preserve">, el sobreseimiento es </w:t>
      </w:r>
      <w:r w:rsidR="00134CE6" w:rsidRPr="000835A9">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18B4F33A" w14:textId="77777777" w:rsidR="00134CE6" w:rsidRPr="000835A9" w:rsidRDefault="00134CE6" w:rsidP="00247898">
      <w:pPr>
        <w:pStyle w:val="Prrafodelista"/>
        <w:spacing w:line="360" w:lineRule="auto"/>
        <w:ind w:left="0"/>
        <w:jc w:val="both"/>
        <w:rPr>
          <w:rFonts w:ascii="Palatino Linotype" w:hAnsi="Palatino Linotype"/>
          <w:color w:val="000000" w:themeColor="text1"/>
        </w:rPr>
      </w:pPr>
    </w:p>
    <w:p w14:paraId="18B4F33B" w14:textId="77777777" w:rsidR="00134CE6" w:rsidRPr="000835A9" w:rsidRDefault="00134CE6"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eastAsia="Batang" w:hAnsi="Palatino Linotype" w:cs="Arial"/>
          <w:color w:val="000000" w:themeColor="text1"/>
        </w:rPr>
        <w:t xml:space="preserve">Eduardo Pallares, en su artículo </w:t>
      </w:r>
      <w:r w:rsidRPr="000835A9">
        <w:rPr>
          <w:rFonts w:ascii="Palatino Linotype" w:eastAsia="Batang" w:hAnsi="Palatino Linotype" w:cs="Arial"/>
          <w:i/>
          <w:color w:val="000000" w:themeColor="text1"/>
        </w:rPr>
        <w:t>“La caducidad y el sobreseimiento en el amparo”</w:t>
      </w:r>
      <w:r w:rsidRPr="000835A9">
        <w:rPr>
          <w:rFonts w:ascii="Palatino Linotype" w:eastAsia="Batang" w:hAnsi="Palatino Linotype" w:cs="Arial"/>
          <w:color w:val="000000" w:themeColor="text1"/>
        </w:rPr>
        <w:t xml:space="preserve">, cita la definición de Aguilera Paz, aduciendo que se </w:t>
      </w:r>
      <w:r w:rsidRPr="000835A9">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0835A9">
        <w:rPr>
          <w:rFonts w:ascii="Palatino Linotype" w:eastAsia="Batang" w:hAnsi="Palatino Linotype" w:cs="Arial"/>
          <w:color w:val="000000" w:themeColor="text1"/>
        </w:rPr>
        <w:t>. Asimismo señala que existe el sobreseimiento provisional y el definitivo</w:t>
      </w:r>
      <w:r w:rsidRPr="000835A9">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18B4F33C" w14:textId="77777777" w:rsidR="00134CE6" w:rsidRPr="000835A9" w:rsidRDefault="00134CE6" w:rsidP="00247898">
      <w:pPr>
        <w:pStyle w:val="Prrafodelista"/>
        <w:spacing w:line="360" w:lineRule="auto"/>
        <w:ind w:left="0"/>
        <w:jc w:val="both"/>
        <w:rPr>
          <w:rFonts w:ascii="Palatino Linotype" w:hAnsi="Palatino Linotype"/>
          <w:color w:val="000000" w:themeColor="text1"/>
        </w:rPr>
      </w:pPr>
    </w:p>
    <w:p w14:paraId="18B4F33D" w14:textId="77777777" w:rsidR="00134CE6" w:rsidRPr="000835A9" w:rsidRDefault="00134CE6"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eastAsia="Batang" w:hAnsi="Palatino Linotype" w:cs="Arial"/>
          <w:color w:val="000000" w:themeColor="text1"/>
        </w:rPr>
        <w:t xml:space="preserve">Así, para la doctrina el sobreseimiento provoca que un procedimiento se suspenda o se resuelva en definitiva </w:t>
      </w:r>
      <w:r w:rsidRPr="000835A9">
        <w:rPr>
          <w:rFonts w:ascii="Palatino Linotype" w:eastAsia="Batang" w:hAnsi="Palatino Linotype" w:cs="Arial"/>
          <w:b/>
          <w:color w:val="000000" w:themeColor="text1"/>
          <w:u w:val="single"/>
        </w:rPr>
        <w:t>sin que se entre al estudio de los agravios o motivos de inconformidad.</w:t>
      </w:r>
      <w:r w:rsidRPr="000835A9">
        <w:rPr>
          <w:rFonts w:ascii="Palatino Linotype" w:eastAsia="Batang" w:hAnsi="Palatino Linotype" w:cs="Arial"/>
          <w:b/>
          <w:color w:val="000000" w:themeColor="text1"/>
        </w:rPr>
        <w:t xml:space="preserve"> </w:t>
      </w:r>
      <w:r w:rsidRPr="000835A9">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18B4F33E" w14:textId="77777777" w:rsidR="00134CE6" w:rsidRPr="000D5D5F" w:rsidRDefault="00134CE6" w:rsidP="00247898">
      <w:pPr>
        <w:pStyle w:val="Prrafodelista"/>
        <w:spacing w:line="360" w:lineRule="auto"/>
        <w:ind w:left="567" w:right="616"/>
        <w:jc w:val="both"/>
        <w:rPr>
          <w:rFonts w:ascii="Palatino Linotype" w:hAnsi="Palatino Linotype"/>
          <w:color w:val="000000" w:themeColor="text1"/>
          <w:sz w:val="22"/>
        </w:rPr>
      </w:pPr>
      <w:r w:rsidRPr="000D5D5F">
        <w:rPr>
          <w:rFonts w:ascii="Palatino Linotype" w:eastAsia="Batang" w:hAnsi="Palatino Linotype" w:cs="Arial"/>
          <w:b/>
          <w:i/>
          <w:color w:val="000000" w:themeColor="text1"/>
          <w:sz w:val="22"/>
          <w:lang w:val="es-AR"/>
        </w:rPr>
        <w:lastRenderedPageBreak/>
        <w:t>SOBRESEIMIENTO EN EL JUICIO DE AMPARO DIRECTO. IMPIDE EL ESTUDIO DE LAS VIOLACIONES PROCESALES PLANTEADAS EN LOS CONCEPTOS DE VIOLACIÓN.</w:t>
      </w:r>
    </w:p>
    <w:p w14:paraId="18B4F33F" w14:textId="77777777" w:rsidR="00134CE6" w:rsidRPr="000D5D5F" w:rsidRDefault="00134CE6" w:rsidP="00247898">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 w:val="22"/>
          <w:lang w:val="es-AR"/>
        </w:rPr>
      </w:pPr>
      <w:r w:rsidRPr="000D5D5F">
        <w:rPr>
          <w:rFonts w:ascii="Palatino Linotype" w:eastAsia="Batang" w:hAnsi="Palatino Linotype" w:cs="Arial"/>
          <w:b/>
          <w:i/>
          <w:color w:val="000000" w:themeColor="text1"/>
          <w:sz w:val="22"/>
          <w:lang w:val="es-AR"/>
        </w:rPr>
        <w:t>El sobreseimiento</w:t>
      </w:r>
      <w:r w:rsidRPr="000D5D5F">
        <w:rPr>
          <w:rFonts w:ascii="Palatino Linotype" w:eastAsia="Batang" w:hAnsi="Palatino Linotype" w:cs="Arial"/>
          <w:i/>
          <w:color w:val="000000" w:themeColor="text1"/>
          <w:sz w:val="22"/>
          <w:lang w:val="es-AR"/>
        </w:rPr>
        <w:t xml:space="preserve"> en el juicio de amparo directo </w:t>
      </w:r>
      <w:r w:rsidRPr="000D5D5F">
        <w:rPr>
          <w:rFonts w:ascii="Palatino Linotype" w:eastAsia="Batang" w:hAnsi="Palatino Linotype" w:cs="Arial"/>
          <w:b/>
          <w:i/>
          <w:color w:val="000000" w:themeColor="text1"/>
          <w:sz w:val="22"/>
          <w:lang w:val="es-AR"/>
        </w:rPr>
        <w:t>provoca la terminación de la controversia planteada</w:t>
      </w:r>
      <w:r w:rsidRPr="000D5D5F">
        <w:rPr>
          <w:rFonts w:ascii="Palatino Linotype" w:eastAsia="Batang" w:hAnsi="Palatino Linotype" w:cs="Arial"/>
          <w:i/>
          <w:color w:val="000000" w:themeColor="text1"/>
          <w:sz w:val="22"/>
          <w:lang w:val="es-AR"/>
        </w:rPr>
        <w:t xml:space="preserve"> por el quejoso en la demanda de amparo</w:t>
      </w:r>
      <w:r w:rsidRPr="000D5D5F">
        <w:rPr>
          <w:rFonts w:ascii="Palatino Linotype" w:eastAsia="Batang" w:hAnsi="Palatino Linotype" w:cs="Arial"/>
          <w:b/>
          <w:i/>
          <w:color w:val="000000" w:themeColor="text1"/>
          <w:sz w:val="22"/>
          <w:lang w:val="es-AR"/>
        </w:rPr>
        <w:t>, sin hacer un pronunciamiento de fondo sobre la legalidad o ilegalidad de la sentencia reclamada</w:t>
      </w:r>
      <w:r w:rsidRPr="000D5D5F">
        <w:rPr>
          <w:rFonts w:ascii="Palatino Linotype" w:eastAsia="Batang" w:hAnsi="Palatino Linotype" w:cs="Arial"/>
          <w:i/>
          <w:color w:val="000000" w:themeColor="text1"/>
          <w:sz w:val="22"/>
          <w:lang w:val="es-AR"/>
        </w:rPr>
        <w:t xml:space="preserve">. </w:t>
      </w:r>
      <w:r w:rsidRPr="000D5D5F">
        <w:rPr>
          <w:rFonts w:ascii="Palatino Linotype" w:eastAsia="Batang" w:hAnsi="Palatino Linotype" w:cs="Arial"/>
          <w:b/>
          <w:i/>
          <w:color w:val="000000" w:themeColor="text1"/>
          <w:sz w:val="22"/>
          <w:lang w:val="es-AR"/>
        </w:rPr>
        <w:t xml:space="preserve">Por consiguiente, si al sobreseerse en el juicio de amparo </w:t>
      </w:r>
      <w:r w:rsidRPr="000D5D5F">
        <w:rPr>
          <w:rFonts w:ascii="Palatino Linotype" w:eastAsia="Batang" w:hAnsi="Palatino Linotype" w:cs="Arial"/>
          <w:b/>
          <w:i/>
          <w:color w:val="000000" w:themeColor="text1"/>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D5D5F">
        <w:rPr>
          <w:rFonts w:ascii="Palatino Linotype" w:eastAsia="Batang" w:hAnsi="Palatino Linotype" w:cs="Arial"/>
          <w:i/>
          <w:color w:val="000000" w:themeColor="text1"/>
          <w:sz w:val="22"/>
          <w:lang w:val="es-AR"/>
        </w:rPr>
        <w:t>.</w:t>
      </w:r>
    </w:p>
    <w:p w14:paraId="18B4F340" w14:textId="77777777" w:rsidR="00134CE6" w:rsidRPr="000D5D5F" w:rsidRDefault="00134CE6" w:rsidP="00247898">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 w:val="22"/>
          <w:lang w:val="es-AR"/>
        </w:rPr>
      </w:pPr>
      <w:r w:rsidRPr="000D5D5F">
        <w:rPr>
          <w:rFonts w:ascii="Palatino Linotype" w:eastAsia="Batang" w:hAnsi="Palatino Linotype" w:cs="Arial"/>
          <w:i/>
          <w:color w:val="000000" w:themeColor="text1"/>
          <w:sz w:val="22"/>
          <w:lang w:val="es-AR"/>
        </w:rPr>
        <w:t>SÉPTIMO TRIBUNAL COLEGIADO EN MATERIA CIVIL DEL PRIMER CIRCUITO.</w:t>
      </w:r>
    </w:p>
    <w:p w14:paraId="18B4F341" w14:textId="77777777" w:rsidR="00134CE6" w:rsidRPr="000D5D5F" w:rsidRDefault="00134CE6" w:rsidP="00247898">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 w:val="22"/>
          <w:lang w:val="es-AR"/>
        </w:rPr>
      </w:pPr>
      <w:r w:rsidRPr="000D5D5F">
        <w:rPr>
          <w:rFonts w:ascii="Palatino Linotype" w:eastAsia="Batang" w:hAnsi="Palatino Linotype" w:cs="Arial"/>
          <w:i/>
          <w:color w:val="000000" w:themeColor="text1"/>
          <w:sz w:val="22"/>
          <w:lang w:val="es-AR"/>
        </w:rPr>
        <w:t>Amparo directo 699/2008. Mariana Leticia González Steele. 13 de noviembre de 2008. Unanimidad de votos. Ponente: Sara Judith Montalvo Trejo. Secretario: Arnulfo Mateos García.</w:t>
      </w:r>
    </w:p>
    <w:p w14:paraId="18B4F342" w14:textId="77777777" w:rsidR="00134CE6" w:rsidRPr="000D5D5F" w:rsidRDefault="00134CE6" w:rsidP="00247898">
      <w:pPr>
        <w:pStyle w:val="Prrafodelista"/>
        <w:spacing w:line="360" w:lineRule="auto"/>
        <w:ind w:left="0" w:right="49"/>
        <w:jc w:val="both"/>
        <w:rPr>
          <w:rFonts w:ascii="Palatino Linotype" w:hAnsi="Palatino Linotype"/>
          <w:color w:val="000000" w:themeColor="text1"/>
          <w:sz w:val="22"/>
        </w:rPr>
      </w:pPr>
    </w:p>
    <w:p w14:paraId="18B4F343" w14:textId="77777777" w:rsidR="00624369" w:rsidRPr="000835A9" w:rsidRDefault="00624369" w:rsidP="00624369">
      <w:pPr>
        <w:pStyle w:val="Prrafodelista"/>
        <w:numPr>
          <w:ilvl w:val="0"/>
          <w:numId w:val="15"/>
        </w:numPr>
        <w:spacing w:line="360" w:lineRule="auto"/>
        <w:ind w:left="0" w:firstLine="0"/>
        <w:jc w:val="both"/>
        <w:rPr>
          <w:rFonts w:ascii="Palatino Linotype" w:hAnsi="Palatino Linotype" w:cs="Tahoma"/>
          <w:lang w:val="es-ES"/>
        </w:rPr>
      </w:pPr>
      <w:r w:rsidRPr="000835A9">
        <w:rPr>
          <w:rFonts w:ascii="Palatino Linotype" w:eastAsia="Times New Roman" w:hAnsi="Palatino Linotype" w:cs="Tahoma"/>
        </w:rPr>
        <w:t>Ahora</w:t>
      </w:r>
      <w:r w:rsidRPr="000835A9">
        <w:rPr>
          <w:rFonts w:ascii="Palatino Linotype" w:hAnsi="Palatino Linotype" w:cs="Tahoma"/>
          <w:lang w:val="es-ES"/>
        </w:rPr>
        <w:t xml:space="preserve"> bien, el artículo 176 de la Ley de Transparencia y Acceso a la Información Pública del Estado de México y Municipios, establece que el Recurso de Revisión, es la </w:t>
      </w:r>
      <w:r w:rsidRPr="000835A9">
        <w:rPr>
          <w:rFonts w:ascii="Palatino Linotype" w:eastAsia="Batang" w:hAnsi="Palatino Linotype" w:cs="Arial"/>
          <w:color w:val="000000" w:themeColor="text1"/>
        </w:rPr>
        <w:t>garantía</w:t>
      </w:r>
      <w:r w:rsidRPr="000835A9">
        <w:rPr>
          <w:rFonts w:ascii="Palatino Linotype" w:hAnsi="Palatino Linotype" w:cs="Tahoma"/>
          <w:lang w:val="es-ES"/>
        </w:rPr>
        <w:t xml:space="preserve"> secundaria mediante la cual se pretende reparar cualquier afectación al </w:t>
      </w:r>
      <w:r w:rsidRPr="000835A9">
        <w:rPr>
          <w:rFonts w:ascii="Palatino Linotype" w:eastAsia="Times New Roman" w:hAnsi="Palatino Linotype" w:cs="Tahoma"/>
        </w:rPr>
        <w:t>derecho</w:t>
      </w:r>
      <w:r w:rsidRPr="000835A9">
        <w:rPr>
          <w:rFonts w:ascii="Palatino Linotype" w:hAnsi="Palatino Linotype" w:cs="Tahoma"/>
          <w:lang w:val="es-ES"/>
        </w:rPr>
        <w:t xml:space="preserve"> de acceso a la información pública.</w:t>
      </w:r>
    </w:p>
    <w:p w14:paraId="18B4F344" w14:textId="77777777" w:rsidR="00624369" w:rsidRPr="000835A9" w:rsidRDefault="00624369" w:rsidP="00624369">
      <w:pPr>
        <w:pStyle w:val="Prrafodelista"/>
        <w:spacing w:before="240" w:line="360" w:lineRule="auto"/>
        <w:ind w:left="0"/>
        <w:jc w:val="both"/>
        <w:rPr>
          <w:rFonts w:ascii="Palatino Linotype" w:hAnsi="Palatino Linotype" w:cs="Tahoma"/>
          <w:lang w:val="es-ES"/>
        </w:rPr>
      </w:pPr>
    </w:p>
    <w:p w14:paraId="18B4F345" w14:textId="77777777" w:rsidR="00624369" w:rsidRPr="000835A9" w:rsidRDefault="00624369" w:rsidP="00624369">
      <w:pPr>
        <w:pStyle w:val="Prrafodelista"/>
        <w:numPr>
          <w:ilvl w:val="0"/>
          <w:numId w:val="15"/>
        </w:numPr>
        <w:spacing w:line="360" w:lineRule="auto"/>
        <w:ind w:left="0" w:firstLine="0"/>
        <w:jc w:val="both"/>
        <w:rPr>
          <w:rFonts w:ascii="Palatino Linotype" w:hAnsi="Palatino Linotype" w:cs="Tahoma"/>
          <w:lang w:val="es-ES"/>
        </w:rPr>
      </w:pPr>
      <w:r w:rsidRPr="000835A9">
        <w:rPr>
          <w:rFonts w:ascii="Palatino Linotype" w:hAnsi="Palatino Linotype" w:cs="Tahoma"/>
          <w:lang w:val="es-ES"/>
        </w:rPr>
        <w:t xml:space="preserve">Además, conforme al Diccionario de Transparencia y Acceso a la </w:t>
      </w:r>
      <w:r w:rsidRPr="000835A9">
        <w:rPr>
          <w:rFonts w:ascii="Palatino Linotype" w:eastAsia="Times New Roman" w:hAnsi="Palatino Linotype" w:cs="Tahoma"/>
        </w:rPr>
        <w:t>Información</w:t>
      </w:r>
      <w:r w:rsidRPr="000835A9">
        <w:rPr>
          <w:rFonts w:ascii="Palatino Linotype" w:hAnsi="Palatino Linotype" w:cs="Tahoma"/>
          <w:lang w:val="es-ES"/>
        </w:rPr>
        <w:t xml:space="preserve"> Pública y la página oficial de este Instituto </w:t>
      </w:r>
      <w:r w:rsidRPr="000835A9">
        <w:rPr>
          <w:rFonts w:ascii="Palatino Linotype" w:hAnsi="Palatino Linotype" w:cs="Tahoma"/>
          <w:lang w:val="es-ES"/>
        </w:rPr>
        <w:lastRenderedPageBreak/>
        <w:t>(</w:t>
      </w:r>
      <w:hyperlink r:id="rId9" w:anchor="queEsRRdeIP" w:history="1">
        <w:r w:rsidRPr="000835A9">
          <w:rPr>
            <w:rFonts w:ascii="Palatino Linotype" w:hAnsi="Palatino Linotype" w:cs="Tahoma"/>
            <w:lang w:val="es-ES"/>
          </w:rPr>
          <w:t>https://www.infoem.org.mx/es/content/informacion-publica#queEsRRdeIP</w:t>
        </w:r>
      </w:hyperlink>
      <w:r w:rsidRPr="000835A9">
        <w:rPr>
          <w:rFonts w:ascii="Palatino Linotype" w:hAnsi="Palatino Linotype" w:cs="Tahoma"/>
          <w:lang w:val="es-ES"/>
        </w:rPr>
        <w:t xml:space="preserve">), el Recurso de Revisión constituye un medio reconocido en la Ley de Transparencia y Acceso a la </w:t>
      </w:r>
      <w:r w:rsidRPr="000835A9">
        <w:rPr>
          <w:rFonts w:ascii="Palatino Linotype" w:eastAsia="Times New Roman" w:hAnsi="Palatino Linotype" w:cs="Tahoma"/>
        </w:rPr>
        <w:t>Información</w:t>
      </w:r>
      <w:r w:rsidRPr="000835A9">
        <w:rPr>
          <w:rFonts w:ascii="Palatino Linotype" w:hAnsi="Palatino Linotype" w:cs="Tahoma"/>
          <w:lang w:val="es-ES"/>
        </w:rPr>
        <w:t xml:space="preserve"> Pública del Estado de México y Mun</w:t>
      </w:r>
      <w:r w:rsidR="000835A9" w:rsidRPr="000835A9">
        <w:rPr>
          <w:rFonts w:ascii="Palatino Linotype" w:hAnsi="Palatino Linotype" w:cs="Tahoma"/>
          <w:lang w:val="es-ES"/>
        </w:rPr>
        <w:t>icipios, a través del cual los s</w:t>
      </w:r>
      <w:r w:rsidRPr="000835A9">
        <w:rPr>
          <w:rFonts w:ascii="Palatino Linotype" w:hAnsi="Palatino Linotype" w:cs="Tahoma"/>
          <w:lang w:val="es-ES"/>
        </w:rPr>
        <w:t>olicitantes pueden manifestar su inconformidad ante la respuesta otorgada por el Sujeto Obligado a una solicitud de información pública.</w:t>
      </w:r>
    </w:p>
    <w:p w14:paraId="18B4F346" w14:textId="77777777" w:rsidR="00624369" w:rsidRPr="000835A9" w:rsidRDefault="00624369" w:rsidP="00624369">
      <w:pPr>
        <w:pStyle w:val="Prrafodelista"/>
        <w:spacing w:before="240" w:line="360" w:lineRule="auto"/>
        <w:ind w:left="0"/>
        <w:jc w:val="both"/>
        <w:rPr>
          <w:rFonts w:ascii="Palatino Linotype" w:hAnsi="Palatino Linotype" w:cs="Tahoma"/>
          <w:lang w:val="es-ES"/>
        </w:rPr>
      </w:pPr>
    </w:p>
    <w:p w14:paraId="18B4F347" w14:textId="77777777" w:rsidR="00624369" w:rsidRPr="000835A9" w:rsidRDefault="00624369" w:rsidP="00624369">
      <w:pPr>
        <w:pStyle w:val="Prrafodelista"/>
        <w:numPr>
          <w:ilvl w:val="0"/>
          <w:numId w:val="15"/>
        </w:numPr>
        <w:spacing w:line="360" w:lineRule="auto"/>
        <w:ind w:left="0" w:firstLine="0"/>
        <w:jc w:val="both"/>
        <w:rPr>
          <w:rFonts w:ascii="Palatino Linotype" w:eastAsia="Calibri" w:hAnsi="Palatino Linotype" w:cs="Tahoma"/>
          <w:b/>
          <w:bCs/>
          <w:color w:val="0D0D0D" w:themeColor="text1" w:themeTint="F2"/>
        </w:rPr>
      </w:pPr>
      <w:r w:rsidRPr="000835A9">
        <w:rPr>
          <w:rFonts w:ascii="Palatino Linotype" w:eastAsia="Calibri" w:hAnsi="Palatino Linotype" w:cs="Tahoma"/>
          <w:color w:val="0D0D0D" w:themeColor="text1" w:themeTint="F2"/>
        </w:rPr>
        <w:t xml:space="preserve">Sin embargo, el Particular interpuso el medio de impugnación vertiendo </w:t>
      </w:r>
      <w:r w:rsidRPr="000835A9">
        <w:rPr>
          <w:rFonts w:ascii="Palatino Linotype" w:hAnsi="Palatino Linotype" w:cs="Tahoma"/>
          <w:bCs/>
          <w:iCs/>
          <w:lang w:val="es-ES"/>
        </w:rPr>
        <w:t>argumentos</w:t>
      </w:r>
      <w:r w:rsidRPr="000835A9">
        <w:rPr>
          <w:rFonts w:ascii="Palatino Linotype" w:eastAsia="Calibri" w:hAnsi="Palatino Linotype" w:cs="Tahoma"/>
          <w:color w:val="0D0D0D" w:themeColor="text1" w:themeTint="F2"/>
        </w:rPr>
        <w:t xml:space="preserve"> que </w:t>
      </w:r>
      <w:r w:rsidRPr="000835A9">
        <w:rPr>
          <w:rFonts w:ascii="Palatino Linotype" w:hAnsi="Palatino Linotype" w:cs="Tahoma"/>
          <w:lang w:val="es-ES"/>
        </w:rPr>
        <w:t>devienen</w:t>
      </w:r>
      <w:r w:rsidRPr="000835A9">
        <w:rPr>
          <w:rFonts w:ascii="Palatino Linotype" w:eastAsia="Calibri" w:hAnsi="Palatino Linotype" w:cs="Tahoma"/>
          <w:color w:val="0D0D0D" w:themeColor="text1" w:themeTint="F2"/>
        </w:rPr>
        <w:t xml:space="preserve"> inoperantes, pues no se actualiza ninguna causal de procedencia para el recurso de revisión que prevé la ley de la materia como anteriormente se señaló.</w:t>
      </w:r>
    </w:p>
    <w:p w14:paraId="18B4F348" w14:textId="77777777" w:rsidR="00624369" w:rsidRPr="000835A9" w:rsidRDefault="00624369" w:rsidP="00624369">
      <w:pPr>
        <w:spacing w:line="360" w:lineRule="auto"/>
        <w:jc w:val="both"/>
        <w:rPr>
          <w:rFonts w:ascii="Palatino Linotype" w:eastAsia="Calibri" w:hAnsi="Palatino Linotype" w:cs="Tahoma"/>
          <w:b/>
          <w:bCs/>
          <w:color w:val="0D0D0D" w:themeColor="text1" w:themeTint="F2"/>
        </w:rPr>
      </w:pPr>
    </w:p>
    <w:p w14:paraId="18B4F349" w14:textId="77777777" w:rsidR="00624369" w:rsidRPr="000835A9" w:rsidRDefault="00624369" w:rsidP="00624369">
      <w:pPr>
        <w:pStyle w:val="Prrafodelista"/>
        <w:numPr>
          <w:ilvl w:val="0"/>
          <w:numId w:val="15"/>
        </w:numPr>
        <w:spacing w:line="360" w:lineRule="auto"/>
        <w:ind w:left="0" w:firstLine="0"/>
        <w:jc w:val="both"/>
        <w:rPr>
          <w:rFonts w:ascii="Palatino Linotype" w:hAnsi="Palatino Linotype" w:cs="Tahoma"/>
        </w:rPr>
      </w:pPr>
      <w:r w:rsidRPr="000835A9">
        <w:rPr>
          <w:rFonts w:ascii="Palatino Linotype" w:hAnsi="Palatino Linotype" w:cs="Tahoma"/>
          <w:lang w:val="es-ES"/>
        </w:rPr>
        <w:t xml:space="preserve">Por lo expuesto, se logra vislumbrar que, la inconformidad referida por el particular, no actualizan ninguna causal de procedencia </w:t>
      </w:r>
      <w:r w:rsidRPr="000835A9">
        <w:rPr>
          <w:rFonts w:ascii="Palatino Linotype" w:eastAsia="Calibri" w:hAnsi="Palatino Linotype" w:cs="Tahoma"/>
          <w:lang w:val="es-ES" w:eastAsia="es-ES_tradnl"/>
        </w:rPr>
        <w:t xml:space="preserve">estipulada en el artículo 179 de la Ley de </w:t>
      </w:r>
      <w:r w:rsidRPr="000835A9">
        <w:rPr>
          <w:rFonts w:ascii="Palatino Linotype" w:eastAsia="Calibri" w:hAnsi="Palatino Linotype" w:cs="Tahoma"/>
          <w:color w:val="0D0D0D" w:themeColor="text1" w:themeTint="F2"/>
        </w:rPr>
        <w:t>Transparencia</w:t>
      </w:r>
      <w:r w:rsidRPr="000835A9">
        <w:rPr>
          <w:rFonts w:ascii="Palatino Linotype" w:eastAsia="Calibri" w:hAnsi="Palatino Linotype" w:cs="Tahoma"/>
          <w:lang w:val="es-ES" w:eastAsia="es-ES_tradnl"/>
        </w:rPr>
        <w:t xml:space="preserve"> y Acceso a la Información Pública del Estado de México y Municipios</w:t>
      </w:r>
      <w:r w:rsidRPr="000835A9">
        <w:rPr>
          <w:rFonts w:ascii="Palatino Linotype" w:hAnsi="Palatino Linotype" w:cs="Tahoma"/>
          <w:bCs/>
          <w:color w:val="000000"/>
          <w:lang w:val="es-ES"/>
        </w:rPr>
        <w:t xml:space="preserve"> y, por lo tanto, se materializa la</w:t>
      </w:r>
      <w:r w:rsidRPr="000835A9">
        <w:rPr>
          <w:rFonts w:ascii="Palatino Linotype" w:hAnsi="Palatino Linotype" w:cs="Tahoma"/>
        </w:rPr>
        <w:t xml:space="preserve"> causal de desechamiento establecida en el artículo 191, fracción III, de la Ley de la materia; sin embargo, toda vez que fue necesario admitir el Medio de Impugnación, para verificar dicha circunstancia</w:t>
      </w:r>
      <w:r w:rsidRPr="000835A9">
        <w:rPr>
          <w:rFonts w:ascii="Palatino Linotype" w:hAnsi="Palatino Linotype" w:cs="Tahoma"/>
          <w:lang w:val="es-ES"/>
        </w:rPr>
        <w:t xml:space="preserve">, lo procedente es </w:t>
      </w:r>
      <w:r w:rsidRPr="000835A9">
        <w:rPr>
          <w:rFonts w:ascii="Palatino Linotype" w:hAnsi="Palatino Linotype" w:cs="Tahoma"/>
          <w:b/>
          <w:lang w:val="es-ES"/>
        </w:rPr>
        <w:t>SOBRESEER</w:t>
      </w:r>
      <w:r w:rsidRPr="000835A9">
        <w:rPr>
          <w:rFonts w:ascii="Palatino Linotype" w:hAnsi="Palatino Linotype" w:cs="Tahoma"/>
          <w:lang w:val="es-ES"/>
        </w:rPr>
        <w:t xml:space="preserve"> el mismo. </w:t>
      </w:r>
    </w:p>
    <w:p w14:paraId="18B4F34A" w14:textId="77777777" w:rsidR="000835A9" w:rsidRPr="000835A9" w:rsidRDefault="000835A9" w:rsidP="000835A9">
      <w:pPr>
        <w:pStyle w:val="Prrafodelista"/>
        <w:spacing w:line="360" w:lineRule="auto"/>
        <w:ind w:left="0"/>
        <w:jc w:val="both"/>
        <w:rPr>
          <w:rFonts w:ascii="Palatino Linotype" w:hAnsi="Palatino Linotype"/>
          <w:color w:val="000000" w:themeColor="text1"/>
        </w:rPr>
      </w:pPr>
    </w:p>
    <w:p w14:paraId="18B4F34B" w14:textId="77777777" w:rsidR="00134CE6" w:rsidRPr="000835A9" w:rsidRDefault="00134CE6"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s="Arial"/>
          <w:noProof/>
          <w:color w:val="000000" w:themeColor="text1"/>
          <w:lang w:eastAsia="es-MX"/>
        </w:rPr>
        <w:t xml:space="preserve">Así las cosas, como quedó demostrado, si bien es cierto </w:t>
      </w:r>
      <w:r w:rsidR="00A533B8" w:rsidRPr="000835A9">
        <w:rPr>
          <w:rFonts w:ascii="Palatino Linotype" w:hAnsi="Palatino Linotype" w:cs="Arial"/>
          <w:noProof/>
          <w:color w:val="000000" w:themeColor="text1"/>
          <w:lang w:eastAsia="es-MX"/>
        </w:rPr>
        <w:t xml:space="preserve">el </w:t>
      </w:r>
      <w:r w:rsidR="00A533B8" w:rsidRPr="000835A9">
        <w:rPr>
          <w:rFonts w:ascii="Palatino Linotype" w:hAnsi="Palatino Linotype" w:cs="Arial"/>
          <w:b/>
          <w:noProof/>
          <w:color w:val="000000" w:themeColor="text1"/>
          <w:lang w:eastAsia="es-MX"/>
        </w:rPr>
        <w:t xml:space="preserve">SUJETO OBLIGADO </w:t>
      </w:r>
      <w:r w:rsidR="00A533B8" w:rsidRPr="000835A9">
        <w:rPr>
          <w:rFonts w:ascii="Palatino Linotype" w:hAnsi="Palatino Linotype" w:cs="Arial"/>
          <w:noProof/>
          <w:color w:val="000000" w:themeColor="text1"/>
          <w:lang w:eastAsia="es-MX"/>
        </w:rPr>
        <w:t>entregó un soporte documental relacionado con lo solicitado inicialmente</w:t>
      </w:r>
      <w:r w:rsidRPr="000835A9">
        <w:rPr>
          <w:rFonts w:ascii="Palatino Linotype" w:hAnsi="Palatino Linotype" w:cs="Arial"/>
          <w:noProof/>
          <w:color w:val="000000" w:themeColor="text1"/>
          <w:lang w:eastAsia="es-MX"/>
        </w:rPr>
        <w:t xml:space="preserve">; </w:t>
      </w:r>
      <w:r w:rsidRPr="000835A9">
        <w:rPr>
          <w:rFonts w:ascii="Palatino Linotype" w:eastAsia="Batang" w:hAnsi="Palatino Linotype" w:cs="Arial"/>
          <w:color w:val="000000" w:themeColor="text1"/>
        </w:rPr>
        <w:t>también</w:t>
      </w:r>
      <w:r w:rsidRPr="000835A9">
        <w:rPr>
          <w:rFonts w:ascii="Palatino Linotype" w:hAnsi="Palatino Linotype" w:cs="Arial"/>
          <w:noProof/>
          <w:color w:val="000000" w:themeColor="text1"/>
          <w:lang w:eastAsia="es-MX"/>
        </w:rPr>
        <w:t xml:space="preserve"> lo es que </w:t>
      </w:r>
      <w:r w:rsidR="00247898" w:rsidRPr="000835A9">
        <w:rPr>
          <w:rFonts w:ascii="Palatino Linotype" w:hAnsi="Palatino Linotype" w:cs="Arial"/>
          <w:noProof/>
          <w:color w:val="000000" w:themeColor="text1"/>
          <w:lang w:eastAsia="es-MX"/>
        </w:rPr>
        <w:t>los motivos de inconformidad vertidos por el particular en su escrito recursal, son inoperantes</w:t>
      </w:r>
      <w:r w:rsidRPr="000835A9">
        <w:rPr>
          <w:rFonts w:ascii="Palatino Linotype" w:hAnsi="Palatino Linotype" w:cs="Arial"/>
          <w:noProof/>
          <w:color w:val="000000" w:themeColor="text1"/>
          <w:lang w:eastAsia="es-MX"/>
        </w:rPr>
        <w:t xml:space="preserve">, por lo que se actualiza </w:t>
      </w:r>
      <w:r w:rsidRPr="000835A9">
        <w:rPr>
          <w:rFonts w:ascii="Palatino Linotype" w:hAnsi="Palatino Linotype" w:cs="Arial"/>
          <w:color w:val="000000" w:themeColor="text1"/>
        </w:rPr>
        <w:t xml:space="preserve">la </w:t>
      </w:r>
      <w:r w:rsidRPr="000835A9">
        <w:rPr>
          <w:rFonts w:ascii="Palatino Linotype" w:hAnsi="Palatino Linotype" w:cs="Arial"/>
          <w:b/>
          <w:color w:val="000000" w:themeColor="text1"/>
        </w:rPr>
        <w:t xml:space="preserve">fracción </w:t>
      </w:r>
      <w:r w:rsidRPr="000835A9">
        <w:rPr>
          <w:rFonts w:ascii="Palatino Linotype" w:hAnsi="Palatino Linotype" w:cs="Arial"/>
          <w:b/>
          <w:color w:val="000000" w:themeColor="text1"/>
        </w:rPr>
        <w:lastRenderedPageBreak/>
        <w:t>I</w:t>
      </w:r>
      <w:r w:rsidR="000835A9" w:rsidRPr="000835A9">
        <w:rPr>
          <w:rFonts w:ascii="Palatino Linotype" w:hAnsi="Palatino Linotype" w:cs="Arial"/>
          <w:b/>
          <w:color w:val="000000" w:themeColor="text1"/>
        </w:rPr>
        <w:t>V</w:t>
      </w:r>
      <w:r w:rsidRPr="000835A9">
        <w:rPr>
          <w:rFonts w:ascii="Palatino Linotype" w:hAnsi="Palatino Linotype" w:cs="Arial"/>
          <w:b/>
          <w:color w:val="000000" w:themeColor="text1"/>
        </w:rPr>
        <w:t xml:space="preserve"> del artículo 192</w:t>
      </w:r>
      <w:r w:rsidRPr="000835A9">
        <w:rPr>
          <w:rFonts w:ascii="Palatino Linotype" w:hAnsi="Palatino Linotype" w:cs="Arial"/>
          <w:color w:val="000000" w:themeColor="text1"/>
        </w:rPr>
        <w:t xml:space="preserve"> </w:t>
      </w:r>
      <w:r w:rsidRPr="000835A9">
        <w:rPr>
          <w:rFonts w:ascii="Palatino Linotype" w:eastAsia="Batang" w:hAnsi="Palatino Linotype" w:cs="Arial"/>
          <w:color w:val="000000" w:themeColor="text1"/>
        </w:rPr>
        <w:t xml:space="preserve">de la </w:t>
      </w:r>
      <w:r w:rsidRPr="000835A9">
        <w:rPr>
          <w:rFonts w:ascii="Palatino Linotype" w:eastAsia="Batang" w:hAnsi="Palatino Linotype" w:cs="Arial"/>
          <w:b/>
          <w:color w:val="000000" w:themeColor="text1"/>
        </w:rPr>
        <w:t>Ley de Transparencia y Acceso a la Información Pública del Estado de México y Municipios.</w:t>
      </w:r>
    </w:p>
    <w:p w14:paraId="18B4F34C" w14:textId="77777777" w:rsidR="00134CE6" w:rsidRPr="000835A9" w:rsidRDefault="00736A4D" w:rsidP="00247898">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s="Arial"/>
          <w:noProof/>
          <w:color w:val="000000" w:themeColor="text1"/>
          <w:lang w:eastAsia="es-MX"/>
        </w:rPr>
        <w:t>Luego entonces</w:t>
      </w:r>
      <w:r w:rsidR="00134CE6" w:rsidRPr="000835A9">
        <w:rPr>
          <w:rFonts w:ascii="Palatino Linotype" w:hAnsi="Palatino Linotype" w:cs="Arial"/>
          <w:noProof/>
          <w:color w:val="000000" w:themeColor="text1"/>
          <w:lang w:eastAsia="es-MX"/>
        </w:rPr>
        <w:t>, por lo que hace a los motivos de inconformidad, los mismos devienen inatendibles por actualizarse la figura del sobreseimiento, misma que impide el estudio de los agravios planteados.</w:t>
      </w:r>
    </w:p>
    <w:p w14:paraId="18B4F34D" w14:textId="77777777" w:rsidR="00A533B8" w:rsidRPr="000835A9" w:rsidRDefault="00A533B8" w:rsidP="00247898">
      <w:pPr>
        <w:spacing w:line="360" w:lineRule="auto"/>
        <w:jc w:val="both"/>
        <w:rPr>
          <w:rFonts w:ascii="Palatino Linotype" w:hAnsi="Palatino Linotype"/>
          <w:color w:val="000000" w:themeColor="text1"/>
        </w:rPr>
      </w:pPr>
    </w:p>
    <w:p w14:paraId="18B4F34E" w14:textId="77777777" w:rsidR="00792D6A" w:rsidRPr="000835A9" w:rsidRDefault="00134CE6" w:rsidP="000835A9">
      <w:pPr>
        <w:pStyle w:val="Prrafodelista"/>
        <w:numPr>
          <w:ilvl w:val="0"/>
          <w:numId w:val="15"/>
        </w:numPr>
        <w:spacing w:line="360" w:lineRule="auto"/>
        <w:ind w:left="0" w:firstLine="0"/>
        <w:jc w:val="both"/>
        <w:rPr>
          <w:rFonts w:ascii="Palatino Linotype" w:hAnsi="Palatino Linotype"/>
          <w:color w:val="000000" w:themeColor="text1"/>
        </w:rPr>
      </w:pPr>
      <w:r w:rsidRPr="000835A9">
        <w:rPr>
          <w:rFonts w:ascii="Palatino Linotype" w:hAnsi="Palatino Linotype"/>
          <w:color w:val="000000" w:themeColor="text1"/>
        </w:rPr>
        <w:t xml:space="preserve">Atento a lo anterior, </w:t>
      </w:r>
      <w:r w:rsidRPr="000835A9">
        <w:rPr>
          <w:rFonts w:ascii="Palatino Linotype" w:hAnsi="Palatino Linotype" w:cs="Arial"/>
          <w:color w:val="000000" w:themeColor="text1"/>
          <w:lang w:val="es-CO"/>
        </w:rPr>
        <w:t xml:space="preserve">y en términos del artículo 186 fracción I este Pleno determina el </w:t>
      </w:r>
      <w:r w:rsidRPr="000835A9">
        <w:rPr>
          <w:rFonts w:ascii="Palatino Linotype" w:hAnsi="Palatino Linotype" w:cs="Arial"/>
          <w:b/>
          <w:color w:val="000000" w:themeColor="text1"/>
          <w:lang w:val="es-CO"/>
        </w:rPr>
        <w:t xml:space="preserve">SOBRESEIMIENTO </w:t>
      </w:r>
      <w:r w:rsidRPr="000835A9">
        <w:rPr>
          <w:rFonts w:ascii="Palatino Linotype" w:hAnsi="Palatino Linotype" w:cs="Arial"/>
          <w:color w:val="000000" w:themeColor="text1"/>
          <w:lang w:val="es-CO"/>
        </w:rPr>
        <w:t xml:space="preserve">del presente recurso de revisión, toda vez que </w:t>
      </w:r>
      <w:r w:rsidR="00736A4D" w:rsidRPr="000835A9">
        <w:rPr>
          <w:rFonts w:ascii="Palatino Linotype" w:hAnsi="Palatino Linotype" w:cs="Arial"/>
          <w:color w:val="000000" w:themeColor="text1"/>
          <w:lang w:val="es-CO"/>
        </w:rPr>
        <w:t>una vez admitido el recurso de revisión, apareció una causal de improcedencia</w:t>
      </w:r>
      <w:r w:rsidR="000835A9" w:rsidRPr="000835A9">
        <w:rPr>
          <w:rFonts w:ascii="Palatino Linotype" w:hAnsi="Palatino Linotype" w:cs="Arial"/>
          <w:color w:val="000000" w:themeColor="text1"/>
          <w:lang w:val="es-CO"/>
        </w:rPr>
        <w:t xml:space="preserve"> y,</w:t>
      </w:r>
      <w:r w:rsidR="00792D6A" w:rsidRPr="000835A9">
        <w:rPr>
          <w:rFonts w:ascii="Palatino Linotype" w:hAnsi="Palatino Linotype" w:cs="Arial"/>
          <w:color w:val="000000" w:themeColor="text1"/>
          <w:lang w:eastAsia="es-MX"/>
        </w:rPr>
        <w:t xml:space="preserve"> emite los siguientes:</w:t>
      </w:r>
    </w:p>
    <w:p w14:paraId="18B4F34F" w14:textId="77777777" w:rsidR="000835A9" w:rsidRPr="000835A9" w:rsidRDefault="000835A9" w:rsidP="000835A9">
      <w:pPr>
        <w:pStyle w:val="Prrafodelista"/>
        <w:rPr>
          <w:rFonts w:ascii="Palatino Linotype" w:hAnsi="Palatino Linotype"/>
          <w:color w:val="000000" w:themeColor="text1"/>
        </w:rPr>
      </w:pPr>
    </w:p>
    <w:p w14:paraId="18B4F350" w14:textId="77777777" w:rsidR="009F09BC" w:rsidRPr="000835A9" w:rsidRDefault="009F09BC" w:rsidP="00736A4D">
      <w:pPr>
        <w:pStyle w:val="Ttulo1"/>
        <w:spacing w:before="0" w:line="360" w:lineRule="auto"/>
        <w:jc w:val="center"/>
        <w:rPr>
          <w:rFonts w:ascii="Palatino Linotype" w:eastAsia="Calibri" w:hAnsi="Palatino Linotype"/>
          <w:b/>
          <w:color w:val="000000" w:themeColor="text1"/>
          <w:sz w:val="24"/>
          <w:szCs w:val="24"/>
          <w:lang w:val="es-ES"/>
        </w:rPr>
      </w:pPr>
      <w:bookmarkStart w:id="144" w:name="_Toc504500693"/>
      <w:bookmarkStart w:id="145" w:name="_Toc534742545"/>
      <w:bookmarkStart w:id="146" w:name="_Toc2248738"/>
      <w:bookmarkStart w:id="147" w:name="_Toc34819440"/>
      <w:bookmarkStart w:id="148" w:name="_Toc51259595"/>
      <w:bookmarkStart w:id="149" w:name="_Toc83128595"/>
      <w:r w:rsidRPr="000835A9">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p>
    <w:p w14:paraId="18B4F351" w14:textId="77777777" w:rsidR="00CE7B83" w:rsidRPr="000835A9" w:rsidRDefault="00CE7B83" w:rsidP="00247898">
      <w:pPr>
        <w:spacing w:line="360" w:lineRule="auto"/>
        <w:jc w:val="both"/>
        <w:rPr>
          <w:rFonts w:ascii="Palatino Linotype" w:hAnsi="Palatino Linotype"/>
          <w:color w:val="000000" w:themeColor="text1"/>
          <w:lang w:val="es-ES"/>
        </w:rPr>
      </w:pPr>
    </w:p>
    <w:p w14:paraId="18B4F352" w14:textId="77777777" w:rsidR="00D36EB5" w:rsidRPr="000835A9" w:rsidRDefault="00D36EB5" w:rsidP="00D36EB5">
      <w:pPr>
        <w:spacing w:line="360" w:lineRule="auto"/>
        <w:jc w:val="both"/>
        <w:rPr>
          <w:rFonts w:ascii="Palatino Linotype" w:hAnsi="Palatino Linotype" w:cs="Arial"/>
        </w:rPr>
      </w:pPr>
      <w:r w:rsidRPr="000835A9">
        <w:rPr>
          <w:rFonts w:ascii="Palatino Linotype" w:hAnsi="Palatino Linotype" w:cs="Arial"/>
          <w:b/>
          <w:bCs/>
        </w:rPr>
        <w:t>PRIMERO</w:t>
      </w:r>
      <w:r w:rsidRPr="000835A9">
        <w:rPr>
          <w:rFonts w:ascii="Palatino Linotype" w:hAnsi="Palatino Linotype" w:cs="Arial"/>
        </w:rPr>
        <w:t xml:space="preserve">. Se </w:t>
      </w:r>
      <w:r w:rsidRPr="000835A9">
        <w:rPr>
          <w:rFonts w:ascii="Palatino Linotype" w:hAnsi="Palatino Linotype" w:cs="Arial"/>
          <w:b/>
        </w:rPr>
        <w:t xml:space="preserve">SOBRESEE por improcedente </w:t>
      </w:r>
      <w:r w:rsidRPr="000835A9">
        <w:rPr>
          <w:rFonts w:ascii="Palatino Linotype" w:hAnsi="Palatino Linotype" w:cs="Arial"/>
        </w:rPr>
        <w:t>el recurso de revisión</w:t>
      </w:r>
      <w:r w:rsidRPr="000835A9">
        <w:rPr>
          <w:rFonts w:ascii="Palatino Linotype" w:hAnsi="Palatino Linotype" w:cs="Arial"/>
          <w:b/>
        </w:rPr>
        <w:t xml:space="preserve"> </w:t>
      </w:r>
      <w:r w:rsidRPr="000835A9">
        <w:rPr>
          <w:rFonts w:ascii="Palatino Linotype" w:hAnsi="Palatino Linotype" w:cs="Arial"/>
        </w:rPr>
        <w:t xml:space="preserve">número </w:t>
      </w:r>
      <w:r w:rsidR="000835A9" w:rsidRPr="000835A9">
        <w:rPr>
          <w:rFonts w:ascii="Palatino Linotype" w:hAnsi="Palatino Linotype" w:cs="Arial"/>
          <w:b/>
          <w:bCs/>
          <w:lang w:eastAsia="es-MX"/>
        </w:rPr>
        <w:t>06003/INFOEM/IP/RR/2023</w:t>
      </w:r>
      <w:r w:rsidRPr="000835A9">
        <w:rPr>
          <w:rFonts w:ascii="Palatino Linotype" w:hAnsi="Palatino Linotype" w:cs="Arial"/>
        </w:rPr>
        <w:t xml:space="preserve"> de conformidad con lo dispuesto en el artículo 1</w:t>
      </w:r>
      <w:r w:rsidR="000835A9" w:rsidRPr="000835A9">
        <w:rPr>
          <w:rFonts w:ascii="Palatino Linotype" w:hAnsi="Palatino Linotype" w:cs="Arial"/>
        </w:rPr>
        <w:t>91</w:t>
      </w:r>
      <w:r w:rsidRPr="000835A9">
        <w:rPr>
          <w:rFonts w:ascii="Palatino Linotype" w:hAnsi="Palatino Linotype" w:cs="Arial"/>
        </w:rPr>
        <w:t xml:space="preserve"> fracción III, en relación con el artículo 1</w:t>
      </w:r>
      <w:r w:rsidR="000835A9" w:rsidRPr="000835A9">
        <w:rPr>
          <w:rFonts w:ascii="Palatino Linotype" w:hAnsi="Palatino Linotype" w:cs="Arial"/>
        </w:rPr>
        <w:t>92 fracción IV</w:t>
      </w:r>
      <w:r w:rsidRPr="000835A9">
        <w:rPr>
          <w:rFonts w:ascii="Palatino Linotype" w:hAnsi="Palatino Linotype" w:cs="Arial"/>
        </w:rPr>
        <w:t xml:space="preserve"> de la </w:t>
      </w:r>
      <w:r w:rsidR="000835A9" w:rsidRPr="000835A9">
        <w:rPr>
          <w:rFonts w:ascii="Palatino Linotype" w:hAnsi="Palatino Linotype" w:cs="Arial"/>
        </w:rPr>
        <w:t>Ley de Transparencia y Acceso a la Información Pública del Estado de México y Municipios</w:t>
      </w:r>
      <w:r w:rsidRPr="000835A9">
        <w:rPr>
          <w:rFonts w:ascii="Palatino Linotype" w:hAnsi="Palatino Linotype" w:cs="Arial"/>
        </w:rPr>
        <w:t xml:space="preserve">, en términos del </w:t>
      </w:r>
      <w:r w:rsidR="000D5D5F">
        <w:rPr>
          <w:rFonts w:ascii="Palatino Linotype" w:hAnsi="Palatino Linotype" w:cs="Arial"/>
          <w:b/>
        </w:rPr>
        <w:t>c</w:t>
      </w:r>
      <w:r w:rsidRPr="000835A9">
        <w:rPr>
          <w:rFonts w:ascii="Palatino Linotype" w:hAnsi="Palatino Linotype" w:cs="Arial"/>
          <w:b/>
        </w:rPr>
        <w:t xml:space="preserve">onsiderando </w:t>
      </w:r>
      <w:r w:rsidR="000D5D5F" w:rsidRPr="000835A9">
        <w:rPr>
          <w:rFonts w:ascii="Palatino Linotype" w:hAnsi="Palatino Linotype" w:cs="Arial"/>
          <w:b/>
        </w:rPr>
        <w:t>TERCERO</w:t>
      </w:r>
      <w:r w:rsidRPr="000835A9">
        <w:rPr>
          <w:rFonts w:ascii="Palatino Linotype" w:hAnsi="Palatino Linotype" w:cs="Arial"/>
        </w:rPr>
        <w:t xml:space="preserve"> de la presente Resolución.</w:t>
      </w:r>
    </w:p>
    <w:p w14:paraId="18B4F353" w14:textId="77777777" w:rsidR="00D36EB5" w:rsidRPr="000835A9" w:rsidRDefault="00D36EB5" w:rsidP="00D36EB5">
      <w:pPr>
        <w:spacing w:line="360" w:lineRule="auto"/>
        <w:jc w:val="both"/>
        <w:rPr>
          <w:rFonts w:ascii="Palatino Linotype" w:hAnsi="Palatino Linotype" w:cs="Arial"/>
        </w:rPr>
      </w:pPr>
    </w:p>
    <w:p w14:paraId="18B4F354" w14:textId="77777777" w:rsidR="00D36EB5" w:rsidRPr="000835A9" w:rsidRDefault="00D36EB5" w:rsidP="00D36EB5">
      <w:pPr>
        <w:shd w:val="clear" w:color="auto" w:fill="FFFFFF"/>
        <w:spacing w:line="360" w:lineRule="auto"/>
        <w:jc w:val="both"/>
        <w:rPr>
          <w:rFonts w:ascii="Palatino Linotype" w:eastAsia="MS Mincho" w:hAnsi="Palatino Linotype"/>
          <w:color w:val="000000" w:themeColor="text1"/>
          <w:shd w:val="clear" w:color="auto" w:fill="FFFFFF"/>
        </w:rPr>
      </w:pPr>
      <w:bookmarkStart w:id="150" w:name="_Toc461648590"/>
      <w:bookmarkStart w:id="151" w:name="_Toc461648682"/>
      <w:bookmarkStart w:id="152" w:name="_Toc462228049"/>
      <w:bookmarkStart w:id="153" w:name="_Toc462228129"/>
      <w:bookmarkStart w:id="154" w:name="_Toc496099789"/>
      <w:bookmarkStart w:id="155" w:name="_Toc496100166"/>
      <w:bookmarkStart w:id="156" w:name="_Toc499756977"/>
      <w:bookmarkStart w:id="157" w:name="_Toc499757020"/>
      <w:bookmarkStart w:id="158" w:name="_Toc504377974"/>
      <w:r w:rsidRPr="000835A9">
        <w:rPr>
          <w:rFonts w:ascii="Palatino Linotype" w:hAnsi="Palatino Linotype" w:cs="Arial"/>
          <w:b/>
        </w:rPr>
        <w:t>SEGUNDO.</w:t>
      </w:r>
      <w:bookmarkEnd w:id="150"/>
      <w:bookmarkEnd w:id="151"/>
      <w:bookmarkEnd w:id="152"/>
      <w:bookmarkEnd w:id="153"/>
      <w:bookmarkEnd w:id="154"/>
      <w:bookmarkEnd w:id="155"/>
      <w:bookmarkEnd w:id="156"/>
      <w:bookmarkEnd w:id="157"/>
      <w:bookmarkEnd w:id="158"/>
      <w:r w:rsidRPr="000835A9">
        <w:rPr>
          <w:rStyle w:val="Ttulo2Car"/>
          <w:rFonts w:ascii="Palatino Linotype" w:hAnsi="Palatino Linotype"/>
          <w:b/>
          <w:color w:val="000000" w:themeColor="text1"/>
          <w:sz w:val="24"/>
          <w:szCs w:val="24"/>
        </w:rPr>
        <w:t xml:space="preserve"> </w:t>
      </w:r>
      <w:r w:rsidRPr="000835A9">
        <w:rPr>
          <w:rFonts w:ascii="Palatino Linotype" w:hAnsi="Palatino Linotype"/>
          <w:b/>
          <w:bCs/>
          <w:color w:val="222222"/>
          <w:lang w:val="es-ES"/>
        </w:rPr>
        <w:t>Notifíquese</w:t>
      </w:r>
      <w:r w:rsidRPr="000835A9">
        <w:rPr>
          <w:rFonts w:ascii="Palatino Linotype" w:eastAsia="MS Mincho" w:hAnsi="Palatino Linotype" w:cs="Arial"/>
          <w:b/>
          <w:bCs/>
          <w:color w:val="000000" w:themeColor="text1"/>
          <w:shd w:val="clear" w:color="auto" w:fill="FFFFFF"/>
        </w:rPr>
        <w:t xml:space="preserve"> </w:t>
      </w:r>
      <w:r w:rsidRPr="000835A9">
        <w:rPr>
          <w:rFonts w:ascii="Palatino Linotype" w:eastAsia="MS Mincho" w:hAnsi="Palatino Linotype"/>
          <w:color w:val="000000" w:themeColor="text1"/>
          <w:shd w:val="clear" w:color="auto" w:fill="FFFFFF"/>
        </w:rPr>
        <w:t>al Titular de la Unidad de Transparencia del</w:t>
      </w:r>
      <w:r w:rsidRPr="000835A9">
        <w:rPr>
          <w:rFonts w:ascii="Palatino Linotype" w:eastAsia="MS Mincho" w:hAnsi="Palatino Linotype"/>
          <w:b/>
          <w:bCs/>
          <w:color w:val="000000" w:themeColor="text1"/>
          <w:shd w:val="clear" w:color="auto" w:fill="FFFFFF"/>
        </w:rPr>
        <w:t xml:space="preserve"> SUJETO OBLIGADO,</w:t>
      </w:r>
      <w:r w:rsidRPr="000835A9">
        <w:rPr>
          <w:rFonts w:ascii="Palatino Linotype" w:eastAsia="MS Mincho" w:hAnsi="Palatino Linotype"/>
          <w:color w:val="000000" w:themeColor="text1"/>
          <w:shd w:val="clear" w:color="auto" w:fill="FFFFFF"/>
        </w:rPr>
        <w:t xml:space="preserve"> vía </w:t>
      </w:r>
      <w:r w:rsidR="000835A9" w:rsidRPr="000835A9">
        <w:rPr>
          <w:rFonts w:ascii="Palatino Linotype" w:eastAsia="MS Mincho" w:hAnsi="Palatino Linotype"/>
          <w:b/>
          <w:color w:val="000000" w:themeColor="text1"/>
          <w:shd w:val="clear" w:color="auto" w:fill="FFFFFF"/>
        </w:rPr>
        <w:t>SAIMEX</w:t>
      </w:r>
      <w:r w:rsidRPr="000835A9">
        <w:rPr>
          <w:rFonts w:ascii="Palatino Linotype" w:eastAsia="MS Mincho" w:hAnsi="Palatino Linotype"/>
          <w:color w:val="000000" w:themeColor="text1"/>
          <w:shd w:val="clear" w:color="auto" w:fill="FFFFFF"/>
        </w:rPr>
        <w:t>, la presente resolución.</w:t>
      </w:r>
    </w:p>
    <w:p w14:paraId="18B4F355" w14:textId="77777777" w:rsidR="00D36EB5" w:rsidRPr="000835A9" w:rsidRDefault="00D36EB5" w:rsidP="00D36EB5">
      <w:pPr>
        <w:shd w:val="clear" w:color="auto" w:fill="FFFFFF"/>
        <w:spacing w:line="360" w:lineRule="auto"/>
        <w:jc w:val="both"/>
        <w:rPr>
          <w:rStyle w:val="Ttulo2Car"/>
          <w:rFonts w:ascii="Palatino Linotype" w:hAnsi="Palatino Linotype"/>
          <w:b/>
          <w:color w:val="000000" w:themeColor="text1"/>
          <w:sz w:val="24"/>
          <w:szCs w:val="24"/>
        </w:rPr>
      </w:pPr>
    </w:p>
    <w:p w14:paraId="18B4F356" w14:textId="77777777" w:rsidR="00D36EB5" w:rsidRPr="000835A9" w:rsidRDefault="00D36EB5" w:rsidP="00D36EB5">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0835A9">
        <w:rPr>
          <w:rFonts w:ascii="Palatino Linotype" w:hAnsi="Palatino Linotype" w:cs="Arial"/>
          <w:b/>
        </w:rPr>
        <w:t>TERCERO</w:t>
      </w:r>
      <w:r w:rsidRPr="000835A9">
        <w:rPr>
          <w:rFonts w:ascii="Palatino Linotype" w:hAnsi="Palatino Linotype"/>
          <w:b/>
          <w:color w:val="222222"/>
          <w:lang w:eastAsia="es-ES_tradnl"/>
        </w:rPr>
        <w:t xml:space="preserve">. Notifíquese </w:t>
      </w:r>
      <w:r w:rsidRPr="000835A9">
        <w:rPr>
          <w:rFonts w:ascii="Palatino Linotype" w:hAnsi="Palatino Linotype"/>
          <w:color w:val="222222"/>
          <w:lang w:eastAsia="es-ES_tradnl"/>
        </w:rPr>
        <w:t>al</w:t>
      </w:r>
      <w:r w:rsidRPr="000835A9">
        <w:rPr>
          <w:rFonts w:ascii="Palatino Linotype" w:hAnsi="Palatino Linotype"/>
          <w:b/>
          <w:color w:val="222222"/>
          <w:lang w:eastAsia="es-ES_tradnl"/>
        </w:rPr>
        <w:t xml:space="preserve"> RECURRENTE </w:t>
      </w:r>
      <w:r w:rsidRPr="000835A9">
        <w:rPr>
          <w:rFonts w:ascii="Palatino Linotype" w:hAnsi="Palatino Linotype"/>
          <w:color w:val="222222"/>
          <w:lang w:eastAsia="es-ES_tradnl"/>
        </w:rPr>
        <w:t xml:space="preserve">la presente resolución, vía </w:t>
      </w:r>
      <w:r w:rsidRPr="000835A9">
        <w:rPr>
          <w:rFonts w:ascii="Palatino Linotype" w:eastAsia="MS Mincho" w:hAnsi="Palatino Linotype"/>
          <w:b/>
          <w:color w:val="000000" w:themeColor="text1"/>
          <w:shd w:val="clear" w:color="auto" w:fill="FFFFFF"/>
        </w:rPr>
        <w:t>SA</w:t>
      </w:r>
      <w:r w:rsidR="000835A9" w:rsidRPr="000835A9">
        <w:rPr>
          <w:rFonts w:ascii="Palatino Linotype" w:eastAsia="MS Mincho" w:hAnsi="Palatino Linotype"/>
          <w:b/>
          <w:color w:val="000000" w:themeColor="text1"/>
          <w:shd w:val="clear" w:color="auto" w:fill="FFFFFF"/>
        </w:rPr>
        <w:t>IMEX</w:t>
      </w:r>
      <w:r w:rsidRPr="000835A9">
        <w:rPr>
          <w:rFonts w:ascii="Palatino Linotype" w:hAnsi="Palatino Linotype"/>
          <w:color w:val="222222"/>
          <w:lang w:eastAsia="es-ES_tradnl"/>
        </w:rPr>
        <w:t>.</w:t>
      </w:r>
    </w:p>
    <w:p w14:paraId="18B4F357" w14:textId="77777777" w:rsidR="00D36EB5" w:rsidRPr="000835A9" w:rsidRDefault="00D36EB5" w:rsidP="00D36EB5">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18B4F358" w14:textId="77777777" w:rsidR="00D36EB5" w:rsidRDefault="00D36EB5" w:rsidP="0024789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rPr>
      </w:pPr>
      <w:r w:rsidRPr="000835A9">
        <w:rPr>
          <w:rFonts w:ascii="Palatino Linotype" w:hAnsi="Palatino Linotype"/>
          <w:b/>
          <w:color w:val="222222"/>
          <w:lang w:eastAsia="es-ES_tradnl"/>
        </w:rPr>
        <w:lastRenderedPageBreak/>
        <w:t xml:space="preserve">CUARTO. </w:t>
      </w:r>
      <w:r w:rsidR="00595CC4">
        <w:rPr>
          <w:rFonts w:ascii="Palatino Linotype" w:eastAsia="MS Mincho" w:hAnsi="Palatino Linotype"/>
          <w:color w:val="000000"/>
        </w:rPr>
        <w:t xml:space="preserve">Se hace del conocimiento del </w:t>
      </w:r>
      <w:r w:rsidR="00595CC4">
        <w:rPr>
          <w:rFonts w:ascii="Palatino Linotype" w:eastAsia="MS Mincho" w:hAnsi="Palatino Linotype"/>
          <w:b/>
          <w:color w:val="000000"/>
        </w:rPr>
        <w:t>RECURRENTE</w:t>
      </w:r>
      <w:r w:rsidR="00595CC4">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595CC4">
        <w:rPr>
          <w:rFonts w:ascii="Palatino Linotype" w:eastAsia="MS Mincho" w:hAnsi="Palatino Linotype"/>
          <w:bCs/>
          <w:color w:val="000000"/>
        </w:rPr>
        <w:t>vía juicio de amparo</w:t>
      </w:r>
      <w:r w:rsidR="00595CC4">
        <w:rPr>
          <w:rFonts w:ascii="Palatino Linotype" w:eastAsia="MS Mincho" w:hAnsi="Palatino Linotype"/>
          <w:color w:val="000000"/>
        </w:rPr>
        <w:t xml:space="preserve"> en los términos de las leyes aplicables.</w:t>
      </w:r>
    </w:p>
    <w:p w14:paraId="18B4F359" w14:textId="77777777" w:rsidR="00595CC4" w:rsidRPr="000835A9" w:rsidRDefault="00595CC4" w:rsidP="0024789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18B4F35A" w14:textId="3B0F3B70" w:rsidR="000D5D5F" w:rsidRPr="000D5D5F" w:rsidRDefault="000D5D5F" w:rsidP="000D5D5F">
      <w:pPr>
        <w:spacing w:before="240" w:after="240" w:line="360" w:lineRule="auto"/>
        <w:ind w:firstLine="1"/>
        <w:jc w:val="both"/>
        <w:rPr>
          <w:rStyle w:val="Referenciasutil"/>
          <w:rFonts w:ascii="Palatino Linotype" w:hAnsi="Palatino Linotype"/>
          <w:color w:val="auto"/>
        </w:rPr>
      </w:pPr>
      <w:bookmarkStart w:id="159" w:name="_Hlk129792997"/>
      <w:r w:rsidRPr="000D5D5F">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C3E3E">
        <w:rPr>
          <w:rStyle w:val="Referenciasutil"/>
          <w:rFonts w:ascii="Palatino Linotype" w:hAnsi="Palatino Linotype"/>
          <w:color w:val="auto"/>
        </w:rPr>
        <w:t>CUADRAGÉSIMA</w:t>
      </w:r>
      <w:r w:rsidRPr="000D5D5F">
        <w:rPr>
          <w:rStyle w:val="Referenciasutil"/>
          <w:rFonts w:ascii="Palatino Linotype" w:hAnsi="Palatino Linotype"/>
          <w:color w:val="auto"/>
        </w:rPr>
        <w:t xml:space="preserve"> SESIÓN ORDINARIA CELEBRADA EL OCHO (08) DE NOVIEMBRE DE DOS MIL VEINTITRÉS, ANTE EL SECRETARIO TÉCNICO DEL PLENO ALEXIS TAPIA RAMÍREZ. </w:t>
      </w:r>
      <w:bookmarkEnd w:id="159"/>
    </w:p>
    <w:p w14:paraId="18B4F35B" w14:textId="77777777" w:rsidR="009F09BC" w:rsidRPr="000835A9" w:rsidRDefault="009F09BC" w:rsidP="00247898">
      <w:pPr>
        <w:spacing w:line="360" w:lineRule="auto"/>
        <w:jc w:val="both"/>
        <w:rPr>
          <w:rFonts w:ascii="Palatino Linotype" w:hAnsi="Palatino Linotype"/>
          <w:color w:val="000000" w:themeColor="text1"/>
        </w:rPr>
      </w:pPr>
    </w:p>
    <w:p w14:paraId="18B4F35C" w14:textId="77777777" w:rsidR="009F09BC" w:rsidRPr="000835A9" w:rsidRDefault="009F09BC" w:rsidP="00247898">
      <w:pPr>
        <w:spacing w:line="360" w:lineRule="auto"/>
        <w:jc w:val="both"/>
        <w:rPr>
          <w:rFonts w:ascii="Palatino Linotype" w:hAnsi="Palatino Linotype"/>
          <w:color w:val="000000" w:themeColor="text1"/>
        </w:rPr>
      </w:pPr>
    </w:p>
    <w:p w14:paraId="18B4F35D" w14:textId="77777777" w:rsidR="009F09BC" w:rsidRPr="000835A9" w:rsidRDefault="009F09BC" w:rsidP="00247898">
      <w:pPr>
        <w:spacing w:line="360" w:lineRule="auto"/>
        <w:jc w:val="both"/>
        <w:rPr>
          <w:rFonts w:ascii="Palatino Linotype" w:hAnsi="Palatino Linotype"/>
          <w:color w:val="000000" w:themeColor="text1"/>
        </w:rPr>
      </w:pPr>
    </w:p>
    <w:p w14:paraId="18B4F35E" w14:textId="77777777" w:rsidR="009F09BC" w:rsidRPr="000835A9" w:rsidRDefault="009F09BC" w:rsidP="00247898">
      <w:pPr>
        <w:spacing w:line="360" w:lineRule="auto"/>
        <w:jc w:val="both"/>
        <w:rPr>
          <w:rFonts w:ascii="Palatino Linotype" w:hAnsi="Palatino Linotype"/>
          <w:color w:val="000000" w:themeColor="text1"/>
        </w:rPr>
      </w:pPr>
    </w:p>
    <w:p w14:paraId="18B4F35F" w14:textId="77777777" w:rsidR="009F09BC" w:rsidRPr="000835A9" w:rsidRDefault="009F09BC" w:rsidP="00247898">
      <w:pPr>
        <w:spacing w:line="360" w:lineRule="auto"/>
        <w:jc w:val="both"/>
        <w:rPr>
          <w:rFonts w:ascii="Palatino Linotype" w:hAnsi="Palatino Linotype"/>
          <w:color w:val="000000" w:themeColor="text1"/>
        </w:rPr>
      </w:pPr>
    </w:p>
    <w:p w14:paraId="18B4F360" w14:textId="77777777" w:rsidR="009F09BC" w:rsidRPr="000835A9" w:rsidRDefault="009F09BC" w:rsidP="00247898">
      <w:pPr>
        <w:spacing w:line="360" w:lineRule="auto"/>
        <w:jc w:val="both"/>
        <w:rPr>
          <w:rFonts w:ascii="Palatino Linotype" w:hAnsi="Palatino Linotype"/>
          <w:color w:val="000000" w:themeColor="text1"/>
        </w:rPr>
      </w:pPr>
    </w:p>
    <w:p w14:paraId="18B4F361" w14:textId="77777777" w:rsidR="009F09BC" w:rsidRPr="000835A9" w:rsidRDefault="009F09BC" w:rsidP="00247898">
      <w:pPr>
        <w:spacing w:line="360" w:lineRule="auto"/>
        <w:jc w:val="both"/>
        <w:rPr>
          <w:rFonts w:ascii="Palatino Linotype" w:hAnsi="Palatino Linotype"/>
          <w:color w:val="000000" w:themeColor="text1"/>
        </w:rPr>
      </w:pPr>
    </w:p>
    <w:p w14:paraId="18B4F362" w14:textId="77777777" w:rsidR="009F09BC" w:rsidRPr="000835A9" w:rsidRDefault="009F09BC" w:rsidP="00247898">
      <w:pPr>
        <w:spacing w:line="360" w:lineRule="auto"/>
        <w:jc w:val="both"/>
        <w:rPr>
          <w:rFonts w:ascii="Palatino Linotype" w:hAnsi="Palatino Linotype"/>
          <w:color w:val="000000" w:themeColor="text1"/>
        </w:rPr>
      </w:pPr>
    </w:p>
    <w:p w14:paraId="18B4F363" w14:textId="77777777" w:rsidR="009F09BC" w:rsidRPr="000835A9" w:rsidRDefault="009F09BC" w:rsidP="00247898">
      <w:pPr>
        <w:spacing w:line="360" w:lineRule="auto"/>
        <w:jc w:val="both"/>
        <w:rPr>
          <w:rFonts w:ascii="Palatino Linotype" w:hAnsi="Palatino Linotype"/>
          <w:color w:val="000000" w:themeColor="text1"/>
        </w:rPr>
      </w:pPr>
    </w:p>
    <w:p w14:paraId="18B4F364" w14:textId="77777777" w:rsidR="009F09BC" w:rsidRPr="000835A9" w:rsidRDefault="009F09BC" w:rsidP="00247898">
      <w:pPr>
        <w:spacing w:line="360" w:lineRule="auto"/>
        <w:jc w:val="both"/>
        <w:rPr>
          <w:rFonts w:ascii="Palatino Linotype" w:hAnsi="Palatino Linotype"/>
          <w:color w:val="000000" w:themeColor="text1"/>
        </w:rPr>
      </w:pPr>
    </w:p>
    <w:p w14:paraId="18B4F365" w14:textId="77777777" w:rsidR="009F09BC" w:rsidRPr="000835A9" w:rsidRDefault="009F09BC" w:rsidP="00247898">
      <w:pPr>
        <w:spacing w:line="360" w:lineRule="auto"/>
        <w:jc w:val="both"/>
        <w:rPr>
          <w:rFonts w:ascii="Palatino Linotype" w:hAnsi="Palatino Linotype"/>
          <w:color w:val="000000" w:themeColor="text1"/>
        </w:rPr>
      </w:pPr>
    </w:p>
    <w:p w14:paraId="18B4F366" w14:textId="77777777" w:rsidR="009F09BC" w:rsidRPr="000835A9" w:rsidRDefault="009F09BC" w:rsidP="00247898">
      <w:pPr>
        <w:spacing w:line="360" w:lineRule="auto"/>
        <w:jc w:val="both"/>
        <w:rPr>
          <w:rFonts w:ascii="Palatino Linotype" w:hAnsi="Palatino Linotype"/>
          <w:color w:val="000000" w:themeColor="text1"/>
        </w:rPr>
      </w:pPr>
    </w:p>
    <w:p w14:paraId="18B4F367" w14:textId="77777777" w:rsidR="009F09BC" w:rsidRPr="000835A9" w:rsidRDefault="009F09BC" w:rsidP="00247898">
      <w:pPr>
        <w:spacing w:line="360" w:lineRule="auto"/>
        <w:jc w:val="both"/>
        <w:rPr>
          <w:rFonts w:ascii="Palatino Linotype" w:hAnsi="Palatino Linotype"/>
          <w:color w:val="000000" w:themeColor="text1"/>
        </w:rPr>
      </w:pPr>
    </w:p>
    <w:p w14:paraId="18B4F368" w14:textId="77777777" w:rsidR="009F09BC" w:rsidRPr="000835A9" w:rsidRDefault="009F09BC" w:rsidP="00247898">
      <w:pPr>
        <w:spacing w:line="360" w:lineRule="auto"/>
        <w:jc w:val="both"/>
        <w:rPr>
          <w:rFonts w:ascii="Palatino Linotype" w:hAnsi="Palatino Linotype"/>
          <w:color w:val="000000" w:themeColor="text1"/>
        </w:rPr>
      </w:pPr>
    </w:p>
    <w:p w14:paraId="18B4F369" w14:textId="77777777" w:rsidR="009F09BC" w:rsidRPr="000835A9" w:rsidRDefault="009F09BC" w:rsidP="00247898">
      <w:pPr>
        <w:spacing w:line="360" w:lineRule="auto"/>
        <w:jc w:val="both"/>
        <w:rPr>
          <w:rFonts w:ascii="Palatino Linotype" w:hAnsi="Palatino Linotype"/>
          <w:color w:val="000000" w:themeColor="text1"/>
        </w:rPr>
      </w:pPr>
    </w:p>
    <w:p w14:paraId="18B4F36A" w14:textId="77777777" w:rsidR="009F09BC" w:rsidRPr="000835A9" w:rsidRDefault="009F09BC" w:rsidP="00247898">
      <w:pPr>
        <w:spacing w:line="360" w:lineRule="auto"/>
        <w:jc w:val="both"/>
        <w:rPr>
          <w:rFonts w:ascii="Palatino Linotype" w:hAnsi="Palatino Linotype"/>
          <w:color w:val="000000" w:themeColor="text1"/>
        </w:rPr>
      </w:pPr>
    </w:p>
    <w:p w14:paraId="18B4F36B" w14:textId="77777777" w:rsidR="009F09BC" w:rsidRPr="000835A9" w:rsidRDefault="009F09BC" w:rsidP="00247898">
      <w:pPr>
        <w:tabs>
          <w:tab w:val="left" w:pos="3374"/>
        </w:tabs>
        <w:spacing w:line="360" w:lineRule="auto"/>
        <w:jc w:val="both"/>
        <w:rPr>
          <w:rFonts w:ascii="Palatino Linotype" w:hAnsi="Palatino Linotype"/>
          <w:color w:val="000000" w:themeColor="text1"/>
        </w:rPr>
      </w:pPr>
      <w:r w:rsidRPr="000835A9">
        <w:rPr>
          <w:rFonts w:ascii="Palatino Linotype" w:hAnsi="Palatino Linotype"/>
          <w:color w:val="000000" w:themeColor="text1"/>
        </w:rPr>
        <w:tab/>
      </w:r>
    </w:p>
    <w:p w14:paraId="18B4F36C" w14:textId="77777777" w:rsidR="0074110E" w:rsidRPr="000835A9" w:rsidRDefault="0074110E" w:rsidP="00247898">
      <w:pPr>
        <w:tabs>
          <w:tab w:val="left" w:pos="3374"/>
        </w:tabs>
        <w:spacing w:line="360" w:lineRule="auto"/>
        <w:jc w:val="both"/>
        <w:rPr>
          <w:rFonts w:ascii="Palatino Linotype" w:hAnsi="Palatino Linotype"/>
          <w:color w:val="000000" w:themeColor="text1"/>
        </w:rPr>
      </w:pPr>
    </w:p>
    <w:p w14:paraId="18B4F36D" w14:textId="77777777" w:rsidR="0074110E" w:rsidRPr="000835A9" w:rsidRDefault="0074110E" w:rsidP="00247898">
      <w:pPr>
        <w:tabs>
          <w:tab w:val="left" w:pos="3374"/>
        </w:tabs>
        <w:spacing w:line="360" w:lineRule="auto"/>
        <w:jc w:val="both"/>
        <w:rPr>
          <w:rFonts w:ascii="Palatino Linotype" w:hAnsi="Palatino Linotype"/>
          <w:color w:val="000000" w:themeColor="text1"/>
        </w:rPr>
      </w:pPr>
    </w:p>
    <w:p w14:paraId="18B4F36E" w14:textId="77777777" w:rsidR="0074110E" w:rsidRPr="000835A9" w:rsidRDefault="0074110E" w:rsidP="00247898">
      <w:pPr>
        <w:tabs>
          <w:tab w:val="left" w:pos="3374"/>
        </w:tabs>
        <w:spacing w:line="360" w:lineRule="auto"/>
        <w:jc w:val="both"/>
        <w:rPr>
          <w:rFonts w:ascii="Palatino Linotype" w:hAnsi="Palatino Linotype"/>
          <w:color w:val="000000" w:themeColor="text1"/>
        </w:rPr>
      </w:pPr>
    </w:p>
    <w:p w14:paraId="18B4F36F" w14:textId="77777777" w:rsidR="0074110E" w:rsidRPr="000835A9" w:rsidRDefault="0074110E" w:rsidP="00247898">
      <w:pPr>
        <w:tabs>
          <w:tab w:val="left" w:pos="3374"/>
        </w:tabs>
        <w:spacing w:line="360" w:lineRule="auto"/>
        <w:jc w:val="both"/>
        <w:rPr>
          <w:rFonts w:ascii="Palatino Linotype" w:hAnsi="Palatino Linotype"/>
          <w:color w:val="000000" w:themeColor="text1"/>
        </w:rPr>
      </w:pPr>
    </w:p>
    <w:p w14:paraId="18B4F370" w14:textId="77777777" w:rsidR="0074110E" w:rsidRPr="000835A9" w:rsidRDefault="0074110E" w:rsidP="00247898">
      <w:pPr>
        <w:tabs>
          <w:tab w:val="left" w:pos="3374"/>
        </w:tabs>
        <w:spacing w:line="360" w:lineRule="auto"/>
        <w:jc w:val="both"/>
        <w:rPr>
          <w:rFonts w:ascii="Palatino Linotype" w:hAnsi="Palatino Linotype"/>
          <w:color w:val="000000" w:themeColor="text1"/>
        </w:rPr>
      </w:pPr>
    </w:p>
    <w:p w14:paraId="18B4F371" w14:textId="77777777" w:rsidR="0074110E" w:rsidRPr="000835A9" w:rsidRDefault="0074110E" w:rsidP="00247898">
      <w:pPr>
        <w:tabs>
          <w:tab w:val="left" w:pos="3374"/>
        </w:tabs>
        <w:spacing w:line="360" w:lineRule="auto"/>
        <w:jc w:val="both"/>
        <w:rPr>
          <w:rFonts w:ascii="Palatino Linotype" w:hAnsi="Palatino Linotype"/>
          <w:color w:val="000000" w:themeColor="text1"/>
        </w:rPr>
      </w:pPr>
    </w:p>
    <w:p w14:paraId="18B4F372" w14:textId="77777777" w:rsidR="0074110E" w:rsidRPr="000835A9" w:rsidRDefault="0074110E" w:rsidP="00247898">
      <w:pPr>
        <w:tabs>
          <w:tab w:val="left" w:pos="3374"/>
        </w:tabs>
        <w:spacing w:line="360" w:lineRule="auto"/>
        <w:jc w:val="both"/>
        <w:rPr>
          <w:rFonts w:ascii="Palatino Linotype" w:hAnsi="Palatino Linotype"/>
          <w:color w:val="000000" w:themeColor="text1"/>
        </w:rPr>
      </w:pPr>
    </w:p>
    <w:p w14:paraId="18B4F373" w14:textId="77777777" w:rsidR="0074110E" w:rsidRPr="000835A9" w:rsidRDefault="0074110E" w:rsidP="00247898">
      <w:pPr>
        <w:tabs>
          <w:tab w:val="left" w:pos="3374"/>
        </w:tabs>
        <w:spacing w:line="360" w:lineRule="auto"/>
        <w:jc w:val="both"/>
        <w:rPr>
          <w:rFonts w:ascii="Palatino Linotype" w:hAnsi="Palatino Linotype"/>
          <w:color w:val="000000" w:themeColor="text1"/>
        </w:rPr>
      </w:pPr>
    </w:p>
    <w:p w14:paraId="18B4F374" w14:textId="77777777" w:rsidR="00053FB7" w:rsidRPr="000835A9" w:rsidRDefault="00053FB7" w:rsidP="00247898">
      <w:pPr>
        <w:tabs>
          <w:tab w:val="left" w:pos="3374"/>
        </w:tabs>
        <w:spacing w:line="360" w:lineRule="auto"/>
        <w:jc w:val="both"/>
        <w:rPr>
          <w:rFonts w:ascii="Palatino Linotype" w:hAnsi="Palatino Linotype"/>
          <w:color w:val="000000" w:themeColor="text1"/>
        </w:rPr>
      </w:pPr>
    </w:p>
    <w:p w14:paraId="18B4F375" w14:textId="77777777" w:rsidR="00053FB7" w:rsidRPr="000835A9" w:rsidRDefault="00053FB7" w:rsidP="00247898">
      <w:pPr>
        <w:tabs>
          <w:tab w:val="left" w:pos="3374"/>
        </w:tabs>
        <w:spacing w:line="360" w:lineRule="auto"/>
        <w:jc w:val="both"/>
        <w:rPr>
          <w:rFonts w:ascii="Palatino Linotype" w:hAnsi="Palatino Linotype"/>
          <w:color w:val="000000" w:themeColor="text1"/>
        </w:rPr>
      </w:pPr>
    </w:p>
    <w:p w14:paraId="18B4F376" w14:textId="77777777" w:rsidR="00053FB7" w:rsidRPr="000835A9" w:rsidRDefault="00053FB7" w:rsidP="00247898">
      <w:pPr>
        <w:tabs>
          <w:tab w:val="left" w:pos="3374"/>
        </w:tabs>
        <w:spacing w:line="360" w:lineRule="auto"/>
        <w:jc w:val="both"/>
        <w:rPr>
          <w:rFonts w:ascii="Palatino Linotype" w:hAnsi="Palatino Linotype"/>
          <w:color w:val="000000" w:themeColor="text1"/>
        </w:rPr>
      </w:pPr>
    </w:p>
    <w:p w14:paraId="18B4F377" w14:textId="77777777" w:rsidR="00053FB7" w:rsidRPr="000835A9" w:rsidRDefault="00053FB7" w:rsidP="00247898">
      <w:pPr>
        <w:tabs>
          <w:tab w:val="left" w:pos="3374"/>
        </w:tabs>
        <w:spacing w:line="360" w:lineRule="auto"/>
        <w:jc w:val="both"/>
        <w:rPr>
          <w:rFonts w:ascii="Palatino Linotype" w:hAnsi="Palatino Linotype"/>
          <w:color w:val="000000" w:themeColor="text1"/>
        </w:rPr>
      </w:pPr>
    </w:p>
    <w:p w14:paraId="18B4F378" w14:textId="77777777" w:rsidR="00053FB7" w:rsidRPr="000835A9" w:rsidRDefault="00053FB7" w:rsidP="00247898">
      <w:pPr>
        <w:tabs>
          <w:tab w:val="left" w:pos="3374"/>
        </w:tabs>
        <w:spacing w:line="360" w:lineRule="auto"/>
        <w:jc w:val="both"/>
        <w:rPr>
          <w:rFonts w:ascii="Palatino Linotype" w:hAnsi="Palatino Linotype"/>
          <w:color w:val="000000" w:themeColor="text1"/>
        </w:rPr>
      </w:pPr>
    </w:p>
    <w:p w14:paraId="18B4F379" w14:textId="77777777" w:rsidR="00053FB7" w:rsidRPr="000835A9" w:rsidRDefault="00053FB7" w:rsidP="00247898">
      <w:pPr>
        <w:tabs>
          <w:tab w:val="left" w:pos="3374"/>
        </w:tabs>
        <w:spacing w:line="360" w:lineRule="auto"/>
        <w:jc w:val="both"/>
        <w:rPr>
          <w:rFonts w:ascii="Palatino Linotype" w:hAnsi="Palatino Linotype"/>
          <w:color w:val="000000" w:themeColor="text1"/>
        </w:rPr>
      </w:pPr>
    </w:p>
    <w:p w14:paraId="18B4F37A" w14:textId="77777777" w:rsidR="00053FB7" w:rsidRPr="000835A9" w:rsidRDefault="00053FB7" w:rsidP="00247898">
      <w:pPr>
        <w:tabs>
          <w:tab w:val="left" w:pos="3374"/>
        </w:tabs>
        <w:spacing w:line="360" w:lineRule="auto"/>
        <w:jc w:val="both"/>
        <w:rPr>
          <w:rFonts w:ascii="Palatino Linotype" w:hAnsi="Palatino Linotype"/>
          <w:color w:val="000000" w:themeColor="text1"/>
        </w:rPr>
      </w:pPr>
    </w:p>
    <w:sectPr w:rsidR="00053FB7" w:rsidRPr="000835A9" w:rsidSect="004D465B">
      <w:headerReference w:type="even" r:id="rId10"/>
      <w:headerReference w:type="default" r:id="rId11"/>
      <w:footerReference w:type="default" r:id="rId12"/>
      <w:headerReference w:type="first" r:id="rId13"/>
      <w:footerReference w:type="first" r:id="rId14"/>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F37F" w14:textId="77777777" w:rsidR="00725BCD" w:rsidRDefault="00725BCD" w:rsidP="003B7751">
      <w:r>
        <w:separator/>
      </w:r>
    </w:p>
  </w:endnote>
  <w:endnote w:type="continuationSeparator" w:id="0">
    <w:p w14:paraId="18B4F380" w14:textId="77777777" w:rsidR="00725BCD" w:rsidRDefault="00725BCD"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8B4F38C"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5D5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5D5F">
              <w:rPr>
                <w:rFonts w:ascii="Palatino Linotype" w:hAnsi="Palatino Linotype"/>
                <w:bCs/>
                <w:noProof/>
                <w:sz w:val="20"/>
              </w:rPr>
              <w:t>21</w:t>
            </w:r>
            <w:r>
              <w:rPr>
                <w:rFonts w:ascii="Palatino Linotype" w:hAnsi="Palatino Linotype"/>
                <w:bCs/>
                <w:noProof/>
                <w:sz w:val="20"/>
              </w:rPr>
              <w:fldChar w:fldCharType="end"/>
            </w:r>
          </w:p>
        </w:sdtContent>
      </w:sdt>
    </w:sdtContent>
  </w:sdt>
  <w:p w14:paraId="18B4F38D" w14:textId="77777777" w:rsidR="00D46375" w:rsidRDefault="00D463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39B"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5D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5D5F">
      <w:rPr>
        <w:rFonts w:ascii="Palatino Linotype" w:hAnsi="Palatino Linotype"/>
        <w:bCs/>
        <w:noProof/>
        <w:sz w:val="20"/>
      </w:rPr>
      <w:t>21</w:t>
    </w:r>
    <w:r>
      <w:rPr>
        <w:rFonts w:ascii="Palatino Linotype" w:hAnsi="Palatino Linotype"/>
        <w:bCs/>
        <w:noProof/>
        <w:sz w:val="20"/>
      </w:rPr>
      <w:fldChar w:fldCharType="end"/>
    </w:r>
  </w:p>
  <w:p w14:paraId="18B4F39C" w14:textId="77777777" w:rsidR="00D46375" w:rsidRDefault="00D46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F37D" w14:textId="77777777" w:rsidR="00725BCD" w:rsidRDefault="00725BCD" w:rsidP="003B7751">
      <w:r>
        <w:separator/>
      </w:r>
    </w:p>
  </w:footnote>
  <w:footnote w:type="continuationSeparator" w:id="0">
    <w:p w14:paraId="18B4F37E" w14:textId="77777777" w:rsidR="00725BCD" w:rsidRDefault="00725BCD" w:rsidP="003B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381" w14:textId="77777777" w:rsidR="00D46375" w:rsidRDefault="005C3E3E">
    <w:pPr>
      <w:pStyle w:val="Encabezado"/>
    </w:pPr>
    <w:r>
      <w:rPr>
        <w:noProof/>
        <w:lang w:eastAsia="es-MX"/>
      </w:rPr>
      <w:pict w14:anchorId="18B4F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18B4F384" w14:textId="77777777" w:rsidTr="006A04B6">
      <w:trPr>
        <w:trHeight w:val="227"/>
      </w:trPr>
      <w:tc>
        <w:tcPr>
          <w:tcW w:w="2976" w:type="dxa"/>
          <w:vAlign w:val="center"/>
          <w:hideMark/>
        </w:tcPr>
        <w:p w14:paraId="18B4F382"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8B4F383" w14:textId="77777777" w:rsidR="00D46375" w:rsidRPr="003406EF" w:rsidRDefault="00077AAD" w:rsidP="002650A0">
          <w:pPr>
            <w:pStyle w:val="Encabezado"/>
            <w:rPr>
              <w:rFonts w:ascii="Palatino Linotype" w:hAnsi="Palatino Linotype"/>
              <w:sz w:val="22"/>
              <w:szCs w:val="22"/>
            </w:rPr>
          </w:pPr>
          <w:r w:rsidRPr="003406EF">
            <w:rPr>
              <w:rFonts w:ascii="Palatino Linotype" w:hAnsi="Palatino Linotype" w:cs="Arial"/>
              <w:bCs/>
              <w:sz w:val="22"/>
              <w:szCs w:val="22"/>
              <w:lang w:eastAsia="es-MX"/>
            </w:rPr>
            <w:t>06003/INFOEM/IP/RR/2023</w:t>
          </w:r>
        </w:p>
      </w:tc>
    </w:tr>
    <w:tr w:rsidR="00D46375" w14:paraId="18B4F387" w14:textId="77777777" w:rsidTr="006A04B6">
      <w:trPr>
        <w:trHeight w:val="242"/>
      </w:trPr>
      <w:tc>
        <w:tcPr>
          <w:tcW w:w="2976" w:type="dxa"/>
          <w:vAlign w:val="center"/>
          <w:hideMark/>
        </w:tcPr>
        <w:p w14:paraId="18B4F385"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18B4F386" w14:textId="77777777" w:rsidR="00D46375" w:rsidRPr="003406EF" w:rsidRDefault="00223048" w:rsidP="009F09BC">
          <w:pPr>
            <w:pStyle w:val="Encabezado"/>
            <w:jc w:val="both"/>
            <w:rPr>
              <w:rFonts w:ascii="Palatino Linotype" w:hAnsi="Palatino Linotype"/>
              <w:sz w:val="22"/>
              <w:szCs w:val="22"/>
            </w:rPr>
          </w:pPr>
          <w:r w:rsidRPr="003406EF">
            <w:rPr>
              <w:rFonts w:ascii="Palatino Linotype" w:hAnsi="Palatino Linotype"/>
              <w:bCs/>
              <w:color w:val="000000"/>
              <w:sz w:val="22"/>
              <w:szCs w:val="22"/>
            </w:rPr>
            <w:t>Ayuntamiento de Zinacantepec</w:t>
          </w:r>
        </w:p>
      </w:tc>
    </w:tr>
    <w:tr w:rsidR="00D46375" w14:paraId="18B4F38A" w14:textId="77777777" w:rsidTr="006A04B6">
      <w:trPr>
        <w:trHeight w:val="342"/>
      </w:trPr>
      <w:tc>
        <w:tcPr>
          <w:tcW w:w="2976" w:type="dxa"/>
          <w:vAlign w:val="center"/>
          <w:hideMark/>
        </w:tcPr>
        <w:p w14:paraId="18B4F388"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18B4F389" w14:textId="77777777" w:rsidR="00D46375" w:rsidRPr="003406EF" w:rsidRDefault="00D46375" w:rsidP="009F09BC">
          <w:pPr>
            <w:pStyle w:val="Encabezado"/>
            <w:rPr>
              <w:rFonts w:ascii="Palatino Linotype" w:hAnsi="Palatino Linotype"/>
              <w:sz w:val="22"/>
              <w:szCs w:val="22"/>
            </w:rPr>
          </w:pPr>
          <w:r w:rsidRPr="003406EF">
            <w:rPr>
              <w:rFonts w:ascii="Palatino Linotype" w:hAnsi="Palatino Linotype"/>
              <w:sz w:val="22"/>
              <w:szCs w:val="22"/>
            </w:rPr>
            <w:t>María del Rosario Mejía Ayala</w:t>
          </w:r>
        </w:p>
      </w:tc>
    </w:tr>
  </w:tbl>
  <w:p w14:paraId="18B4F38B" w14:textId="77777777" w:rsidR="00D46375" w:rsidRPr="00AE046A" w:rsidRDefault="005C3E3E" w:rsidP="003B7751">
    <w:pPr>
      <w:pStyle w:val="Encabezado"/>
      <w:tabs>
        <w:tab w:val="clear" w:pos="4419"/>
        <w:tab w:val="clear" w:pos="8838"/>
        <w:tab w:val="left" w:pos="6005"/>
      </w:tabs>
      <w:rPr>
        <w:sz w:val="14"/>
      </w:rPr>
    </w:pPr>
    <w:r>
      <w:rPr>
        <w:noProof/>
        <w:sz w:val="14"/>
        <w:lang w:eastAsia="es-MX"/>
      </w:rPr>
      <w:pict w14:anchorId="18B4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3406EF" w14:paraId="18B4F390" w14:textId="77777777" w:rsidTr="006A04B6">
      <w:trPr>
        <w:trHeight w:val="227"/>
      </w:trPr>
      <w:tc>
        <w:tcPr>
          <w:tcW w:w="2977" w:type="dxa"/>
          <w:vAlign w:val="center"/>
          <w:hideMark/>
        </w:tcPr>
        <w:p w14:paraId="18B4F38E" w14:textId="77777777" w:rsidR="00D46375" w:rsidRPr="003406EF" w:rsidRDefault="00D46375" w:rsidP="009F09BC">
          <w:pPr>
            <w:jc w:val="right"/>
            <w:rPr>
              <w:rFonts w:ascii="Palatino Linotype" w:hAnsi="Palatino Linotype"/>
              <w:b/>
              <w:sz w:val="22"/>
              <w:szCs w:val="22"/>
            </w:rPr>
          </w:pPr>
          <w:r w:rsidRPr="003406EF">
            <w:rPr>
              <w:rFonts w:ascii="Palatino Linotype" w:hAnsi="Palatino Linotype"/>
              <w:b/>
              <w:sz w:val="22"/>
              <w:szCs w:val="22"/>
            </w:rPr>
            <w:t>Recurso de Revisión:</w:t>
          </w:r>
        </w:p>
      </w:tc>
      <w:tc>
        <w:tcPr>
          <w:tcW w:w="3684" w:type="dxa"/>
          <w:vAlign w:val="center"/>
          <w:hideMark/>
        </w:tcPr>
        <w:p w14:paraId="18B4F38F" w14:textId="77777777" w:rsidR="00D46375" w:rsidRPr="003406EF" w:rsidRDefault="00077AAD" w:rsidP="0069487D">
          <w:pPr>
            <w:pStyle w:val="Encabezado"/>
            <w:rPr>
              <w:rFonts w:ascii="Palatino Linotype" w:hAnsi="Palatino Linotype"/>
              <w:sz w:val="22"/>
              <w:szCs w:val="22"/>
            </w:rPr>
          </w:pPr>
          <w:r w:rsidRPr="003406EF">
            <w:rPr>
              <w:rFonts w:ascii="Palatino Linotype" w:hAnsi="Palatino Linotype" w:cs="Arial"/>
              <w:bCs/>
              <w:sz w:val="22"/>
              <w:szCs w:val="22"/>
              <w:lang w:eastAsia="es-MX"/>
            </w:rPr>
            <w:t>06003/INFOEM/IP/RR/2023</w:t>
          </w:r>
        </w:p>
      </w:tc>
    </w:tr>
    <w:tr w:rsidR="00D46375" w:rsidRPr="003406EF" w14:paraId="18B4F393" w14:textId="77777777" w:rsidTr="006A04B6">
      <w:trPr>
        <w:trHeight w:val="242"/>
      </w:trPr>
      <w:tc>
        <w:tcPr>
          <w:tcW w:w="2977" w:type="dxa"/>
          <w:vAlign w:val="center"/>
          <w:hideMark/>
        </w:tcPr>
        <w:p w14:paraId="18B4F391" w14:textId="77777777" w:rsidR="00D46375" w:rsidRPr="003406EF" w:rsidRDefault="00D46375" w:rsidP="009F09BC">
          <w:pPr>
            <w:jc w:val="right"/>
            <w:rPr>
              <w:rFonts w:ascii="Palatino Linotype" w:hAnsi="Palatino Linotype"/>
              <w:b/>
              <w:sz w:val="22"/>
              <w:szCs w:val="22"/>
            </w:rPr>
          </w:pPr>
          <w:r w:rsidRPr="003406EF">
            <w:rPr>
              <w:rFonts w:ascii="Palatino Linotype" w:hAnsi="Palatino Linotype"/>
              <w:b/>
              <w:sz w:val="22"/>
              <w:szCs w:val="22"/>
            </w:rPr>
            <w:t>Recurrente:</w:t>
          </w:r>
        </w:p>
      </w:tc>
      <w:tc>
        <w:tcPr>
          <w:tcW w:w="3684" w:type="dxa"/>
          <w:hideMark/>
        </w:tcPr>
        <w:p w14:paraId="18B4F392" w14:textId="77777777" w:rsidR="00D46375" w:rsidRPr="003406EF" w:rsidRDefault="00D46375" w:rsidP="009F09BC">
          <w:pPr>
            <w:pStyle w:val="Encabezado"/>
            <w:tabs>
              <w:tab w:val="left" w:pos="521"/>
            </w:tabs>
            <w:rPr>
              <w:rFonts w:ascii="Palatino Linotype" w:hAnsi="Palatino Linotype"/>
              <w:sz w:val="22"/>
              <w:szCs w:val="22"/>
            </w:rPr>
          </w:pPr>
        </w:p>
      </w:tc>
    </w:tr>
    <w:tr w:rsidR="00D46375" w:rsidRPr="003406EF" w14:paraId="18B4F396" w14:textId="77777777" w:rsidTr="006A04B6">
      <w:trPr>
        <w:trHeight w:val="342"/>
      </w:trPr>
      <w:tc>
        <w:tcPr>
          <w:tcW w:w="2977" w:type="dxa"/>
          <w:vAlign w:val="center"/>
        </w:tcPr>
        <w:p w14:paraId="18B4F394" w14:textId="77777777" w:rsidR="00D46375" w:rsidRPr="003406EF" w:rsidRDefault="00D46375" w:rsidP="009F09BC">
          <w:pPr>
            <w:jc w:val="right"/>
            <w:rPr>
              <w:rFonts w:ascii="Palatino Linotype" w:hAnsi="Palatino Linotype"/>
              <w:b/>
              <w:sz w:val="22"/>
              <w:szCs w:val="22"/>
            </w:rPr>
          </w:pPr>
          <w:r w:rsidRPr="003406EF">
            <w:rPr>
              <w:rFonts w:ascii="Palatino Linotype" w:hAnsi="Palatino Linotype"/>
              <w:b/>
              <w:sz w:val="22"/>
              <w:szCs w:val="22"/>
            </w:rPr>
            <w:t>Sujeto Obligado:</w:t>
          </w:r>
        </w:p>
      </w:tc>
      <w:tc>
        <w:tcPr>
          <w:tcW w:w="3684" w:type="dxa"/>
          <w:vAlign w:val="center"/>
        </w:tcPr>
        <w:p w14:paraId="18B4F395" w14:textId="77777777" w:rsidR="00D46375" w:rsidRPr="003406EF" w:rsidRDefault="00223048" w:rsidP="009F09BC">
          <w:pPr>
            <w:pStyle w:val="Encabezado"/>
            <w:jc w:val="both"/>
            <w:rPr>
              <w:rFonts w:ascii="Palatino Linotype" w:hAnsi="Palatino Linotype"/>
              <w:sz w:val="22"/>
              <w:szCs w:val="22"/>
            </w:rPr>
          </w:pPr>
          <w:r w:rsidRPr="003406EF">
            <w:rPr>
              <w:rFonts w:ascii="Palatino Linotype" w:hAnsi="Palatino Linotype"/>
              <w:bCs/>
              <w:color w:val="000000"/>
              <w:sz w:val="22"/>
              <w:szCs w:val="22"/>
            </w:rPr>
            <w:t>Ayuntamiento de Zinacantepec</w:t>
          </w:r>
        </w:p>
      </w:tc>
    </w:tr>
    <w:tr w:rsidR="00D46375" w:rsidRPr="003406EF" w14:paraId="18B4F399" w14:textId="77777777" w:rsidTr="006A04B6">
      <w:trPr>
        <w:trHeight w:val="342"/>
      </w:trPr>
      <w:tc>
        <w:tcPr>
          <w:tcW w:w="2977" w:type="dxa"/>
          <w:vAlign w:val="center"/>
        </w:tcPr>
        <w:p w14:paraId="18B4F397" w14:textId="77777777" w:rsidR="00D46375" w:rsidRPr="003406EF" w:rsidRDefault="00D46375" w:rsidP="009F09BC">
          <w:pPr>
            <w:jc w:val="right"/>
            <w:rPr>
              <w:rFonts w:ascii="Palatino Linotype" w:hAnsi="Palatino Linotype"/>
              <w:b/>
              <w:sz w:val="22"/>
              <w:szCs w:val="22"/>
            </w:rPr>
          </w:pPr>
          <w:r w:rsidRPr="003406EF">
            <w:rPr>
              <w:rFonts w:ascii="Palatino Linotype" w:hAnsi="Palatino Linotype"/>
              <w:b/>
              <w:sz w:val="22"/>
              <w:szCs w:val="22"/>
            </w:rPr>
            <w:t>Comisionada Ponente:</w:t>
          </w:r>
        </w:p>
      </w:tc>
      <w:tc>
        <w:tcPr>
          <w:tcW w:w="3684" w:type="dxa"/>
          <w:vAlign w:val="center"/>
        </w:tcPr>
        <w:p w14:paraId="18B4F398" w14:textId="77777777" w:rsidR="00D46375" w:rsidRPr="003406EF" w:rsidRDefault="00D46375" w:rsidP="009F09BC">
          <w:pPr>
            <w:pStyle w:val="Encabezado"/>
            <w:rPr>
              <w:rFonts w:ascii="Palatino Linotype" w:hAnsi="Palatino Linotype"/>
              <w:sz w:val="22"/>
              <w:szCs w:val="22"/>
            </w:rPr>
          </w:pPr>
          <w:r w:rsidRPr="003406EF">
            <w:rPr>
              <w:rFonts w:ascii="Palatino Linotype" w:hAnsi="Palatino Linotype"/>
              <w:sz w:val="22"/>
              <w:szCs w:val="22"/>
            </w:rPr>
            <w:t>María del Rosario Mejía Ayala</w:t>
          </w:r>
        </w:p>
      </w:tc>
    </w:tr>
  </w:tbl>
  <w:p w14:paraId="18B4F39A" w14:textId="77777777" w:rsidR="00D46375" w:rsidRPr="00C222C0" w:rsidRDefault="005C3E3E">
    <w:pPr>
      <w:pStyle w:val="Encabezado"/>
      <w:rPr>
        <w:sz w:val="16"/>
      </w:rPr>
    </w:pPr>
    <w:r>
      <w:rPr>
        <w:noProof/>
        <w:sz w:val="16"/>
        <w:lang w:eastAsia="es-MX"/>
      </w:rPr>
      <w:pict w14:anchorId="18B4F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E8F349B"/>
    <w:multiLevelType w:val="hybridMultilevel"/>
    <w:tmpl w:val="DCF42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817338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920611">
    <w:abstractNumId w:val="10"/>
  </w:num>
  <w:num w:numId="3" w16cid:durableId="78529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5463114">
    <w:abstractNumId w:val="3"/>
  </w:num>
  <w:num w:numId="5" w16cid:durableId="403185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936332">
    <w:abstractNumId w:val="12"/>
  </w:num>
  <w:num w:numId="7" w16cid:durableId="1127621485">
    <w:abstractNumId w:val="2"/>
  </w:num>
  <w:num w:numId="8" w16cid:durableId="1994405231">
    <w:abstractNumId w:val="0"/>
  </w:num>
  <w:num w:numId="9" w16cid:durableId="1333989573">
    <w:abstractNumId w:val="36"/>
  </w:num>
  <w:num w:numId="10" w16cid:durableId="645666202">
    <w:abstractNumId w:val="21"/>
  </w:num>
  <w:num w:numId="11" w16cid:durableId="942031245">
    <w:abstractNumId w:val="15"/>
  </w:num>
  <w:num w:numId="12" w16cid:durableId="1441140089">
    <w:abstractNumId w:val="26"/>
  </w:num>
  <w:num w:numId="13" w16cid:durableId="1820876485">
    <w:abstractNumId w:val="38"/>
  </w:num>
  <w:num w:numId="14" w16cid:durableId="1898932411">
    <w:abstractNumId w:val="4"/>
  </w:num>
  <w:num w:numId="15" w16cid:durableId="1673876677">
    <w:abstractNumId w:val="18"/>
  </w:num>
  <w:num w:numId="16" w16cid:durableId="1472750619">
    <w:abstractNumId w:val="33"/>
  </w:num>
  <w:num w:numId="17" w16cid:durableId="1963490051">
    <w:abstractNumId w:val="9"/>
  </w:num>
  <w:num w:numId="18" w16cid:durableId="1588881611">
    <w:abstractNumId w:val="28"/>
  </w:num>
  <w:num w:numId="19" w16cid:durableId="240412895">
    <w:abstractNumId w:val="39"/>
  </w:num>
  <w:num w:numId="20" w16cid:durableId="2173443">
    <w:abstractNumId w:val="19"/>
  </w:num>
  <w:num w:numId="21" w16cid:durableId="811406774">
    <w:abstractNumId w:val="24"/>
  </w:num>
  <w:num w:numId="22" w16cid:durableId="1160003056">
    <w:abstractNumId w:val="16"/>
  </w:num>
  <w:num w:numId="23" w16cid:durableId="1636400588">
    <w:abstractNumId w:val="44"/>
  </w:num>
  <w:num w:numId="24" w16cid:durableId="1045058217">
    <w:abstractNumId w:val="7"/>
  </w:num>
  <w:num w:numId="25" w16cid:durableId="598560048">
    <w:abstractNumId w:val="34"/>
  </w:num>
  <w:num w:numId="26" w16cid:durableId="184252672">
    <w:abstractNumId w:val="23"/>
  </w:num>
  <w:num w:numId="27" w16cid:durableId="330529426">
    <w:abstractNumId w:val="5"/>
  </w:num>
  <w:num w:numId="28" w16cid:durableId="506988484">
    <w:abstractNumId w:val="35"/>
  </w:num>
  <w:num w:numId="29" w16cid:durableId="1790315590">
    <w:abstractNumId w:val="31"/>
  </w:num>
  <w:num w:numId="30" w16cid:durableId="1834025454">
    <w:abstractNumId w:val="27"/>
  </w:num>
  <w:num w:numId="31" w16cid:durableId="1125543853">
    <w:abstractNumId w:val="42"/>
  </w:num>
  <w:num w:numId="32" w16cid:durableId="1843858495">
    <w:abstractNumId w:val="20"/>
  </w:num>
  <w:num w:numId="33" w16cid:durableId="302008472">
    <w:abstractNumId w:val="8"/>
  </w:num>
  <w:num w:numId="34" w16cid:durableId="1251039042">
    <w:abstractNumId w:val="13"/>
  </w:num>
  <w:num w:numId="35" w16cid:durableId="1784878926">
    <w:abstractNumId w:val="6"/>
  </w:num>
  <w:num w:numId="36" w16cid:durableId="280232599">
    <w:abstractNumId w:val="40"/>
  </w:num>
  <w:num w:numId="37" w16cid:durableId="1781222253">
    <w:abstractNumId w:val="30"/>
  </w:num>
  <w:num w:numId="38" w16cid:durableId="1222404967">
    <w:abstractNumId w:val="22"/>
  </w:num>
  <w:num w:numId="39" w16cid:durableId="1601638480">
    <w:abstractNumId w:val="14"/>
  </w:num>
  <w:num w:numId="40" w16cid:durableId="190457599">
    <w:abstractNumId w:val="32"/>
  </w:num>
  <w:num w:numId="41" w16cid:durableId="1251043719">
    <w:abstractNumId w:val="1"/>
  </w:num>
  <w:num w:numId="42" w16cid:durableId="363019763">
    <w:abstractNumId w:val="11"/>
  </w:num>
  <w:num w:numId="43" w16cid:durableId="413405649">
    <w:abstractNumId w:val="25"/>
  </w:num>
  <w:num w:numId="44" w16cid:durableId="1638140211">
    <w:abstractNumId w:val="43"/>
  </w:num>
  <w:num w:numId="45" w16cid:durableId="190386801">
    <w:abstractNumId w:val="29"/>
  </w:num>
  <w:num w:numId="46" w16cid:durableId="72702409">
    <w:abstractNumId w:val="45"/>
  </w:num>
  <w:num w:numId="47" w16cid:durableId="322665766">
    <w:abstractNumId w:val="41"/>
  </w:num>
  <w:num w:numId="48" w16cid:durableId="132337323">
    <w:abstractNumId w:val="46"/>
  </w:num>
  <w:num w:numId="49" w16cid:durableId="12318425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67B3"/>
    <w:rsid w:val="00010C43"/>
    <w:rsid w:val="0001674C"/>
    <w:rsid w:val="00020780"/>
    <w:rsid w:val="000219E6"/>
    <w:rsid w:val="00025C53"/>
    <w:rsid w:val="00030FBC"/>
    <w:rsid w:val="00032DD8"/>
    <w:rsid w:val="000373F6"/>
    <w:rsid w:val="000504E5"/>
    <w:rsid w:val="00051287"/>
    <w:rsid w:val="00053FB7"/>
    <w:rsid w:val="00060552"/>
    <w:rsid w:val="00077AAD"/>
    <w:rsid w:val="0008243D"/>
    <w:rsid w:val="000835A9"/>
    <w:rsid w:val="000A6153"/>
    <w:rsid w:val="000B42EA"/>
    <w:rsid w:val="000B650B"/>
    <w:rsid w:val="000D5D5F"/>
    <w:rsid w:val="000E1A02"/>
    <w:rsid w:val="000E31C4"/>
    <w:rsid w:val="000E4891"/>
    <w:rsid w:val="00103414"/>
    <w:rsid w:val="00114502"/>
    <w:rsid w:val="001310C6"/>
    <w:rsid w:val="00134CE6"/>
    <w:rsid w:val="001352F5"/>
    <w:rsid w:val="00166F3E"/>
    <w:rsid w:val="00194C78"/>
    <w:rsid w:val="001A18E7"/>
    <w:rsid w:val="001C3FED"/>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4AA4"/>
    <w:rsid w:val="00277FAC"/>
    <w:rsid w:val="002901F4"/>
    <w:rsid w:val="00291500"/>
    <w:rsid w:val="002A3B71"/>
    <w:rsid w:val="002C0D3C"/>
    <w:rsid w:val="002C4997"/>
    <w:rsid w:val="002C77D6"/>
    <w:rsid w:val="002D294C"/>
    <w:rsid w:val="0030094A"/>
    <w:rsid w:val="00312281"/>
    <w:rsid w:val="00321085"/>
    <w:rsid w:val="00323FFD"/>
    <w:rsid w:val="003406EF"/>
    <w:rsid w:val="003437D9"/>
    <w:rsid w:val="00353F1D"/>
    <w:rsid w:val="0037157C"/>
    <w:rsid w:val="003833B3"/>
    <w:rsid w:val="003933C4"/>
    <w:rsid w:val="003A06E6"/>
    <w:rsid w:val="003A15C8"/>
    <w:rsid w:val="003B7751"/>
    <w:rsid w:val="003C13F1"/>
    <w:rsid w:val="003E66D2"/>
    <w:rsid w:val="00403D64"/>
    <w:rsid w:val="00407FDA"/>
    <w:rsid w:val="004118FA"/>
    <w:rsid w:val="00423410"/>
    <w:rsid w:val="00425842"/>
    <w:rsid w:val="00427038"/>
    <w:rsid w:val="00437672"/>
    <w:rsid w:val="00456AEE"/>
    <w:rsid w:val="00456CFF"/>
    <w:rsid w:val="004D465B"/>
    <w:rsid w:val="004E4EE6"/>
    <w:rsid w:val="004E6CE4"/>
    <w:rsid w:val="004F34D1"/>
    <w:rsid w:val="00500BD7"/>
    <w:rsid w:val="00507B30"/>
    <w:rsid w:val="00531473"/>
    <w:rsid w:val="005331D8"/>
    <w:rsid w:val="00541549"/>
    <w:rsid w:val="005432D0"/>
    <w:rsid w:val="00546076"/>
    <w:rsid w:val="00547ACE"/>
    <w:rsid w:val="005507B0"/>
    <w:rsid w:val="00554A21"/>
    <w:rsid w:val="00556E0A"/>
    <w:rsid w:val="00563F2E"/>
    <w:rsid w:val="0057514F"/>
    <w:rsid w:val="00575E75"/>
    <w:rsid w:val="00583A39"/>
    <w:rsid w:val="00595CC4"/>
    <w:rsid w:val="005B0088"/>
    <w:rsid w:val="005B076D"/>
    <w:rsid w:val="005B6702"/>
    <w:rsid w:val="005C3E3E"/>
    <w:rsid w:val="005C5021"/>
    <w:rsid w:val="005D2F1C"/>
    <w:rsid w:val="005D4C57"/>
    <w:rsid w:val="0062406B"/>
    <w:rsid w:val="00624369"/>
    <w:rsid w:val="006313B5"/>
    <w:rsid w:val="00647F7C"/>
    <w:rsid w:val="00657639"/>
    <w:rsid w:val="006672E1"/>
    <w:rsid w:val="00680C93"/>
    <w:rsid w:val="0069487D"/>
    <w:rsid w:val="006A04B6"/>
    <w:rsid w:val="006A6390"/>
    <w:rsid w:val="006C6E54"/>
    <w:rsid w:val="006D15D0"/>
    <w:rsid w:val="006D1CED"/>
    <w:rsid w:val="006D6CC1"/>
    <w:rsid w:val="006E7397"/>
    <w:rsid w:val="006E7C94"/>
    <w:rsid w:val="00707B87"/>
    <w:rsid w:val="00711062"/>
    <w:rsid w:val="007142AB"/>
    <w:rsid w:val="007142D6"/>
    <w:rsid w:val="00716BCA"/>
    <w:rsid w:val="00720371"/>
    <w:rsid w:val="00725BCD"/>
    <w:rsid w:val="00730341"/>
    <w:rsid w:val="00736A4D"/>
    <w:rsid w:val="0074110E"/>
    <w:rsid w:val="00742823"/>
    <w:rsid w:val="007601B1"/>
    <w:rsid w:val="00775EB2"/>
    <w:rsid w:val="00782A12"/>
    <w:rsid w:val="007851DB"/>
    <w:rsid w:val="00792D6A"/>
    <w:rsid w:val="007A460E"/>
    <w:rsid w:val="007A6A1A"/>
    <w:rsid w:val="007B0745"/>
    <w:rsid w:val="007C3C29"/>
    <w:rsid w:val="007C4404"/>
    <w:rsid w:val="007E56E1"/>
    <w:rsid w:val="00804DAA"/>
    <w:rsid w:val="0082142B"/>
    <w:rsid w:val="008227A9"/>
    <w:rsid w:val="008526F4"/>
    <w:rsid w:val="008563C8"/>
    <w:rsid w:val="008573BF"/>
    <w:rsid w:val="0086792A"/>
    <w:rsid w:val="00873EB6"/>
    <w:rsid w:val="008A06F8"/>
    <w:rsid w:val="008A64D0"/>
    <w:rsid w:val="008A699B"/>
    <w:rsid w:val="008B0637"/>
    <w:rsid w:val="008B0B07"/>
    <w:rsid w:val="008C1ED7"/>
    <w:rsid w:val="008E12E3"/>
    <w:rsid w:val="008E32EE"/>
    <w:rsid w:val="008E330F"/>
    <w:rsid w:val="008E6574"/>
    <w:rsid w:val="008F6D18"/>
    <w:rsid w:val="00911A75"/>
    <w:rsid w:val="009126F1"/>
    <w:rsid w:val="00926716"/>
    <w:rsid w:val="009335F9"/>
    <w:rsid w:val="00945135"/>
    <w:rsid w:val="0095341F"/>
    <w:rsid w:val="009972BB"/>
    <w:rsid w:val="009A2251"/>
    <w:rsid w:val="009D0241"/>
    <w:rsid w:val="009D5A32"/>
    <w:rsid w:val="009F09BC"/>
    <w:rsid w:val="00A23E82"/>
    <w:rsid w:val="00A429D6"/>
    <w:rsid w:val="00A533B8"/>
    <w:rsid w:val="00A56791"/>
    <w:rsid w:val="00A626EB"/>
    <w:rsid w:val="00AC006C"/>
    <w:rsid w:val="00AD316E"/>
    <w:rsid w:val="00AD63B4"/>
    <w:rsid w:val="00AF4BBC"/>
    <w:rsid w:val="00B07BF8"/>
    <w:rsid w:val="00B11CDD"/>
    <w:rsid w:val="00B5225F"/>
    <w:rsid w:val="00B530E8"/>
    <w:rsid w:val="00B86242"/>
    <w:rsid w:val="00B92945"/>
    <w:rsid w:val="00BF3FB5"/>
    <w:rsid w:val="00C03BA3"/>
    <w:rsid w:val="00C0715F"/>
    <w:rsid w:val="00C105CC"/>
    <w:rsid w:val="00C1074F"/>
    <w:rsid w:val="00C14F2A"/>
    <w:rsid w:val="00C21FAE"/>
    <w:rsid w:val="00C242A7"/>
    <w:rsid w:val="00C35712"/>
    <w:rsid w:val="00C41B2B"/>
    <w:rsid w:val="00C47C3D"/>
    <w:rsid w:val="00C524F8"/>
    <w:rsid w:val="00C54D99"/>
    <w:rsid w:val="00C640EA"/>
    <w:rsid w:val="00C85E64"/>
    <w:rsid w:val="00C860B1"/>
    <w:rsid w:val="00C87396"/>
    <w:rsid w:val="00C90814"/>
    <w:rsid w:val="00C91F0F"/>
    <w:rsid w:val="00CA1063"/>
    <w:rsid w:val="00CB757D"/>
    <w:rsid w:val="00CC5B2F"/>
    <w:rsid w:val="00CE7B83"/>
    <w:rsid w:val="00CF0D2B"/>
    <w:rsid w:val="00D021A5"/>
    <w:rsid w:val="00D16FC7"/>
    <w:rsid w:val="00D367B4"/>
    <w:rsid w:val="00D36EB5"/>
    <w:rsid w:val="00D46375"/>
    <w:rsid w:val="00D47231"/>
    <w:rsid w:val="00D5729F"/>
    <w:rsid w:val="00D6224B"/>
    <w:rsid w:val="00D81329"/>
    <w:rsid w:val="00D8320F"/>
    <w:rsid w:val="00D96104"/>
    <w:rsid w:val="00DA6D37"/>
    <w:rsid w:val="00DB17E1"/>
    <w:rsid w:val="00DB753F"/>
    <w:rsid w:val="00DC2611"/>
    <w:rsid w:val="00DD1021"/>
    <w:rsid w:val="00DD2335"/>
    <w:rsid w:val="00DE2F5A"/>
    <w:rsid w:val="00DF03A5"/>
    <w:rsid w:val="00E118BA"/>
    <w:rsid w:val="00E17429"/>
    <w:rsid w:val="00E55966"/>
    <w:rsid w:val="00E56172"/>
    <w:rsid w:val="00E5636B"/>
    <w:rsid w:val="00E566C9"/>
    <w:rsid w:val="00E61C13"/>
    <w:rsid w:val="00E61DA9"/>
    <w:rsid w:val="00E86E76"/>
    <w:rsid w:val="00E92E04"/>
    <w:rsid w:val="00EA660A"/>
    <w:rsid w:val="00EB1CE2"/>
    <w:rsid w:val="00ED1D6B"/>
    <w:rsid w:val="00ED3A35"/>
    <w:rsid w:val="00ED6E75"/>
    <w:rsid w:val="00EE4769"/>
    <w:rsid w:val="00EF45F9"/>
    <w:rsid w:val="00F24A04"/>
    <w:rsid w:val="00F35B0C"/>
    <w:rsid w:val="00F42ADB"/>
    <w:rsid w:val="00F54259"/>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4F2B2"/>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0D5D5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em.org.mx/es/content/informacion-publi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BF14-8E55-4035-B8B5-2A6CD66D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3944</Words>
  <Characters>22485</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Pedro Sánchez</cp:lastModifiedBy>
  <cp:revision>6</cp:revision>
  <cp:lastPrinted>2023-08-03T17:58:00Z</cp:lastPrinted>
  <dcterms:created xsi:type="dcterms:W3CDTF">2023-10-27T00:37:00Z</dcterms:created>
  <dcterms:modified xsi:type="dcterms:W3CDTF">2023-11-09T05:03:00Z</dcterms:modified>
</cp:coreProperties>
</file>