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diez de mayo de dos mil veintitrés. </w: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15614/INFOEM/IP/RR/2022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XXXXXXXXXX XXXXX XXXXXXXX, </w:t>
      </w:r>
      <w:r w:rsidDel="00000000" w:rsidR="00000000" w:rsidRPr="00000000">
        <w:rPr>
          <w:rFonts w:ascii="Palatino Linotype" w:cs="Palatino Linotype" w:eastAsia="Palatino Linotype" w:hAnsi="Palatino Linotype"/>
          <w:rtl w:val="0"/>
        </w:rPr>
        <w:t xml:space="preserve">a quien en lo sucesivo se le denominará como</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en contra de la respuesta a la solicitud </w:t>
      </w:r>
      <w:r w:rsidDel="00000000" w:rsidR="00000000" w:rsidRPr="00000000">
        <w:rPr>
          <w:rFonts w:ascii="Palatino Linotype" w:cs="Palatino Linotype" w:eastAsia="Palatino Linotype" w:hAnsi="Palatino Linotype"/>
          <w:b w:val="1"/>
          <w:rtl w:val="0"/>
        </w:rPr>
        <w:t xml:space="preserve">00529/TENANCIN/IP/2022 </w:t>
      </w:r>
      <w:r w:rsidDel="00000000" w:rsidR="00000000" w:rsidRPr="00000000">
        <w:rPr>
          <w:rFonts w:ascii="Palatino Linotype" w:cs="Palatino Linotype" w:eastAsia="Palatino Linotype" w:hAnsi="Palatino Linotype"/>
          <w:rtl w:val="0"/>
        </w:rPr>
        <w:t xml:space="preserve">por parte del</w:t>
      </w:r>
      <w:r w:rsidDel="00000000" w:rsidR="00000000" w:rsidRPr="00000000">
        <w:rPr>
          <w:rFonts w:ascii="Palatino Linotype" w:cs="Palatino Linotype" w:eastAsia="Palatino Linotype" w:hAnsi="Palatino Linotype"/>
          <w:b w:val="1"/>
          <w:rtl w:val="0"/>
        </w:rPr>
        <w:t xml:space="preserve"> Ayuntamiento de Tenancingo, </w:t>
      </w:r>
      <w:r w:rsidDel="00000000" w:rsidR="00000000" w:rsidRPr="00000000">
        <w:rPr>
          <w:rFonts w:ascii="Palatino Linotype" w:cs="Palatino Linotype" w:eastAsia="Palatino Linotype" w:hAnsi="Palatino Linotype"/>
          <w:rtl w:val="0"/>
        </w:rPr>
        <w:t xml:space="preserve">en lo sucesivo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veintitrés de septiembre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través del Sistema de Acceso a la Información Mexiquense o SAIMEX</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 solicitud de acceso a la información pública</w:t>
      </w:r>
      <w:r w:rsidDel="00000000" w:rsidR="00000000" w:rsidRPr="00000000">
        <w:rPr>
          <w:rFonts w:ascii="Palatino Linotype" w:cs="Palatino Linotype" w:eastAsia="Palatino Linotype" w:hAnsi="Palatino Linotype"/>
          <w:b w:val="1"/>
          <w:rtl w:val="0"/>
        </w:rPr>
        <w:t xml:space="preserve"> 00529/TENANCIN/IP/2022,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“Quiero que me proporcionen la nomina de los miembros de cabildo y de coordinadores, directores y jefes de area, solo de ellos para que el tesorero no ponga de pretexto que no puede con esos simples datos” (Sic)</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diecisiete de octubre de dos mil veintidós, EL SUJETO OBLIGADO </w:t>
      </w:r>
      <w:r w:rsidDel="00000000" w:rsidR="00000000" w:rsidRPr="00000000">
        <w:rPr>
          <w:rFonts w:ascii="Palatino Linotype" w:cs="Palatino Linotype" w:eastAsia="Palatino Linotype" w:hAnsi="Palatino Linotype"/>
          <w:rtl w:val="0"/>
        </w:rPr>
        <w:t xml:space="preserve">respondió a este requerimiento en los siguientes términos: </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“Tenancingo, México a 17 de Octubre de 2022</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Nombre del solicitante: C. Solicitante</w:t>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Folio de la solicitud: 00529/TENANCIN/IP/2022</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REMITE RESPUESTA A LA SOLICITUD</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en D. OSCAR MANUEL MARTINEZ RODRIGUEZ” (Sic)</w:t>
      </w:r>
    </w:p>
    <w:p w:rsidR="00000000" w:rsidDel="00000000" w:rsidP="00000000" w:rsidRDefault="00000000" w:rsidRPr="00000000" w14:paraId="00000016">
      <w:pPr>
        <w:spacing w:line="360" w:lineRule="auto"/>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7">
      <w:pP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En esta actuación,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anexó el archivo </w:t>
      </w:r>
      <w:hyperlink r:id="rId7">
        <w:r w:rsidDel="00000000" w:rsidR="00000000" w:rsidRPr="00000000">
          <w:rPr>
            <w:rFonts w:ascii="Palatino Linotype" w:cs="Palatino Linotype" w:eastAsia="Palatino Linotype" w:hAnsi="Palatino Linotype"/>
            <w:i w:val="1"/>
            <w:rtl w:val="0"/>
          </w:rPr>
          <w:t xml:space="preserve">529-RESP-TESO.pdf</w:t>
        </w:r>
      </w:hyperlink>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que contiene el oficio denominado </w:t>
      </w:r>
      <w:r w:rsidDel="00000000" w:rsidR="00000000" w:rsidRPr="00000000">
        <w:rPr>
          <w:rFonts w:ascii="Palatino Linotype" w:cs="Palatino Linotype" w:eastAsia="Palatino Linotype" w:hAnsi="Palatino Linotype"/>
          <w:i w:val="1"/>
          <w:rtl w:val="0"/>
        </w:rPr>
        <w:t xml:space="preserve">PMT/058/TM/00471/2022</w:t>
      </w:r>
      <w:r w:rsidDel="00000000" w:rsidR="00000000" w:rsidRPr="00000000">
        <w:rPr>
          <w:rFonts w:ascii="Palatino Linotype" w:cs="Palatino Linotype" w:eastAsia="Palatino Linotype" w:hAnsi="Palatino Linotype"/>
          <w:rtl w:val="0"/>
        </w:rPr>
        <w:t xml:space="preserve"> de fecha veinticuatro de septiembre de dos mil veintidós, firmado por la Tesorería Municipal y se refiere a que </w:t>
      </w:r>
      <w:r w:rsidDel="00000000" w:rsidR="00000000" w:rsidRPr="00000000">
        <w:rPr>
          <w:rFonts w:ascii="Palatino Linotype" w:cs="Palatino Linotype" w:eastAsia="Palatino Linotype" w:hAnsi="Palatino Linotype"/>
          <w:i w:val="1"/>
          <w:rtl w:val="0"/>
        </w:rPr>
        <w:t xml:space="preserve">“Este servidor público habilitado NO NIEGA LA EXISTENCIA DE LA INFORMACIÓN, pero como ya se mencionó anteriormente, nos encontramos en la imposibilidad de entregar al solicitante la información en la modalidad que éste señala, por lo cual se realiza un cambio de modalidad a “CONSULTA DIRECTA” (Sic), </w:t>
      </w:r>
      <w:r w:rsidDel="00000000" w:rsidR="00000000" w:rsidRPr="00000000">
        <w:rPr>
          <w:rFonts w:ascii="Palatino Linotype" w:cs="Palatino Linotype" w:eastAsia="Palatino Linotype" w:hAnsi="Palatino Linotype"/>
          <w:rtl w:val="0"/>
        </w:rPr>
        <w:t xml:space="preserve">aunado a eso, la persona titular de la Tesorería Municipal hace énfasis en mencionar que </w:t>
      </w:r>
      <w:r w:rsidDel="00000000" w:rsidR="00000000" w:rsidRPr="00000000">
        <w:rPr>
          <w:rFonts w:ascii="Palatino Linotype" w:cs="Palatino Linotype" w:eastAsia="Palatino Linotype" w:hAnsi="Palatino Linotype"/>
          <w:i w:val="1"/>
          <w:rtl w:val="0"/>
        </w:rPr>
        <w:t xml:space="preserve">“… Se le dará el acceso a los archivos que contienen la información sobre. "número de contribuyentes con los que cuenta el patrón catastral el monto de recaudación del impuesto predial en los últumos 5 años y el número de contribuyentes que se encuentran con adeudos de 1 a 5 años con el monto actualizado adeudado" … sic” (Sic).</w:t>
      </w:r>
    </w:p>
    <w:p w:rsidR="00000000" w:rsidDel="00000000" w:rsidP="00000000" w:rsidRDefault="00000000" w:rsidRPr="00000000" w14:paraId="00000018">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b w:val="1"/>
          <w:sz w:val="22"/>
          <w:szCs w:val="22"/>
          <w:rtl w:val="0"/>
        </w:rPr>
        <w:t xml:space="preserve">3.</w:t>
      </w:r>
      <w:r w:rsidDel="00000000" w:rsidR="00000000" w:rsidRPr="00000000">
        <w:rPr>
          <w:rFonts w:ascii="Palatino Linotype" w:cs="Palatino Linotype" w:eastAsia="Palatino Linotype" w:hAnsi="Palatino Linotype"/>
          <w:b w:val="1"/>
          <w:rtl w:val="0"/>
        </w:rPr>
        <w:t xml:space="preserve"> Interposición del recurso de revisión. </w:t>
      </w:r>
      <w:r w:rsidDel="00000000" w:rsidR="00000000" w:rsidRPr="00000000">
        <w:rPr>
          <w:rFonts w:ascii="Palatino Linotype" w:cs="Palatino Linotype" w:eastAsia="Palatino Linotype" w:hAnsi="Palatino Linotype"/>
          <w:rtl w:val="0"/>
        </w:rPr>
        <w:t xml:space="preserve">Inconforme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día</w:t>
      </w:r>
      <w:r w:rsidDel="00000000" w:rsidR="00000000" w:rsidRPr="00000000">
        <w:rPr>
          <w:rFonts w:ascii="Palatino Linotype" w:cs="Palatino Linotype" w:eastAsia="Palatino Linotype" w:hAnsi="Palatino Linotype"/>
          <w:b w:val="1"/>
          <w:rtl w:val="0"/>
        </w:rPr>
        <w:t xml:space="preserve"> diecisiete de octubre de dos mil veintidós,</w:t>
      </w:r>
      <w:r w:rsidDel="00000000" w:rsidR="00000000" w:rsidRPr="00000000">
        <w:rPr>
          <w:rFonts w:ascii="Palatino Linotype" w:cs="Palatino Linotype" w:eastAsia="Palatino Linotype" w:hAnsi="Palatino Linotype"/>
          <w:rtl w:val="0"/>
        </w:rPr>
        <w:t xml:space="preserve"> interpuso el recurso de revisión a través de SAIMEX donde expresó lo siguiente: </w:t>
      </w:r>
    </w:p>
    <w:p w:rsidR="00000000" w:rsidDel="00000000" w:rsidP="00000000" w:rsidRDefault="00000000" w:rsidRPr="00000000" w14:paraId="0000001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tabs>
          <w:tab w:val="left" w:leader="none" w:pos="2745"/>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“Negativa de Informacion” (Sic)</w:t>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 han negado informacion aimilar en otras ocaciones argumentando que lo que solicito excede la capacidad humana para proporcionarme tal por lo que cambian la modalidad de solicitud, a lo cual no estoy conforme porque esto puede me estarian negando el derecho al anonimato.” (Sic)</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3">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4">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veinte de octubre de dos mil veintidós, </w:t>
      </w:r>
      <w:r w:rsidDel="00000000" w:rsidR="00000000" w:rsidRPr="00000000">
        <w:rPr>
          <w:rFonts w:ascii="Palatino Linotype" w:cs="Palatino Linotype" w:eastAsia="Palatino Linotype" w:hAnsi="Palatino Linotype"/>
          <w:rtl w:val="0"/>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26">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electrónico en que se actúa, se advierte que tanto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como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omitieron hacer uso de este derecho procesal, dejando de emitir su Informe Justificado y las manifestaciones que estimaran conducentes respectivamente, como consta a continuación: </w:t>
      </w:r>
    </w:p>
    <w:p w:rsidR="00000000" w:rsidDel="00000000" w:rsidP="00000000" w:rsidRDefault="00000000" w:rsidRPr="00000000" w14:paraId="00000028">
      <w:pPr>
        <w:spacing w:line="360" w:lineRule="auto"/>
        <w:ind w:right="49"/>
        <w:jc w:val="both"/>
        <w:rPr/>
      </w:pPr>
      <w:r w:rsidDel="00000000" w:rsidR="00000000" w:rsidRPr="00000000">
        <w:rPr>
          <w:rtl w:val="0"/>
        </w:rPr>
      </w:r>
    </w:p>
    <w:p w:rsidR="00000000" w:rsidDel="00000000" w:rsidP="00000000" w:rsidRDefault="00000000" w:rsidRPr="00000000" w14:paraId="00000029">
      <w:pPr>
        <w:spacing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4294546" cy="1032978"/>
            <wp:effectExtent b="0" l="0" r="0" t="0"/>
            <wp:docPr id="132" name="image3.png"/>
            <a:graphic>
              <a:graphicData uri="http://schemas.openxmlformats.org/drawingml/2006/picture">
                <pic:pic>
                  <pic:nvPicPr>
                    <pic:cNvPr id="0" name="image3.png"/>
                    <pic:cNvPicPr preferRelativeResize="0"/>
                  </pic:nvPicPr>
                  <pic:blipFill>
                    <a:blip r:embed="rId8"/>
                    <a:srcRect b="33480" l="12068" r="11407" t="33795"/>
                    <a:stretch>
                      <a:fillRect/>
                    </a:stretch>
                  </pic:blipFill>
                  <pic:spPr>
                    <a:xfrm>
                      <a:off x="0" y="0"/>
                      <a:ext cx="4294546" cy="103297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El pasado </w:t>
      </w:r>
      <w:r w:rsidDel="00000000" w:rsidR="00000000" w:rsidRPr="00000000">
        <w:rPr>
          <w:rFonts w:ascii="Palatino Linotype" w:cs="Palatino Linotype" w:eastAsia="Palatino Linotype" w:hAnsi="Palatino Linotype"/>
          <w:b w:val="1"/>
          <w:rtl w:val="0"/>
        </w:rPr>
        <w:t xml:space="preserve">veinticinco de abril de dos mil veintitrés,</w:t>
      </w:r>
      <w:r w:rsidDel="00000000" w:rsidR="00000000" w:rsidRPr="00000000">
        <w:rPr>
          <w:rFonts w:ascii="Palatino Linotype" w:cs="Palatino Linotype" w:eastAsia="Palatino Linotype" w:hAnsi="Palatino Linotype"/>
          <w:rtl w:val="0"/>
        </w:rPr>
        <w:t xml:space="preserve"> este Instituto con fundamento en el artículo 181, párrafo tercero, de la Ley de Transparencia y Acceso a la Información Pública del Estado de México y Municipios, determinó ampliar el plazo para emitir la presente resolución. </w:t>
      </w:r>
    </w:p>
    <w:p w:rsidR="00000000" w:rsidDel="00000000" w:rsidP="00000000" w:rsidRDefault="00000000" w:rsidRPr="00000000" w14:paraId="0000002C">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bookmarkStart w:colFirst="0" w:colLast="0" w:name="_heading=h.3znysh7" w:id="4"/>
      <w:bookmarkEnd w:id="4"/>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6">
      <w:pPr>
        <w:spacing w:line="360" w:lineRule="auto"/>
        <w:jc w:val="both"/>
        <w:rPr>
          <w:rFonts w:ascii="Palatino Linotype" w:cs="Palatino Linotype" w:eastAsia="Palatino Linotype" w:hAnsi="Palatino Linotype"/>
          <w:strike w:val="1"/>
        </w:rPr>
      </w:pPr>
      <w:r w:rsidDel="00000000" w:rsidR="00000000" w:rsidRPr="00000000">
        <w:rPr>
          <w:rtl w:val="0"/>
        </w:rPr>
      </w:r>
    </w:p>
    <w:p w:rsidR="00000000" w:rsidDel="00000000" w:rsidP="00000000" w:rsidRDefault="00000000" w:rsidRPr="00000000" w14:paraId="00000037">
      <w:pPr>
        <w:numPr>
          <w:ilvl w:val="0"/>
          <w:numId w:val="4"/>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 </w:t>
      </w:r>
      <w:r w:rsidDel="00000000" w:rsidR="00000000" w:rsidRPr="00000000">
        <w:rPr>
          <w:rFonts w:ascii="Palatino Linotype" w:cs="Palatino Linotype" w:eastAsia="Palatino Linotype" w:hAnsi="Palatino Linotype"/>
          <w:rtl w:val="0"/>
        </w:rPr>
        <w:t xml:space="preserve">La complejidad de la prueba, la pluralidad de sujetos procesales, el tiempo transcurrido, las características y contexto del recurso. </w:t>
      </w:r>
    </w:p>
    <w:p w:rsidR="00000000" w:rsidDel="00000000" w:rsidP="00000000" w:rsidRDefault="00000000" w:rsidRPr="00000000" w14:paraId="00000038">
      <w:pPr>
        <w:numPr>
          <w:ilvl w:val="0"/>
          <w:numId w:val="4"/>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9">
      <w:pPr>
        <w:numPr>
          <w:ilvl w:val="0"/>
          <w:numId w:val="4"/>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A">
      <w:pPr>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B">
      <w:pPr>
        <w:spacing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F">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9">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dos de mayo de dos mil veintitrés</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Comisionada Ponente</w:t>
      </w:r>
      <w:r w:rsidDel="00000000" w:rsidR="00000000" w:rsidRPr="00000000">
        <w:rPr>
          <w:rFonts w:ascii="Palatino Linotype" w:cs="Palatino Linotype" w:eastAsia="Palatino Linotype" w:hAnsi="Palatino Linotype"/>
          <w:rtl w:val="0"/>
        </w:rPr>
        <w:t xml:space="preserv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B">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y</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widowControl w:val="0"/>
        <w:numPr>
          <w:ilvl w:val="0"/>
          <w:numId w:val="3"/>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 O N S I D E R A N D O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toda vez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respondió a la solicitud de información el </w:t>
      </w:r>
      <w:r w:rsidDel="00000000" w:rsidR="00000000" w:rsidRPr="00000000">
        <w:rPr>
          <w:rFonts w:ascii="Palatino Linotype" w:cs="Palatino Linotype" w:eastAsia="Palatino Linotype" w:hAnsi="Palatino Linotype"/>
          <w:b w:val="1"/>
          <w:rtl w:val="0"/>
        </w:rPr>
        <w:t xml:space="preserve">diecisiete de octubre de dos mil veintidós, </w:t>
      </w:r>
      <w:r w:rsidDel="00000000" w:rsidR="00000000" w:rsidRPr="00000000">
        <w:rPr>
          <w:rFonts w:ascii="Palatino Linotype" w:cs="Palatino Linotype" w:eastAsia="Palatino Linotype" w:hAnsi="Palatino Linotype"/>
          <w:rtl w:val="0"/>
        </w:rPr>
        <w:t xml:space="preserve">y el recurso de revisión se interpuso el </w:t>
      </w:r>
      <w:r w:rsidDel="00000000" w:rsidR="00000000" w:rsidRPr="00000000">
        <w:rPr>
          <w:rFonts w:ascii="Palatino Linotype" w:cs="Palatino Linotype" w:eastAsia="Palatino Linotype" w:hAnsi="Palatino Linotype"/>
          <w:b w:val="1"/>
          <w:rtl w:val="0"/>
        </w:rPr>
        <w:t xml:space="preserve">mismo día. </w:t>
      </w:r>
    </w:p>
    <w:p w:rsidR="00000000" w:rsidDel="00000000" w:rsidP="00000000" w:rsidRDefault="00000000" w:rsidRPr="00000000" w14:paraId="00000054">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referido ordena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RECURSO DE RECLAMACIÓN. SU INTERPOSICIÓN NO ES EXTEMPORÁNEA SI SE REALIZA ANTES DE QUE INICIE EL PLAZO PARA HACERLO.</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suma importancia mencionar que, si bien 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B">
      <w:pPr>
        <w:spacing w:after="120" w:before="120"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por cuanto hace a la procedibilidad del recurso de revisión, es de suma importancia señalar que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en sus motivos de inconformidad, de acuerdo a la fracción VIII del artículo 179 del ordenamiento legal citado, que a la letra dice: </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La notificación, entrega o puesta a disposición de información en una modalidad o formato distinto al solicitado;</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se pronunciará será: verificar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haya puesto a disposición la información en una modalidad distinta a la solicitada cumpliendo con lo establecido por la ley en la materia, o en su defecto, en el caso, de que exista deficiencias en el cambio de modalidad propuesto, ordenar la entrega de lo solicitado. </w:t>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864" w:right="864" w:firstLine="0"/>
        <w:jc w:val="both"/>
        <w:rPr>
          <w:i w:val="1"/>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864" w:right="864" w:firstLine="0"/>
        <w:jc w:val="both"/>
        <w:rPr>
          <w:i w:val="1"/>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 por el Instituto Nacional de Transparencia, Acceso a la Información Pública y Protección de Datos Personales, el cual señala lo siguiente:</w:t>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03/17</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0002-11</w:t>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left="567" w:right="567" w:hanging="284"/>
        <w:jc w:val="both"/>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Apuntado lo anterior, este Órgano Garante centrará su atención en el estudio de fondo del agravio hecho valer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pues en la solicitud </w:t>
      </w:r>
      <w:r w:rsidDel="00000000" w:rsidR="00000000" w:rsidRPr="00000000">
        <w:rPr>
          <w:rFonts w:ascii="Palatino Linotype" w:cs="Palatino Linotype" w:eastAsia="Palatino Linotype" w:hAnsi="Palatino Linotype"/>
          <w:b w:val="1"/>
          <w:rtl w:val="0"/>
        </w:rPr>
        <w:t xml:space="preserve">00529/TENANCIN/IP/2022</w:t>
      </w:r>
      <w:r w:rsidDel="00000000" w:rsidR="00000000" w:rsidRPr="00000000">
        <w:rPr>
          <w:rFonts w:ascii="Arial" w:cs="Arial" w:eastAsia="Arial" w:hAnsi="Arial"/>
          <w:b w:val="1"/>
          <w:sz w:val="15"/>
          <w:szCs w:val="15"/>
          <w:rtl w:val="0"/>
        </w:rPr>
        <w:t xml:space="preserve"> </w:t>
      </w:r>
      <w:r w:rsidDel="00000000" w:rsidR="00000000" w:rsidRPr="00000000">
        <w:rPr>
          <w:rFonts w:ascii="Palatino Linotype" w:cs="Palatino Linotype" w:eastAsia="Palatino Linotype" w:hAnsi="Palatino Linotype"/>
          <w:rtl w:val="0"/>
        </w:rPr>
        <w:t xml:space="preserve">requirió la siguiente información: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Nómina de las personas integrantes del Cabildo, Coordinadores, Directores y Jefes de Área.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de importancia para este Pleno, mencionar que del requerimiento hecho al Ayuntamiento de Tenancingo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se localiza algún dato que delimite la temporalidad de la cual requiere se le entreguen los datos solicitados, sin embargo, no es un obstáculo para que esta Autoridad, con apego a los artículos 13 y 181 de la Ley de Transparencia y Acceso a la Información Pública del Estado de México y Municipios, determine que el lapso de tiempo sobre el que versará esta resolución será el que abarca las dos quincenas anteriores inmediatas a la fecha de recepción de la solicitud </w:t>
      </w:r>
      <w:r w:rsidDel="00000000" w:rsidR="00000000" w:rsidRPr="00000000">
        <w:rPr>
          <w:rFonts w:ascii="Palatino Linotype" w:cs="Palatino Linotype" w:eastAsia="Palatino Linotype" w:hAnsi="Palatino Linotype"/>
          <w:b w:val="1"/>
          <w:rtl w:val="0"/>
        </w:rPr>
        <w:t xml:space="preserve">00529/TENANCIN/IP/2022, </w:t>
      </w:r>
      <w:r w:rsidDel="00000000" w:rsidR="00000000" w:rsidRPr="00000000">
        <w:rPr>
          <w:rFonts w:ascii="Palatino Linotype" w:cs="Palatino Linotype" w:eastAsia="Palatino Linotype" w:hAnsi="Palatino Linotype"/>
          <w:rtl w:val="0"/>
        </w:rPr>
        <w:t xml:space="preserve">es decir: la segunda quincena de agosto y la primera quincena de septiembre del año dos ml veintidós, sirviendo como apoyo a esta determinación los criterios emitidos por el Comité de Acceso a la Información y Protección de Datos Personales de la Suprema Corte de Justicia de la Nación: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1/2010</w:t>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SOLICITUD DE ACCESO A LA INFORMACIÓN. SU OTORGAMIENTO ES RESPECTO DE AQUELLA QUE EXISTA Y SE HUBIESE GENERADO AL MOMENTO DE LA PETICIÓN.</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Clasificación de Información 69/2009-A. 30 de septiembre de 2009. Unanimidad de votos.</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2/2010.</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SOLICITUD DE ACCESO A LA INFORMACIÓN. ES MATERIA DE ANÁLISIS Y OTORGAMIENTO LA GENERADA HASTA LA FECHA DE LA SOLICITUD EN CASO DE IMPRECISIÓN TEMPORAL. </w:t>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Clasificación de Información 69/2009-A. 30 de septiembre de 2009. Unanimidad de votos.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importante recordar lo apuntando en el Antecedente número dos de esta Resolución, en el cual quedó plasmado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mediante la Persona Servidora Pública Habilitada de la Tesorería Municipal contestó con el oficio </w:t>
      </w:r>
      <w:r w:rsidDel="00000000" w:rsidR="00000000" w:rsidRPr="00000000">
        <w:rPr>
          <w:rFonts w:ascii="Palatino Linotype" w:cs="Palatino Linotype" w:eastAsia="Palatino Linotype" w:hAnsi="Palatino Linotype"/>
          <w:i w:val="1"/>
          <w:rtl w:val="0"/>
        </w:rPr>
        <w:t xml:space="preserve">PMT/058/TM/00471/2022</w:t>
      </w:r>
      <w:r w:rsidDel="00000000" w:rsidR="00000000" w:rsidRPr="00000000">
        <w:rPr>
          <w:rFonts w:ascii="Palatino Linotype" w:cs="Palatino Linotype" w:eastAsia="Palatino Linotype" w:hAnsi="Palatino Linotype"/>
          <w:rtl w:val="0"/>
        </w:rPr>
        <w:t xml:space="preserve"> y es determinante en informar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que si bien </w:t>
      </w:r>
      <w:r w:rsidDel="00000000" w:rsidR="00000000" w:rsidRPr="00000000">
        <w:rPr>
          <w:rFonts w:ascii="Palatino Linotype" w:cs="Palatino Linotype" w:eastAsia="Palatino Linotype" w:hAnsi="Palatino Linotype"/>
          <w:i w:val="1"/>
          <w:rtl w:val="0"/>
        </w:rPr>
        <w:t xml:space="preserve">“Este servidor público habilitado NO NIEGA LA EXISTENCIA DE LA INFORMACIÓN,…” (Sic), </w:t>
      </w:r>
      <w:r w:rsidDel="00000000" w:rsidR="00000000" w:rsidRPr="00000000">
        <w:rPr>
          <w:rFonts w:ascii="Palatino Linotype" w:cs="Palatino Linotype" w:eastAsia="Palatino Linotype" w:hAnsi="Palatino Linotype"/>
          <w:rtl w:val="0"/>
        </w:rPr>
        <w:t xml:space="preserve">no se puede hacer una entrega en la modalidad requerida porque</w:t>
      </w:r>
      <w:r w:rsidDel="00000000" w:rsidR="00000000" w:rsidRPr="00000000">
        <w:rPr>
          <w:rFonts w:ascii="Palatino Linotype" w:cs="Palatino Linotype" w:eastAsia="Palatino Linotype" w:hAnsi="Palatino Linotype"/>
          <w:i w:val="1"/>
          <w:rtl w:val="0"/>
        </w:rPr>
        <w:t xml:space="preserve"> “… nos encontramos en la imposibilidad de entregar al solicitante la información en la modalidad que éste señala, por lo cual se realiza un cambio de modalidad a “CONSULTA DIRECTA” (Sic). </w:t>
      </w: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b w:val="1"/>
          <w:i w:val="1"/>
          <w:u w:val="single"/>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Pleno de este Organismo Garante estima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omitió fundar y motivar las causas que originaron el cambio de modalidad en la solicitud </w:t>
      </w:r>
      <w:r w:rsidDel="00000000" w:rsidR="00000000" w:rsidRPr="00000000">
        <w:rPr>
          <w:rFonts w:ascii="Palatino Linotype" w:cs="Palatino Linotype" w:eastAsia="Palatino Linotype" w:hAnsi="Palatino Linotype"/>
          <w:b w:val="1"/>
          <w:rtl w:val="0"/>
        </w:rPr>
        <w:t xml:space="preserve">000529/TENANCIN/IP/2022</w:t>
      </w:r>
      <w:r w:rsidDel="00000000" w:rsidR="00000000" w:rsidRPr="00000000">
        <w:rPr>
          <w:rFonts w:ascii="Palatino Linotype" w:cs="Palatino Linotype" w:eastAsia="Palatino Linotype" w:hAnsi="Palatino Linotype"/>
          <w:rtl w:val="0"/>
        </w:rPr>
        <w:t xml:space="preserve">, pues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hizo expresa su decisión de allegarse de la información a través del SAIMEX:</w:t>
      </w:r>
    </w:p>
    <w:p w:rsidR="00000000" w:rsidDel="00000000" w:rsidP="00000000" w:rsidRDefault="00000000" w:rsidRPr="00000000" w14:paraId="000000C2">
      <w:pPr>
        <w:spacing w:line="360" w:lineRule="auto"/>
        <w:jc w:val="both"/>
        <w:rPr/>
      </w:pPr>
      <w:r w:rsidDel="00000000" w:rsidR="00000000" w:rsidRPr="00000000">
        <w:rPr>
          <w:rtl w:val="0"/>
        </w:rPr>
      </w:r>
    </w:p>
    <w:p w:rsidR="00000000" w:rsidDel="00000000" w:rsidP="00000000" w:rsidRDefault="00000000" w:rsidRPr="00000000" w14:paraId="000000C3">
      <w:pPr>
        <w:spacing w:line="360" w:lineRule="auto"/>
        <w:jc w:val="center"/>
        <w:rPr>
          <w:rFonts w:ascii="Palatino Linotype" w:cs="Palatino Linotype" w:eastAsia="Palatino Linotype" w:hAnsi="Palatino Linotype"/>
        </w:rPr>
      </w:pPr>
      <w:r w:rsidDel="00000000" w:rsidR="00000000" w:rsidRPr="00000000">
        <w:rPr/>
        <w:drawing>
          <wp:inline distB="0" distT="0" distL="0" distR="0">
            <wp:extent cx="4690929" cy="1541063"/>
            <wp:effectExtent b="0" l="0" r="0" t="0"/>
            <wp:docPr id="134" name="image7.png"/>
            <a:graphic>
              <a:graphicData uri="http://schemas.openxmlformats.org/drawingml/2006/picture">
                <pic:pic>
                  <pic:nvPicPr>
                    <pic:cNvPr id="0" name="image7.png"/>
                    <pic:cNvPicPr preferRelativeResize="0"/>
                  </pic:nvPicPr>
                  <pic:blipFill>
                    <a:blip r:embed="rId9"/>
                    <a:srcRect b="39914" l="10561" r="5854" t="11266"/>
                    <a:stretch>
                      <a:fillRect/>
                    </a:stretch>
                  </pic:blipFill>
                  <pic:spPr>
                    <a:xfrm>
                      <a:off x="0" y="0"/>
                      <a:ext cx="4690929" cy="154106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1079500</wp:posOffset>
                </wp:positionV>
                <wp:extent cx="1255184" cy="162984"/>
                <wp:effectExtent b="0" l="0" r="0" t="0"/>
                <wp:wrapNone/>
                <wp:docPr id="128" name=""/>
                <a:graphic>
                  <a:graphicData uri="http://schemas.microsoft.com/office/word/2010/wordprocessingShape">
                    <wps:wsp>
                      <wps:cNvSpPr/>
                      <wps:cNvPr id="3" name="Shape 3"/>
                      <wps:spPr>
                        <a:xfrm>
                          <a:off x="4727933" y="3708033"/>
                          <a:ext cx="1236134" cy="143934"/>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1079500</wp:posOffset>
                </wp:positionV>
                <wp:extent cx="1255184" cy="162984"/>
                <wp:effectExtent b="0" l="0" r="0" t="0"/>
                <wp:wrapNone/>
                <wp:docPr id="128"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255184" cy="162984"/>
                        </a:xfrm>
                        <a:prstGeom prst="rect"/>
                        <a:ln/>
                      </pic:spPr>
                    </pic:pic>
                  </a:graphicData>
                </a:graphic>
              </wp:anchor>
            </w:drawing>
          </mc:Fallback>
        </mc:AlternateContent>
      </w:r>
    </w:p>
    <w:p w:rsidR="00000000" w:rsidDel="00000000" w:rsidP="00000000" w:rsidRDefault="00000000" w:rsidRPr="00000000" w14:paraId="000000C4">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rsidR="00000000" w:rsidDel="00000000" w:rsidP="00000000" w:rsidRDefault="00000000" w:rsidRPr="00000000" w14:paraId="000000C6">
      <w:pPr>
        <w:spacing w:line="276"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155.</w:t>
      </w:r>
      <w:r w:rsidDel="00000000" w:rsidR="00000000" w:rsidRPr="00000000">
        <w:rPr>
          <w:rFonts w:ascii="Palatino Linotype" w:cs="Palatino Linotype" w:eastAsia="Palatino Linotype" w:hAnsi="Palatino Linotype"/>
          <w:i w:val="1"/>
          <w:sz w:val="22"/>
          <w:szCs w:val="22"/>
          <w:rtl w:val="0"/>
        </w:rPr>
        <w:t xml:space="preserve"> Para presentar una solicitud por escrito, no se podrán exigir mayores requisitos que los siguientes:</w:t>
      </w:r>
    </w:p>
    <w:p w:rsidR="00000000" w:rsidDel="00000000" w:rsidP="00000000" w:rsidRDefault="00000000" w:rsidRPr="00000000" w14:paraId="000000C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000000" w:rsidDel="00000000" w:rsidP="00000000" w:rsidRDefault="00000000" w:rsidRPr="00000000" w14:paraId="000000C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Del="00000000" w:rsidR="00000000" w:rsidRPr="00000000">
        <w:rPr>
          <w:rFonts w:ascii="Palatino Linotype" w:cs="Palatino Linotype" w:eastAsia="Palatino Linotype" w:hAnsi="Palatino Linotype"/>
          <w:b w:val="1"/>
          <w:rtl w:val="0"/>
        </w:rPr>
        <w:t xml:space="preserve">se deberá fundar y motivar dicha necesidad</w:t>
      </w:r>
      <w:r w:rsidDel="00000000" w:rsidR="00000000" w:rsidRPr="00000000">
        <w:rPr>
          <w:rFonts w:ascii="Palatino Linotype" w:cs="Palatino Linotype" w:eastAsia="Palatino Linotype" w:hAnsi="Palatino Linotype"/>
          <w:rtl w:val="0"/>
        </w:rPr>
        <w:t xml:space="preserve">, como se advierte a continuación: </w:t>
      </w:r>
    </w:p>
    <w:p w:rsidR="00000000" w:rsidDel="00000000" w:rsidP="00000000" w:rsidRDefault="00000000" w:rsidRPr="00000000" w14:paraId="000000C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0C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cualquier caso, se deberá fundar y motivar la necesidad de ofrecer otras modalidades.</w:t>
      </w:r>
    </w:p>
    <w:p w:rsidR="00000000" w:rsidDel="00000000" w:rsidP="00000000" w:rsidRDefault="00000000" w:rsidRPr="00000000" w14:paraId="000000C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se acredite la imposibilidad de atenderla.</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D1">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D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rsidR="00000000" w:rsidDel="00000000" w:rsidP="00000000" w:rsidRDefault="00000000" w:rsidRPr="00000000" w14:paraId="000000D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2"/>
          <w:szCs w:val="22"/>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000000" w:rsidDel="00000000" w:rsidP="00000000" w:rsidRDefault="00000000" w:rsidRPr="00000000" w14:paraId="000000D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desprende que, cuando no sea posible atender la modalidad elegida por los solicitantes, los Sujetos Obligados deberán justificar el impedimento para atender esta y notificar a los particulares la puesta a disposición de la información en todas las modalidades que lo permitan, procurando reducir los costos de entrega. </w:t>
      </w:r>
    </w:p>
    <w:p w:rsidR="00000000" w:rsidDel="00000000" w:rsidP="00000000" w:rsidRDefault="00000000" w:rsidRPr="00000000" w14:paraId="000000D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Relacionado con lo anterior, el artículo 158 de la Ley de Transparencia, prevé que, de manera excepcional, cuando de forma fundada y motivada, así lo determine el sujeto obligado, la información solicitada, sobrepase las capacidades técnicas administrativas y humanas, se podrá poner a disposición del solicitante los documentos en consulta directa, salvo la información clasificada, tal como se reproduce a continuación: </w:t>
      </w:r>
    </w:p>
    <w:p w:rsidR="00000000" w:rsidDel="00000000" w:rsidP="00000000" w:rsidRDefault="00000000" w:rsidRPr="00000000" w14:paraId="000000D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158.</w:t>
      </w:r>
      <w:r w:rsidDel="00000000" w:rsidR="00000000" w:rsidRPr="00000000">
        <w:rPr>
          <w:rFonts w:ascii="Palatino Linotype" w:cs="Palatino Linotype" w:eastAsia="Palatino Linotype" w:hAnsi="Palatino Linotype"/>
          <w:i w:val="1"/>
          <w:sz w:val="22"/>
          <w:szCs w:val="22"/>
          <w:rtl w:val="0"/>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000000" w:rsidDel="00000000" w:rsidP="00000000" w:rsidRDefault="00000000" w:rsidRPr="00000000" w14:paraId="000000D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todo caso, se facilitará su copia simple o certificada, así como su reproducción por cualquier medio disponible en las instalaciones del sujeto obligado o que, en su caso, aporte el solicitante.</w:t>
      </w:r>
    </w:p>
    <w:p w:rsidR="00000000" w:rsidDel="00000000" w:rsidP="00000000" w:rsidRDefault="00000000" w:rsidRPr="00000000" w14:paraId="000000D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tiene que cuando la información sobrepase las capacidades técnicas, administrativas y humanas, los Sujetos Obligados podrán poner a disposición del solicitante los documentos en consulta directa. </w:t>
      </w:r>
    </w:p>
    <w:p w:rsidR="00000000" w:rsidDel="00000000" w:rsidP="00000000" w:rsidRDefault="00000000" w:rsidRPr="00000000" w14:paraId="000000D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esto, es necesario referir que resulta indispensable que los Sujetos Obligados acrediten que la información solicitada sobrepasa sus capacidades administrativas, humanas</w:t>
      </w:r>
      <w:r w:rsidDel="00000000" w:rsidR="00000000" w:rsidRPr="00000000">
        <w:rPr>
          <w:rFonts w:ascii="Palatino Linotype" w:cs="Palatino Linotype" w:eastAsia="Palatino Linotype" w:hAnsi="Palatino Linotype"/>
          <w:b w:val="1"/>
          <w:rtl w:val="0"/>
        </w:rPr>
        <w:t xml:space="preserve"> y</w:t>
      </w:r>
      <w:r w:rsidDel="00000000" w:rsidR="00000000" w:rsidRPr="00000000">
        <w:rPr>
          <w:rFonts w:ascii="Palatino Linotype" w:cs="Palatino Linotype" w:eastAsia="Palatino Linotype" w:hAnsi="Palatino Linotype"/>
          <w:rtl w:val="0"/>
        </w:rPr>
        <w:t xml:space="preserve"> técnicas, es decir; </w:t>
      </w:r>
      <w:r w:rsidDel="00000000" w:rsidR="00000000" w:rsidRPr="00000000">
        <w:rPr>
          <w:rFonts w:ascii="Palatino Linotype" w:cs="Palatino Linotype" w:eastAsia="Palatino Linotype" w:hAnsi="Palatino Linotype"/>
          <w:b w:val="1"/>
          <w:rtl w:val="0"/>
        </w:rPr>
        <w:t xml:space="preserve">debe fundar y motivar</w:t>
      </w:r>
      <w:r w:rsidDel="00000000" w:rsidR="00000000" w:rsidRPr="00000000">
        <w:rPr>
          <w:rFonts w:ascii="Palatino Linotype" w:cs="Palatino Linotype" w:eastAsia="Palatino Linotype" w:hAnsi="Palatino Linotype"/>
          <w:rtl w:val="0"/>
        </w:rPr>
        <w:t xml:space="preserve"> el cambio de modalidad propuesto actualizando los tres supuestos en su conjunto, en el entendido que, a falta de alguno de estos, el cambio de modalidad no resulta procedente. </w:t>
      </w:r>
    </w:p>
    <w:p w:rsidR="00000000" w:rsidDel="00000000" w:rsidP="00000000" w:rsidRDefault="00000000" w:rsidRPr="00000000" w14:paraId="000000E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con ello, es de entender como: </w:t>
      </w:r>
    </w:p>
    <w:p w:rsidR="00000000" w:rsidDel="00000000" w:rsidP="00000000" w:rsidRDefault="00000000" w:rsidRPr="00000000" w14:paraId="000000E2">
      <w:pPr>
        <w:spacing w:line="360" w:lineRule="auto"/>
        <w:ind w:right="56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spacing w:line="360" w:lineRule="auto"/>
        <w:ind w:left="720" w:righ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Fundamentación:</w:t>
      </w:r>
      <w:r w:rsidDel="00000000" w:rsidR="00000000" w:rsidRPr="00000000">
        <w:rPr>
          <w:rFonts w:ascii="Palatino Linotype" w:cs="Palatino Linotype" w:eastAsia="Palatino Linotype" w:hAnsi="Palatino Linotype"/>
          <w:sz w:val="22"/>
          <w:szCs w:val="22"/>
          <w:rtl w:val="0"/>
        </w:rPr>
        <w:t xml:space="preserve"> Obligación de la autoridad que emite un acto, para citar los preceptos legales, sustantivos y adjetivos, en que se apoye para la determinación tomada y;</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spacing w:line="360" w:lineRule="auto"/>
        <w:ind w:left="720" w:righ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Motivación:</w:t>
      </w:r>
      <w:r w:rsidDel="00000000" w:rsidR="00000000" w:rsidRPr="00000000">
        <w:rPr>
          <w:rFonts w:ascii="Palatino Linotype" w:cs="Palatino Linotype" w:eastAsia="Palatino Linotype" w:hAnsi="Palatino Linotype"/>
          <w:sz w:val="22"/>
          <w:szCs w:val="22"/>
          <w:rtl w:val="0"/>
        </w:rPr>
        <w:t xml:space="preserve"> Razonamientos lógico-jurídicos sobre porque se consideró en el caso en concreto, que se ajusta a la hipótesis normativa. </w:t>
      </w:r>
    </w:p>
    <w:p w:rsidR="00000000" w:rsidDel="00000000" w:rsidP="00000000" w:rsidRDefault="00000000" w:rsidRPr="00000000" w14:paraId="000000E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pues,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en la respuesta a la solicitud, no señaló causal de procedencia válida para el cambio de modalidad combatido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y en ese tenor, este Insituto, mediante correo electrónico oficial enviado a </w:t>
      </w:r>
      <w:hyperlink r:id="rId11">
        <w:r w:rsidDel="00000000" w:rsidR="00000000" w:rsidRPr="00000000">
          <w:rPr>
            <w:rFonts w:ascii="Palatino Linotype" w:cs="Palatino Linotype" w:eastAsia="Palatino Linotype" w:hAnsi="Palatino Linotype"/>
            <w:u w:val="single"/>
            <w:rtl w:val="0"/>
          </w:rPr>
          <w:t xml:space="preserve">tenancingo@itaipem.org.mx</w:t>
        </w:r>
      </w:hyperlink>
      <w:r w:rsidDel="00000000" w:rsidR="00000000" w:rsidRPr="00000000">
        <w:rPr>
          <w:rFonts w:ascii="Palatino Linotype" w:cs="Palatino Linotype" w:eastAsia="Palatino Linotype" w:hAnsi="Palatino Linotype"/>
          <w:rtl w:val="0"/>
        </w:rPr>
        <w:t xml:space="preserve"> y </w:t>
      </w:r>
      <w:hyperlink r:id="rId12">
        <w:r w:rsidDel="00000000" w:rsidR="00000000" w:rsidRPr="00000000">
          <w:rPr>
            <w:rFonts w:ascii="Palatino Linotype" w:cs="Palatino Linotype" w:eastAsia="Palatino Linotype" w:hAnsi="Palatino Linotype"/>
            <w:u w:val="single"/>
            <w:rtl w:val="0"/>
          </w:rPr>
          <w:t xml:space="preserve">transparencia@tenancingo.gob.mx</w:t>
        </w:r>
      </w:hyperlink>
      <w:r w:rsidDel="00000000" w:rsidR="00000000" w:rsidRPr="00000000">
        <w:rPr>
          <w:rFonts w:ascii="Palatino Linotype" w:cs="Palatino Linotype" w:eastAsia="Palatino Linotype" w:hAnsi="Palatino Linotype"/>
          <w:rtl w:val="0"/>
        </w:rPr>
        <w:t xml:space="preserve"> de fecha </w:t>
      </w:r>
      <w:r w:rsidDel="00000000" w:rsidR="00000000" w:rsidRPr="00000000">
        <w:rPr>
          <w:rFonts w:ascii="Palatino Linotype" w:cs="Palatino Linotype" w:eastAsia="Palatino Linotype" w:hAnsi="Palatino Linotype"/>
          <w:b w:val="1"/>
          <w:rtl w:val="0"/>
        </w:rPr>
        <w:t xml:space="preserve">veinticinco de abril de dos mil veintitrés</w:t>
      </w:r>
      <w:r w:rsidDel="00000000" w:rsidR="00000000" w:rsidRPr="00000000">
        <w:rPr>
          <w:rFonts w:ascii="Palatino Linotype" w:cs="Palatino Linotype" w:eastAsia="Palatino Linotype" w:hAnsi="Palatino Linotype"/>
          <w:rtl w:val="0"/>
        </w:rPr>
        <w:t xml:space="preserve"> requirió a la Unidad de Transparencia del Ayuntamiento de Tenancingo, lo siguiente:  </w:t>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“ÓSCAR MANUEL MARTÍNEZ RODRÍGUEZ</w:t>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COORDINADOR DE TRANSPARENCIA Y ACCESO A LA INFORMACIÓNDEL AYUNTAMIENTO DE TENANCINGO, ESTADO DE MÉXICO </w:t>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PRESENTE</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Aprovecho este escrito para saludarle, y a la vez, referirme a las constancias que integran el expediente del recurso de revisión 15614/INFOEM/IP/RR/2022; originado de la respuesta a la solicitud de información 00529/TENANCIN/IP/2022, que para dar solvencia a dicho requermiento ciudadano remitió el oficio PMT/058/TM/00471/2022 de fecha veinticuatro de septiembre de dos mil veintidós, emitido por la Tesorería Municipal del Ayuntamiento de Tenancingo, y que versa sobre el cambio de modalidad de entrega de la información; de entrega a través del Sistema de Acceso a la Información Mexiquense a consulta directa, determinando que “… nos encontramos en la imposibilidad de entregar al solicitante la información en la modalidad que éste señala, por lo cual se realiza un cambio de modalidad a “CONSULTA DIRECTA”…” (Sic). </w:t>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anterior, se tiene que dejó de fundar y motivar las razones o motivos que originaron el cambio de modalidad de entrega de la información, por lo que, se carece de los elementos que permitan justificar su existencia, lo anterior en términos de los señalado por el artículo 155 fracción V, 158 y 164 de la Ley de Transparencia y Acceso a la Información Pública del Estado de México y Municipios.  </w:t>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tanto, con fundamento en el artículo 14, fracciones I, III y XVI del Reglamento Interior del Instituto de Transparencia, Acceso a la Información Pública y Protección de Datos Personales del Estado de México y Municipios publicado en el Periódico Oficial Gaceta del Gobierno el catorce de marzo de dos mil veintitrés; con el objeto de contar con los elementos necesarios para la elaboración del proyecto de resolución correspondiente, se requiere informe lo siguiente:</w:t>
      </w:r>
    </w:p>
    <w:p w:rsidR="00000000" w:rsidDel="00000000" w:rsidP="00000000" w:rsidRDefault="00000000" w:rsidRPr="00000000" w14:paraId="000000EF">
      <w:pPr>
        <w:numPr>
          <w:ilvl w:val="0"/>
          <w:numId w:val="6"/>
        </w:numPr>
        <w:pBdr>
          <w:top w:space="0" w:sz="0" w:val="nil"/>
          <w:left w:space="0" w:sz="0" w:val="nil"/>
          <w:bottom w:space="0" w:sz="0" w:val="nil"/>
          <w:right w:space="0" w:sz="0" w:val="nil"/>
          <w:between w:space="0" w:sz="0" w:val="nil"/>
        </w:pBdr>
        <w:ind w:left="1584" w:right="864"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Manifieste las razones y fundamentos suficientes para no entregar la información a través del Sistema de Acceso a la Información Pública Mexiquense; </w:t>
      </w:r>
    </w:p>
    <w:p w:rsidR="00000000" w:rsidDel="00000000" w:rsidP="00000000" w:rsidRDefault="00000000" w:rsidRPr="00000000" w14:paraId="000000F0">
      <w:pPr>
        <w:numPr>
          <w:ilvl w:val="0"/>
          <w:numId w:val="6"/>
        </w:numPr>
        <w:pBdr>
          <w:top w:space="0" w:sz="0" w:val="nil"/>
          <w:left w:space="0" w:sz="0" w:val="nil"/>
          <w:bottom w:space="0" w:sz="0" w:val="nil"/>
          <w:right w:space="0" w:sz="0" w:val="nil"/>
          <w:between w:space="0" w:sz="0" w:val="nil"/>
        </w:pBdr>
        <w:ind w:left="1584" w:right="864"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refiera al cúmulo exacto de información que se trata y sí excede las capacidades del Sistema de Acceso a la Información Pública Mexiquense, esto mediante el reporte de incidencias realizado ante la Dirección General de Informática de este Instituto;</w:t>
      </w:r>
    </w:p>
    <w:p w:rsidR="00000000" w:rsidDel="00000000" w:rsidP="00000000" w:rsidRDefault="00000000" w:rsidRPr="00000000" w14:paraId="000000F1">
      <w:pPr>
        <w:numPr>
          <w:ilvl w:val="0"/>
          <w:numId w:val="6"/>
        </w:numPr>
        <w:pBdr>
          <w:top w:space="0" w:sz="0" w:val="nil"/>
          <w:left w:space="0" w:sz="0" w:val="nil"/>
          <w:bottom w:space="0" w:sz="0" w:val="nil"/>
          <w:right w:space="0" w:sz="0" w:val="nil"/>
          <w:between w:space="0" w:sz="0" w:val="nil"/>
        </w:pBdr>
        <w:ind w:left="1584" w:right="864"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la información solicitada, sobrepase las capacidades técnicas administrativas y humanas del Sujeto Obligado para cumplir con la solicitud, en los plazos establecidos para dichos efectos, con los respectivos medios de convicción; y</w:t>
      </w:r>
    </w:p>
    <w:p w:rsidR="00000000" w:rsidDel="00000000" w:rsidP="00000000" w:rsidRDefault="00000000" w:rsidRPr="00000000" w14:paraId="000000F2">
      <w:pPr>
        <w:numPr>
          <w:ilvl w:val="0"/>
          <w:numId w:val="6"/>
        </w:numPr>
        <w:pBdr>
          <w:top w:space="0" w:sz="0" w:val="nil"/>
          <w:left w:space="0" w:sz="0" w:val="nil"/>
          <w:bottom w:space="0" w:sz="0" w:val="nil"/>
          <w:right w:space="0" w:sz="0" w:val="nil"/>
          <w:between w:space="0" w:sz="0" w:val="nil"/>
        </w:pBdr>
        <w:ind w:left="1584" w:right="864"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la información solicitada, es necesario que se entregue en versión pública. </w:t>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 menester del suscrito referir que los requerimientos deberán ser colmados a este Instituto de Transparencia en un lapso </w:t>
      </w:r>
      <w:r w:rsidDel="00000000" w:rsidR="00000000" w:rsidRPr="00000000">
        <w:rPr>
          <w:rFonts w:ascii="Palatino Linotype" w:cs="Palatino Linotype" w:eastAsia="Palatino Linotype" w:hAnsi="Palatino Linotype"/>
          <w:i w:val="1"/>
          <w:sz w:val="22"/>
          <w:szCs w:val="22"/>
          <w:u w:val="single"/>
          <w:rtl w:val="0"/>
        </w:rPr>
        <w:t xml:space="preserve">no mayor a tres días hábiles</w:t>
      </w:r>
      <w:r w:rsidDel="00000000" w:rsidR="00000000" w:rsidRPr="00000000">
        <w:rPr>
          <w:rFonts w:ascii="Palatino Linotype" w:cs="Palatino Linotype" w:eastAsia="Palatino Linotype" w:hAnsi="Palatino Linotype"/>
          <w:i w:val="1"/>
          <w:sz w:val="22"/>
          <w:szCs w:val="22"/>
          <w:rtl w:val="0"/>
        </w:rPr>
        <w:t xml:space="preserve">, a través de los correos electrónicos  </w:t>
      </w:r>
      <w:hyperlink r:id="rId13">
        <w:r w:rsidDel="00000000" w:rsidR="00000000" w:rsidRPr="00000000">
          <w:rPr>
            <w:rFonts w:ascii="Palatino Linotype" w:cs="Palatino Linotype" w:eastAsia="Palatino Linotype" w:hAnsi="Palatino Linotype"/>
            <w:i w:val="1"/>
            <w:sz w:val="22"/>
            <w:szCs w:val="22"/>
            <w:u w:val="single"/>
            <w:rtl w:val="0"/>
          </w:rPr>
          <w:t xml:space="preserve">alexis.moreno@itaipem.org.mx</w:t>
        </w:r>
      </w:hyperlink>
      <w:r w:rsidDel="00000000" w:rsidR="00000000" w:rsidRPr="00000000">
        <w:rPr>
          <w:rFonts w:ascii="Palatino Linotype" w:cs="Palatino Linotype" w:eastAsia="Palatino Linotype" w:hAnsi="Palatino Linotype"/>
          <w:i w:val="1"/>
          <w:sz w:val="22"/>
          <w:szCs w:val="22"/>
          <w:rtl w:val="0"/>
        </w:rPr>
        <w:t xml:space="preserve"> y </w:t>
      </w:r>
      <w:hyperlink r:id="rId14">
        <w:r w:rsidDel="00000000" w:rsidR="00000000" w:rsidRPr="00000000">
          <w:rPr>
            <w:rFonts w:ascii="Palatino Linotype" w:cs="Palatino Linotype" w:eastAsia="Palatino Linotype" w:hAnsi="Palatino Linotype"/>
            <w:i w:val="1"/>
            <w:sz w:val="22"/>
            <w:szCs w:val="22"/>
            <w:u w:val="single"/>
            <w:rtl w:val="0"/>
          </w:rPr>
          <w:t xml:space="preserve">berenice.carrillo@infoem.org.mx</w:t>
        </w:r>
      </w:hyperlink>
      <w:r w:rsidDel="00000000" w:rsidR="00000000" w:rsidRPr="00000000">
        <w:rPr>
          <w:rFonts w:ascii="Palatino Linotype" w:cs="Palatino Linotype" w:eastAsia="Palatino Linotype" w:hAnsi="Palatino Linotype"/>
          <w:i w:val="1"/>
          <w:sz w:val="22"/>
          <w:szCs w:val="22"/>
          <w:rtl w:val="0"/>
        </w:rPr>
        <w:t xml:space="preserve">, de acuerdo a lo establecido en el artículo 29 del Código de Procedimientos Administrativos del Estado de México de aplicación supletoria a la Ley de Transparencia y Acceso a la Información Pública del Estado de México y Municipios.  </w:t>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Sin más por el momento, le reitero mi más distinguida consideración. </w:t>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 </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ALEXIS ZURIEL MORENO ROCHA</w:t>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PROYECTISTA “E” ADSCRITO A LA PONENCIA DE </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COMISIONADA GUADALUPE RAMÍREZ PEÑA” (Sic)</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Ese mismo día, en aras de obtener datos para emitir esta resolución, se requirió a la Dirección General de Informática, para: </w:t>
      </w:r>
    </w:p>
    <w:p w:rsidR="00000000" w:rsidDel="00000000" w:rsidP="00000000" w:rsidRDefault="00000000" w:rsidRPr="00000000" w14:paraId="000000F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spacing w:line="360" w:lineRule="auto"/>
        <w:ind w:right="49"/>
        <w:jc w:val="both"/>
        <w:rPr>
          <w:rFonts w:ascii="Palatino Linotype" w:cs="Palatino Linotype" w:eastAsia="Palatino Linotype" w:hAnsi="Palatino Linotype"/>
        </w:rPr>
      </w:pPr>
      <w:r w:rsidDel="00000000" w:rsidR="00000000" w:rsidRPr="00000000">
        <w:rPr/>
        <w:drawing>
          <wp:inline distB="0" distT="0" distL="0" distR="0">
            <wp:extent cx="5612130" cy="1864545"/>
            <wp:effectExtent b="0" l="0" r="0" t="0"/>
            <wp:docPr id="133" name="image2.png"/>
            <a:graphic>
              <a:graphicData uri="http://schemas.openxmlformats.org/drawingml/2006/picture">
                <pic:pic>
                  <pic:nvPicPr>
                    <pic:cNvPr id="0" name="image2.png"/>
                    <pic:cNvPicPr preferRelativeResize="0"/>
                  </pic:nvPicPr>
                  <pic:blipFill>
                    <a:blip r:embed="rId15"/>
                    <a:srcRect b="16166" l="0" r="15139" t="33687"/>
                    <a:stretch>
                      <a:fillRect/>
                    </a:stretch>
                  </pic:blipFill>
                  <pic:spPr>
                    <a:xfrm>
                      <a:off x="0" y="0"/>
                      <a:ext cx="5612130" cy="186454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dicha solicitud, la Dirección General de Informática se sirvió dar la contestación que se muestra: </w:t>
      </w:r>
    </w:p>
    <w:p w:rsidR="00000000" w:rsidDel="00000000" w:rsidP="00000000" w:rsidRDefault="00000000" w:rsidRPr="00000000" w14:paraId="000000FF">
      <w:pPr>
        <w:spacing w:line="360" w:lineRule="auto"/>
        <w:ind w:right="49"/>
        <w:rPr/>
      </w:pPr>
      <w:r w:rsidDel="00000000" w:rsidR="00000000" w:rsidRPr="00000000">
        <w:rPr>
          <w:rtl w:val="0"/>
        </w:rPr>
      </w:r>
    </w:p>
    <w:p w:rsidR="00000000" w:rsidDel="00000000" w:rsidP="00000000" w:rsidRDefault="00000000" w:rsidRPr="00000000" w14:paraId="00000100">
      <w:pPr>
        <w:spacing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4713127" cy="2205318"/>
            <wp:effectExtent b="0" l="0" r="0" t="0"/>
            <wp:docPr id="136" name="image6.png"/>
            <a:graphic>
              <a:graphicData uri="http://schemas.openxmlformats.org/drawingml/2006/picture">
                <pic:pic>
                  <pic:nvPicPr>
                    <pic:cNvPr id="0" name="image6.png"/>
                    <pic:cNvPicPr preferRelativeResize="0"/>
                  </pic:nvPicPr>
                  <pic:blipFill>
                    <a:blip r:embed="rId16"/>
                    <a:srcRect b="10710" l="712" r="15306" t="19426"/>
                    <a:stretch>
                      <a:fillRect/>
                    </a:stretch>
                  </pic:blipFill>
                  <pic:spPr>
                    <a:xfrm>
                      <a:off x="0" y="0"/>
                      <a:ext cx="4713127" cy="2205318"/>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dejó de manifestarse dentro del plazo otorgado para remitir a este Órgano Garante de datos para mejor proveer, situación por la cual resulta necesario traer a colación lo que señala Carlos Báez Silva, al referir 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las razones por las cuales la autoridad actúa como lo hace, </w:t>
      </w:r>
      <w:r w:rsidDel="00000000" w:rsidR="00000000" w:rsidRPr="00000000">
        <w:rPr>
          <w:rFonts w:ascii="Palatino Linotype" w:cs="Palatino Linotype" w:eastAsia="Palatino Linotype" w:hAnsi="Palatino Linotype"/>
          <w:b w:val="1"/>
          <w:rtl w:val="0"/>
        </w:rPr>
        <w:t xml:space="preserve">no consisten únicamente en la expresión de las circunstancias o causas de la actuación</w:t>
      </w:r>
      <w:r w:rsidDel="00000000" w:rsidR="00000000" w:rsidRPr="00000000">
        <w:rPr>
          <w:rFonts w:ascii="Palatino Linotype" w:cs="Palatino Linotype" w:eastAsia="Palatino Linotype" w:hAnsi="Palatino Linotype"/>
          <w:rtl w:val="0"/>
        </w:rPr>
        <w:t xml:space="preserve">, es decir, el requisito de motivación de los actos de autoridad </w:t>
      </w:r>
      <w:r w:rsidDel="00000000" w:rsidR="00000000" w:rsidRPr="00000000">
        <w:rPr>
          <w:rFonts w:ascii="Palatino Linotype" w:cs="Palatino Linotype" w:eastAsia="Palatino Linotype" w:hAnsi="Palatino Linotype"/>
          <w:b w:val="1"/>
          <w:rtl w:val="0"/>
        </w:rPr>
        <w:t xml:space="preserve">no se cumple sólo con la reseña de los hechos</w:t>
      </w:r>
      <w:r w:rsidDel="00000000" w:rsidR="00000000" w:rsidRPr="00000000">
        <w:rPr>
          <w:rFonts w:ascii="Palatino Linotype" w:cs="Palatino Linotype" w:eastAsia="Palatino Linotype" w:hAnsi="Palatino Linotype"/>
          <w:rtl w:val="0"/>
        </w:rPr>
        <w:t xml:space="preserve"> de los que conoce una autoridad, sino que es necesario que se argumente de </w:t>
      </w:r>
      <w:r w:rsidDel="00000000" w:rsidR="00000000" w:rsidRPr="00000000">
        <w:rPr>
          <w:rFonts w:ascii="Palatino Linotype" w:cs="Palatino Linotype" w:eastAsia="Palatino Linotype" w:hAnsi="Palatino Linotype"/>
          <w:b w:val="1"/>
          <w:rtl w:val="0"/>
        </w:rPr>
        <w:t xml:space="preserve">manera real y certera las causas aducidas al caso concreto para justificar el por qué las decisiones adoptadas no son arbitrarias o evidentes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0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cabe precisar que la Ley de Archivos y Administración de Documentos del Estado de México y Municipios señala en su artículo 11, fracción XI que: </w:t>
      </w:r>
    </w:p>
    <w:p w:rsidR="00000000" w:rsidDel="00000000" w:rsidP="00000000" w:rsidRDefault="00000000" w:rsidRPr="00000000" w14:paraId="0000010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w:t>
      </w:r>
      <w:r w:rsidDel="00000000" w:rsidR="00000000" w:rsidRPr="00000000">
        <w:rPr>
          <w:rFonts w:ascii="Palatino Linotype" w:cs="Palatino Linotype" w:eastAsia="Palatino Linotype" w:hAnsi="Palatino Linotype"/>
          <w:i w:val="1"/>
          <w:sz w:val="22"/>
          <w:szCs w:val="22"/>
          <w:rtl w:val="0"/>
        </w:rPr>
        <w:t xml:space="preserve"> Los Sujetos Obligados deberán:</w:t>
      </w:r>
    </w:p>
    <w:p w:rsidR="00000000" w:rsidDel="00000000" w:rsidP="00000000" w:rsidRDefault="00000000" w:rsidRPr="00000000" w14:paraId="0000010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Aplicar métodos y medidas para la organización, protección y conservación de los Documentos de Archivo, considerando el estado que guardan y el espacio para su almacenamiento; </w:t>
      </w:r>
      <w:r w:rsidDel="00000000" w:rsidR="00000000" w:rsidRPr="00000000">
        <w:rPr>
          <w:rFonts w:ascii="Palatino Linotype" w:cs="Palatino Linotype" w:eastAsia="Palatino Linotype" w:hAnsi="Palatino Linotype"/>
          <w:b w:val="1"/>
          <w:i w:val="1"/>
          <w:sz w:val="22"/>
          <w:szCs w:val="22"/>
          <w:u w:val="single"/>
          <w:rtl w:val="0"/>
        </w:rPr>
        <w:t xml:space="preserve">así como procurar el resguardo digital de dichos documentos</w:t>
      </w:r>
      <w:r w:rsidDel="00000000" w:rsidR="00000000" w:rsidRPr="00000000">
        <w:rPr>
          <w:rFonts w:ascii="Palatino Linotype" w:cs="Palatino Linotype" w:eastAsia="Palatino Linotype" w:hAnsi="Palatino Linotype"/>
          <w:i w:val="1"/>
          <w:sz w:val="22"/>
          <w:szCs w:val="22"/>
          <w:rtl w:val="0"/>
        </w:rPr>
        <w:t xml:space="preserve">, de conformidad con la Ley General, la Ley de Gobierno Digital del Estado de México y Municipios, la presente Ley y las demás disposiciones jurídicas aplicables, y</w:t>
      </w:r>
    </w:p>
    <w:p w:rsidR="00000000" w:rsidDel="00000000" w:rsidP="00000000" w:rsidRDefault="00000000" w:rsidRPr="00000000" w14:paraId="0000010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Ley de Gobierno Digital del Estado de México y Municipios, menciona en su artículo 44, fracción I, lo siguiente: </w:t>
      </w:r>
    </w:p>
    <w:p w:rsidR="00000000" w:rsidDel="00000000" w:rsidP="00000000" w:rsidRDefault="00000000" w:rsidRPr="00000000" w14:paraId="0000010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spacing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44</w:t>
      </w:r>
      <w:r w:rsidDel="00000000" w:rsidR="00000000" w:rsidRPr="00000000">
        <w:rPr>
          <w:rFonts w:ascii="Palatino Linotype" w:cs="Palatino Linotype" w:eastAsia="Palatino Linotype" w:hAnsi="Palatino Linotype"/>
          <w:i w:val="1"/>
          <w:sz w:val="22"/>
          <w:szCs w:val="22"/>
          <w:rtl w:val="0"/>
        </w:rPr>
        <w:t xml:space="preserve">. Las dependencias y los organismos auxiliares del Poder Ejecutivo, los órganos autónomos y los Notarios Públicos, tendrán las funciones siguientes:</w:t>
      </w:r>
    </w:p>
    <w:p w:rsidR="00000000" w:rsidDel="00000000" w:rsidP="00000000" w:rsidRDefault="00000000" w:rsidRPr="00000000" w14:paraId="0000010E">
      <w:pPr>
        <w:spacing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r w:rsidDel="00000000" w:rsidR="00000000" w:rsidRPr="00000000">
        <w:rPr>
          <w:rFonts w:ascii="Palatino Linotype" w:cs="Palatino Linotype" w:eastAsia="Palatino Linotype" w:hAnsi="Palatino Linotype"/>
          <w:b w:val="1"/>
          <w:i w:val="1"/>
          <w:sz w:val="22"/>
          <w:szCs w:val="22"/>
          <w:rtl w:val="0"/>
        </w:rPr>
        <w:t xml:space="preserve">. Desarrollar acciones y gestiones dirigidas a implementar en su funcionamiento y operación el uso de tecnologías de la información y comunicación</w:t>
      </w:r>
      <w:r w:rsidDel="00000000" w:rsidR="00000000" w:rsidRPr="00000000">
        <w:rPr>
          <w:rFonts w:ascii="Palatino Linotype" w:cs="Palatino Linotype" w:eastAsia="Palatino Linotype" w:hAnsi="Palatino Linotype"/>
          <w:i w:val="1"/>
          <w:sz w:val="22"/>
          <w:szCs w:val="22"/>
          <w:rtl w:val="0"/>
        </w:rPr>
        <w:t xml:space="preserve">, con el fin de garantizar que los trámites y servicios que presten al ciudadano sean eficientes.</w:t>
      </w:r>
    </w:p>
    <w:p w:rsidR="00000000" w:rsidDel="00000000" w:rsidP="00000000" w:rsidRDefault="00000000" w:rsidRPr="00000000" w14:paraId="0000010F">
      <w:pPr>
        <w:spacing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line="360" w:lineRule="auto"/>
        <w:ind w:right="49"/>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rtl w:val="0"/>
        </w:rPr>
        <w:t xml:space="preserve">En consecuencia, se advierte que los Sujetos Obligados deberán procurar el resguardo digital de los documentos y desarrollar acciones tendientes a implementar el uso de las tecnologías de la información y comunicación, además de ello, es de referir que existen otros medios para digitalizar la información, como el uso de dispositivos móviles a través de aplicaciones electrónicas gratuitas, las cuales permiten escanear documentos y convertirlos a PDF o imagen. </w:t>
      </w:r>
    </w:p>
    <w:p w:rsidR="00000000" w:rsidDel="00000000" w:rsidP="00000000" w:rsidRDefault="00000000" w:rsidRPr="00000000" w14:paraId="0000011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dicho, quedó de manifiesto que las capacidades tecnológicas del SAIMEX abarcan hasta los quinientos megabytes, que equivalentemente responden a ocho mil hojas escaneadas en una resolución máxima de mil quinientos puntos por pulgada en escala de grises y en formato PDF, y es dable concluir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en ningún momento se pronunció en razón de las características físicas específicas de la información solicitada, y de los razonamientos fundados y motivados que originaron el cambio de modalidad del cual se afecta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1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 lo dicho, es necesario precisar el punto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el que se refiere a “… </w:t>
      </w:r>
      <w:r w:rsidDel="00000000" w:rsidR="00000000" w:rsidRPr="00000000">
        <w:rPr>
          <w:rFonts w:ascii="Palatino Linotype" w:cs="Palatino Linotype" w:eastAsia="Palatino Linotype" w:hAnsi="Palatino Linotype"/>
          <w:i w:val="1"/>
          <w:rtl w:val="0"/>
        </w:rPr>
        <w:t xml:space="preserve">Se le dará el acceso a los archivos que contienen la información sobre. "número de contribuyentes con los que cuenta el patrón catastral el monto de recaudación del impuesto predial en los últumos 5 años y el número de contribuyentes que se encuentran con adeudos de 1 a 5 años con el monto actualizado adeudado" … sic” (Sic), </w:t>
      </w:r>
      <w:r w:rsidDel="00000000" w:rsidR="00000000" w:rsidRPr="00000000">
        <w:rPr>
          <w:rFonts w:ascii="Palatino Linotype" w:cs="Palatino Linotype" w:eastAsia="Palatino Linotype" w:hAnsi="Palatino Linotype"/>
          <w:rtl w:val="0"/>
        </w:rPr>
        <w:t xml:space="preserve">pues como se transcribe, no tiene relación con la información requerida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pues su solicitud es clara al pedir la nómina de las personas integrantes del Cabildo, Coordinadores, Directores y Jefes de Área.</w:t>
      </w:r>
    </w:p>
    <w:p w:rsidR="00000000" w:rsidDel="00000000" w:rsidP="00000000" w:rsidRDefault="00000000" w:rsidRPr="00000000" w14:paraId="0000011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se verificará el Marco Normativo que faculta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dar contestación a dicho pedimento: </w:t>
      </w:r>
    </w:p>
    <w:p w:rsidR="00000000" w:rsidDel="00000000" w:rsidP="00000000" w:rsidRDefault="00000000" w:rsidRPr="00000000" w14:paraId="0000011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Orgánica Municipal del Estado de México </w:t>
      </w:r>
    </w:p>
    <w:p w:rsidR="00000000" w:rsidDel="00000000" w:rsidP="00000000" w:rsidRDefault="00000000" w:rsidRPr="00000000" w14:paraId="0000011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TITULO IV Régimen Administrativo</w:t>
      </w:r>
    </w:p>
    <w:p w:rsidR="00000000" w:rsidDel="00000000" w:rsidP="00000000" w:rsidRDefault="00000000" w:rsidRPr="00000000" w14:paraId="0000011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CAPITULO SEGUNDO De la Tesorería Municipal </w:t>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93.- La tesorería municipal es el órgano encargado de la recaudación de los ingresos municipales y responsable de realizar las erogaciones que haga el ayuntamiento.</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95.- Son atribuciones del tesorero municipal:</w:t>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Llevar los registros contables, financieros y administrativos de los ingresos, egresos, e inventarios;</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Bando de Policía y Gobierno Municipal de Tenancingo, Estado de México, 2022</w:t>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TÍTULO TERCERO DEL GOBIERNO</w:t>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II DE LA ADMINISTRACIÓN PÚBLICA CENTRALIZADA Y DESCENTRALIZADA </w:t>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19. La estructura de la administración pública municipal centralizada estará subordinada al Presidente Municipal, siendo esta la siguiente:</w:t>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Tesorería Municipal:</w:t>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9">
      <w:pPr>
        <w:pBdr>
          <w:top w:space="0" w:sz="0" w:val="nil"/>
          <w:left w:space="0" w:sz="0" w:val="nil"/>
          <w:bottom w:space="0" w:sz="0" w:val="nil"/>
          <w:right w:space="0" w:sz="0" w:val="nil"/>
          <w:between w:space="0" w:sz="0" w:val="nil"/>
        </w:pBdr>
        <w:ind w:right="864"/>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Preceptos que sirven para enmarcar la obligación del Ayuntamiento de Tenancingo para cumplimentar el </w:t>
      </w:r>
      <w:r w:rsidDel="00000000" w:rsidR="00000000" w:rsidRPr="00000000">
        <w:rPr>
          <w:rFonts w:ascii="Palatino Linotype" w:cs="Palatino Linotype" w:eastAsia="Palatino Linotype" w:hAnsi="Palatino Linotype"/>
          <w:i w:val="1"/>
          <w:rtl w:val="0"/>
        </w:rPr>
        <w:t xml:space="preserve">Derecho a Saber</w:t>
      </w:r>
      <w:r w:rsidDel="00000000" w:rsidR="00000000" w:rsidRPr="00000000">
        <w:rPr>
          <w:rFonts w:ascii="Palatino Linotype" w:cs="Palatino Linotype" w:eastAsia="Palatino Linotype" w:hAnsi="Palatino Linotype"/>
          <w:rtl w:val="0"/>
        </w:rPr>
        <w:t xml:space="preserve"> de la parte afectada en este proceso, sin embargo, para dotar a este fallo de Certeza, Eficacia, Legalidad, Objetividad y Profesionalismo, es dable determinar por esta Autoridad de quién o quiénes solicitó la información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pues ella oportunamente describió a </w:t>
      </w:r>
      <w:r w:rsidDel="00000000" w:rsidR="00000000" w:rsidRPr="00000000">
        <w:rPr>
          <w:rFonts w:ascii="Palatino Linotype" w:cs="Palatino Linotype" w:eastAsia="Palatino Linotype" w:hAnsi="Palatino Linotype"/>
          <w:i w:val="1"/>
          <w:rtl w:val="0"/>
        </w:rPr>
        <w:t xml:space="preserve">“… miembros de cabildo y de coordinadores, directores y jefes de area, </w:t>
      </w:r>
      <w:r w:rsidDel="00000000" w:rsidR="00000000" w:rsidRPr="00000000">
        <w:rPr>
          <w:rFonts w:ascii="Palatino Linotype" w:cs="Palatino Linotype" w:eastAsia="Palatino Linotype" w:hAnsi="Palatino Linotype"/>
          <w:b w:val="1"/>
          <w:i w:val="1"/>
          <w:u w:val="single"/>
          <w:rtl w:val="0"/>
        </w:rPr>
        <w:t xml:space="preserve">solo de ellos</w:t>
      </w:r>
      <w:r w:rsidDel="00000000" w:rsidR="00000000" w:rsidRPr="00000000">
        <w:rPr>
          <w:rFonts w:ascii="Palatino Linotype" w:cs="Palatino Linotype" w:eastAsia="Palatino Linotype" w:hAnsi="Palatino Linotype"/>
          <w:i w:val="1"/>
          <w:rtl w:val="0"/>
        </w:rPr>
        <w:t xml:space="preserve">…” (Sic). </w:t>
      </w:r>
      <w:r w:rsidDel="00000000" w:rsidR="00000000" w:rsidRPr="00000000">
        <w:rPr>
          <w:rFonts w:ascii="Palatino Linotype" w:cs="Palatino Linotype" w:eastAsia="Palatino Linotype" w:hAnsi="Palatino Linotype"/>
          <w:b w:val="1"/>
          <w:i w:val="1"/>
          <w:u w:val="single"/>
          <w:rtl w:val="0"/>
        </w:rPr>
        <w:t xml:space="preserve">Énfasis añadido</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BANDO DE POLICIA Y GOBIERNO MUNICIPAL DE TENANCINGO, ESTADO DE MÉXICO, 2022. </w:t>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TÍTULO TERCERO DEL GOBIERNO </w:t>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I DISPOSICIONES GENERALES </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18. El gobierno del municipio de Tenancingo, está depositado en un cuerpo colegiado y deliberante que se denomina Ayuntamiento, integrado por un </w:t>
      </w:r>
      <w:r w:rsidDel="00000000" w:rsidR="00000000" w:rsidRPr="00000000">
        <w:rPr>
          <w:rFonts w:ascii="Palatino Linotype" w:cs="Palatino Linotype" w:eastAsia="Palatino Linotype" w:hAnsi="Palatino Linotype"/>
          <w:b w:val="1"/>
          <w:i w:val="1"/>
          <w:sz w:val="22"/>
          <w:szCs w:val="22"/>
          <w:rtl w:val="0"/>
        </w:rPr>
        <w:t xml:space="preserve">Presidente Municipal, un Síndico, cuatro regidores electos por el principio de mayoría relativa, y tres por el principio de representación proporcional,</w:t>
      </w:r>
      <w:r w:rsidDel="00000000" w:rsidR="00000000" w:rsidRPr="00000000">
        <w:rPr>
          <w:rFonts w:ascii="Palatino Linotype" w:cs="Palatino Linotype" w:eastAsia="Palatino Linotype" w:hAnsi="Palatino Linotype"/>
          <w:i w:val="1"/>
          <w:sz w:val="22"/>
          <w:szCs w:val="22"/>
          <w:rtl w:val="0"/>
        </w:rPr>
        <w:t xml:space="preserve"> con las facultades y obligaciones que las leyes les otorgan, de conformidad con la Constitución Política de los Estados Unidos Mexicanos, la Constitución Política del Estado Libre y Soberano de México, la Ley Orgánica Municipal del Estado de México, y demás disposiciones legales aplicables.</w:t>
      </w:r>
    </w:p>
    <w:p w:rsidR="00000000" w:rsidDel="00000000" w:rsidP="00000000" w:rsidRDefault="00000000" w:rsidRPr="00000000" w14:paraId="0000013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II</w:t>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 ADMINISTRACIÓN PÚBLICA CENTRALIZADA Y DESCENTRALIZADA</w:t>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19. La estructura de la administración pública municipal centralizada estará subordinada al Presidente</w:t>
      </w:r>
    </w:p>
    <w:p w:rsidR="00000000" w:rsidDel="00000000" w:rsidP="00000000" w:rsidRDefault="00000000" w:rsidRPr="00000000" w14:paraId="0000013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Municipal, siendo esta la siguiente:</w:t>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1.2.1. Coordinación General Municipal de Mejora Regulatoria;</w:t>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1.2.2. Coordinación de Transparencia y Acceso a la Información;</w:t>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1.2.3. Coordinación de Información, Programación, Planeación, y Evaluación;</w:t>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Coordinación de Asesores;</w:t>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 Coordinación de Enlace Interinstitucional;</w:t>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1.5. Coordinación de Eventos Especiales;</w:t>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1.6.1. Coordinación de Reglamentación Municipal;</w:t>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1.8. Coordinación de Enlace Municipal con la Secretaría de Relaciones Exteriores;</w:t>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1.9. Coordinación de Comunicación Social; y</w:t>
        <w:br w:type="textWrapping"/>
        <w:t xml:space="preserve">(…)</w:t>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 Coordinación de Vinculación y Participación Ciudadana;</w:t>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2.2. Coordinación de Seguimiento a Comisiones Edilicias;</w:t>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2.3. Coordinación de Estudio y Cuenta Edilicia; y</w:t>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 Coordinación de Ingresos:</w:t>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3.2. Coordinación de Contabilidad y Cuenta Pública;</w:t>
      </w:r>
    </w:p>
    <w:p w:rsidR="00000000" w:rsidDel="00000000" w:rsidP="00000000" w:rsidRDefault="00000000" w:rsidRPr="00000000" w14:paraId="0000014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3.3. Coordinación de Catastro e Impuesto Predial; y</w:t>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3.4. Coordinación de Egresos.</w:t>
        <w:br w:type="textWrapping"/>
        <w:t xml:space="preserve"> 4. Dirección de Obras Públicas:</w:t>
      </w:r>
    </w:p>
    <w:p w:rsidR="00000000" w:rsidDel="00000000" w:rsidP="00000000" w:rsidRDefault="00000000" w:rsidRPr="00000000" w14:paraId="0000014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4.1. Coordinación Administrativa;</w:t>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4.2. Coordinación Operativa; y</w:t>
      </w:r>
    </w:p>
    <w:p w:rsidR="00000000" w:rsidDel="00000000" w:rsidP="00000000" w:rsidRDefault="00000000" w:rsidRPr="00000000" w14:paraId="0000014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4.3. Coordinación de Proyectos.</w:t>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Dirección de Desarrollo Económico:</w:t>
      </w:r>
    </w:p>
    <w:p w:rsidR="00000000" w:rsidDel="00000000" w:rsidP="00000000" w:rsidRDefault="00000000" w:rsidRPr="00000000" w14:paraId="0000015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5.1. Coordinación de Desarrollo Económico y Empleo:</w:t>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Dirección de Desarrollo Urbano:</w:t>
      </w:r>
    </w:p>
    <w:p w:rsidR="00000000" w:rsidDel="00000000" w:rsidP="00000000" w:rsidRDefault="00000000" w:rsidRPr="00000000" w14:paraId="0000015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6.1. Coordinación de Movilidad y Transporte;</w:t>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6.2. Coordinación de enlace con el Instituto Mexiquense de la Vivienda Social (IMEVIS); y</w:t>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6.3. Coordinación Jurídica.</w:t>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Dirección de Ecología:</w:t>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7.1. Coordinación de Preservación del Medio Ambiente.</w:t>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Dirección de Desarrollo Social:</w:t>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8.2. Coordinación de Salud;</w:t>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8.4. Coordinación de Fortalecimiento a Grupos Vulnerables; y</w:t>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8.5. Coordinación de Seguimiento a Programas Sociales.</w:t>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Dirección de Seguridad Pública:</w:t>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9.1. Coordinación de Protección Civil;</w:t>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9.2. Coordinación de Tránsito y Vialidad;</w:t>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9.3. Coordinación de Prevención del Delito;</w:t>
      </w:r>
    </w:p>
    <w:p w:rsidR="00000000" w:rsidDel="00000000" w:rsidP="00000000" w:rsidRDefault="00000000" w:rsidRPr="00000000" w14:paraId="0000016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9.4. Coordinación del Escritorio Público de la Policía;</w:t>
        <w:br w:type="textWrapping"/>
        <w:t xml:space="preserve">(…)</w:t>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Dirección de Servicios Públicos:</w:t>
      </w:r>
    </w:p>
    <w:p w:rsidR="00000000" w:rsidDel="00000000" w:rsidP="00000000" w:rsidRDefault="00000000" w:rsidRPr="00000000" w14:paraId="0000016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10.1. Coordinación de Alumbrado Público;</w:t>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10.2. Coordinación de Parques, Jardines y Panteones; y</w:t>
      </w:r>
    </w:p>
    <w:p w:rsidR="00000000" w:rsidDel="00000000" w:rsidP="00000000" w:rsidRDefault="00000000" w:rsidRPr="00000000" w14:paraId="0000016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10.3. Coordinación de Limpia turnos A y B;</w:t>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Dirección de Educación:</w:t>
      </w:r>
    </w:p>
    <w:p w:rsidR="00000000" w:rsidDel="00000000" w:rsidP="00000000" w:rsidRDefault="00000000" w:rsidRPr="00000000" w14:paraId="0000016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11.1. Coordinación de Cultura; y</w:t>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11.2. Coordinación de Enlace con Instituciones Educativas.</w:t>
        <w:br w:type="textWrapping"/>
        <w:t xml:space="preserve"> 12. Dirección de Desarrollo Agropecuario:</w:t>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12.1. Coordinación de Programas.</w:t>
      </w:r>
    </w:p>
    <w:p w:rsidR="00000000" w:rsidDel="00000000" w:rsidP="00000000" w:rsidRDefault="00000000" w:rsidRPr="00000000" w14:paraId="0000016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Dirección de Administración:</w:t>
      </w:r>
    </w:p>
    <w:p w:rsidR="00000000" w:rsidDel="00000000" w:rsidP="00000000" w:rsidRDefault="00000000" w:rsidRPr="00000000" w14:paraId="0000016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 Coordinación de Recursos Humanos;</w:t>
      </w:r>
    </w:p>
    <w:p w:rsidR="00000000" w:rsidDel="00000000" w:rsidP="00000000" w:rsidRDefault="00000000" w:rsidRPr="00000000" w14:paraId="0000016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13.2. Coordinación de Recursos Materiales; y</w:t>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13.3. Coordinador de Parque Vehicular.</w:t>
      </w:r>
    </w:p>
    <w:p w:rsidR="00000000" w:rsidDel="00000000" w:rsidP="00000000" w:rsidRDefault="00000000" w:rsidRPr="00000000" w14:paraId="0000017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 Dirección de Gobernación:</w:t>
      </w:r>
    </w:p>
    <w:p w:rsidR="00000000" w:rsidDel="00000000" w:rsidP="00000000" w:rsidRDefault="00000000" w:rsidRPr="00000000" w14:paraId="0000017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14.1. Coordinación Jurídica;</w:t>
      </w:r>
    </w:p>
    <w:p w:rsidR="00000000" w:rsidDel="00000000" w:rsidP="00000000" w:rsidRDefault="00000000" w:rsidRPr="00000000" w14:paraId="0000017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14.2. Coordinación Operativa;</w:t>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14.3. Coordinación Administrativa; y</w:t>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14.4. Coordinación de Verificación.</w:t>
      </w:r>
    </w:p>
    <w:p w:rsidR="00000000" w:rsidDel="00000000" w:rsidP="00000000" w:rsidRDefault="00000000" w:rsidRPr="00000000" w14:paraId="0000017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15. Dirección de Turismo:</w:t>
      </w:r>
    </w:p>
    <w:p w:rsidR="00000000" w:rsidDel="00000000" w:rsidP="00000000" w:rsidRDefault="00000000" w:rsidRPr="00000000" w14:paraId="0000017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15.1. Coordinación de Turismo; y</w:t>
      </w:r>
    </w:p>
    <w:p w:rsidR="00000000" w:rsidDel="00000000" w:rsidP="00000000" w:rsidRDefault="00000000" w:rsidRPr="00000000" w14:paraId="0000017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15.2. Coordinación de Fomento Artesanal.</w:t>
      </w:r>
    </w:p>
    <w:p w:rsidR="00000000" w:rsidDel="00000000" w:rsidP="00000000" w:rsidRDefault="00000000" w:rsidRPr="00000000" w14:paraId="0000017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19.4. Coordinación de Auditoría, Control y Evaluación. </w:t>
      </w:r>
    </w:p>
    <w:p w:rsidR="00000000" w:rsidDel="00000000" w:rsidP="00000000" w:rsidRDefault="00000000" w:rsidRPr="00000000" w14:paraId="0000017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una búsqueda realizada por parte de este Instituto en la normatividad aplicable y organigrama localizados en el Sistema de Información Pública de Oficio Mexiquense (IPOMEX) del Ayuntamiento de Tenancingo, se determinó que no existe la figura de Jefatura de Área para este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 como se hace constar en la imagen que se adjunta de su Organigrama -</w:t>
      </w:r>
      <w:r w:rsidDel="00000000" w:rsidR="00000000" w:rsidRPr="00000000">
        <w:rPr>
          <w:rFonts w:ascii="Palatino Linotype" w:cs="Palatino Linotype" w:eastAsia="Palatino Linotype" w:hAnsi="Palatino Linotype"/>
          <w:rtl w:val="0"/>
        </w:rPr>
        <w:t xml:space="preserve"> y en tal consideración, resulta claro que no cuenta con facultades para informar por lo que hace a ese punto; circunstancia diversa al Presidente Municipal, Síndico y siete Regidores, Directores y Coordinadores, por constar que existen dichos cargos y puestos solicitados por </w:t>
      </w:r>
      <w:r w:rsidDel="00000000" w:rsidR="00000000" w:rsidRPr="00000000">
        <w:rPr>
          <w:rFonts w:ascii="Palatino Linotype" w:cs="Palatino Linotype" w:eastAsia="Palatino Linotype" w:hAnsi="Palatino Linotype"/>
          <w:b w:val="1"/>
          <w:rtl w:val="0"/>
        </w:rPr>
        <w:t xml:space="preserve">LA PARTE RECURRENTE. </w:t>
      </w:r>
    </w:p>
    <w:p w:rsidR="00000000" w:rsidDel="00000000" w:rsidP="00000000" w:rsidRDefault="00000000" w:rsidRPr="00000000" w14:paraId="0000017C">
      <w:pPr>
        <w:spacing w:line="360" w:lineRule="auto"/>
        <w:jc w:val="center"/>
        <w:rPr>
          <w:rFonts w:ascii="Palatino Linotype" w:cs="Palatino Linotype" w:eastAsia="Palatino Linotype" w:hAnsi="Palatino Linotype"/>
          <w:b w:val="1"/>
        </w:rPr>
      </w:pPr>
      <w:r w:rsidDel="00000000" w:rsidR="00000000" w:rsidRPr="00000000">
        <w:rPr/>
        <w:drawing>
          <wp:inline distB="0" distT="0" distL="0" distR="0">
            <wp:extent cx="3292855" cy="2328628"/>
            <wp:effectExtent b="0" l="0" r="0" t="0"/>
            <wp:docPr id="135" name="image9.png"/>
            <a:graphic>
              <a:graphicData uri="http://schemas.openxmlformats.org/drawingml/2006/picture">
                <pic:pic>
                  <pic:nvPicPr>
                    <pic:cNvPr id="0" name="image9.png"/>
                    <pic:cNvPicPr preferRelativeResize="0"/>
                  </pic:nvPicPr>
                  <pic:blipFill>
                    <a:blip r:embed="rId17"/>
                    <a:srcRect b="10775" l="29681" r="11645" t="15454"/>
                    <a:stretch>
                      <a:fillRect/>
                    </a:stretch>
                  </pic:blipFill>
                  <pic:spPr>
                    <a:xfrm>
                      <a:off x="0" y="0"/>
                      <a:ext cx="3292855" cy="2328628"/>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asume contar con la información, resulta conveniente citar el Marco Normativo que lo faculta para dotar de la información requerida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por ello es útil invocar al estudio lo establecido en el artículo 350 del Código Financiero del Estado de México y Municipios, en el que se establece la obligación a cargo de las entidades fiscalizables, - como lo es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 de comunicar al Órgano Superior de Fiscalización del Estado de México, todo lo relacionado con la información contable, presupuestal y financiera, en los términos siguientes:</w:t>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350.-</w:t>
      </w:r>
      <w:r w:rsidDel="00000000" w:rsidR="00000000" w:rsidRPr="00000000">
        <w:rPr>
          <w:rFonts w:ascii="Palatino Linotype" w:cs="Palatino Linotype" w:eastAsia="Palatino Linotype" w:hAnsi="Palatino Linotype"/>
          <w:i w:val="1"/>
          <w:sz w:val="22"/>
          <w:szCs w:val="22"/>
          <w:rtl w:val="0"/>
        </w:rPr>
        <w:t xml:space="preserve"> La Secretaría y </w:t>
      </w:r>
      <w:r w:rsidDel="00000000" w:rsidR="00000000" w:rsidRPr="00000000">
        <w:rPr>
          <w:rFonts w:ascii="Palatino Linotype" w:cs="Palatino Linotype" w:eastAsia="Palatino Linotype" w:hAnsi="Palatino Linotype"/>
          <w:b w:val="1"/>
          <w:i w:val="1"/>
          <w:sz w:val="22"/>
          <w:szCs w:val="22"/>
          <w:rtl w:val="0"/>
        </w:rPr>
        <w:t xml:space="preserve">las tesorerías</w:t>
      </w:r>
      <w:r w:rsidDel="00000000" w:rsidR="00000000" w:rsidRPr="00000000">
        <w:rPr>
          <w:rFonts w:ascii="Palatino Linotype" w:cs="Palatino Linotype" w:eastAsia="Palatino Linotype" w:hAnsi="Palatino Linotype"/>
          <w:i w:val="1"/>
          <w:sz w:val="22"/>
          <w:szCs w:val="22"/>
          <w:rtl w:val="0"/>
        </w:rPr>
        <w:t xml:space="preserve"> enviarán al Órgano Superior, de manera trimestral, dentro de los primeros veinte días hábiles posteriores al término del trimestre que se informa, para su análisis, la siguiente información:</w:t>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Patrimonial. </w:t>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Presupuestal. </w:t>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De la obra pública.</w:t>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De nómina.</w:t>
      </w:r>
    </w:p>
    <w:p w:rsidR="00000000" w:rsidDel="00000000" w:rsidP="00000000" w:rsidRDefault="00000000" w:rsidRPr="00000000" w14:paraId="0000018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Avance del cumplimiento del Plan de Desarrollo del Estado de México. </w:t>
      </w:r>
    </w:p>
    <w:p w:rsidR="00000000" w:rsidDel="00000000" w:rsidP="00000000" w:rsidRDefault="00000000" w:rsidRPr="00000000" w14:paraId="0000018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informes trimestrales deberán contener la evolución de las finanzas públicas integradas con los comentarios correspondientes y los estados financieros consolidados, así como un reporte de los ingresos y egresos de los organismos auxiliares.</w:t>
      </w:r>
    </w:p>
    <w:p w:rsidR="00000000" w:rsidDel="00000000" w:rsidP="00000000" w:rsidRDefault="00000000" w:rsidRPr="00000000" w14:paraId="0000018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El informe trimestral correspondiente al cuarto trimestre se entregará junto con las Cuentas Públicas del ejercicio fiscal de que se trate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del Trabajo de los Servidores Públicos del Estado y Municipios, en su artículo 220-K fracciones II y IV y último párrafo, establecen lo siguiente:</w:t>
      </w:r>
    </w:p>
    <w:p w:rsidR="00000000" w:rsidDel="00000000" w:rsidP="00000000" w:rsidRDefault="00000000" w:rsidRPr="00000000" w14:paraId="0000018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18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Recibos de pagos de salarios</w:t>
      </w:r>
      <w:r w:rsidDel="00000000" w:rsidR="00000000" w:rsidRPr="00000000">
        <w:rPr>
          <w:rFonts w:ascii="Palatino Linotype" w:cs="Palatino Linotype" w:eastAsia="Palatino Linotype" w:hAnsi="Palatino Linotype"/>
          <w:i w:val="1"/>
          <w:sz w:val="22"/>
          <w:szCs w:val="22"/>
          <w:rtl w:val="0"/>
        </w:rPr>
        <w:t xml:space="preserve"> o las constancias documentales del pago de salario cuando sea por depósito o mediante información electrónica;</w:t>
      </w:r>
    </w:p>
    <w:p w:rsidR="00000000" w:rsidDel="00000000" w:rsidP="00000000" w:rsidRDefault="00000000" w:rsidRPr="00000000" w14:paraId="0000018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p>
    <w:p w:rsidR="00000000" w:rsidDel="00000000" w:rsidP="00000000" w:rsidRDefault="00000000" w:rsidRPr="00000000" w14:paraId="0000018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00000" w:rsidDel="00000000" w:rsidP="00000000" w:rsidRDefault="00000000" w:rsidRPr="00000000" w14:paraId="0000018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00000" w:rsidDel="00000000" w:rsidP="00000000" w:rsidRDefault="00000000" w:rsidRPr="00000000" w14:paraId="0000019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000000" w:rsidDel="00000000" w:rsidP="00000000" w:rsidRDefault="00000000" w:rsidRPr="00000000" w14:paraId="000001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los recibos de nómina o comprobantes digitales por concepto de nómina tienen como objetivo presentar la información del pago de las remuneraciones de cada una de las personas servidoras públicas de la entidad fiscalizable de que se trate correspondiente a un periodo determinado.</w:t>
      </w:r>
    </w:p>
    <w:p w:rsidR="00000000" w:rsidDel="00000000" w:rsidP="00000000" w:rsidRDefault="00000000" w:rsidRPr="00000000" w14:paraId="0000019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conocer lo que debe contener la información correspondiente a la nómina, es necesario señalar que, al Órgano Superior de Fiscalización del Estado de México, le asiste la facultad de emitir los lineamientos para la integración del informe trimestral, en términos de la fracción XI del artículo 8 de la Ley de Fiscalización Superior del Estado de México, que es del tenor literal siguiente:</w:t>
      </w:r>
    </w:p>
    <w:p w:rsidR="00000000" w:rsidDel="00000000" w:rsidP="00000000" w:rsidRDefault="00000000" w:rsidRPr="00000000" w14:paraId="0000019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Órgano Superior</w:t>
      </w:r>
      <w:r w:rsidDel="00000000" w:rsidR="00000000" w:rsidRPr="00000000">
        <w:rPr>
          <w:rFonts w:ascii="Palatino Linotype" w:cs="Palatino Linotype" w:eastAsia="Palatino Linotype" w:hAnsi="Palatino Linotype"/>
          <w:i w:val="1"/>
          <w:sz w:val="22"/>
          <w:szCs w:val="22"/>
          <w:rtl w:val="0"/>
        </w:rPr>
        <w:t xml:space="preserve"> tendrá las siguientes atribuciones:</w:t>
      </w:r>
    </w:p>
    <w:p w:rsidR="00000000" w:rsidDel="00000000" w:rsidP="00000000" w:rsidRDefault="00000000" w:rsidRPr="00000000" w14:paraId="0000019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000000" w:rsidDel="00000000" w:rsidP="00000000" w:rsidRDefault="00000000" w:rsidRPr="00000000" w14:paraId="0000019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Estos lineamientos son de observancia general para las personas servidoras públicas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000000" w:rsidDel="00000000" w:rsidP="00000000" w:rsidRDefault="00000000" w:rsidRPr="00000000" w14:paraId="0000019E">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documental comprobatoria de los informes trimestrales presentados, debe conservarse en los archivos de la entidad fiscalizada – en este caso el Ayuntamiento de Nopaltepec - en original y debidamente integrada en términos de los lineamientos de referencia, pues son susceptibles de revisión directa por el Órgano Superior de Fiscalización del Estado de México.</w:t>
      </w:r>
    </w:p>
    <w:p w:rsidR="00000000" w:rsidDel="00000000" w:rsidP="00000000" w:rsidRDefault="00000000" w:rsidRPr="00000000" w14:paraId="000001A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1">
      <w:pPr>
        <w:spacing w:after="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Del="00000000" w:rsidR="00000000" w:rsidRPr="00000000">
        <w:rPr>
          <w:rFonts w:ascii="Palatino Linotype" w:cs="Palatino Linotype" w:eastAsia="Palatino Linotype" w:hAnsi="Palatino Linotype"/>
          <w:vertAlign w:val="superscript"/>
          <w:rtl w:val="0"/>
        </w:rPr>
        <w:t xml:space="preserve"> </w:t>
      </w:r>
      <w:hyperlink r:id="rId18">
        <w:r w:rsidDel="00000000" w:rsidR="00000000" w:rsidRPr="00000000">
          <w:rPr>
            <w:rFonts w:ascii="Palatino Linotype" w:cs="Palatino Linotype" w:eastAsia="Palatino Linotype" w:hAnsi="Palatino Linotype"/>
            <w:u w:val="single"/>
            <w:rtl w:val="0"/>
          </w:rPr>
          <w:t xml:space="preserve">https://www.osfem.gob.mx/04_Iconografia/Ent_Fisc/Doc_Apoy/Doc_Apoy.html</w:t>
        </w:r>
      </w:hyperlink>
      <w:r w:rsidDel="00000000" w:rsidR="00000000" w:rsidRPr="00000000">
        <w:rPr>
          <w:rFonts w:ascii="Palatino Linotype" w:cs="Palatino Linotype" w:eastAsia="Palatino Linotype" w:hAnsi="Palatino Linotype"/>
          <w:rtl w:val="0"/>
        </w:rPr>
        <w:t xml:space="preserve"> con la finalidad de definir los criterios, los formatos y la documentación necesaria para presentar los informes trimestrales, que deben ser entregados a través de cuatro módulos, que contienen la siguiente información:</w:t>
      </w:r>
    </w:p>
    <w:p w:rsidR="00000000" w:rsidDel="00000000" w:rsidP="00000000" w:rsidRDefault="00000000" w:rsidRPr="00000000" w14:paraId="000001A2">
      <w:pPr>
        <w:spacing w:after="8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3">
      <w:pPr>
        <w:spacing w:after="160" w:before="80"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0225" cy="2324100"/>
            <wp:effectExtent b="0" l="0" r="0" t="0"/>
            <wp:docPr id="13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6102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que con motivo de la nómina genera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se encuentra contenida en el Módulo 4 Información administrativa, Submódulo Nómina y Comprobantes Fiscales, como se muestra a continuación:</w:t>
      </w:r>
    </w:p>
    <w:p w:rsidR="00000000" w:rsidDel="00000000" w:rsidP="00000000" w:rsidRDefault="00000000" w:rsidRPr="00000000" w14:paraId="000001A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7">
      <w:pPr>
        <w:spacing w:after="160" w:before="240"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0225" cy="2495550"/>
            <wp:effectExtent b="0" l="0" r="0" t="0"/>
            <wp:docPr id="13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610225" cy="24955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1930400</wp:posOffset>
                </wp:positionV>
                <wp:extent cx="5591175" cy="733425"/>
                <wp:effectExtent b="0" l="0" r="0" t="0"/>
                <wp:wrapNone/>
                <wp:docPr id="127" name=""/>
                <a:graphic>
                  <a:graphicData uri="http://schemas.microsoft.com/office/word/2010/wordprocessingShape">
                    <wps:wsp>
                      <wps:cNvSpPr/>
                      <wps:cNvPr id="2" name="Shape 2"/>
                      <wps:spPr>
                        <a:xfrm>
                          <a:off x="2588513" y="3451388"/>
                          <a:ext cx="5514975" cy="65722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1930400</wp:posOffset>
                </wp:positionV>
                <wp:extent cx="5591175" cy="733425"/>
                <wp:effectExtent b="0" l="0" r="0" t="0"/>
                <wp:wrapNone/>
                <wp:docPr id="127"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5591175" cy="733425"/>
                        </a:xfrm>
                        <a:prstGeom prst="rect"/>
                        <a:ln/>
                      </pic:spPr>
                    </pic:pic>
                  </a:graphicData>
                </a:graphic>
              </wp:anchor>
            </w:drawing>
          </mc:Fallback>
        </mc:AlternateContent>
      </w:r>
    </w:p>
    <w:p w:rsidR="00000000" w:rsidDel="00000000" w:rsidP="00000000" w:rsidRDefault="00000000" w:rsidRPr="00000000" w14:paraId="000001A8">
      <w:pPr>
        <w:spacing w:after="360" w:before="240" w:line="360" w:lineRule="auto"/>
        <w:jc w:val="center"/>
        <w:rPr>
          <w:rFonts w:ascii="Palatino Linotype" w:cs="Palatino Linotype" w:eastAsia="Palatino Linotype" w:hAnsi="Palatino Linotype"/>
        </w:rPr>
      </w:pPr>
      <w:r w:rsidDel="00000000" w:rsidR="00000000" w:rsidRPr="00000000">
        <w:rPr>
          <w:rFonts w:ascii="Calibri" w:cs="Calibri" w:eastAsia="Calibri" w:hAnsi="Calibri"/>
          <w:sz w:val="22"/>
          <w:szCs w:val="22"/>
        </w:rPr>
        <w:drawing>
          <wp:inline distB="0" distT="0" distL="0" distR="0">
            <wp:extent cx="3095826" cy="3762619"/>
            <wp:effectExtent b="0" l="0" r="0" t="0"/>
            <wp:docPr descr="Interfaz de usuario gráfica&#10;&#10;Descripción generada automáticamente" id="139" name="image4.png"/>
            <a:graphic>
              <a:graphicData uri="http://schemas.openxmlformats.org/drawingml/2006/picture">
                <pic:pic>
                  <pic:nvPicPr>
                    <pic:cNvPr descr="Interfaz de usuario gráfica&#10;&#10;Descripción generada automáticamente" id="0" name="image4.png"/>
                    <pic:cNvPicPr preferRelativeResize="0"/>
                  </pic:nvPicPr>
                  <pic:blipFill>
                    <a:blip r:embed="rId22"/>
                    <a:srcRect b="13095" l="34623" r="36354" t="19010"/>
                    <a:stretch>
                      <a:fillRect/>
                    </a:stretch>
                  </pic:blipFill>
                  <pic:spPr>
                    <a:xfrm>
                      <a:off x="0" y="0"/>
                      <a:ext cx="3095826" cy="3762619"/>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estas condiciones, resulta claro que la información de mérito es generada en ejercicio de las atribuciones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acuerdo a lo dispuesto por los artículos cuatro, segundo párrafo y doce, segundo párrafo de la Ley de Transparencia y Acceso a la Información Pública del Estado de México y Municipios; consecuentemente debe obrar en sus archivos de conformidad a lo que señala el artículo diecinueve de la multicitada ley que establece que debe presumirse la existencia de la información, si se refiere a las facultades, competencias y funciones que los ordenamientos jurídicos aplicables otorgan a los Sujetos Obligados.</w:t>
      </w:r>
    </w:p>
    <w:p w:rsidR="00000000" w:rsidDel="00000000" w:rsidP="00000000" w:rsidRDefault="00000000" w:rsidRPr="00000000" w14:paraId="000001A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siete y veintitrés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00000" w:rsidDel="00000000" w:rsidP="00000000" w:rsidRDefault="00000000" w:rsidRPr="00000000" w14:paraId="000001A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000000" w:rsidDel="00000000" w:rsidP="00000000" w:rsidRDefault="00000000" w:rsidRPr="00000000" w14:paraId="000001A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23. Son sujetos obligados a transparentar y permitir el acceso a su información y proteger los datos personales que obren en su poder:</w:t>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1B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deberán transparentar sus acciones así como garantizar y respetar el derecho de acceso a la información pública.</w:t>
      </w:r>
    </w:p>
    <w:p w:rsidR="00000000" w:rsidDel="00000000" w:rsidP="00000000" w:rsidRDefault="00000000" w:rsidRPr="00000000" w14:paraId="000001B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5">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rtl w:val="0"/>
        </w:rPr>
        <w:t xml:space="preserve">01/2003</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02/2003</w:t>
      </w:r>
      <w:r w:rsidDel="00000000" w:rsidR="00000000" w:rsidRPr="00000000">
        <w:rPr>
          <w:rFonts w:ascii="Palatino Linotype" w:cs="Palatino Linotype" w:eastAsia="Palatino Linotype" w:hAnsi="Palatino Linotype"/>
          <w:rtl w:val="0"/>
        </w:rPr>
        <w:t xml:space="preserve">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1B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01/2003.</w:t>
      </w:r>
    </w:p>
    <w:p w:rsidR="00000000" w:rsidDel="00000000" w:rsidP="00000000" w:rsidRDefault="00000000" w:rsidRPr="00000000" w14:paraId="000001B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B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sz w:val="22"/>
          <w:szCs w:val="22"/>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000000" w:rsidDel="00000000" w:rsidP="00000000" w:rsidRDefault="00000000" w:rsidRPr="00000000" w14:paraId="000001B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p>
    <w:p w:rsidR="00000000" w:rsidDel="00000000" w:rsidP="00000000" w:rsidRDefault="00000000" w:rsidRPr="00000000" w14:paraId="000001B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sz w:val="22"/>
          <w:szCs w:val="22"/>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sz w:val="22"/>
          <w:szCs w:val="22"/>
          <w:rtl w:val="0"/>
        </w:rPr>
        <w:t xml:space="preserve"> el sistema de compensación…</w:t>
      </w:r>
    </w:p>
    <w:p w:rsidR="00000000" w:rsidDel="00000000" w:rsidP="00000000" w:rsidRDefault="00000000" w:rsidRPr="00000000" w14:paraId="000001B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dicho en párrafos anteriores, este Instituto estima procedente ordenar la entrega de la documentación, que dé constancia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de la nómina generada en la segunda quincena de agosto y la primera quincena de septiembre de dos mil veintidós del Presidente Municipal, el Síndico, los siete regidores, y de las Personas Titulares de la Coordinación General Municipal de Mejora Regulatoria, Coordinación de Transparencia y Acceso a la Información, Coordinación de Información, Programación, Planeación, y Evaluación, Coordinación de Asesores, Coordinación de Enlace Interinstitucional, Coordinación de Eventos Especiales, Coordinación de Reglamentación Municipal, Coordinación de Enlace Municipal con la Secretaría de Relaciones Exteriores, Coordinación de Comunicación Social, Coordinación de Vinculación y Participación Ciudadana, Coordinación de Seguimiento a Comisiones Edilicias, Coordinación de Estudio y Cuenta Edilicia, Coordinación de Ingresos, Coordinación de Contabilidad y Cuenta Pública, Coordinación de Catastro e Impuesto Predial, Coordinación de Egresos, Dirección de Obras Públicas, Coordinación Administrativa, Coordinación Operativa, Coordinación de Proyectos, Dirección de Desarrollo Económico, Coordinación de Desarrollo Económico y Empleo, Dirección de Desarrollo Urbano, Coordinación de Movilidad y Transporte, Coordinación de enlace con el Instituto Mexiquense de la Vivienda Social (IMEVIS),Coordinación Jurídica, Dirección de Ecología, Coordinación de Preservación del Medio Ambiente, Dirección de Desarrollo Social, Coordinación de Salud, Coordinación de Fortalecimiento a Grupos Vulnerables, Coordinación de Seguimiento a Programas Sociales, Dirección de Seguridad Pública, Coordinación de Protección Civil, Coordinación de Tránsito y Vialidad, Coordinación de Prevención del Delito, Coordinación del Escritorio Público de la Policía, Dirección de Servicios Públicos, Coordinación de Alumbrado Público, Coordinación de Parques, Jardines y Panteones, Coordinación de Limpia turnos A y B, Dirección de Educación, Coordinación de Cultura, Coordinación de Enlace con Instituciones Educativas, Dirección de Desarrollo Agropecuario, Coordinación de Programas, Dirección de Administración, Coordinación de Recursos Humanos, Coordinación de Recursos Materiales, Coordinador de Parque Vehicular, Dirección de Gobernación, Coordinación Jurídica, Coordinación Operativa, Coordinación Administrativa, Coordinación de Verificación, Dirección de Turismo, Coordinación de Turismo, Coordinación de Fomento Artesanal, y la Coordinación de Auditoría, Control y Evaluación; atendiendo al Considerando Quinto de la presente resolución </w:t>
      </w:r>
    </w:p>
    <w:p w:rsidR="00000000" w:rsidDel="00000000" w:rsidP="00000000" w:rsidRDefault="00000000" w:rsidRPr="00000000" w14:paraId="000001C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2">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Como fue debidamente apuntado,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1C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C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C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artículos 3, fracciones IX, XX, XXI, XXXII, XLV; 6, 91, 137, 143 fracción I, de la Ley de Transparencia y Acceso a la Información Pública del Estado de México y Municipios vigente establecen:</w:t>
      </w:r>
    </w:p>
    <w:p w:rsidR="00000000" w:rsidDel="00000000" w:rsidP="00000000" w:rsidRDefault="00000000" w:rsidRPr="00000000" w14:paraId="000001C8">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9">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CA">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CB">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1CC">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CD">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CE">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CF">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0">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D1">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2">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D3">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D4">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D5">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D6">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7">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D8">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D9">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DA">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B">
      <w:pPr>
        <w:spacing w:line="360" w:lineRule="auto"/>
        <w:ind w:right="5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C">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DD">
      <w:pPr>
        <w:spacing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DF">
      <w:pPr>
        <w:spacing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los </w:t>
      </w:r>
      <w:r w:rsidDel="00000000" w:rsidR="00000000" w:rsidRPr="00000000">
        <w:rPr>
          <w:rFonts w:ascii="Palatino Linotype" w:cs="Palatino Linotype" w:eastAsia="Palatino Linotype" w:hAnsi="Palatino Linotype"/>
          <w:b w:val="1"/>
          <w:rtl w:val="0"/>
        </w:rPr>
        <w:t xml:space="preserve">números de cuentas bancarias</w:t>
      </w:r>
      <w:r w:rsidDel="00000000" w:rsidR="00000000" w:rsidRPr="00000000">
        <w:rPr>
          <w:rFonts w:ascii="Palatino Linotype" w:cs="Palatino Linotype" w:eastAsia="Palatino Linotype" w:hAnsi="Palatino Linotype"/>
          <w:rtl w:val="0"/>
        </w:rPr>
        <w:t xml:space="preserve">, claves estandarizadas – interbancarias - (CLABES) y de tarjetas, los </w:t>
      </w:r>
      <w:r w:rsidDel="00000000" w:rsidR="00000000" w:rsidRPr="00000000">
        <w:rPr>
          <w:rFonts w:ascii="Palatino Linotype" w:cs="Palatino Linotype" w:eastAsia="Palatino Linotype" w:hAnsi="Palatino Linotype"/>
          <w:b w:val="1"/>
          <w:rtl w:val="0"/>
        </w:rPr>
        <w:t xml:space="preserve">préstamos o descuentos</w:t>
      </w:r>
      <w:r w:rsidDel="00000000" w:rsidR="00000000" w:rsidRPr="00000000">
        <w:rPr>
          <w:rFonts w:ascii="Palatino Linotype" w:cs="Palatino Linotype" w:eastAsia="Palatino Linotype" w:hAnsi="Palatino Linotype"/>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rtl w:val="0"/>
        </w:rPr>
        <w:t xml:space="preserve"> número de empleado, </w:t>
      </w:r>
      <w:r w:rsidDel="00000000" w:rsidR="00000000" w:rsidRPr="00000000">
        <w:rPr>
          <w:rFonts w:ascii="Palatino Linotype" w:cs="Palatino Linotype" w:eastAsia="Palatino Linotype" w:hAnsi="Palatino Linotype"/>
          <w:rtl w:val="0"/>
        </w:rPr>
        <w:t xml:space="preserve">así como de ser el caso, el </w:t>
      </w:r>
      <w:r w:rsidDel="00000000" w:rsidR="00000000" w:rsidRPr="00000000">
        <w:rPr>
          <w:rFonts w:ascii="Palatino Linotype" w:cs="Palatino Linotype" w:eastAsia="Palatino Linotype" w:hAnsi="Palatino Linotype"/>
          <w:b w:val="1"/>
          <w:rtl w:val="0"/>
        </w:rPr>
        <w:t xml:space="preserve">folio fiscal</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cadena original, </w:t>
      </w:r>
      <w:r w:rsidDel="00000000" w:rsidR="00000000" w:rsidRPr="00000000">
        <w:rPr>
          <w:rFonts w:ascii="Palatino Linotype" w:cs="Palatino Linotype" w:eastAsia="Palatino Linotype" w:hAnsi="Palatino Linotype"/>
          <w:rtl w:val="0"/>
        </w:rPr>
        <w:t xml:space="preserve">los</w:t>
      </w:r>
      <w:r w:rsidDel="00000000" w:rsidR="00000000" w:rsidRPr="00000000">
        <w:rPr>
          <w:rFonts w:ascii="Palatino Linotype" w:cs="Palatino Linotype" w:eastAsia="Palatino Linotype" w:hAnsi="Palatino Linotype"/>
          <w:b w:val="1"/>
          <w:rtl w:val="0"/>
        </w:rPr>
        <w:t xml:space="preserve"> códigos bidimensionales o códigos QR,</w:t>
      </w:r>
      <w:r w:rsidDel="00000000" w:rsidR="00000000" w:rsidRPr="00000000">
        <w:rPr>
          <w:rFonts w:ascii="Palatino Linotype" w:cs="Palatino Linotype" w:eastAsia="Palatino Linotype" w:hAnsi="Palatino Linotype"/>
          <w:rtl w:val="0"/>
        </w:rPr>
        <w:t xml:space="preserve"> y cualquier información de carácter fiscal, bajo las siguientes consideraciones. </w:t>
      </w:r>
    </w:p>
    <w:p w:rsidR="00000000" w:rsidDel="00000000" w:rsidP="00000000" w:rsidRDefault="00000000" w:rsidRPr="00000000" w14:paraId="000001E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E3">
      <w:pPr>
        <w:spacing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E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E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Personales, INAI, a través del Criterio 19/17, el cual es del tenor literal siguiente:</w:t>
      </w:r>
    </w:p>
    <w:p w:rsidR="00000000" w:rsidDel="00000000" w:rsidP="00000000" w:rsidRDefault="00000000" w:rsidRPr="00000000" w14:paraId="000001E8">
      <w:pPr>
        <w:spacing w:line="259" w:lineRule="auto"/>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9">
      <w:pPr>
        <w:spacing w:line="259" w:lineRule="auto"/>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EA">
      <w:pPr>
        <w:spacing w:line="259" w:lineRule="auto"/>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Personales, INAI, conforme al criterio 18/17, el cual refiere:</w:t>
      </w:r>
    </w:p>
    <w:p w:rsidR="00000000" w:rsidDel="00000000" w:rsidP="00000000" w:rsidRDefault="00000000" w:rsidRPr="00000000" w14:paraId="000001EF">
      <w:pPr>
        <w:spacing w:line="259" w:lineRule="auto"/>
        <w:ind w:left="864" w:right="864" w:firstLine="0"/>
        <w:jc w:val="both"/>
        <w:rPr>
          <w:rFonts w:ascii="Palatino Linotype" w:cs="Palatino Linotype" w:eastAsia="Palatino Linotype" w:hAnsi="Palatino Linotype"/>
          <w:i w:val="1"/>
          <w:sz w:val="22"/>
          <w:szCs w:val="22"/>
        </w:rPr>
      </w:pPr>
      <w:r w:rsidDel="00000000" w:rsidR="00000000" w:rsidRPr="00000000">
        <w:rPr>
          <w:rFonts w:ascii="Calibri" w:cs="Calibri" w:eastAsia="Calibri" w:hAnsi="Calibri"/>
          <w:i w:val="1"/>
          <w:sz w:val="22"/>
          <w:szCs w:val="22"/>
          <w:rtl w:val="0"/>
        </w:rPr>
        <w:t xml:space="preserve"> </w:t>
      </w:r>
      <w:r w:rsidDel="00000000" w:rsidR="00000000" w:rsidRPr="00000000">
        <w:rPr>
          <w:rtl w:val="0"/>
        </w:rPr>
      </w:r>
    </w:p>
    <w:p w:rsidR="00000000" w:rsidDel="00000000" w:rsidP="00000000" w:rsidRDefault="00000000" w:rsidRPr="00000000" w14:paraId="000001F0">
      <w:pPr>
        <w:spacing w:line="259" w:lineRule="auto"/>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F1">
      <w:pPr>
        <w:spacing w:line="259" w:lineRule="auto"/>
        <w:ind w:right="864"/>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1F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000000" w:rsidDel="00000000" w:rsidP="00000000" w:rsidRDefault="00000000" w:rsidRPr="00000000" w14:paraId="000001F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1F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1F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F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argumentado encuentra sustento en los criterios 10/17 y 11/17 emitidos por el Instituto Nacional de Transparencia, Acceso a la Información y Protección de Datos Personales, INAI, que llevan por rubro y texto los siguientes:</w:t>
      </w:r>
    </w:p>
    <w:p w:rsidR="00000000" w:rsidDel="00000000" w:rsidP="00000000" w:rsidRDefault="00000000" w:rsidRPr="00000000" w14:paraId="000001FE">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F">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200">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01">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202">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w:t>
      </w:r>
      <w:r w:rsidDel="00000000" w:rsidR="00000000" w:rsidRPr="00000000">
        <w:rPr>
          <w:rFonts w:ascii="Palatino Linotype" w:cs="Palatino Linotype" w:eastAsia="Palatino Linotype" w:hAnsi="Palatino Linotype"/>
          <w:b w:val="1"/>
          <w:rtl w:val="0"/>
        </w:rPr>
        <w:t xml:space="preserve">préstamos o descuentos de carácter personal</w:t>
      </w:r>
      <w:r w:rsidDel="00000000" w:rsidR="00000000" w:rsidRPr="00000000">
        <w:rPr>
          <w:rFonts w:ascii="Palatino Linotype" w:cs="Palatino Linotype" w:eastAsia="Palatino Linotype" w:hAnsi="Palatino Linotype"/>
          <w:rtl w:val="0"/>
        </w:rPr>
        <w:t xml:space="preserve">, en virtud de no tener relación con la prestación del servicio y al no involucrar instituciones públicas, se consideran datos confidenciales.</w:t>
      </w:r>
    </w:p>
    <w:p w:rsidR="00000000" w:rsidDel="00000000" w:rsidP="00000000" w:rsidRDefault="00000000" w:rsidRPr="00000000" w14:paraId="000002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206">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07">
      <w:pP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208">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209">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20A">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20B">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20C">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20D">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20E">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20F">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210">
      <w:pP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211">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00000" w:rsidDel="00000000" w:rsidP="00000000" w:rsidRDefault="00000000" w:rsidRPr="00000000" w14:paraId="00000212">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21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relación al </w:t>
      </w:r>
      <w:r w:rsidDel="00000000" w:rsidR="00000000" w:rsidRPr="00000000">
        <w:rPr>
          <w:rFonts w:ascii="Palatino Linotype" w:cs="Palatino Linotype" w:eastAsia="Palatino Linotype" w:hAnsi="Palatino Linotype"/>
          <w:b w:val="1"/>
          <w:rtl w:val="0"/>
        </w:rPr>
        <w:t xml:space="preserve">número de empleado</w:t>
      </w:r>
      <w:r w:rsidDel="00000000" w:rsidR="00000000" w:rsidRPr="00000000">
        <w:rPr>
          <w:rFonts w:ascii="Palatino Linotype" w:cs="Palatino Linotype" w:eastAsia="Palatino Linotype" w:hAnsi="Palatino Linotype"/>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rsidR="00000000" w:rsidDel="00000000" w:rsidP="00000000" w:rsidRDefault="00000000" w:rsidRPr="00000000" w14:paraId="0000021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000000" w:rsidDel="00000000" w:rsidP="00000000" w:rsidRDefault="00000000" w:rsidRPr="00000000" w14:paraId="00000217">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8">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Número de empleado. </w:t>
      </w:r>
      <w:r w:rsidDel="00000000" w:rsidR="00000000" w:rsidRPr="00000000">
        <w:rPr>
          <w:rFonts w:ascii="Palatino Linotype" w:cs="Palatino Linotype" w:eastAsia="Palatino Linotype" w:hAnsi="Palatino Linotype"/>
          <w:i w:val="1"/>
          <w:sz w:val="22"/>
          <w:szCs w:val="22"/>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219">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21B">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1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 la información fiscal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21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rtl w:val="0"/>
        </w:rPr>
        <w:t xml:space="preserve">Cadena Original</w:t>
      </w:r>
      <w:r w:rsidDel="00000000" w:rsidR="00000000" w:rsidRPr="00000000">
        <w:rPr>
          <w:rFonts w:ascii="Palatino Linotype" w:cs="Palatino Linotype" w:eastAsia="Palatino Linotype" w:hAnsi="Palatino Linotype"/>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21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w:t>
      </w:r>
      <w:r w:rsidDel="00000000" w:rsidR="00000000" w:rsidRPr="00000000">
        <w:rPr>
          <w:rFonts w:ascii="Palatino Linotype" w:cs="Palatino Linotype" w:eastAsia="Palatino Linotype" w:hAnsi="Palatino Linotype"/>
          <w:b w:val="1"/>
          <w:rtl w:val="0"/>
        </w:rPr>
        <w:t xml:space="preserve">códigos bidimensionales</w:t>
      </w:r>
      <w:r w:rsidDel="00000000" w:rsidR="00000000" w:rsidRPr="00000000">
        <w:rPr>
          <w:rFonts w:ascii="Palatino Linotype" w:cs="Palatino Linotype" w:eastAsia="Palatino Linotype" w:hAnsi="Palatino Linotype"/>
          <w:rtl w:val="0"/>
        </w:rPr>
        <w:t xml:space="preserve"> o </w:t>
      </w:r>
      <w:r w:rsidDel="00000000" w:rsidR="00000000" w:rsidRPr="00000000">
        <w:rPr>
          <w:rFonts w:ascii="Palatino Linotype" w:cs="Palatino Linotype" w:eastAsia="Palatino Linotype" w:hAnsi="Palatino Linotype"/>
          <w:b w:val="1"/>
          <w:rtl w:val="0"/>
        </w:rPr>
        <w:t xml:space="preserve">códigos QR, </w:t>
      </w:r>
      <w:r w:rsidDel="00000000" w:rsidR="00000000" w:rsidRPr="00000000">
        <w:rPr>
          <w:rFonts w:ascii="Palatino Linotype" w:cs="Palatino Linotype" w:eastAsia="Palatino Linotype" w:hAnsi="Palatino Linotype"/>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analizar dicha circunstancia con la finalidad de determinar si se actualiza algún supuesto de confidencialidad.</w:t>
      </w:r>
    </w:p>
    <w:p w:rsidR="00000000" w:rsidDel="00000000" w:rsidP="00000000" w:rsidRDefault="00000000" w:rsidRPr="00000000" w14:paraId="0000022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si derivado del análisis efectuado por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222">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3">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u w:val="single"/>
          <w:rtl w:val="0"/>
        </w:rPr>
        <w:t xml:space="preserve">razones, motivos o circunstancias especiales</w:t>
      </w:r>
      <w:r w:rsidDel="00000000" w:rsidR="00000000" w:rsidRPr="00000000">
        <w:rPr>
          <w:rFonts w:ascii="Palatino Linotype" w:cs="Palatino Linotype" w:eastAsia="Palatino Linotype" w:hAnsi="Palatino Linotype"/>
          <w:rtl w:val="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00000" w:rsidDel="00000000" w:rsidP="00000000" w:rsidRDefault="00000000" w:rsidRPr="00000000" w14:paraId="00000224">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5">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226">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7">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49. Los Comités de Transparencia tendrán las siguientes atribuciones:</w:t>
      </w:r>
    </w:p>
    <w:p w:rsidR="00000000" w:rsidDel="00000000" w:rsidP="00000000" w:rsidRDefault="00000000" w:rsidRPr="00000000" w14:paraId="00000228">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29">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Aprobar, modificar o revocar la clasificación de la información;</w:t>
      </w:r>
    </w:p>
    <w:p w:rsidR="00000000" w:rsidDel="00000000" w:rsidP="00000000" w:rsidRDefault="00000000" w:rsidRPr="00000000" w14:paraId="0000022A">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2B">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C">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53. Las Unidades de Transparencia tendrán las siguientes funciones:</w:t>
      </w:r>
    </w:p>
    <w:p w:rsidR="00000000" w:rsidDel="00000000" w:rsidP="00000000" w:rsidRDefault="00000000" w:rsidRPr="00000000" w14:paraId="0000022D">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2E">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Presentar ante el Comité, el proyecto de clasificación de información…</w:t>
      </w:r>
    </w:p>
    <w:p w:rsidR="00000000" w:rsidDel="00000000" w:rsidP="00000000" w:rsidRDefault="00000000" w:rsidRPr="00000000" w14:paraId="0000022F">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0">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1">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59. Los servidores públicos habilitados tendrán las funciones siguientes:</w:t>
      </w:r>
    </w:p>
    <w:p w:rsidR="00000000" w:rsidDel="00000000" w:rsidP="00000000" w:rsidRDefault="00000000" w:rsidRPr="00000000" w14:paraId="00000232">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3">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234">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5">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2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239">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A">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149. El acuerdo que clasifique la información como confidencial deberá contener un razonamiento lógico en el que demuestre que la información se encuentra en alguna o algunas de las hipótesis previstas en la presente Ley.</w:t>
      </w:r>
    </w:p>
    <w:p w:rsidR="00000000" w:rsidDel="00000000" w:rsidP="00000000" w:rsidRDefault="00000000" w:rsidRPr="00000000" w14:paraId="0000023B">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C">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23D">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E">
      <w:pPr>
        <w:spacing w:line="360" w:lineRule="auto"/>
        <w:ind w:right="49"/>
        <w:jc w:val="both"/>
        <w:rPr>
          <w:rFonts w:ascii="Palatino Linotype" w:cs="Palatino Linotype" w:eastAsia="Palatino Linotype" w:hAnsi="Palatino Linotype"/>
        </w:rPr>
      </w:pPr>
      <w:bookmarkStart w:colFirst="0" w:colLast="0" w:name="_heading=h.3dy6vkm" w:id="6"/>
      <w:bookmarkEnd w:id="6"/>
      <w:r w:rsidDel="00000000" w:rsidR="00000000" w:rsidRPr="00000000">
        <w:rPr>
          <w:rFonts w:ascii="Palatino Linotype" w:cs="Palatino Linotype" w:eastAsia="Palatino Linotype" w:hAnsi="Palatino Linotype"/>
          <w:rtl w:val="0"/>
        </w:rPr>
        <w:t xml:space="preserve">Por último, respecto a la versión pública de los documentos que contenga la información solicitada, cabe señalar que el Comité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23F">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40">
      <w:pPr>
        <w:ind w:left="864" w:right="864" w:firstLine="0"/>
        <w:jc w:val="both"/>
        <w:rPr>
          <w:rFonts w:ascii="Palatino Linotype" w:cs="Palatino Linotype" w:eastAsia="Palatino Linotype" w:hAnsi="Palatino Linotype"/>
          <w:b w:val="1"/>
          <w:i w:val="1"/>
          <w:sz w:val="22"/>
          <w:szCs w:val="22"/>
        </w:rPr>
      </w:pPr>
      <w:bookmarkStart w:colFirst="0" w:colLast="0" w:name="_heading=h.1t3h5sf" w:id="7"/>
      <w:bookmarkEnd w:id="7"/>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clasificación de la información se llevará a cabo en el momento en que:</w:t>
      </w:r>
    </w:p>
    <w:p w:rsidR="00000000" w:rsidDel="00000000" w:rsidP="00000000" w:rsidRDefault="00000000" w:rsidRPr="00000000" w14:paraId="00000241">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2">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243">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4">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45">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p>
    <w:p w:rsidR="00000000" w:rsidDel="00000000" w:rsidP="00000000" w:rsidRDefault="00000000" w:rsidRPr="00000000" w14:paraId="00000246">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7">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p>
    <w:p w:rsidR="00000000" w:rsidDel="00000000" w:rsidP="00000000" w:rsidRDefault="00000000" w:rsidRPr="00000000" w14:paraId="00000248">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9">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4A">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Para clasificar la información como</w:t>
      </w:r>
      <w:r w:rsidDel="00000000" w:rsidR="00000000" w:rsidRPr="00000000">
        <w:rPr>
          <w:rFonts w:ascii="Palatino Linotype" w:cs="Palatino Linotype" w:eastAsia="Palatino Linotype" w:hAnsi="Palatino Linotype"/>
          <w:i w:val="1"/>
          <w:sz w:val="22"/>
          <w:szCs w:val="22"/>
          <w:rtl w:val="0"/>
        </w:rPr>
        <w:t xml:space="preserve"> reservada o </w:t>
      </w:r>
      <w:r w:rsidDel="00000000" w:rsidR="00000000" w:rsidRPr="00000000">
        <w:rPr>
          <w:rFonts w:ascii="Palatino Linotype" w:cs="Palatino Linotype" w:eastAsia="Palatino Linotype" w:hAnsi="Palatino Linotype"/>
          <w:b w:val="1"/>
          <w:i w:val="1"/>
          <w:sz w:val="22"/>
          <w:szCs w:val="22"/>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24B">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24C">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4D">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24E">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24F">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250">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1">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252">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253">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254">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255">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256">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7">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258">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259">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25A">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25B">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25C">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D">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25E">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F">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260">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261">
      <w:pPr>
        <w:ind w:left="864" w:right="864"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62">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263">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64">
      <w:pPr>
        <w:spacing w:line="360" w:lineRule="auto"/>
        <w:jc w:val="both"/>
        <w:rPr>
          <w:rFonts w:ascii="Palatino Linotype" w:cs="Palatino Linotype" w:eastAsia="Palatino Linotype" w:hAnsi="Palatino Linotype"/>
        </w:rPr>
      </w:pPr>
      <w:bookmarkStart w:colFirst="0" w:colLast="0" w:name="_heading=h.4d34og8" w:id="8"/>
      <w:bookmarkEnd w:id="8"/>
      <w:r w:rsidDel="00000000" w:rsidR="00000000" w:rsidRPr="00000000">
        <w:rPr>
          <w:rFonts w:ascii="Palatino Linotype" w:cs="Palatino Linotype" w:eastAsia="Palatino Linotype" w:hAnsi="Palatino Linotype"/>
          <w:rtl w:val="0"/>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rsidR="00000000" w:rsidDel="00000000" w:rsidP="00000000" w:rsidRDefault="00000000" w:rsidRPr="00000000" w14:paraId="00000265">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66">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w:t>
      </w:r>
    </w:p>
    <w:p w:rsidR="00000000" w:rsidDel="00000000" w:rsidP="00000000" w:rsidRDefault="00000000" w:rsidRPr="00000000" w14:paraId="00000267">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 LEYENDA DE CLASIFICACIÓN</w:t>
      </w:r>
    </w:p>
    <w:p w:rsidR="00000000" w:rsidDel="00000000" w:rsidP="00000000" w:rsidRDefault="00000000" w:rsidRPr="00000000" w14:paraId="00000268">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9">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tercero. </w:t>
      </w:r>
      <w:r w:rsidDel="00000000" w:rsidR="00000000" w:rsidRPr="00000000">
        <w:rPr>
          <w:rFonts w:ascii="Palatino Linotype" w:cs="Palatino Linotype" w:eastAsia="Palatino Linotype" w:hAnsi="Palatino Linotype"/>
          <w:i w:val="1"/>
          <w:sz w:val="22"/>
          <w:szCs w:val="22"/>
          <w:u w:val="single"/>
          <w:rtl w:val="0"/>
        </w:rPr>
        <w:t xml:space="preserve">El formato para señalar la clasificación parcial de un documento</w:t>
      </w:r>
      <w:r w:rsidDel="00000000" w:rsidR="00000000" w:rsidRPr="00000000">
        <w:rPr>
          <w:rFonts w:ascii="Palatino Linotype" w:cs="Palatino Linotype" w:eastAsia="Palatino Linotype" w:hAnsi="Palatino Linotype"/>
          <w:i w:val="1"/>
          <w:sz w:val="22"/>
          <w:szCs w:val="22"/>
          <w:rtl w:val="0"/>
        </w:rPr>
        <w:t xml:space="preserve">, es el siguiente:</w:t>
      </w:r>
    </w:p>
    <w:p w:rsidR="00000000" w:rsidDel="00000000" w:rsidP="00000000" w:rsidRDefault="00000000" w:rsidRPr="00000000" w14:paraId="0000026A">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B">
      <w:pP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6C">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Los documentos que integren un expediente reservado o confidencial en su totalidad no deberán marcarse en lo individual.</w:t>
      </w:r>
    </w:p>
    <w:p w:rsidR="00000000" w:rsidDel="00000000" w:rsidP="00000000" w:rsidRDefault="00000000" w:rsidRPr="00000000" w14:paraId="0000026D">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o confidenciales, deberán ser marcados.</w:t>
      </w:r>
    </w:p>
    <w:p w:rsidR="00000000" w:rsidDel="00000000" w:rsidP="00000000" w:rsidRDefault="00000000" w:rsidRPr="00000000" w14:paraId="0000026E">
      <w:pP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formato para señalar la clasificación de expedientes que por su naturaleza sean en su totalidad reservados o confidenciales, es el siguiente:</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26F">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271">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273">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274">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275">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276">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277">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27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27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27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27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27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28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28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28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28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28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28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28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28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28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28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28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28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28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28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28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28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29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29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29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29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29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29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29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29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29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29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29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29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29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29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29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29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2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2A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2A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2A3">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2A4">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2A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2A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2A7">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2A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2A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2A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2AB">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A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devienen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siendo procedente </w:t>
      </w:r>
      <w:r w:rsidDel="00000000" w:rsidR="00000000" w:rsidRPr="00000000">
        <w:rPr>
          <w:rFonts w:ascii="Palatino Linotype" w:cs="Palatino Linotype" w:eastAsia="Palatino Linotype" w:hAnsi="Palatino Linotype"/>
          <w:b w:val="1"/>
          <w:rtl w:val="0"/>
        </w:rPr>
        <w:t xml:space="preserve">REVOCAR</w:t>
      </w:r>
      <w:r w:rsidDel="00000000" w:rsidR="00000000" w:rsidRPr="00000000">
        <w:rPr>
          <w:rFonts w:ascii="Palatino Linotype" w:cs="Palatino Linotype" w:eastAsia="Palatino Linotype" w:hAnsi="Palatino Linotype"/>
          <w:rtl w:val="0"/>
        </w:rPr>
        <w:t xml:space="preserve"> la respuesta y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entrega de la información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0">
      <w:pPr>
        <w:numPr>
          <w:ilvl w:val="0"/>
          <w:numId w:val="3"/>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 </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B2">
      <w:pPr>
        <w:spacing w:line="360" w:lineRule="auto"/>
        <w:jc w:val="both"/>
        <w:rPr>
          <w:rFonts w:ascii="Palatino Linotype" w:cs="Palatino Linotype" w:eastAsia="Palatino Linotype" w:hAnsi="Palatino Linotype"/>
          <w:b w:val="1"/>
        </w:rPr>
      </w:pPr>
      <w:bookmarkStart w:colFirst="0" w:colLast="0" w:name="_heading=h.3rdcrjn" w:id="9"/>
      <w:bookmarkEnd w:id="9"/>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15614/INFOEM/IP/RR/2022</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a la solicitud </w:t>
      </w:r>
      <w:r w:rsidDel="00000000" w:rsidR="00000000" w:rsidRPr="00000000">
        <w:rPr>
          <w:rFonts w:ascii="Palatino Linotype" w:cs="Palatino Linotype" w:eastAsia="Palatino Linotype" w:hAnsi="Palatino Linotype"/>
          <w:b w:val="1"/>
          <w:rtl w:val="0"/>
        </w:rPr>
        <w:t xml:space="preserve">00529/TENANCIN/IP/2022,</w:t>
      </w:r>
      <w:r w:rsidDel="00000000" w:rsidR="00000000" w:rsidRPr="00000000">
        <w:rPr>
          <w:rFonts w:ascii="Palatino Linotype" w:cs="Palatino Linotype" w:eastAsia="Palatino Linotype" w:hAnsi="Palatino Linotype"/>
          <w:rtl w:val="0"/>
        </w:rPr>
        <w:t xml:space="preserve"> emitida por </w:t>
      </w:r>
      <w:r w:rsidDel="00000000" w:rsidR="00000000" w:rsidRPr="00000000">
        <w:rPr>
          <w:rFonts w:ascii="Palatino Linotype" w:cs="Palatino Linotype" w:eastAsia="Palatino Linotype" w:hAnsi="Palatino Linotype"/>
          <w:b w:val="1"/>
          <w:rtl w:val="0"/>
        </w:rPr>
        <w:t xml:space="preserve">EL SUJETO OBLIGADO. </w:t>
      </w:r>
    </w:p>
    <w:p w:rsidR="00000000" w:rsidDel="00000000" w:rsidP="00000000" w:rsidRDefault="00000000" w:rsidRPr="00000000" w14:paraId="000002B3">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B4">
      <w:pPr>
        <w:spacing w:line="360" w:lineRule="auto"/>
        <w:ind w:right="49"/>
        <w:jc w:val="both"/>
        <w:rPr>
          <w:rFonts w:ascii="Palatino Linotype" w:cs="Palatino Linotype" w:eastAsia="Palatino Linotype" w:hAnsi="Palatino Linotype"/>
        </w:rPr>
      </w:pPr>
      <w:bookmarkStart w:colFirst="0" w:colLast="0" w:name="_heading=h.1fob9te" w:id="10"/>
      <w:bookmarkEnd w:id="10"/>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haga entrega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vía SAIMEX, en versión pública en términos de los </w:t>
      </w:r>
      <w:r w:rsidDel="00000000" w:rsidR="00000000" w:rsidRPr="00000000">
        <w:rPr>
          <w:rFonts w:ascii="Palatino Linotype" w:cs="Palatino Linotype" w:eastAsia="Palatino Linotype" w:hAnsi="Palatino Linotype"/>
          <w:b w:val="1"/>
          <w:rtl w:val="0"/>
        </w:rPr>
        <w:t xml:space="preserve">CONSIDERANDOS 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lo siguiente: </w:t>
      </w:r>
    </w:p>
    <w:p w:rsidR="00000000" w:rsidDel="00000000" w:rsidP="00000000" w:rsidRDefault="00000000" w:rsidRPr="00000000" w14:paraId="000002B5">
      <w:pPr>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6">
      <w:pPr>
        <w:numPr>
          <w:ilvl w:val="0"/>
          <w:numId w:val="2"/>
        </w:numPr>
        <w:pBdr>
          <w:top w:space="0" w:sz="0" w:val="nil"/>
          <w:left w:space="0" w:sz="0" w:val="nil"/>
          <w:bottom w:space="0" w:sz="0" w:val="nil"/>
          <w:right w:space="0" w:sz="0" w:val="nil"/>
          <w:between w:space="0" w:sz="0" w:val="nil"/>
        </w:pBdr>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Recibos de  nómina de los integrantes del Cabildo, Coordinadores, Directores y jefes de área u homólogos, del Ayuntamiento de Tenancingo, correspondientes a la segunda quincena de agosto y primera quincena de septiembre de dos mil veintidós. </w:t>
      </w:r>
    </w:p>
    <w:p w:rsidR="00000000" w:rsidDel="00000000" w:rsidP="00000000" w:rsidRDefault="00000000" w:rsidRPr="00000000" w14:paraId="000002B7">
      <w:pPr>
        <w:pBdr>
          <w:top w:space="0" w:sz="0" w:val="nil"/>
          <w:left w:space="0" w:sz="0" w:val="nil"/>
          <w:bottom w:space="0" w:sz="0" w:val="nil"/>
          <w:right w:space="0" w:sz="0" w:val="nil"/>
          <w:between w:space="0" w:sz="0" w:val="nil"/>
        </w:pBdr>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ind w:left="864"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Del="00000000" w:rsidR="00000000" w:rsidRPr="00000000">
        <w:rPr>
          <w:rFonts w:ascii="Palatino Linotype" w:cs="Palatino Linotype" w:eastAsia="Palatino Linotype" w:hAnsi="Palatino Linotype"/>
          <w:b w:val="1"/>
          <w:i w:val="1"/>
          <w:sz w:val="22"/>
          <w:szCs w:val="22"/>
          <w:rtl w:val="0"/>
        </w:rPr>
        <w:t xml:space="preserve">LA PARTE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TERCERO. NOTIFÍQUESE </w:t>
      </w:r>
      <w:r w:rsidDel="00000000" w:rsidR="00000000" w:rsidRPr="00000000">
        <w:rPr>
          <w:rFonts w:ascii="Palatino Linotype" w:cs="Palatino Linotype" w:eastAsia="Palatino Linotype" w:hAnsi="Palatino Linotype"/>
          <w:rtl w:val="0"/>
        </w:rPr>
        <w:t xml:space="preserve">la presente resolución al Titular de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BB">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B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2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Notifíquese vía SAIMEX,</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2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DIEZ DE MAYO DE DOS MIL VEINTITRÉS, ANTE EL SECRETARIO TÉCNICO DEL PLENO ALEXIS TAPIA RAMÍREZ. </w:t>
      </w:r>
    </w:p>
    <w:p w:rsidR="00000000" w:rsidDel="00000000" w:rsidP="00000000" w:rsidRDefault="00000000" w:rsidRPr="00000000" w14:paraId="000002C1">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279400</wp:posOffset>
                </wp:positionV>
                <wp:extent cx="5304539" cy="3422576"/>
                <wp:effectExtent b="0" l="0" r="0" t="0"/>
                <wp:wrapNone/>
                <wp:docPr id="129" name=""/>
                <a:graphic>
                  <a:graphicData uri="http://schemas.microsoft.com/office/word/2010/wordprocessingShape">
                    <wps:wsp>
                      <wps:cNvCnPr/>
                      <wps:spPr>
                        <a:xfrm>
                          <a:off x="2698493" y="2073475"/>
                          <a:ext cx="5295014" cy="3413051"/>
                        </a:xfrm>
                        <a:prstGeom prst="straightConnector1">
                          <a:avLst/>
                        </a:prstGeom>
                        <a:noFill/>
                        <a:ln cap="flat" cmpd="sng" w="9525">
                          <a:solidFill>
                            <a:srgbClr val="F5913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279400</wp:posOffset>
                </wp:positionV>
                <wp:extent cx="5304539" cy="3422576"/>
                <wp:effectExtent b="0" l="0" r="0" t="0"/>
                <wp:wrapNone/>
                <wp:docPr id="129"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5304539" cy="3422576"/>
                        </a:xfrm>
                        <a:prstGeom prst="rect"/>
                        <a:ln/>
                      </pic:spPr>
                    </pic:pic>
                  </a:graphicData>
                </a:graphic>
              </wp:anchor>
            </w:drawing>
          </mc:Fallback>
        </mc:AlternateContent>
      </w:r>
    </w:p>
    <w:p w:rsidR="00000000" w:rsidDel="00000000" w:rsidP="00000000" w:rsidRDefault="00000000" w:rsidRPr="00000000" w14:paraId="000002C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3">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24" w:type="default"/>
      <w:headerReference r:id="rId25" w:type="first"/>
      <w:footerReference r:id="rId26" w:type="default"/>
      <w:footerReference r:id="rId27"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D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D6">
          <w:pPr>
            <w:tabs>
              <w:tab w:val="left" w:leader="none" w:pos="3153"/>
            </w:tabs>
            <w:ind w:left="-45" w:firstLine="0"/>
            <w:jc w:val="both"/>
            <w:rPr>
              <w:rFonts w:ascii="Palatino Linotype" w:cs="Palatino Linotype" w:eastAsia="Palatino Linotype" w:hAnsi="Palatino Linotype"/>
              <w:b w:val="1"/>
              <w:sz w:val="22"/>
              <w:szCs w:val="22"/>
              <w:highlight w:val="yellow"/>
            </w:rPr>
          </w:pPr>
          <w:r w:rsidDel="00000000" w:rsidR="00000000" w:rsidRPr="00000000">
            <w:rPr>
              <w:rFonts w:ascii="Palatino Linotype" w:cs="Palatino Linotype" w:eastAsia="Palatino Linotype" w:hAnsi="Palatino Linotype"/>
              <w:b w:val="1"/>
              <w:sz w:val="22"/>
              <w:szCs w:val="22"/>
              <w:rtl w:val="0"/>
            </w:rPr>
            <w:t xml:space="preserve">15614/INFOEM/IP/RR/2022</w:t>
          </w:r>
          <w:r w:rsidDel="00000000" w:rsidR="00000000" w:rsidRPr="00000000">
            <w:rPr>
              <w:rtl w:val="0"/>
            </w:rPr>
          </w:r>
        </w:p>
      </w:tc>
    </w:tr>
    <w:tr>
      <w:trPr>
        <w:cantSplit w:val="0"/>
        <w:trHeight w:val="130" w:hRule="atLeast"/>
        <w:tblHeader w:val="0"/>
      </w:trPr>
      <w:tc>
        <w:tcPr>
          <w:shd w:fill="auto" w:val="clear"/>
          <w:vAlign w:val="center"/>
        </w:tcPr>
        <w:p w:rsidR="00000000" w:rsidDel="00000000" w:rsidP="00000000" w:rsidRDefault="00000000" w:rsidRPr="00000000" w14:paraId="000002D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D8">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XXXXXXXXXX XXXXX XXXXXXXX</w:t>
          </w:r>
        </w:p>
      </w:tc>
    </w:tr>
    <w:tr>
      <w:trPr>
        <w:cantSplit w:val="0"/>
        <w:trHeight w:val="228" w:hRule="atLeast"/>
        <w:tblHeader w:val="0"/>
      </w:trPr>
      <w:tc>
        <w:tcPr>
          <w:shd w:fill="auto" w:val="clear"/>
          <w:vAlign w:val="center"/>
        </w:tcPr>
        <w:p w:rsidR="00000000" w:rsidDel="00000000" w:rsidP="00000000" w:rsidRDefault="00000000" w:rsidRPr="00000000" w14:paraId="000002D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DA">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Tenancingo</w:t>
          </w:r>
        </w:p>
      </w:tc>
    </w:tr>
    <w:tr>
      <w:trPr>
        <w:cantSplit w:val="0"/>
        <w:tblHeader w:val="0"/>
      </w:trPr>
      <w:tc>
        <w:tcPr>
          <w:shd w:fill="auto" w:val="clear"/>
          <w:vAlign w:val="center"/>
        </w:tcPr>
        <w:p w:rsidR="00000000" w:rsidDel="00000000" w:rsidP="00000000" w:rsidRDefault="00000000" w:rsidRPr="00000000" w14:paraId="000002D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DC">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DD">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-1089645</wp:posOffset>
          </wp:positionH>
          <wp:positionV relativeFrom="paragraph">
            <wp:posOffset>-1169655</wp:posOffset>
          </wp:positionV>
          <wp:extent cx="7809865" cy="10165715"/>
          <wp:effectExtent b="0" l="0" r="0" t="0"/>
          <wp:wrapNone/>
          <wp:docPr id="1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E">
    <w:pPr>
      <w:rPr>
        <w:rFonts w:ascii="Cambria" w:cs="Cambria" w:eastAsia="Cambria" w:hAnsi="Cambri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-1080120</wp:posOffset>
          </wp:positionH>
          <wp:positionV relativeFrom="paragraph">
            <wp:posOffset>-488298</wp:posOffset>
          </wp:positionV>
          <wp:extent cx="7809865" cy="10165715"/>
          <wp:effectExtent b="0" l="0" r="0" t="0"/>
          <wp:wrapNone/>
          <wp:docPr id="1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D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E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15614/INFOEM/IP/RR/2022</w:t>
          </w:r>
        </w:p>
      </w:tc>
    </w:tr>
    <w:tr>
      <w:trPr>
        <w:cantSplit w:val="0"/>
        <w:trHeight w:val="228" w:hRule="atLeast"/>
        <w:tblHeader w:val="0"/>
      </w:trPr>
      <w:tc>
        <w:tcPr>
          <w:shd w:fill="auto" w:val="clear"/>
          <w:vAlign w:val="center"/>
        </w:tcPr>
        <w:p w:rsidR="00000000" w:rsidDel="00000000" w:rsidP="00000000" w:rsidRDefault="00000000" w:rsidRPr="00000000" w14:paraId="000002E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E2">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Tenancingo</w:t>
          </w:r>
        </w:p>
      </w:tc>
    </w:tr>
    <w:tr>
      <w:trPr>
        <w:cantSplit w:val="0"/>
        <w:tblHeader w:val="0"/>
      </w:trPr>
      <w:tc>
        <w:tcPr>
          <w:shd w:fill="auto" w:val="clear"/>
          <w:vAlign w:val="center"/>
        </w:tcPr>
        <w:p w:rsidR="00000000" w:rsidDel="00000000" w:rsidP="00000000" w:rsidRDefault="00000000" w:rsidRPr="00000000" w14:paraId="000002E3">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E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E5">
    <w:pPr>
      <w:rPr>
        <w:rFonts w:ascii="Cambria" w:cs="Cambria" w:eastAsia="Cambria" w:hAnsi="Cambria"/>
      </w:rPr>
    </w:pPr>
    <w:r w:rsidDel="00000000" w:rsidR="00000000" w:rsidRPr="00000000">
      <w:rPr>
        <w:rFonts w:ascii="Cambria" w:cs="Cambria" w:eastAsia="Cambria" w:hAnsi="Cambria"/>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584" w:hanging="360"/>
      </w:pPr>
      <w:rPr/>
    </w:lvl>
    <w:lvl w:ilvl="1">
      <w:start w:val="1"/>
      <w:numFmt w:val="lowerLetter"/>
      <w:lvlText w:val="%2."/>
      <w:lvlJc w:val="left"/>
      <w:pPr>
        <w:ind w:left="2304" w:hanging="360"/>
      </w:pPr>
      <w:rPr/>
    </w:lvl>
    <w:lvl w:ilvl="2">
      <w:start w:val="1"/>
      <w:numFmt w:val="lowerRoman"/>
      <w:lvlText w:val="%3."/>
      <w:lvlJc w:val="right"/>
      <w:pPr>
        <w:ind w:left="3024" w:hanging="180"/>
      </w:pPr>
      <w:rPr/>
    </w:lvl>
    <w:lvl w:ilvl="3">
      <w:start w:val="1"/>
      <w:numFmt w:val="decimal"/>
      <w:lvlText w:val="%4."/>
      <w:lvlJc w:val="left"/>
      <w:pPr>
        <w:ind w:left="3744" w:hanging="360"/>
      </w:pPr>
      <w:rPr/>
    </w:lvl>
    <w:lvl w:ilvl="4">
      <w:start w:val="1"/>
      <w:numFmt w:val="lowerLetter"/>
      <w:lvlText w:val="%5."/>
      <w:lvlJc w:val="left"/>
      <w:pPr>
        <w:ind w:left="4464" w:hanging="360"/>
      </w:pPr>
      <w:rPr/>
    </w:lvl>
    <w:lvl w:ilvl="5">
      <w:start w:val="1"/>
      <w:numFmt w:val="lowerRoman"/>
      <w:lvlText w:val="%6."/>
      <w:lvlJc w:val="right"/>
      <w:pPr>
        <w:ind w:left="5184" w:hanging="180"/>
      </w:pPr>
      <w:rPr/>
    </w:lvl>
    <w:lvl w:ilvl="6">
      <w:start w:val="1"/>
      <w:numFmt w:val="decimal"/>
      <w:lvlText w:val="%7."/>
      <w:lvlJc w:val="left"/>
      <w:pPr>
        <w:ind w:left="5904" w:hanging="360"/>
      </w:pPr>
      <w:rPr/>
    </w:lvl>
    <w:lvl w:ilvl="7">
      <w:start w:val="1"/>
      <w:numFmt w:val="lowerLetter"/>
      <w:lvlText w:val="%8."/>
      <w:lvlJc w:val="left"/>
      <w:pPr>
        <w:ind w:left="6624" w:hanging="360"/>
      </w:pPr>
      <w:rPr/>
    </w:lvl>
    <w:lvl w:ilvl="8">
      <w:start w:val="1"/>
      <w:numFmt w:val="lowerRoman"/>
      <w:lvlText w:val="%9."/>
      <w:lvlJc w:val="right"/>
      <w:pPr>
        <w:ind w:left="734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11CAF"/>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11" w:customStyle="1">
    <w:name w:val="11"/>
    <w:basedOn w:val="TableNormal11"/>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0" w:customStyle="1">
    <w:name w:val="10"/>
    <w:basedOn w:val="TableNormal11"/>
    <w:tblPr>
      <w:tblStyleRowBandSize w:val="1"/>
      <w:tblStyleColBandSize w:val="1"/>
      <w:tblCellMar>
        <w:top w:w="0.0" w:type="dxa"/>
        <w:left w:w="115.0" w:type="dxa"/>
        <w:bottom w:w="0.0" w:type="dxa"/>
        <w:right w:w="115.0" w:type="dxa"/>
      </w:tblCellMar>
    </w:tblPr>
  </w:style>
  <w:style w:type="table" w:styleId="9" w:customStyle="1">
    <w:name w:val="9"/>
    <w:basedOn w:val="TableNormal11"/>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8" w:customStyle="1">
    <w:name w:val="8"/>
    <w:basedOn w:val="TableNormal11"/>
    <w:tblPr>
      <w:tblStyleRowBandSize w:val="1"/>
      <w:tblStyleColBandSize w:val="1"/>
      <w:tblCellMar>
        <w:top w:w="0.0" w:type="dxa"/>
        <w:left w:w="115.0" w:type="dxa"/>
        <w:bottom w:w="0.0" w:type="dxa"/>
        <w:right w:w="115.0" w:type="dxa"/>
      </w:tblCellMar>
    </w:tblPr>
  </w:style>
  <w:style w:type="table" w:styleId="7" w:customStyle="1">
    <w:name w:val="7"/>
    <w:basedOn w:val="TableNormal11"/>
    <w:tblPr>
      <w:tblStyleRowBandSize w:val="1"/>
      <w:tblStyleColBandSize w:val="1"/>
      <w:tblCellMar>
        <w:top w:w="0.0" w:type="dxa"/>
        <w:left w:w="115.0" w:type="dxa"/>
        <w:bottom w:w="0.0" w:type="dxa"/>
        <w:right w:w="115.0" w:type="dxa"/>
      </w:tblCellMar>
    </w:tblPr>
  </w:style>
  <w:style w:type="table" w:styleId="6" w:customStyle="1">
    <w:name w:val="6"/>
    <w:basedOn w:val="TableNormal20"/>
    <w:tblPr>
      <w:tblStyleRowBandSize w:val="1"/>
      <w:tblStyleColBandSize w:val="1"/>
      <w:tblCellMar>
        <w:top w:w="0.0" w:type="dxa"/>
        <w:left w:w="115.0" w:type="dxa"/>
        <w:bottom w:w="0.0" w:type="dxa"/>
        <w:right w:w="115.0" w:type="dxa"/>
      </w:tblCellMar>
    </w:tblPr>
  </w:style>
  <w:style w:type="table" w:styleId="5" w:customStyle="1">
    <w:name w:val="5"/>
    <w:basedOn w:val="TableNormal20"/>
    <w:tblPr>
      <w:tblStyleRowBandSize w:val="1"/>
      <w:tblStyleColBandSize w:val="1"/>
      <w:tblCellMar>
        <w:top w:w="0.0" w:type="dxa"/>
        <w:left w:w="115.0" w:type="dxa"/>
        <w:bottom w:w="0.0" w:type="dxa"/>
        <w:right w:w="115.0" w:type="dxa"/>
      </w:tblCellMar>
    </w:tblPr>
  </w:style>
  <w:style w:type="table" w:styleId="4" w:customStyle="1">
    <w:name w:val="4"/>
    <w:basedOn w:val="TableNormal3"/>
    <w:tblPr>
      <w:tblStyleRowBandSize w:val="1"/>
      <w:tblStyleColBandSize w:val="1"/>
      <w:tblCellMar>
        <w:top w:w="0.0" w:type="dxa"/>
        <w:left w:w="115.0" w:type="dxa"/>
        <w:bottom w:w="0.0" w:type="dxa"/>
        <w:right w:w="115.0" w:type="dxa"/>
      </w:tblCellMar>
    </w:tblPr>
  </w:style>
  <w:style w:type="table" w:styleId="3" w:customStyle="1">
    <w:name w:val="3"/>
    <w:basedOn w:val="TableNormal3"/>
    <w:tblPr>
      <w:tblStyleRowBandSize w:val="1"/>
      <w:tblStyleColBandSize w:val="1"/>
      <w:tblCellMar>
        <w:top w:w="0.0" w:type="dxa"/>
        <w:left w:w="115.0" w:type="dxa"/>
        <w:bottom w:w="0.0" w:type="dxa"/>
        <w:right w:w="115.0" w:type="dxa"/>
      </w:tblCellMar>
    </w:tblPr>
  </w:style>
  <w:style w:type="paragraph" w:styleId="Saludo">
    <w:name w:val="Salutation"/>
    <w:basedOn w:val="Normal"/>
    <w:next w:val="Normal"/>
    <w:link w:val="SaludoCar"/>
    <w:uiPriority w:val="99"/>
    <w:unhideWhenUsed w:val="1"/>
    <w:rsid w:val="00A34A66"/>
  </w:style>
  <w:style w:type="character" w:styleId="SaludoCar" w:customStyle="1">
    <w:name w:val="Saludo Car"/>
    <w:basedOn w:val="Fuentedeprrafopredeter"/>
    <w:link w:val="Saludo"/>
    <w:uiPriority w:val="99"/>
    <w:rsid w:val="00A34A66"/>
  </w:style>
  <w:style w:type="paragraph" w:styleId="Listaconvietas2">
    <w:name w:val="List Bullet 2"/>
    <w:basedOn w:val="Normal"/>
    <w:uiPriority w:val="99"/>
    <w:unhideWhenUsed w:val="1"/>
    <w:rsid w:val="00A34A66"/>
    <w:pPr>
      <w:tabs>
        <w:tab w:val="num" w:pos="720"/>
      </w:tabs>
      <w:ind w:left="720" w:hanging="720"/>
      <w:contextualSpacing w:val="1"/>
    </w:pPr>
  </w:style>
  <w:style w:type="table" w:styleId="2" w:customStyle="1">
    <w:name w:val="2"/>
    <w:basedOn w:val="TableNormal4"/>
    <w:tblPr>
      <w:tblStyleRowBandSize w:val="1"/>
      <w:tblStyleColBandSize w:val="1"/>
      <w:tblCellMar>
        <w:top w:w="0.0" w:type="dxa"/>
        <w:left w:w="115.0" w:type="dxa"/>
        <w:bottom w:w="0.0" w:type="dxa"/>
        <w:right w:w="115.0" w:type="dxa"/>
      </w:tblCellMar>
    </w:tblPr>
  </w:style>
  <w:style w:type="table" w:styleId="1" w:customStyle="1">
    <w:name w:val="1"/>
    <w:basedOn w:val="TableNormal4"/>
    <w:tblPr>
      <w:tblStyleRowBandSize w:val="1"/>
      <w:tblStyleColBandSize w:val="1"/>
      <w:tblCellMar>
        <w:top w:w="0.0" w:type="dxa"/>
        <w:left w:w="115.0" w:type="dxa"/>
        <w:bottom w:w="0.0" w:type="dxa"/>
        <w:right w:w="115.0" w:type="dxa"/>
      </w:tblCellMar>
    </w:tblPr>
  </w:style>
  <w:style w:type="table" w:styleId="23" w:customStyle="1">
    <w:name w:val="23"/>
    <w:basedOn w:val="TableNormal5"/>
    <w:tblPr>
      <w:tblStyleRowBandSize w:val="1"/>
      <w:tblStyleColBandSize w:val="1"/>
      <w:tblCellMar>
        <w:top w:w="0.0" w:type="dxa"/>
        <w:left w:w="115.0" w:type="dxa"/>
        <w:bottom w:w="0.0" w:type="dxa"/>
        <w:right w:w="115.0" w:type="dxa"/>
      </w:tblCellMar>
    </w:tblPr>
  </w:style>
  <w:style w:type="table" w:styleId="22" w:customStyle="1">
    <w:name w:val="22"/>
    <w:basedOn w:val="TableNormal5"/>
    <w:tblPr>
      <w:tblStyleRowBandSize w:val="1"/>
      <w:tblStyleColBandSize w:val="1"/>
      <w:tblCellMar>
        <w:top w:w="0.0" w:type="dxa"/>
        <w:left w:w="115.0" w:type="dxa"/>
        <w:bottom w:w="0.0" w:type="dxa"/>
        <w:right w:w="115.0" w:type="dxa"/>
      </w:tblCellMar>
    </w:tblPr>
  </w:style>
  <w:style w:type="table" w:styleId="21" w:customStyle="1">
    <w:name w:val="21"/>
    <w:basedOn w:val="TableNormal6"/>
    <w:tblPr>
      <w:tblStyleRowBandSize w:val="1"/>
      <w:tblStyleColBandSize w:val="1"/>
      <w:tblCellMar>
        <w:top w:w="0.0" w:type="dxa"/>
        <w:left w:w="115.0" w:type="dxa"/>
        <w:bottom w:w="0.0" w:type="dxa"/>
        <w:right w:w="115.0" w:type="dxa"/>
      </w:tblCellMar>
    </w:tblPr>
  </w:style>
  <w:style w:type="table" w:styleId="20" w:customStyle="1">
    <w:name w:val="20"/>
    <w:basedOn w:val="TableNormal6"/>
    <w:tblPr>
      <w:tblStyleRowBandSize w:val="1"/>
      <w:tblStyleColBandSize w:val="1"/>
      <w:tblCellMar>
        <w:top w:w="0.0" w:type="dxa"/>
        <w:left w:w="115.0" w:type="dxa"/>
        <w:bottom w:w="0.0" w:type="dxa"/>
        <w:right w:w="115.0" w:type="dxa"/>
      </w:tblCellMar>
    </w:tblPr>
  </w:style>
  <w:style w:type="table" w:styleId="19" w:customStyle="1">
    <w:name w:val="19"/>
    <w:basedOn w:val="TableNormal7"/>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8" w:customStyle="1">
    <w:name w:val="18"/>
    <w:basedOn w:val="TableNormal7"/>
    <w:tblPr>
      <w:tblStyleRowBandSize w:val="1"/>
      <w:tblStyleColBandSize w:val="1"/>
      <w:tblCellMar>
        <w:top w:w="0.0" w:type="dxa"/>
        <w:left w:w="115.0" w:type="dxa"/>
        <w:bottom w:w="0.0" w:type="dxa"/>
        <w:right w:w="115.0" w:type="dxa"/>
      </w:tblCellMar>
    </w:tblPr>
  </w:style>
  <w:style w:type="table" w:styleId="17" w:customStyle="1">
    <w:name w:val="17"/>
    <w:basedOn w:val="TableNormal7"/>
    <w:tblPr>
      <w:tblStyleRowBandSize w:val="1"/>
      <w:tblStyleColBandSize w:val="1"/>
      <w:tblCellMar>
        <w:top w:w="0.0" w:type="dxa"/>
        <w:left w:w="115.0" w:type="dxa"/>
        <w:bottom w:w="0.0" w:type="dxa"/>
        <w:right w:w="115.0" w:type="dxa"/>
      </w:tblCellMar>
    </w:tblPr>
  </w:style>
  <w:style w:type="table" w:styleId="16" w:customStyle="1">
    <w:name w:val="16"/>
    <w:basedOn w:val="TableNormal8"/>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5" w:customStyle="1">
    <w:name w:val="15"/>
    <w:basedOn w:val="TableNormal8"/>
    <w:tblPr>
      <w:tblStyleRowBandSize w:val="1"/>
      <w:tblStyleColBandSize w:val="1"/>
      <w:tblCellMar>
        <w:top w:w="0.0" w:type="dxa"/>
        <w:left w:w="115.0" w:type="dxa"/>
        <w:bottom w:w="0.0" w:type="dxa"/>
        <w:right w:w="115.0" w:type="dxa"/>
      </w:tblCellMar>
    </w:tblPr>
  </w:style>
  <w:style w:type="table" w:styleId="14" w:customStyle="1">
    <w:name w:val="14"/>
    <w:basedOn w:val="TableNormal8"/>
    <w:tblPr>
      <w:tblStyleRowBandSize w:val="1"/>
      <w:tblStyleColBandSize w:val="1"/>
      <w:tblCellMar>
        <w:top w:w="0.0" w:type="dxa"/>
        <w:left w:w="115.0" w:type="dxa"/>
        <w:bottom w:w="0.0" w:type="dxa"/>
        <w:right w:w="115.0" w:type="dxa"/>
      </w:tblCellMar>
    </w:tblPr>
  </w:style>
  <w:style w:type="table" w:styleId="13" w:customStyle="1">
    <w:name w:val="13"/>
    <w:basedOn w:val="TableNormal9"/>
    <w:tblPr>
      <w:tblStyleRowBandSize w:val="1"/>
      <w:tblStyleColBandSize w:val="1"/>
      <w:tblCellMar>
        <w:top w:w="0.0" w:type="dxa"/>
        <w:left w:w="115.0" w:type="dxa"/>
        <w:bottom w:w="0.0" w:type="dxa"/>
        <w:right w:w="115.0" w:type="dxa"/>
      </w:tblCellMar>
    </w:tblPr>
  </w:style>
  <w:style w:type="table" w:styleId="12" w:customStyle="1">
    <w:name w:val="12"/>
    <w:basedOn w:val="TableNormal9"/>
    <w:tblPr>
      <w:tblStyleRowBandSize w:val="1"/>
      <w:tblStyleColBandSize w:val="1"/>
      <w:tblCellMar>
        <w:top w:w="0.0" w:type="dxa"/>
        <w:left w:w="115.0" w:type="dxa"/>
        <w:bottom w:w="0.0" w:type="dxa"/>
        <w:right w:w="115.0" w:type="dxa"/>
      </w:tblCellMar>
    </w:tblPr>
  </w:style>
  <w:style w:type="table" w:styleId="26" w:customStyle="1">
    <w:name w:val="26"/>
    <w:basedOn w:val="TableNormal1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5" w:customStyle="1">
    <w:name w:val="25"/>
    <w:basedOn w:val="TableNormal10"/>
    <w:tblPr>
      <w:tblStyleRowBandSize w:val="1"/>
      <w:tblStyleColBandSize w:val="1"/>
      <w:tblCellMar>
        <w:top w:w="0.0" w:type="dxa"/>
        <w:left w:w="115.0" w:type="dxa"/>
        <w:bottom w:w="0.0" w:type="dxa"/>
        <w:right w:w="115.0" w:type="dxa"/>
      </w:tblCellMar>
    </w:tblPr>
  </w:style>
  <w:style w:type="table" w:styleId="24" w:customStyle="1">
    <w:name w:val="24"/>
    <w:basedOn w:val="TableNormal10"/>
    <w:tblPr>
      <w:tblStyleRowBandSize w:val="1"/>
      <w:tblStyleColBandSize w:val="1"/>
      <w:tblCellMar>
        <w:top w:w="0.0" w:type="dxa"/>
        <w:left w:w="115.0" w:type="dxa"/>
        <w:bottom w:w="0.0" w:type="dxa"/>
        <w:right w:w="115.0" w:type="dxa"/>
      </w:tblCellMar>
    </w:tblPr>
  </w:style>
  <w:style w:type="table" w:styleId="Tabladelista1clara-nfasis111" w:customStyle="1">
    <w:name w:val="Tabla de lista 1 clara - Énfasis 111"/>
    <w:basedOn w:val="Tablanormal"/>
    <w:uiPriority w:val="46"/>
    <w:rsid w:val="0096387C"/>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paragraph" w:styleId="Cita">
    <w:name w:val="Quote"/>
    <w:basedOn w:val="Normal"/>
    <w:next w:val="Normal"/>
    <w:link w:val="CitaCar"/>
    <w:uiPriority w:val="29"/>
    <w:qFormat w:val="1"/>
    <w:rsid w:val="008A3C56"/>
    <w:pPr>
      <w:spacing w:after="160" w:before="200"/>
      <w:ind w:left="864" w:right="864"/>
      <w:jc w:val="center"/>
    </w:pPr>
    <w:rPr>
      <w:i w:val="1"/>
      <w:iCs w:val="1"/>
      <w:color w:val="404040" w:themeColor="text1" w:themeTint="0000BF"/>
    </w:rPr>
  </w:style>
  <w:style w:type="character" w:styleId="CitaCar" w:customStyle="1">
    <w:name w:val="Cita Car"/>
    <w:basedOn w:val="Fuentedeprrafopredeter"/>
    <w:link w:val="Cita"/>
    <w:uiPriority w:val="29"/>
    <w:rsid w:val="008A3C56"/>
    <w:rPr>
      <w:i w:val="1"/>
      <w:iCs w:val="1"/>
      <w:color w:val="404040" w:themeColor="text1" w:themeTint="0000BF"/>
    </w:rPr>
  </w:style>
  <w:style w:type="table" w:styleId="a" w:customStyle="1">
    <w:basedOn w:val="TableNormal2"/>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2"/>
    <w:tblPr>
      <w:tblStyleRowBandSize w:val="1"/>
      <w:tblStyleColBandSize w:val="1"/>
      <w:tblCellMar>
        <w:top w:w="0.0" w:type="dxa"/>
        <w:left w:w="115.0" w:type="dxa"/>
        <w:bottom w:w="0.0" w:type="dxa"/>
        <w:right w:w="115.0" w:type="dxa"/>
      </w:tblCellMar>
    </w:tblPr>
  </w:style>
  <w:style w:type="table" w:styleId="a2" w:customStyle="1">
    <w:basedOn w:val="TableNormal2"/>
    <w:tblPr>
      <w:tblStyleRowBandSize w:val="1"/>
      <w:tblStyleColBandSize w:val="1"/>
      <w:tblCellMar>
        <w:top w:w="0.0" w:type="dxa"/>
        <w:left w:w="115.0" w:type="dxa"/>
        <w:bottom w:w="0.0" w:type="dxa"/>
        <w:right w:w="115.0" w:type="dxa"/>
      </w:tblCellMar>
    </w:tblPr>
  </w:style>
  <w:style w:type="table" w:styleId="a3" w:customStyle="1">
    <w:basedOn w:val="TableNormal1"/>
    <w:tblPr>
      <w:tblStyleRowBandSize w:val="1"/>
      <w:tblStyleColBandSize w:val="1"/>
      <w:tblCellMar>
        <w:top w:w="0.0" w:type="dxa"/>
        <w:left w:w="115.0" w:type="dxa"/>
        <w:bottom w:w="0.0" w:type="dxa"/>
        <w:right w:w="115.0" w:type="dxa"/>
      </w:tblCellMar>
    </w:tblPr>
  </w:style>
  <w:style w:type="table" w:styleId="a4" w:customStyle="1">
    <w:basedOn w:val="TableNormal1"/>
    <w:tblPr>
      <w:tblStyleRowBandSize w:val="1"/>
      <w:tblStyleColBandSize w:val="1"/>
      <w:tblCellMar>
        <w:top w:w="0.0" w:type="dxa"/>
        <w:left w:w="115.0" w:type="dxa"/>
        <w:bottom w:w="0.0" w:type="dxa"/>
        <w:right w:w="115.0" w:type="dxa"/>
      </w:tblCellMar>
    </w:tblPr>
  </w:style>
  <w:style w:type="table" w:styleId="a5" w:customStyle="1">
    <w:basedOn w:val="TableNormal1"/>
    <w:tblPr>
      <w:tblStyleRowBandSize w:val="1"/>
      <w:tblStyleColBandSize w:val="1"/>
      <w:tblCellMar>
        <w:top w:w="0.0" w:type="dxa"/>
        <w:left w:w="115.0" w:type="dxa"/>
        <w:bottom w:w="0.0" w:type="dxa"/>
        <w:right w:w="115.0" w:type="dxa"/>
      </w:tblCellMar>
    </w:tblPr>
  </w:style>
  <w:style w:type="table" w:styleId="Tabladelista1clara-nfasis112" w:customStyle="1">
    <w:name w:val="Tabla de lista 1 clara - Énfasis 112"/>
    <w:basedOn w:val="Tablanormal"/>
    <w:uiPriority w:val="46"/>
    <w:rsid w:val="00EC736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nfasissutil">
    <w:name w:val="Subtle Emphasis"/>
    <w:basedOn w:val="Fuentedeprrafopredeter"/>
    <w:uiPriority w:val="19"/>
    <w:qFormat w:val="1"/>
    <w:rsid w:val="0097316C"/>
    <w:rPr>
      <w:i w:val="1"/>
      <w:iCs w:val="1"/>
      <w:color w:val="404040" w:themeColor="text1" w:themeTint="0000BF"/>
    </w:rPr>
  </w:style>
  <w:style w:type="table" w:styleId="a6" w:customStyle="1">
    <w:basedOn w:val="TableNormal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0"/>
    <w:tblPr>
      <w:tblStyleRowBandSize w:val="1"/>
      <w:tblStyleColBandSize w:val="1"/>
      <w:tblCellMar>
        <w:top w:w="0.0" w:type="dxa"/>
        <w:left w:w="115.0" w:type="dxa"/>
        <w:bottom w:w="0.0" w:type="dxa"/>
        <w:right w:w="115.0" w:type="dxa"/>
      </w:tblCellMar>
    </w:tblPr>
  </w:style>
  <w:style w:type="table" w:styleId="a8"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10.png"/><Relationship Id="rId24" Type="http://schemas.openxmlformats.org/officeDocument/2006/relationships/header" Target="header2.xm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aimex.org.mx/saimex/solicitud/downloadAttach/1605275.page" TargetMode="External"/><Relationship Id="rId8" Type="http://schemas.openxmlformats.org/officeDocument/2006/relationships/image" Target="media/image3.png"/><Relationship Id="rId11" Type="http://schemas.openxmlformats.org/officeDocument/2006/relationships/hyperlink" Target="mailto:tenancingo@itaipem.org.mx" TargetMode="External"/><Relationship Id="rId10" Type="http://schemas.openxmlformats.org/officeDocument/2006/relationships/image" Target="media/image11.png"/><Relationship Id="rId13" Type="http://schemas.openxmlformats.org/officeDocument/2006/relationships/hyperlink" Target="mailto:alexis.moreno@itaipem.org.mx" TargetMode="External"/><Relationship Id="rId12" Type="http://schemas.openxmlformats.org/officeDocument/2006/relationships/hyperlink" Target="mailto:transparencia@tenancingo.gob.mx" TargetMode="External"/><Relationship Id="rId15" Type="http://schemas.openxmlformats.org/officeDocument/2006/relationships/image" Target="media/image2.png"/><Relationship Id="rId14" Type="http://schemas.openxmlformats.org/officeDocument/2006/relationships/hyperlink" Target="mailto:berenice.carrillo@infoem.org.mx" TargetMode="External"/><Relationship Id="rId17" Type="http://schemas.openxmlformats.org/officeDocument/2006/relationships/image" Target="media/image9.png"/><Relationship Id="rId16" Type="http://schemas.openxmlformats.org/officeDocument/2006/relationships/image" Target="media/image6.png"/><Relationship Id="rId19" Type="http://schemas.openxmlformats.org/officeDocument/2006/relationships/image" Target="media/image8.png"/><Relationship Id="rId18" Type="http://schemas.openxmlformats.org/officeDocument/2006/relationships/hyperlink" Target="https://www.osfem.gob.mx/04_Iconografia/Ent_Fisc/Doc_Apoy/Doc_Apo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oXvleifOY6LVHtg0ZYTijesCg==">CgMxLjAyCGguZ2pkZ3hzMgloLjJldDkycDAyCWguMzBqMHpsbDIJaC4yczhleW8xMgloLjN6bnlzaDcyCGgudHlqY3d0MgloLjNkeTZ2a20yCWguMXQzaDVzZjIJaC40ZDM0b2c4MgloLjNyZGNyam4yCWguMWZvYjl0ZTgAciExcENZU3B3UEUwa2FSMGphbkc0VE1oVkJrU2tDS1cyNkE=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2023-05-18T18:46:00Z</dcterms:created>
  <dc:creator>iMac</dc:creator>
</cp:coreProperties>
</file>