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752B18"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Re</w:t>
      </w:r>
      <w:r w:rsidRPr="00752B18">
        <w:rPr>
          <w:rFonts w:ascii="Palatino Linotype" w:hAnsi="Palatino Linotype"/>
          <w:color w:val="000000" w:themeColor="text1"/>
        </w:rPr>
        <w:t xml:space="preserve">solución del Pleno del Instituto de Transparencia, Acceso a la Información Pública y Protección de Datos Personales del Estado de México y Municipios, con domicilio en Metepec, Estado de México; de fecha </w:t>
      </w:r>
      <w:r w:rsidR="009370E4">
        <w:rPr>
          <w:rFonts w:ascii="Palatino Linotype" w:hAnsi="Palatino Linotype"/>
        </w:rPr>
        <w:t xml:space="preserve">veinticinco (25) </w:t>
      </w:r>
      <w:r w:rsidRPr="00752B18">
        <w:rPr>
          <w:rFonts w:ascii="Palatino Linotype" w:hAnsi="Palatino Linotype"/>
          <w:color w:val="000000" w:themeColor="text1"/>
        </w:rPr>
        <w:t xml:space="preserve"> de </w:t>
      </w:r>
      <w:r w:rsidR="006B63AB" w:rsidRPr="00752B18">
        <w:rPr>
          <w:rFonts w:ascii="Palatino Linotype" w:hAnsi="Palatino Linotype"/>
          <w:color w:val="000000" w:themeColor="text1"/>
        </w:rPr>
        <w:t>octubre</w:t>
      </w:r>
      <w:r w:rsidR="00E61C13" w:rsidRPr="00752B18">
        <w:rPr>
          <w:rFonts w:ascii="Palatino Linotype" w:hAnsi="Palatino Linotype"/>
          <w:color w:val="000000" w:themeColor="text1"/>
        </w:rPr>
        <w:t xml:space="preserve"> de dos mil </w:t>
      </w:r>
      <w:r w:rsidR="004D465B" w:rsidRPr="00752B18">
        <w:rPr>
          <w:rFonts w:ascii="Palatino Linotype" w:hAnsi="Palatino Linotype"/>
          <w:color w:val="000000" w:themeColor="text1"/>
        </w:rPr>
        <w:t>veintitrés</w:t>
      </w:r>
      <w:r w:rsidRPr="00752B18">
        <w:rPr>
          <w:rFonts w:ascii="Palatino Linotype" w:hAnsi="Palatino Linotype"/>
          <w:color w:val="000000" w:themeColor="text1"/>
        </w:rPr>
        <w:t>.</w:t>
      </w:r>
    </w:p>
    <w:p w:rsidR="009F09BC" w:rsidRPr="00752B18" w:rsidRDefault="009F09BC" w:rsidP="009F09BC">
      <w:pPr>
        <w:spacing w:before="240" w:after="360" w:line="360" w:lineRule="auto"/>
        <w:jc w:val="both"/>
        <w:rPr>
          <w:rFonts w:ascii="Palatino Linotype" w:hAnsi="Palatino Linotype"/>
          <w:b/>
          <w:color w:val="000000" w:themeColor="text1"/>
        </w:rPr>
      </w:pPr>
      <w:r w:rsidRPr="00752B18">
        <w:rPr>
          <w:rFonts w:ascii="Palatino Linotype" w:hAnsi="Palatino Linotype"/>
          <w:b/>
          <w:color w:val="000000" w:themeColor="text1"/>
        </w:rPr>
        <w:t>VISTO</w:t>
      </w:r>
      <w:r w:rsidRPr="00752B18">
        <w:rPr>
          <w:rFonts w:ascii="Palatino Linotype" w:hAnsi="Palatino Linotype"/>
          <w:color w:val="000000" w:themeColor="text1"/>
        </w:rPr>
        <w:t xml:space="preserve"> </w:t>
      </w:r>
      <w:r w:rsidR="008A699B" w:rsidRPr="00752B18">
        <w:rPr>
          <w:rFonts w:ascii="Palatino Linotype" w:hAnsi="Palatino Linotype"/>
          <w:color w:val="000000" w:themeColor="text1"/>
        </w:rPr>
        <w:t>e</w:t>
      </w:r>
      <w:r w:rsidRPr="00752B18">
        <w:rPr>
          <w:rFonts w:ascii="Palatino Linotype" w:hAnsi="Palatino Linotype"/>
          <w:color w:val="000000" w:themeColor="text1"/>
        </w:rPr>
        <w:t xml:space="preserve">l expediente electrónico formado con motivo del recurso de revisión </w:t>
      </w:r>
      <w:r w:rsidR="006B63AB" w:rsidRPr="00752B18">
        <w:rPr>
          <w:rFonts w:ascii="Palatino Linotype" w:hAnsi="Palatino Linotype"/>
          <w:b/>
          <w:color w:val="000000" w:themeColor="text1"/>
        </w:rPr>
        <w:t>05468/INFOEM/IP/RR/2023</w:t>
      </w:r>
      <w:r w:rsidRPr="00752B18">
        <w:rPr>
          <w:rFonts w:ascii="Palatino Linotype" w:hAnsi="Palatino Linotype"/>
          <w:color w:val="000000" w:themeColor="text1"/>
        </w:rPr>
        <w:t>,</w:t>
      </w:r>
      <w:r w:rsidRPr="00752B18">
        <w:rPr>
          <w:rFonts w:ascii="Palatino Linotype" w:hAnsi="Palatino Linotype" w:cs="Arial"/>
          <w:b/>
          <w:bCs/>
          <w:color w:val="000000" w:themeColor="text1"/>
        </w:rPr>
        <w:t xml:space="preserve"> </w:t>
      </w:r>
      <w:r w:rsidRPr="00752B18">
        <w:rPr>
          <w:rFonts w:ascii="Palatino Linotype" w:hAnsi="Palatino Linotype"/>
          <w:color w:val="000000" w:themeColor="text1"/>
        </w:rPr>
        <w:t xml:space="preserve">promovido por </w:t>
      </w:r>
      <w:r w:rsidR="000A206F">
        <w:rPr>
          <w:rFonts w:ascii="Palatino Linotype" w:hAnsi="Palatino Linotype"/>
          <w:b/>
          <w:color w:val="000000" w:themeColor="text1"/>
        </w:rPr>
        <w:t xml:space="preserve">XXX </w:t>
      </w:r>
      <w:proofErr w:type="spellStart"/>
      <w:r w:rsidR="000A206F">
        <w:rPr>
          <w:rFonts w:ascii="Palatino Linotype" w:hAnsi="Palatino Linotype"/>
          <w:b/>
          <w:color w:val="000000" w:themeColor="text1"/>
        </w:rPr>
        <w:t>XXX</w:t>
      </w:r>
      <w:proofErr w:type="spellEnd"/>
      <w:r w:rsidR="000A206F">
        <w:rPr>
          <w:rFonts w:ascii="Palatino Linotype" w:hAnsi="Palatino Linotype"/>
          <w:b/>
          <w:color w:val="000000" w:themeColor="text1"/>
        </w:rPr>
        <w:t xml:space="preserve"> XXX</w:t>
      </w:r>
      <w:bookmarkStart w:id="0" w:name="_GoBack"/>
      <w:bookmarkEnd w:id="0"/>
      <w:r w:rsidRPr="00752B18">
        <w:rPr>
          <w:rFonts w:ascii="Palatino Linotype" w:hAnsi="Palatino Linotype"/>
          <w:color w:val="000000" w:themeColor="text1"/>
        </w:rPr>
        <w:t xml:space="preserve">, a quien en lo sucesivo se le identificará como </w:t>
      </w:r>
      <w:r w:rsidR="00C860B1" w:rsidRPr="00752B18">
        <w:rPr>
          <w:rFonts w:ascii="Palatino Linotype" w:hAnsi="Palatino Linotype"/>
          <w:b/>
          <w:color w:val="000000" w:themeColor="text1"/>
        </w:rPr>
        <w:t>EL RECURRENTE</w:t>
      </w:r>
      <w:r w:rsidRPr="00752B18">
        <w:rPr>
          <w:rFonts w:ascii="Palatino Linotype" w:hAnsi="Palatino Linotype" w:cs="Arial"/>
          <w:color w:val="000000" w:themeColor="text1"/>
        </w:rPr>
        <w:t xml:space="preserve">, en contra de la respuesta del </w:t>
      </w:r>
      <w:r w:rsidR="00EB1CE2" w:rsidRPr="00752B18">
        <w:rPr>
          <w:rFonts w:ascii="Palatino Linotype" w:hAnsi="Palatino Linotype" w:cs="Arial"/>
          <w:b/>
          <w:color w:val="000000" w:themeColor="text1"/>
        </w:rPr>
        <w:t xml:space="preserve">Ayuntamiento de </w:t>
      </w:r>
      <w:r w:rsidR="006B63AB" w:rsidRPr="00752B18">
        <w:rPr>
          <w:rFonts w:ascii="Palatino Linotype" w:hAnsi="Palatino Linotype" w:cs="Arial"/>
          <w:b/>
          <w:color w:val="000000" w:themeColor="text1"/>
        </w:rPr>
        <w:t>Temascalapa</w:t>
      </w:r>
      <w:r w:rsidRPr="00752B18">
        <w:rPr>
          <w:rFonts w:ascii="Palatino Linotype" w:hAnsi="Palatino Linotype" w:cs="Arial"/>
          <w:b/>
          <w:color w:val="000000" w:themeColor="text1"/>
        </w:rPr>
        <w:t>,</w:t>
      </w:r>
      <w:r w:rsidRPr="00752B18">
        <w:rPr>
          <w:rFonts w:ascii="Palatino Linotype" w:hAnsi="Palatino Linotype"/>
          <w:b/>
          <w:color w:val="000000" w:themeColor="text1"/>
        </w:rPr>
        <w:t xml:space="preserve"> </w:t>
      </w:r>
      <w:r w:rsidRPr="00752B18">
        <w:rPr>
          <w:rFonts w:ascii="Palatino Linotype" w:hAnsi="Palatino Linotype"/>
          <w:color w:val="000000" w:themeColor="text1"/>
        </w:rPr>
        <w:t>en lo sucesivo el</w:t>
      </w:r>
      <w:r w:rsidRPr="00752B18">
        <w:rPr>
          <w:rFonts w:ascii="Palatino Linotype" w:hAnsi="Palatino Linotype"/>
          <w:b/>
          <w:color w:val="000000" w:themeColor="text1"/>
        </w:rPr>
        <w:t xml:space="preserve"> SUJETO OBLIGADO</w:t>
      </w:r>
      <w:r w:rsidRPr="00752B18">
        <w:rPr>
          <w:rFonts w:ascii="Palatino Linotype" w:hAnsi="Palatino Linotype"/>
          <w:color w:val="000000" w:themeColor="text1"/>
        </w:rPr>
        <w:t>, se procede a dictar la presente resolución, con base en los siguientes:</w:t>
      </w:r>
    </w:p>
    <w:p w:rsidR="009F09BC" w:rsidRPr="00752B18"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752B18">
        <w:rPr>
          <w:rFonts w:ascii="Palatino Linotype" w:hAnsi="Palatino Linotype"/>
          <w:b/>
          <w:color w:val="000000" w:themeColor="text1"/>
          <w:sz w:val="24"/>
          <w:szCs w:val="24"/>
        </w:rPr>
        <w:t>ANTECEDENTES</w:t>
      </w:r>
      <w:bookmarkEnd w:id="1"/>
      <w:bookmarkEnd w:id="2"/>
      <w:bookmarkEnd w:id="3"/>
    </w:p>
    <w:p w:rsidR="009F09BC" w:rsidRPr="00752B18" w:rsidRDefault="006B63AB" w:rsidP="008A699B">
      <w:pPr>
        <w:pStyle w:val="Prrafodelista"/>
        <w:numPr>
          <w:ilvl w:val="0"/>
          <w:numId w:val="15"/>
        </w:numPr>
        <w:spacing w:before="240" w:after="240" w:line="360" w:lineRule="auto"/>
        <w:ind w:left="0" w:firstLine="0"/>
        <w:jc w:val="both"/>
        <w:rPr>
          <w:rFonts w:ascii="Palatino Linotype" w:eastAsia="Calibri" w:hAnsi="Palatino Linotype" w:cs="Arial"/>
          <w:color w:val="000000" w:themeColor="text1"/>
          <w:lang w:val="es-ES"/>
        </w:rPr>
      </w:pPr>
      <w:r w:rsidRPr="00752B18">
        <w:rPr>
          <w:rFonts w:ascii="Palatino Linotype" w:eastAsia="Calibri" w:hAnsi="Palatino Linotype" w:cs="Arial"/>
          <w:color w:val="000000" w:themeColor="text1"/>
          <w:lang w:val="es-ES"/>
        </w:rPr>
        <w:t>El fecha</w:t>
      </w:r>
      <w:r w:rsidR="009F09BC" w:rsidRPr="00752B18">
        <w:rPr>
          <w:rFonts w:ascii="Palatino Linotype" w:eastAsia="Calibri" w:hAnsi="Palatino Linotype" w:cs="Arial"/>
          <w:color w:val="000000" w:themeColor="text1"/>
          <w:lang w:val="es-ES"/>
        </w:rPr>
        <w:t xml:space="preserve"> </w:t>
      </w:r>
      <w:r w:rsidRPr="00752B18">
        <w:rPr>
          <w:rFonts w:ascii="Palatino Linotype" w:eastAsia="Calibri" w:hAnsi="Palatino Linotype" w:cs="Arial"/>
          <w:color w:val="000000" w:themeColor="text1"/>
          <w:lang w:val="es-ES"/>
        </w:rPr>
        <w:t>veinte de enero</w:t>
      </w:r>
      <w:r w:rsidR="00E61C13" w:rsidRPr="00752B18">
        <w:rPr>
          <w:rFonts w:ascii="Palatino Linotype" w:eastAsia="Calibri" w:hAnsi="Palatino Linotype" w:cs="Arial"/>
          <w:color w:val="000000" w:themeColor="text1"/>
          <w:lang w:val="es-ES"/>
        </w:rPr>
        <w:t xml:space="preserve"> de dos mil </w:t>
      </w:r>
      <w:r w:rsidR="004D465B" w:rsidRPr="00752B18">
        <w:rPr>
          <w:rFonts w:ascii="Palatino Linotype" w:eastAsia="Calibri" w:hAnsi="Palatino Linotype" w:cs="Arial"/>
          <w:color w:val="000000" w:themeColor="text1"/>
          <w:lang w:val="es-ES"/>
        </w:rPr>
        <w:t>veintitrés</w:t>
      </w:r>
      <w:r w:rsidR="009F09BC" w:rsidRPr="00752B18">
        <w:rPr>
          <w:rFonts w:ascii="Palatino Linotype" w:hAnsi="Palatino Linotype"/>
          <w:b/>
          <w:color w:val="000000" w:themeColor="text1"/>
        </w:rPr>
        <w:t xml:space="preserve">, </w:t>
      </w:r>
      <w:r w:rsidR="009F09BC" w:rsidRPr="00752B18">
        <w:rPr>
          <w:rFonts w:ascii="Palatino Linotype" w:eastAsia="Calibri" w:hAnsi="Palatino Linotype" w:cs="Arial"/>
          <w:color w:val="000000" w:themeColor="text1"/>
          <w:lang w:val="es-ES"/>
        </w:rPr>
        <w:t xml:space="preserve">se presentó ante el </w:t>
      </w:r>
      <w:r w:rsidR="009F09BC" w:rsidRPr="00752B18">
        <w:rPr>
          <w:rFonts w:ascii="Palatino Linotype" w:eastAsia="Calibri" w:hAnsi="Palatino Linotype" w:cs="Arial"/>
          <w:b/>
          <w:color w:val="000000" w:themeColor="text1"/>
          <w:lang w:val="es-ES"/>
        </w:rPr>
        <w:t>SUJETO OBLIGADO</w:t>
      </w:r>
      <w:r w:rsidR="009F09BC" w:rsidRPr="00752B18">
        <w:rPr>
          <w:rFonts w:ascii="Palatino Linotype" w:eastAsia="Calibri" w:hAnsi="Palatino Linotype" w:cs="Arial"/>
          <w:color w:val="000000" w:themeColor="text1"/>
        </w:rPr>
        <w:t xml:space="preserve"> vía </w:t>
      </w:r>
      <w:r w:rsidR="008A699B" w:rsidRPr="00752B18">
        <w:rPr>
          <w:rFonts w:ascii="Palatino Linotype" w:eastAsia="Calibri" w:hAnsi="Palatino Linotype" w:cs="Arial"/>
          <w:color w:val="000000" w:themeColor="text1"/>
          <w:lang w:val="es-ES"/>
        </w:rPr>
        <w:t>SAIMEX, la solicitud</w:t>
      </w:r>
      <w:r w:rsidR="009F09BC" w:rsidRPr="00752B18">
        <w:rPr>
          <w:rFonts w:ascii="Palatino Linotype" w:eastAsia="Calibri" w:hAnsi="Palatino Linotype" w:cs="Arial"/>
          <w:color w:val="000000" w:themeColor="text1"/>
          <w:lang w:val="es-ES"/>
        </w:rPr>
        <w:t xml:space="preserve"> de información pública</w:t>
      </w:r>
      <w:r w:rsidR="008A699B" w:rsidRPr="00752B18">
        <w:rPr>
          <w:rFonts w:ascii="Palatino Linotype" w:eastAsia="Calibri" w:hAnsi="Palatino Linotype" w:cs="Arial"/>
          <w:color w:val="000000" w:themeColor="text1"/>
          <w:lang w:val="es-ES"/>
        </w:rPr>
        <w:t xml:space="preserve"> registrada</w:t>
      </w:r>
      <w:r w:rsidR="009F09BC" w:rsidRPr="00752B18">
        <w:rPr>
          <w:rFonts w:ascii="Palatino Linotype" w:eastAsia="Calibri" w:hAnsi="Palatino Linotype" w:cs="Arial"/>
          <w:color w:val="000000" w:themeColor="text1"/>
          <w:lang w:val="es-ES"/>
        </w:rPr>
        <w:t xml:space="preserve"> con </w:t>
      </w:r>
      <w:r w:rsidR="008A699B" w:rsidRPr="00752B18">
        <w:rPr>
          <w:rFonts w:ascii="Palatino Linotype" w:eastAsia="Calibri" w:hAnsi="Palatino Linotype" w:cs="Arial"/>
          <w:color w:val="000000" w:themeColor="text1"/>
          <w:lang w:val="es-ES"/>
        </w:rPr>
        <w:t xml:space="preserve">el </w:t>
      </w:r>
      <w:r w:rsidR="009F09BC" w:rsidRPr="00752B18">
        <w:rPr>
          <w:rFonts w:ascii="Palatino Linotype" w:eastAsia="Calibri" w:hAnsi="Palatino Linotype" w:cs="Arial"/>
          <w:color w:val="000000" w:themeColor="text1"/>
          <w:lang w:val="es-ES"/>
        </w:rPr>
        <w:t>número</w:t>
      </w:r>
      <w:r w:rsidRPr="00752B18">
        <w:rPr>
          <w:rFonts w:ascii="Palatino Linotype" w:eastAsia="Calibri" w:hAnsi="Palatino Linotype" w:cs="Arial"/>
          <w:b/>
          <w:bCs/>
          <w:color w:val="000000" w:themeColor="text1"/>
        </w:rPr>
        <w:t> 00008/TMASCALA/IP/2023</w:t>
      </w:r>
      <w:r w:rsidR="009F09BC" w:rsidRPr="00752B18">
        <w:rPr>
          <w:rFonts w:ascii="Palatino Linotype" w:hAnsi="Palatino Linotype"/>
          <w:b/>
          <w:bCs/>
          <w:color w:val="000000" w:themeColor="text1"/>
        </w:rPr>
        <w:t xml:space="preserve">; </w:t>
      </w:r>
      <w:r w:rsidR="00BD778A">
        <w:rPr>
          <w:rFonts w:ascii="Palatino Linotype" w:eastAsia="Calibri" w:hAnsi="Palatino Linotype" w:cs="Arial"/>
          <w:color w:val="000000" w:themeColor="text1"/>
          <w:lang w:val="es-ES"/>
        </w:rPr>
        <w:t>en la que</w:t>
      </w:r>
      <w:r w:rsidR="009F09BC" w:rsidRPr="00752B18">
        <w:rPr>
          <w:rFonts w:ascii="Palatino Linotype" w:eastAsia="Calibri" w:hAnsi="Palatino Linotype" w:cs="Arial"/>
          <w:color w:val="000000" w:themeColor="text1"/>
          <w:lang w:val="es-ES"/>
        </w:rPr>
        <w:t xml:space="preserve"> se solicitó la siguiente información:</w:t>
      </w:r>
    </w:p>
    <w:p w:rsidR="008A699B" w:rsidRPr="00752B18" w:rsidRDefault="008A699B" w:rsidP="008A699B">
      <w:pPr>
        <w:pStyle w:val="Prrafodelista"/>
        <w:spacing w:before="240" w:after="240" w:line="360" w:lineRule="auto"/>
        <w:ind w:left="0"/>
        <w:jc w:val="both"/>
        <w:rPr>
          <w:rFonts w:ascii="Palatino Linotype" w:eastAsia="Calibri" w:hAnsi="Palatino Linotype" w:cs="Arial"/>
          <w:color w:val="000000" w:themeColor="text1"/>
          <w:lang w:val="es-ES"/>
        </w:rPr>
      </w:pPr>
    </w:p>
    <w:p w:rsidR="009F09BC" w:rsidRPr="00752B18" w:rsidRDefault="00EB1CE2" w:rsidP="00531473">
      <w:pPr>
        <w:pStyle w:val="Prrafodelista"/>
        <w:spacing w:line="360" w:lineRule="auto"/>
        <w:ind w:left="425" w:right="476"/>
        <w:jc w:val="both"/>
        <w:rPr>
          <w:rFonts w:ascii="Palatino Linotype" w:hAnsi="Palatino Linotype"/>
          <w:i/>
          <w:color w:val="000000" w:themeColor="text1"/>
        </w:rPr>
      </w:pPr>
      <w:r w:rsidRPr="00752B18">
        <w:rPr>
          <w:rFonts w:ascii="Palatino Linotype" w:hAnsi="Palatino Linotype"/>
          <w:i/>
          <w:color w:val="000000" w:themeColor="text1"/>
        </w:rPr>
        <w:t>“</w:t>
      </w:r>
      <w:r w:rsidR="006B63AB" w:rsidRPr="00752B18">
        <w:rPr>
          <w:rFonts w:ascii="Palatino Linotype" w:hAnsi="Palatino Linotype"/>
          <w:i/>
          <w:color w:val="000000" w:themeColor="text1"/>
        </w:rPr>
        <w:t>Solicito el recibo de nomina en versión pública del Presidente(a) Municipal, Tesorero Municipal, Director de Obra Pública y Primer Regidor correspondiente a la primer quincena de enero del ejercicio 2023</w:t>
      </w:r>
      <w:r w:rsidR="008A699B" w:rsidRPr="00752B18">
        <w:rPr>
          <w:rFonts w:ascii="Palatino Linotype" w:hAnsi="Palatino Linotype"/>
          <w:i/>
          <w:color w:val="000000" w:themeColor="text1"/>
        </w:rPr>
        <w:t>”</w:t>
      </w:r>
    </w:p>
    <w:p w:rsidR="008A699B" w:rsidRPr="00752B18" w:rsidRDefault="008A699B" w:rsidP="009F09BC">
      <w:pPr>
        <w:pStyle w:val="Prrafodelista"/>
        <w:spacing w:line="360" w:lineRule="auto"/>
        <w:ind w:left="851" w:right="34"/>
        <w:jc w:val="both"/>
        <w:rPr>
          <w:rFonts w:ascii="Palatino Linotype" w:hAnsi="Palatino Linotype"/>
          <w:color w:val="000000" w:themeColor="text1"/>
        </w:rPr>
      </w:pPr>
    </w:p>
    <w:p w:rsidR="009F09BC" w:rsidRPr="00752B18" w:rsidRDefault="009F09BC" w:rsidP="00C860B1">
      <w:pPr>
        <w:pStyle w:val="Prrafodelista"/>
        <w:numPr>
          <w:ilvl w:val="0"/>
          <w:numId w:val="23"/>
        </w:numPr>
        <w:spacing w:line="360" w:lineRule="auto"/>
        <w:ind w:left="709" w:right="34" w:hanging="283"/>
        <w:jc w:val="both"/>
        <w:rPr>
          <w:rFonts w:ascii="Palatino Linotype" w:hAnsi="Palatino Linotype"/>
          <w:color w:val="000000" w:themeColor="text1"/>
        </w:rPr>
      </w:pPr>
      <w:r w:rsidRPr="00752B18">
        <w:rPr>
          <w:rFonts w:ascii="Palatino Linotype" w:eastAsia="Times New Roman" w:hAnsi="Palatino Linotype" w:cs="Arial"/>
          <w:color w:val="000000" w:themeColor="text1"/>
          <w:lang w:val="es-ES"/>
        </w:rPr>
        <w:t>Se eligió como modalidad de entrega de la información</w:t>
      </w:r>
      <w:r w:rsidRPr="00752B18">
        <w:rPr>
          <w:rFonts w:ascii="Palatino Linotype" w:hAnsi="Palatino Linotype"/>
          <w:color w:val="000000" w:themeColor="text1"/>
        </w:rPr>
        <w:t xml:space="preserve">: A través del </w:t>
      </w:r>
      <w:r w:rsidRPr="00752B18">
        <w:rPr>
          <w:rFonts w:ascii="Palatino Linotype" w:hAnsi="Palatino Linotype"/>
          <w:b/>
          <w:color w:val="000000" w:themeColor="text1"/>
        </w:rPr>
        <w:t>SAIMEX</w:t>
      </w:r>
      <w:r w:rsidR="0069487D" w:rsidRPr="00752B18">
        <w:rPr>
          <w:rFonts w:ascii="Palatino Linotype" w:hAnsi="Palatino Linotype"/>
          <w:b/>
          <w:color w:val="000000" w:themeColor="text1"/>
        </w:rPr>
        <w:t>.</w:t>
      </w:r>
    </w:p>
    <w:p w:rsidR="0069487D" w:rsidRPr="00752B18" w:rsidRDefault="0069487D" w:rsidP="0069487D">
      <w:pPr>
        <w:pStyle w:val="Prrafodelista"/>
        <w:spacing w:line="360" w:lineRule="auto"/>
        <w:ind w:left="851" w:right="34"/>
        <w:jc w:val="both"/>
        <w:rPr>
          <w:rFonts w:ascii="Palatino Linotype" w:hAnsi="Palatino Linotype"/>
          <w:color w:val="000000" w:themeColor="text1"/>
        </w:rPr>
      </w:pPr>
    </w:p>
    <w:p w:rsidR="00EB1CE2" w:rsidRPr="00752B18" w:rsidRDefault="0041640E" w:rsidP="009C4CE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52B18">
        <w:rPr>
          <w:rFonts w:ascii="Palatino Linotype" w:hAnsi="Palatino Linotype" w:cs="Arial"/>
          <w:color w:val="000000" w:themeColor="text1"/>
        </w:rPr>
        <w:lastRenderedPageBreak/>
        <w:t xml:space="preserve">En fecha </w:t>
      </w:r>
      <w:r w:rsidR="006B63AB" w:rsidRPr="00752B18">
        <w:rPr>
          <w:rFonts w:ascii="Palatino Linotype" w:hAnsi="Palatino Linotype" w:cs="Arial"/>
          <w:color w:val="000000" w:themeColor="text1"/>
        </w:rPr>
        <w:t>tres de febrero</w:t>
      </w:r>
      <w:r w:rsidR="002C4997" w:rsidRPr="00752B18">
        <w:rPr>
          <w:rFonts w:ascii="Palatino Linotype" w:hAnsi="Palatino Linotype" w:cs="Arial"/>
          <w:color w:val="000000" w:themeColor="text1"/>
        </w:rPr>
        <w:t xml:space="preserve"> de dos mil </w:t>
      </w:r>
      <w:r w:rsidR="004D465B" w:rsidRPr="00752B18">
        <w:rPr>
          <w:rFonts w:ascii="Palatino Linotype" w:hAnsi="Palatino Linotype" w:cs="Arial"/>
          <w:color w:val="000000" w:themeColor="text1"/>
        </w:rPr>
        <w:t>veintitrés</w:t>
      </w:r>
      <w:r w:rsidR="009F09BC" w:rsidRPr="00752B18">
        <w:rPr>
          <w:rFonts w:ascii="Palatino Linotype" w:hAnsi="Palatino Linotype" w:cs="Arial"/>
          <w:color w:val="000000" w:themeColor="text1"/>
        </w:rPr>
        <w:t xml:space="preserve">, el </w:t>
      </w:r>
      <w:r w:rsidR="009F09BC" w:rsidRPr="00752B18">
        <w:rPr>
          <w:rFonts w:ascii="Palatino Linotype" w:hAnsi="Palatino Linotype" w:cs="Arial"/>
          <w:b/>
          <w:color w:val="000000" w:themeColor="text1"/>
        </w:rPr>
        <w:t>SUJETO OBLIGADO,</w:t>
      </w:r>
      <w:r w:rsidR="00EB1CE2" w:rsidRPr="00752B18">
        <w:rPr>
          <w:rFonts w:ascii="Palatino Linotype" w:hAnsi="Palatino Linotype" w:cs="Arial"/>
          <w:color w:val="000000" w:themeColor="text1"/>
        </w:rPr>
        <w:t xml:space="preserve"> dio respuesta a través del archivo electrónico denominado </w:t>
      </w:r>
      <w:hyperlink r:id="rId8" w:tgtFrame="_blank" w:history="1">
        <w:r w:rsidR="006B63AB" w:rsidRPr="00752B18">
          <w:rPr>
            <w:b/>
            <w:i/>
            <w:color w:val="000000" w:themeColor="text1"/>
          </w:rPr>
          <w:t>CONTESTACIÓN 00008-2023.pdf</w:t>
        </w:r>
      </w:hyperlink>
      <w:r w:rsidR="00EB1CE2" w:rsidRPr="00752B18">
        <w:rPr>
          <w:rFonts w:ascii="Palatino Linotype" w:hAnsi="Palatino Linotype" w:cs="Arial"/>
          <w:b/>
          <w:i/>
          <w:color w:val="000000" w:themeColor="text1"/>
        </w:rPr>
        <w:t>,</w:t>
      </w:r>
      <w:r w:rsidR="00EB1CE2" w:rsidRPr="00752B18">
        <w:rPr>
          <w:rFonts w:ascii="Palatino Linotype" w:hAnsi="Palatino Linotype" w:cs="Arial"/>
          <w:i/>
          <w:color w:val="000000" w:themeColor="text1"/>
        </w:rPr>
        <w:t xml:space="preserve"> </w:t>
      </w:r>
      <w:r w:rsidR="00EB1CE2" w:rsidRPr="00752B18">
        <w:rPr>
          <w:rFonts w:ascii="Palatino Linotype" w:hAnsi="Palatino Linotype" w:cs="Arial"/>
          <w:color w:val="000000" w:themeColor="text1"/>
        </w:rPr>
        <w:t>cuyo contenido corresponde</w:t>
      </w:r>
      <w:r w:rsidR="009C4CE8" w:rsidRPr="00752B18">
        <w:rPr>
          <w:rFonts w:ascii="Palatino Linotype" w:hAnsi="Palatino Linotype" w:cs="Arial"/>
          <w:color w:val="000000" w:themeColor="text1"/>
        </w:rPr>
        <w:t xml:space="preserve"> a lo solicitado por el ahora recurrente.</w:t>
      </w:r>
    </w:p>
    <w:p w:rsidR="003A06E6" w:rsidRPr="00752B18" w:rsidRDefault="003A06E6" w:rsidP="003A06E6">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752B18" w:rsidRDefault="0041640E"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52B18">
        <w:rPr>
          <w:rFonts w:ascii="Palatino Linotype" w:eastAsia="Times New Roman" w:hAnsi="Palatino Linotype" w:cs="Arial"/>
          <w:color w:val="000000" w:themeColor="text1"/>
          <w:lang w:val="es-ES"/>
        </w:rPr>
        <w:t xml:space="preserve">Inconforme con lo anterior, en fecha </w:t>
      </w:r>
      <w:r w:rsidR="009C4CE8" w:rsidRPr="00752B18">
        <w:rPr>
          <w:rFonts w:ascii="Palatino Linotype" w:eastAsia="Times New Roman" w:hAnsi="Palatino Linotype" w:cs="Arial"/>
          <w:color w:val="000000" w:themeColor="text1"/>
          <w:lang w:val="es-ES"/>
        </w:rPr>
        <w:t>seis de septiembre</w:t>
      </w:r>
      <w:r w:rsidR="009F09BC" w:rsidRPr="00752B18">
        <w:rPr>
          <w:rFonts w:ascii="Palatino Linotype" w:eastAsia="Times New Roman" w:hAnsi="Palatino Linotype" w:cs="Arial"/>
          <w:color w:val="000000" w:themeColor="text1"/>
          <w:lang w:val="es-ES"/>
        </w:rPr>
        <w:t xml:space="preserve"> de </w:t>
      </w:r>
      <w:r w:rsidR="00025C53" w:rsidRPr="00752B18">
        <w:rPr>
          <w:rFonts w:ascii="Palatino Linotype" w:eastAsia="Times New Roman" w:hAnsi="Palatino Linotype" w:cs="Arial"/>
          <w:color w:val="000000" w:themeColor="text1"/>
          <w:lang w:val="es-ES"/>
        </w:rPr>
        <w:t xml:space="preserve">dos mil </w:t>
      </w:r>
      <w:r w:rsidR="004D465B" w:rsidRPr="00752B18">
        <w:rPr>
          <w:rFonts w:ascii="Palatino Linotype" w:eastAsia="Times New Roman" w:hAnsi="Palatino Linotype" w:cs="Arial"/>
          <w:color w:val="000000" w:themeColor="text1"/>
          <w:lang w:val="es-ES"/>
        </w:rPr>
        <w:t>veintitrés</w:t>
      </w:r>
      <w:r w:rsidR="009F09BC" w:rsidRPr="00752B18">
        <w:rPr>
          <w:rFonts w:ascii="Palatino Linotype" w:eastAsia="Times New Roman" w:hAnsi="Palatino Linotype" w:cs="Arial"/>
          <w:color w:val="000000" w:themeColor="text1"/>
          <w:lang w:val="es-ES"/>
        </w:rPr>
        <w:t xml:space="preserve">, el particular interpuso </w:t>
      </w:r>
      <w:r w:rsidR="002C4997" w:rsidRPr="00752B18">
        <w:rPr>
          <w:rFonts w:ascii="Palatino Linotype" w:eastAsia="Times New Roman" w:hAnsi="Palatino Linotype" w:cs="Arial"/>
          <w:color w:val="000000" w:themeColor="text1"/>
          <w:lang w:val="es-ES"/>
        </w:rPr>
        <w:t>e</w:t>
      </w:r>
      <w:r w:rsidR="009F09BC" w:rsidRPr="00752B18">
        <w:rPr>
          <w:rFonts w:ascii="Palatino Linotype" w:eastAsia="Times New Roman" w:hAnsi="Palatino Linotype" w:cs="Arial"/>
          <w:color w:val="000000" w:themeColor="text1"/>
          <w:lang w:val="es-ES"/>
        </w:rPr>
        <w:t>l recurso de revisión en contra de la respuesta, manifestando l</w:t>
      </w:r>
      <w:r w:rsidR="002C4997" w:rsidRPr="00752B18">
        <w:rPr>
          <w:rFonts w:ascii="Palatino Linotype" w:eastAsia="Times New Roman" w:hAnsi="Palatino Linotype" w:cs="Arial"/>
          <w:color w:val="000000" w:themeColor="text1"/>
          <w:lang w:val="es-ES"/>
        </w:rPr>
        <w:t>a</w:t>
      </w:r>
      <w:r w:rsidR="009F09BC" w:rsidRPr="00752B18">
        <w:rPr>
          <w:rFonts w:ascii="Palatino Linotype" w:eastAsia="Times New Roman" w:hAnsi="Palatino Linotype" w:cs="Arial"/>
          <w:color w:val="000000" w:themeColor="text1"/>
          <w:lang w:val="es-ES"/>
        </w:rPr>
        <w:t xml:space="preserve">s </w:t>
      </w:r>
      <w:r w:rsidR="002C4997" w:rsidRPr="00752B18">
        <w:rPr>
          <w:rFonts w:ascii="Palatino Linotype" w:eastAsia="Times New Roman" w:hAnsi="Palatino Linotype" w:cs="Arial"/>
          <w:color w:val="000000" w:themeColor="text1"/>
          <w:lang w:val="es-ES"/>
        </w:rPr>
        <w:t>siguientes</w:t>
      </w:r>
      <w:r w:rsidR="009F09BC" w:rsidRPr="00752B18">
        <w:rPr>
          <w:rFonts w:ascii="Palatino Linotype" w:eastAsia="Times New Roman" w:hAnsi="Palatino Linotype" w:cs="Arial"/>
          <w:color w:val="000000" w:themeColor="text1"/>
          <w:lang w:val="es-ES"/>
        </w:rPr>
        <w:t xml:space="preserve"> razones o motivos de inconformidad:</w:t>
      </w:r>
    </w:p>
    <w:p w:rsidR="009F09BC" w:rsidRPr="00BD778A" w:rsidRDefault="009F09BC" w:rsidP="009F09BC">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BD778A" w:rsidRDefault="009F09BC" w:rsidP="00EB1CE2">
      <w:pPr>
        <w:pStyle w:val="Prrafodelista"/>
        <w:numPr>
          <w:ilvl w:val="0"/>
          <w:numId w:val="23"/>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BD778A">
        <w:rPr>
          <w:rStyle w:val="Ttulo2Car"/>
          <w:rFonts w:ascii="Palatino Linotype" w:hAnsi="Palatino Linotype"/>
          <w:b/>
          <w:color w:val="000000" w:themeColor="text1"/>
          <w:sz w:val="22"/>
          <w:szCs w:val="24"/>
        </w:rPr>
        <w:t>Acto impugnado</w:t>
      </w:r>
      <w:bookmarkEnd w:id="4"/>
      <w:r w:rsidRPr="00BD778A">
        <w:rPr>
          <w:rStyle w:val="Ttulo2Car"/>
          <w:rFonts w:ascii="Palatino Linotype" w:hAnsi="Palatino Linotype"/>
          <w:b/>
          <w:color w:val="000000" w:themeColor="text1"/>
          <w:sz w:val="22"/>
          <w:szCs w:val="24"/>
        </w:rPr>
        <w:t xml:space="preserve">: </w:t>
      </w:r>
      <w:r w:rsidRPr="00BD778A">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9C4CE8" w:rsidRPr="00BD778A">
        <w:rPr>
          <w:rFonts w:ascii="Palatino Linotype" w:eastAsiaTheme="majorEastAsia" w:hAnsi="Palatino Linotype" w:cstheme="majorBidi"/>
          <w:i/>
          <w:color w:val="000000" w:themeColor="text1"/>
          <w:sz w:val="22"/>
        </w:rPr>
        <w:t>No se entrego la información</w:t>
      </w:r>
      <w:r w:rsidRPr="00BD778A">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BD778A" w:rsidRDefault="009F09BC" w:rsidP="002650A0">
      <w:pPr>
        <w:spacing w:line="360" w:lineRule="auto"/>
        <w:jc w:val="both"/>
        <w:rPr>
          <w:rFonts w:ascii="Palatino Linotype" w:hAnsi="Palatino Linotype"/>
          <w:i/>
          <w:color w:val="000000" w:themeColor="text1"/>
          <w:sz w:val="22"/>
        </w:rPr>
      </w:pPr>
    </w:p>
    <w:p w:rsidR="009F09BC" w:rsidRPr="00BD778A" w:rsidRDefault="009F09BC" w:rsidP="00EB1CE2">
      <w:pPr>
        <w:pStyle w:val="Prrafodelista"/>
        <w:numPr>
          <w:ilvl w:val="0"/>
          <w:numId w:val="23"/>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BD778A">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BD778A">
        <w:rPr>
          <w:rFonts w:ascii="Palatino Linotype" w:hAnsi="Palatino Linotype"/>
          <w:b/>
          <w:color w:val="000000" w:themeColor="text1"/>
          <w:sz w:val="22"/>
        </w:rPr>
        <w:t xml:space="preserve"> </w:t>
      </w:r>
      <w:r w:rsidRPr="00BD778A">
        <w:rPr>
          <w:rFonts w:ascii="Palatino Linotype" w:hAnsi="Palatino Linotype"/>
          <w:i/>
          <w:color w:val="000000" w:themeColor="text1"/>
          <w:sz w:val="22"/>
        </w:rPr>
        <w:t>“</w:t>
      </w:r>
      <w:r w:rsidR="009C4CE8" w:rsidRPr="00BD778A">
        <w:rPr>
          <w:rFonts w:ascii="Palatino Linotype" w:hAnsi="Palatino Linotype"/>
          <w:i/>
          <w:color w:val="000000" w:themeColor="text1"/>
          <w:sz w:val="22"/>
        </w:rPr>
        <w:t>No se entrego la información</w:t>
      </w:r>
      <w:r w:rsidRPr="00BD778A">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B1CE2" w:rsidRPr="00BD778A" w:rsidRDefault="00EB1CE2" w:rsidP="00EB1CE2">
      <w:pPr>
        <w:pStyle w:val="Prrafodelista"/>
        <w:rPr>
          <w:rFonts w:ascii="Palatino Linotype" w:hAnsi="Palatino Linotype"/>
          <w:i/>
          <w:color w:val="000000" w:themeColor="text1"/>
          <w:sz w:val="22"/>
        </w:rPr>
      </w:pPr>
    </w:p>
    <w:p w:rsidR="009F09BC" w:rsidRPr="00752B18" w:rsidRDefault="0041640E" w:rsidP="000F5C5B">
      <w:pPr>
        <w:pStyle w:val="Prrafodelista"/>
        <w:numPr>
          <w:ilvl w:val="0"/>
          <w:numId w:val="15"/>
        </w:numPr>
        <w:tabs>
          <w:tab w:val="left" w:pos="0"/>
        </w:tabs>
        <w:spacing w:line="360" w:lineRule="auto"/>
        <w:ind w:left="0" w:right="49" w:firstLine="0"/>
        <w:jc w:val="both"/>
        <w:rPr>
          <w:rFonts w:ascii="Palatino Linotype" w:eastAsia="Times New Roman" w:hAnsi="Palatino Linotype" w:cs="Arial"/>
          <w:color w:val="000000" w:themeColor="text1"/>
          <w:lang w:val="es-ES"/>
        </w:rPr>
      </w:pPr>
      <w:r w:rsidRPr="00752B18">
        <w:rPr>
          <w:rFonts w:ascii="Palatino Linotype" w:eastAsia="Times New Roman" w:hAnsi="Palatino Linotype" w:cs="Arial"/>
          <w:color w:val="000000" w:themeColor="text1"/>
          <w:lang w:val="es-ES"/>
        </w:rPr>
        <w:t>En atención a lo anterior, l</w:t>
      </w:r>
      <w:r w:rsidR="00CC5B2F" w:rsidRPr="00752B18">
        <w:rPr>
          <w:rFonts w:ascii="Palatino Linotype" w:eastAsia="Times New Roman" w:hAnsi="Palatino Linotype" w:cs="Arial"/>
          <w:color w:val="000000" w:themeColor="text1"/>
          <w:lang w:val="es-ES"/>
        </w:rPr>
        <w:t>a Comisionada</w:t>
      </w:r>
      <w:r w:rsidR="009F09BC" w:rsidRPr="00752B18">
        <w:rPr>
          <w:rFonts w:ascii="Palatino Linotype" w:eastAsia="Times New Roman" w:hAnsi="Palatino Linotype" w:cs="Arial"/>
          <w:color w:val="000000" w:themeColor="text1"/>
          <w:lang w:val="es-ES"/>
        </w:rPr>
        <w:t xml:space="preserve"> Ponente con fundamento en lo dispuesto por el artículo 185 fracción II de la ley de la materia, a través </w:t>
      </w:r>
      <w:r w:rsidR="009C4CE8" w:rsidRPr="00752B18">
        <w:rPr>
          <w:rFonts w:ascii="Palatino Linotype" w:eastAsia="Times New Roman" w:hAnsi="Palatino Linotype" w:cs="Arial"/>
          <w:color w:val="000000" w:themeColor="text1"/>
          <w:lang w:val="es-ES"/>
        </w:rPr>
        <w:t xml:space="preserve">del acuerdo de admisión de </w:t>
      </w:r>
      <w:r w:rsidR="00875ED6" w:rsidRPr="00752B18">
        <w:rPr>
          <w:rFonts w:ascii="Palatino Linotype" w:eastAsia="Times New Roman" w:hAnsi="Palatino Linotype" w:cs="Arial"/>
          <w:color w:val="000000" w:themeColor="text1"/>
          <w:lang w:val="es-ES"/>
        </w:rPr>
        <w:t>do</w:t>
      </w:r>
      <w:r w:rsidR="009C4CE8" w:rsidRPr="00752B18">
        <w:rPr>
          <w:rFonts w:ascii="Palatino Linotype" w:eastAsia="Times New Roman" w:hAnsi="Palatino Linotype" w:cs="Arial"/>
          <w:color w:val="000000" w:themeColor="text1"/>
          <w:lang w:val="es-ES"/>
        </w:rPr>
        <w:t>ce de septiembre</w:t>
      </w:r>
      <w:r w:rsidR="009F09BC" w:rsidRPr="00752B18">
        <w:rPr>
          <w:rFonts w:ascii="Palatino Linotype" w:eastAsia="Times New Roman" w:hAnsi="Palatino Linotype" w:cs="Arial"/>
          <w:color w:val="000000" w:themeColor="text1"/>
          <w:lang w:val="es-ES"/>
        </w:rPr>
        <w:t xml:space="preserve"> del año en curso, puso a disposición de las partes el expediente electrónico vía SAIMEX a efecto de que en un plazo máximo de siete días </w:t>
      </w:r>
      <w:r w:rsidR="009C4CE8" w:rsidRPr="00752B18">
        <w:rPr>
          <w:rFonts w:ascii="Palatino Linotype" w:eastAsia="Times New Roman" w:hAnsi="Palatino Linotype" w:cs="Arial"/>
          <w:color w:val="000000" w:themeColor="text1"/>
          <w:lang w:val="es-ES"/>
        </w:rPr>
        <w:t>manifestaran lo que a su derecho conviniera, ofrecieran pruebas y presentaran alegatos, y el SUJETO OBLIGADO rindiera el Informe Justificado correspondiente</w:t>
      </w:r>
      <w:r w:rsidR="009F09BC" w:rsidRPr="00752B18">
        <w:rPr>
          <w:rFonts w:ascii="Palatino Linotype" w:eastAsia="Times New Roman" w:hAnsi="Palatino Linotype" w:cs="Arial"/>
          <w:color w:val="000000" w:themeColor="text1"/>
          <w:lang w:val="es-ES"/>
        </w:rPr>
        <w:t>.</w:t>
      </w:r>
    </w:p>
    <w:p w:rsidR="009F09BC" w:rsidRPr="00752B18" w:rsidRDefault="009F09BC" w:rsidP="009F09BC">
      <w:pPr>
        <w:pStyle w:val="Prrafodelista"/>
        <w:spacing w:before="240" w:after="240" w:line="360" w:lineRule="auto"/>
        <w:ind w:left="0"/>
        <w:jc w:val="both"/>
        <w:rPr>
          <w:rFonts w:ascii="Palatino Linotype" w:hAnsi="Palatino Linotype"/>
          <w:color w:val="000000" w:themeColor="text1"/>
        </w:rPr>
      </w:pPr>
    </w:p>
    <w:p w:rsidR="00ED6E75" w:rsidRPr="00752B18" w:rsidRDefault="009C4CE8" w:rsidP="00ED6E75">
      <w:pPr>
        <w:pStyle w:val="Prrafodelista"/>
        <w:numPr>
          <w:ilvl w:val="0"/>
          <w:numId w:val="15"/>
        </w:numPr>
        <w:spacing w:before="240" w:after="240" w:line="360" w:lineRule="auto"/>
        <w:ind w:left="0" w:firstLine="0"/>
        <w:jc w:val="both"/>
        <w:rPr>
          <w:rFonts w:ascii="Palatino Linotype" w:hAnsi="Palatino Linotype"/>
          <w:color w:val="000000" w:themeColor="text1"/>
        </w:rPr>
      </w:pPr>
      <w:r w:rsidRPr="00752B18">
        <w:rPr>
          <w:rFonts w:ascii="Palatino Linotype" w:hAnsi="Palatino Linotype"/>
          <w:color w:val="000000" w:themeColor="text1"/>
        </w:rPr>
        <w:t xml:space="preserve">Una vez fenecido el término para los efectos enunciados con antelación, </w:t>
      </w:r>
      <w:r w:rsidRPr="00752B18">
        <w:rPr>
          <w:rFonts w:ascii="Palatino Linotype" w:hAnsi="Palatino Linotype"/>
          <w:b/>
          <w:color w:val="000000" w:themeColor="text1"/>
        </w:rPr>
        <w:t>EL RECURRENTE</w:t>
      </w:r>
      <w:r w:rsidRPr="00752B18">
        <w:rPr>
          <w:rFonts w:ascii="Palatino Linotype" w:hAnsi="Palatino Linotype"/>
          <w:color w:val="000000" w:themeColor="text1"/>
        </w:rPr>
        <w:t xml:space="preserve"> y </w:t>
      </w:r>
      <w:r w:rsidRPr="00752B18">
        <w:rPr>
          <w:rFonts w:ascii="Palatino Linotype" w:hAnsi="Palatino Linotype"/>
          <w:b/>
          <w:color w:val="000000" w:themeColor="text1"/>
        </w:rPr>
        <w:t>EL</w:t>
      </w:r>
      <w:r w:rsidR="009F09BC" w:rsidRPr="00752B18">
        <w:rPr>
          <w:rFonts w:ascii="Palatino Linotype" w:hAnsi="Palatino Linotype"/>
          <w:color w:val="000000" w:themeColor="text1"/>
        </w:rPr>
        <w:t xml:space="preserve"> </w:t>
      </w:r>
      <w:r w:rsidR="009F09BC" w:rsidRPr="00752B18">
        <w:rPr>
          <w:rFonts w:ascii="Palatino Linotype" w:hAnsi="Palatino Linotype"/>
          <w:b/>
          <w:color w:val="000000" w:themeColor="text1"/>
        </w:rPr>
        <w:t xml:space="preserve">SUJETO </w:t>
      </w:r>
      <w:r w:rsidR="009F09BC" w:rsidRPr="00752B18">
        <w:rPr>
          <w:rFonts w:ascii="Palatino Linotype" w:eastAsia="Calibri" w:hAnsi="Palatino Linotype" w:cs="Arial"/>
          <w:b/>
          <w:color w:val="000000" w:themeColor="text1"/>
          <w:lang w:val="es-ES"/>
        </w:rPr>
        <w:t>OBLIGADO</w:t>
      </w:r>
      <w:r w:rsidRPr="00752B18">
        <w:rPr>
          <w:rFonts w:ascii="Palatino Linotype" w:hAnsi="Palatino Linotype"/>
          <w:color w:val="000000" w:themeColor="text1"/>
        </w:rPr>
        <w:t xml:space="preserve">, </w:t>
      </w:r>
      <w:r w:rsidR="0041640E" w:rsidRPr="00752B18">
        <w:rPr>
          <w:rFonts w:ascii="Palatino Linotype" w:hAnsi="Palatino Linotype"/>
          <w:color w:val="000000" w:themeColor="text1"/>
        </w:rPr>
        <w:t>no realizaron</w:t>
      </w:r>
      <w:r w:rsidRPr="00752B18">
        <w:rPr>
          <w:rFonts w:ascii="Palatino Linotype" w:hAnsi="Palatino Linotype"/>
          <w:color w:val="000000" w:themeColor="text1"/>
        </w:rPr>
        <w:t xml:space="preserve"> manifestaci</w:t>
      </w:r>
      <w:r w:rsidR="009D3338" w:rsidRPr="00752B18">
        <w:rPr>
          <w:rFonts w:ascii="Palatino Linotype" w:hAnsi="Palatino Linotype"/>
          <w:color w:val="000000" w:themeColor="text1"/>
        </w:rPr>
        <w:t>ón alguna.</w:t>
      </w:r>
    </w:p>
    <w:p w:rsidR="007601B1" w:rsidRPr="00752B18" w:rsidRDefault="007601B1" w:rsidP="007601B1">
      <w:pPr>
        <w:pStyle w:val="Prrafodelista"/>
        <w:rPr>
          <w:rFonts w:ascii="Palatino Linotype" w:hAnsi="Palatino Linotype"/>
          <w:color w:val="000000" w:themeColor="text1"/>
        </w:rPr>
      </w:pPr>
    </w:p>
    <w:p w:rsidR="00A56791" w:rsidRPr="00752B18" w:rsidRDefault="007601B1" w:rsidP="00BE4BCE">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752B18">
        <w:rPr>
          <w:rFonts w:ascii="Palatino Linotype" w:hAnsi="Palatino Linotype"/>
          <w:color w:val="000000" w:themeColor="text1"/>
        </w:rPr>
        <w:lastRenderedPageBreak/>
        <w:t xml:space="preserve">Finalmente </w:t>
      </w:r>
      <w:r w:rsidR="00D367B4" w:rsidRPr="00752B18">
        <w:rPr>
          <w:rFonts w:ascii="Palatino Linotype" w:hAnsi="Palatino Linotype"/>
          <w:color w:val="000000" w:themeColor="text1"/>
        </w:rPr>
        <w:t xml:space="preserve">mediante acuerdo de </w:t>
      </w:r>
      <w:r w:rsidR="00875ED6" w:rsidRPr="00752B18">
        <w:rPr>
          <w:rFonts w:ascii="Palatino Linotype" w:hAnsi="Palatino Linotype"/>
          <w:color w:val="000000" w:themeColor="text1"/>
        </w:rPr>
        <w:t xml:space="preserve">día nueve de octubre del año en curso </w:t>
      </w:r>
      <w:r w:rsidR="0001674C" w:rsidRPr="00752B18">
        <w:rPr>
          <w:rFonts w:ascii="Palatino Linotype" w:hAnsi="Palatino Linotype"/>
          <w:color w:val="000000" w:themeColor="text1"/>
        </w:rPr>
        <w:t>se d</w:t>
      </w:r>
      <w:r w:rsidR="006672E1" w:rsidRPr="00752B18">
        <w:rPr>
          <w:rFonts w:ascii="Palatino Linotype" w:hAnsi="Palatino Linotype"/>
          <w:color w:val="000000" w:themeColor="text1"/>
        </w:rPr>
        <w:t>ecretó el cierre de instrucción</w:t>
      </w:r>
      <w:r w:rsidR="0001674C" w:rsidRPr="00752B18">
        <w:rPr>
          <w:rFonts w:ascii="Palatino Linotype" w:hAnsi="Palatino Linotype"/>
          <w:color w:val="000000" w:themeColor="text1"/>
        </w:rPr>
        <w:t xml:space="preserve">, </w:t>
      </w:r>
      <w:r w:rsidR="009F09BC" w:rsidRPr="00752B18">
        <w:rPr>
          <w:rFonts w:ascii="Palatino Linotype" w:hAnsi="Palatino Linotype" w:cs="Arial"/>
          <w:color w:val="000000" w:themeColor="text1"/>
        </w:rPr>
        <w:t>por lo que no habiendo más que hacer constar, y ---</w:t>
      </w:r>
    </w:p>
    <w:p w:rsidR="009F09BC" w:rsidRPr="00752B18" w:rsidRDefault="009F09BC" w:rsidP="00A5679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752B18">
        <w:rPr>
          <w:rFonts w:ascii="Palatino Linotype" w:hAnsi="Palatino Linotype"/>
          <w:b/>
          <w:color w:val="000000" w:themeColor="text1"/>
          <w:sz w:val="24"/>
          <w:szCs w:val="24"/>
        </w:rPr>
        <w:t>CONSIDERANDO</w:t>
      </w:r>
      <w:bookmarkEnd w:id="134"/>
      <w:bookmarkEnd w:id="135"/>
    </w:p>
    <w:p w:rsidR="009F09BC" w:rsidRPr="00752B18" w:rsidRDefault="009F09BC" w:rsidP="009F09BC">
      <w:pPr>
        <w:rPr>
          <w:rFonts w:ascii="Palatino Linotype" w:hAnsi="Palatino Linotype"/>
          <w:color w:val="000000" w:themeColor="text1"/>
          <w:lang w:val="es-MX" w:eastAsia="en-US"/>
        </w:rPr>
      </w:pPr>
    </w:p>
    <w:p w:rsidR="009F09BC" w:rsidRPr="00752B18" w:rsidRDefault="009F09BC" w:rsidP="009F09BC">
      <w:pPr>
        <w:pStyle w:val="Ttulo2"/>
        <w:rPr>
          <w:rFonts w:ascii="Palatino Linotype" w:hAnsi="Palatino Linotype"/>
          <w:b/>
          <w:color w:val="000000" w:themeColor="text1"/>
          <w:sz w:val="24"/>
          <w:szCs w:val="24"/>
        </w:rPr>
      </w:pPr>
      <w:bookmarkStart w:id="136" w:name="_Toc491791303"/>
      <w:bookmarkStart w:id="137" w:name="_Toc83128579"/>
      <w:r w:rsidRPr="00752B18">
        <w:rPr>
          <w:rFonts w:ascii="Palatino Linotype" w:hAnsi="Palatino Linotype"/>
          <w:b/>
          <w:color w:val="000000" w:themeColor="text1"/>
          <w:sz w:val="24"/>
          <w:szCs w:val="24"/>
        </w:rPr>
        <w:t>PRIMERO. De la competencia</w:t>
      </w:r>
      <w:bookmarkEnd w:id="136"/>
      <w:bookmarkEnd w:id="137"/>
    </w:p>
    <w:p w:rsidR="00353F1D" w:rsidRPr="00752B18" w:rsidRDefault="00875ED6" w:rsidP="00456AEE">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hAnsi="Palatino Linotype"/>
          <w:color w:val="000000" w:themeColor="text1"/>
        </w:rPr>
        <w:t xml:space="preserve">Este Instituto de Transparencia, Acceso a la Información Pública y Protección de Datos Personales del Estado de </w:t>
      </w:r>
      <w:r w:rsidRPr="00752B18">
        <w:rPr>
          <w:rFonts w:ascii="Palatino Linotype" w:hAnsi="Palatino Linotype"/>
        </w:rPr>
        <w:t>México</w:t>
      </w:r>
      <w:r w:rsidRPr="00752B18">
        <w:rPr>
          <w:rFonts w:ascii="Palatino Linotype" w:hAnsi="Palatino Linotype"/>
          <w:color w:val="000000" w:themeColor="text1"/>
        </w:rPr>
        <w:t xml:space="preserve">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56AEE" w:rsidRPr="00752B18">
        <w:rPr>
          <w:rFonts w:ascii="Palatino Linotype" w:hAnsi="Palatino Linotype"/>
        </w:rPr>
        <w:t>.</w:t>
      </w:r>
    </w:p>
    <w:p w:rsidR="009F09BC" w:rsidRPr="00752B18"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752B18" w:rsidRDefault="009F09BC" w:rsidP="00456AEE">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752B18">
        <w:rPr>
          <w:rFonts w:ascii="Palatino Linotype" w:hAnsi="Palatino Linotype"/>
          <w:b/>
          <w:color w:val="000000" w:themeColor="text1"/>
          <w:sz w:val="24"/>
          <w:szCs w:val="24"/>
        </w:rPr>
        <w:t>SEGUNDO. De la oportunidad y procedencia.</w:t>
      </w:r>
      <w:bookmarkEnd w:id="138"/>
      <w:bookmarkEnd w:id="139"/>
    </w:p>
    <w:p w:rsidR="000F5C5B" w:rsidRDefault="00425842" w:rsidP="000F5C5B">
      <w:pPr>
        <w:pStyle w:val="Prrafodelista"/>
        <w:numPr>
          <w:ilvl w:val="0"/>
          <w:numId w:val="15"/>
        </w:numPr>
        <w:spacing w:line="360" w:lineRule="auto"/>
        <w:ind w:left="0" w:firstLine="0"/>
        <w:jc w:val="both"/>
        <w:rPr>
          <w:rFonts w:ascii="Palatino Linotype" w:hAnsi="Palatino Linotype"/>
        </w:rPr>
      </w:pPr>
      <w:r w:rsidRPr="00752B18">
        <w:rPr>
          <w:rFonts w:ascii="Palatino Linotype" w:hAnsi="Palatino Linotype"/>
        </w:rPr>
        <w:t>El</w:t>
      </w:r>
      <w:r w:rsidR="000F5C5B" w:rsidRPr="00752B18">
        <w:rPr>
          <w:rFonts w:ascii="Palatino Linotype" w:hAnsi="Palatino Linotype"/>
        </w:rPr>
        <w:t xml:space="preserve"> presente </w:t>
      </w:r>
      <w:r w:rsidR="009F09BC" w:rsidRPr="00752B18">
        <w:rPr>
          <w:rFonts w:ascii="Palatino Linotype" w:hAnsi="Palatino Linotype"/>
        </w:rPr>
        <w:t>medio de impugnación fue presentado a través del SAIMEX, en el formato previamente aprobado para tal efecto</w:t>
      </w:r>
      <w:r w:rsidR="009D3338" w:rsidRPr="00752B18">
        <w:rPr>
          <w:rFonts w:ascii="Palatino Linotype" w:hAnsi="Palatino Linotype"/>
        </w:rPr>
        <w:t xml:space="preserve">, </w:t>
      </w:r>
      <w:r w:rsidR="000F5C5B" w:rsidRPr="00752B18">
        <w:rPr>
          <w:rFonts w:ascii="Palatino Linotype" w:hAnsi="Palatino Linotype"/>
        </w:rPr>
        <w:t>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D778A" w:rsidRPr="00BD778A" w:rsidRDefault="00BD778A" w:rsidP="00BD778A">
      <w:pPr>
        <w:spacing w:line="360" w:lineRule="auto"/>
        <w:jc w:val="both"/>
        <w:rPr>
          <w:rFonts w:ascii="Palatino Linotype" w:hAnsi="Palatino Linotype"/>
        </w:rPr>
      </w:pPr>
    </w:p>
    <w:p w:rsidR="00EB1CE2" w:rsidRPr="00752B18" w:rsidRDefault="000F5C5B" w:rsidP="000F5C5B">
      <w:pPr>
        <w:pStyle w:val="Prrafodelista"/>
        <w:numPr>
          <w:ilvl w:val="0"/>
          <w:numId w:val="15"/>
        </w:numPr>
        <w:spacing w:line="360" w:lineRule="auto"/>
        <w:ind w:left="0" w:firstLine="0"/>
        <w:jc w:val="both"/>
        <w:rPr>
          <w:rFonts w:ascii="Palatino Linotype" w:hAnsi="Palatino Linotype"/>
        </w:rPr>
      </w:pPr>
      <w:r w:rsidRPr="00752B18">
        <w:rPr>
          <w:rFonts w:ascii="Palatino Linotype" w:hAnsi="Palatino Linotype"/>
        </w:rPr>
        <w:lastRenderedPageBreak/>
        <w:t>No obstante lo anterior</w:t>
      </w:r>
      <w:r w:rsidR="009D3338" w:rsidRPr="00752B18">
        <w:rPr>
          <w:rFonts w:ascii="Palatino Linotype" w:eastAsia="Calibri" w:hAnsi="Palatino Linotype" w:cs="Arial"/>
          <w:color w:val="000000" w:themeColor="text1"/>
        </w:rPr>
        <w:t xml:space="preserve">, el mismo fue presentado </w:t>
      </w:r>
      <w:r w:rsidR="00EB03C4" w:rsidRPr="00752B18">
        <w:rPr>
          <w:rFonts w:ascii="Palatino Linotype" w:eastAsia="Calibri" w:hAnsi="Palatino Linotype" w:cs="Arial"/>
          <w:color w:val="000000" w:themeColor="text1"/>
        </w:rPr>
        <w:t xml:space="preserve">en fecha tres de febrero del presente año, encontrándose </w:t>
      </w:r>
      <w:r w:rsidR="009D3338" w:rsidRPr="00752B18">
        <w:rPr>
          <w:rFonts w:ascii="Palatino Linotype" w:eastAsia="Calibri" w:hAnsi="Palatino Linotype" w:cs="Arial"/>
          <w:color w:val="000000" w:themeColor="text1"/>
        </w:rPr>
        <w:t>fuera del plazo de 15 días establecido para tal efecto, es decir, de manera extempor</w:t>
      </w:r>
      <w:r w:rsidR="00EB03C4" w:rsidRPr="00752B18">
        <w:rPr>
          <w:rFonts w:ascii="Palatino Linotype" w:eastAsia="Calibri" w:hAnsi="Palatino Linotype" w:cs="Arial"/>
          <w:color w:val="000000" w:themeColor="text1"/>
        </w:rPr>
        <w:t>ánea</w:t>
      </w:r>
      <w:r w:rsidR="00597734" w:rsidRPr="00752B18">
        <w:rPr>
          <w:rFonts w:ascii="Palatino Linotype" w:eastAsia="Calibri" w:hAnsi="Palatino Linotype" w:cs="Arial"/>
          <w:color w:val="000000" w:themeColor="text1"/>
        </w:rPr>
        <w:t>.</w:t>
      </w:r>
    </w:p>
    <w:p w:rsidR="000F5C5B" w:rsidRPr="00752B18" w:rsidRDefault="000F5C5B" w:rsidP="000F5C5B">
      <w:pPr>
        <w:pStyle w:val="Prrafodelista"/>
        <w:spacing w:line="360" w:lineRule="auto"/>
        <w:ind w:left="0"/>
        <w:jc w:val="both"/>
        <w:rPr>
          <w:rFonts w:ascii="Palatino Linotype" w:eastAsia="Calibri" w:hAnsi="Palatino Linotype" w:cs="Arial"/>
          <w:color w:val="000000" w:themeColor="text1"/>
        </w:rPr>
      </w:pPr>
    </w:p>
    <w:p w:rsidR="009F09BC" w:rsidRPr="00752B18" w:rsidRDefault="009F09BC" w:rsidP="00875ED6">
      <w:pPr>
        <w:pStyle w:val="Prrafodelista"/>
        <w:spacing w:line="360" w:lineRule="auto"/>
        <w:ind w:left="0"/>
        <w:jc w:val="both"/>
        <w:rPr>
          <w:rFonts w:ascii="Palatino Linotype" w:hAnsi="Palatino Linotype"/>
          <w:b/>
          <w:color w:val="000000" w:themeColor="text1"/>
        </w:rPr>
      </w:pPr>
      <w:bookmarkStart w:id="140" w:name="_Toc34246179"/>
      <w:bookmarkStart w:id="141" w:name="_Toc50033991"/>
      <w:bookmarkStart w:id="142" w:name="_Toc51259588"/>
      <w:bookmarkStart w:id="143" w:name="_Toc83128581"/>
      <w:r w:rsidRPr="00752B18">
        <w:rPr>
          <w:rFonts w:ascii="Palatino Linotype" w:hAnsi="Palatino Linotype"/>
          <w:b/>
          <w:color w:val="000000" w:themeColor="text1"/>
        </w:rPr>
        <w:t xml:space="preserve">TERCERO. </w:t>
      </w:r>
      <w:bookmarkStart w:id="144" w:name="_Toc501021589"/>
      <w:r w:rsidRPr="00752B18">
        <w:rPr>
          <w:rFonts w:ascii="Palatino Linotype" w:hAnsi="Palatino Linotype"/>
          <w:b/>
          <w:color w:val="000000" w:themeColor="text1"/>
        </w:rPr>
        <w:t>De</w:t>
      </w:r>
      <w:r w:rsidR="00EA660A" w:rsidRPr="00752B18">
        <w:rPr>
          <w:rFonts w:ascii="Palatino Linotype" w:hAnsi="Palatino Linotype"/>
          <w:b/>
          <w:color w:val="000000" w:themeColor="text1"/>
        </w:rPr>
        <w:t xml:space="preserve"> las causales de sobreseimiento</w:t>
      </w:r>
      <w:r w:rsidRPr="00752B18">
        <w:rPr>
          <w:rFonts w:ascii="Palatino Linotype" w:hAnsi="Palatino Linotype"/>
          <w:b/>
          <w:color w:val="000000" w:themeColor="text1"/>
        </w:rPr>
        <w:t>.</w:t>
      </w:r>
      <w:bookmarkEnd w:id="140"/>
      <w:bookmarkEnd w:id="141"/>
      <w:bookmarkEnd w:id="142"/>
      <w:bookmarkEnd w:id="143"/>
      <w:bookmarkEnd w:id="144"/>
    </w:p>
    <w:p w:rsidR="009F09BC" w:rsidRPr="00752B18" w:rsidRDefault="009F09BC" w:rsidP="009F09BC">
      <w:pPr>
        <w:rPr>
          <w:rFonts w:ascii="Palatino Linotype" w:hAnsi="Palatino Linotype"/>
          <w:color w:val="000000" w:themeColor="text1"/>
          <w:lang w:val="es-MX" w:eastAsia="en-US"/>
        </w:rPr>
      </w:pPr>
    </w:p>
    <w:p w:rsidR="00134CE6" w:rsidRPr="00752B18"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45" w:name="_Toc8387929"/>
      <w:bookmarkStart w:id="146" w:name="_Toc15589984"/>
      <w:bookmarkStart w:id="147" w:name="_Toc19214468"/>
      <w:bookmarkStart w:id="148" w:name="_Toc62153322"/>
      <w:bookmarkStart w:id="149" w:name="_Toc70526132"/>
      <w:r w:rsidRPr="00752B18">
        <w:rPr>
          <w:rFonts w:ascii="Palatino Linotype" w:hAnsi="Palatino Linotype"/>
          <w:b/>
          <w:color w:val="000000" w:themeColor="text1"/>
          <w:sz w:val="24"/>
          <w:szCs w:val="24"/>
        </w:rPr>
        <w:t>De la solicitud de información.</w:t>
      </w:r>
      <w:bookmarkEnd w:id="145"/>
      <w:bookmarkEnd w:id="146"/>
      <w:bookmarkEnd w:id="147"/>
      <w:bookmarkEnd w:id="148"/>
      <w:bookmarkEnd w:id="149"/>
    </w:p>
    <w:p w:rsidR="00134CE6" w:rsidRPr="00752B18" w:rsidRDefault="00134CE6" w:rsidP="00E33F1E">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hAnsi="Palatino Linotype"/>
          <w:color w:val="000000" w:themeColor="text1"/>
          <w:lang w:val="es-ES"/>
        </w:rPr>
        <w:t xml:space="preserve">La solicitud de información consistió en </w:t>
      </w:r>
      <w:r w:rsidRPr="00752B18">
        <w:rPr>
          <w:rFonts w:ascii="Palatino Linotype" w:hAnsi="Palatino Linotype"/>
          <w:color w:val="000000" w:themeColor="text1"/>
        </w:rPr>
        <w:t xml:space="preserve">requerir la </w:t>
      </w:r>
      <w:r w:rsidR="008E32EE" w:rsidRPr="00752B18">
        <w:rPr>
          <w:rFonts w:ascii="Palatino Linotype" w:hAnsi="Palatino Linotype"/>
          <w:color w:val="000000" w:themeColor="text1"/>
        </w:rPr>
        <w:t xml:space="preserve">información que ya se ha tenido a bien </w:t>
      </w:r>
      <w:r w:rsidR="008E32EE" w:rsidRPr="00752B18">
        <w:rPr>
          <w:rFonts w:ascii="Palatino Linotype" w:eastAsia="Calibri" w:hAnsi="Palatino Linotype" w:cs="Arial"/>
          <w:color w:val="000000" w:themeColor="text1"/>
        </w:rPr>
        <w:t>transcribir</w:t>
      </w:r>
      <w:r w:rsidR="00875ED6" w:rsidRPr="00752B18">
        <w:rPr>
          <w:rFonts w:ascii="Palatino Linotype" w:hAnsi="Palatino Linotype"/>
          <w:color w:val="000000" w:themeColor="text1"/>
        </w:rPr>
        <w:t xml:space="preserve"> en el anterior párrafo 1;</w:t>
      </w:r>
      <w:r w:rsidR="008E32EE" w:rsidRPr="00752B18">
        <w:rPr>
          <w:rFonts w:ascii="Palatino Linotype" w:hAnsi="Palatino Linotype"/>
          <w:color w:val="000000" w:themeColor="text1"/>
        </w:rPr>
        <w:t xml:space="preserve"> en respuesta, el </w:t>
      </w:r>
      <w:r w:rsidR="008E32EE" w:rsidRPr="00752B18">
        <w:rPr>
          <w:rFonts w:ascii="Palatino Linotype" w:hAnsi="Palatino Linotype"/>
          <w:b/>
          <w:color w:val="000000" w:themeColor="text1"/>
        </w:rPr>
        <w:t>SUJETO OBLIGADO</w:t>
      </w:r>
      <w:r w:rsidR="008E32EE" w:rsidRPr="00752B18">
        <w:rPr>
          <w:rFonts w:ascii="Palatino Linotype" w:hAnsi="Palatino Linotype"/>
          <w:color w:val="000000" w:themeColor="text1"/>
        </w:rPr>
        <w:t xml:space="preserve"> </w:t>
      </w:r>
      <w:r w:rsidR="00E972D7" w:rsidRPr="00752B18">
        <w:rPr>
          <w:rFonts w:ascii="Palatino Linotype" w:hAnsi="Palatino Linotype"/>
          <w:color w:val="000000" w:themeColor="text1"/>
        </w:rPr>
        <w:t>remitió un archivo c</w:t>
      </w:r>
      <w:r w:rsidR="00EB1CE2" w:rsidRPr="00752B18">
        <w:rPr>
          <w:rFonts w:ascii="Palatino Linotype" w:hAnsi="Palatino Linotype"/>
          <w:color w:val="000000" w:themeColor="text1"/>
        </w:rPr>
        <w:t xml:space="preserve">uyo contenido </w:t>
      </w:r>
      <w:r w:rsidR="00E972D7" w:rsidRPr="00752B18">
        <w:rPr>
          <w:rFonts w:ascii="Palatino Linotype" w:hAnsi="Palatino Linotype"/>
          <w:color w:val="000000" w:themeColor="text1"/>
        </w:rPr>
        <w:t>atiende a la información solicitada por el aquí RECURRENTE</w:t>
      </w:r>
      <w:r w:rsidR="007C3C29" w:rsidRPr="00752B18">
        <w:rPr>
          <w:rFonts w:ascii="Palatino Linotype" w:hAnsi="Palatino Linotype"/>
          <w:color w:val="000000" w:themeColor="text1"/>
        </w:rPr>
        <w:t xml:space="preserve">; </w:t>
      </w:r>
      <w:r w:rsidR="00103414" w:rsidRPr="00752B18">
        <w:rPr>
          <w:rFonts w:ascii="Palatino Linotype" w:hAnsi="Palatino Linotype"/>
          <w:color w:val="000000" w:themeColor="text1"/>
        </w:rPr>
        <w:t>in</w:t>
      </w:r>
      <w:r w:rsidR="007C3C29" w:rsidRPr="00752B18">
        <w:rPr>
          <w:rFonts w:ascii="Palatino Linotype" w:hAnsi="Palatino Linotype"/>
          <w:color w:val="000000" w:themeColor="text1"/>
        </w:rPr>
        <w:t>conforme con la respuesta</w:t>
      </w:r>
      <w:r w:rsidRPr="00752B18">
        <w:rPr>
          <w:rFonts w:ascii="Palatino Linotype" w:hAnsi="Palatino Linotype"/>
          <w:color w:val="000000" w:themeColor="text1"/>
        </w:rPr>
        <w:t xml:space="preserve">, el particular interpuso el recurso de revisión que hoy </w:t>
      </w:r>
      <w:r w:rsidR="00531473" w:rsidRPr="00752B18">
        <w:rPr>
          <w:rFonts w:ascii="Palatino Linotype" w:hAnsi="Palatino Linotype"/>
          <w:color w:val="000000" w:themeColor="text1"/>
        </w:rPr>
        <w:t>nos ocupa</w:t>
      </w:r>
      <w:r w:rsidR="00E972D7" w:rsidRPr="00752B18">
        <w:rPr>
          <w:rFonts w:ascii="Palatino Linotype" w:hAnsi="Palatino Linotype"/>
          <w:color w:val="000000" w:themeColor="text1"/>
        </w:rPr>
        <w:t>,</w:t>
      </w:r>
      <w:r w:rsidR="00531473" w:rsidRPr="00752B18">
        <w:rPr>
          <w:rFonts w:ascii="Palatino Linotype" w:hAnsi="Palatino Linotype"/>
          <w:color w:val="000000" w:themeColor="text1"/>
        </w:rPr>
        <w:t xml:space="preserve"> señalando como motivo</w:t>
      </w:r>
      <w:r w:rsidRPr="00752B18">
        <w:rPr>
          <w:rFonts w:ascii="Palatino Linotype" w:hAnsi="Palatino Linotype"/>
          <w:color w:val="000000" w:themeColor="text1"/>
        </w:rPr>
        <w:t xml:space="preserve"> de inconformidad </w:t>
      </w:r>
      <w:r w:rsidR="00E972D7" w:rsidRPr="00752B18">
        <w:rPr>
          <w:rFonts w:ascii="Palatino Linotype" w:hAnsi="Palatino Linotype"/>
          <w:color w:val="000000" w:themeColor="text1"/>
        </w:rPr>
        <w:t xml:space="preserve">  </w:t>
      </w:r>
      <w:r w:rsidRPr="00752B18">
        <w:rPr>
          <w:rFonts w:ascii="Palatino Linotype" w:hAnsi="Palatino Linotype"/>
          <w:i/>
          <w:color w:val="000000" w:themeColor="text1"/>
        </w:rPr>
        <w:t>grosso modo</w:t>
      </w:r>
      <w:r w:rsidR="00E972D7" w:rsidRPr="00752B18">
        <w:rPr>
          <w:rFonts w:ascii="Palatino Linotype" w:hAnsi="Palatino Linotype"/>
          <w:i/>
          <w:color w:val="000000" w:themeColor="text1"/>
        </w:rPr>
        <w:t xml:space="preserve"> </w:t>
      </w:r>
      <w:r w:rsidR="00E972D7" w:rsidRPr="00752B18">
        <w:rPr>
          <w:rFonts w:ascii="Palatino Linotype" w:hAnsi="Palatino Linotype"/>
          <w:color w:val="000000" w:themeColor="text1"/>
        </w:rPr>
        <w:t>que</w:t>
      </w:r>
      <w:r w:rsidR="00875ED6" w:rsidRPr="00752B18">
        <w:rPr>
          <w:rFonts w:ascii="Palatino Linotype" w:hAnsi="Palatino Linotype"/>
          <w:color w:val="000000" w:themeColor="text1"/>
        </w:rPr>
        <w:t>:</w:t>
      </w:r>
      <w:r w:rsidRPr="00752B18">
        <w:rPr>
          <w:rFonts w:ascii="Palatino Linotype" w:hAnsi="Palatino Linotype"/>
          <w:color w:val="000000" w:themeColor="text1"/>
        </w:rPr>
        <w:t xml:space="preserve"> </w:t>
      </w:r>
      <w:r w:rsidR="00E972D7" w:rsidRPr="00752B18">
        <w:rPr>
          <w:rFonts w:ascii="Palatino Linotype" w:hAnsi="Palatino Linotype"/>
          <w:color w:val="000000" w:themeColor="text1"/>
        </w:rPr>
        <w:t>“</w:t>
      </w:r>
      <w:r w:rsidR="00E972D7" w:rsidRPr="00752B18">
        <w:rPr>
          <w:rFonts w:ascii="Palatino Linotype" w:hAnsi="Palatino Linotype"/>
          <w:i/>
          <w:color w:val="000000" w:themeColor="text1"/>
        </w:rPr>
        <w:t>No se entregó la información”</w:t>
      </w:r>
      <w:r w:rsidR="007C3C29" w:rsidRPr="00752B18">
        <w:rPr>
          <w:rFonts w:ascii="Palatino Linotype" w:hAnsi="Palatino Linotype"/>
          <w:color w:val="000000" w:themeColor="text1"/>
        </w:rPr>
        <w:t>.</w:t>
      </w:r>
    </w:p>
    <w:p w:rsidR="00134CE6" w:rsidRPr="00752B18" w:rsidRDefault="00134CE6" w:rsidP="00E972D7">
      <w:pPr>
        <w:tabs>
          <w:tab w:val="left" w:pos="567"/>
        </w:tabs>
        <w:spacing w:line="360" w:lineRule="auto"/>
        <w:rPr>
          <w:rFonts w:ascii="Palatino Linotype" w:hAnsi="Palatino Linotype"/>
          <w:color w:val="000000" w:themeColor="text1"/>
        </w:rPr>
      </w:pPr>
    </w:p>
    <w:p w:rsidR="00134CE6" w:rsidRPr="00752B18" w:rsidRDefault="00E972D7" w:rsidP="00134CE6">
      <w:pPr>
        <w:pStyle w:val="Ttulo2"/>
        <w:numPr>
          <w:ilvl w:val="0"/>
          <w:numId w:val="47"/>
        </w:numPr>
        <w:spacing w:line="259" w:lineRule="auto"/>
        <w:rPr>
          <w:rFonts w:ascii="Palatino Linotype" w:hAnsi="Palatino Linotype"/>
          <w:b/>
          <w:color w:val="000000" w:themeColor="text1"/>
          <w:sz w:val="24"/>
          <w:szCs w:val="24"/>
        </w:rPr>
      </w:pPr>
      <w:bookmarkStart w:id="150" w:name="_Toc70526134"/>
      <w:r w:rsidRPr="00752B18">
        <w:rPr>
          <w:rFonts w:ascii="Palatino Linotype" w:hAnsi="Palatino Linotype"/>
          <w:b/>
          <w:color w:val="000000" w:themeColor="text1"/>
          <w:sz w:val="24"/>
          <w:szCs w:val="24"/>
        </w:rPr>
        <w:t>De la c</w:t>
      </w:r>
      <w:r w:rsidR="00134CE6" w:rsidRPr="00752B18">
        <w:rPr>
          <w:rFonts w:ascii="Palatino Linotype" w:hAnsi="Palatino Linotype"/>
          <w:b/>
          <w:color w:val="000000" w:themeColor="text1"/>
          <w:sz w:val="24"/>
          <w:szCs w:val="24"/>
        </w:rPr>
        <w:t>ausal de sobreseimiento.</w:t>
      </w:r>
      <w:bookmarkEnd w:id="150"/>
    </w:p>
    <w:p w:rsidR="00134CE6" w:rsidRPr="00752B18"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eastAsia="Times New Roman" w:hAnsi="Palatino Linotype"/>
          <w:color w:val="000000" w:themeColor="text1"/>
          <w:lang w:val="es-MX" w:eastAsia="en-US"/>
        </w:rPr>
        <w:t xml:space="preserve">En </w:t>
      </w:r>
      <w:r w:rsidRPr="00752B18">
        <w:rPr>
          <w:rFonts w:ascii="Palatino Linotype" w:eastAsia="Times New Roman" w:hAnsi="Palatino Linotype" w:cs="Arial"/>
          <w:color w:val="000000" w:themeColor="text1"/>
          <w:lang w:val="es-ES"/>
        </w:rPr>
        <w:t>ese</w:t>
      </w:r>
      <w:r w:rsidRPr="00752B18">
        <w:rPr>
          <w:rFonts w:ascii="Palatino Linotype" w:eastAsia="Times New Roman" w:hAnsi="Palatino Linotype"/>
          <w:color w:val="000000" w:themeColor="text1"/>
          <w:lang w:val="es-MX" w:eastAsia="en-US"/>
        </w:rPr>
        <w:t xml:space="preserve"> sentido, se estima dable traer a contexto </w:t>
      </w:r>
      <w:r w:rsidRPr="00752B18">
        <w:rPr>
          <w:rFonts w:ascii="Palatino Linotype" w:eastAsia="Batang" w:hAnsi="Palatino Linotype" w:cs="Arial"/>
          <w:color w:val="000000" w:themeColor="text1"/>
        </w:rPr>
        <w:t xml:space="preserve">la causal de sobreseimiento contenida en </w:t>
      </w:r>
      <w:r w:rsidR="00E972D7" w:rsidRPr="00752B18">
        <w:rPr>
          <w:rFonts w:ascii="Palatino Linotype" w:hAnsi="Palatino Linotype" w:cs="Arial"/>
          <w:color w:val="000000" w:themeColor="text1"/>
        </w:rPr>
        <w:t>la fracción I</w:t>
      </w:r>
      <w:r w:rsidR="0041640E" w:rsidRPr="00752B18">
        <w:rPr>
          <w:rFonts w:ascii="Palatino Linotype" w:hAnsi="Palatino Linotype" w:cs="Arial"/>
          <w:color w:val="000000" w:themeColor="text1"/>
        </w:rPr>
        <w:t>V</w:t>
      </w:r>
      <w:r w:rsidR="00E972D7" w:rsidRPr="00752B18">
        <w:rPr>
          <w:rFonts w:ascii="Palatino Linotype" w:hAnsi="Palatino Linotype" w:cs="Arial"/>
          <w:color w:val="000000" w:themeColor="text1"/>
        </w:rPr>
        <w:t xml:space="preserve"> del artículo 192, en relación con el </w:t>
      </w:r>
      <w:r w:rsidR="0041640E" w:rsidRPr="00752B18">
        <w:rPr>
          <w:rFonts w:ascii="Palatino Linotype" w:hAnsi="Palatino Linotype" w:cs="Arial"/>
          <w:color w:val="000000" w:themeColor="text1"/>
        </w:rPr>
        <w:t xml:space="preserve">artículo </w:t>
      </w:r>
      <w:r w:rsidR="00E972D7" w:rsidRPr="00752B18">
        <w:rPr>
          <w:rFonts w:ascii="Palatino Linotype" w:hAnsi="Palatino Linotype" w:cs="Arial"/>
          <w:color w:val="000000" w:themeColor="text1"/>
        </w:rPr>
        <w:t xml:space="preserve">191 fracción I, </w:t>
      </w:r>
      <w:r w:rsidRPr="00752B18">
        <w:rPr>
          <w:rFonts w:ascii="Palatino Linotype" w:eastAsia="Batang" w:hAnsi="Palatino Linotype" w:cs="Arial"/>
          <w:color w:val="000000" w:themeColor="text1"/>
        </w:rPr>
        <w:t xml:space="preserve">de la </w:t>
      </w:r>
      <w:r w:rsidRPr="00752B18">
        <w:rPr>
          <w:rFonts w:ascii="Palatino Linotype" w:eastAsia="Batang" w:hAnsi="Palatino Linotype" w:cs="Arial"/>
          <w:b/>
          <w:color w:val="000000" w:themeColor="text1"/>
        </w:rPr>
        <w:t>Ley de Transparencia y Acceso a la Información Pública del Estado de México y Municipios</w:t>
      </w:r>
      <w:r w:rsidRPr="00752B18">
        <w:rPr>
          <w:rFonts w:ascii="Palatino Linotype" w:eastAsia="Batang" w:hAnsi="Palatino Linotype" w:cs="Arial"/>
          <w:color w:val="000000" w:themeColor="text1"/>
        </w:rPr>
        <w:t>, que establece</w:t>
      </w:r>
      <w:r w:rsidR="00E972D7" w:rsidRPr="00752B18">
        <w:rPr>
          <w:rFonts w:ascii="Palatino Linotype" w:eastAsia="Batang" w:hAnsi="Palatino Linotype" w:cs="Arial"/>
          <w:color w:val="000000" w:themeColor="text1"/>
        </w:rPr>
        <w:t>n</w:t>
      </w:r>
      <w:r w:rsidRPr="00752B18">
        <w:rPr>
          <w:rFonts w:ascii="Palatino Linotype" w:eastAsia="Batang" w:hAnsi="Palatino Linotype" w:cs="Arial"/>
          <w:color w:val="000000" w:themeColor="text1"/>
        </w:rPr>
        <w:t xml:space="preserve"> lo siguiente:</w:t>
      </w:r>
    </w:p>
    <w:p w:rsidR="00134CE6" w:rsidRPr="00BD778A" w:rsidRDefault="00134CE6" w:rsidP="00134CE6">
      <w:pPr>
        <w:pStyle w:val="Prrafodelista"/>
        <w:spacing w:line="360" w:lineRule="auto"/>
        <w:ind w:left="0"/>
        <w:jc w:val="both"/>
        <w:rPr>
          <w:rFonts w:ascii="Palatino Linotype" w:hAnsi="Palatino Linotype"/>
          <w:color w:val="000000" w:themeColor="text1"/>
          <w:sz w:val="22"/>
        </w:rPr>
      </w:pPr>
    </w:p>
    <w:p w:rsidR="00134CE6" w:rsidRPr="00BD778A" w:rsidRDefault="00134CE6" w:rsidP="00134CE6">
      <w:pPr>
        <w:pStyle w:val="Prrafodelista"/>
        <w:spacing w:line="360" w:lineRule="auto"/>
        <w:ind w:left="426" w:right="425"/>
        <w:jc w:val="both"/>
        <w:rPr>
          <w:rFonts w:ascii="Palatino Linotype" w:hAnsi="Palatino Linotype"/>
          <w:i/>
          <w:color w:val="000000" w:themeColor="text1"/>
          <w:sz w:val="22"/>
        </w:rPr>
      </w:pPr>
      <w:r w:rsidRPr="00BD778A">
        <w:rPr>
          <w:rFonts w:ascii="Palatino Linotype" w:hAnsi="Palatino Linotype"/>
          <w:i/>
          <w:color w:val="000000" w:themeColor="text1"/>
          <w:sz w:val="22"/>
        </w:rPr>
        <w:t>"Artículo 192. El recurso será sobreseído, en todo o en parte, cuando una vez admitido, se actualicen alguno de los siguientes supuestos:</w:t>
      </w:r>
    </w:p>
    <w:p w:rsidR="00D5729F" w:rsidRPr="00BD778A" w:rsidRDefault="00E972D7" w:rsidP="00134CE6">
      <w:pPr>
        <w:pStyle w:val="Prrafodelista"/>
        <w:spacing w:line="360" w:lineRule="auto"/>
        <w:ind w:left="426" w:right="425"/>
        <w:jc w:val="both"/>
        <w:rPr>
          <w:rFonts w:ascii="Palatino Linotype" w:hAnsi="Palatino Linotype"/>
          <w:i/>
          <w:color w:val="000000" w:themeColor="text1"/>
          <w:sz w:val="22"/>
        </w:rPr>
      </w:pPr>
      <w:r w:rsidRPr="00BD778A">
        <w:rPr>
          <w:rFonts w:ascii="Palatino Linotype" w:hAnsi="Palatino Linotype"/>
          <w:i/>
          <w:color w:val="000000" w:themeColor="text1"/>
          <w:sz w:val="22"/>
        </w:rPr>
        <w:t>IV</w:t>
      </w:r>
      <w:r w:rsidR="00134CE6" w:rsidRPr="00BD778A">
        <w:rPr>
          <w:rFonts w:ascii="Palatino Linotype" w:hAnsi="Palatino Linotype"/>
          <w:i/>
          <w:color w:val="000000" w:themeColor="text1"/>
          <w:sz w:val="22"/>
        </w:rPr>
        <w:t xml:space="preserve">. </w:t>
      </w:r>
      <w:r w:rsidRPr="00BD778A">
        <w:rPr>
          <w:rFonts w:ascii="Palatino Linotype" w:hAnsi="Palatino Linotype"/>
          <w:b/>
          <w:i/>
          <w:color w:val="000000" w:themeColor="text1"/>
          <w:sz w:val="22"/>
        </w:rPr>
        <w:t>Admitido el recurso de revisión, aparezca alguna causal de improcedencia en los términos de la presente Ley; y</w:t>
      </w:r>
      <w:r w:rsidR="00134CE6" w:rsidRPr="00BD778A">
        <w:rPr>
          <w:rFonts w:ascii="Palatino Linotype" w:hAnsi="Palatino Linotype"/>
          <w:i/>
          <w:color w:val="000000" w:themeColor="text1"/>
          <w:sz w:val="22"/>
        </w:rPr>
        <w:t>;</w:t>
      </w:r>
      <w:r w:rsidR="00134CE6" w:rsidRPr="00BD778A">
        <w:rPr>
          <w:rFonts w:ascii="Palatino Linotype" w:hAnsi="Palatino Linotype"/>
          <w:i/>
          <w:color w:val="000000" w:themeColor="text1"/>
          <w:sz w:val="22"/>
        </w:rPr>
        <w:cr/>
        <w:t>..."</w:t>
      </w:r>
    </w:p>
    <w:p w:rsidR="00134CE6" w:rsidRPr="00BD778A" w:rsidRDefault="00134CE6" w:rsidP="00134CE6">
      <w:pPr>
        <w:pStyle w:val="Prrafodelista"/>
        <w:spacing w:line="360" w:lineRule="auto"/>
        <w:ind w:left="426" w:right="425"/>
        <w:jc w:val="both"/>
        <w:rPr>
          <w:rFonts w:ascii="Palatino Linotype" w:hAnsi="Palatino Linotype"/>
          <w:color w:val="000000" w:themeColor="text1"/>
          <w:sz w:val="22"/>
        </w:rPr>
      </w:pPr>
      <w:r w:rsidRPr="00BD778A">
        <w:rPr>
          <w:rFonts w:ascii="Palatino Linotype" w:hAnsi="Palatino Linotype"/>
          <w:color w:val="000000" w:themeColor="text1"/>
          <w:sz w:val="22"/>
        </w:rPr>
        <w:lastRenderedPageBreak/>
        <w:t>Énfasis añadido</w:t>
      </w:r>
    </w:p>
    <w:p w:rsidR="00E972D7" w:rsidRPr="00BD778A" w:rsidRDefault="00E972D7" w:rsidP="00134CE6">
      <w:pPr>
        <w:pStyle w:val="Prrafodelista"/>
        <w:spacing w:line="360" w:lineRule="auto"/>
        <w:ind w:left="426" w:right="425"/>
        <w:jc w:val="both"/>
        <w:rPr>
          <w:rFonts w:ascii="Palatino Linotype" w:hAnsi="Palatino Linotype"/>
          <w:color w:val="000000" w:themeColor="text1"/>
          <w:sz w:val="22"/>
        </w:rPr>
      </w:pPr>
    </w:p>
    <w:p w:rsidR="00E972D7" w:rsidRPr="00BD778A" w:rsidRDefault="00E972D7" w:rsidP="00134CE6">
      <w:pPr>
        <w:pStyle w:val="Prrafodelista"/>
        <w:spacing w:line="360" w:lineRule="auto"/>
        <w:ind w:left="426" w:right="425"/>
        <w:jc w:val="both"/>
        <w:rPr>
          <w:rFonts w:ascii="Palatino Linotype" w:hAnsi="Palatino Linotype"/>
          <w:i/>
          <w:color w:val="000000" w:themeColor="text1"/>
          <w:sz w:val="22"/>
        </w:rPr>
      </w:pPr>
      <w:r w:rsidRPr="00BD778A">
        <w:rPr>
          <w:rFonts w:ascii="Palatino Linotype" w:hAnsi="Palatino Linotype"/>
          <w:i/>
          <w:color w:val="000000" w:themeColor="text1"/>
          <w:sz w:val="22"/>
        </w:rPr>
        <w:t>Artículo 191. El recurso será desechado por improcedente cuando:</w:t>
      </w:r>
    </w:p>
    <w:p w:rsidR="00E972D7" w:rsidRPr="00BD778A" w:rsidRDefault="00E972D7" w:rsidP="00E972D7">
      <w:pPr>
        <w:pStyle w:val="Prrafodelista"/>
        <w:numPr>
          <w:ilvl w:val="0"/>
          <w:numId w:val="48"/>
        </w:numPr>
        <w:spacing w:line="360" w:lineRule="auto"/>
        <w:ind w:right="425"/>
        <w:jc w:val="both"/>
        <w:rPr>
          <w:rFonts w:ascii="Palatino Linotype" w:hAnsi="Palatino Linotype"/>
          <w:b/>
          <w:i/>
          <w:color w:val="000000" w:themeColor="text1"/>
          <w:sz w:val="22"/>
        </w:rPr>
      </w:pPr>
      <w:r w:rsidRPr="00BD778A">
        <w:rPr>
          <w:rFonts w:ascii="Palatino Linotype" w:hAnsi="Palatino Linotype"/>
          <w:b/>
          <w:i/>
          <w:color w:val="000000" w:themeColor="text1"/>
          <w:sz w:val="22"/>
        </w:rPr>
        <w:t>Sea extemporáneo por haber transcurrido el plazo establecido en la presente Ley, a partir de la respuesta;</w:t>
      </w:r>
    </w:p>
    <w:p w:rsidR="00E972D7" w:rsidRPr="00BD778A" w:rsidRDefault="00E972D7" w:rsidP="00E972D7">
      <w:pPr>
        <w:spacing w:line="360" w:lineRule="auto"/>
        <w:ind w:left="426" w:right="425"/>
        <w:jc w:val="both"/>
        <w:rPr>
          <w:rFonts w:ascii="Palatino Linotype" w:hAnsi="Palatino Linotype"/>
          <w:i/>
          <w:color w:val="000000" w:themeColor="text1"/>
          <w:sz w:val="22"/>
        </w:rPr>
      </w:pPr>
      <w:r w:rsidRPr="00BD778A">
        <w:rPr>
          <w:rFonts w:ascii="Palatino Linotype" w:hAnsi="Palatino Linotype"/>
          <w:i/>
          <w:color w:val="000000" w:themeColor="text1"/>
          <w:sz w:val="22"/>
        </w:rPr>
        <w:t>..."</w:t>
      </w:r>
    </w:p>
    <w:p w:rsidR="008A44C2" w:rsidRPr="00BD778A" w:rsidRDefault="00E972D7" w:rsidP="008A44C2">
      <w:pPr>
        <w:spacing w:line="360" w:lineRule="auto"/>
        <w:ind w:right="425" w:firstLine="426"/>
        <w:jc w:val="both"/>
        <w:rPr>
          <w:rFonts w:ascii="Palatino Linotype" w:hAnsi="Palatino Linotype"/>
          <w:color w:val="000000" w:themeColor="text1"/>
          <w:sz w:val="22"/>
        </w:rPr>
      </w:pPr>
      <w:r w:rsidRPr="00BD778A">
        <w:rPr>
          <w:rFonts w:ascii="Palatino Linotype" w:hAnsi="Palatino Linotype"/>
          <w:color w:val="000000" w:themeColor="text1"/>
          <w:sz w:val="22"/>
        </w:rPr>
        <w:t>Énfasis añadido</w:t>
      </w:r>
    </w:p>
    <w:p w:rsidR="00134CE6" w:rsidRPr="00BD778A" w:rsidRDefault="00134CE6" w:rsidP="00134CE6">
      <w:pPr>
        <w:pStyle w:val="Prrafodelista"/>
        <w:spacing w:line="360" w:lineRule="auto"/>
        <w:ind w:left="0"/>
        <w:jc w:val="both"/>
        <w:rPr>
          <w:rFonts w:ascii="Palatino Linotype" w:hAnsi="Palatino Linotype"/>
          <w:color w:val="000000" w:themeColor="text1"/>
          <w:sz w:val="22"/>
        </w:rPr>
      </w:pPr>
    </w:p>
    <w:p w:rsidR="00827191" w:rsidRPr="00752B18" w:rsidRDefault="008A44C2" w:rsidP="00827191">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eastAsia="Batang" w:hAnsi="Palatino Linotype" w:cs="Arial"/>
          <w:color w:val="000000" w:themeColor="text1"/>
        </w:rPr>
        <w:t>Establecido lo anterior</w:t>
      </w:r>
      <w:r w:rsidR="00827191" w:rsidRPr="00752B18">
        <w:rPr>
          <w:rFonts w:ascii="Palatino Linotype" w:eastAsia="Batang" w:hAnsi="Palatino Linotype" w:cs="Arial"/>
          <w:color w:val="000000" w:themeColor="text1"/>
        </w:rPr>
        <w:t>, resulta importante</w:t>
      </w:r>
      <w:r w:rsidR="00134CE6" w:rsidRPr="00752B18">
        <w:rPr>
          <w:rFonts w:ascii="Palatino Linotype" w:eastAsia="Batang" w:hAnsi="Palatino Linotype" w:cs="Arial"/>
          <w:color w:val="000000" w:themeColor="text1"/>
        </w:rPr>
        <w:t xml:space="preserve"> señalar que la figura del sobreseimiento privilegia la existencia de elementos de fondo, </w:t>
      </w:r>
      <w:r w:rsidRPr="00752B18">
        <w:rPr>
          <w:rFonts w:ascii="Palatino Linotype" w:eastAsia="Batang" w:hAnsi="Palatino Linotype" w:cs="Arial"/>
          <w:color w:val="000000" w:themeColor="text1"/>
        </w:rPr>
        <w:t xml:space="preserve">tal como lo refiere el supuesto que contempla el caso en que el recurso interpuesto </w:t>
      </w:r>
      <w:r w:rsidRPr="00752B18">
        <w:rPr>
          <w:rFonts w:ascii="Palatino Linotype" w:eastAsia="Batang" w:hAnsi="Palatino Linotype" w:cs="Arial"/>
          <w:b/>
          <w:color w:val="000000" w:themeColor="text1"/>
          <w:u w:val="single"/>
        </w:rPr>
        <w:t>Sea extemporáneo por haber transcurrido el plazo establecido en la presente Ley</w:t>
      </w:r>
      <w:r w:rsidR="00134CE6" w:rsidRPr="00752B18">
        <w:rPr>
          <w:rFonts w:ascii="Palatino Linotype" w:eastAsia="Batang" w:hAnsi="Palatino Linotype" w:cs="Arial"/>
          <w:color w:val="000000" w:themeColor="text1"/>
        </w:rPr>
        <w:t xml:space="preserve">; de ahí que la actualización </w:t>
      </w:r>
      <w:r w:rsidRPr="00752B18">
        <w:rPr>
          <w:rFonts w:ascii="Palatino Linotype" w:eastAsia="Batang" w:hAnsi="Palatino Linotype" w:cs="Arial"/>
          <w:color w:val="000000" w:themeColor="text1"/>
        </w:rPr>
        <w:t>de este supuesto traiga</w:t>
      </w:r>
      <w:r w:rsidR="00134CE6" w:rsidRPr="00752B18">
        <w:rPr>
          <w:rFonts w:ascii="Palatino Linotype" w:eastAsia="Batang" w:hAnsi="Palatino Linotype" w:cs="Arial"/>
          <w:color w:val="000000" w:themeColor="text1"/>
        </w:rPr>
        <w:t xml:space="preserve"> como </w:t>
      </w:r>
      <w:r w:rsidRPr="00752B18">
        <w:rPr>
          <w:rFonts w:ascii="Palatino Linotype" w:eastAsia="Batang" w:hAnsi="Palatino Linotype" w:cs="Arial"/>
          <w:color w:val="000000" w:themeColor="text1"/>
        </w:rPr>
        <w:t xml:space="preserve">aparejada </w:t>
      </w:r>
      <w:r w:rsidR="00134CE6" w:rsidRPr="00752B18">
        <w:rPr>
          <w:rFonts w:ascii="Palatino Linotype" w:eastAsia="Batang" w:hAnsi="Palatino Linotype" w:cs="Arial"/>
          <w:color w:val="000000" w:themeColor="text1"/>
        </w:rPr>
        <w:t>consecuencia que</w:t>
      </w:r>
      <w:r w:rsidRPr="00752B18">
        <w:rPr>
          <w:rFonts w:ascii="Palatino Linotype" w:eastAsia="Batang" w:hAnsi="Palatino Linotype" w:cs="Arial"/>
          <w:color w:val="000000" w:themeColor="text1"/>
        </w:rPr>
        <w:t xml:space="preserve"> se</w:t>
      </w:r>
      <w:r w:rsidR="00134CE6" w:rsidRPr="00752B18">
        <w:rPr>
          <w:rFonts w:ascii="Palatino Linotype" w:eastAsia="Batang" w:hAnsi="Palatino Linotype" w:cs="Arial"/>
          <w:color w:val="000000" w:themeColor="text1"/>
        </w:rPr>
        <w:t xml:space="preserve"> </w:t>
      </w:r>
      <w:r w:rsidRPr="00752B18">
        <w:rPr>
          <w:rFonts w:ascii="Palatino Linotype" w:eastAsia="Batang" w:hAnsi="Palatino Linotype" w:cs="Arial"/>
          <w:color w:val="000000" w:themeColor="text1"/>
        </w:rPr>
        <w:t xml:space="preserve">sobresea </w:t>
      </w:r>
      <w:r w:rsidR="00134CE6" w:rsidRPr="00752B18">
        <w:rPr>
          <w:rFonts w:ascii="Palatino Linotype" w:eastAsia="Batang" w:hAnsi="Palatino Linotype" w:cs="Arial"/>
          <w:color w:val="000000" w:themeColor="text1"/>
        </w:rPr>
        <w:t xml:space="preserve">el medio de impugnación </w:t>
      </w:r>
      <w:r w:rsidRPr="00752B18">
        <w:rPr>
          <w:rFonts w:ascii="Palatino Linotype" w:eastAsia="Batang" w:hAnsi="Palatino Linotype" w:cs="Arial"/>
          <w:color w:val="000000" w:themeColor="text1"/>
        </w:rPr>
        <w:t>sin que tenga que analizarse de fondo el estudio planteado.</w:t>
      </w:r>
    </w:p>
    <w:p w:rsidR="00827191" w:rsidRPr="00827191" w:rsidRDefault="00827191" w:rsidP="00827191">
      <w:pPr>
        <w:pStyle w:val="Prrafodelista"/>
        <w:spacing w:line="360" w:lineRule="auto"/>
        <w:ind w:left="0"/>
        <w:jc w:val="both"/>
        <w:rPr>
          <w:rFonts w:ascii="Palatino Linotype" w:hAnsi="Palatino Linotype"/>
          <w:color w:val="000000" w:themeColor="text1"/>
        </w:rPr>
      </w:pPr>
    </w:p>
    <w:p w:rsidR="00134CE6" w:rsidRPr="00BD778A"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 xml:space="preserve">Sirve como sustento a lo anterior, lo señalado por </w:t>
      </w:r>
      <w:r w:rsidR="00134CE6" w:rsidRPr="00134CE6">
        <w:rPr>
          <w:rFonts w:ascii="Palatino Linotype" w:eastAsia="Batang" w:hAnsi="Palatino Linotype" w:cs="Arial"/>
          <w:color w:val="000000" w:themeColor="text1"/>
        </w:rPr>
        <w:t xml:space="preserve"> el procesalista Niceto Alcalá-Zamora y Castillo en su obra </w:t>
      </w:r>
      <w:r w:rsidR="00134CE6" w:rsidRPr="00134CE6">
        <w:rPr>
          <w:rFonts w:ascii="Palatino Linotype" w:eastAsia="Batang" w:hAnsi="Palatino Linotype" w:cs="Arial"/>
          <w:i/>
          <w:color w:val="000000" w:themeColor="text1"/>
        </w:rPr>
        <w:t>“</w:t>
      </w:r>
      <w:r w:rsidR="00134CE6" w:rsidRPr="00531473">
        <w:rPr>
          <w:rFonts w:ascii="Palatino Linotype" w:eastAsia="Calibri" w:hAnsi="Palatino Linotype" w:cs="Times New Roman"/>
          <w:color w:val="000000" w:themeColor="text1"/>
        </w:rPr>
        <w:t>Cuestiones</w:t>
      </w:r>
      <w:r w:rsidR="00134CE6" w:rsidRPr="00134CE6">
        <w:rPr>
          <w:rFonts w:ascii="Palatino Linotype" w:eastAsia="Batang" w:hAnsi="Palatino Linotype" w:cs="Arial"/>
          <w:i/>
          <w:color w:val="000000" w:themeColor="text1"/>
        </w:rPr>
        <w:t xml:space="preserve"> de Terminología Procesal”</w:t>
      </w:r>
      <w:r w:rsidR="00134CE6" w:rsidRPr="00134CE6">
        <w:rPr>
          <w:rFonts w:ascii="Palatino Linotype" w:eastAsia="Batang" w:hAnsi="Palatino Linotype" w:cs="Arial"/>
          <w:color w:val="000000" w:themeColor="text1"/>
        </w:rPr>
        <w:t xml:space="preserve">, el sobreseimiento es </w:t>
      </w:r>
      <w:r w:rsidR="00134CE6" w:rsidRPr="00134CE6">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BD778A" w:rsidRPr="00BD778A" w:rsidRDefault="00BD778A" w:rsidP="00BD778A">
      <w:pPr>
        <w:pStyle w:val="Prrafodelista"/>
        <w:rPr>
          <w:rFonts w:ascii="Palatino Linotype" w:hAnsi="Palatino Linotype"/>
          <w:color w:val="000000" w:themeColor="text1"/>
        </w:rPr>
      </w:pPr>
    </w:p>
    <w:p w:rsidR="00134CE6" w:rsidRPr="00134CE6"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 xml:space="preserve">Asimismo, </w:t>
      </w:r>
      <w:r w:rsidR="00134CE6" w:rsidRPr="00134CE6">
        <w:rPr>
          <w:rFonts w:ascii="Palatino Linotype" w:eastAsia="Batang" w:hAnsi="Palatino Linotype" w:cs="Arial"/>
          <w:color w:val="000000" w:themeColor="text1"/>
        </w:rPr>
        <w:t xml:space="preserve">Eduardo Pallares, en su artículo </w:t>
      </w:r>
      <w:r w:rsidR="00134CE6" w:rsidRPr="00134CE6">
        <w:rPr>
          <w:rFonts w:ascii="Palatino Linotype" w:eastAsia="Batang" w:hAnsi="Palatino Linotype" w:cs="Arial"/>
          <w:i/>
          <w:color w:val="000000" w:themeColor="text1"/>
        </w:rPr>
        <w:t>“La caducidad y el sobreseimiento en el amparo”</w:t>
      </w:r>
      <w:r w:rsidR="00134CE6" w:rsidRPr="00134CE6">
        <w:rPr>
          <w:rFonts w:ascii="Palatino Linotype" w:eastAsia="Batang" w:hAnsi="Palatino Linotype" w:cs="Arial"/>
          <w:color w:val="000000" w:themeColor="text1"/>
        </w:rPr>
        <w:t xml:space="preserve">, cita la definición de Aguilera Paz, aduciendo que se </w:t>
      </w:r>
      <w:r w:rsidR="00134CE6" w:rsidRPr="00134CE6">
        <w:rPr>
          <w:rFonts w:ascii="Palatino Linotype" w:eastAsia="Batang" w:hAnsi="Palatino Linotype" w:cs="Arial"/>
          <w:i/>
          <w:color w:val="000000" w:themeColor="text1"/>
        </w:rPr>
        <w:t xml:space="preserve">“...entiende por sobreseimiento en el tecnicismo forense, el hecho de cesar en el procedimiento o curso de la </w:t>
      </w:r>
      <w:r w:rsidR="00134CE6" w:rsidRPr="00134CE6">
        <w:rPr>
          <w:rFonts w:ascii="Palatino Linotype" w:eastAsia="Batang" w:hAnsi="Palatino Linotype" w:cs="Arial"/>
          <w:i/>
          <w:color w:val="000000" w:themeColor="text1"/>
        </w:rPr>
        <w:lastRenderedPageBreak/>
        <w:t>causa, por no existir méritos bastantes para entrar en un juicio o para entablar la contienda judicial que debe ser objeto del mismo...”</w:t>
      </w:r>
      <w:r w:rsidR="00134CE6" w:rsidRPr="00134CE6">
        <w:rPr>
          <w:rFonts w:ascii="Palatino Linotype" w:eastAsia="Batang" w:hAnsi="Palatino Linotype" w:cs="Arial"/>
          <w:color w:val="000000" w:themeColor="text1"/>
        </w:rPr>
        <w:t>. Asimismo señala que existe el sobreseimiento provisional y el definitivo</w:t>
      </w:r>
      <w:r w:rsidR="00134CE6" w:rsidRPr="00134CE6">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Es así que,</w:t>
      </w:r>
      <w:r w:rsidR="00134CE6" w:rsidRPr="00134CE6">
        <w:rPr>
          <w:rFonts w:ascii="Palatino Linotype" w:eastAsia="Batang" w:hAnsi="Palatino Linotype" w:cs="Arial"/>
          <w:color w:val="000000" w:themeColor="text1"/>
        </w:rPr>
        <w:t xml:space="preserve"> para la doctrina el sobreseimiento provoca que un procedimiento se suspenda o se resuelva en definitiva </w:t>
      </w:r>
      <w:r w:rsidR="00134CE6" w:rsidRPr="00134CE6">
        <w:rPr>
          <w:rFonts w:ascii="Palatino Linotype" w:eastAsia="Batang" w:hAnsi="Palatino Linotype" w:cs="Arial"/>
          <w:b/>
          <w:color w:val="000000" w:themeColor="text1"/>
          <w:u w:val="single"/>
        </w:rPr>
        <w:t>sin que se entre al estudio de los agravios o motivos de inconformidad.</w:t>
      </w:r>
      <w:r w:rsidR="00134CE6" w:rsidRPr="00134CE6">
        <w:rPr>
          <w:rFonts w:ascii="Palatino Linotype" w:eastAsia="Batang" w:hAnsi="Palatino Linotype" w:cs="Arial"/>
          <w:b/>
          <w:color w:val="000000" w:themeColor="text1"/>
        </w:rPr>
        <w:t xml:space="preserve"> </w:t>
      </w:r>
      <w:r w:rsidR="00134CE6" w:rsidRPr="00134CE6">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134CE6" w:rsidRPr="00BD778A" w:rsidRDefault="00134CE6" w:rsidP="00134CE6">
      <w:pPr>
        <w:pStyle w:val="Prrafodelista"/>
        <w:spacing w:before="240" w:after="240" w:line="360" w:lineRule="auto"/>
        <w:ind w:left="0" w:right="49"/>
        <w:jc w:val="both"/>
        <w:rPr>
          <w:rFonts w:ascii="Palatino Linotype" w:hAnsi="Palatino Linotype"/>
          <w:color w:val="000000" w:themeColor="text1"/>
          <w:sz w:val="22"/>
        </w:rPr>
      </w:pPr>
    </w:p>
    <w:p w:rsidR="00134CE6" w:rsidRPr="00BD778A" w:rsidRDefault="00134CE6" w:rsidP="00134CE6">
      <w:pPr>
        <w:pStyle w:val="Prrafodelista"/>
        <w:spacing w:line="360" w:lineRule="auto"/>
        <w:ind w:left="567" w:right="616"/>
        <w:jc w:val="both"/>
        <w:rPr>
          <w:rFonts w:ascii="Palatino Linotype" w:hAnsi="Palatino Linotype"/>
          <w:color w:val="000000" w:themeColor="text1"/>
          <w:sz w:val="22"/>
        </w:rPr>
      </w:pPr>
      <w:r w:rsidRPr="00BD778A">
        <w:rPr>
          <w:rFonts w:ascii="Palatino Linotype" w:eastAsia="Batang" w:hAnsi="Palatino Linotype" w:cs="Arial"/>
          <w:b/>
          <w:i/>
          <w:color w:val="000000" w:themeColor="text1"/>
          <w:sz w:val="22"/>
          <w:lang w:val="es-AR"/>
        </w:rPr>
        <w:t>SOBRESEIMIENTO EN EL JUICIO DE AMPARO DIRECTO. IMPIDE EL ESTUDIO DE LAS VIOLACIONES PROCESALES PLANTEADAS EN LOS CONCEPTOS DE VIOLACIÓN.</w:t>
      </w:r>
    </w:p>
    <w:p w:rsidR="00134CE6" w:rsidRPr="00BD778A"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BD778A">
        <w:rPr>
          <w:rFonts w:ascii="Palatino Linotype" w:eastAsia="Batang" w:hAnsi="Palatino Linotype" w:cs="Arial"/>
          <w:b/>
          <w:i/>
          <w:color w:val="000000" w:themeColor="text1"/>
          <w:sz w:val="22"/>
          <w:lang w:val="es-AR"/>
        </w:rPr>
        <w:t>El sobreseimiento</w:t>
      </w:r>
      <w:r w:rsidRPr="00BD778A">
        <w:rPr>
          <w:rFonts w:ascii="Palatino Linotype" w:eastAsia="Batang" w:hAnsi="Palatino Linotype" w:cs="Arial"/>
          <w:i/>
          <w:color w:val="000000" w:themeColor="text1"/>
          <w:sz w:val="22"/>
          <w:lang w:val="es-AR"/>
        </w:rPr>
        <w:t xml:space="preserve"> en el juicio de amparo directo </w:t>
      </w:r>
      <w:r w:rsidRPr="00BD778A">
        <w:rPr>
          <w:rFonts w:ascii="Palatino Linotype" w:eastAsia="Batang" w:hAnsi="Palatino Linotype" w:cs="Arial"/>
          <w:b/>
          <w:i/>
          <w:color w:val="000000" w:themeColor="text1"/>
          <w:sz w:val="22"/>
          <w:lang w:val="es-AR"/>
        </w:rPr>
        <w:t>provoca la terminación de la controversia planteada</w:t>
      </w:r>
      <w:r w:rsidRPr="00BD778A">
        <w:rPr>
          <w:rFonts w:ascii="Palatino Linotype" w:eastAsia="Batang" w:hAnsi="Palatino Linotype" w:cs="Arial"/>
          <w:i/>
          <w:color w:val="000000" w:themeColor="text1"/>
          <w:sz w:val="22"/>
          <w:lang w:val="es-AR"/>
        </w:rPr>
        <w:t xml:space="preserve"> por el quejoso en la demanda de amparo</w:t>
      </w:r>
      <w:r w:rsidRPr="00BD778A">
        <w:rPr>
          <w:rFonts w:ascii="Palatino Linotype" w:eastAsia="Batang" w:hAnsi="Palatino Linotype" w:cs="Arial"/>
          <w:b/>
          <w:i/>
          <w:color w:val="000000" w:themeColor="text1"/>
          <w:sz w:val="22"/>
          <w:lang w:val="es-AR"/>
        </w:rPr>
        <w:t>, sin hacer un pronunciamiento de fondo sobre la legalidad o ilegalidad de la sentencia reclamada</w:t>
      </w:r>
      <w:r w:rsidRPr="00BD778A">
        <w:rPr>
          <w:rFonts w:ascii="Palatino Linotype" w:eastAsia="Batang" w:hAnsi="Palatino Linotype" w:cs="Arial"/>
          <w:i/>
          <w:color w:val="000000" w:themeColor="text1"/>
          <w:sz w:val="22"/>
          <w:lang w:val="es-AR"/>
        </w:rPr>
        <w:t xml:space="preserve">. </w:t>
      </w:r>
      <w:r w:rsidRPr="00BD778A">
        <w:rPr>
          <w:rFonts w:ascii="Palatino Linotype" w:eastAsia="Batang" w:hAnsi="Palatino Linotype" w:cs="Arial"/>
          <w:b/>
          <w:i/>
          <w:color w:val="000000" w:themeColor="text1"/>
          <w:sz w:val="22"/>
          <w:lang w:val="es-AR"/>
        </w:rPr>
        <w:t xml:space="preserve">Por consiguiente, si al sobreseerse en el juicio de amparo </w:t>
      </w:r>
      <w:r w:rsidRPr="00BD778A">
        <w:rPr>
          <w:rFonts w:ascii="Palatino Linotype" w:eastAsia="Batang" w:hAnsi="Palatino Linotype" w:cs="Arial"/>
          <w:b/>
          <w:i/>
          <w:color w:val="000000" w:themeColor="text1"/>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D778A">
        <w:rPr>
          <w:rFonts w:ascii="Palatino Linotype" w:eastAsia="Batang" w:hAnsi="Palatino Linotype" w:cs="Arial"/>
          <w:i/>
          <w:color w:val="000000" w:themeColor="text1"/>
          <w:sz w:val="22"/>
          <w:lang w:val="es-AR"/>
        </w:rPr>
        <w:t>.</w:t>
      </w:r>
    </w:p>
    <w:p w:rsidR="00134CE6" w:rsidRPr="00BD778A"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BD778A">
        <w:rPr>
          <w:rFonts w:ascii="Palatino Linotype" w:eastAsia="Batang" w:hAnsi="Palatino Linotype" w:cs="Arial"/>
          <w:i/>
          <w:color w:val="000000" w:themeColor="text1"/>
          <w:sz w:val="22"/>
          <w:lang w:val="es-AR"/>
        </w:rPr>
        <w:lastRenderedPageBreak/>
        <w:t>SÉPTIMO TRIBUNAL COLEGIADO EN MATERIA CIVIL DEL PRIMER CIRCUITO.</w:t>
      </w:r>
    </w:p>
    <w:p w:rsidR="00134CE6" w:rsidRPr="00BD778A"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BD778A">
        <w:rPr>
          <w:rFonts w:ascii="Palatino Linotype" w:eastAsia="Batang" w:hAnsi="Palatino Linotype" w:cs="Arial"/>
          <w:i/>
          <w:color w:val="000000" w:themeColor="text1"/>
          <w:sz w:val="22"/>
          <w:lang w:val="es-AR"/>
        </w:rPr>
        <w:t>Amparo directo 699/2008. Mariana Leticia González Steele. 13 de noviembre de 2008. Unanimidad de votos. Ponente: Sara Judith Montalvo Trejo. Secretario: Arnulfo Mateos García.</w:t>
      </w:r>
    </w:p>
    <w:p w:rsidR="00827191" w:rsidRPr="00BD778A" w:rsidRDefault="00827191" w:rsidP="00827191">
      <w:pPr>
        <w:pStyle w:val="Prrafodelista"/>
        <w:spacing w:line="360" w:lineRule="auto"/>
        <w:ind w:left="0"/>
        <w:jc w:val="both"/>
        <w:rPr>
          <w:rFonts w:ascii="Palatino Linotype" w:hAnsi="Palatino Linotype"/>
          <w:color w:val="000000" w:themeColor="text1"/>
          <w:sz w:val="22"/>
        </w:rPr>
      </w:pPr>
    </w:p>
    <w:p w:rsidR="00134CE6" w:rsidRPr="00752B18"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hAnsi="Palatino Linotype" w:cs="Arial"/>
          <w:noProof/>
          <w:color w:val="000000" w:themeColor="text1"/>
          <w:lang w:eastAsia="es-MX"/>
        </w:rPr>
        <w:t>En ese tenor</w:t>
      </w:r>
      <w:r w:rsidR="00134CE6" w:rsidRPr="00752B18">
        <w:rPr>
          <w:rFonts w:ascii="Palatino Linotype" w:hAnsi="Palatino Linotype" w:cs="Arial"/>
          <w:noProof/>
          <w:color w:val="000000" w:themeColor="text1"/>
          <w:lang w:eastAsia="es-MX"/>
        </w:rPr>
        <w:t>, por lo que hace a los motivos de inconformidad</w:t>
      </w:r>
      <w:r w:rsidRPr="00752B18">
        <w:rPr>
          <w:rFonts w:ascii="Palatino Linotype" w:hAnsi="Palatino Linotype" w:cs="Arial"/>
          <w:noProof/>
          <w:color w:val="000000" w:themeColor="text1"/>
          <w:lang w:eastAsia="es-MX"/>
        </w:rPr>
        <w:t xml:space="preserve"> vertidos por el </w:t>
      </w:r>
      <w:r w:rsidRPr="00752B18">
        <w:rPr>
          <w:rFonts w:ascii="Palatino Linotype" w:hAnsi="Palatino Linotype" w:cs="Arial"/>
          <w:b/>
          <w:noProof/>
          <w:color w:val="000000" w:themeColor="text1"/>
          <w:lang w:eastAsia="es-MX"/>
        </w:rPr>
        <w:t>RECURRENTE</w:t>
      </w:r>
      <w:r w:rsidRPr="00752B18">
        <w:rPr>
          <w:rFonts w:ascii="Palatino Linotype" w:hAnsi="Palatino Linotype" w:cs="Arial"/>
          <w:noProof/>
          <w:color w:val="000000" w:themeColor="text1"/>
          <w:lang w:eastAsia="es-MX"/>
        </w:rPr>
        <w:t xml:space="preserve">, </w:t>
      </w:r>
      <w:r w:rsidR="00305F0E" w:rsidRPr="00752B18">
        <w:rPr>
          <w:rFonts w:ascii="Palatino Linotype" w:hAnsi="Palatino Linotype" w:cs="Arial"/>
          <w:noProof/>
          <w:color w:val="000000" w:themeColor="text1"/>
          <w:lang w:eastAsia="es-MX"/>
        </w:rPr>
        <w:t xml:space="preserve">los mismos </w:t>
      </w:r>
      <w:r w:rsidRPr="00752B18">
        <w:rPr>
          <w:rFonts w:ascii="Palatino Linotype" w:hAnsi="Palatino Linotype" w:cs="Arial"/>
          <w:noProof/>
          <w:color w:val="000000" w:themeColor="text1"/>
          <w:lang w:eastAsia="es-MX"/>
        </w:rPr>
        <w:t>resultan inatendibles al</w:t>
      </w:r>
      <w:r w:rsidR="00134CE6" w:rsidRPr="00752B18">
        <w:rPr>
          <w:rFonts w:ascii="Palatino Linotype" w:hAnsi="Palatino Linotype" w:cs="Arial"/>
          <w:noProof/>
          <w:color w:val="000000" w:themeColor="text1"/>
          <w:lang w:eastAsia="es-MX"/>
        </w:rPr>
        <w:t xml:space="preserve"> actualizarse la figura del sobreseimi</w:t>
      </w:r>
      <w:r w:rsidRPr="00752B18">
        <w:rPr>
          <w:rFonts w:ascii="Palatino Linotype" w:hAnsi="Palatino Linotype" w:cs="Arial"/>
          <w:noProof/>
          <w:color w:val="000000" w:themeColor="text1"/>
          <w:lang w:eastAsia="es-MX"/>
        </w:rPr>
        <w:t xml:space="preserve">ento, </w:t>
      </w:r>
      <w:r w:rsidR="00134CE6" w:rsidRPr="00752B18">
        <w:rPr>
          <w:rFonts w:ascii="Palatino Linotype" w:hAnsi="Palatino Linotype" w:cs="Arial"/>
          <w:noProof/>
          <w:color w:val="000000" w:themeColor="text1"/>
          <w:lang w:eastAsia="es-MX"/>
        </w:rPr>
        <w:t>que impide el estudio de los agravios planteados.</w:t>
      </w:r>
    </w:p>
    <w:p w:rsidR="00A533B8" w:rsidRPr="00752B18" w:rsidRDefault="00A533B8" w:rsidP="00A533B8">
      <w:pPr>
        <w:spacing w:line="360" w:lineRule="auto"/>
        <w:jc w:val="both"/>
        <w:rPr>
          <w:rFonts w:ascii="Palatino Linotype" w:hAnsi="Palatino Linotype"/>
          <w:color w:val="000000" w:themeColor="text1"/>
        </w:rPr>
      </w:pPr>
    </w:p>
    <w:p w:rsidR="00134CE6" w:rsidRPr="00752B18" w:rsidRDefault="00134CE6" w:rsidP="00134CE6">
      <w:pPr>
        <w:pStyle w:val="Ttulo2"/>
        <w:numPr>
          <w:ilvl w:val="0"/>
          <w:numId w:val="46"/>
        </w:numPr>
        <w:spacing w:line="259" w:lineRule="auto"/>
        <w:rPr>
          <w:rFonts w:ascii="Palatino Linotype" w:hAnsi="Palatino Linotype"/>
          <w:b/>
          <w:color w:val="000000" w:themeColor="text1"/>
          <w:sz w:val="24"/>
          <w:szCs w:val="24"/>
        </w:rPr>
      </w:pPr>
      <w:bookmarkStart w:id="151" w:name="_Toc70526135"/>
      <w:r w:rsidRPr="00752B18">
        <w:rPr>
          <w:rFonts w:ascii="Palatino Linotype" w:hAnsi="Palatino Linotype"/>
          <w:b/>
          <w:color w:val="000000" w:themeColor="text1"/>
          <w:sz w:val="24"/>
          <w:szCs w:val="24"/>
        </w:rPr>
        <w:t>Determinación</w:t>
      </w:r>
      <w:bookmarkEnd w:id="151"/>
    </w:p>
    <w:p w:rsidR="00531473" w:rsidRPr="00752B18" w:rsidRDefault="00531473" w:rsidP="00531473"/>
    <w:p w:rsidR="00134CE6" w:rsidRPr="00752B18"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hAnsi="Palatino Linotype"/>
          <w:color w:val="000000" w:themeColor="text1"/>
        </w:rPr>
        <w:t xml:space="preserve">Atento a lo anterior, </w:t>
      </w:r>
      <w:r w:rsidRPr="00752B18">
        <w:rPr>
          <w:rFonts w:ascii="Palatino Linotype" w:hAnsi="Palatino Linotype" w:cs="Arial"/>
          <w:color w:val="000000" w:themeColor="text1"/>
          <w:lang w:val="es-CO"/>
        </w:rPr>
        <w:t xml:space="preserve">y en términos del artículo 186 fracción I este Pleno determina el </w:t>
      </w:r>
      <w:r w:rsidRPr="00752B18">
        <w:rPr>
          <w:rFonts w:ascii="Palatino Linotype" w:hAnsi="Palatino Linotype" w:cs="Arial"/>
          <w:b/>
          <w:color w:val="000000" w:themeColor="text1"/>
          <w:lang w:val="es-CO"/>
        </w:rPr>
        <w:t xml:space="preserve">SOBRESEIMIENTO </w:t>
      </w:r>
      <w:r w:rsidRPr="00752B18">
        <w:rPr>
          <w:rFonts w:ascii="Palatino Linotype" w:hAnsi="Palatino Linotype" w:cs="Arial"/>
          <w:color w:val="000000" w:themeColor="text1"/>
          <w:lang w:val="es-CO"/>
        </w:rPr>
        <w:t>del</w:t>
      </w:r>
      <w:r w:rsidR="00627408" w:rsidRPr="00752B18">
        <w:rPr>
          <w:rFonts w:ascii="Palatino Linotype" w:hAnsi="Palatino Linotype" w:cs="Arial"/>
          <w:color w:val="000000" w:themeColor="text1"/>
          <w:lang w:val="es-CO"/>
        </w:rPr>
        <w:t xml:space="preserve"> presente recurso de revisión, al actualizarse la causal contemplada en el artículo 192 fracción IV en relación con el artículo 191 fracción I de la </w:t>
      </w:r>
      <w:r w:rsidR="00627408" w:rsidRPr="00752B18">
        <w:rPr>
          <w:rFonts w:ascii="Palatino Linotype" w:hAnsi="Palatino Linotype" w:cs="Arial"/>
          <w:color w:val="000000" w:themeColor="text1"/>
        </w:rPr>
        <w:t>Ley de Transparencia y Acceso y la Información Pública del Estado de México  Municipios</w:t>
      </w:r>
      <w:r w:rsidR="00A77D3A" w:rsidRPr="00752B18">
        <w:rPr>
          <w:rFonts w:ascii="Palatino Linotype" w:hAnsi="Palatino Linotype" w:cs="Arial"/>
          <w:color w:val="000000" w:themeColor="text1"/>
        </w:rPr>
        <w:t>.</w:t>
      </w:r>
    </w:p>
    <w:p w:rsidR="00A77D3A" w:rsidRPr="00A77D3A" w:rsidRDefault="00A77D3A" w:rsidP="00A77D3A">
      <w:pPr>
        <w:pStyle w:val="Prrafodelista"/>
        <w:spacing w:line="360" w:lineRule="auto"/>
        <w:ind w:left="0"/>
        <w:jc w:val="both"/>
        <w:rPr>
          <w:rFonts w:ascii="Palatino Linotype" w:hAnsi="Palatino Linotype"/>
          <w:color w:val="000000" w:themeColor="text1"/>
        </w:rPr>
      </w:pPr>
    </w:p>
    <w:p w:rsidR="00A77D3A" w:rsidRPr="00597734" w:rsidRDefault="00A77D3A" w:rsidP="00531473">
      <w:pPr>
        <w:pStyle w:val="Prrafodelista"/>
        <w:numPr>
          <w:ilvl w:val="0"/>
          <w:numId w:val="15"/>
        </w:numPr>
        <w:spacing w:line="360" w:lineRule="auto"/>
        <w:ind w:left="0" w:firstLine="0"/>
        <w:jc w:val="both"/>
        <w:rPr>
          <w:rFonts w:ascii="Palatino Linotype" w:hAnsi="Palatino Linotype"/>
          <w:color w:val="000000" w:themeColor="text1"/>
        </w:rPr>
      </w:pPr>
      <w:r w:rsidRPr="00597734">
        <w:rPr>
          <w:rFonts w:ascii="Palatino Linotype" w:hAnsi="Palatino Linotype"/>
          <w:color w:val="000000" w:themeColor="text1"/>
        </w:rPr>
        <w:t>Finalmente, se informa a la parte recurrente que se dejan a salvo los derechos para interponer nuevas solicitudes de información ante los sujetos obligados que a sus intereses convenga.</w:t>
      </w:r>
    </w:p>
    <w:p w:rsidR="00103414" w:rsidRPr="00134CE6" w:rsidRDefault="00103414" w:rsidP="00103414">
      <w:pPr>
        <w:pStyle w:val="Prrafodelista"/>
        <w:spacing w:line="360" w:lineRule="auto"/>
        <w:ind w:left="0"/>
        <w:jc w:val="both"/>
        <w:rPr>
          <w:rFonts w:ascii="Palatino Linotype" w:hAnsi="Palatino Linotype"/>
          <w:color w:val="000000" w:themeColor="text1"/>
        </w:rPr>
      </w:pPr>
    </w:p>
    <w:p w:rsidR="00792D6A" w:rsidRPr="00134CE6"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anteriormente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2" w:name="_Toc504500693"/>
      <w:bookmarkStart w:id="153" w:name="_Toc534742545"/>
      <w:bookmarkStart w:id="154" w:name="_Toc2248738"/>
      <w:bookmarkStart w:id="155" w:name="_Toc34819440"/>
      <w:bookmarkStart w:id="156" w:name="_Toc51259595"/>
      <w:bookmarkStart w:id="157" w:name="_Toc83128595"/>
      <w:r w:rsidRPr="00134CE6">
        <w:rPr>
          <w:rFonts w:ascii="Palatino Linotype" w:eastAsia="Calibri" w:hAnsi="Palatino Linotype"/>
          <w:b/>
          <w:color w:val="000000" w:themeColor="text1"/>
          <w:sz w:val="24"/>
          <w:szCs w:val="24"/>
          <w:lang w:val="es-ES"/>
        </w:rPr>
        <w:lastRenderedPageBreak/>
        <w:t>R E S O L U T I V O S</w:t>
      </w:r>
      <w:bookmarkEnd w:id="152"/>
      <w:bookmarkEnd w:id="153"/>
      <w:bookmarkEnd w:id="154"/>
      <w:bookmarkEnd w:id="155"/>
      <w:bookmarkEnd w:id="156"/>
      <w:bookmarkEnd w:id="157"/>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752B18">
        <w:rPr>
          <w:rFonts w:ascii="Palatino Linotype" w:hAnsi="Palatino Linotype" w:cs="Arial"/>
          <w:b/>
          <w:bCs/>
          <w:lang w:eastAsia="es-MX"/>
        </w:rPr>
        <w:t>PRIMERO</w:t>
      </w:r>
      <w:r w:rsidRPr="00752B18">
        <w:rPr>
          <w:rFonts w:ascii="Palatino Linotype" w:hAnsi="Palatino Linotype" w:cs="Arial"/>
        </w:rPr>
        <w:t xml:space="preserve">. Se </w:t>
      </w:r>
      <w:r w:rsidRPr="00752B18">
        <w:rPr>
          <w:rFonts w:ascii="Palatino Linotype" w:hAnsi="Palatino Linotype" w:cs="Arial"/>
          <w:b/>
        </w:rPr>
        <w:t xml:space="preserve">SOBRESEE </w:t>
      </w:r>
      <w:r w:rsidR="00103414" w:rsidRPr="00752B18">
        <w:rPr>
          <w:rFonts w:ascii="Palatino Linotype" w:hAnsi="Palatino Linotype" w:cs="Arial"/>
        </w:rPr>
        <w:t>el Recurso de R</w:t>
      </w:r>
      <w:r w:rsidRPr="00752B18">
        <w:rPr>
          <w:rFonts w:ascii="Palatino Linotype" w:hAnsi="Palatino Linotype" w:cs="Arial"/>
        </w:rPr>
        <w:t>evisión</w:t>
      </w:r>
      <w:r w:rsidRPr="00752B18">
        <w:rPr>
          <w:rFonts w:ascii="Palatino Linotype" w:hAnsi="Palatino Linotype" w:cs="Arial"/>
          <w:b/>
        </w:rPr>
        <w:t xml:space="preserve"> </w:t>
      </w:r>
      <w:r w:rsidRPr="00752B18">
        <w:rPr>
          <w:rFonts w:ascii="Palatino Linotype" w:hAnsi="Palatino Linotype" w:cs="Arial"/>
        </w:rPr>
        <w:t xml:space="preserve">número </w:t>
      </w:r>
      <w:r w:rsidR="00627408" w:rsidRPr="00752B18">
        <w:rPr>
          <w:rFonts w:ascii="Palatino Linotype" w:hAnsi="Palatino Linotype"/>
          <w:b/>
          <w:color w:val="000000" w:themeColor="text1"/>
        </w:rPr>
        <w:t>05468/INFOEM/IP/RR/2023</w:t>
      </w:r>
      <w:r w:rsidR="00BD778A">
        <w:rPr>
          <w:rFonts w:ascii="Palatino Linotype" w:hAnsi="Palatino Linotype"/>
          <w:b/>
          <w:color w:val="000000" w:themeColor="text1"/>
        </w:rPr>
        <w:t>,</w:t>
      </w:r>
      <w:r w:rsidR="00627408" w:rsidRPr="00752B18">
        <w:rPr>
          <w:rFonts w:ascii="Palatino Linotype" w:hAnsi="Palatino Linotype"/>
        </w:rPr>
        <w:t xml:space="preserve"> </w:t>
      </w:r>
      <w:r w:rsidR="00103414" w:rsidRPr="00752B18">
        <w:rPr>
          <w:rFonts w:ascii="Palatino Linotype" w:hAnsi="Palatino Linotype"/>
        </w:rPr>
        <w:t>conforme</w:t>
      </w:r>
      <w:r w:rsidR="00305F0E" w:rsidRPr="00752B18">
        <w:rPr>
          <w:rFonts w:ascii="Palatino Linotype" w:hAnsi="Palatino Linotype"/>
        </w:rPr>
        <w:t xml:space="preserve"> a la fracción</w:t>
      </w:r>
      <w:r w:rsidR="00103414" w:rsidRPr="00752B18">
        <w:rPr>
          <w:rFonts w:ascii="Palatino Linotype" w:hAnsi="Palatino Linotype"/>
        </w:rPr>
        <w:t xml:space="preserve"> </w:t>
      </w:r>
      <w:r w:rsidR="00305F0E" w:rsidRPr="00752B18">
        <w:rPr>
          <w:rFonts w:ascii="Palatino Linotype" w:hAnsi="Palatino Linotype"/>
        </w:rPr>
        <w:t xml:space="preserve">IV del artículo 192, en relación con el artículo 191 fracción I, </w:t>
      </w:r>
      <w:r w:rsidR="00103414" w:rsidRPr="00752B18">
        <w:rPr>
          <w:rFonts w:ascii="Palatino Linotype" w:hAnsi="Palatino Linotype"/>
        </w:rPr>
        <w:t>de la Ley de Transparencia y Acceso a la Información Pública del Estado de México y Municipios</w:t>
      </w:r>
      <w:r w:rsidRPr="00752B18">
        <w:rPr>
          <w:rFonts w:ascii="Palatino Linotype" w:hAnsi="Palatino Linotype" w:cs="Arial"/>
          <w:b/>
        </w:rPr>
        <w:t xml:space="preserve">, </w:t>
      </w:r>
      <w:r w:rsidRPr="00752B18">
        <w:rPr>
          <w:rFonts w:ascii="Palatino Linotype" w:hAnsi="Palatino Linotype" w:cs="Arial"/>
        </w:rPr>
        <w:t xml:space="preserve">en términos del </w:t>
      </w:r>
      <w:r w:rsidR="00BD778A">
        <w:rPr>
          <w:rFonts w:ascii="Palatino Linotype" w:hAnsi="Palatino Linotype" w:cs="Arial"/>
          <w:b/>
        </w:rPr>
        <w:t>c</w:t>
      </w:r>
      <w:r w:rsidRPr="00752B18">
        <w:rPr>
          <w:rFonts w:ascii="Palatino Linotype" w:hAnsi="Palatino Linotype" w:cs="Arial"/>
          <w:b/>
        </w:rPr>
        <w:t>onsiderando</w:t>
      </w:r>
      <w:r w:rsidRPr="00752B18">
        <w:rPr>
          <w:rFonts w:ascii="Palatino Linotype" w:hAnsi="Palatino Linotype" w:cs="Arial"/>
        </w:rPr>
        <w:t xml:space="preserve"> </w:t>
      </w:r>
      <w:r w:rsidRPr="00752B18">
        <w:rPr>
          <w:rFonts w:ascii="Palatino Linotype" w:hAnsi="Palatino Linotype" w:cs="Arial"/>
          <w:b/>
        </w:rPr>
        <w:t>TERCERO</w:t>
      </w:r>
      <w:r w:rsidRPr="00752B18">
        <w:rPr>
          <w:rFonts w:ascii="Palatino Linotype" w:hAnsi="Palatino Linotype" w:cs="Arial"/>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158" w:name="_Toc461648590"/>
      <w:bookmarkStart w:id="159" w:name="_Toc461648682"/>
      <w:bookmarkStart w:id="160" w:name="_Toc462228049"/>
      <w:bookmarkStart w:id="161" w:name="_Toc462228129"/>
      <w:bookmarkStart w:id="162" w:name="_Toc496099789"/>
      <w:bookmarkStart w:id="163" w:name="_Toc496100166"/>
      <w:bookmarkStart w:id="164" w:name="_Toc499756977"/>
      <w:bookmarkStart w:id="165" w:name="_Toc499757020"/>
      <w:bookmarkStart w:id="166" w:name="_Toc504377974"/>
      <w:r w:rsidRPr="00452437">
        <w:rPr>
          <w:rFonts w:ascii="Palatino Linotype" w:eastAsia="Times New Roman" w:hAnsi="Palatino Linotype" w:cs="Arial"/>
          <w:b/>
        </w:rPr>
        <w:t>SEGUNDO.</w:t>
      </w:r>
      <w:bookmarkEnd w:id="158"/>
      <w:bookmarkEnd w:id="159"/>
      <w:bookmarkEnd w:id="160"/>
      <w:bookmarkEnd w:id="161"/>
      <w:bookmarkEnd w:id="162"/>
      <w:bookmarkEnd w:id="163"/>
      <w:bookmarkEnd w:id="164"/>
      <w:bookmarkEnd w:id="165"/>
      <w:bookmarkEnd w:id="166"/>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Pr="00452437">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A77D3A" w:rsidRPr="00452437" w:rsidRDefault="00A77D3A"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0E31C4" w:rsidRPr="00DE5871">
        <w:rPr>
          <w:rFonts w:ascii="Palatino Linotype" w:eastAsia="MS Mincho" w:hAnsi="Palatino Linotype"/>
          <w:b/>
        </w:rPr>
        <w:t>LA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BD778A" w:rsidRPr="00BD778A" w:rsidRDefault="00BD778A" w:rsidP="00BD778A">
      <w:pPr>
        <w:spacing w:before="240" w:after="240" w:line="360" w:lineRule="auto"/>
        <w:ind w:firstLine="1"/>
        <w:jc w:val="both"/>
        <w:rPr>
          <w:rFonts w:ascii="Palatino Linotype" w:hAnsi="Palatino Linotype"/>
          <w:smallCaps/>
        </w:rPr>
      </w:pPr>
      <w:bookmarkStart w:id="167" w:name="_Hlk129792997"/>
      <w:r w:rsidRPr="00BD778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BD778A">
        <w:rPr>
          <w:rStyle w:val="Referenciasutil"/>
          <w:rFonts w:ascii="Palatino Linotype" w:hAnsi="Palatino Linotype"/>
          <w:color w:val="auto"/>
        </w:rPr>
        <w:lastRenderedPageBreak/>
        <w:t xml:space="preserve">TRIGÉSIMA OCTAVA SESIÓN ORDINARIA CELEBRADA EL VEINTICINCO (25) DE OCTUBRE DE DOS MIL VEINTITRÉS, ANTE EL SECRETARIO TÉCNICO DEL PLENO ALEXIS TAPIA RAMÍREZ. </w:t>
      </w:r>
      <w:bookmarkEnd w:id="167"/>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08" w:rsidRDefault="006D4F08" w:rsidP="003B7751">
      <w:r>
        <w:separator/>
      </w:r>
    </w:p>
  </w:endnote>
  <w:endnote w:type="continuationSeparator" w:id="0">
    <w:p w:rsidR="006D4F08" w:rsidRDefault="006D4F0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206F">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A206F">
              <w:rPr>
                <w:rFonts w:ascii="Palatino Linotype" w:hAnsi="Palatino Linotype"/>
                <w:bCs/>
                <w:noProof/>
                <w:sz w:val="20"/>
              </w:rPr>
              <w:t>10</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206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A206F">
      <w:rPr>
        <w:rFonts w:ascii="Palatino Linotype" w:hAnsi="Palatino Linotype"/>
        <w:bCs/>
        <w:noProof/>
        <w:sz w:val="20"/>
      </w:rPr>
      <w:t>10</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08" w:rsidRDefault="006D4F08" w:rsidP="003B7751">
      <w:r>
        <w:separator/>
      </w:r>
    </w:p>
  </w:footnote>
  <w:footnote w:type="continuationSeparator" w:id="0">
    <w:p w:rsidR="006D4F08" w:rsidRDefault="006D4F08"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6D4F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RPr="00BD778A" w:rsidTr="006A04B6">
      <w:trPr>
        <w:trHeight w:val="227"/>
      </w:trPr>
      <w:tc>
        <w:tcPr>
          <w:tcW w:w="2976" w:type="dxa"/>
          <w:vAlign w:val="center"/>
          <w:hideMark/>
        </w:tcPr>
        <w:p w:rsidR="00D46375" w:rsidRPr="00BD778A" w:rsidRDefault="00D46375" w:rsidP="009F09BC">
          <w:pPr>
            <w:ind w:right="34"/>
            <w:jc w:val="right"/>
            <w:rPr>
              <w:rFonts w:ascii="Palatino Linotype" w:hAnsi="Palatino Linotype"/>
              <w:b/>
              <w:sz w:val="22"/>
              <w:szCs w:val="22"/>
            </w:rPr>
          </w:pPr>
          <w:r w:rsidRPr="00BD778A">
            <w:rPr>
              <w:rFonts w:ascii="Palatino Linotype" w:hAnsi="Palatino Linotype"/>
              <w:b/>
              <w:sz w:val="22"/>
              <w:szCs w:val="22"/>
            </w:rPr>
            <w:t>Recurso de Revisión:</w:t>
          </w:r>
        </w:p>
      </w:tc>
      <w:tc>
        <w:tcPr>
          <w:tcW w:w="3543" w:type="dxa"/>
          <w:vAlign w:val="center"/>
          <w:hideMark/>
        </w:tcPr>
        <w:p w:rsidR="00D46375" w:rsidRPr="00BD778A" w:rsidRDefault="00627408" w:rsidP="002650A0">
          <w:pPr>
            <w:pStyle w:val="Encabezado"/>
            <w:rPr>
              <w:rFonts w:ascii="Palatino Linotype" w:hAnsi="Palatino Linotype"/>
              <w:sz w:val="22"/>
              <w:szCs w:val="22"/>
            </w:rPr>
          </w:pPr>
          <w:r w:rsidRPr="00BD778A">
            <w:rPr>
              <w:rFonts w:ascii="Palatino Linotype" w:hAnsi="Palatino Linotype"/>
              <w:color w:val="000000" w:themeColor="text1"/>
              <w:sz w:val="22"/>
              <w:szCs w:val="22"/>
            </w:rPr>
            <w:t>05468/INFOEM/IP/RR/2023</w:t>
          </w:r>
        </w:p>
      </w:tc>
    </w:tr>
    <w:tr w:rsidR="00D46375" w:rsidRPr="00BD778A" w:rsidTr="006A04B6">
      <w:trPr>
        <w:trHeight w:val="242"/>
      </w:trPr>
      <w:tc>
        <w:tcPr>
          <w:tcW w:w="2976" w:type="dxa"/>
          <w:vAlign w:val="center"/>
          <w:hideMark/>
        </w:tcPr>
        <w:p w:rsidR="00D46375" w:rsidRPr="00BD778A" w:rsidRDefault="00D46375" w:rsidP="009F09BC">
          <w:pPr>
            <w:ind w:right="34"/>
            <w:jc w:val="right"/>
            <w:rPr>
              <w:rFonts w:ascii="Palatino Linotype" w:hAnsi="Palatino Linotype"/>
              <w:b/>
              <w:sz w:val="22"/>
              <w:szCs w:val="22"/>
            </w:rPr>
          </w:pPr>
          <w:r w:rsidRPr="00BD778A">
            <w:rPr>
              <w:rFonts w:ascii="Palatino Linotype" w:hAnsi="Palatino Linotype"/>
              <w:b/>
              <w:sz w:val="22"/>
              <w:szCs w:val="22"/>
            </w:rPr>
            <w:t>Sujeto Obligado:</w:t>
          </w:r>
        </w:p>
      </w:tc>
      <w:tc>
        <w:tcPr>
          <w:tcW w:w="3543" w:type="dxa"/>
          <w:vAlign w:val="center"/>
          <w:hideMark/>
        </w:tcPr>
        <w:p w:rsidR="00D46375" w:rsidRPr="00BD778A" w:rsidRDefault="00627408" w:rsidP="009F09BC">
          <w:pPr>
            <w:pStyle w:val="Encabezado"/>
            <w:jc w:val="both"/>
            <w:rPr>
              <w:rFonts w:ascii="Palatino Linotype" w:hAnsi="Palatino Linotype"/>
              <w:sz w:val="22"/>
              <w:szCs w:val="22"/>
            </w:rPr>
          </w:pPr>
          <w:r w:rsidRPr="00BD778A">
            <w:rPr>
              <w:rFonts w:ascii="Palatino Linotype" w:hAnsi="Palatino Linotype" w:cs="Arial"/>
              <w:color w:val="000000" w:themeColor="text1"/>
              <w:sz w:val="22"/>
              <w:szCs w:val="22"/>
            </w:rPr>
            <w:t>Ayuntamiento de Temascalapa</w:t>
          </w:r>
          <w:r w:rsidRPr="00BD778A">
            <w:rPr>
              <w:rFonts w:ascii="Palatino Linotype" w:hAnsi="Palatino Linotype"/>
              <w:bCs/>
              <w:color w:val="000000"/>
              <w:sz w:val="22"/>
              <w:szCs w:val="22"/>
            </w:rPr>
            <w:t xml:space="preserve"> </w:t>
          </w:r>
        </w:p>
      </w:tc>
    </w:tr>
    <w:tr w:rsidR="00D46375" w:rsidRPr="00BD778A" w:rsidTr="006A04B6">
      <w:trPr>
        <w:trHeight w:val="342"/>
      </w:trPr>
      <w:tc>
        <w:tcPr>
          <w:tcW w:w="2976" w:type="dxa"/>
          <w:vAlign w:val="center"/>
          <w:hideMark/>
        </w:tcPr>
        <w:p w:rsidR="00D46375" w:rsidRPr="00BD778A" w:rsidRDefault="00D46375" w:rsidP="00103414">
          <w:pPr>
            <w:ind w:right="34"/>
            <w:jc w:val="right"/>
            <w:rPr>
              <w:rFonts w:ascii="Palatino Linotype" w:hAnsi="Palatino Linotype"/>
              <w:b/>
              <w:sz w:val="22"/>
              <w:szCs w:val="22"/>
            </w:rPr>
          </w:pPr>
          <w:r w:rsidRPr="00BD778A">
            <w:rPr>
              <w:rFonts w:ascii="Palatino Linotype" w:hAnsi="Palatino Linotype"/>
              <w:b/>
              <w:sz w:val="22"/>
              <w:szCs w:val="22"/>
            </w:rPr>
            <w:t>Comisionad</w:t>
          </w:r>
          <w:r w:rsidR="00103414" w:rsidRPr="00BD778A">
            <w:rPr>
              <w:rFonts w:ascii="Palatino Linotype" w:hAnsi="Palatino Linotype"/>
              <w:b/>
              <w:sz w:val="22"/>
              <w:szCs w:val="22"/>
            </w:rPr>
            <w:t>a</w:t>
          </w:r>
          <w:r w:rsidRPr="00BD778A">
            <w:rPr>
              <w:rFonts w:ascii="Palatino Linotype" w:hAnsi="Palatino Linotype"/>
              <w:b/>
              <w:sz w:val="22"/>
              <w:szCs w:val="22"/>
            </w:rPr>
            <w:t xml:space="preserve"> Ponente:</w:t>
          </w:r>
        </w:p>
      </w:tc>
      <w:tc>
        <w:tcPr>
          <w:tcW w:w="3543" w:type="dxa"/>
          <w:vAlign w:val="center"/>
          <w:hideMark/>
        </w:tcPr>
        <w:p w:rsidR="00D46375" w:rsidRPr="00BD778A" w:rsidRDefault="00D46375" w:rsidP="009F09BC">
          <w:pPr>
            <w:pStyle w:val="Encabezado"/>
            <w:rPr>
              <w:rFonts w:ascii="Palatino Linotype" w:hAnsi="Palatino Linotype"/>
              <w:sz w:val="22"/>
              <w:szCs w:val="22"/>
            </w:rPr>
          </w:pPr>
          <w:r w:rsidRPr="00BD778A">
            <w:rPr>
              <w:rFonts w:ascii="Palatino Linotype" w:hAnsi="Palatino Linotype"/>
              <w:sz w:val="22"/>
              <w:szCs w:val="22"/>
            </w:rPr>
            <w:t>María del Rosario Mejía Ayala</w:t>
          </w:r>
        </w:p>
      </w:tc>
    </w:tr>
  </w:tbl>
  <w:p w:rsidR="00D46375" w:rsidRPr="00AE046A" w:rsidRDefault="006D4F0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BD778A" w:rsidTr="006A04B6">
      <w:trPr>
        <w:trHeight w:val="227"/>
      </w:trPr>
      <w:tc>
        <w:tcPr>
          <w:tcW w:w="2977" w:type="dxa"/>
          <w:vAlign w:val="center"/>
          <w:hideMark/>
        </w:tcPr>
        <w:p w:rsidR="00D46375" w:rsidRPr="00BD778A" w:rsidRDefault="00D46375" w:rsidP="009F09BC">
          <w:pPr>
            <w:jc w:val="right"/>
            <w:rPr>
              <w:rFonts w:ascii="Palatino Linotype" w:hAnsi="Palatino Linotype"/>
              <w:b/>
              <w:sz w:val="22"/>
              <w:szCs w:val="22"/>
            </w:rPr>
          </w:pPr>
          <w:r w:rsidRPr="00BD778A">
            <w:rPr>
              <w:rFonts w:ascii="Palatino Linotype" w:hAnsi="Palatino Linotype"/>
              <w:b/>
              <w:sz w:val="22"/>
              <w:szCs w:val="22"/>
            </w:rPr>
            <w:t>Recurso de Revisión:</w:t>
          </w:r>
        </w:p>
      </w:tc>
      <w:tc>
        <w:tcPr>
          <w:tcW w:w="3684" w:type="dxa"/>
          <w:vAlign w:val="center"/>
          <w:hideMark/>
        </w:tcPr>
        <w:p w:rsidR="00D46375" w:rsidRPr="00BD778A" w:rsidRDefault="006B63AB" w:rsidP="0069487D">
          <w:pPr>
            <w:pStyle w:val="Encabezado"/>
            <w:rPr>
              <w:rFonts w:ascii="Palatino Linotype" w:hAnsi="Palatino Linotype"/>
              <w:sz w:val="22"/>
              <w:szCs w:val="22"/>
            </w:rPr>
          </w:pPr>
          <w:r w:rsidRPr="00BD778A">
            <w:rPr>
              <w:rFonts w:ascii="Palatino Linotype" w:hAnsi="Palatino Linotype" w:cs="Arial"/>
              <w:bCs/>
              <w:sz w:val="22"/>
              <w:szCs w:val="22"/>
              <w:lang w:eastAsia="es-MX"/>
            </w:rPr>
            <w:t>05468/INFOEM/IP/RR/2023</w:t>
          </w:r>
        </w:p>
      </w:tc>
    </w:tr>
    <w:tr w:rsidR="00D46375" w:rsidRPr="00BD778A" w:rsidTr="006A04B6">
      <w:trPr>
        <w:trHeight w:val="242"/>
      </w:trPr>
      <w:tc>
        <w:tcPr>
          <w:tcW w:w="2977" w:type="dxa"/>
          <w:vAlign w:val="center"/>
          <w:hideMark/>
        </w:tcPr>
        <w:p w:rsidR="00D46375" w:rsidRPr="00BD778A" w:rsidRDefault="00D46375" w:rsidP="009F09BC">
          <w:pPr>
            <w:jc w:val="right"/>
            <w:rPr>
              <w:rFonts w:ascii="Palatino Linotype" w:hAnsi="Palatino Linotype"/>
              <w:b/>
              <w:sz w:val="22"/>
              <w:szCs w:val="22"/>
            </w:rPr>
          </w:pPr>
          <w:r w:rsidRPr="00BD778A">
            <w:rPr>
              <w:rFonts w:ascii="Palatino Linotype" w:hAnsi="Palatino Linotype"/>
              <w:b/>
              <w:sz w:val="22"/>
              <w:szCs w:val="22"/>
            </w:rPr>
            <w:t>Recurrente:</w:t>
          </w:r>
        </w:p>
      </w:tc>
      <w:tc>
        <w:tcPr>
          <w:tcW w:w="3684" w:type="dxa"/>
          <w:hideMark/>
        </w:tcPr>
        <w:p w:rsidR="00D46375" w:rsidRPr="00BD778A" w:rsidRDefault="00FA1BCD" w:rsidP="006B63AB">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D46375" w:rsidRPr="00BD778A" w:rsidTr="006A04B6">
      <w:trPr>
        <w:trHeight w:val="342"/>
      </w:trPr>
      <w:tc>
        <w:tcPr>
          <w:tcW w:w="2977" w:type="dxa"/>
          <w:vAlign w:val="center"/>
        </w:tcPr>
        <w:p w:rsidR="00D46375" w:rsidRPr="00BD778A" w:rsidRDefault="00D46375" w:rsidP="009F09BC">
          <w:pPr>
            <w:jc w:val="right"/>
            <w:rPr>
              <w:rFonts w:ascii="Palatino Linotype" w:hAnsi="Palatino Linotype"/>
              <w:b/>
              <w:sz w:val="22"/>
              <w:szCs w:val="22"/>
            </w:rPr>
          </w:pPr>
          <w:r w:rsidRPr="00BD778A">
            <w:rPr>
              <w:rFonts w:ascii="Palatino Linotype" w:hAnsi="Palatino Linotype"/>
              <w:b/>
              <w:sz w:val="22"/>
              <w:szCs w:val="22"/>
            </w:rPr>
            <w:t>Sujeto Obligado:</w:t>
          </w:r>
        </w:p>
      </w:tc>
      <w:tc>
        <w:tcPr>
          <w:tcW w:w="3684" w:type="dxa"/>
          <w:vAlign w:val="center"/>
        </w:tcPr>
        <w:p w:rsidR="00D46375" w:rsidRPr="00BD778A" w:rsidRDefault="00321085" w:rsidP="009F09BC">
          <w:pPr>
            <w:pStyle w:val="Encabezado"/>
            <w:jc w:val="both"/>
            <w:rPr>
              <w:rFonts w:ascii="Palatino Linotype" w:hAnsi="Palatino Linotype"/>
              <w:bCs/>
              <w:color w:val="000000"/>
              <w:sz w:val="22"/>
              <w:szCs w:val="22"/>
            </w:rPr>
          </w:pPr>
          <w:r w:rsidRPr="00BD778A">
            <w:rPr>
              <w:rFonts w:ascii="Palatino Linotype" w:hAnsi="Palatino Linotype"/>
              <w:bCs/>
              <w:color w:val="000000"/>
              <w:sz w:val="22"/>
              <w:szCs w:val="22"/>
            </w:rPr>
            <w:t xml:space="preserve">Ayuntamiento de </w:t>
          </w:r>
          <w:r w:rsidR="006B63AB" w:rsidRPr="00BD778A">
            <w:rPr>
              <w:rFonts w:ascii="Palatino Linotype" w:hAnsi="Palatino Linotype"/>
              <w:bCs/>
              <w:color w:val="000000"/>
              <w:sz w:val="22"/>
              <w:szCs w:val="22"/>
            </w:rPr>
            <w:t>Temascalapa</w:t>
          </w:r>
        </w:p>
      </w:tc>
    </w:tr>
    <w:tr w:rsidR="00D46375" w:rsidRPr="00BD778A" w:rsidTr="006A04B6">
      <w:trPr>
        <w:trHeight w:val="342"/>
      </w:trPr>
      <w:tc>
        <w:tcPr>
          <w:tcW w:w="2977" w:type="dxa"/>
          <w:vAlign w:val="center"/>
        </w:tcPr>
        <w:p w:rsidR="00D46375" w:rsidRPr="00BD778A" w:rsidRDefault="00D46375" w:rsidP="009F09BC">
          <w:pPr>
            <w:jc w:val="right"/>
            <w:rPr>
              <w:rFonts w:ascii="Palatino Linotype" w:hAnsi="Palatino Linotype"/>
              <w:b/>
              <w:sz w:val="22"/>
              <w:szCs w:val="22"/>
            </w:rPr>
          </w:pPr>
          <w:r w:rsidRPr="00BD778A">
            <w:rPr>
              <w:rFonts w:ascii="Palatino Linotype" w:hAnsi="Palatino Linotype"/>
              <w:b/>
              <w:sz w:val="22"/>
              <w:szCs w:val="22"/>
            </w:rPr>
            <w:t>Comisionada Ponente:</w:t>
          </w:r>
        </w:p>
      </w:tc>
      <w:tc>
        <w:tcPr>
          <w:tcW w:w="3684" w:type="dxa"/>
          <w:vAlign w:val="center"/>
        </w:tcPr>
        <w:p w:rsidR="00D46375" w:rsidRPr="00BD778A" w:rsidRDefault="00D46375" w:rsidP="009F09BC">
          <w:pPr>
            <w:pStyle w:val="Encabezado"/>
            <w:rPr>
              <w:rFonts w:ascii="Palatino Linotype" w:hAnsi="Palatino Linotype"/>
              <w:sz w:val="22"/>
              <w:szCs w:val="22"/>
            </w:rPr>
          </w:pPr>
          <w:r w:rsidRPr="00BD778A">
            <w:rPr>
              <w:rFonts w:ascii="Palatino Linotype" w:hAnsi="Palatino Linotype"/>
              <w:sz w:val="22"/>
              <w:szCs w:val="22"/>
            </w:rPr>
            <w:t>María del Rosario Mejía Ayala</w:t>
          </w:r>
        </w:p>
      </w:tc>
    </w:tr>
  </w:tbl>
  <w:p w:rsidR="00D46375" w:rsidRPr="00C222C0" w:rsidRDefault="006D4F0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9383D"/>
    <w:multiLevelType w:val="hybridMultilevel"/>
    <w:tmpl w:val="45A417CC"/>
    <w:lvl w:ilvl="0" w:tplc="5C326E4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1B7CEE0E"/>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6"/>
  </w:num>
  <w:num w:numId="12">
    <w:abstractNumId w:val="27"/>
  </w:num>
  <w:num w:numId="13">
    <w:abstractNumId w:val="38"/>
  </w:num>
  <w:num w:numId="14">
    <w:abstractNumId w:val="5"/>
  </w:num>
  <w:num w:numId="15">
    <w:abstractNumId w:val="19"/>
  </w:num>
  <w:num w:numId="16">
    <w:abstractNumId w:val="34"/>
  </w:num>
  <w:num w:numId="17">
    <w:abstractNumId w:val="10"/>
  </w:num>
  <w:num w:numId="18">
    <w:abstractNumId w:val="29"/>
  </w:num>
  <w:num w:numId="19">
    <w:abstractNumId w:val="39"/>
  </w:num>
  <w:num w:numId="20">
    <w:abstractNumId w:val="20"/>
  </w:num>
  <w:num w:numId="21">
    <w:abstractNumId w:val="25"/>
  </w:num>
  <w:num w:numId="22">
    <w:abstractNumId w:val="17"/>
  </w:num>
  <w:num w:numId="23">
    <w:abstractNumId w:val="44"/>
  </w:num>
  <w:num w:numId="24">
    <w:abstractNumId w:val="8"/>
  </w:num>
  <w:num w:numId="25">
    <w:abstractNumId w:val="35"/>
  </w:num>
  <w:num w:numId="26">
    <w:abstractNumId w:val="24"/>
  </w:num>
  <w:num w:numId="27">
    <w:abstractNumId w:val="6"/>
  </w:num>
  <w:num w:numId="28">
    <w:abstractNumId w:val="36"/>
  </w:num>
  <w:num w:numId="29">
    <w:abstractNumId w:val="32"/>
  </w:num>
  <w:num w:numId="30">
    <w:abstractNumId w:val="28"/>
  </w:num>
  <w:num w:numId="31">
    <w:abstractNumId w:val="42"/>
  </w:num>
  <w:num w:numId="32">
    <w:abstractNumId w:val="21"/>
  </w:num>
  <w:num w:numId="33">
    <w:abstractNumId w:val="9"/>
  </w:num>
  <w:num w:numId="34">
    <w:abstractNumId w:val="14"/>
  </w:num>
  <w:num w:numId="35">
    <w:abstractNumId w:val="7"/>
  </w:num>
  <w:num w:numId="36">
    <w:abstractNumId w:val="40"/>
  </w:num>
  <w:num w:numId="37">
    <w:abstractNumId w:val="31"/>
  </w:num>
  <w:num w:numId="38">
    <w:abstractNumId w:val="23"/>
  </w:num>
  <w:num w:numId="39">
    <w:abstractNumId w:val="15"/>
  </w:num>
  <w:num w:numId="40">
    <w:abstractNumId w:val="33"/>
  </w:num>
  <w:num w:numId="41">
    <w:abstractNumId w:val="2"/>
  </w:num>
  <w:num w:numId="42">
    <w:abstractNumId w:val="12"/>
  </w:num>
  <w:num w:numId="43">
    <w:abstractNumId w:val="26"/>
  </w:num>
  <w:num w:numId="44">
    <w:abstractNumId w:val="43"/>
  </w:num>
  <w:num w:numId="45">
    <w:abstractNumId w:val="30"/>
  </w:num>
  <w:num w:numId="46">
    <w:abstractNumId w:val="45"/>
  </w:num>
  <w:num w:numId="47">
    <w:abstractNumId w:val="4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206F"/>
    <w:rsid w:val="000A6153"/>
    <w:rsid w:val="000B42EA"/>
    <w:rsid w:val="000E1A02"/>
    <w:rsid w:val="000E31C4"/>
    <w:rsid w:val="000E4891"/>
    <w:rsid w:val="000F5C5B"/>
    <w:rsid w:val="00103414"/>
    <w:rsid w:val="00114502"/>
    <w:rsid w:val="001310C6"/>
    <w:rsid w:val="00134CE6"/>
    <w:rsid w:val="001352F5"/>
    <w:rsid w:val="00166F3E"/>
    <w:rsid w:val="001A18E7"/>
    <w:rsid w:val="001C4290"/>
    <w:rsid w:val="001D23C1"/>
    <w:rsid w:val="001D373F"/>
    <w:rsid w:val="001D5404"/>
    <w:rsid w:val="001D630C"/>
    <w:rsid w:val="001E755B"/>
    <w:rsid w:val="00223C06"/>
    <w:rsid w:val="002249B5"/>
    <w:rsid w:val="00237FA4"/>
    <w:rsid w:val="00264C9A"/>
    <w:rsid w:val="002650A0"/>
    <w:rsid w:val="00267A08"/>
    <w:rsid w:val="00272CA2"/>
    <w:rsid w:val="00277FAC"/>
    <w:rsid w:val="002901F4"/>
    <w:rsid w:val="00291500"/>
    <w:rsid w:val="002A3B71"/>
    <w:rsid w:val="002C0D3C"/>
    <w:rsid w:val="002C4997"/>
    <w:rsid w:val="002C77D6"/>
    <w:rsid w:val="002D294C"/>
    <w:rsid w:val="0030094A"/>
    <w:rsid w:val="00305F0E"/>
    <w:rsid w:val="00312281"/>
    <w:rsid w:val="00321085"/>
    <w:rsid w:val="00323FFD"/>
    <w:rsid w:val="003437D9"/>
    <w:rsid w:val="00353F1D"/>
    <w:rsid w:val="0037157C"/>
    <w:rsid w:val="003833B3"/>
    <w:rsid w:val="003933C4"/>
    <w:rsid w:val="003A06E6"/>
    <w:rsid w:val="003A15C8"/>
    <w:rsid w:val="003B7751"/>
    <w:rsid w:val="003C13F1"/>
    <w:rsid w:val="003E66D2"/>
    <w:rsid w:val="00403D64"/>
    <w:rsid w:val="00407FDA"/>
    <w:rsid w:val="004118FA"/>
    <w:rsid w:val="0041640E"/>
    <w:rsid w:val="00425842"/>
    <w:rsid w:val="00427038"/>
    <w:rsid w:val="00437672"/>
    <w:rsid w:val="00456AEE"/>
    <w:rsid w:val="00456CFF"/>
    <w:rsid w:val="004A2270"/>
    <w:rsid w:val="004D465B"/>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67057"/>
    <w:rsid w:val="0057514F"/>
    <w:rsid w:val="00575E75"/>
    <w:rsid w:val="00583A39"/>
    <w:rsid w:val="00597734"/>
    <w:rsid w:val="005B0088"/>
    <w:rsid w:val="005B076D"/>
    <w:rsid w:val="005B6702"/>
    <w:rsid w:val="005C5021"/>
    <w:rsid w:val="005D2F1C"/>
    <w:rsid w:val="005D4C57"/>
    <w:rsid w:val="005F6094"/>
    <w:rsid w:val="0062406B"/>
    <w:rsid w:val="00627408"/>
    <w:rsid w:val="00647F7C"/>
    <w:rsid w:val="00657639"/>
    <w:rsid w:val="006672E1"/>
    <w:rsid w:val="00680C93"/>
    <w:rsid w:val="0069487D"/>
    <w:rsid w:val="006A04B6"/>
    <w:rsid w:val="006A6390"/>
    <w:rsid w:val="006B63AB"/>
    <w:rsid w:val="006D15D0"/>
    <w:rsid w:val="006D1CED"/>
    <w:rsid w:val="006D4F08"/>
    <w:rsid w:val="006D6CC1"/>
    <w:rsid w:val="006E7397"/>
    <w:rsid w:val="006E7C94"/>
    <w:rsid w:val="00707B87"/>
    <w:rsid w:val="00711062"/>
    <w:rsid w:val="007142AB"/>
    <w:rsid w:val="007142D6"/>
    <w:rsid w:val="00716BCA"/>
    <w:rsid w:val="00720371"/>
    <w:rsid w:val="0074110E"/>
    <w:rsid w:val="00742823"/>
    <w:rsid w:val="00752B18"/>
    <w:rsid w:val="007601B1"/>
    <w:rsid w:val="00775EB2"/>
    <w:rsid w:val="00782A12"/>
    <w:rsid w:val="007851DB"/>
    <w:rsid w:val="00792D6A"/>
    <w:rsid w:val="007A460E"/>
    <w:rsid w:val="007A6A1A"/>
    <w:rsid w:val="007B0745"/>
    <w:rsid w:val="007C3C29"/>
    <w:rsid w:val="007E56E1"/>
    <w:rsid w:val="00804DAA"/>
    <w:rsid w:val="0082142B"/>
    <w:rsid w:val="008227A9"/>
    <w:rsid w:val="00827191"/>
    <w:rsid w:val="008526F4"/>
    <w:rsid w:val="008563C8"/>
    <w:rsid w:val="008573BF"/>
    <w:rsid w:val="0086263F"/>
    <w:rsid w:val="0086792A"/>
    <w:rsid w:val="00873EB6"/>
    <w:rsid w:val="00875ED6"/>
    <w:rsid w:val="00890BFF"/>
    <w:rsid w:val="008A06F8"/>
    <w:rsid w:val="008A44C2"/>
    <w:rsid w:val="008A64D0"/>
    <w:rsid w:val="008A699B"/>
    <w:rsid w:val="008B0637"/>
    <w:rsid w:val="008C1ED7"/>
    <w:rsid w:val="008E12E3"/>
    <w:rsid w:val="008E32EE"/>
    <w:rsid w:val="008E330F"/>
    <w:rsid w:val="008E6574"/>
    <w:rsid w:val="008F6D18"/>
    <w:rsid w:val="00911A75"/>
    <w:rsid w:val="009126F1"/>
    <w:rsid w:val="00926716"/>
    <w:rsid w:val="009335F9"/>
    <w:rsid w:val="009370E4"/>
    <w:rsid w:val="00945135"/>
    <w:rsid w:val="0095341F"/>
    <w:rsid w:val="009972BB"/>
    <w:rsid w:val="009A2251"/>
    <w:rsid w:val="009C4CE8"/>
    <w:rsid w:val="009D0214"/>
    <w:rsid w:val="009D0241"/>
    <w:rsid w:val="009D3338"/>
    <w:rsid w:val="009D5A32"/>
    <w:rsid w:val="009F09BC"/>
    <w:rsid w:val="00A23E82"/>
    <w:rsid w:val="00A429D6"/>
    <w:rsid w:val="00A533B8"/>
    <w:rsid w:val="00A56791"/>
    <w:rsid w:val="00A626EB"/>
    <w:rsid w:val="00A77D3A"/>
    <w:rsid w:val="00AD316E"/>
    <w:rsid w:val="00AD63B4"/>
    <w:rsid w:val="00AF4BBC"/>
    <w:rsid w:val="00B07BF8"/>
    <w:rsid w:val="00B11CDD"/>
    <w:rsid w:val="00B47356"/>
    <w:rsid w:val="00B5225F"/>
    <w:rsid w:val="00B530E8"/>
    <w:rsid w:val="00B86242"/>
    <w:rsid w:val="00B95283"/>
    <w:rsid w:val="00BD778A"/>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753F"/>
    <w:rsid w:val="00DC2611"/>
    <w:rsid w:val="00DD1021"/>
    <w:rsid w:val="00DE2F5A"/>
    <w:rsid w:val="00DF03A5"/>
    <w:rsid w:val="00E118BA"/>
    <w:rsid w:val="00E17429"/>
    <w:rsid w:val="00E55966"/>
    <w:rsid w:val="00E56172"/>
    <w:rsid w:val="00E5636B"/>
    <w:rsid w:val="00E566C9"/>
    <w:rsid w:val="00E61C13"/>
    <w:rsid w:val="00E61DA9"/>
    <w:rsid w:val="00E92E04"/>
    <w:rsid w:val="00E972D7"/>
    <w:rsid w:val="00EA660A"/>
    <w:rsid w:val="00EB03C4"/>
    <w:rsid w:val="00EB1CE2"/>
    <w:rsid w:val="00ED1D6B"/>
    <w:rsid w:val="00ED3A35"/>
    <w:rsid w:val="00ED6E75"/>
    <w:rsid w:val="00EF45F9"/>
    <w:rsid w:val="00F24A04"/>
    <w:rsid w:val="00F35B0C"/>
    <w:rsid w:val="00F42ADB"/>
    <w:rsid w:val="00F72588"/>
    <w:rsid w:val="00F7371C"/>
    <w:rsid w:val="00F946B5"/>
    <w:rsid w:val="00FA1BCD"/>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BD778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20736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0111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6D06-9EEC-4A9F-BF2C-664C8468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1643</Words>
  <Characters>9042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cp:lastPrinted>2023-08-03T17:58:00Z</cp:lastPrinted>
  <dcterms:created xsi:type="dcterms:W3CDTF">2023-10-09T19:24:00Z</dcterms:created>
  <dcterms:modified xsi:type="dcterms:W3CDTF">2023-10-24T18:49:00Z</dcterms:modified>
</cp:coreProperties>
</file>