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BF6C04" w:rsidRDefault="00AC3C64" w:rsidP="00AC3C64">
      <w:pPr>
        <w:spacing w:before="240" w:after="240" w:line="360" w:lineRule="auto"/>
        <w:jc w:val="both"/>
        <w:rPr>
          <w:rFonts w:ascii="Palatino Linotype" w:hAnsi="Palatino Linotype" w:cs="Arial"/>
        </w:rPr>
      </w:pPr>
      <w:bookmarkStart w:id="0" w:name="_GoBack"/>
      <w:bookmarkEnd w:id="0"/>
      <w:r w:rsidRPr="00BF6C04">
        <w:rPr>
          <w:rFonts w:ascii="Palatino Linotype" w:hAnsi="Palatino Linotype"/>
        </w:rPr>
        <w:t xml:space="preserve">Resolución del Pleno del Instituto de Transparencia, Acceso a la Información Pública y Protección de Datos Personales del Estado de México y Municipios, </w:t>
      </w:r>
      <w:r w:rsidRPr="00BF6C04">
        <w:rPr>
          <w:rFonts w:ascii="Palatino Linotype" w:eastAsia="Calibri" w:hAnsi="Palatino Linotype" w:cs="Arial"/>
        </w:rPr>
        <w:t>con domicilio en Metepec, Estado de México,</w:t>
      </w:r>
      <w:r w:rsidRPr="00BF6C04">
        <w:rPr>
          <w:rFonts w:ascii="Palatino Linotype" w:hAnsi="Palatino Linotype"/>
        </w:rPr>
        <w:t xml:space="preserve"> de fecha</w:t>
      </w:r>
      <w:r w:rsidR="00493673" w:rsidRPr="00BF6C04">
        <w:rPr>
          <w:rStyle w:val="apple-converted-space"/>
          <w:rFonts w:ascii="Palatino Linotype" w:hAnsi="Palatino Linotype" w:cs="Arial"/>
        </w:rPr>
        <w:t xml:space="preserve"> veinticinco</w:t>
      </w:r>
      <w:r w:rsidR="00AB6EE2" w:rsidRPr="00BF6C04">
        <w:rPr>
          <w:rStyle w:val="apple-converted-space"/>
          <w:rFonts w:ascii="Palatino Linotype" w:hAnsi="Palatino Linotype" w:cs="Arial"/>
        </w:rPr>
        <w:t xml:space="preserve"> de enero</w:t>
      </w:r>
      <w:r w:rsidR="003823C8" w:rsidRPr="00BF6C04">
        <w:rPr>
          <w:rStyle w:val="apple-converted-space"/>
          <w:rFonts w:ascii="Palatino Linotype" w:hAnsi="Palatino Linotype" w:cs="Arial"/>
        </w:rPr>
        <w:t xml:space="preserve"> </w:t>
      </w:r>
      <w:r w:rsidR="00AB6EE2" w:rsidRPr="00BF6C04">
        <w:rPr>
          <w:rStyle w:val="normaltextrun"/>
          <w:rFonts w:ascii="Palatino Linotype" w:hAnsi="Palatino Linotype" w:cs="Arial"/>
        </w:rPr>
        <w:t xml:space="preserve">de dos mil </w:t>
      </w:r>
      <w:r w:rsidR="00344A31">
        <w:rPr>
          <w:rStyle w:val="normaltextrun"/>
          <w:rFonts w:ascii="Palatino Linotype" w:hAnsi="Palatino Linotype" w:cs="Arial"/>
        </w:rPr>
        <w:t>veintitrés</w:t>
      </w:r>
      <w:r w:rsidRPr="00BF6C04">
        <w:rPr>
          <w:rStyle w:val="normaltextrun"/>
          <w:rFonts w:ascii="Palatino Linotype" w:hAnsi="Palatino Linotype" w:cs="Arial"/>
        </w:rPr>
        <w:t>.</w:t>
      </w:r>
      <w:r w:rsidR="00FA6E88" w:rsidRPr="00BF6C04">
        <w:rPr>
          <w:rStyle w:val="normaltextrun"/>
          <w:rFonts w:ascii="Palatino Linotype" w:hAnsi="Palatino Linotype" w:cs="Arial"/>
        </w:rPr>
        <w:t xml:space="preserve"> </w:t>
      </w:r>
    </w:p>
    <w:p w:rsidR="00AC3C64" w:rsidRPr="00BF6C04" w:rsidRDefault="00AC3C64" w:rsidP="00AC3C64">
      <w:pPr>
        <w:spacing w:before="240" w:after="240" w:line="360" w:lineRule="auto"/>
        <w:jc w:val="both"/>
        <w:rPr>
          <w:rFonts w:ascii="Palatino Linotype" w:hAnsi="Palatino Linotype" w:cs="Arial"/>
        </w:rPr>
      </w:pPr>
      <w:r w:rsidRPr="00BF6C04">
        <w:rPr>
          <w:rFonts w:ascii="Palatino Linotype" w:hAnsi="Palatino Linotype" w:cs="Arial"/>
          <w:b/>
        </w:rPr>
        <w:t>Visto</w:t>
      </w:r>
      <w:r w:rsidR="00A143E1" w:rsidRPr="00BF6C04">
        <w:rPr>
          <w:rFonts w:ascii="Palatino Linotype" w:hAnsi="Palatino Linotype" w:cs="Arial"/>
          <w:b/>
        </w:rPr>
        <w:t>s</w:t>
      </w:r>
      <w:r w:rsidR="00A143E1" w:rsidRPr="00BF6C04">
        <w:rPr>
          <w:rFonts w:ascii="Palatino Linotype" w:hAnsi="Palatino Linotype" w:cs="Arial"/>
        </w:rPr>
        <w:t xml:space="preserve"> los</w:t>
      </w:r>
      <w:r w:rsidRPr="00BF6C04">
        <w:rPr>
          <w:rFonts w:ascii="Palatino Linotype" w:hAnsi="Palatino Linotype" w:cs="Arial"/>
        </w:rPr>
        <w:t xml:space="preserve"> expediente</w:t>
      </w:r>
      <w:r w:rsidR="00A143E1" w:rsidRPr="00BF6C04">
        <w:rPr>
          <w:rFonts w:ascii="Palatino Linotype" w:hAnsi="Palatino Linotype" w:cs="Arial"/>
        </w:rPr>
        <w:t>s</w:t>
      </w:r>
      <w:r w:rsidRPr="00BF6C04">
        <w:rPr>
          <w:rFonts w:ascii="Palatino Linotype" w:hAnsi="Palatino Linotype" w:cs="Arial"/>
        </w:rPr>
        <w:t xml:space="preserve"> relativo</w:t>
      </w:r>
      <w:r w:rsidR="00A143E1" w:rsidRPr="00BF6C04">
        <w:rPr>
          <w:rFonts w:ascii="Palatino Linotype" w:hAnsi="Palatino Linotype" w:cs="Arial"/>
        </w:rPr>
        <w:t>s a los</w:t>
      </w:r>
      <w:r w:rsidRPr="00BF6C04">
        <w:rPr>
          <w:rFonts w:ascii="Palatino Linotype" w:hAnsi="Palatino Linotype" w:cs="Arial"/>
        </w:rPr>
        <w:t xml:space="preserve"> recurso</w:t>
      </w:r>
      <w:r w:rsidR="00A143E1" w:rsidRPr="00BF6C04">
        <w:rPr>
          <w:rFonts w:ascii="Palatino Linotype" w:hAnsi="Palatino Linotype" w:cs="Arial"/>
        </w:rPr>
        <w:t>s</w:t>
      </w:r>
      <w:r w:rsidRPr="00BF6C04">
        <w:rPr>
          <w:rFonts w:ascii="Palatino Linotype" w:hAnsi="Palatino Linotype" w:cs="Arial"/>
        </w:rPr>
        <w:t xml:space="preserve"> de revisión </w:t>
      </w:r>
      <w:r w:rsidR="00493673" w:rsidRPr="00BF6C04">
        <w:rPr>
          <w:rFonts w:ascii="Palatino Linotype" w:hAnsi="Palatino Linotype" w:cs="Arial"/>
          <w:b/>
          <w:bCs/>
        </w:rPr>
        <w:t>13969/INFOEM/IP/</w:t>
      </w:r>
      <w:r w:rsidR="00EA6A73" w:rsidRPr="00BF6C04">
        <w:rPr>
          <w:rFonts w:ascii="Palatino Linotype" w:hAnsi="Palatino Linotype" w:cs="Arial"/>
          <w:b/>
          <w:bCs/>
        </w:rPr>
        <w:t>RR/2022, 14013/INFOEM/IP/RR/2022</w:t>
      </w:r>
      <w:r w:rsidR="00493673" w:rsidRPr="00BF6C04">
        <w:rPr>
          <w:rFonts w:ascii="Palatino Linotype" w:hAnsi="Palatino Linotype" w:cs="Arial"/>
          <w:b/>
          <w:bCs/>
        </w:rPr>
        <w:t xml:space="preserve">  y 14048</w:t>
      </w:r>
      <w:r w:rsidR="00EA6A73" w:rsidRPr="00BF6C04">
        <w:rPr>
          <w:rFonts w:ascii="Palatino Linotype" w:hAnsi="Palatino Linotype" w:cs="Arial"/>
          <w:b/>
          <w:bCs/>
        </w:rPr>
        <w:t>/INFOEM/IP/RR/2022</w:t>
      </w:r>
      <w:r w:rsidR="00A143E1" w:rsidRPr="00BF6C04">
        <w:rPr>
          <w:rFonts w:ascii="Palatino Linotype" w:hAnsi="Palatino Linotype" w:cs="Arial"/>
          <w:b/>
          <w:bCs/>
        </w:rPr>
        <w:t xml:space="preserve">, </w:t>
      </w:r>
      <w:r w:rsidRPr="00BF6C04">
        <w:rPr>
          <w:rFonts w:ascii="Palatino Linotype" w:hAnsi="Palatino Linotype" w:cs="Arial"/>
        </w:rPr>
        <w:t>interpuesto</w:t>
      </w:r>
      <w:r w:rsidR="00A143E1" w:rsidRPr="00BF6C04">
        <w:rPr>
          <w:rFonts w:ascii="Palatino Linotype" w:hAnsi="Palatino Linotype" w:cs="Arial"/>
        </w:rPr>
        <w:t>s</w:t>
      </w:r>
      <w:r w:rsidRPr="00BF6C04">
        <w:rPr>
          <w:rFonts w:ascii="Palatino Linotype" w:hAnsi="Palatino Linotype" w:cs="Arial"/>
        </w:rPr>
        <w:t xml:space="preserve"> por </w:t>
      </w:r>
      <w:r w:rsidR="00A143E1" w:rsidRPr="00BF6C04">
        <w:rPr>
          <w:rFonts w:ascii="Palatino Linotype" w:hAnsi="Palatino Linotype" w:cs="Arial"/>
          <w:b/>
        </w:rPr>
        <w:t>un particular que no proporciono nombre o seudónimo</w:t>
      </w:r>
      <w:r w:rsidRPr="00BF6C04">
        <w:rPr>
          <w:rFonts w:ascii="Palatino Linotype" w:hAnsi="Palatino Linotype" w:cs="Arial"/>
        </w:rPr>
        <w:t xml:space="preserve">, </w:t>
      </w:r>
      <w:r w:rsidR="005D35B0" w:rsidRPr="00BF6C04">
        <w:rPr>
          <w:rFonts w:ascii="Palatino Linotype" w:hAnsi="Palatino Linotype" w:cs="Arial"/>
        </w:rPr>
        <w:t>a quien se le denominada el</w:t>
      </w:r>
      <w:r w:rsidRPr="00BF6C04">
        <w:rPr>
          <w:rFonts w:ascii="Palatino Linotype" w:hAnsi="Palatino Linotype" w:cs="Arial"/>
        </w:rPr>
        <w:t xml:space="preserve"> </w:t>
      </w:r>
      <w:r w:rsidR="004C49C0" w:rsidRPr="00BF6C04">
        <w:rPr>
          <w:rFonts w:ascii="Palatino Linotype" w:hAnsi="Palatino Linotype" w:cs="Arial"/>
          <w:b/>
        </w:rPr>
        <w:t>RECURRENTE</w:t>
      </w:r>
      <w:r w:rsidRPr="00BF6C04">
        <w:rPr>
          <w:rFonts w:ascii="Palatino Linotype" w:hAnsi="Palatino Linotype" w:cs="Arial"/>
        </w:rPr>
        <w:t xml:space="preserve"> en contra de la</w:t>
      </w:r>
      <w:r w:rsidR="00A143E1" w:rsidRPr="00BF6C04">
        <w:rPr>
          <w:rFonts w:ascii="Palatino Linotype" w:hAnsi="Palatino Linotype" w:cs="Arial"/>
        </w:rPr>
        <w:t>s</w:t>
      </w:r>
      <w:r w:rsidRPr="00BF6C04">
        <w:rPr>
          <w:rFonts w:ascii="Palatino Linotype" w:hAnsi="Palatino Linotype" w:cs="Arial"/>
        </w:rPr>
        <w:t xml:space="preserve"> respuesta</w:t>
      </w:r>
      <w:r w:rsidR="00A143E1" w:rsidRPr="00BF6C04">
        <w:rPr>
          <w:rFonts w:ascii="Palatino Linotype" w:hAnsi="Palatino Linotype" w:cs="Arial"/>
        </w:rPr>
        <w:t>s</w:t>
      </w:r>
      <w:r w:rsidRPr="00BF6C04">
        <w:rPr>
          <w:rFonts w:ascii="Palatino Linotype" w:hAnsi="Palatino Linotype" w:cs="Arial"/>
        </w:rPr>
        <w:t xml:space="preserve"> a su</w:t>
      </w:r>
      <w:r w:rsidR="00A143E1" w:rsidRPr="00BF6C04">
        <w:rPr>
          <w:rFonts w:ascii="Palatino Linotype" w:hAnsi="Palatino Linotype" w:cs="Arial"/>
        </w:rPr>
        <w:t>s</w:t>
      </w:r>
      <w:r w:rsidRPr="00BF6C04">
        <w:rPr>
          <w:rFonts w:ascii="Palatino Linotype" w:hAnsi="Palatino Linotype" w:cs="Arial"/>
        </w:rPr>
        <w:t xml:space="preserve"> solicitud</w:t>
      </w:r>
      <w:r w:rsidR="00A143E1" w:rsidRPr="00BF6C04">
        <w:rPr>
          <w:rFonts w:ascii="Palatino Linotype" w:hAnsi="Palatino Linotype" w:cs="Arial"/>
        </w:rPr>
        <w:t>es</w:t>
      </w:r>
      <w:r w:rsidRPr="00BF6C04">
        <w:rPr>
          <w:rFonts w:ascii="Palatino Linotype" w:hAnsi="Palatino Linotype" w:cs="Arial"/>
        </w:rPr>
        <w:t xml:space="preserve"> de información con número de folio </w:t>
      </w:r>
      <w:r w:rsidR="00493673" w:rsidRPr="00BF6C04">
        <w:rPr>
          <w:rFonts w:ascii="Palatino Linotype" w:hAnsi="Palatino Linotype" w:cs="Arial"/>
          <w:b/>
        </w:rPr>
        <w:t>04122/METEPEC/IP/2022, 04121/METEPEC/IP/2022</w:t>
      </w:r>
      <w:r w:rsidR="004C49C0" w:rsidRPr="00BF6C04">
        <w:rPr>
          <w:rFonts w:ascii="Palatino Linotype" w:hAnsi="Palatino Linotype" w:cs="Arial"/>
          <w:b/>
        </w:rPr>
        <w:t xml:space="preserve"> y </w:t>
      </w:r>
      <w:r w:rsidR="00493673" w:rsidRPr="00BF6C04">
        <w:rPr>
          <w:rFonts w:ascii="Palatino Linotype" w:hAnsi="Palatino Linotype" w:cs="Arial"/>
          <w:b/>
        </w:rPr>
        <w:t>04120/METEPEC/IP/2022,</w:t>
      </w:r>
      <w:r w:rsidRPr="00BF6C04">
        <w:rPr>
          <w:rFonts w:ascii="Palatino Linotype" w:hAnsi="Palatino Linotype" w:cs="Arial"/>
        </w:rPr>
        <w:t xml:space="preserve"> por parte del</w:t>
      </w:r>
      <w:r w:rsidR="006A3CB6" w:rsidRPr="00BF6C04">
        <w:rPr>
          <w:rFonts w:ascii="Palatino Linotype" w:hAnsi="Palatino Linotype" w:cs="Arial"/>
        </w:rPr>
        <w:t xml:space="preserve"> </w:t>
      </w:r>
      <w:r w:rsidR="00AB6EE2" w:rsidRPr="00BF6C04">
        <w:rPr>
          <w:rFonts w:ascii="Palatino Linotype" w:hAnsi="Palatino Linotype" w:cs="Arial"/>
          <w:b/>
        </w:rPr>
        <w:t xml:space="preserve">Ayuntamiento de </w:t>
      </w:r>
      <w:r w:rsidR="00493673" w:rsidRPr="00BF6C04">
        <w:rPr>
          <w:rFonts w:ascii="Palatino Linotype" w:hAnsi="Palatino Linotype" w:cs="Arial"/>
          <w:b/>
        </w:rPr>
        <w:t>Metepec</w:t>
      </w:r>
      <w:r w:rsidR="00520A87" w:rsidRPr="00BF6C04">
        <w:rPr>
          <w:rFonts w:ascii="Palatino Linotype" w:hAnsi="Palatino Linotype" w:cs="Arial"/>
          <w:b/>
        </w:rPr>
        <w:t>,</w:t>
      </w:r>
      <w:r w:rsidRPr="00BF6C04">
        <w:rPr>
          <w:rFonts w:ascii="Palatino Linotype" w:hAnsi="Palatino Linotype" w:cs="Arial"/>
        </w:rPr>
        <w:t xml:space="preserve"> en lo sucesivo el </w:t>
      </w:r>
      <w:r w:rsidR="004C49C0" w:rsidRPr="00BF6C04">
        <w:rPr>
          <w:rFonts w:ascii="Palatino Linotype" w:hAnsi="Palatino Linotype" w:cs="Arial"/>
          <w:b/>
        </w:rPr>
        <w:t>SUJETO OBLIGADO</w:t>
      </w:r>
      <w:r w:rsidRPr="00BF6C04">
        <w:rPr>
          <w:rFonts w:ascii="Palatino Linotype" w:hAnsi="Palatino Linotype" w:cs="Arial"/>
          <w:b/>
        </w:rPr>
        <w:t xml:space="preserve">; </w:t>
      </w:r>
      <w:r w:rsidRPr="00BF6C04">
        <w:rPr>
          <w:rFonts w:ascii="Palatino Linotype" w:hAnsi="Palatino Linotype" w:cs="Arial"/>
        </w:rPr>
        <w:t>se procede a dictar la presente resolución, con base en los siguientes:</w:t>
      </w:r>
    </w:p>
    <w:p w:rsidR="00AC3C64" w:rsidRPr="00BF6C04"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sidRPr="00BF6C04">
        <w:rPr>
          <w:rFonts w:ascii="Palatino Linotype" w:hAnsi="Palatino Linotype" w:cs="Arial"/>
          <w:b/>
        </w:rPr>
        <w:t>A N T E C E D E N T E S:</w:t>
      </w:r>
    </w:p>
    <w:p w:rsidR="00AC3C64" w:rsidRPr="00BF6C04" w:rsidRDefault="00AC3C64" w:rsidP="00AC3C64">
      <w:pPr>
        <w:spacing w:before="240" w:after="240" w:line="360" w:lineRule="auto"/>
        <w:jc w:val="both"/>
        <w:rPr>
          <w:rFonts w:ascii="Palatino Linotype" w:hAnsi="Palatino Linotype" w:cs="Arial"/>
        </w:rPr>
      </w:pPr>
      <w:r w:rsidRPr="00BF6C04">
        <w:rPr>
          <w:rFonts w:ascii="Palatino Linotype" w:hAnsi="Palatino Linotype" w:cs="Arial"/>
          <w:b/>
        </w:rPr>
        <w:t>1. Solicitud</w:t>
      </w:r>
      <w:r w:rsidR="00780737" w:rsidRPr="00BF6C04">
        <w:rPr>
          <w:rFonts w:ascii="Palatino Linotype" w:hAnsi="Palatino Linotype" w:cs="Arial"/>
          <w:b/>
        </w:rPr>
        <w:t>es</w:t>
      </w:r>
      <w:r w:rsidRPr="00BF6C04">
        <w:rPr>
          <w:rFonts w:ascii="Palatino Linotype" w:hAnsi="Palatino Linotype" w:cs="Arial"/>
          <w:b/>
        </w:rPr>
        <w:t xml:space="preserve"> de acceso a la información. </w:t>
      </w:r>
      <w:r w:rsidRPr="00BF6C04">
        <w:rPr>
          <w:rFonts w:ascii="Palatino Linotype" w:hAnsi="Palatino Linotype" w:cs="Arial"/>
        </w:rPr>
        <w:t xml:space="preserve">Con fecha </w:t>
      </w:r>
      <w:r w:rsidR="00493673" w:rsidRPr="00BF6C04">
        <w:rPr>
          <w:rFonts w:ascii="Palatino Linotype" w:hAnsi="Palatino Linotype" w:cs="Arial"/>
        </w:rPr>
        <w:t>primero de agosto</w:t>
      </w:r>
      <w:r w:rsidRPr="00BF6C04">
        <w:rPr>
          <w:rFonts w:ascii="Palatino Linotype" w:hAnsi="Palatino Linotype" w:cs="Arial"/>
        </w:rPr>
        <w:t xml:space="preserve"> de</w:t>
      </w:r>
      <w:r w:rsidR="006A3CB6" w:rsidRPr="00BF6C04">
        <w:rPr>
          <w:rFonts w:ascii="Palatino Linotype" w:hAnsi="Palatino Linotype" w:cs="Arial"/>
        </w:rPr>
        <w:t>l</w:t>
      </w:r>
      <w:r w:rsidRPr="00BF6C04">
        <w:rPr>
          <w:rFonts w:ascii="Palatino Linotype" w:hAnsi="Palatino Linotype" w:cs="Arial"/>
        </w:rPr>
        <w:t xml:space="preserve"> dos mil </w:t>
      </w:r>
      <w:r w:rsidR="00D46B7F" w:rsidRPr="00BF6C04">
        <w:rPr>
          <w:rFonts w:ascii="Palatino Linotype" w:hAnsi="Palatino Linotype" w:cs="Arial"/>
        </w:rPr>
        <w:t>veintidós</w:t>
      </w:r>
      <w:r w:rsidRPr="00BF6C04">
        <w:rPr>
          <w:rFonts w:ascii="Palatino Linotype" w:hAnsi="Palatino Linotype" w:cs="Arial"/>
        </w:rPr>
        <w:t xml:space="preserve">, la parte </w:t>
      </w:r>
      <w:r w:rsidR="004C49C0" w:rsidRPr="00BF6C04">
        <w:rPr>
          <w:rFonts w:ascii="Palatino Linotype" w:hAnsi="Palatino Linotype" w:cs="Arial"/>
          <w:b/>
        </w:rPr>
        <w:t>RECURRENTE</w:t>
      </w:r>
      <w:r w:rsidRPr="00BF6C04">
        <w:rPr>
          <w:rFonts w:ascii="Palatino Linotype" w:hAnsi="Palatino Linotype" w:cs="Arial"/>
        </w:rPr>
        <w:t xml:space="preserve"> formuló solicitud</w:t>
      </w:r>
      <w:r w:rsidR="00780737" w:rsidRPr="00BF6C04">
        <w:rPr>
          <w:rFonts w:ascii="Palatino Linotype" w:hAnsi="Palatino Linotype" w:cs="Arial"/>
        </w:rPr>
        <w:t>es</w:t>
      </w:r>
      <w:r w:rsidRPr="00BF6C04">
        <w:rPr>
          <w:rFonts w:ascii="Palatino Linotype" w:hAnsi="Palatino Linotype" w:cs="Arial"/>
        </w:rPr>
        <w:t xml:space="preserve"> de acceso a información pública al </w:t>
      </w:r>
      <w:r w:rsidR="004C49C0" w:rsidRPr="00BF6C04">
        <w:rPr>
          <w:rFonts w:ascii="Palatino Linotype" w:hAnsi="Palatino Linotype" w:cs="Arial"/>
          <w:b/>
        </w:rPr>
        <w:t>SUJETO OBLIGADO</w:t>
      </w:r>
      <w:r w:rsidR="004C49C0" w:rsidRPr="00BF6C04">
        <w:rPr>
          <w:rFonts w:ascii="Palatino Linotype" w:hAnsi="Palatino Linotype" w:cs="Arial"/>
        </w:rPr>
        <w:t xml:space="preserve"> </w:t>
      </w:r>
      <w:r w:rsidRPr="00BF6C04">
        <w:rPr>
          <w:rFonts w:ascii="Palatino Linotype" w:hAnsi="Palatino Linotype" w:cs="Arial"/>
        </w:rPr>
        <w:t xml:space="preserve">a través del Sistema de Acceso a la Información Mexiquense, en adelante </w:t>
      </w:r>
      <w:r w:rsidRPr="00BF6C04">
        <w:rPr>
          <w:rFonts w:ascii="Palatino Linotype" w:hAnsi="Palatino Linotype" w:cs="Arial"/>
          <w:b/>
        </w:rPr>
        <w:t>SAIMEX</w:t>
      </w:r>
      <w:r w:rsidR="005A3389" w:rsidRPr="00BF6C04">
        <w:rPr>
          <w:rFonts w:ascii="Palatino Linotype" w:hAnsi="Palatino Linotype" w:cs="Arial"/>
          <w:b/>
        </w:rPr>
        <w:t>,</w:t>
      </w:r>
      <w:r w:rsidR="005A3389" w:rsidRPr="00BF6C04">
        <w:rPr>
          <w:rFonts w:ascii="Palatino Linotype" w:hAnsi="Palatino Linotype" w:cs="Arial"/>
        </w:rPr>
        <w:t xml:space="preserve"> requiriéndole</w:t>
      </w:r>
      <w:r w:rsidRPr="00BF6C04">
        <w:rPr>
          <w:rFonts w:ascii="Palatino Linotype" w:hAnsi="Palatino Linotype" w:cs="Arial"/>
        </w:rPr>
        <w:t xml:space="preserve"> lo siguiente:</w:t>
      </w:r>
    </w:p>
    <w:p w:rsidR="004C49C0" w:rsidRPr="00BF6C04" w:rsidRDefault="004C49C0" w:rsidP="004C49C0">
      <w:pPr>
        <w:spacing w:before="240" w:after="240"/>
        <w:ind w:right="900"/>
        <w:jc w:val="both"/>
        <w:rPr>
          <w:rFonts w:ascii="Palatino Linotype" w:hAnsi="Palatino Linotype" w:cs="Arial"/>
          <w:b/>
        </w:rPr>
      </w:pPr>
      <w:r w:rsidRPr="00BF6C04">
        <w:rPr>
          <w:rFonts w:ascii="Palatino Linotype" w:hAnsi="Palatino Linotype" w:cs="Arial"/>
          <w:b/>
        </w:rPr>
        <w:t xml:space="preserve">Solicitud </w:t>
      </w:r>
      <w:r w:rsidR="00D46B7F" w:rsidRPr="00BF6C04">
        <w:rPr>
          <w:rFonts w:ascii="Palatino Linotype" w:hAnsi="Palatino Linotype" w:cs="Arial"/>
          <w:b/>
        </w:rPr>
        <w:t>04122/METEPEC/IP/2022</w:t>
      </w:r>
      <w:r w:rsidRPr="00BF6C04">
        <w:rPr>
          <w:rFonts w:ascii="Palatino Linotype" w:hAnsi="Palatino Linotype" w:cs="Arial"/>
          <w:b/>
        </w:rPr>
        <w:t>:</w:t>
      </w:r>
    </w:p>
    <w:p w:rsidR="004C49C0" w:rsidRPr="00BF6C04" w:rsidRDefault="004C49C0" w:rsidP="004C49C0">
      <w:pPr>
        <w:spacing w:before="240" w:after="240"/>
        <w:ind w:right="900"/>
        <w:jc w:val="both"/>
        <w:rPr>
          <w:rFonts w:ascii="Palatino Linotype" w:hAnsi="Palatino Linotype"/>
          <w:i/>
          <w:sz w:val="22"/>
          <w:szCs w:val="22"/>
        </w:rPr>
      </w:pPr>
      <w:r w:rsidRPr="00BF6C04">
        <w:rPr>
          <w:rFonts w:ascii="Palatino Linotype" w:hAnsi="Palatino Linotype"/>
          <w:i/>
          <w:sz w:val="22"/>
          <w:szCs w:val="22"/>
        </w:rPr>
        <w:t>“</w:t>
      </w:r>
      <w:r w:rsidR="00D46B7F" w:rsidRPr="00BF6C04">
        <w:rPr>
          <w:rFonts w:ascii="Palatino Linotype" w:hAnsi="Palatino Linotype"/>
          <w:i/>
          <w:sz w:val="22"/>
          <w:szCs w:val="22"/>
        </w:rPr>
        <w:t>se solicitan los recibos de pago predial del 1 de enero al 15 de enero de 2022</w:t>
      </w:r>
      <w:r w:rsidRPr="00BF6C04">
        <w:rPr>
          <w:rFonts w:ascii="Palatino Linotype" w:hAnsi="Palatino Linotype"/>
          <w:i/>
          <w:sz w:val="22"/>
          <w:szCs w:val="22"/>
        </w:rPr>
        <w:t>” (Sic)</w:t>
      </w:r>
    </w:p>
    <w:p w:rsidR="004C49C0" w:rsidRPr="00BF6C04" w:rsidRDefault="004C49C0" w:rsidP="004C49C0">
      <w:pPr>
        <w:spacing w:before="240" w:after="240"/>
        <w:ind w:right="900"/>
        <w:jc w:val="both"/>
        <w:rPr>
          <w:rFonts w:ascii="Palatino Linotype" w:hAnsi="Palatino Linotype" w:cs="Arial"/>
          <w:b/>
        </w:rPr>
      </w:pPr>
      <w:r w:rsidRPr="00BF6C04">
        <w:rPr>
          <w:rFonts w:ascii="Palatino Linotype" w:hAnsi="Palatino Linotype" w:cs="Arial"/>
          <w:b/>
        </w:rPr>
        <w:t xml:space="preserve">Solicitud </w:t>
      </w:r>
      <w:hyperlink r:id="rId8" w:history="1">
        <w:r w:rsidR="00D46B7F" w:rsidRPr="00BF6C04">
          <w:rPr>
            <w:rFonts w:ascii="Palatino Linotype" w:hAnsi="Palatino Linotype" w:cs="Arial"/>
            <w:b/>
          </w:rPr>
          <w:t>04121/METEPEC/IP/2022</w:t>
        </w:r>
      </w:hyperlink>
      <w:r w:rsidRPr="00BF6C04">
        <w:rPr>
          <w:rFonts w:ascii="Palatino Linotype" w:hAnsi="Palatino Linotype" w:cs="Arial"/>
          <w:b/>
        </w:rPr>
        <w:t>:</w:t>
      </w:r>
    </w:p>
    <w:p w:rsidR="000729ED" w:rsidRPr="00BF6C04" w:rsidRDefault="000729ED" w:rsidP="000729ED">
      <w:pPr>
        <w:spacing w:before="240" w:after="240"/>
        <w:ind w:right="900"/>
        <w:jc w:val="both"/>
        <w:rPr>
          <w:rFonts w:ascii="Palatino Linotype" w:hAnsi="Palatino Linotype"/>
          <w:i/>
          <w:sz w:val="22"/>
          <w:szCs w:val="22"/>
        </w:rPr>
      </w:pPr>
      <w:r w:rsidRPr="00BF6C04">
        <w:rPr>
          <w:rFonts w:ascii="Palatino Linotype" w:hAnsi="Palatino Linotype"/>
          <w:i/>
          <w:sz w:val="22"/>
          <w:szCs w:val="22"/>
        </w:rPr>
        <w:t>“</w:t>
      </w:r>
      <w:r w:rsidR="00D46B7F" w:rsidRPr="00BF6C04">
        <w:rPr>
          <w:rFonts w:ascii="Palatino Linotype" w:hAnsi="Palatino Linotype"/>
          <w:i/>
          <w:sz w:val="22"/>
          <w:szCs w:val="22"/>
        </w:rPr>
        <w:t>se solicitan los recibos de pago predial del 15 de enero al 31 de enero de 2022</w:t>
      </w:r>
      <w:r w:rsidRPr="00BF6C04">
        <w:rPr>
          <w:rFonts w:ascii="Palatino Linotype" w:hAnsi="Palatino Linotype"/>
          <w:i/>
          <w:sz w:val="22"/>
          <w:szCs w:val="22"/>
        </w:rPr>
        <w:t>” (Sic)</w:t>
      </w:r>
    </w:p>
    <w:p w:rsidR="004C49C0" w:rsidRPr="00BF6C04" w:rsidRDefault="004C49C0" w:rsidP="004C49C0">
      <w:pPr>
        <w:spacing w:before="240" w:after="240"/>
        <w:ind w:right="900"/>
        <w:jc w:val="both"/>
        <w:rPr>
          <w:rFonts w:ascii="Palatino Linotype" w:hAnsi="Palatino Linotype" w:cs="Arial"/>
          <w:b/>
        </w:rPr>
      </w:pPr>
      <w:r w:rsidRPr="00BF6C04">
        <w:rPr>
          <w:rFonts w:ascii="Palatino Linotype" w:hAnsi="Palatino Linotype" w:cs="Arial"/>
          <w:b/>
        </w:rPr>
        <w:lastRenderedPageBreak/>
        <w:t xml:space="preserve">Solicitud </w:t>
      </w:r>
      <w:hyperlink r:id="rId9" w:history="1">
        <w:r w:rsidR="00D46B7F" w:rsidRPr="00BF6C04">
          <w:rPr>
            <w:rFonts w:ascii="Palatino Linotype" w:hAnsi="Palatino Linotype" w:cs="Arial"/>
            <w:b/>
          </w:rPr>
          <w:t>04120/METEPEC/IP/2022</w:t>
        </w:r>
      </w:hyperlink>
      <w:r w:rsidRPr="00BF6C04">
        <w:rPr>
          <w:rFonts w:ascii="Palatino Linotype" w:hAnsi="Palatino Linotype" w:cs="Arial"/>
          <w:b/>
        </w:rPr>
        <w:t>:</w:t>
      </w:r>
    </w:p>
    <w:p w:rsidR="000729ED" w:rsidRPr="00BF6C04" w:rsidRDefault="000729ED" w:rsidP="000729ED">
      <w:pPr>
        <w:spacing w:before="240" w:after="240"/>
        <w:ind w:right="900"/>
        <w:jc w:val="both"/>
        <w:rPr>
          <w:rFonts w:ascii="Palatino Linotype" w:hAnsi="Palatino Linotype"/>
          <w:i/>
          <w:sz w:val="22"/>
          <w:szCs w:val="22"/>
        </w:rPr>
      </w:pPr>
      <w:r w:rsidRPr="00BF6C04">
        <w:rPr>
          <w:rFonts w:ascii="Palatino Linotype" w:hAnsi="Palatino Linotype"/>
          <w:i/>
          <w:sz w:val="22"/>
          <w:szCs w:val="22"/>
        </w:rPr>
        <w:t>“</w:t>
      </w:r>
      <w:r w:rsidR="00D46B7F" w:rsidRPr="00BF6C04">
        <w:rPr>
          <w:rFonts w:ascii="Palatino Linotype" w:hAnsi="Palatino Linotype"/>
          <w:i/>
          <w:sz w:val="22"/>
          <w:szCs w:val="22"/>
        </w:rPr>
        <w:t>se solicitan los recibos de pago predial del 1 de febrero al 15 de febrero de 2022</w:t>
      </w:r>
      <w:r w:rsidRPr="00BF6C04">
        <w:rPr>
          <w:rFonts w:ascii="Palatino Linotype" w:hAnsi="Palatino Linotype"/>
          <w:i/>
          <w:sz w:val="22"/>
          <w:szCs w:val="22"/>
        </w:rPr>
        <w:t>” (Sic)</w:t>
      </w:r>
    </w:p>
    <w:p w:rsidR="00AC3C64" w:rsidRPr="00BF6C04" w:rsidRDefault="008E70D5" w:rsidP="00AC3C64">
      <w:pPr>
        <w:spacing w:before="240" w:after="240" w:line="360" w:lineRule="auto"/>
        <w:contextualSpacing/>
        <w:jc w:val="both"/>
        <w:rPr>
          <w:rFonts w:ascii="Palatino Linotype" w:hAnsi="Palatino Linotype" w:cs="Arial"/>
        </w:rPr>
      </w:pPr>
      <w:r w:rsidRPr="00BF6C04">
        <w:rPr>
          <w:rFonts w:ascii="Palatino Linotype" w:hAnsi="Palatino Linotype" w:cs="Arial"/>
          <w:b/>
        </w:rPr>
        <w:t>Modalidad elegida</w:t>
      </w:r>
      <w:r w:rsidR="00AC3C64" w:rsidRPr="00BF6C04">
        <w:rPr>
          <w:rFonts w:ascii="Palatino Linotype" w:hAnsi="Palatino Linotype" w:cs="Arial"/>
          <w:b/>
        </w:rPr>
        <w:t xml:space="preserve"> para la entrega de la información</w:t>
      </w:r>
      <w:r w:rsidR="00780737" w:rsidRPr="00BF6C04">
        <w:rPr>
          <w:rFonts w:ascii="Palatino Linotype" w:hAnsi="Palatino Linotype" w:cs="Arial"/>
          <w:b/>
        </w:rPr>
        <w:t xml:space="preserve"> en cada una de las solicitudes</w:t>
      </w:r>
      <w:r w:rsidR="00AC3C64" w:rsidRPr="00BF6C04">
        <w:rPr>
          <w:rFonts w:ascii="Palatino Linotype" w:hAnsi="Palatino Linotype" w:cs="Arial"/>
          <w:b/>
        </w:rPr>
        <w:t xml:space="preserve">: </w:t>
      </w:r>
      <w:r w:rsidR="00AC3C64" w:rsidRPr="00BF6C04">
        <w:rPr>
          <w:rFonts w:ascii="Palatino Linotype" w:hAnsi="Palatino Linotype" w:cs="Arial"/>
        </w:rPr>
        <w:t xml:space="preserve">a través del </w:t>
      </w:r>
      <w:r w:rsidR="00AC3C64" w:rsidRPr="00BF6C04">
        <w:rPr>
          <w:rFonts w:ascii="Palatino Linotype" w:hAnsi="Palatino Linotype" w:cs="Arial"/>
          <w:b/>
        </w:rPr>
        <w:t>SAIMEX</w:t>
      </w:r>
      <w:r w:rsidR="00AC3C64" w:rsidRPr="00BF6C04">
        <w:rPr>
          <w:rFonts w:ascii="Palatino Linotype" w:hAnsi="Palatino Linotype" w:cs="Arial"/>
        </w:rPr>
        <w:t>.</w:t>
      </w:r>
    </w:p>
    <w:p w:rsidR="00767AD5" w:rsidRPr="00BF6C04" w:rsidRDefault="00767AD5" w:rsidP="00AC3C64">
      <w:pPr>
        <w:spacing w:before="240" w:after="240" w:line="360" w:lineRule="auto"/>
        <w:contextualSpacing/>
        <w:jc w:val="both"/>
        <w:rPr>
          <w:rFonts w:ascii="Palatino Linotype" w:hAnsi="Palatino Linotype" w:cs="Arial"/>
        </w:rPr>
      </w:pPr>
    </w:p>
    <w:p w:rsidR="00AC3C64" w:rsidRPr="00BF6C04" w:rsidRDefault="00AC3C64" w:rsidP="00AC3C64">
      <w:pPr>
        <w:spacing w:before="240" w:after="240" w:line="360" w:lineRule="auto"/>
        <w:contextualSpacing/>
        <w:jc w:val="both"/>
        <w:rPr>
          <w:rFonts w:ascii="Palatino Linotype" w:hAnsi="Palatino Linotype" w:cs="Arial"/>
        </w:rPr>
      </w:pPr>
      <w:r w:rsidRPr="00BF6C04">
        <w:rPr>
          <w:rFonts w:ascii="Palatino Linotype" w:hAnsi="Palatino Linotype" w:cs="Arial"/>
          <w:b/>
        </w:rPr>
        <w:t>2. Respuesta</w:t>
      </w:r>
      <w:r w:rsidR="00780737" w:rsidRPr="00BF6C04">
        <w:rPr>
          <w:rFonts w:ascii="Palatino Linotype" w:hAnsi="Palatino Linotype" w:cs="Arial"/>
          <w:b/>
        </w:rPr>
        <w:t>s</w:t>
      </w:r>
      <w:r w:rsidRPr="00BF6C04">
        <w:rPr>
          <w:rFonts w:ascii="Palatino Linotype" w:hAnsi="Palatino Linotype" w:cs="Arial"/>
          <w:b/>
        </w:rPr>
        <w:t xml:space="preserve">. </w:t>
      </w:r>
      <w:r w:rsidRPr="00BF6C04">
        <w:rPr>
          <w:rFonts w:ascii="Palatino Linotype" w:hAnsi="Palatino Linotype" w:cs="Arial"/>
        </w:rPr>
        <w:t xml:space="preserve">Con fecha </w:t>
      </w:r>
      <w:r w:rsidR="00D46B7F" w:rsidRPr="00BF6C04">
        <w:rPr>
          <w:rFonts w:ascii="Palatino Linotype" w:hAnsi="Palatino Linotype" w:cs="Arial"/>
        </w:rPr>
        <w:t>nueve de agosto</w:t>
      </w:r>
      <w:r w:rsidRPr="00BF6C04">
        <w:rPr>
          <w:rFonts w:ascii="Palatino Linotype" w:hAnsi="Palatino Linotype" w:cs="Arial"/>
        </w:rPr>
        <w:t xml:space="preserve"> de dos </w:t>
      </w:r>
      <w:r w:rsidR="00D46B7F" w:rsidRPr="00BF6C04">
        <w:rPr>
          <w:rFonts w:ascii="Palatino Linotype" w:hAnsi="Palatino Linotype" w:cs="Arial"/>
        </w:rPr>
        <w:t>mil veintidós</w:t>
      </w:r>
      <w:r w:rsidRPr="00BF6C04">
        <w:rPr>
          <w:rFonts w:ascii="Palatino Linotype" w:hAnsi="Palatino Linotype" w:cs="Arial"/>
        </w:rPr>
        <w:t xml:space="preserve"> el </w:t>
      </w:r>
      <w:r w:rsidR="00D46B7F" w:rsidRPr="00BF6C04">
        <w:rPr>
          <w:rFonts w:ascii="Palatino Linotype" w:hAnsi="Palatino Linotype" w:cs="Arial"/>
          <w:b/>
        </w:rPr>
        <w:t>SUJETO OBLIGADO</w:t>
      </w:r>
      <w:r w:rsidR="00D46B7F" w:rsidRPr="00BF6C04">
        <w:rPr>
          <w:rFonts w:ascii="Palatino Linotype" w:hAnsi="Palatino Linotype" w:cs="Arial"/>
        </w:rPr>
        <w:t xml:space="preserve"> </w:t>
      </w:r>
      <w:r w:rsidRPr="00BF6C04">
        <w:rPr>
          <w:rFonts w:ascii="Palatino Linotype" w:hAnsi="Palatino Linotype" w:cs="Arial"/>
        </w:rPr>
        <w:t>envió su</w:t>
      </w:r>
      <w:r w:rsidR="00780737" w:rsidRPr="00BF6C04">
        <w:rPr>
          <w:rFonts w:ascii="Palatino Linotype" w:hAnsi="Palatino Linotype" w:cs="Arial"/>
        </w:rPr>
        <w:t>s</w:t>
      </w:r>
      <w:r w:rsidRPr="00BF6C04">
        <w:rPr>
          <w:rFonts w:ascii="Palatino Linotype" w:hAnsi="Palatino Linotype" w:cs="Arial"/>
        </w:rPr>
        <w:t xml:space="preserve"> respuesta</w:t>
      </w:r>
      <w:r w:rsidR="00780737" w:rsidRPr="00BF6C04">
        <w:rPr>
          <w:rFonts w:ascii="Palatino Linotype" w:hAnsi="Palatino Linotype" w:cs="Arial"/>
        </w:rPr>
        <w:t>s</w:t>
      </w:r>
      <w:r w:rsidRPr="00BF6C04">
        <w:rPr>
          <w:rFonts w:ascii="Palatino Linotype" w:hAnsi="Palatino Linotype" w:cs="Arial"/>
        </w:rPr>
        <w:t xml:space="preserve"> a la</w:t>
      </w:r>
      <w:r w:rsidR="00780737" w:rsidRPr="00BF6C04">
        <w:rPr>
          <w:rFonts w:ascii="Palatino Linotype" w:hAnsi="Palatino Linotype" w:cs="Arial"/>
        </w:rPr>
        <w:t>s</w:t>
      </w:r>
      <w:r w:rsidRPr="00BF6C04">
        <w:rPr>
          <w:rFonts w:ascii="Palatino Linotype" w:hAnsi="Palatino Linotype" w:cs="Arial"/>
        </w:rPr>
        <w:t xml:space="preserve"> solicitud</w:t>
      </w:r>
      <w:r w:rsidR="00780737" w:rsidRPr="00BF6C04">
        <w:rPr>
          <w:rFonts w:ascii="Palatino Linotype" w:hAnsi="Palatino Linotype" w:cs="Arial"/>
        </w:rPr>
        <w:t>es</w:t>
      </w:r>
      <w:r w:rsidRPr="00BF6C04">
        <w:rPr>
          <w:rFonts w:ascii="Palatino Linotype" w:hAnsi="Palatino Linotype" w:cs="Arial"/>
        </w:rPr>
        <w:t xml:space="preserve"> de acceso a la información a través del SAIMEX, la cual versa como sigue:</w:t>
      </w:r>
    </w:p>
    <w:p w:rsidR="00767AD5" w:rsidRPr="00BF6C04" w:rsidRDefault="00767AD5" w:rsidP="00AC3C64">
      <w:pPr>
        <w:spacing w:before="240" w:after="240" w:line="360" w:lineRule="auto"/>
        <w:contextualSpacing/>
        <w:jc w:val="both"/>
        <w:rPr>
          <w:rFonts w:ascii="Palatino Linotype" w:hAnsi="Palatino Linotype" w:cs="Arial"/>
        </w:rPr>
      </w:pPr>
    </w:p>
    <w:p w:rsidR="00780737" w:rsidRPr="00BF6C04" w:rsidRDefault="00780737" w:rsidP="00780737">
      <w:pPr>
        <w:spacing w:before="240" w:after="240" w:line="360" w:lineRule="auto"/>
        <w:jc w:val="both"/>
        <w:rPr>
          <w:rFonts w:ascii="Palatino Linotype" w:hAnsi="Palatino Linotype" w:cs="Arial"/>
          <w:b/>
          <w:lang w:val="es-MX"/>
        </w:rPr>
      </w:pPr>
      <w:r w:rsidRPr="00BF6C04">
        <w:rPr>
          <w:rFonts w:ascii="Palatino Linotype" w:hAnsi="Palatino Linotype" w:cs="Arial"/>
          <w:b/>
          <w:lang w:val="es-MX"/>
        </w:rPr>
        <w:t>Solicitud</w:t>
      </w:r>
      <w:r w:rsidR="004F154C" w:rsidRPr="00BF6C04">
        <w:rPr>
          <w:rFonts w:ascii="Palatino Linotype" w:hAnsi="Palatino Linotype" w:cs="Arial"/>
          <w:b/>
          <w:lang w:val="es-MX"/>
        </w:rPr>
        <w:t>es</w:t>
      </w:r>
      <w:r w:rsidRPr="00BF6C04">
        <w:rPr>
          <w:rFonts w:ascii="Palatino Linotype" w:hAnsi="Palatino Linotype" w:cs="Arial"/>
          <w:b/>
          <w:lang w:val="es-MX"/>
        </w:rPr>
        <w:t xml:space="preserve"> </w:t>
      </w:r>
      <w:r w:rsidR="00D46B7F" w:rsidRPr="00BF6C04">
        <w:rPr>
          <w:rFonts w:ascii="Palatino Linotype" w:hAnsi="Palatino Linotype" w:cs="Arial"/>
          <w:b/>
          <w:lang w:val="es-MX"/>
        </w:rPr>
        <w:t>04122/METEPEC/IP/2022</w:t>
      </w:r>
      <w:r w:rsidR="004F154C" w:rsidRPr="00BF6C04">
        <w:rPr>
          <w:rFonts w:ascii="Palatino Linotype" w:hAnsi="Palatino Linotype" w:cs="Arial"/>
          <w:b/>
          <w:lang w:val="es-MX"/>
        </w:rPr>
        <w:t xml:space="preserve">, </w:t>
      </w:r>
      <w:hyperlink r:id="rId10" w:history="1">
        <w:r w:rsidR="004F154C" w:rsidRPr="00BF6C04">
          <w:rPr>
            <w:rFonts w:ascii="Palatino Linotype" w:hAnsi="Palatino Linotype" w:cs="Arial"/>
            <w:b/>
            <w:lang w:val="es-MX"/>
          </w:rPr>
          <w:t>04121/METEPEC/IP/2022</w:t>
        </w:r>
      </w:hyperlink>
      <w:r w:rsidR="004F154C" w:rsidRPr="00BF6C04">
        <w:rPr>
          <w:rFonts w:ascii="Palatino Linotype" w:hAnsi="Palatino Linotype"/>
          <w:b/>
        </w:rPr>
        <w:t xml:space="preserve"> y </w:t>
      </w:r>
      <w:hyperlink r:id="rId11" w:history="1">
        <w:r w:rsidR="004F154C" w:rsidRPr="00BF6C04">
          <w:rPr>
            <w:rFonts w:ascii="Palatino Linotype" w:hAnsi="Palatino Linotype" w:cs="Arial"/>
            <w:b/>
          </w:rPr>
          <w:t>04120/METEPEC/IP/2022</w:t>
        </w:r>
      </w:hyperlink>
      <w:r w:rsidR="00D46B7F" w:rsidRPr="00BF6C04">
        <w:rPr>
          <w:rFonts w:ascii="Palatino Linotype" w:hAnsi="Palatino Linotype" w:cs="Arial"/>
          <w:b/>
          <w:lang w:val="es-MX"/>
        </w:rPr>
        <w:t>:</w:t>
      </w:r>
      <w:r w:rsidRPr="00BF6C04">
        <w:rPr>
          <w:rFonts w:ascii="Palatino Linotype" w:hAnsi="Palatino Linotype" w:cs="Arial"/>
          <w:lang w:val="es-MX"/>
        </w:rPr>
        <w:t xml:space="preserve"> </w:t>
      </w:r>
    </w:p>
    <w:p w:rsidR="00AB6EE2" w:rsidRPr="00BF6C04" w:rsidRDefault="00AC3C64" w:rsidP="003823C8">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w:t>
      </w:r>
      <w:r w:rsidR="00663313" w:rsidRPr="00BF6C0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6B7F" w:rsidRPr="00BF6C04" w:rsidRDefault="00D46B7F" w:rsidP="003823C8">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rsidR="00D46B7F" w:rsidRPr="00BF6C04" w:rsidRDefault="00D46B7F" w:rsidP="003823C8">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lastRenderedPageBreak/>
        <w:t>ATENTAMENTE</w:t>
      </w:r>
    </w:p>
    <w:p w:rsidR="00663313" w:rsidRPr="00BF6C04" w:rsidRDefault="00D46B7F" w:rsidP="003823C8">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Lic. Gerardo Arturo Ozuna Martínez</w:t>
      </w:r>
      <w:r w:rsidR="00663313" w:rsidRPr="00BF6C04">
        <w:rPr>
          <w:rFonts w:ascii="Palatino Linotype" w:hAnsi="Palatino Linotype"/>
          <w:i/>
          <w:sz w:val="22"/>
          <w:szCs w:val="22"/>
        </w:rPr>
        <w:t>.</w:t>
      </w:r>
    </w:p>
    <w:p w:rsidR="004F154C" w:rsidRPr="00BF6C04" w:rsidRDefault="004F154C" w:rsidP="00780737">
      <w:pPr>
        <w:spacing w:before="240" w:after="240" w:line="360" w:lineRule="auto"/>
        <w:jc w:val="both"/>
        <w:rPr>
          <w:rFonts w:ascii="Palatino Linotype" w:hAnsi="Palatino Linotype" w:cs="Arial"/>
        </w:rPr>
      </w:pPr>
    </w:p>
    <w:p w:rsidR="00D46B7F" w:rsidRPr="00BF6C04" w:rsidRDefault="00D46B7F" w:rsidP="00780737">
      <w:pPr>
        <w:spacing w:before="240" w:after="240" w:line="360" w:lineRule="auto"/>
        <w:jc w:val="both"/>
        <w:rPr>
          <w:rFonts w:ascii="Palatino Linotype" w:hAnsi="Palatino Linotype" w:cs="Arial"/>
        </w:rPr>
      </w:pPr>
      <w:r w:rsidRPr="00BF6C04">
        <w:rPr>
          <w:rFonts w:ascii="Palatino Linotype" w:hAnsi="Palatino Linotype" w:cs="Arial"/>
        </w:rPr>
        <w:t xml:space="preserve">El </w:t>
      </w:r>
      <w:r w:rsidRPr="00BF6C04">
        <w:rPr>
          <w:rFonts w:ascii="Palatino Linotype" w:hAnsi="Palatino Linotype" w:cs="Arial"/>
          <w:b/>
        </w:rPr>
        <w:t>SUJETO OBLIGADO</w:t>
      </w:r>
      <w:r w:rsidR="00E87D6D" w:rsidRPr="00BF6C04">
        <w:rPr>
          <w:rFonts w:ascii="Palatino Linotype" w:hAnsi="Palatino Linotype" w:cs="Arial"/>
        </w:rPr>
        <w:t>, adjuntó</w:t>
      </w:r>
      <w:r w:rsidRPr="00BF6C04">
        <w:rPr>
          <w:rFonts w:ascii="Palatino Linotype" w:hAnsi="Palatino Linotype" w:cs="Arial"/>
        </w:rPr>
        <w:t xml:space="preserve"> a su</w:t>
      </w:r>
      <w:r w:rsidR="004F154C" w:rsidRPr="00BF6C04">
        <w:rPr>
          <w:rFonts w:ascii="Palatino Linotype" w:hAnsi="Palatino Linotype" w:cs="Arial"/>
        </w:rPr>
        <w:t>s</w:t>
      </w:r>
      <w:r w:rsidRPr="00BF6C04">
        <w:rPr>
          <w:rFonts w:ascii="Palatino Linotype" w:hAnsi="Palatino Linotype" w:cs="Arial"/>
        </w:rPr>
        <w:t xml:space="preserve"> respuesta</w:t>
      </w:r>
      <w:r w:rsidR="004F154C" w:rsidRPr="00BF6C04">
        <w:rPr>
          <w:rFonts w:ascii="Palatino Linotype" w:hAnsi="Palatino Linotype" w:cs="Arial"/>
        </w:rPr>
        <w:t>s</w:t>
      </w:r>
      <w:r w:rsidRPr="00BF6C04">
        <w:rPr>
          <w:rFonts w:ascii="Palatino Linotype" w:hAnsi="Palatino Linotype" w:cs="Arial"/>
        </w:rPr>
        <w:t xml:space="preserve"> el archivo electrónico siguiente:</w:t>
      </w:r>
    </w:p>
    <w:p w:rsidR="00D46B7F" w:rsidRPr="00BF6C04" w:rsidRDefault="00D46B7F" w:rsidP="00780737">
      <w:pPr>
        <w:spacing w:before="240" w:after="240" w:line="360" w:lineRule="auto"/>
        <w:jc w:val="both"/>
        <w:rPr>
          <w:rFonts w:ascii="Palatino Linotype" w:hAnsi="Palatino Linotype" w:cs="Arial"/>
        </w:rPr>
      </w:pPr>
      <w:r w:rsidRPr="00BF6C04">
        <w:rPr>
          <w:rFonts w:ascii="Palatino Linotype" w:hAnsi="Palatino Linotype" w:cs="Arial"/>
        </w:rPr>
        <w:t>“</w:t>
      </w:r>
      <w:hyperlink r:id="rId12" w:tgtFrame="_blank" w:history="1">
        <w:r w:rsidRPr="00BF6C04">
          <w:rPr>
            <w:rFonts w:ascii="Palatino Linotype" w:hAnsi="Palatino Linotype"/>
          </w:rPr>
          <w:t>4117 - 4122.pdf</w:t>
        </w:r>
      </w:hyperlink>
      <w:r w:rsidRPr="00BF6C04">
        <w:rPr>
          <w:rFonts w:ascii="Palatino Linotype" w:hAnsi="Palatino Linotype" w:cs="Arial"/>
        </w:rPr>
        <w:t xml:space="preserve">”, a través del cual </w:t>
      </w:r>
      <w:r w:rsidR="006A2B03" w:rsidRPr="00BF6C04">
        <w:rPr>
          <w:rFonts w:ascii="Palatino Linotype" w:hAnsi="Palatino Linotype" w:cs="Arial"/>
        </w:rPr>
        <w:t>el Tesorero Municipal informó al Titular de la Unidad de Transparencia</w:t>
      </w:r>
      <w:r w:rsidR="00EF41C8" w:rsidRPr="00BF6C04">
        <w:rPr>
          <w:rFonts w:ascii="Palatino Linotype" w:hAnsi="Palatino Linotype" w:cs="Arial"/>
        </w:rPr>
        <w:t>, ambos del Ayuntamiento de Metepec</w:t>
      </w:r>
      <w:r w:rsidR="006A2B03" w:rsidRPr="00BF6C04">
        <w:rPr>
          <w:rFonts w:ascii="Palatino Linotype" w:hAnsi="Palatino Linotype" w:cs="Arial"/>
        </w:rPr>
        <w:t xml:space="preserve">, </w:t>
      </w:r>
      <w:r w:rsidR="000A5366" w:rsidRPr="00BF6C04">
        <w:rPr>
          <w:rFonts w:ascii="Palatino Linotype" w:hAnsi="Palatino Linotype" w:cs="Arial"/>
        </w:rPr>
        <w:t>que acumulo diversas solicitudes de información p</w:t>
      </w:r>
      <w:r w:rsidR="00EF41C8" w:rsidRPr="00BF6C04">
        <w:rPr>
          <w:rFonts w:ascii="Palatino Linotype" w:hAnsi="Palatino Linotype" w:cs="Arial"/>
        </w:rPr>
        <w:t xml:space="preserve">ública y debido al volumen considerable de información, la cual requiere procesamiento y revisión para verificar si contiene información que deba clasificarse como confidencial y/o reservada, descargarla o escanearla, cuya entrega y procesamiento sobrepasa las capacidades técnicas administrativas y humanas, de esta Tesorería Municipal, en términos de los argumentos que señaló en la misma, es por ello; que sometió a consideración del Comité de Transparencia tres modalidades para la entrega de la información: como lo son Modalidad de copias simples o certificadas, modalidad de entrega digital y </w:t>
      </w:r>
      <w:r w:rsidR="004F154C" w:rsidRPr="00BF6C04">
        <w:rPr>
          <w:rFonts w:ascii="Palatino Linotype" w:hAnsi="Palatino Linotype" w:cs="Arial"/>
        </w:rPr>
        <w:t>modalidad de consulta directa.</w:t>
      </w:r>
    </w:p>
    <w:p w:rsidR="00AC3C64" w:rsidRPr="00BF6C04" w:rsidRDefault="00780737" w:rsidP="00AC3C64">
      <w:pPr>
        <w:spacing w:before="240" w:after="240" w:line="360" w:lineRule="auto"/>
        <w:jc w:val="both"/>
        <w:rPr>
          <w:rFonts w:ascii="Palatino Linotype" w:hAnsi="Palatino Linotype" w:cs="Arial"/>
        </w:rPr>
      </w:pPr>
      <w:r w:rsidRPr="00BF6C04">
        <w:rPr>
          <w:rFonts w:ascii="Palatino Linotype" w:hAnsi="Palatino Linotype" w:cs="Arial"/>
          <w:b/>
        </w:rPr>
        <w:t>3. Interposición de los</w:t>
      </w:r>
      <w:r w:rsidR="00AC3C64" w:rsidRPr="00BF6C04">
        <w:rPr>
          <w:rFonts w:ascii="Palatino Linotype" w:hAnsi="Palatino Linotype" w:cs="Arial"/>
          <w:b/>
        </w:rPr>
        <w:t xml:space="preserve"> recurso</w:t>
      </w:r>
      <w:r w:rsidRPr="00BF6C04">
        <w:rPr>
          <w:rFonts w:ascii="Palatino Linotype" w:hAnsi="Palatino Linotype" w:cs="Arial"/>
          <w:b/>
        </w:rPr>
        <w:t>s</w:t>
      </w:r>
      <w:r w:rsidR="00AC3C64" w:rsidRPr="00BF6C04">
        <w:rPr>
          <w:rFonts w:ascii="Palatino Linotype" w:hAnsi="Palatino Linotype" w:cs="Arial"/>
          <w:b/>
        </w:rPr>
        <w:t xml:space="preserve"> de revisión. </w:t>
      </w:r>
      <w:r w:rsidR="00AC3C64" w:rsidRPr="00BF6C04">
        <w:rPr>
          <w:rFonts w:ascii="Palatino Linotype" w:hAnsi="Palatino Linotype" w:cs="Arial"/>
        </w:rPr>
        <w:t xml:space="preserve">Inconforme el solicitante con la respuesta del </w:t>
      </w:r>
      <w:r w:rsidR="00AC3C64" w:rsidRPr="00BF6C04">
        <w:rPr>
          <w:rFonts w:ascii="Palatino Linotype" w:hAnsi="Palatino Linotype" w:cs="Arial"/>
          <w:b/>
        </w:rPr>
        <w:t>Sujeto Obligado</w:t>
      </w:r>
      <w:r w:rsidR="00AC3C64" w:rsidRPr="00BF6C04">
        <w:rPr>
          <w:rFonts w:ascii="Palatino Linotype" w:hAnsi="Palatino Linotype" w:cs="Arial"/>
        </w:rPr>
        <w:t xml:space="preserve"> interpuso </w:t>
      </w:r>
      <w:r w:rsidRPr="00BF6C04">
        <w:rPr>
          <w:rFonts w:ascii="Palatino Linotype" w:hAnsi="Palatino Linotype" w:cs="Arial"/>
        </w:rPr>
        <w:t xml:space="preserve">los </w:t>
      </w:r>
      <w:r w:rsidR="00AC3C64" w:rsidRPr="00BF6C04">
        <w:rPr>
          <w:rFonts w:ascii="Palatino Linotype" w:hAnsi="Palatino Linotype" w:cs="Arial"/>
        </w:rPr>
        <w:t>recurso</w:t>
      </w:r>
      <w:r w:rsidRPr="00BF6C04">
        <w:rPr>
          <w:rFonts w:ascii="Palatino Linotype" w:hAnsi="Palatino Linotype" w:cs="Arial"/>
        </w:rPr>
        <w:t>s</w:t>
      </w:r>
      <w:r w:rsidR="00AC3C64" w:rsidRPr="00BF6C04">
        <w:rPr>
          <w:rFonts w:ascii="Palatino Linotype" w:hAnsi="Palatino Linotype" w:cs="Arial"/>
        </w:rPr>
        <w:t xml:space="preserve"> de revisi</w:t>
      </w:r>
      <w:r w:rsidR="004F154C" w:rsidRPr="00BF6C04">
        <w:rPr>
          <w:rFonts w:ascii="Palatino Linotype" w:hAnsi="Palatino Linotype" w:cs="Arial"/>
        </w:rPr>
        <w:t>ón a través del SAIMEX en fecha treinta</w:t>
      </w:r>
      <w:r w:rsidR="00AC3C64" w:rsidRPr="00BF6C04">
        <w:rPr>
          <w:rFonts w:ascii="Palatino Linotype" w:hAnsi="Palatino Linotype" w:cs="Arial"/>
        </w:rPr>
        <w:t xml:space="preserve"> de </w:t>
      </w:r>
      <w:r w:rsidR="004F154C" w:rsidRPr="00BF6C04">
        <w:rPr>
          <w:rFonts w:ascii="Palatino Linotype" w:hAnsi="Palatino Linotype" w:cs="Arial"/>
        </w:rPr>
        <w:t>agosto</w:t>
      </w:r>
      <w:r w:rsidR="00AC3C64" w:rsidRPr="00BF6C04">
        <w:rPr>
          <w:rFonts w:ascii="Palatino Linotype" w:hAnsi="Palatino Linotype" w:cs="Arial"/>
        </w:rPr>
        <w:t xml:space="preserve"> de dos mil </w:t>
      </w:r>
      <w:r w:rsidR="004F154C" w:rsidRPr="00BF6C04">
        <w:rPr>
          <w:rFonts w:ascii="Palatino Linotype" w:hAnsi="Palatino Linotype" w:cs="Arial"/>
        </w:rPr>
        <w:t>veintidós</w:t>
      </w:r>
      <w:r w:rsidR="00AC3C64" w:rsidRPr="00BF6C04">
        <w:rPr>
          <w:rFonts w:ascii="Palatino Linotype" w:hAnsi="Palatino Linotype" w:cs="Arial"/>
        </w:rPr>
        <w:t>, a través del cual expresó lo</w:t>
      </w:r>
      <w:r w:rsidR="00471FBC" w:rsidRPr="00BF6C04">
        <w:rPr>
          <w:rFonts w:ascii="Palatino Linotype" w:hAnsi="Palatino Linotype" w:cs="Arial"/>
        </w:rPr>
        <w:t xml:space="preserve"> </w:t>
      </w:r>
      <w:r w:rsidR="00EA6A73" w:rsidRPr="00BF6C04">
        <w:rPr>
          <w:rFonts w:ascii="Palatino Linotype" w:hAnsi="Palatino Linotype" w:cs="Arial"/>
        </w:rPr>
        <w:t>siguiente</w:t>
      </w:r>
      <w:r w:rsidR="00AC3C64" w:rsidRPr="00BF6C04">
        <w:rPr>
          <w:rFonts w:ascii="Palatino Linotype" w:hAnsi="Palatino Linotype" w:cs="Arial"/>
        </w:rPr>
        <w:t>:</w:t>
      </w:r>
    </w:p>
    <w:p w:rsidR="00EA6A73" w:rsidRPr="00BF6C04" w:rsidRDefault="00EA6A73" w:rsidP="00AC3C64">
      <w:pPr>
        <w:spacing w:before="240" w:after="240" w:line="360" w:lineRule="auto"/>
        <w:jc w:val="both"/>
        <w:rPr>
          <w:rFonts w:ascii="Palatino Linotype" w:hAnsi="Palatino Linotype" w:cs="Arial"/>
          <w:b/>
          <w:bCs/>
          <w:lang w:val="es-MX"/>
        </w:rPr>
      </w:pPr>
      <w:r w:rsidRPr="00BF6C04">
        <w:rPr>
          <w:rFonts w:ascii="Palatino Linotype" w:hAnsi="Palatino Linotype" w:cs="Arial"/>
        </w:rPr>
        <w:t xml:space="preserve">Recurso de revisión </w:t>
      </w:r>
      <w:r w:rsidRPr="00BF6C04">
        <w:rPr>
          <w:rFonts w:ascii="Palatino Linotype" w:hAnsi="Palatino Linotype" w:cs="Arial"/>
          <w:b/>
          <w:bCs/>
          <w:lang w:val="es-MX"/>
        </w:rPr>
        <w:t>13969/INFOEM/IP/RR/2022:</w:t>
      </w:r>
    </w:p>
    <w:p w:rsidR="00EA6A73" w:rsidRPr="00BF6C04" w:rsidRDefault="00EA6A73" w:rsidP="00EA6A73">
      <w:pPr>
        <w:spacing w:line="360" w:lineRule="auto"/>
        <w:rPr>
          <w:rFonts w:ascii="Palatino Linotype" w:hAnsi="Palatino Linotype" w:cs="Arial"/>
          <w:b/>
        </w:rPr>
      </w:pPr>
      <w:r w:rsidRPr="00BF6C04">
        <w:rPr>
          <w:rFonts w:ascii="Palatino Linotype" w:hAnsi="Palatino Linotype" w:cs="Arial"/>
          <w:b/>
        </w:rPr>
        <w:t>a) Acto impugnado.</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“la respuesta del sujeto obligado” (Sic)</w:t>
      </w:r>
    </w:p>
    <w:p w:rsidR="00EA6A73" w:rsidRPr="00BF6C04" w:rsidRDefault="00EA6A73" w:rsidP="00EA6A73">
      <w:pPr>
        <w:spacing w:before="240" w:after="240"/>
        <w:ind w:left="851" w:right="902"/>
        <w:contextualSpacing/>
        <w:jc w:val="both"/>
        <w:rPr>
          <w:rFonts w:ascii="Palatino Linotype" w:hAnsi="Palatino Linotype"/>
          <w:i/>
          <w:sz w:val="22"/>
          <w:szCs w:val="22"/>
        </w:rPr>
      </w:pPr>
    </w:p>
    <w:p w:rsidR="00EA6A73" w:rsidRPr="00BF6C04" w:rsidRDefault="00EA6A73" w:rsidP="00EA6A73">
      <w:pPr>
        <w:spacing w:line="360" w:lineRule="auto"/>
        <w:jc w:val="both"/>
        <w:rPr>
          <w:rFonts w:ascii="Palatino Linotype" w:hAnsi="Palatino Linotype" w:cs="Arial"/>
          <w:b/>
        </w:rPr>
      </w:pPr>
      <w:r w:rsidRPr="00BF6C04">
        <w:rPr>
          <w:rFonts w:ascii="Palatino Linotype" w:hAnsi="Palatino Linotype" w:cs="Arial"/>
          <w:b/>
        </w:rPr>
        <w:t>b) Motivos de inconformidad.</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lastRenderedPageBreak/>
        <w:t>“la respuesta del sujeto obligado, violenta mi derecho al acceso a la información, de manera injustificada cambia la modalidad de entrega de la información” (Sic)</w:t>
      </w:r>
    </w:p>
    <w:p w:rsidR="00EA6A73" w:rsidRPr="00BF6C04" w:rsidRDefault="00EA6A73" w:rsidP="00AC3C64">
      <w:pPr>
        <w:spacing w:before="240" w:after="240" w:line="360" w:lineRule="auto"/>
        <w:jc w:val="both"/>
        <w:rPr>
          <w:rFonts w:ascii="Palatino Linotype" w:hAnsi="Palatino Linotype" w:cs="Arial"/>
          <w:b/>
          <w:bCs/>
          <w:lang w:val="es-MX"/>
        </w:rPr>
      </w:pPr>
    </w:p>
    <w:p w:rsidR="00EA6A73" w:rsidRPr="00BF6C04" w:rsidRDefault="00EA6A73" w:rsidP="00AC3C64">
      <w:pPr>
        <w:spacing w:before="240" w:after="240" w:line="360" w:lineRule="auto"/>
        <w:jc w:val="both"/>
        <w:rPr>
          <w:rFonts w:ascii="Palatino Linotype" w:hAnsi="Palatino Linotype" w:cs="Arial"/>
          <w:b/>
          <w:bCs/>
          <w:lang w:val="es-MX"/>
        </w:rPr>
      </w:pPr>
      <w:r w:rsidRPr="00BF6C04">
        <w:rPr>
          <w:rFonts w:ascii="Palatino Linotype" w:hAnsi="Palatino Linotype" w:cs="Arial"/>
          <w:b/>
          <w:bCs/>
          <w:lang w:val="es-MX"/>
        </w:rPr>
        <w:t xml:space="preserve"> </w:t>
      </w:r>
      <w:r w:rsidRPr="00BF6C04">
        <w:rPr>
          <w:rFonts w:ascii="Palatino Linotype" w:hAnsi="Palatino Linotype" w:cs="Arial"/>
        </w:rPr>
        <w:t xml:space="preserve">Recurso de revisión </w:t>
      </w:r>
      <w:r w:rsidRPr="00BF6C04">
        <w:rPr>
          <w:rFonts w:ascii="Palatino Linotype" w:hAnsi="Palatino Linotype" w:cs="Arial"/>
          <w:b/>
          <w:bCs/>
          <w:lang w:val="es-MX"/>
        </w:rPr>
        <w:t>14013/INFOEM/IP/RR/2022:</w:t>
      </w:r>
    </w:p>
    <w:p w:rsidR="00EA6A73" w:rsidRPr="00BF6C04" w:rsidRDefault="00EA6A73" w:rsidP="00EA6A73">
      <w:pPr>
        <w:spacing w:line="360" w:lineRule="auto"/>
        <w:rPr>
          <w:rFonts w:ascii="Palatino Linotype" w:hAnsi="Palatino Linotype" w:cs="Arial"/>
          <w:b/>
        </w:rPr>
      </w:pPr>
      <w:r w:rsidRPr="00BF6C04">
        <w:rPr>
          <w:rFonts w:ascii="Palatino Linotype" w:hAnsi="Palatino Linotype" w:cs="Arial"/>
          <w:b/>
        </w:rPr>
        <w:t>a) Acto impugnado.</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“la respuesta del sujeto obligado” (Sic)</w:t>
      </w:r>
    </w:p>
    <w:p w:rsidR="00EA6A73" w:rsidRPr="00BF6C04" w:rsidRDefault="00EA6A73" w:rsidP="00EA6A73">
      <w:pPr>
        <w:spacing w:before="240" w:after="240"/>
        <w:ind w:left="851" w:right="902"/>
        <w:contextualSpacing/>
        <w:jc w:val="both"/>
        <w:rPr>
          <w:rFonts w:ascii="Palatino Linotype" w:hAnsi="Palatino Linotype"/>
          <w:i/>
          <w:sz w:val="22"/>
          <w:szCs w:val="22"/>
        </w:rPr>
      </w:pPr>
    </w:p>
    <w:p w:rsidR="00EA6A73" w:rsidRPr="00BF6C04" w:rsidRDefault="00EA6A73" w:rsidP="00EA6A73">
      <w:pPr>
        <w:spacing w:line="360" w:lineRule="auto"/>
        <w:jc w:val="both"/>
        <w:rPr>
          <w:rFonts w:ascii="Palatino Linotype" w:hAnsi="Palatino Linotype" w:cs="Arial"/>
          <w:b/>
        </w:rPr>
      </w:pPr>
      <w:r w:rsidRPr="00BF6C04">
        <w:rPr>
          <w:rFonts w:ascii="Palatino Linotype" w:hAnsi="Palatino Linotype" w:cs="Arial"/>
          <w:b/>
        </w:rPr>
        <w:t>b) Motivos de inconformidad.</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 xml:space="preserve">“Al no proporcionar la </w:t>
      </w:r>
      <w:proofErr w:type="spellStart"/>
      <w:r w:rsidRPr="00BF6C04">
        <w:rPr>
          <w:rFonts w:ascii="Palatino Linotype" w:hAnsi="Palatino Linotype"/>
          <w:i/>
          <w:sz w:val="22"/>
          <w:szCs w:val="22"/>
        </w:rPr>
        <w:t>informacion</w:t>
      </w:r>
      <w:proofErr w:type="spellEnd"/>
      <w:r w:rsidRPr="00BF6C04">
        <w:rPr>
          <w:rFonts w:ascii="Palatino Linotype" w:hAnsi="Palatino Linotype"/>
          <w:i/>
          <w:sz w:val="22"/>
          <w:szCs w:val="22"/>
        </w:rPr>
        <w:t xml:space="preserve">, viola mi derecho al acceso a la información, de manera indebida cambia la modalidad de entrega de la </w:t>
      </w:r>
      <w:proofErr w:type="spellStart"/>
      <w:r w:rsidRPr="00BF6C04">
        <w:rPr>
          <w:rFonts w:ascii="Palatino Linotype" w:hAnsi="Palatino Linotype"/>
          <w:i/>
          <w:sz w:val="22"/>
          <w:szCs w:val="22"/>
        </w:rPr>
        <w:t>informacion</w:t>
      </w:r>
      <w:proofErr w:type="spellEnd"/>
      <w:r w:rsidRPr="00BF6C04">
        <w:rPr>
          <w:rFonts w:ascii="Palatino Linotype" w:hAnsi="Palatino Linotype"/>
          <w:i/>
          <w:sz w:val="22"/>
          <w:szCs w:val="22"/>
        </w:rPr>
        <w:t>” (Sic)</w:t>
      </w:r>
    </w:p>
    <w:p w:rsidR="00EA6A73" w:rsidRPr="00BF6C04" w:rsidRDefault="00EA6A73" w:rsidP="00EA6A73">
      <w:pPr>
        <w:spacing w:before="240" w:after="240"/>
        <w:ind w:left="851" w:right="902"/>
        <w:contextualSpacing/>
        <w:jc w:val="both"/>
        <w:rPr>
          <w:rFonts w:ascii="Palatino Linotype" w:hAnsi="Palatino Linotype"/>
          <w:i/>
          <w:sz w:val="22"/>
          <w:szCs w:val="22"/>
        </w:rPr>
      </w:pPr>
    </w:p>
    <w:p w:rsidR="00EA6A73" w:rsidRPr="00BF6C04" w:rsidRDefault="00EA6A73" w:rsidP="00AC3C64">
      <w:pPr>
        <w:spacing w:before="240" w:after="240" w:line="360" w:lineRule="auto"/>
        <w:jc w:val="both"/>
        <w:rPr>
          <w:rFonts w:ascii="Palatino Linotype" w:hAnsi="Palatino Linotype" w:cs="Arial"/>
          <w:b/>
          <w:bCs/>
          <w:lang w:val="es-MX"/>
        </w:rPr>
      </w:pPr>
      <w:r w:rsidRPr="00BF6C04">
        <w:rPr>
          <w:rFonts w:ascii="Palatino Linotype" w:hAnsi="Palatino Linotype" w:cs="Arial"/>
        </w:rPr>
        <w:t>Recurso de revisión</w:t>
      </w:r>
      <w:r w:rsidRPr="00BF6C04">
        <w:rPr>
          <w:rFonts w:ascii="Palatino Linotype" w:hAnsi="Palatino Linotype" w:cs="Arial"/>
          <w:b/>
          <w:bCs/>
          <w:lang w:val="es-MX"/>
        </w:rPr>
        <w:t xml:space="preserve"> 14048/INFOEM/IP/RR/2022:</w:t>
      </w:r>
    </w:p>
    <w:p w:rsidR="00EA6A73" w:rsidRPr="00BF6C04" w:rsidRDefault="00EA6A73" w:rsidP="00EA6A73">
      <w:pPr>
        <w:spacing w:line="360" w:lineRule="auto"/>
        <w:rPr>
          <w:rFonts w:ascii="Palatino Linotype" w:hAnsi="Palatino Linotype" w:cs="Arial"/>
          <w:b/>
        </w:rPr>
      </w:pPr>
      <w:r w:rsidRPr="00BF6C04">
        <w:rPr>
          <w:rFonts w:ascii="Palatino Linotype" w:hAnsi="Palatino Linotype" w:cs="Arial"/>
          <w:b/>
        </w:rPr>
        <w:t>a) Acto impugnado.</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“la respuesta del sujeto obligado” (Sic)</w:t>
      </w:r>
    </w:p>
    <w:p w:rsidR="00EA6A73" w:rsidRPr="00BF6C04" w:rsidRDefault="00EA6A73" w:rsidP="00EA6A73">
      <w:pPr>
        <w:spacing w:before="240" w:after="240"/>
        <w:ind w:left="851" w:right="902"/>
        <w:contextualSpacing/>
        <w:jc w:val="both"/>
        <w:rPr>
          <w:rFonts w:ascii="Palatino Linotype" w:hAnsi="Palatino Linotype"/>
          <w:i/>
          <w:sz w:val="22"/>
          <w:szCs w:val="22"/>
        </w:rPr>
      </w:pPr>
    </w:p>
    <w:p w:rsidR="00EA6A73" w:rsidRPr="00BF6C04" w:rsidRDefault="00EA6A73" w:rsidP="00EA6A73">
      <w:pPr>
        <w:spacing w:line="360" w:lineRule="auto"/>
        <w:jc w:val="both"/>
        <w:rPr>
          <w:rFonts w:ascii="Palatino Linotype" w:hAnsi="Palatino Linotype" w:cs="Arial"/>
          <w:b/>
        </w:rPr>
      </w:pPr>
      <w:r w:rsidRPr="00BF6C04">
        <w:rPr>
          <w:rFonts w:ascii="Palatino Linotype" w:hAnsi="Palatino Linotype" w:cs="Arial"/>
          <w:b/>
        </w:rPr>
        <w:t>b) Motivos de inconformidad.</w:t>
      </w:r>
    </w:p>
    <w:p w:rsidR="00EA6A73" w:rsidRPr="00BF6C04" w:rsidRDefault="00EA6A73" w:rsidP="00EA6A73">
      <w:pPr>
        <w:spacing w:before="240" w:after="240"/>
        <w:ind w:left="851" w:right="902"/>
        <w:contextualSpacing/>
        <w:jc w:val="both"/>
        <w:rPr>
          <w:rFonts w:ascii="Palatino Linotype" w:hAnsi="Palatino Linotype"/>
          <w:i/>
          <w:sz w:val="22"/>
          <w:szCs w:val="22"/>
        </w:rPr>
      </w:pPr>
      <w:r w:rsidRPr="00BF6C04">
        <w:rPr>
          <w:rFonts w:ascii="Palatino Linotype" w:hAnsi="Palatino Linotype"/>
          <w:i/>
          <w:sz w:val="22"/>
          <w:szCs w:val="22"/>
        </w:rPr>
        <w:t xml:space="preserve">“Al no </w:t>
      </w:r>
      <w:proofErr w:type="spellStart"/>
      <w:r w:rsidRPr="00BF6C04">
        <w:rPr>
          <w:rFonts w:ascii="Palatino Linotype" w:hAnsi="Palatino Linotype"/>
          <w:i/>
          <w:sz w:val="22"/>
          <w:szCs w:val="22"/>
        </w:rPr>
        <w:t>proporcinar</w:t>
      </w:r>
      <w:proofErr w:type="spellEnd"/>
      <w:r w:rsidRPr="00BF6C04">
        <w:rPr>
          <w:rFonts w:ascii="Palatino Linotype" w:hAnsi="Palatino Linotype"/>
          <w:i/>
          <w:sz w:val="22"/>
          <w:szCs w:val="22"/>
        </w:rPr>
        <w:t xml:space="preserve"> la </w:t>
      </w:r>
      <w:proofErr w:type="spellStart"/>
      <w:r w:rsidRPr="00BF6C04">
        <w:rPr>
          <w:rFonts w:ascii="Palatino Linotype" w:hAnsi="Palatino Linotype"/>
          <w:i/>
          <w:sz w:val="22"/>
          <w:szCs w:val="22"/>
        </w:rPr>
        <w:t>informacion</w:t>
      </w:r>
      <w:proofErr w:type="spellEnd"/>
      <w:r w:rsidRPr="00BF6C04">
        <w:rPr>
          <w:rFonts w:ascii="Palatino Linotype" w:hAnsi="Palatino Linotype"/>
          <w:i/>
          <w:sz w:val="22"/>
          <w:szCs w:val="22"/>
        </w:rPr>
        <w:t xml:space="preserve">, viola mi derecho al acceso a la información, de manera indebida cambia la modalidad de entrega de la </w:t>
      </w:r>
      <w:proofErr w:type="spellStart"/>
      <w:r w:rsidRPr="00BF6C04">
        <w:rPr>
          <w:rFonts w:ascii="Palatino Linotype" w:hAnsi="Palatino Linotype"/>
          <w:i/>
          <w:sz w:val="22"/>
          <w:szCs w:val="22"/>
        </w:rPr>
        <w:t>informacion</w:t>
      </w:r>
      <w:proofErr w:type="spellEnd"/>
      <w:r w:rsidRPr="00BF6C04">
        <w:rPr>
          <w:rFonts w:ascii="Palatino Linotype" w:hAnsi="Palatino Linotype"/>
          <w:i/>
          <w:sz w:val="22"/>
          <w:szCs w:val="22"/>
        </w:rPr>
        <w:t>, y acumula con el fin de no proporcionar la información” (Sic)</w:t>
      </w:r>
    </w:p>
    <w:p w:rsidR="009A3844" w:rsidRPr="00BF6C04" w:rsidRDefault="009A3844" w:rsidP="009A3844">
      <w:pPr>
        <w:spacing w:before="240" w:after="240" w:line="360" w:lineRule="auto"/>
        <w:contextualSpacing/>
        <w:jc w:val="both"/>
        <w:rPr>
          <w:rFonts w:ascii="Palatino Linotype" w:hAnsi="Palatino Linotype"/>
          <w:b/>
        </w:rPr>
      </w:pPr>
    </w:p>
    <w:p w:rsidR="009A3844" w:rsidRPr="00BF6C04" w:rsidRDefault="00AC3C64" w:rsidP="009A3844">
      <w:pPr>
        <w:spacing w:before="240" w:after="240" w:line="360" w:lineRule="auto"/>
        <w:contextualSpacing/>
        <w:jc w:val="both"/>
        <w:rPr>
          <w:rFonts w:ascii="Palatino Linotype" w:eastAsia="Calibri" w:hAnsi="Palatino Linotype" w:cs="Arial"/>
        </w:rPr>
      </w:pPr>
      <w:r w:rsidRPr="00BF6C04">
        <w:rPr>
          <w:rFonts w:ascii="Palatino Linotype" w:hAnsi="Palatino Linotype"/>
          <w:b/>
        </w:rPr>
        <w:t xml:space="preserve">4. Turno. </w:t>
      </w:r>
      <w:r w:rsidRPr="00BF6C04">
        <w:rPr>
          <w:rFonts w:ascii="Palatino Linotype" w:hAnsi="Palatino Linotype"/>
        </w:rPr>
        <w:t xml:space="preserve">De conformidad con el artículo 185, fracción I de la </w:t>
      </w:r>
      <w:r w:rsidRPr="00BF6C04">
        <w:rPr>
          <w:rFonts w:ascii="Palatino Linotype" w:hAnsi="Palatino Linotype" w:cs="Arial"/>
        </w:rPr>
        <w:t xml:space="preserve">Ley de Transparencia y Acceso a la Información Pública del Estado de México y Municipios, el recurso de revisión </w:t>
      </w:r>
      <w:r w:rsidR="008F742E" w:rsidRPr="00BF6C04">
        <w:rPr>
          <w:rFonts w:ascii="Palatino Linotype" w:hAnsi="Palatino Linotype" w:cs="Arial"/>
        </w:rPr>
        <w:t xml:space="preserve">número </w:t>
      </w:r>
      <w:r w:rsidR="00EA6A73" w:rsidRPr="00BF6C04">
        <w:rPr>
          <w:rFonts w:ascii="Palatino Linotype" w:hAnsi="Palatino Linotype" w:cs="Arial"/>
          <w:b/>
        </w:rPr>
        <w:t>13969/INFOEM/IP/RR/2022</w:t>
      </w:r>
      <w:r w:rsidR="009A3844" w:rsidRPr="00BF6C04">
        <w:rPr>
          <w:rFonts w:ascii="Palatino Linotype" w:hAnsi="Palatino Linotype" w:cs="Arial"/>
          <w:b/>
        </w:rPr>
        <w:t xml:space="preserve">, </w:t>
      </w:r>
      <w:r w:rsidR="009A3844" w:rsidRPr="00BF6C04">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BF6C04">
        <w:rPr>
          <w:rFonts w:ascii="Palatino Linotype" w:hAnsi="Palatino Linotype" w:cs="Arial"/>
        </w:rPr>
        <w:t>a la</w:t>
      </w:r>
      <w:r w:rsidR="00BB2163" w:rsidRPr="00BF6C04">
        <w:rPr>
          <w:rFonts w:ascii="Palatino Linotype" w:eastAsia="Calibri" w:hAnsi="Palatino Linotype" w:cs="Arial"/>
        </w:rPr>
        <w:t xml:space="preserve"> Comisionada</w:t>
      </w:r>
      <w:r w:rsidR="009A3844" w:rsidRPr="00BF6C04">
        <w:rPr>
          <w:rFonts w:ascii="Palatino Linotype" w:eastAsia="Calibri" w:hAnsi="Palatino Linotype" w:cs="Arial"/>
        </w:rPr>
        <w:t xml:space="preserve"> </w:t>
      </w:r>
      <w:r w:rsidR="00BB2163" w:rsidRPr="00BF6C04">
        <w:rPr>
          <w:rFonts w:ascii="Palatino Linotype" w:eastAsia="Calibri" w:hAnsi="Palatino Linotype" w:cs="Arial"/>
          <w:b/>
        </w:rPr>
        <w:t>Guadalupe Ramírez Peña</w:t>
      </w:r>
      <w:r w:rsidRPr="00BF6C04">
        <w:rPr>
          <w:rFonts w:ascii="Palatino Linotype" w:hAnsi="Palatino Linotype"/>
        </w:rPr>
        <w:t xml:space="preserve">, </w:t>
      </w:r>
      <w:r w:rsidR="009051D9" w:rsidRPr="00BF6C04">
        <w:rPr>
          <w:rFonts w:ascii="Palatino Linotype" w:hAnsi="Palatino Linotype" w:cs="Arial"/>
        </w:rPr>
        <w:t>los</w:t>
      </w:r>
      <w:r w:rsidR="00471FBC" w:rsidRPr="00BF6C04">
        <w:rPr>
          <w:rFonts w:ascii="Palatino Linotype" w:hAnsi="Palatino Linotype" w:cs="Arial"/>
        </w:rPr>
        <w:t xml:space="preserve"> recurso</w:t>
      </w:r>
      <w:r w:rsidR="009051D9" w:rsidRPr="00BF6C04">
        <w:rPr>
          <w:rFonts w:ascii="Palatino Linotype" w:hAnsi="Palatino Linotype" w:cs="Arial"/>
        </w:rPr>
        <w:t>s</w:t>
      </w:r>
      <w:r w:rsidR="00471FBC" w:rsidRPr="00BF6C04">
        <w:rPr>
          <w:rFonts w:ascii="Palatino Linotype" w:hAnsi="Palatino Linotype" w:cs="Arial"/>
        </w:rPr>
        <w:t xml:space="preserve"> de revisión número </w:t>
      </w:r>
      <w:r w:rsidR="00EA6A73" w:rsidRPr="00BF6C04">
        <w:rPr>
          <w:rFonts w:ascii="Palatino Linotype" w:hAnsi="Palatino Linotype" w:cs="Arial"/>
          <w:b/>
        </w:rPr>
        <w:t>14013</w:t>
      </w:r>
      <w:r w:rsidR="00312416" w:rsidRPr="00BF6C04">
        <w:rPr>
          <w:rFonts w:ascii="Palatino Linotype" w:hAnsi="Palatino Linotype" w:cs="Arial"/>
          <w:b/>
        </w:rPr>
        <w:t>/INFOEM/IP/RR/2021</w:t>
      </w:r>
      <w:r w:rsidR="009051D9" w:rsidRPr="00BF6C04">
        <w:rPr>
          <w:rFonts w:ascii="Palatino Linotype" w:hAnsi="Palatino Linotype" w:cs="Arial"/>
          <w:b/>
        </w:rPr>
        <w:t xml:space="preserve"> y 14048/INFOEM/IP/RR/2022</w:t>
      </w:r>
      <w:r w:rsidR="00312416" w:rsidRPr="00BF6C04">
        <w:rPr>
          <w:rFonts w:ascii="Palatino Linotype" w:hAnsi="Palatino Linotype" w:cs="Arial"/>
          <w:b/>
        </w:rPr>
        <w:t xml:space="preserve">, </w:t>
      </w:r>
      <w:r w:rsidR="009051D9" w:rsidRPr="00BF6C04">
        <w:rPr>
          <w:rFonts w:ascii="Palatino Linotype" w:eastAsia="Calibri" w:hAnsi="Palatino Linotype" w:cs="Arial"/>
        </w:rPr>
        <w:t>se turnaron</w:t>
      </w:r>
      <w:r w:rsidR="00312416" w:rsidRPr="00BF6C04">
        <w:rPr>
          <w:rFonts w:ascii="Palatino Linotype" w:eastAsia="Calibri" w:hAnsi="Palatino Linotype" w:cs="Arial"/>
        </w:rPr>
        <w:t xml:space="preserve"> por el sistema electrónico del Instituto de Transparencia, Acceso a la Información Pública y Protección de Datos Personales </w:t>
      </w:r>
      <w:r w:rsidR="00312416" w:rsidRPr="00BF6C04">
        <w:rPr>
          <w:rFonts w:ascii="Palatino Linotype" w:eastAsia="Calibri" w:hAnsi="Palatino Linotype" w:cs="Arial"/>
        </w:rPr>
        <w:lastRenderedPageBreak/>
        <w:t xml:space="preserve">del Estado de México y Municipios, </w:t>
      </w:r>
      <w:r w:rsidR="00312416" w:rsidRPr="00BF6C04">
        <w:rPr>
          <w:rFonts w:ascii="Palatino Linotype" w:hAnsi="Palatino Linotype" w:cs="Arial"/>
        </w:rPr>
        <w:t xml:space="preserve">a la </w:t>
      </w:r>
      <w:r w:rsidR="0053242D" w:rsidRPr="00BF6C04">
        <w:rPr>
          <w:rFonts w:ascii="Palatino Linotype" w:eastAsia="Calibri" w:hAnsi="Palatino Linotype" w:cs="Arial"/>
        </w:rPr>
        <w:t xml:space="preserve"> Comisionada</w:t>
      </w:r>
      <w:r w:rsidR="00312416" w:rsidRPr="00BF6C04">
        <w:rPr>
          <w:rFonts w:ascii="Palatino Linotype" w:eastAsia="Calibri" w:hAnsi="Palatino Linotype" w:cs="Arial"/>
        </w:rPr>
        <w:t xml:space="preserve"> </w:t>
      </w:r>
      <w:r w:rsidR="00EA6A73" w:rsidRPr="00BF6C04">
        <w:rPr>
          <w:rFonts w:ascii="Palatino Linotype" w:hAnsi="Palatino Linotype" w:cs="Arial"/>
          <w:b/>
          <w:bCs/>
        </w:rPr>
        <w:t>María del Rosario Mejía Ayala</w:t>
      </w:r>
      <w:r w:rsidR="00471FBC" w:rsidRPr="00BF6C04">
        <w:rPr>
          <w:rFonts w:ascii="Palatino Linotype" w:eastAsia="Calibri" w:hAnsi="Palatino Linotype" w:cs="Arial"/>
        </w:rPr>
        <w:t xml:space="preserve">, </w:t>
      </w:r>
      <w:r w:rsidR="009A3844" w:rsidRPr="00BF6C04">
        <w:rPr>
          <w:rFonts w:ascii="Palatino Linotype" w:hAnsi="Palatino Linotype" w:cs="Arial"/>
        </w:rPr>
        <w:t xml:space="preserve">para su análisis, estudio, elaboración del proyecto y </w:t>
      </w:r>
      <w:r w:rsidR="009A3844" w:rsidRPr="00BF6C04">
        <w:rPr>
          <w:rFonts w:ascii="Palatino Linotype" w:eastAsia="Calibri" w:hAnsi="Palatino Linotype" w:cs="Arial"/>
        </w:rPr>
        <w:t>presentación ante el Pleno de este Instituto.</w:t>
      </w:r>
    </w:p>
    <w:p w:rsidR="00B43253" w:rsidRPr="00BF6C04" w:rsidRDefault="00B43253" w:rsidP="009A3844">
      <w:pPr>
        <w:spacing w:before="240" w:after="240" w:line="360" w:lineRule="auto"/>
        <w:contextualSpacing/>
        <w:jc w:val="both"/>
        <w:rPr>
          <w:rFonts w:ascii="Palatino Linotype" w:eastAsia="Calibri" w:hAnsi="Palatino Linotype" w:cs="Arial"/>
        </w:rPr>
      </w:pPr>
    </w:p>
    <w:p w:rsidR="00471FBC" w:rsidRPr="00BF6C04" w:rsidRDefault="00471FBC" w:rsidP="00471FBC">
      <w:pPr>
        <w:spacing w:before="100" w:beforeAutospacing="1" w:after="100" w:afterAutospacing="1" w:line="360" w:lineRule="auto"/>
        <w:ind w:right="49"/>
        <w:jc w:val="both"/>
        <w:rPr>
          <w:rFonts w:ascii="Palatino Linotype" w:hAnsi="Palatino Linotype" w:cs="Arial"/>
        </w:rPr>
      </w:pPr>
      <w:r w:rsidRPr="00BF6C04">
        <w:rPr>
          <w:rFonts w:ascii="Palatino Linotype" w:hAnsi="Palatino Linotype" w:cs="Arial"/>
          <w:b/>
        </w:rPr>
        <w:t xml:space="preserve">5. Acumulación, </w:t>
      </w:r>
      <w:r w:rsidRPr="00BF6C04">
        <w:rPr>
          <w:rFonts w:ascii="Palatino Linotype" w:hAnsi="Palatino Linotype" w:cs="Arial"/>
        </w:rPr>
        <w:t xml:space="preserve">en la </w:t>
      </w:r>
      <w:r w:rsidR="009051D9" w:rsidRPr="00BF6C04">
        <w:rPr>
          <w:rFonts w:ascii="Palatino Linotype" w:hAnsi="Palatino Linotype" w:cs="Arial"/>
        </w:rPr>
        <w:t>Trigésima Tercera</w:t>
      </w:r>
      <w:r w:rsidRPr="00BF6C04">
        <w:rPr>
          <w:rFonts w:ascii="Palatino Linotype" w:hAnsi="Palatino Linotype" w:cs="Arial"/>
        </w:rPr>
        <w:t xml:space="preserve"> Sesión Ordinaria del Pleno de este Instituto de Transparencia, Acceso a la Información Pública y Protección de Datos Personales del Estado de México y</w:t>
      </w:r>
      <w:r w:rsidR="009051D9" w:rsidRPr="00BF6C04">
        <w:rPr>
          <w:rFonts w:ascii="Palatino Linotype" w:hAnsi="Palatino Linotype" w:cs="Arial"/>
        </w:rPr>
        <w:t xml:space="preserve"> Municipios, celebrada en fecha catorce de septiembre de dos mil veintidós</w:t>
      </w:r>
      <w:r w:rsidRPr="00BF6C04">
        <w:rPr>
          <w:rFonts w:ascii="Palatino Linotype" w:hAnsi="Palatino Linotype" w:cs="Arial"/>
        </w:rPr>
        <w:t xml:space="preserve">, al advertir la conexidad de causa y con la finalidad de evitar que se dicten resoluciones contradictorias, se acordó la acumulación de los recursos señalados en este fallo; determinando que fuera Ponente, la Comisionada </w:t>
      </w:r>
      <w:r w:rsidRPr="00BF6C04">
        <w:rPr>
          <w:rFonts w:ascii="Palatino Linotype" w:hAnsi="Palatino Linotype" w:cs="Arial"/>
          <w:b/>
        </w:rPr>
        <w:t xml:space="preserve">Guadalupe Ramírez Peña; </w:t>
      </w:r>
      <w:r w:rsidRPr="00BF6C04">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r w:rsidR="00E87D6D" w:rsidRPr="00BF6C04">
        <w:rPr>
          <w:rFonts w:ascii="Palatino Linotype" w:hAnsi="Palatino Linotype" w:cs="Arial"/>
        </w:rPr>
        <w:t xml:space="preserve"> </w:t>
      </w:r>
    </w:p>
    <w:p w:rsidR="00471FBC" w:rsidRPr="00BF6C04" w:rsidRDefault="00471FBC" w:rsidP="00471FBC">
      <w:pPr>
        <w:spacing w:before="100" w:beforeAutospacing="1" w:after="100" w:afterAutospacing="1"/>
        <w:ind w:left="1134" w:right="1325"/>
        <w:contextualSpacing/>
        <w:jc w:val="both"/>
        <w:rPr>
          <w:rFonts w:ascii="Palatino Linotype" w:hAnsi="Palatino Linotype" w:cs="Arial"/>
          <w:i/>
          <w:sz w:val="22"/>
          <w:szCs w:val="22"/>
        </w:rPr>
      </w:pPr>
      <w:r w:rsidRPr="00BF6C04">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rsidR="00471FBC" w:rsidRPr="00BF6C04" w:rsidRDefault="00471FBC" w:rsidP="00471FBC">
      <w:pPr>
        <w:spacing w:before="100" w:beforeAutospacing="1" w:after="100" w:afterAutospacing="1"/>
        <w:ind w:right="1325"/>
        <w:contextualSpacing/>
        <w:jc w:val="both"/>
        <w:rPr>
          <w:rFonts w:ascii="Palatino Linotype" w:hAnsi="Palatino Linotype" w:cs="Arial"/>
          <w:i/>
          <w:sz w:val="22"/>
          <w:szCs w:val="22"/>
        </w:rPr>
      </w:pPr>
    </w:p>
    <w:p w:rsidR="00471FBC" w:rsidRPr="00BF6C04" w:rsidRDefault="00471FBC" w:rsidP="00471FBC">
      <w:pPr>
        <w:spacing w:before="100" w:beforeAutospacing="1" w:after="100" w:afterAutospacing="1"/>
        <w:ind w:left="1134" w:right="1327"/>
        <w:contextualSpacing/>
        <w:jc w:val="both"/>
        <w:rPr>
          <w:rFonts w:ascii="Palatino Linotype" w:hAnsi="Palatino Linotype" w:cs="Arial"/>
          <w:i/>
          <w:sz w:val="22"/>
          <w:szCs w:val="22"/>
        </w:rPr>
      </w:pPr>
      <w:r w:rsidRPr="00BF6C04">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B43253" w:rsidRPr="00BF6C04" w:rsidRDefault="00B43253" w:rsidP="00AC3C64">
      <w:pPr>
        <w:spacing w:before="240" w:after="240" w:line="360" w:lineRule="auto"/>
        <w:jc w:val="both"/>
        <w:rPr>
          <w:rFonts w:ascii="Palatino Linotype" w:hAnsi="Palatino Linotype" w:cs="Arial"/>
          <w:b/>
        </w:rPr>
      </w:pPr>
    </w:p>
    <w:p w:rsidR="00AC3C64" w:rsidRPr="00BF6C04" w:rsidRDefault="00471FBC" w:rsidP="00AC3C64">
      <w:pPr>
        <w:spacing w:before="240" w:after="240" w:line="360" w:lineRule="auto"/>
        <w:jc w:val="both"/>
        <w:rPr>
          <w:rFonts w:ascii="Palatino Linotype" w:hAnsi="Palatino Linotype" w:cs="Arial"/>
        </w:rPr>
      </w:pPr>
      <w:r w:rsidRPr="00BF6C04">
        <w:rPr>
          <w:rFonts w:ascii="Palatino Linotype" w:hAnsi="Palatino Linotype" w:cs="Arial"/>
          <w:b/>
        </w:rPr>
        <w:t xml:space="preserve">6. Admisión de los </w:t>
      </w:r>
      <w:r w:rsidR="00AC3C64" w:rsidRPr="00BF6C04">
        <w:rPr>
          <w:rFonts w:ascii="Palatino Linotype" w:hAnsi="Palatino Linotype" w:cs="Arial"/>
          <w:b/>
        </w:rPr>
        <w:t>recurso</w:t>
      </w:r>
      <w:r w:rsidRPr="00BF6C04">
        <w:rPr>
          <w:rFonts w:ascii="Palatino Linotype" w:hAnsi="Palatino Linotype" w:cs="Arial"/>
          <w:b/>
        </w:rPr>
        <w:t>s</w:t>
      </w:r>
      <w:r w:rsidR="00AC3C64" w:rsidRPr="00BF6C04">
        <w:rPr>
          <w:rFonts w:ascii="Palatino Linotype" w:hAnsi="Palatino Linotype" w:cs="Arial"/>
          <w:b/>
        </w:rPr>
        <w:t xml:space="preserve"> de revisión: </w:t>
      </w:r>
      <w:r w:rsidR="00AC3C64" w:rsidRPr="00BF6C04">
        <w:rPr>
          <w:rFonts w:ascii="Palatino Linotype" w:hAnsi="Palatino Linotype" w:cs="Arial"/>
        </w:rPr>
        <w:t>En fecha</w:t>
      </w:r>
      <w:r w:rsidR="00B43253" w:rsidRPr="00BF6C04">
        <w:rPr>
          <w:rFonts w:ascii="Palatino Linotype" w:hAnsi="Palatino Linotype" w:cs="Arial"/>
        </w:rPr>
        <w:t xml:space="preserve">s </w:t>
      </w:r>
      <w:r w:rsidR="009051D9" w:rsidRPr="00BF6C04">
        <w:rPr>
          <w:rFonts w:ascii="Palatino Linotype" w:hAnsi="Palatino Linotype" w:cs="Arial"/>
        </w:rPr>
        <w:t>dos y cinco</w:t>
      </w:r>
      <w:r w:rsidR="00AC3C64" w:rsidRPr="00BF6C04">
        <w:rPr>
          <w:rFonts w:ascii="Palatino Linotype" w:hAnsi="Palatino Linotype" w:cs="Arial"/>
        </w:rPr>
        <w:t xml:space="preserve"> </w:t>
      </w:r>
      <w:r w:rsidR="009051D9" w:rsidRPr="00BF6C04">
        <w:rPr>
          <w:rFonts w:ascii="Palatino Linotype" w:hAnsi="Palatino Linotype" w:cs="Arial"/>
        </w:rPr>
        <w:t>de septiembre</w:t>
      </w:r>
      <w:r w:rsidR="00520A87" w:rsidRPr="00BF6C04">
        <w:rPr>
          <w:rFonts w:ascii="Palatino Linotype" w:hAnsi="Palatino Linotype" w:cs="Arial"/>
        </w:rPr>
        <w:t xml:space="preserve"> d</w:t>
      </w:r>
      <w:r w:rsidR="009051D9" w:rsidRPr="00BF6C04">
        <w:rPr>
          <w:rFonts w:ascii="Palatino Linotype" w:hAnsi="Palatino Linotype" w:cs="Arial"/>
        </w:rPr>
        <w:t>e dos mil veintidós</w:t>
      </w:r>
      <w:r w:rsidR="00BB2163" w:rsidRPr="00BF6C04">
        <w:rPr>
          <w:rFonts w:ascii="Palatino Linotype" w:hAnsi="Palatino Linotype" w:cs="Arial"/>
        </w:rPr>
        <w:t>, la Comisionada</w:t>
      </w:r>
      <w:r w:rsidRPr="00BF6C04">
        <w:rPr>
          <w:rFonts w:ascii="Palatino Linotype" w:hAnsi="Palatino Linotype" w:cs="Arial"/>
        </w:rPr>
        <w:t xml:space="preserve"> ponente, admitió a trámite los</w:t>
      </w:r>
      <w:r w:rsidR="00AC3C64" w:rsidRPr="00BF6C04">
        <w:rPr>
          <w:rFonts w:ascii="Palatino Linotype" w:hAnsi="Palatino Linotype" w:cs="Arial"/>
        </w:rPr>
        <w:t xml:space="preserve"> recurso</w:t>
      </w:r>
      <w:r w:rsidRPr="00BF6C04">
        <w:rPr>
          <w:rFonts w:ascii="Palatino Linotype" w:hAnsi="Palatino Linotype" w:cs="Arial"/>
        </w:rPr>
        <w:t>s</w:t>
      </w:r>
      <w:r w:rsidR="00AC3C64" w:rsidRPr="00BF6C04">
        <w:rPr>
          <w:rFonts w:ascii="Palatino Linotype" w:hAnsi="Palatino Linotype" w:cs="Arial"/>
        </w:rPr>
        <w:t xml:space="preserve"> de revisión </w:t>
      </w:r>
      <w:r w:rsidR="00AC3C64" w:rsidRPr="00BF6C04">
        <w:rPr>
          <w:rFonts w:ascii="Palatino Linotype" w:hAnsi="Palatino Linotype" w:cs="Arial"/>
        </w:rPr>
        <w:lastRenderedPageBreak/>
        <w:t>que ahora se resuelve</w:t>
      </w:r>
      <w:r w:rsidRPr="00BF6C04">
        <w:rPr>
          <w:rFonts w:ascii="Palatino Linotype" w:hAnsi="Palatino Linotype" w:cs="Arial"/>
        </w:rPr>
        <w:t>n</w:t>
      </w:r>
      <w:r w:rsidR="00AC3C64" w:rsidRPr="00BF6C04">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r w:rsidR="007A718C" w:rsidRPr="00BF6C04">
        <w:rPr>
          <w:rFonts w:ascii="Palatino Linotype" w:hAnsi="Palatino Linotype" w:cs="Arial"/>
        </w:rPr>
        <w:t xml:space="preserve"> </w:t>
      </w:r>
    </w:p>
    <w:p w:rsidR="006F1E06" w:rsidRPr="00BF6C04" w:rsidRDefault="00471FBC"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BF6C04">
        <w:rPr>
          <w:rFonts w:ascii="Palatino Linotype" w:hAnsi="Palatino Linotype" w:cs="Arial"/>
          <w:b/>
          <w:sz w:val="24"/>
          <w:szCs w:val="24"/>
        </w:rPr>
        <w:t>7</w:t>
      </w:r>
      <w:r w:rsidR="006F1E06" w:rsidRPr="00BF6C04">
        <w:rPr>
          <w:rFonts w:ascii="Palatino Linotype" w:hAnsi="Palatino Linotype" w:cs="Arial"/>
          <w:b/>
          <w:sz w:val="24"/>
          <w:szCs w:val="24"/>
        </w:rPr>
        <w:t>. Manifestaciones</w:t>
      </w:r>
      <w:r w:rsidR="006F1E06" w:rsidRPr="00BF6C04">
        <w:rPr>
          <w:rFonts w:ascii="Palatino Linotype" w:hAnsi="Palatino Linotype" w:cs="Arial"/>
          <w:sz w:val="24"/>
          <w:szCs w:val="24"/>
          <w:lang w:eastAsia="es-ES"/>
        </w:rPr>
        <w:t xml:space="preserve">: </w:t>
      </w:r>
      <w:r w:rsidR="006F1E06" w:rsidRPr="00BF6C04">
        <w:rPr>
          <w:rFonts w:ascii="Palatino Linotype" w:hAnsi="Palatino Linotype" w:cs="Arial"/>
          <w:sz w:val="24"/>
          <w:szCs w:val="24"/>
        </w:rPr>
        <w:t>De</w:t>
      </w:r>
      <w:r w:rsidRPr="00BF6C04">
        <w:rPr>
          <w:rFonts w:ascii="Palatino Linotype" w:hAnsi="Palatino Linotype" w:cs="Arial"/>
          <w:sz w:val="24"/>
          <w:szCs w:val="24"/>
        </w:rPr>
        <w:t xml:space="preserve"> las constancias que integran los</w:t>
      </w:r>
      <w:r w:rsidR="006F1E06" w:rsidRPr="00BF6C04">
        <w:rPr>
          <w:rFonts w:ascii="Palatino Linotype" w:hAnsi="Palatino Linotype" w:cs="Arial"/>
          <w:sz w:val="24"/>
          <w:szCs w:val="24"/>
        </w:rPr>
        <w:t xml:space="preserve"> expediente</w:t>
      </w:r>
      <w:r w:rsidRPr="00BF6C04">
        <w:rPr>
          <w:rFonts w:ascii="Palatino Linotype" w:hAnsi="Palatino Linotype" w:cs="Arial"/>
          <w:sz w:val="24"/>
          <w:szCs w:val="24"/>
        </w:rPr>
        <w:t>s</w:t>
      </w:r>
      <w:r w:rsidR="006F1E06" w:rsidRPr="00BF6C04">
        <w:rPr>
          <w:rFonts w:ascii="Palatino Linotype" w:hAnsi="Palatino Linotype" w:cs="Arial"/>
          <w:sz w:val="24"/>
          <w:szCs w:val="24"/>
        </w:rPr>
        <w:t xml:space="preserve"> en que se actúa se advierte que </w:t>
      </w:r>
      <w:r w:rsidR="006A3CB6" w:rsidRPr="00BF6C04">
        <w:rPr>
          <w:rFonts w:ascii="Palatino Linotype" w:hAnsi="Palatino Linotype" w:cs="Arial"/>
          <w:sz w:val="24"/>
          <w:szCs w:val="24"/>
        </w:rPr>
        <w:t>el recurrente</w:t>
      </w:r>
      <w:r w:rsidR="006F1E06" w:rsidRPr="00BF6C04">
        <w:rPr>
          <w:rFonts w:ascii="Palatino Linotype" w:hAnsi="Palatino Linotype" w:cs="Arial"/>
          <w:sz w:val="24"/>
          <w:szCs w:val="24"/>
        </w:rPr>
        <w:t xml:space="preserve"> fue </w:t>
      </w:r>
      <w:r w:rsidR="00B761F4" w:rsidRPr="00BF6C04">
        <w:rPr>
          <w:rFonts w:ascii="Palatino Linotype" w:hAnsi="Palatino Linotype" w:cs="Arial"/>
          <w:sz w:val="24"/>
          <w:szCs w:val="24"/>
        </w:rPr>
        <w:t>omiso</w:t>
      </w:r>
      <w:r w:rsidR="006F1E06" w:rsidRPr="00BF6C04">
        <w:rPr>
          <w:rFonts w:ascii="Palatino Linotype" w:hAnsi="Palatino Linotype" w:cs="Arial"/>
          <w:sz w:val="24"/>
          <w:szCs w:val="24"/>
        </w:rPr>
        <w:t xml:space="preserve"> en ofrecer pruebas o expresar alegatos; en términos del artículo 185 fracciones II de la ley que nos ocupa. Por su parte, el </w:t>
      </w:r>
      <w:r w:rsidR="009051D9" w:rsidRPr="00BF6C04">
        <w:rPr>
          <w:rFonts w:ascii="Palatino Linotype" w:hAnsi="Palatino Linotype" w:cs="Arial"/>
          <w:b/>
          <w:sz w:val="24"/>
          <w:szCs w:val="24"/>
        </w:rPr>
        <w:t>SUJETO OBLIGADO</w:t>
      </w:r>
      <w:r w:rsidR="006F1E06" w:rsidRPr="00BF6C04">
        <w:rPr>
          <w:rFonts w:ascii="Palatino Linotype" w:hAnsi="Palatino Linotype" w:cs="Arial"/>
          <w:b/>
          <w:sz w:val="24"/>
          <w:szCs w:val="24"/>
        </w:rPr>
        <w:t xml:space="preserve"> </w:t>
      </w:r>
      <w:r w:rsidR="006F1E06" w:rsidRPr="00BF6C04">
        <w:rPr>
          <w:rFonts w:ascii="Palatino Linotype" w:hAnsi="Palatino Linotype" w:cs="Arial"/>
          <w:sz w:val="24"/>
          <w:szCs w:val="24"/>
        </w:rPr>
        <w:t>de igual forma, fue omiso en presentar el Informe Justificado</w:t>
      </w:r>
      <w:r w:rsidR="00B43253" w:rsidRPr="00BF6C04">
        <w:rPr>
          <w:rFonts w:ascii="Palatino Linotype" w:hAnsi="Palatino Linotype" w:cs="Arial"/>
          <w:sz w:val="24"/>
          <w:szCs w:val="24"/>
        </w:rPr>
        <w:t xml:space="preserve"> correspondiente.</w:t>
      </w:r>
    </w:p>
    <w:p w:rsidR="00674FC1" w:rsidRPr="00BF6C04" w:rsidRDefault="00674FC1"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BF6C04">
        <w:rPr>
          <w:noProof/>
          <w:lang w:val="es-MX" w:eastAsia="es-MX"/>
        </w:rPr>
        <w:drawing>
          <wp:inline distT="0" distB="0" distL="0" distR="0" wp14:anchorId="784DFD1D" wp14:editId="5A15B34E">
            <wp:extent cx="5551170" cy="137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334" t="29168" r="14815" b="36002"/>
                    <a:stretch/>
                  </pic:blipFill>
                  <pic:spPr bwMode="auto">
                    <a:xfrm>
                      <a:off x="0" y="0"/>
                      <a:ext cx="5567634" cy="1375668"/>
                    </a:xfrm>
                    <a:prstGeom prst="rect">
                      <a:avLst/>
                    </a:prstGeom>
                    <a:ln>
                      <a:noFill/>
                    </a:ln>
                    <a:extLst>
                      <a:ext uri="{53640926-AAD7-44D8-BBD7-CCE9431645EC}">
                        <a14:shadowObscured xmlns:a14="http://schemas.microsoft.com/office/drawing/2010/main"/>
                      </a:ext>
                    </a:extLst>
                  </pic:spPr>
                </pic:pic>
              </a:graphicData>
            </a:graphic>
          </wp:inline>
        </w:drawing>
      </w:r>
    </w:p>
    <w:p w:rsidR="00674FC1" w:rsidRPr="00BF6C04" w:rsidRDefault="00674FC1"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BF6C04">
        <w:rPr>
          <w:noProof/>
          <w:lang w:val="es-MX" w:eastAsia="es-MX"/>
        </w:rPr>
        <w:drawing>
          <wp:inline distT="0" distB="0" distL="0" distR="0" wp14:anchorId="46C072B9" wp14:editId="092FB086">
            <wp:extent cx="5568950" cy="14903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759" t="42151" r="14922" b="24147"/>
                    <a:stretch/>
                  </pic:blipFill>
                  <pic:spPr bwMode="auto">
                    <a:xfrm>
                      <a:off x="0" y="0"/>
                      <a:ext cx="5588448" cy="1495571"/>
                    </a:xfrm>
                    <a:prstGeom prst="rect">
                      <a:avLst/>
                    </a:prstGeom>
                    <a:ln>
                      <a:noFill/>
                    </a:ln>
                    <a:extLst>
                      <a:ext uri="{53640926-AAD7-44D8-BBD7-CCE9431645EC}">
                        <a14:shadowObscured xmlns:a14="http://schemas.microsoft.com/office/drawing/2010/main"/>
                      </a:ext>
                    </a:extLst>
                  </pic:spPr>
                </pic:pic>
              </a:graphicData>
            </a:graphic>
          </wp:inline>
        </w:drawing>
      </w:r>
    </w:p>
    <w:p w:rsidR="00674FC1" w:rsidRPr="00BF6C04" w:rsidRDefault="00674FC1"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BF6C04">
        <w:rPr>
          <w:noProof/>
          <w:lang w:val="es-MX" w:eastAsia="es-MX"/>
        </w:rPr>
        <w:drawing>
          <wp:inline distT="0" distB="0" distL="0" distR="0" wp14:anchorId="2ABB809D" wp14:editId="52499E51">
            <wp:extent cx="5551168" cy="1383476"/>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654" t="45162" r="14593" b="21884"/>
                    <a:stretch/>
                  </pic:blipFill>
                  <pic:spPr bwMode="auto">
                    <a:xfrm>
                      <a:off x="0" y="0"/>
                      <a:ext cx="5568716" cy="1387849"/>
                    </a:xfrm>
                    <a:prstGeom prst="rect">
                      <a:avLst/>
                    </a:prstGeom>
                    <a:ln>
                      <a:noFill/>
                    </a:ln>
                    <a:extLst>
                      <a:ext uri="{53640926-AAD7-44D8-BBD7-CCE9431645EC}">
                        <a14:shadowObscured xmlns:a14="http://schemas.microsoft.com/office/drawing/2010/main"/>
                      </a:ext>
                    </a:extLst>
                  </pic:spPr>
                </pic:pic>
              </a:graphicData>
            </a:graphic>
          </wp:inline>
        </w:drawing>
      </w:r>
    </w:p>
    <w:p w:rsidR="009051D9" w:rsidRPr="00BF6C04" w:rsidRDefault="00A363C1" w:rsidP="009051D9">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b/>
        </w:rPr>
        <w:lastRenderedPageBreak/>
        <w:t>8</w:t>
      </w:r>
      <w:r w:rsidR="009051D9" w:rsidRPr="00BF6C04">
        <w:rPr>
          <w:rFonts w:ascii="Palatino Linotype" w:eastAsia="Palatino Linotype" w:hAnsi="Palatino Linotype" w:cs="Palatino Linotype"/>
          <w:b/>
        </w:rPr>
        <w:t>.-</w:t>
      </w:r>
      <w:r w:rsidR="009051D9" w:rsidRPr="00BF6C04">
        <w:rPr>
          <w:rFonts w:ascii="Palatino Linotype" w:eastAsia="Palatino Linotype" w:hAnsi="Palatino Linotype" w:cs="Palatino Linotype"/>
        </w:rPr>
        <w:t xml:space="preserve"> </w:t>
      </w:r>
      <w:r w:rsidR="009051D9" w:rsidRPr="00BF6C04">
        <w:rPr>
          <w:rFonts w:ascii="Palatino Linotype" w:eastAsia="Palatino Linotype" w:hAnsi="Palatino Linotype" w:cs="Palatino Linotype"/>
          <w:b/>
        </w:rPr>
        <w:t>Ampliación del plazo.</w:t>
      </w:r>
      <w:r w:rsidR="000D4BD9" w:rsidRPr="00BF6C04">
        <w:rPr>
          <w:rFonts w:ascii="Palatino Linotype" w:eastAsia="Palatino Linotype" w:hAnsi="Palatino Linotype" w:cs="Palatino Linotype"/>
        </w:rPr>
        <w:t xml:space="preserve"> En fecha diecisiete</w:t>
      </w:r>
      <w:r w:rsidR="009051D9" w:rsidRPr="00BF6C04">
        <w:rPr>
          <w:rFonts w:ascii="Palatino Linotype" w:eastAsia="Palatino Linotype" w:hAnsi="Palatino Linotype" w:cs="Palatino Linotype"/>
        </w:rPr>
        <w:t xml:space="preserve"> de</w:t>
      </w:r>
      <w:r w:rsidR="000D4BD9" w:rsidRPr="00BF6C04">
        <w:rPr>
          <w:rFonts w:ascii="Palatino Linotype" w:eastAsia="Palatino Linotype" w:hAnsi="Palatino Linotype" w:cs="Palatino Linotype"/>
        </w:rPr>
        <w:t xml:space="preserve"> enero del año dos mil veintitrés</w:t>
      </w:r>
      <w:r w:rsidR="009051D9" w:rsidRPr="00BF6C0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0E7326" w:rsidRPr="00BF6C04">
        <w:rPr>
          <w:rFonts w:ascii="Palatino Linotype" w:eastAsia="Palatino Linotype" w:hAnsi="Palatino Linotype" w:cs="Palatino Linotype"/>
        </w:rPr>
        <w:t>en el año 2021</w:t>
      </w:r>
      <w:r w:rsidRPr="00BF6C04">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strike/>
        </w:rPr>
      </w:pPr>
      <w:r w:rsidRPr="00BF6C0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numPr>
          <w:ilvl w:val="0"/>
          <w:numId w:val="19"/>
        </w:num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9051D9" w:rsidRPr="00BF6C04" w:rsidRDefault="009051D9" w:rsidP="009051D9">
      <w:pPr>
        <w:spacing w:line="360" w:lineRule="auto"/>
        <w:ind w:left="927"/>
        <w:jc w:val="both"/>
        <w:rPr>
          <w:rFonts w:ascii="Palatino Linotype" w:eastAsia="Palatino Linotype" w:hAnsi="Palatino Linotype" w:cs="Palatino Linotype"/>
        </w:rPr>
      </w:pPr>
    </w:p>
    <w:p w:rsidR="009051D9" w:rsidRPr="00BF6C04" w:rsidRDefault="009051D9" w:rsidP="009051D9">
      <w:pPr>
        <w:numPr>
          <w:ilvl w:val="0"/>
          <w:numId w:val="19"/>
        </w:num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Actividad Procesal del interesado. Acciones u omisiones del interesado.</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numPr>
          <w:ilvl w:val="0"/>
          <w:numId w:val="19"/>
        </w:num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Conducta de la Autoridad: Las Acciones u omisiones realizadas en el procedimiento. Así como si la autoridad actuó con la debida diligencia.</w:t>
      </w:r>
    </w:p>
    <w:p w:rsidR="009051D9" w:rsidRPr="00BF6C04" w:rsidRDefault="009051D9" w:rsidP="009051D9">
      <w:pPr>
        <w:spacing w:line="360" w:lineRule="auto"/>
        <w:ind w:left="708"/>
        <w:rPr>
          <w:rFonts w:ascii="Palatino Linotype" w:eastAsia="Palatino Linotype" w:hAnsi="Palatino Linotype" w:cs="Palatino Linotype"/>
        </w:rPr>
      </w:pPr>
    </w:p>
    <w:p w:rsidR="009051D9" w:rsidRPr="00BF6C04" w:rsidRDefault="009051D9" w:rsidP="009051D9">
      <w:pPr>
        <w:spacing w:line="360" w:lineRule="auto"/>
        <w:ind w:left="567"/>
        <w:jc w:val="both"/>
        <w:rPr>
          <w:rFonts w:ascii="Palatino Linotype" w:eastAsia="Palatino Linotype" w:hAnsi="Palatino Linotype" w:cs="Palatino Linotype"/>
        </w:rPr>
      </w:pPr>
      <w:r w:rsidRPr="00BF6C04">
        <w:rPr>
          <w:rFonts w:ascii="Palatino Linotype" w:eastAsia="Palatino Linotype" w:hAnsi="Palatino Linotype" w:cs="Palatino Linotype"/>
        </w:rPr>
        <w:t>d) La afectación generada en la situación jurídica de la persona involucrada en el proceso: Violación a sus derechos humanos.</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F6C04">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b/>
        </w:rPr>
      </w:pPr>
      <w:r w:rsidRPr="00BF6C04">
        <w:rPr>
          <w:rFonts w:ascii="Palatino Linotype" w:eastAsia="Palatino Linotype" w:hAnsi="Palatino Linotype" w:cs="Palatino Linotype"/>
        </w:rPr>
        <w:t>Argumento que encuentra sustento en la jurisprudencia P</w:t>
      </w:r>
      <w:proofErr w:type="gramStart"/>
      <w:r w:rsidRPr="00BF6C04">
        <w:rPr>
          <w:rFonts w:ascii="Palatino Linotype" w:eastAsia="Palatino Linotype" w:hAnsi="Palatino Linotype" w:cs="Palatino Linotype"/>
        </w:rPr>
        <w:t>./</w:t>
      </w:r>
      <w:proofErr w:type="gramEnd"/>
      <w:r w:rsidRPr="00BF6C04">
        <w:rPr>
          <w:rFonts w:ascii="Palatino Linotype" w:eastAsia="Palatino Linotype" w:hAnsi="Palatino Linotype" w:cs="Palatino Linotype"/>
        </w:rPr>
        <w:t xml:space="preserve">J. 32/92 emitida por el Pleno de la Suprema Corte de Justicia de la Nación de rubro </w:t>
      </w:r>
      <w:r w:rsidRPr="00BF6C0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F6C04">
        <w:rPr>
          <w:rFonts w:ascii="Palatino Linotype" w:eastAsia="Palatino Linotype" w:hAnsi="Palatino Linotype" w:cs="Palatino Linotype"/>
        </w:rPr>
        <w:t>, visible en la Gaceta del Seminario Judicial de la Federación con el registro digital 205635.</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 </w:t>
      </w:r>
      <w:r w:rsidRPr="00BF6C04">
        <w:rPr>
          <w:rFonts w:ascii="Palatino Linotype" w:eastAsia="Palatino Linotype" w:hAnsi="Palatino Linotype" w:cs="Palatino Linotype"/>
          <w:i/>
        </w:rPr>
        <w:t>“PLAZO RAZONABLE PARA RESOLVER. DIMENSIÓN Y EFECTOS DE ESTE CONCEPTO CUANDO SE ADUCE EXCESIVA CARGA DE TRABAJO.”</w:t>
      </w:r>
      <w:r w:rsidRPr="00BF6C04">
        <w:rPr>
          <w:rFonts w:ascii="Palatino Linotype" w:eastAsia="Palatino Linotype" w:hAnsi="Palatino Linotype" w:cs="Palatino Linotype"/>
        </w:rPr>
        <w:t xml:space="preserve"> consultable en el Seminario Judicial de la Federación y su gaceta, con el registro digital 2002351.</w:t>
      </w:r>
    </w:p>
    <w:p w:rsidR="009051D9" w:rsidRPr="00BF6C04" w:rsidRDefault="009051D9" w:rsidP="009051D9">
      <w:pPr>
        <w:spacing w:line="360" w:lineRule="auto"/>
        <w:jc w:val="both"/>
        <w:rPr>
          <w:rFonts w:ascii="Palatino Linotype" w:eastAsia="Palatino Linotype" w:hAnsi="Palatino Linotype" w:cs="Palatino Linotype"/>
          <w:b/>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i/>
        </w:rPr>
        <w:t>“PLAZO RAZONABLE PARA RESOLVER. CONCEPTO Y ELEMENTOS QUE LO INTEGRAN A LA LUZ DEL DERECHO INTERNACIONAL DE LOS DERECHOS HUMANOS.”</w:t>
      </w:r>
      <w:r w:rsidRPr="00BF6C04">
        <w:rPr>
          <w:rFonts w:ascii="Palatino Linotype" w:eastAsia="Palatino Linotype" w:hAnsi="Palatino Linotype" w:cs="Palatino Linotype"/>
        </w:rPr>
        <w:t>, visible en el Seminario Judicial de la Federación y su gaceta, con el registro digital 2002350.</w:t>
      </w:r>
    </w:p>
    <w:p w:rsidR="009051D9" w:rsidRPr="00BF6C04" w:rsidRDefault="009051D9" w:rsidP="009051D9">
      <w:pPr>
        <w:spacing w:line="360" w:lineRule="auto"/>
        <w:jc w:val="both"/>
        <w:rPr>
          <w:rFonts w:ascii="Palatino Linotype" w:eastAsia="Palatino Linotype" w:hAnsi="Palatino Linotype" w:cs="Palatino Linotype"/>
        </w:rPr>
      </w:pPr>
    </w:p>
    <w:p w:rsidR="009051D9" w:rsidRPr="00BF6C04" w:rsidRDefault="009051D9" w:rsidP="009051D9">
      <w:pPr>
        <w:spacing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9051D9" w:rsidRPr="00BF6C04" w:rsidRDefault="00A363C1" w:rsidP="009051D9">
      <w:pPr>
        <w:spacing w:before="240" w:after="240"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b/>
        </w:rPr>
        <w:t>9</w:t>
      </w:r>
      <w:r w:rsidR="009051D9" w:rsidRPr="00BF6C04">
        <w:rPr>
          <w:rFonts w:ascii="Palatino Linotype" w:eastAsia="Palatino Linotype" w:hAnsi="Palatino Linotype" w:cs="Palatino Linotype"/>
          <w:b/>
        </w:rPr>
        <w:t xml:space="preserve">. Cierre de instrucción. </w:t>
      </w:r>
      <w:r w:rsidR="009051D9" w:rsidRPr="00BF6C0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D7619" w:rsidRPr="00BF6C04">
        <w:rPr>
          <w:rFonts w:ascii="Palatino Linotype" w:eastAsia="Palatino Linotype" w:hAnsi="Palatino Linotype" w:cs="Palatino Linotype"/>
          <w:b/>
        </w:rPr>
        <w:t>diecinueve</w:t>
      </w:r>
      <w:r w:rsidR="009051D9" w:rsidRPr="00BF6C04">
        <w:rPr>
          <w:rFonts w:ascii="Palatino Linotype" w:eastAsia="Palatino Linotype" w:hAnsi="Palatino Linotype" w:cs="Palatino Linotype"/>
          <w:b/>
        </w:rPr>
        <w:t xml:space="preserve"> de enero de dos mil veintitrés</w:t>
      </w:r>
      <w:r w:rsidR="009051D9" w:rsidRPr="00BF6C0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051D9" w:rsidRPr="00BF6C04" w:rsidRDefault="009051D9" w:rsidP="009051D9">
      <w:pPr>
        <w:spacing w:before="240" w:after="240"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AC3C64" w:rsidRPr="00BF6C04"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BF6C04">
        <w:rPr>
          <w:rFonts w:ascii="Palatino Linotype" w:hAnsi="Palatino Linotype" w:cs="Arial"/>
          <w:b/>
        </w:rPr>
        <w:t>C O N S I D E R A N D O:</w:t>
      </w:r>
    </w:p>
    <w:p w:rsidR="00AC3C64" w:rsidRPr="00BF6C04" w:rsidRDefault="00AC3C64" w:rsidP="00AC3C64">
      <w:pPr>
        <w:spacing w:before="240" w:after="240" w:line="360" w:lineRule="auto"/>
        <w:jc w:val="both"/>
        <w:rPr>
          <w:rFonts w:ascii="Palatino Linotype" w:hAnsi="Palatino Linotype"/>
          <w:shd w:val="clear" w:color="auto" w:fill="FFFFFF"/>
        </w:rPr>
      </w:pPr>
      <w:r w:rsidRPr="00BF6C04">
        <w:rPr>
          <w:rFonts w:ascii="Palatino Linotype" w:hAnsi="Palatino Linotype" w:cs="Arial"/>
          <w:b/>
        </w:rPr>
        <w:t xml:space="preserve">Primero. Competencia. </w:t>
      </w:r>
      <w:r w:rsidRPr="00BF6C04">
        <w:rPr>
          <w:rFonts w:ascii="Palatino Linotype" w:hAnsi="Palatino Linotype"/>
          <w:shd w:val="clear" w:color="auto" w:fill="FFFFFF"/>
        </w:rPr>
        <w:t>El Instituto de Transparencia, Acceso a la Información Pública y Protección de Datos Personales del Estado de México y Municipios, es compe</w:t>
      </w:r>
      <w:r w:rsidR="00260DDF" w:rsidRPr="00BF6C04">
        <w:rPr>
          <w:rFonts w:ascii="Palatino Linotype" w:hAnsi="Palatino Linotype"/>
          <w:shd w:val="clear" w:color="auto" w:fill="FFFFFF"/>
        </w:rPr>
        <w:t>tente para conocer y resolver los</w:t>
      </w:r>
      <w:r w:rsidRPr="00BF6C04">
        <w:rPr>
          <w:rFonts w:ascii="Palatino Linotype" w:hAnsi="Palatino Linotype"/>
          <w:shd w:val="clear" w:color="auto" w:fill="FFFFFF"/>
        </w:rPr>
        <w:t xml:space="preserve"> presente</w:t>
      </w:r>
      <w:r w:rsidR="00260DDF" w:rsidRPr="00BF6C04">
        <w:rPr>
          <w:rFonts w:ascii="Palatino Linotype" w:hAnsi="Palatino Linotype"/>
          <w:shd w:val="clear" w:color="auto" w:fill="FFFFFF"/>
        </w:rPr>
        <w:t>s</w:t>
      </w:r>
      <w:r w:rsidRPr="00BF6C04">
        <w:rPr>
          <w:rFonts w:ascii="Palatino Linotype" w:hAnsi="Palatino Linotype"/>
          <w:shd w:val="clear" w:color="auto" w:fill="FFFFFF"/>
        </w:rPr>
        <w:t xml:space="preserve"> recurso</w:t>
      </w:r>
      <w:r w:rsidR="00260DDF" w:rsidRPr="00BF6C04">
        <w:rPr>
          <w:rFonts w:ascii="Palatino Linotype" w:hAnsi="Palatino Linotype"/>
          <w:shd w:val="clear" w:color="auto" w:fill="FFFFFF"/>
        </w:rPr>
        <w:t>s</w:t>
      </w:r>
      <w:r w:rsidRPr="00BF6C04">
        <w:rPr>
          <w:rFonts w:ascii="Palatino Linotype" w:hAnsi="Palatino Linotype"/>
          <w:shd w:val="clear" w:color="auto" w:fill="FFFFFF"/>
        </w:rPr>
        <w:t xml:space="preserve"> de revisión interpuesto</w:t>
      </w:r>
      <w:r w:rsidR="00984800" w:rsidRPr="00BF6C04">
        <w:rPr>
          <w:rFonts w:ascii="Palatino Linotype" w:hAnsi="Palatino Linotype"/>
          <w:shd w:val="clear" w:color="auto" w:fill="FFFFFF"/>
        </w:rPr>
        <w:t>s</w:t>
      </w:r>
      <w:r w:rsidRPr="00BF6C04">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BB2163" w:rsidRPr="00BF6C04">
        <w:rPr>
          <w:rFonts w:ascii="Palatino Linotype" w:hAnsi="Palatino Linotype"/>
          <w:shd w:val="clear" w:color="auto" w:fill="FFFFFF"/>
        </w:rPr>
        <w:t>trigésimo, trigésimo primero y trigésimo segundo</w:t>
      </w:r>
      <w:r w:rsidRPr="00BF6C04">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sidRPr="00BF6C04">
        <w:rPr>
          <w:rStyle w:val="apple-converted-space"/>
          <w:rFonts w:ascii="Palatino Linotype" w:hAnsi="Palatino Linotype"/>
          <w:shd w:val="clear" w:color="auto" w:fill="FFFFFF"/>
        </w:rPr>
        <w:t xml:space="preserve"> </w:t>
      </w:r>
      <w:r w:rsidRPr="00BF6C04">
        <w:rPr>
          <w:rFonts w:ascii="Palatino Linotype" w:hAnsi="Palatino Linotype" w:cs="Arial"/>
        </w:rPr>
        <w:t xml:space="preserve">9, fracciones I y XXIV y 11 </w:t>
      </w:r>
      <w:r w:rsidRPr="00BF6C04">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653FC" w:rsidRPr="00BF6C04" w:rsidRDefault="00AC3C64" w:rsidP="00C16F76">
      <w:pPr>
        <w:spacing w:before="240" w:after="240" w:line="360" w:lineRule="auto"/>
        <w:jc w:val="both"/>
        <w:rPr>
          <w:rFonts w:ascii="Palatino Linotype" w:hAnsi="Palatino Linotype" w:cs="Arial"/>
        </w:rPr>
      </w:pPr>
      <w:r w:rsidRPr="00BF6C04">
        <w:rPr>
          <w:rFonts w:ascii="Palatino Linotype" w:hAnsi="Palatino Linotype" w:cs="Arial"/>
          <w:b/>
        </w:rPr>
        <w:t>Segundo. O</w:t>
      </w:r>
      <w:r w:rsidR="00260DDF" w:rsidRPr="00BF6C04">
        <w:rPr>
          <w:rFonts w:ascii="Palatino Linotype" w:hAnsi="Palatino Linotype" w:cs="Arial"/>
          <w:b/>
        </w:rPr>
        <w:t xml:space="preserve">portunidad y </w:t>
      </w:r>
      <w:proofErr w:type="spellStart"/>
      <w:r w:rsidR="00260DDF" w:rsidRPr="00BF6C04">
        <w:rPr>
          <w:rFonts w:ascii="Palatino Linotype" w:hAnsi="Palatino Linotype" w:cs="Arial"/>
          <w:b/>
        </w:rPr>
        <w:t>Procedibilidad</w:t>
      </w:r>
      <w:proofErr w:type="spellEnd"/>
      <w:r w:rsidR="00260DDF" w:rsidRPr="00BF6C04">
        <w:rPr>
          <w:rFonts w:ascii="Palatino Linotype" w:hAnsi="Palatino Linotype" w:cs="Arial"/>
          <w:b/>
        </w:rPr>
        <w:t xml:space="preserve"> de los </w:t>
      </w:r>
      <w:r w:rsidR="00F535D9" w:rsidRPr="00BF6C04">
        <w:rPr>
          <w:rFonts w:ascii="Palatino Linotype" w:hAnsi="Palatino Linotype" w:cs="Arial"/>
          <w:b/>
        </w:rPr>
        <w:t>Recurso</w:t>
      </w:r>
      <w:r w:rsidR="00260DDF" w:rsidRPr="00BF6C04">
        <w:rPr>
          <w:rFonts w:ascii="Palatino Linotype" w:hAnsi="Palatino Linotype" w:cs="Arial"/>
          <w:b/>
        </w:rPr>
        <w:t>s</w:t>
      </w:r>
      <w:r w:rsidR="00F535D9" w:rsidRPr="00BF6C04">
        <w:rPr>
          <w:rFonts w:ascii="Palatino Linotype" w:hAnsi="Palatino Linotype" w:cs="Arial"/>
          <w:b/>
        </w:rPr>
        <w:t xml:space="preserve"> de</w:t>
      </w:r>
      <w:r w:rsidRPr="00BF6C04">
        <w:rPr>
          <w:rFonts w:ascii="Palatino Linotype" w:hAnsi="Palatino Linotype" w:cs="Arial"/>
          <w:b/>
        </w:rPr>
        <w:t xml:space="preserve"> Revisión</w:t>
      </w:r>
      <w:r w:rsidRPr="00BF6C04">
        <w:rPr>
          <w:rFonts w:ascii="Palatino Linotype" w:hAnsi="Palatino Linotype" w:cs="Arial"/>
        </w:rPr>
        <w:t xml:space="preserve">. </w:t>
      </w:r>
    </w:p>
    <w:p w:rsidR="00C16F76" w:rsidRPr="00BF6C04" w:rsidRDefault="00AC3C64" w:rsidP="00C16F76">
      <w:pPr>
        <w:spacing w:before="240" w:after="240" w:line="360" w:lineRule="auto"/>
        <w:jc w:val="both"/>
        <w:rPr>
          <w:rFonts w:ascii="Palatino Linotype" w:eastAsia="Palatino Linotype" w:hAnsi="Palatino Linotype" w:cs="Palatino Linotype"/>
          <w:lang w:eastAsia="es-MX"/>
        </w:rPr>
      </w:pPr>
      <w:r w:rsidRPr="00BF6C04">
        <w:rPr>
          <w:rFonts w:ascii="Palatino Linotype" w:hAnsi="Palatino Linotype" w:cs="Arial"/>
        </w:rPr>
        <w:t>De con</w:t>
      </w:r>
      <w:r w:rsidR="00EE288F" w:rsidRPr="00BF6C04">
        <w:rPr>
          <w:rFonts w:ascii="Palatino Linotype" w:hAnsi="Palatino Linotype" w:cs="Arial"/>
        </w:rPr>
        <w:t>formidad con los requisitos de O</w:t>
      </w:r>
      <w:r w:rsidRPr="00BF6C04">
        <w:rPr>
          <w:rFonts w:ascii="Palatino Linotype" w:hAnsi="Palatino Linotype" w:cs="Arial"/>
        </w:rPr>
        <w:t xml:space="preserve">portunidad y </w:t>
      </w:r>
      <w:proofErr w:type="spellStart"/>
      <w:r w:rsidR="00AD0AB9" w:rsidRPr="00BF6C04">
        <w:rPr>
          <w:rFonts w:ascii="Palatino Linotype" w:hAnsi="Palatino Linotype" w:cs="Arial"/>
        </w:rPr>
        <w:t>Procedibilidad</w:t>
      </w:r>
      <w:proofErr w:type="spellEnd"/>
      <w:r w:rsidRPr="00BF6C04">
        <w:rPr>
          <w:rFonts w:ascii="Palatino Linotype" w:hAnsi="Palatino Linotype" w:cs="Arial"/>
        </w:rPr>
        <w:t xml:space="preserve"> que deben reunir los recursos de revisión interpuestos, previstos en los artículos 178 y 180 de la </w:t>
      </w:r>
      <w:r w:rsidRPr="00BF6C04">
        <w:rPr>
          <w:rFonts w:ascii="Palatino Linotype" w:hAnsi="Palatino Linotype" w:cs="Arial"/>
          <w:lang w:eastAsia="es-MX"/>
        </w:rPr>
        <w:t xml:space="preserve">Ley de Transparencia y Acceso a la Información Pública del Estado de México y Municipios; en la especie </w:t>
      </w:r>
      <w:r w:rsidR="00510F8E" w:rsidRPr="00BF6C04">
        <w:rPr>
          <w:rFonts w:ascii="Palatino Linotype" w:hAnsi="Palatino Linotype" w:cs="Arial"/>
          <w:lang w:eastAsia="es-MX"/>
        </w:rPr>
        <w:t>se advierte que los</w:t>
      </w:r>
      <w:r w:rsidRPr="00BF6C04">
        <w:rPr>
          <w:rFonts w:ascii="Palatino Linotype" w:hAnsi="Palatino Linotype" w:cs="Arial"/>
          <w:lang w:eastAsia="es-MX"/>
        </w:rPr>
        <w:t xml:space="preserve"> presente</w:t>
      </w:r>
      <w:r w:rsidR="00510F8E" w:rsidRPr="00BF6C04">
        <w:rPr>
          <w:rFonts w:ascii="Palatino Linotype" w:hAnsi="Palatino Linotype" w:cs="Arial"/>
          <w:lang w:eastAsia="es-MX"/>
        </w:rPr>
        <w:t>s</w:t>
      </w:r>
      <w:r w:rsidRPr="00BF6C04">
        <w:rPr>
          <w:rFonts w:ascii="Palatino Linotype" w:hAnsi="Palatino Linotype" w:cs="Arial"/>
          <w:lang w:eastAsia="es-MX"/>
        </w:rPr>
        <w:t xml:space="preserve"> medio</w:t>
      </w:r>
      <w:r w:rsidR="00510F8E" w:rsidRPr="00BF6C04">
        <w:rPr>
          <w:rFonts w:ascii="Palatino Linotype" w:hAnsi="Palatino Linotype" w:cs="Arial"/>
          <w:lang w:eastAsia="es-MX"/>
        </w:rPr>
        <w:t>s</w:t>
      </w:r>
      <w:r w:rsidRPr="00BF6C04">
        <w:rPr>
          <w:rFonts w:ascii="Palatino Linotype" w:hAnsi="Palatino Linotype" w:cs="Arial"/>
          <w:lang w:eastAsia="es-MX"/>
        </w:rPr>
        <w:t xml:space="preserve"> de impugnación fue</w:t>
      </w:r>
      <w:r w:rsidR="00510F8E" w:rsidRPr="00BF6C04">
        <w:rPr>
          <w:rFonts w:ascii="Palatino Linotype" w:hAnsi="Palatino Linotype" w:cs="Arial"/>
          <w:lang w:eastAsia="es-MX"/>
        </w:rPr>
        <w:t>ron</w:t>
      </w:r>
      <w:r w:rsidRPr="00BF6C04">
        <w:rPr>
          <w:rFonts w:ascii="Palatino Linotype" w:hAnsi="Palatino Linotype" w:cs="Arial"/>
          <w:lang w:eastAsia="es-MX"/>
        </w:rPr>
        <w:t xml:space="preserve"> interpuesto</w:t>
      </w:r>
      <w:r w:rsidR="00510F8E" w:rsidRPr="00BF6C04">
        <w:rPr>
          <w:rFonts w:ascii="Palatino Linotype" w:hAnsi="Palatino Linotype" w:cs="Arial"/>
          <w:lang w:eastAsia="es-MX"/>
        </w:rPr>
        <w:t>s</w:t>
      </w:r>
      <w:r w:rsidRPr="00BF6C04">
        <w:rPr>
          <w:rFonts w:ascii="Palatino Linotype" w:hAnsi="Palatino Linotype" w:cs="Arial"/>
          <w:lang w:eastAsia="es-MX"/>
        </w:rPr>
        <w:t xml:space="preserve"> dentro del plazo de quince días previsto en el </w:t>
      </w:r>
      <w:r w:rsidR="00EE288F" w:rsidRPr="00BF6C04">
        <w:rPr>
          <w:rFonts w:ascii="Palatino Linotype" w:hAnsi="Palatino Linotype" w:cs="Arial"/>
          <w:lang w:eastAsia="es-MX"/>
        </w:rPr>
        <w:t>primer artículo de referencia;</w:t>
      </w:r>
      <w:r w:rsidR="00174388" w:rsidRPr="00BF6C04">
        <w:rPr>
          <w:rFonts w:ascii="Palatino Linotype" w:hAnsi="Palatino Linotype" w:cs="Arial"/>
          <w:lang w:eastAsia="es-MX"/>
        </w:rPr>
        <w:t xml:space="preserve"> toda vez que el </w:t>
      </w:r>
      <w:r w:rsidR="007D7619" w:rsidRPr="00BF6C04">
        <w:rPr>
          <w:rFonts w:ascii="Palatino Linotype" w:hAnsi="Palatino Linotype" w:cs="Arial"/>
          <w:b/>
          <w:lang w:eastAsia="es-MX"/>
        </w:rPr>
        <w:t>SUJETO OBLIGADO</w:t>
      </w:r>
      <w:r w:rsidR="007D7619" w:rsidRPr="00BF6C04">
        <w:rPr>
          <w:rFonts w:ascii="Palatino Linotype" w:hAnsi="Palatino Linotype" w:cs="Arial"/>
          <w:lang w:eastAsia="es-MX"/>
        </w:rPr>
        <w:t xml:space="preserve"> </w:t>
      </w:r>
      <w:r w:rsidR="00174388" w:rsidRPr="00BF6C04">
        <w:rPr>
          <w:rFonts w:ascii="Palatino Linotype" w:hAnsi="Palatino Linotype" w:cs="Arial"/>
          <w:lang w:eastAsia="es-MX"/>
        </w:rPr>
        <w:t>emitió su</w:t>
      </w:r>
      <w:r w:rsidR="00510F8E" w:rsidRPr="00BF6C04">
        <w:rPr>
          <w:rFonts w:ascii="Palatino Linotype" w:hAnsi="Palatino Linotype" w:cs="Arial"/>
          <w:lang w:eastAsia="es-MX"/>
        </w:rPr>
        <w:t>s</w:t>
      </w:r>
      <w:r w:rsidR="00174388" w:rsidRPr="00BF6C04">
        <w:rPr>
          <w:rFonts w:ascii="Palatino Linotype" w:hAnsi="Palatino Linotype" w:cs="Arial"/>
          <w:lang w:eastAsia="es-MX"/>
        </w:rPr>
        <w:t xml:space="preserve"> respuesta</w:t>
      </w:r>
      <w:r w:rsidR="00510F8E" w:rsidRPr="00BF6C04">
        <w:rPr>
          <w:rFonts w:ascii="Palatino Linotype" w:hAnsi="Palatino Linotype" w:cs="Arial"/>
          <w:lang w:eastAsia="es-MX"/>
        </w:rPr>
        <w:t>s</w:t>
      </w:r>
      <w:r w:rsidR="00174388" w:rsidRPr="00BF6C04">
        <w:rPr>
          <w:rFonts w:ascii="Palatino Linotype" w:hAnsi="Palatino Linotype" w:cs="Arial"/>
          <w:lang w:eastAsia="es-MX"/>
        </w:rPr>
        <w:t xml:space="preserve"> a la</w:t>
      </w:r>
      <w:r w:rsidR="00984800" w:rsidRPr="00BF6C04">
        <w:rPr>
          <w:rFonts w:ascii="Palatino Linotype" w:hAnsi="Palatino Linotype" w:cs="Arial"/>
          <w:lang w:eastAsia="es-MX"/>
        </w:rPr>
        <w:t>s</w:t>
      </w:r>
      <w:r w:rsidR="00174388" w:rsidRPr="00BF6C04">
        <w:rPr>
          <w:rFonts w:ascii="Palatino Linotype" w:hAnsi="Palatino Linotype" w:cs="Arial"/>
          <w:lang w:eastAsia="es-MX"/>
        </w:rPr>
        <w:t xml:space="preserve"> solicitud</w:t>
      </w:r>
      <w:r w:rsidR="00984800" w:rsidRPr="00BF6C04">
        <w:rPr>
          <w:rFonts w:ascii="Palatino Linotype" w:hAnsi="Palatino Linotype" w:cs="Arial"/>
          <w:lang w:eastAsia="es-MX"/>
        </w:rPr>
        <w:t>es</w:t>
      </w:r>
      <w:r w:rsidR="00174388" w:rsidRPr="00BF6C04">
        <w:rPr>
          <w:rFonts w:ascii="Palatino Linotype" w:hAnsi="Palatino Linotype" w:cs="Arial"/>
          <w:lang w:eastAsia="es-MX"/>
        </w:rPr>
        <w:t xml:space="preserve"> planteada</w:t>
      </w:r>
      <w:r w:rsidR="00984800" w:rsidRPr="00BF6C04">
        <w:rPr>
          <w:rFonts w:ascii="Palatino Linotype" w:hAnsi="Palatino Linotype" w:cs="Arial"/>
          <w:lang w:eastAsia="es-MX"/>
        </w:rPr>
        <w:t>s</w:t>
      </w:r>
      <w:r w:rsidR="00174388" w:rsidRPr="00BF6C04">
        <w:rPr>
          <w:rFonts w:ascii="Palatino Linotype" w:hAnsi="Palatino Linotype" w:cs="Arial"/>
          <w:lang w:eastAsia="es-MX"/>
        </w:rPr>
        <w:t xml:space="preserve"> por</w:t>
      </w:r>
      <w:r w:rsidR="00C16F76" w:rsidRPr="00BF6C04">
        <w:rPr>
          <w:rFonts w:ascii="Palatino Linotype" w:hAnsi="Palatino Linotype" w:cs="Arial"/>
          <w:lang w:eastAsia="es-MX"/>
        </w:rPr>
        <w:t xml:space="preserve"> el s</w:t>
      </w:r>
      <w:r w:rsidR="00FC17BE" w:rsidRPr="00BF6C04">
        <w:rPr>
          <w:rFonts w:ascii="Palatino Linotype" w:hAnsi="Palatino Linotype" w:cs="Arial"/>
          <w:lang w:eastAsia="es-MX"/>
        </w:rPr>
        <w:t xml:space="preserve">olicitante en </w:t>
      </w:r>
      <w:r w:rsidR="007D7619" w:rsidRPr="00BF6C04">
        <w:rPr>
          <w:rFonts w:ascii="Palatino Linotype" w:hAnsi="Palatino Linotype" w:cs="Arial"/>
          <w:lang w:eastAsia="es-MX"/>
        </w:rPr>
        <w:t>nueve de agosto del año dos mil veintidós</w:t>
      </w:r>
      <w:r w:rsidR="00174388" w:rsidRPr="00BF6C04">
        <w:rPr>
          <w:rFonts w:ascii="Palatino Linotype" w:hAnsi="Palatino Linotype" w:cs="Arial"/>
          <w:lang w:eastAsia="es-MX"/>
        </w:rPr>
        <w:t xml:space="preserve"> </w:t>
      </w:r>
      <w:r w:rsidR="00174388" w:rsidRPr="00BF6C04">
        <w:rPr>
          <w:rFonts w:ascii="Palatino Linotype" w:hAnsi="Palatino Linotype" w:cs="Arial"/>
          <w:lang w:eastAsia="es-MX"/>
        </w:rPr>
        <w:lastRenderedPageBreak/>
        <w:t xml:space="preserve">y </w:t>
      </w:r>
      <w:r w:rsidR="006A3CB6" w:rsidRPr="00BF6C04">
        <w:rPr>
          <w:rFonts w:ascii="Palatino Linotype" w:hAnsi="Palatino Linotype" w:cs="Arial"/>
          <w:lang w:eastAsia="es-MX"/>
        </w:rPr>
        <w:t>el recurrente</w:t>
      </w:r>
      <w:r w:rsidR="00174388" w:rsidRPr="00BF6C04">
        <w:rPr>
          <w:rFonts w:ascii="Palatino Linotype" w:hAnsi="Palatino Linotype" w:cs="Arial"/>
          <w:lang w:eastAsia="es-MX"/>
        </w:rPr>
        <w:t xml:space="preserve"> presentó recurso</w:t>
      </w:r>
      <w:r w:rsidR="00984800" w:rsidRPr="00BF6C04">
        <w:rPr>
          <w:rFonts w:ascii="Palatino Linotype" w:hAnsi="Palatino Linotype" w:cs="Arial"/>
          <w:lang w:eastAsia="es-MX"/>
        </w:rPr>
        <w:t>s</w:t>
      </w:r>
      <w:r w:rsidR="00174388" w:rsidRPr="00BF6C04">
        <w:rPr>
          <w:rFonts w:ascii="Palatino Linotype" w:hAnsi="Palatino Linotype" w:cs="Arial"/>
          <w:lang w:eastAsia="es-MX"/>
        </w:rPr>
        <w:t xml:space="preserve"> de revisión </w:t>
      </w:r>
      <w:r w:rsidR="00B43253" w:rsidRPr="00BF6C04">
        <w:rPr>
          <w:rFonts w:ascii="Palatino Linotype" w:hAnsi="Palatino Linotype" w:cs="Arial"/>
          <w:lang w:eastAsia="es-MX"/>
        </w:rPr>
        <w:t xml:space="preserve">el </w:t>
      </w:r>
      <w:r w:rsidR="007D7619" w:rsidRPr="00BF6C04">
        <w:rPr>
          <w:rFonts w:ascii="Palatino Linotype" w:hAnsi="Palatino Linotype" w:cs="Arial"/>
          <w:lang w:eastAsia="es-MX"/>
        </w:rPr>
        <w:t>treinta</w:t>
      </w:r>
      <w:r w:rsidR="00C16F76" w:rsidRPr="00BF6C04">
        <w:rPr>
          <w:rFonts w:ascii="Palatino Linotype" w:hAnsi="Palatino Linotype" w:cs="Arial"/>
          <w:lang w:eastAsia="es-MX"/>
        </w:rPr>
        <w:t xml:space="preserve"> del mismo </w:t>
      </w:r>
      <w:r w:rsidR="00BB2163" w:rsidRPr="00BF6C04">
        <w:rPr>
          <w:rFonts w:ascii="Palatino Linotype" w:hAnsi="Palatino Linotype" w:cs="Arial"/>
          <w:lang w:eastAsia="es-MX"/>
        </w:rPr>
        <w:t xml:space="preserve">mes y </w:t>
      </w:r>
      <w:r w:rsidR="00C16F76" w:rsidRPr="00BF6C04">
        <w:rPr>
          <w:rFonts w:ascii="Palatino Linotype" w:hAnsi="Palatino Linotype" w:cs="Arial"/>
          <w:lang w:eastAsia="es-MX"/>
        </w:rPr>
        <w:t xml:space="preserve">año, </w:t>
      </w:r>
      <w:r w:rsidR="00BB2163" w:rsidRPr="00BF6C04">
        <w:rPr>
          <w:rFonts w:ascii="Palatino Linotype" w:hAnsi="Palatino Linotype" w:cs="Arial"/>
          <w:lang w:eastAsia="es-MX"/>
        </w:rPr>
        <w:t xml:space="preserve">esto es al </w:t>
      </w:r>
      <w:r w:rsidR="007D7619" w:rsidRPr="00BF6C04">
        <w:rPr>
          <w:rFonts w:ascii="Palatino Linotype" w:hAnsi="Palatino Linotype" w:cs="Arial"/>
          <w:lang w:eastAsia="es-MX"/>
        </w:rPr>
        <w:t>décimo quinto</w:t>
      </w:r>
      <w:r w:rsidR="00C16F76" w:rsidRPr="00BF6C04">
        <w:rPr>
          <w:rFonts w:ascii="Palatino Linotype" w:hAnsi="Palatino Linotype" w:cs="Arial"/>
          <w:lang w:eastAsia="es-MX"/>
        </w:rPr>
        <w:t xml:space="preserve"> día hábil siguiente </w:t>
      </w:r>
      <w:r w:rsidR="00C16F76" w:rsidRPr="00BF6C04">
        <w:rPr>
          <w:rFonts w:ascii="Palatino Linotype" w:eastAsia="Palatino Linotype" w:hAnsi="Palatino Linotype" w:cs="Palatino Linotype"/>
        </w:rPr>
        <w:t>de aquel en que tuvo conocimiento de la</w:t>
      </w:r>
      <w:r w:rsidR="00984800" w:rsidRPr="00BF6C04">
        <w:rPr>
          <w:rFonts w:ascii="Palatino Linotype" w:eastAsia="Palatino Linotype" w:hAnsi="Palatino Linotype" w:cs="Palatino Linotype"/>
        </w:rPr>
        <w:t>s</w:t>
      </w:r>
      <w:r w:rsidR="00C16F76" w:rsidRPr="00BF6C04">
        <w:rPr>
          <w:rFonts w:ascii="Palatino Linotype" w:eastAsia="Palatino Linotype" w:hAnsi="Palatino Linotype" w:cs="Palatino Linotype"/>
        </w:rPr>
        <w:t xml:space="preserve"> respuesta</w:t>
      </w:r>
      <w:r w:rsidR="00984800" w:rsidRPr="00BF6C04">
        <w:rPr>
          <w:rFonts w:ascii="Palatino Linotype" w:eastAsia="Palatino Linotype" w:hAnsi="Palatino Linotype" w:cs="Palatino Linotype"/>
        </w:rPr>
        <w:t>s</w:t>
      </w:r>
      <w:r w:rsidR="00510F8E" w:rsidRPr="00BF6C04">
        <w:rPr>
          <w:rFonts w:ascii="Palatino Linotype" w:eastAsia="Palatino Linotype" w:hAnsi="Palatino Linotype" w:cs="Palatino Linotype"/>
        </w:rPr>
        <w:t>, respectivamente</w:t>
      </w:r>
      <w:r w:rsidR="00C16F76" w:rsidRPr="00BF6C04">
        <w:rPr>
          <w:rFonts w:ascii="Palatino Linotype" w:eastAsia="Palatino Linotype" w:hAnsi="Palatino Linotype" w:cs="Palatino Linotype"/>
        </w:rPr>
        <w:t>; evidenc</w:t>
      </w:r>
      <w:r w:rsidR="00510F8E" w:rsidRPr="00BF6C04">
        <w:rPr>
          <w:rFonts w:ascii="Palatino Linotype" w:eastAsia="Palatino Linotype" w:hAnsi="Palatino Linotype" w:cs="Palatino Linotype"/>
        </w:rPr>
        <w:t>iándose que la interposición de los</w:t>
      </w:r>
      <w:r w:rsidR="00C16F76" w:rsidRPr="00BF6C04">
        <w:rPr>
          <w:rFonts w:ascii="Palatino Linotype" w:eastAsia="Palatino Linotype" w:hAnsi="Palatino Linotype" w:cs="Palatino Linotype"/>
        </w:rPr>
        <w:t xml:space="preserve"> recurso</w:t>
      </w:r>
      <w:r w:rsidR="00510F8E" w:rsidRPr="00BF6C04">
        <w:rPr>
          <w:rFonts w:ascii="Palatino Linotype" w:eastAsia="Palatino Linotype" w:hAnsi="Palatino Linotype" w:cs="Palatino Linotype"/>
        </w:rPr>
        <w:t>s</w:t>
      </w:r>
      <w:r w:rsidR="00C16F76" w:rsidRPr="00BF6C04">
        <w:rPr>
          <w:rFonts w:ascii="Palatino Linotype" w:eastAsia="Palatino Linotype" w:hAnsi="Palatino Linotype" w:cs="Palatino Linotype"/>
        </w:rPr>
        <w:t xml:space="preserve"> se encuentra dentro de los márgenes temporales previstos en el citado precepto legal.</w:t>
      </w:r>
    </w:p>
    <w:p w:rsidR="0069089F" w:rsidRPr="00BF6C04" w:rsidRDefault="0069089F" w:rsidP="0069089F">
      <w:pPr>
        <w:spacing w:before="240" w:after="240" w:line="360" w:lineRule="auto"/>
        <w:contextualSpacing/>
        <w:jc w:val="both"/>
        <w:rPr>
          <w:rFonts w:ascii="Palatino Linotype" w:hAnsi="Palatino Linotype" w:cs="Arial"/>
        </w:rPr>
      </w:pPr>
      <w:r w:rsidRPr="00BF6C04">
        <w:rPr>
          <w:rFonts w:ascii="Palatino Linotype" w:hAnsi="Palatino Linotype"/>
        </w:rPr>
        <w:t xml:space="preserve">Al mismo tiempo, </w:t>
      </w:r>
      <w:r w:rsidRPr="00BF6C04">
        <w:rPr>
          <w:rFonts w:ascii="Palatino Linotype" w:hAnsi="Palatino Linotype" w:cs="Arial"/>
        </w:rPr>
        <w:t>por cua</w:t>
      </w:r>
      <w:r w:rsidR="00510F8E" w:rsidRPr="00BF6C04">
        <w:rPr>
          <w:rFonts w:ascii="Palatino Linotype" w:hAnsi="Palatino Linotype" w:cs="Arial"/>
        </w:rPr>
        <w:t xml:space="preserve">nto hace a la </w:t>
      </w:r>
      <w:proofErr w:type="spellStart"/>
      <w:r w:rsidR="00510F8E" w:rsidRPr="00BF6C04">
        <w:rPr>
          <w:rFonts w:ascii="Palatino Linotype" w:hAnsi="Palatino Linotype" w:cs="Arial"/>
        </w:rPr>
        <w:t>procedibilidad</w:t>
      </w:r>
      <w:proofErr w:type="spellEnd"/>
      <w:r w:rsidR="00510F8E" w:rsidRPr="00BF6C04">
        <w:rPr>
          <w:rFonts w:ascii="Palatino Linotype" w:hAnsi="Palatino Linotype" w:cs="Arial"/>
        </w:rPr>
        <w:t xml:space="preserve"> de los</w:t>
      </w:r>
      <w:r w:rsidRPr="00BF6C04">
        <w:rPr>
          <w:rFonts w:ascii="Palatino Linotype" w:hAnsi="Palatino Linotype" w:cs="Arial"/>
        </w:rPr>
        <w:t xml:space="preserve"> recurso</w:t>
      </w:r>
      <w:r w:rsidR="00510F8E" w:rsidRPr="00BF6C04">
        <w:rPr>
          <w:rFonts w:ascii="Palatino Linotype" w:hAnsi="Palatino Linotype" w:cs="Arial"/>
        </w:rPr>
        <w:t>s</w:t>
      </w:r>
      <w:r w:rsidRPr="00BF6C04">
        <w:rPr>
          <w:rFonts w:ascii="Palatino Linotype" w:hAnsi="Palatino Linotype" w:cs="Arial"/>
        </w:rPr>
        <w:t xml:space="preserve"> de revisión, es de suma importancia señalar que la parte recurrente </w:t>
      </w:r>
      <w:r w:rsidR="00E87D6D" w:rsidRPr="00BF6C04">
        <w:rPr>
          <w:rFonts w:ascii="Palatino Linotype" w:hAnsi="Palatino Linotype" w:cs="Arial"/>
          <w:b/>
        </w:rPr>
        <w:t>no proporcionó</w:t>
      </w:r>
      <w:r w:rsidR="003174A5" w:rsidRPr="00BF6C04">
        <w:rPr>
          <w:rFonts w:ascii="Palatino Linotype" w:hAnsi="Palatino Linotype" w:cs="Arial"/>
          <w:b/>
        </w:rPr>
        <w:t xml:space="preserve"> nombre o seudónimo</w:t>
      </w:r>
      <w:r w:rsidR="003174A5" w:rsidRPr="00BF6C04">
        <w:rPr>
          <w:rFonts w:ascii="Palatino Linotype" w:hAnsi="Palatino Linotype" w:cs="Arial"/>
        </w:rPr>
        <w:t xml:space="preserve"> </w:t>
      </w:r>
      <w:r w:rsidRPr="00BF6C04">
        <w:rPr>
          <w:rFonts w:ascii="Palatino Linotype" w:hAnsi="Palatino Linotype" w:cs="Arial"/>
        </w:rPr>
        <w:t>" como se advierte en el detalle de seguimiento del SAIMEX, no obstante lo anter</w:t>
      </w:r>
      <w:r w:rsidR="00E87D6D" w:rsidRPr="00BF6C04">
        <w:rPr>
          <w:rFonts w:ascii="Palatino Linotype" w:hAnsi="Palatino Linotype" w:cs="Arial"/>
        </w:rPr>
        <w:t xml:space="preserve">ior, no proporcionar el nombre </w:t>
      </w:r>
      <w:r w:rsidRPr="00BF6C04">
        <w:rPr>
          <w:rFonts w:ascii="Palatino Linotype" w:hAnsi="Palatino Linotype" w:cs="Arial"/>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9089F" w:rsidRPr="00BF6C04" w:rsidRDefault="0069089F" w:rsidP="0069089F">
      <w:pPr>
        <w:spacing w:before="240" w:after="240"/>
        <w:ind w:left="567" w:right="474"/>
        <w:contextualSpacing/>
        <w:jc w:val="both"/>
        <w:rPr>
          <w:rFonts w:ascii="Palatino Linotype" w:hAnsi="Palatino Linotype" w:cs="Arial"/>
          <w:i/>
        </w:rPr>
      </w:pPr>
    </w:p>
    <w:p w:rsidR="0069089F" w:rsidRPr="00BF6C04" w:rsidRDefault="0069089F" w:rsidP="0069089F">
      <w:pPr>
        <w:spacing w:before="240" w:after="240"/>
        <w:ind w:left="567" w:right="474"/>
        <w:contextualSpacing/>
        <w:jc w:val="both"/>
        <w:rPr>
          <w:rFonts w:ascii="Palatino Linotype" w:hAnsi="Palatino Linotype" w:cs="Arial"/>
          <w:i/>
          <w:sz w:val="22"/>
          <w:szCs w:val="22"/>
        </w:rPr>
      </w:pPr>
      <w:r w:rsidRPr="00BF6C04">
        <w:rPr>
          <w:rFonts w:ascii="Palatino Linotype" w:hAnsi="Palatino Linotype" w:cs="Arial"/>
          <w:i/>
          <w:sz w:val="22"/>
          <w:szCs w:val="22"/>
        </w:rPr>
        <w:t>"</w:t>
      </w:r>
      <w:r w:rsidRPr="00BF6C04">
        <w:rPr>
          <w:rFonts w:ascii="Palatino Linotype" w:hAnsi="Palatino Linotype" w:cs="Arial"/>
          <w:b/>
          <w:i/>
          <w:sz w:val="22"/>
          <w:szCs w:val="22"/>
        </w:rPr>
        <w:t>Las solicitudes anónimas</w:t>
      </w:r>
      <w:r w:rsidRPr="00BF6C04">
        <w:rPr>
          <w:rFonts w:ascii="Palatino Linotype" w:hAnsi="Palatino Linotype" w:cs="Arial"/>
          <w:i/>
          <w:sz w:val="22"/>
          <w:szCs w:val="22"/>
        </w:rPr>
        <w:t xml:space="preserve">, con nombre incompleto o seudónimo </w:t>
      </w:r>
      <w:r w:rsidRPr="00BF6C04">
        <w:rPr>
          <w:rFonts w:ascii="Palatino Linotype" w:hAnsi="Palatino Linotype" w:cs="Arial"/>
          <w:b/>
          <w:i/>
          <w:sz w:val="22"/>
          <w:szCs w:val="22"/>
        </w:rPr>
        <w:t>serán procedentes para su trámite por parte del sujeto obligado ante quien se presente</w:t>
      </w:r>
      <w:r w:rsidRPr="00BF6C04">
        <w:rPr>
          <w:rFonts w:ascii="Palatino Linotype" w:hAnsi="Palatino Linotype" w:cs="Arial"/>
          <w:i/>
          <w:sz w:val="22"/>
          <w:szCs w:val="22"/>
        </w:rPr>
        <w:t>. No podrá requerirse información adicional con motivo del nombre proporcionado por el solicitante."</w:t>
      </w:r>
    </w:p>
    <w:p w:rsidR="0069089F" w:rsidRPr="00BF6C04" w:rsidRDefault="0069089F" w:rsidP="0069089F">
      <w:pPr>
        <w:spacing w:before="240" w:after="240" w:line="360" w:lineRule="auto"/>
        <w:contextualSpacing/>
        <w:jc w:val="both"/>
        <w:rPr>
          <w:rFonts w:eastAsiaTheme="minorHAnsi"/>
          <w:i/>
          <w:iCs/>
          <w:w w:val="95"/>
          <w:sz w:val="22"/>
          <w:szCs w:val="22"/>
          <w:lang w:val="es-MX" w:eastAsia="en-US"/>
        </w:rPr>
      </w:pPr>
    </w:p>
    <w:p w:rsidR="00B43253" w:rsidRPr="00BF6C04" w:rsidRDefault="00B43253" w:rsidP="00B43253">
      <w:pPr>
        <w:spacing w:before="240" w:after="240" w:line="360" w:lineRule="auto"/>
        <w:jc w:val="both"/>
        <w:rPr>
          <w:rFonts w:ascii="Palatino Linotype" w:hAnsi="Palatino Linotype" w:cs="Arial"/>
        </w:rPr>
      </w:pPr>
      <w:r w:rsidRPr="00BF6C04">
        <w:rPr>
          <w:rFonts w:ascii="Palatino Linotype" w:hAnsi="Palatino Linotype"/>
        </w:rPr>
        <w:t>Asimismo, resulta procedente</w:t>
      </w:r>
      <w:r w:rsidRPr="00BF6C04">
        <w:rPr>
          <w:rFonts w:ascii="Palatino Linotype" w:hAnsi="Palatino Linotype" w:cs="Arial"/>
        </w:rPr>
        <w:t xml:space="preserve"> la interposición del recurso de revisión al rubro anotado, toda vez que se actualiza las hipótesis previstas en el artículo 179, fracción VIII de la ley de la materia, que a la letra dice:</w:t>
      </w:r>
    </w:p>
    <w:p w:rsidR="00B43253" w:rsidRPr="00BF6C04" w:rsidRDefault="00B43253" w:rsidP="00B43253">
      <w:pPr>
        <w:autoSpaceDE w:val="0"/>
        <w:autoSpaceDN w:val="0"/>
        <w:adjustRightInd w:val="0"/>
        <w:ind w:left="1276" w:right="1752"/>
        <w:jc w:val="both"/>
        <w:rPr>
          <w:rFonts w:ascii="Palatino Linotype" w:hAnsi="Palatino Linotype" w:cs="Arial"/>
          <w:i/>
          <w:sz w:val="22"/>
          <w:szCs w:val="22"/>
        </w:rPr>
      </w:pPr>
      <w:r w:rsidRPr="00BF6C04">
        <w:rPr>
          <w:rFonts w:ascii="Palatino Linotype" w:hAnsi="Palatino Linotype" w:cs="Arial"/>
          <w:bCs/>
          <w:i/>
          <w:sz w:val="22"/>
          <w:szCs w:val="22"/>
        </w:rPr>
        <w:t>“</w:t>
      </w:r>
      <w:r w:rsidRPr="00BF6C04">
        <w:rPr>
          <w:rFonts w:ascii="Palatino Linotype" w:hAnsi="Palatino Linotype" w:cs="Arial"/>
          <w:b/>
          <w:bCs/>
          <w:i/>
          <w:sz w:val="22"/>
          <w:szCs w:val="22"/>
        </w:rPr>
        <w:t xml:space="preserve">Artículo 179. </w:t>
      </w:r>
      <w:r w:rsidRPr="00BF6C04">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BF6C04">
        <w:rPr>
          <w:rFonts w:ascii="Palatino Linotype" w:hAnsi="Palatino Linotype" w:cs="Arial"/>
          <w:i/>
          <w:szCs w:val="22"/>
        </w:rPr>
        <w:t>causas</w:t>
      </w:r>
      <w:r w:rsidRPr="00BF6C04">
        <w:rPr>
          <w:rFonts w:ascii="Palatino Linotype" w:hAnsi="Palatino Linotype" w:cs="Arial"/>
          <w:i/>
          <w:sz w:val="22"/>
          <w:szCs w:val="22"/>
        </w:rPr>
        <w:t>:</w:t>
      </w:r>
    </w:p>
    <w:p w:rsidR="00B43253" w:rsidRPr="00BF6C04" w:rsidRDefault="00B43253" w:rsidP="00B43253">
      <w:pPr>
        <w:autoSpaceDE w:val="0"/>
        <w:autoSpaceDN w:val="0"/>
        <w:adjustRightInd w:val="0"/>
        <w:ind w:left="1276" w:right="1752"/>
        <w:jc w:val="both"/>
        <w:rPr>
          <w:rFonts w:ascii="Palatino Linotype" w:hAnsi="Palatino Linotype" w:cs="Arial"/>
          <w:i/>
          <w:sz w:val="22"/>
          <w:szCs w:val="22"/>
        </w:rPr>
      </w:pPr>
      <w:r w:rsidRPr="00BF6C04">
        <w:rPr>
          <w:rFonts w:ascii="Palatino Linotype" w:hAnsi="Palatino Linotype" w:cs="Arial"/>
          <w:i/>
          <w:sz w:val="22"/>
          <w:szCs w:val="22"/>
        </w:rPr>
        <w:t>…</w:t>
      </w:r>
    </w:p>
    <w:p w:rsidR="00B43253" w:rsidRPr="00BF6C04" w:rsidRDefault="00B43253" w:rsidP="00B43253">
      <w:pPr>
        <w:autoSpaceDE w:val="0"/>
        <w:autoSpaceDN w:val="0"/>
        <w:adjustRightInd w:val="0"/>
        <w:ind w:left="1276" w:right="1752"/>
        <w:jc w:val="both"/>
        <w:rPr>
          <w:rFonts w:ascii="Palatino Linotype" w:hAnsi="Palatino Linotype" w:cs="Arial"/>
          <w:i/>
          <w:sz w:val="22"/>
          <w:szCs w:val="22"/>
        </w:rPr>
      </w:pPr>
      <w:r w:rsidRPr="00BF6C04">
        <w:rPr>
          <w:rFonts w:ascii="Palatino Linotype" w:hAnsi="Palatino Linotype" w:cs="Arial"/>
          <w:i/>
          <w:sz w:val="22"/>
          <w:szCs w:val="22"/>
        </w:rPr>
        <w:t>VIII. La notificación, entrega o puesta a disposición de información en una modalidad o formato distinto al solicitado…”</w:t>
      </w:r>
      <w:r w:rsidRPr="00BF6C04">
        <w:rPr>
          <w:rFonts w:ascii="Palatino Linotype" w:hAnsi="Palatino Linotype" w:cs="Arial"/>
          <w:i/>
        </w:rPr>
        <w:t xml:space="preserve"> (Sic)</w:t>
      </w:r>
    </w:p>
    <w:p w:rsidR="00B43253" w:rsidRPr="00BF6C04" w:rsidRDefault="00B43253" w:rsidP="00B4325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3761C9" w:rsidRPr="00BF6C04" w:rsidRDefault="003761C9" w:rsidP="003761C9">
      <w:pPr>
        <w:spacing w:before="280" w:after="280" w:line="360" w:lineRule="auto"/>
        <w:contextualSpacing/>
        <w:jc w:val="both"/>
        <w:rPr>
          <w:rFonts w:ascii="Palatino Linotype" w:eastAsia="Palatino Linotype" w:hAnsi="Palatino Linotype" w:cs="Palatino Linotype"/>
        </w:rPr>
      </w:pPr>
      <w:r w:rsidRPr="00BF6C04">
        <w:rPr>
          <w:rFonts w:ascii="Palatino Linotype" w:hAnsi="Palatino Linotype" w:cs="Arial"/>
          <w:b/>
        </w:rPr>
        <w:lastRenderedPageBreak/>
        <w:t>Tercero. Materia de Revisión</w:t>
      </w:r>
      <w:r w:rsidRPr="00BF6C04">
        <w:rPr>
          <w:rFonts w:ascii="Palatino Linotype" w:hAnsi="Palatino Linotype" w:cs="Arial"/>
        </w:rPr>
        <w:t xml:space="preserve">: </w:t>
      </w:r>
      <w:r w:rsidRPr="00BF6C04">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BF6C04">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BF6C04">
        <w:rPr>
          <w:rFonts w:ascii="Palatino Linotype" w:eastAsia="Palatino Linotype" w:hAnsi="Palatino Linotype" w:cs="Palatino Linotype"/>
        </w:rPr>
        <w:t xml:space="preserve">de la </w:t>
      </w:r>
      <w:r w:rsidRPr="00BF6C04">
        <w:rPr>
          <w:rFonts w:ascii="Palatino Linotype" w:eastAsia="Palatino Linotype" w:hAnsi="Palatino Linotype" w:cs="Palatino Linotype"/>
          <w:b/>
        </w:rPr>
        <w:t>RECURRENTE</w:t>
      </w:r>
      <w:r w:rsidRPr="00BF6C04">
        <w:rPr>
          <w:rFonts w:ascii="Palatino Linotype" w:eastAsia="Palatino Linotype" w:hAnsi="Palatino Linotype" w:cs="Palatino Linotype"/>
        </w:rPr>
        <w:t>, o en su defecto, en caso de ser procedente, ordenar la entrega de información.</w:t>
      </w:r>
    </w:p>
    <w:p w:rsidR="003761C9" w:rsidRPr="00BF6C04" w:rsidRDefault="003761C9" w:rsidP="00B43253">
      <w:pPr>
        <w:spacing w:before="240" w:after="240" w:line="360" w:lineRule="auto"/>
        <w:contextualSpacing/>
        <w:jc w:val="both"/>
        <w:rPr>
          <w:rFonts w:ascii="Palatino Linotype" w:hAnsi="Palatino Linotype" w:cs="Arial"/>
          <w:b/>
        </w:rPr>
      </w:pPr>
    </w:p>
    <w:p w:rsidR="003761C9" w:rsidRPr="00BF6C04" w:rsidRDefault="00B43253" w:rsidP="003761C9">
      <w:pPr>
        <w:spacing w:before="240" w:after="240" w:line="360" w:lineRule="auto"/>
        <w:jc w:val="both"/>
        <w:rPr>
          <w:rFonts w:ascii="Palatino Linotype" w:hAnsi="Palatino Linotype" w:cs="Arial"/>
        </w:rPr>
      </w:pPr>
      <w:r w:rsidRPr="00BF6C04">
        <w:rPr>
          <w:rFonts w:ascii="Palatino Linotype" w:hAnsi="Palatino Linotype" w:cs="Arial"/>
          <w:b/>
        </w:rPr>
        <w:t xml:space="preserve">Cuarto. Estudio de fondo del asunto. </w:t>
      </w:r>
      <w:r w:rsidR="003761C9" w:rsidRPr="00BF6C04">
        <w:rPr>
          <w:rFonts w:ascii="Palatino Linotype" w:eastAsia="Calibri" w:hAnsi="Palatino Linotype" w:cs="Arial"/>
          <w:lang w:val="es-MX" w:eastAsia="en-US"/>
        </w:rPr>
        <w:t xml:space="preserve">Es conveniente analizar si la respuesta del </w:t>
      </w:r>
      <w:r w:rsidR="003761C9" w:rsidRPr="00BF6C04">
        <w:rPr>
          <w:rFonts w:ascii="Palatino Linotype" w:eastAsia="Calibri" w:hAnsi="Palatino Linotype" w:cs="Arial"/>
          <w:b/>
          <w:lang w:val="es-MX" w:eastAsia="en-US"/>
        </w:rPr>
        <w:t>SUJETO OBLIGADO</w:t>
      </w:r>
      <w:r w:rsidR="003761C9" w:rsidRPr="00BF6C04">
        <w:rPr>
          <w:rFonts w:ascii="Palatino Linotype" w:eastAsia="Calibri" w:hAnsi="Palatino Linotype" w:cs="Arial"/>
          <w:lang w:val="es-MX" w:eastAsia="en-US"/>
        </w:rPr>
        <w:t xml:space="preserve"> cumple con los requisitos y procedimientos del derecho de acceso a la información pública, en atención a que en la </w:t>
      </w:r>
      <w:r w:rsidR="003761C9" w:rsidRPr="00BF6C04">
        <w:rPr>
          <w:rFonts w:ascii="Palatino Linotype" w:hAnsi="Palatino Linotype" w:cs="Arial"/>
        </w:rPr>
        <w:t>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761C9" w:rsidRPr="00BF6C04" w:rsidRDefault="003761C9" w:rsidP="003761C9">
      <w:pPr>
        <w:spacing w:before="240" w:after="240"/>
        <w:ind w:left="709" w:right="760"/>
        <w:contextualSpacing/>
        <w:jc w:val="both"/>
        <w:rPr>
          <w:rFonts w:ascii="Palatino Linotype" w:hAnsi="Palatino Linotype" w:cs="Arial"/>
          <w:i/>
          <w:sz w:val="22"/>
          <w:szCs w:val="22"/>
        </w:rPr>
      </w:pPr>
      <w:r w:rsidRPr="00BF6C04">
        <w:rPr>
          <w:rFonts w:ascii="Palatino Linotype" w:hAnsi="Palatino Linotype" w:cs="Arial"/>
          <w:i/>
          <w:sz w:val="22"/>
          <w:szCs w:val="22"/>
        </w:rPr>
        <w:t>“</w:t>
      </w:r>
      <w:r w:rsidRPr="00BF6C04">
        <w:rPr>
          <w:rFonts w:ascii="Palatino Linotype" w:hAnsi="Palatino Linotype" w:cs="Arial"/>
          <w:b/>
          <w:i/>
          <w:sz w:val="22"/>
          <w:szCs w:val="22"/>
        </w:rPr>
        <w:t>Artículo 4</w:t>
      </w:r>
      <w:r w:rsidRPr="00BF6C0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761C9" w:rsidRPr="00BF6C04" w:rsidRDefault="003761C9" w:rsidP="003761C9">
      <w:pPr>
        <w:spacing w:before="240" w:after="240"/>
        <w:ind w:left="709" w:right="760"/>
        <w:contextualSpacing/>
        <w:jc w:val="both"/>
        <w:rPr>
          <w:rFonts w:ascii="Palatino Linotype" w:hAnsi="Palatino Linotype" w:cs="Arial"/>
          <w:i/>
          <w:sz w:val="22"/>
          <w:szCs w:val="22"/>
        </w:rPr>
      </w:pPr>
      <w:r w:rsidRPr="00BF6C0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BF6C0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761C9" w:rsidRPr="00BF6C04" w:rsidRDefault="003761C9" w:rsidP="003761C9">
      <w:pPr>
        <w:spacing w:before="240" w:after="240"/>
        <w:ind w:left="709" w:right="760"/>
        <w:contextualSpacing/>
        <w:jc w:val="both"/>
        <w:rPr>
          <w:rFonts w:ascii="Palatino Linotype" w:hAnsi="Palatino Linotype" w:cs="Arial"/>
          <w:i/>
          <w:sz w:val="22"/>
          <w:szCs w:val="22"/>
        </w:rPr>
      </w:pPr>
      <w:r w:rsidRPr="00BF6C04">
        <w:rPr>
          <w:rFonts w:ascii="Palatino Linotype" w:hAnsi="Palatino Linotype" w:cs="Arial"/>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BF6C04">
        <w:rPr>
          <w:rFonts w:ascii="Palatino Linotype" w:hAnsi="Palatino Linotype" w:cs="Arial"/>
          <w:i/>
          <w:sz w:val="22"/>
          <w:szCs w:val="22"/>
        </w:rPr>
        <w:t>.”(Sic)</w:t>
      </w:r>
    </w:p>
    <w:p w:rsidR="003761C9" w:rsidRPr="00BF6C04" w:rsidRDefault="003761C9" w:rsidP="003761C9">
      <w:pPr>
        <w:spacing w:before="240" w:after="240" w:line="360" w:lineRule="auto"/>
        <w:contextualSpacing/>
        <w:jc w:val="both"/>
        <w:rPr>
          <w:rFonts w:ascii="Palatino Linotype" w:hAnsi="Palatino Linotype" w:cs="Arial"/>
        </w:rPr>
      </w:pPr>
    </w:p>
    <w:p w:rsidR="003761C9" w:rsidRPr="00BF6C04" w:rsidRDefault="003761C9" w:rsidP="003761C9">
      <w:pPr>
        <w:spacing w:before="240" w:after="240" w:line="360" w:lineRule="auto"/>
        <w:contextualSpacing/>
        <w:jc w:val="both"/>
        <w:rPr>
          <w:rFonts w:ascii="Palatino Linotype" w:hAnsi="Palatino Linotype" w:cs="Arial"/>
        </w:rPr>
      </w:pPr>
      <w:r w:rsidRPr="00BF6C04">
        <w:rPr>
          <w:rFonts w:ascii="Palatino Linotype" w:hAnsi="Palatino Linotype" w:cs="Arial"/>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3761C9" w:rsidRPr="00BF6C04" w:rsidRDefault="003761C9" w:rsidP="003761C9">
      <w:pPr>
        <w:spacing w:before="240" w:after="240" w:line="360" w:lineRule="auto"/>
        <w:contextualSpacing/>
        <w:jc w:val="both"/>
        <w:rPr>
          <w:rFonts w:ascii="Palatino Linotype" w:hAnsi="Palatino Linotype" w:cs="Arial"/>
        </w:rPr>
      </w:pPr>
    </w:p>
    <w:p w:rsidR="003761C9" w:rsidRPr="00BF6C04" w:rsidRDefault="003761C9" w:rsidP="003761C9">
      <w:pPr>
        <w:spacing w:before="240" w:after="240"/>
        <w:ind w:left="567" w:right="758"/>
        <w:contextualSpacing/>
        <w:jc w:val="both"/>
        <w:rPr>
          <w:rFonts w:ascii="Palatino Linotype" w:hAnsi="Palatino Linotype" w:cs="Arial"/>
          <w:i/>
          <w:sz w:val="22"/>
          <w:szCs w:val="22"/>
        </w:rPr>
      </w:pPr>
      <w:r w:rsidRPr="00BF6C04">
        <w:rPr>
          <w:rFonts w:ascii="Palatino Linotype" w:hAnsi="Palatino Linotype" w:cs="Arial"/>
          <w:b/>
          <w:i/>
          <w:sz w:val="22"/>
          <w:szCs w:val="22"/>
        </w:rPr>
        <w:t>“Artículo 12.-</w:t>
      </w:r>
      <w:r w:rsidRPr="00BF6C0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3761C9" w:rsidRPr="00BF6C04" w:rsidRDefault="003761C9" w:rsidP="003761C9">
      <w:pPr>
        <w:spacing w:before="240" w:after="240"/>
        <w:ind w:left="567" w:right="758"/>
        <w:contextualSpacing/>
        <w:jc w:val="both"/>
        <w:rPr>
          <w:rFonts w:ascii="Palatino Linotype" w:hAnsi="Palatino Linotype" w:cs="Arial"/>
          <w:i/>
          <w:sz w:val="22"/>
          <w:szCs w:val="22"/>
        </w:rPr>
      </w:pPr>
    </w:p>
    <w:p w:rsidR="003761C9" w:rsidRPr="00BF6C04" w:rsidRDefault="003761C9" w:rsidP="003761C9">
      <w:pPr>
        <w:spacing w:before="240" w:after="240"/>
        <w:ind w:left="567" w:right="758"/>
        <w:contextualSpacing/>
        <w:jc w:val="both"/>
        <w:rPr>
          <w:rFonts w:ascii="Palatino Linotype" w:hAnsi="Palatino Linotype" w:cs="Arial"/>
          <w:i/>
          <w:sz w:val="22"/>
          <w:szCs w:val="22"/>
        </w:rPr>
      </w:pPr>
      <w:r w:rsidRPr="00BF6C0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F6C04">
        <w:rPr>
          <w:rFonts w:ascii="Palatino Linotype" w:hAnsi="Palatino Linotype" w:cs="Arial"/>
          <w:i/>
          <w:sz w:val="22"/>
          <w:szCs w:val="22"/>
        </w:rPr>
        <w:t xml:space="preserve">. </w:t>
      </w:r>
      <w:r w:rsidRPr="00BF6C04">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E87D6D" w:rsidRPr="00BF6C04" w:rsidRDefault="00E87D6D" w:rsidP="003761C9">
      <w:pPr>
        <w:spacing w:line="360" w:lineRule="auto"/>
        <w:ind w:right="-93"/>
        <w:contextualSpacing/>
        <w:jc w:val="both"/>
        <w:rPr>
          <w:rFonts w:ascii="Palatino Linotype" w:hAnsi="Palatino Linotype" w:cs="Arial"/>
        </w:rPr>
      </w:pPr>
    </w:p>
    <w:p w:rsidR="003761C9" w:rsidRPr="00BF6C04" w:rsidRDefault="003761C9" w:rsidP="003761C9">
      <w:pPr>
        <w:spacing w:line="360" w:lineRule="auto"/>
        <w:ind w:right="-93"/>
        <w:contextualSpacing/>
        <w:jc w:val="both"/>
        <w:rPr>
          <w:rFonts w:ascii="Palatino Linotype" w:hAnsi="Palatino Linotype" w:cs="Arial"/>
        </w:rPr>
      </w:pPr>
      <w:r w:rsidRPr="00BF6C04">
        <w:rPr>
          <w:rFonts w:ascii="Palatino Linotype" w:hAnsi="Palatino Linotype" w:cs="Arial"/>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BF6C04">
        <w:rPr>
          <w:rFonts w:ascii="Palatino Linotype" w:hAnsi="Palatino Linotype" w:cs="Arial"/>
        </w:rPr>
        <w:lastRenderedPageBreak/>
        <w:t>solicitada que tengan en su poder en el estado que se encuentran, sin necesidad de concretarse al interés o términos específicos del solicitante.</w:t>
      </w:r>
    </w:p>
    <w:p w:rsidR="00E87D6D" w:rsidRPr="00BF6C04" w:rsidRDefault="00E87D6D" w:rsidP="003761C9">
      <w:pPr>
        <w:spacing w:line="360" w:lineRule="auto"/>
        <w:jc w:val="both"/>
        <w:rPr>
          <w:rFonts w:ascii="Palatino Linotype" w:hAnsi="Palatino Linotype" w:cs="Arial"/>
        </w:rPr>
      </w:pPr>
    </w:p>
    <w:p w:rsidR="003761C9" w:rsidRPr="00BF6C04" w:rsidRDefault="003761C9" w:rsidP="003761C9">
      <w:pPr>
        <w:spacing w:line="360" w:lineRule="auto"/>
        <w:jc w:val="both"/>
        <w:rPr>
          <w:rFonts w:ascii="Palatino Linotype" w:hAnsi="Palatino Linotype"/>
          <w:b/>
          <w:bCs/>
        </w:rPr>
      </w:pPr>
      <w:r w:rsidRPr="00BF6C04">
        <w:rPr>
          <w:rFonts w:ascii="Palatino Linotype" w:hAnsi="Palatino Linotype" w:cs="Arial"/>
        </w:rPr>
        <w:t xml:space="preserve">Sirve de apoyo a lo anterior, el criterio 03-17, expuesto por </w:t>
      </w:r>
      <w:r w:rsidRPr="00BF6C04">
        <w:rPr>
          <w:rFonts w:ascii="Palatino Linotype" w:eastAsia="Arial Unicode MS" w:hAnsi="Palatino Linotype" w:cs="Arial"/>
        </w:rPr>
        <w:t>el Instituto Nacional de Transparencia, Acceso a la Información y Protección de Datos Personales,</w:t>
      </w:r>
      <w:r w:rsidRPr="00BF6C04">
        <w:rPr>
          <w:rFonts w:ascii="Palatino Linotype" w:hAnsi="Palatino Linotype"/>
          <w:bCs/>
        </w:rPr>
        <w:t xml:space="preserve"> que dice:</w:t>
      </w:r>
      <w:r w:rsidRPr="00BF6C04">
        <w:rPr>
          <w:rFonts w:ascii="Palatino Linotype" w:hAnsi="Palatino Linotype"/>
          <w:b/>
          <w:bCs/>
        </w:rPr>
        <w:t xml:space="preserve"> </w:t>
      </w:r>
    </w:p>
    <w:p w:rsidR="003761C9" w:rsidRPr="00BF6C04" w:rsidRDefault="003761C9" w:rsidP="003761C9">
      <w:pPr>
        <w:ind w:left="851" w:right="850"/>
        <w:jc w:val="both"/>
        <w:rPr>
          <w:rFonts w:ascii="Palatino Linotype" w:hAnsi="Palatino Linotype" w:cs="Arial"/>
        </w:rPr>
      </w:pPr>
    </w:p>
    <w:p w:rsidR="003761C9" w:rsidRPr="00BF6C04" w:rsidRDefault="003761C9" w:rsidP="003761C9">
      <w:pPr>
        <w:ind w:left="851" w:right="901"/>
        <w:jc w:val="both"/>
        <w:rPr>
          <w:rFonts w:ascii="Palatino Linotype" w:hAnsi="Palatino Linotype" w:cs="Arial"/>
          <w:i/>
          <w:sz w:val="22"/>
          <w:szCs w:val="22"/>
        </w:rPr>
      </w:pPr>
      <w:r w:rsidRPr="00BF6C04">
        <w:rPr>
          <w:rFonts w:ascii="Palatino Linotype" w:hAnsi="Palatino Linotype" w:cs="Arial"/>
          <w:i/>
          <w:sz w:val="22"/>
          <w:szCs w:val="22"/>
        </w:rPr>
        <w:t>“</w:t>
      </w:r>
      <w:r w:rsidRPr="00BF6C04">
        <w:rPr>
          <w:rFonts w:ascii="Palatino Linotype" w:hAnsi="Palatino Linotype" w:cs="Arial"/>
          <w:b/>
          <w:i/>
          <w:sz w:val="22"/>
          <w:szCs w:val="22"/>
        </w:rPr>
        <w:t>No existe obligación de elaborar documentos ad hoc para atender las solicitudes de acceso a la información.</w:t>
      </w:r>
      <w:r w:rsidRPr="00BF6C04">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761C9" w:rsidRPr="00BF6C04" w:rsidRDefault="003761C9" w:rsidP="003761C9">
      <w:pPr>
        <w:ind w:left="851" w:right="901"/>
        <w:jc w:val="both"/>
        <w:rPr>
          <w:rFonts w:ascii="Palatino Linotype" w:hAnsi="Palatino Linotype" w:cs="Arial"/>
          <w:i/>
          <w:sz w:val="22"/>
          <w:szCs w:val="22"/>
        </w:rPr>
      </w:pPr>
      <w:r w:rsidRPr="00BF6C04">
        <w:rPr>
          <w:rFonts w:ascii="Palatino Linotype" w:hAnsi="Palatino Linotype" w:cs="Arial"/>
          <w:i/>
          <w:sz w:val="22"/>
          <w:szCs w:val="22"/>
        </w:rPr>
        <w:t xml:space="preserve">Resoluciones: </w:t>
      </w:r>
    </w:p>
    <w:p w:rsidR="003761C9" w:rsidRPr="00BF6C04" w:rsidRDefault="003761C9" w:rsidP="003761C9">
      <w:pPr>
        <w:ind w:left="851" w:right="901"/>
        <w:jc w:val="both"/>
        <w:rPr>
          <w:rFonts w:ascii="Palatino Linotype" w:hAnsi="Palatino Linotype" w:cs="Arial"/>
          <w:i/>
          <w:sz w:val="22"/>
          <w:szCs w:val="22"/>
        </w:rPr>
      </w:pPr>
      <w:r w:rsidRPr="00BF6C04">
        <w:rPr>
          <w:rFonts w:ascii="Palatino Linotype" w:hAnsi="Palatino Linotype" w:cs="Arial"/>
          <w:i/>
          <w:sz w:val="22"/>
          <w:szCs w:val="22"/>
        </w:rPr>
        <w:sym w:font="Symbol" w:char="F0B7"/>
      </w:r>
      <w:r w:rsidRPr="00BF6C04">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3761C9" w:rsidRPr="00BF6C04" w:rsidRDefault="003761C9" w:rsidP="003761C9">
      <w:pPr>
        <w:ind w:left="851" w:right="901"/>
        <w:jc w:val="both"/>
        <w:rPr>
          <w:rFonts w:ascii="Palatino Linotype" w:hAnsi="Palatino Linotype" w:cs="Arial"/>
          <w:i/>
          <w:sz w:val="22"/>
          <w:szCs w:val="22"/>
        </w:rPr>
      </w:pPr>
      <w:r w:rsidRPr="00BF6C04">
        <w:rPr>
          <w:rFonts w:ascii="Palatino Linotype" w:hAnsi="Palatino Linotype" w:cs="Arial"/>
          <w:i/>
          <w:sz w:val="22"/>
          <w:szCs w:val="22"/>
        </w:rPr>
        <w:sym w:font="Symbol" w:char="F0B7"/>
      </w:r>
      <w:r w:rsidRPr="00BF6C04">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3761C9" w:rsidRPr="00BF6C04" w:rsidRDefault="003761C9" w:rsidP="003761C9">
      <w:pPr>
        <w:ind w:left="851" w:right="901"/>
        <w:jc w:val="both"/>
        <w:rPr>
          <w:rFonts w:ascii="Palatino Linotype" w:hAnsi="Palatino Linotype" w:cs="Arial"/>
          <w:i/>
          <w:sz w:val="22"/>
          <w:szCs w:val="22"/>
        </w:rPr>
      </w:pPr>
      <w:r w:rsidRPr="00BF6C04">
        <w:rPr>
          <w:rFonts w:ascii="Palatino Linotype" w:hAnsi="Palatino Linotype" w:cs="Arial"/>
          <w:i/>
          <w:sz w:val="22"/>
          <w:szCs w:val="22"/>
        </w:rPr>
        <w:sym w:font="Symbol" w:char="F0B7"/>
      </w:r>
      <w:r w:rsidRPr="00BF6C04">
        <w:rPr>
          <w:rFonts w:ascii="Palatino Linotype" w:hAnsi="Palatino Linotype" w:cs="Arial"/>
          <w:i/>
          <w:sz w:val="22"/>
          <w:szCs w:val="22"/>
        </w:rPr>
        <w:t xml:space="preserve"> RRA 1889/16. Secretaría de Hacienda y Crédito Público. 05 de octubre de 2016. Por unanimidad. Comisionada Ponente. Ximena Puente de la Mora.” (Sic)</w:t>
      </w:r>
    </w:p>
    <w:p w:rsidR="003761C9" w:rsidRPr="00BF6C04" w:rsidRDefault="003761C9" w:rsidP="003761C9">
      <w:pPr>
        <w:spacing w:line="360" w:lineRule="auto"/>
        <w:ind w:right="-93"/>
        <w:jc w:val="both"/>
        <w:rPr>
          <w:rFonts w:ascii="Palatino Linotype" w:hAnsi="Palatino Linotype" w:cs="Arial"/>
        </w:rPr>
      </w:pPr>
    </w:p>
    <w:p w:rsidR="003761C9" w:rsidRPr="00BF6C04" w:rsidRDefault="003761C9" w:rsidP="003761C9">
      <w:pPr>
        <w:spacing w:line="360" w:lineRule="auto"/>
        <w:jc w:val="both"/>
        <w:rPr>
          <w:rFonts w:ascii="Palatino Linotype" w:hAnsi="Palatino Linotype" w:cs="Arial"/>
        </w:rPr>
      </w:pPr>
      <w:r w:rsidRPr="00BF6C04">
        <w:rPr>
          <w:rFonts w:ascii="Palatino Linotype" w:hAnsi="Palatino Linotype" w:cs="Arial"/>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61C9" w:rsidRPr="00BF6C04" w:rsidRDefault="003761C9" w:rsidP="003761C9">
      <w:pPr>
        <w:spacing w:before="240" w:after="240" w:line="360" w:lineRule="auto"/>
        <w:ind w:right="49"/>
        <w:contextualSpacing/>
        <w:jc w:val="both"/>
        <w:rPr>
          <w:rFonts w:ascii="Palatino Linotype" w:hAnsi="Palatino Linotype" w:cs="Arial"/>
        </w:rPr>
      </w:pPr>
      <w:r w:rsidRPr="00BF6C04">
        <w:rPr>
          <w:rFonts w:ascii="Palatino Linotype" w:hAnsi="Palatino Linotype" w:cs="Arial"/>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761C9" w:rsidRPr="00BF6C04" w:rsidRDefault="003761C9" w:rsidP="003761C9">
      <w:pPr>
        <w:spacing w:before="240" w:after="240" w:line="360" w:lineRule="auto"/>
        <w:ind w:right="49"/>
        <w:contextualSpacing/>
        <w:jc w:val="both"/>
        <w:rPr>
          <w:rFonts w:ascii="Palatino Linotype" w:hAnsi="Palatino Linotype" w:cs="Arial"/>
        </w:rPr>
      </w:pPr>
    </w:p>
    <w:p w:rsidR="003761C9" w:rsidRPr="00BF6C04" w:rsidRDefault="003761C9" w:rsidP="003761C9">
      <w:pPr>
        <w:spacing w:line="360" w:lineRule="auto"/>
        <w:jc w:val="both"/>
        <w:rPr>
          <w:rFonts w:ascii="Palatino Linotype" w:hAnsi="Palatino Linotype" w:cs="Arial"/>
        </w:rPr>
      </w:pPr>
      <w:r w:rsidRPr="00BF6C04">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761C9" w:rsidRPr="00BF6C04" w:rsidRDefault="003761C9" w:rsidP="003761C9">
      <w:pPr>
        <w:ind w:left="851" w:right="899"/>
        <w:jc w:val="both"/>
        <w:rPr>
          <w:rFonts w:ascii="Palatino Linotype" w:hAnsi="Palatino Linotype" w:cs="Arial"/>
          <w:i/>
          <w:sz w:val="22"/>
          <w:szCs w:val="22"/>
        </w:rPr>
      </w:pP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i/>
          <w:sz w:val="22"/>
          <w:szCs w:val="22"/>
        </w:rPr>
        <w:t>“</w:t>
      </w:r>
      <w:r w:rsidRPr="00BF6C04">
        <w:rPr>
          <w:rFonts w:ascii="Palatino Linotype" w:hAnsi="Palatino Linotype" w:cs="Arial"/>
          <w:b/>
          <w:i/>
          <w:sz w:val="22"/>
          <w:szCs w:val="22"/>
        </w:rPr>
        <w:t xml:space="preserve">Artículo 3. </w:t>
      </w:r>
      <w:r w:rsidRPr="00BF6C04">
        <w:rPr>
          <w:rFonts w:ascii="Palatino Linotype" w:hAnsi="Palatino Linotype" w:cs="Arial"/>
          <w:i/>
          <w:sz w:val="22"/>
          <w:szCs w:val="22"/>
        </w:rPr>
        <w:t>Para los efectos de la presente Ley se entenderá por:</w:t>
      </w: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i/>
          <w:sz w:val="22"/>
          <w:szCs w:val="22"/>
        </w:rPr>
        <w:t>…</w:t>
      </w: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b/>
          <w:i/>
          <w:sz w:val="22"/>
          <w:szCs w:val="22"/>
        </w:rPr>
        <w:t>XI. Documento:</w:t>
      </w:r>
      <w:r w:rsidRPr="00BF6C04">
        <w:rPr>
          <w:rFonts w:ascii="Palatino Linotype" w:hAnsi="Palatino Linotype" w:cs="Arial"/>
          <w:i/>
          <w:sz w:val="22"/>
          <w:szCs w:val="22"/>
        </w:rPr>
        <w:t xml:space="preserve"> Los expedientes, reportes, estudios, actas</w:t>
      </w:r>
      <w:r w:rsidRPr="00BF6C04">
        <w:rPr>
          <w:rFonts w:ascii="Palatino Linotype" w:hAnsi="Palatino Linotype" w:cs="Arial"/>
          <w:b/>
          <w:i/>
          <w:sz w:val="22"/>
          <w:szCs w:val="22"/>
        </w:rPr>
        <w:t>,</w:t>
      </w:r>
      <w:r w:rsidRPr="00BF6C04">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3761C9" w:rsidRPr="00BF6C04" w:rsidRDefault="003761C9" w:rsidP="003761C9">
      <w:pPr>
        <w:ind w:left="851" w:right="899"/>
        <w:jc w:val="both"/>
        <w:rPr>
          <w:rFonts w:ascii="Palatino Linotype" w:hAnsi="Palatino Linotype" w:cs="Arial"/>
          <w:sz w:val="22"/>
          <w:szCs w:val="22"/>
        </w:rPr>
      </w:pPr>
    </w:p>
    <w:p w:rsidR="003761C9" w:rsidRPr="00BF6C04" w:rsidRDefault="003761C9" w:rsidP="003761C9">
      <w:pPr>
        <w:autoSpaceDE w:val="0"/>
        <w:autoSpaceDN w:val="0"/>
        <w:adjustRightInd w:val="0"/>
        <w:spacing w:line="360" w:lineRule="auto"/>
        <w:jc w:val="both"/>
        <w:rPr>
          <w:rFonts w:ascii="Palatino Linotype" w:hAnsi="Palatino Linotype" w:cs="Arial"/>
        </w:rPr>
      </w:pPr>
      <w:r w:rsidRPr="00BF6C04">
        <w:rPr>
          <w:rFonts w:ascii="Palatino Linotype" w:hAnsi="Palatino Linotype" w:cs="Arial"/>
        </w:rPr>
        <w:lastRenderedPageBreak/>
        <w:t xml:space="preserve">Siendo aplicable, el Criterio </w:t>
      </w:r>
      <w:r w:rsidRPr="00BF6C04">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F6C04">
        <w:rPr>
          <w:rFonts w:ascii="Palatino Linotype" w:hAnsi="Palatino Linotype" w:cs="Arial"/>
        </w:rPr>
        <w:t>cuyo rubro y texto refieren lo siguiente:</w:t>
      </w:r>
    </w:p>
    <w:p w:rsidR="003761C9" w:rsidRPr="00BF6C04" w:rsidRDefault="003761C9" w:rsidP="003761C9">
      <w:pPr>
        <w:autoSpaceDE w:val="0"/>
        <w:autoSpaceDN w:val="0"/>
        <w:adjustRightInd w:val="0"/>
        <w:spacing w:line="360" w:lineRule="auto"/>
        <w:jc w:val="both"/>
        <w:rPr>
          <w:rFonts w:ascii="Palatino Linotype" w:hAnsi="Palatino Linotype" w:cs="Arial"/>
        </w:rPr>
      </w:pPr>
    </w:p>
    <w:p w:rsidR="003761C9" w:rsidRPr="00BF6C04" w:rsidRDefault="003761C9" w:rsidP="003761C9">
      <w:pPr>
        <w:ind w:left="851" w:right="899"/>
        <w:jc w:val="both"/>
        <w:rPr>
          <w:rFonts w:ascii="Palatino Linotype" w:hAnsi="Palatino Linotype" w:cs="Arial"/>
          <w:b/>
          <w:i/>
          <w:sz w:val="22"/>
          <w:szCs w:val="22"/>
        </w:rPr>
      </w:pPr>
      <w:r w:rsidRPr="00BF6C04">
        <w:rPr>
          <w:rFonts w:ascii="Palatino Linotype" w:hAnsi="Palatino Linotype" w:cs="Arial"/>
          <w:b/>
          <w:sz w:val="22"/>
          <w:szCs w:val="22"/>
        </w:rPr>
        <w:t>“</w:t>
      </w:r>
      <w:r w:rsidRPr="00BF6C04">
        <w:rPr>
          <w:rFonts w:ascii="Palatino Linotype" w:hAnsi="Palatino Linotype" w:cs="Arial"/>
          <w:b/>
          <w:i/>
          <w:sz w:val="22"/>
          <w:szCs w:val="22"/>
        </w:rPr>
        <w:t>CRITERIO 0002-11</w:t>
      </w: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b/>
          <w:i/>
          <w:sz w:val="22"/>
          <w:szCs w:val="22"/>
        </w:rPr>
        <w:t xml:space="preserve">INFORMACIÓN PÚBLICA, CONCEPTO DE, EN MATERIA DE TRANSPARENCIA. INTERPRETACIÓN SISTEMÁTICA DE LOS ARTÍCULOS 2°, FRACCIÓN </w:t>
      </w:r>
      <w:r w:rsidRPr="00BF6C04">
        <w:rPr>
          <w:rFonts w:ascii="Palatino Linotype" w:hAnsi="Palatino Linotype" w:cs="Arial"/>
          <w:b/>
          <w:bCs/>
          <w:i/>
          <w:sz w:val="22"/>
          <w:szCs w:val="22"/>
        </w:rPr>
        <w:t xml:space="preserve">V, XV, Y XVI, </w:t>
      </w:r>
      <w:r w:rsidRPr="00BF6C04">
        <w:rPr>
          <w:rFonts w:ascii="Palatino Linotype" w:hAnsi="Palatino Linotype" w:cs="Arial"/>
          <w:b/>
          <w:i/>
          <w:sz w:val="22"/>
          <w:szCs w:val="22"/>
        </w:rPr>
        <w:t>3°, 4°, 11 Y 41.</w:t>
      </w:r>
      <w:r w:rsidRPr="00BF6C04">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i/>
          <w:sz w:val="22"/>
          <w:szCs w:val="22"/>
        </w:rPr>
        <w:t>En consecuencia el acceso a la información se refiere a que se cumplan cualquiera de los siguientes tres supuestos:</w:t>
      </w:r>
    </w:p>
    <w:p w:rsidR="003761C9" w:rsidRPr="00BF6C04" w:rsidRDefault="003761C9" w:rsidP="003761C9">
      <w:pPr>
        <w:ind w:left="851" w:right="899"/>
        <w:jc w:val="both"/>
        <w:rPr>
          <w:rFonts w:ascii="Palatino Linotype" w:hAnsi="Palatino Linotype" w:cs="Arial"/>
          <w:i/>
          <w:sz w:val="22"/>
          <w:szCs w:val="22"/>
        </w:rPr>
      </w:pPr>
      <w:r w:rsidRPr="00BF6C04">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3761C9" w:rsidRPr="00BF6C04" w:rsidRDefault="003761C9" w:rsidP="003761C9">
      <w:pPr>
        <w:ind w:left="851" w:right="899"/>
        <w:jc w:val="both"/>
        <w:rPr>
          <w:rFonts w:ascii="Palatino Linotype" w:hAnsi="Palatino Linotype" w:cs="Arial"/>
          <w:b/>
          <w:i/>
          <w:sz w:val="22"/>
          <w:szCs w:val="22"/>
        </w:rPr>
      </w:pPr>
      <w:r w:rsidRPr="00BF6C04">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3761C9" w:rsidRPr="00BF6C04" w:rsidRDefault="003761C9" w:rsidP="003761C9">
      <w:pPr>
        <w:ind w:left="851" w:right="899"/>
        <w:jc w:val="both"/>
        <w:rPr>
          <w:rFonts w:ascii="Palatino Linotype" w:hAnsi="Palatino Linotype" w:cs="Arial"/>
          <w:b/>
          <w:i/>
          <w:sz w:val="22"/>
          <w:szCs w:val="22"/>
        </w:rPr>
      </w:pPr>
      <w:r w:rsidRPr="00BF6C04">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 (Sic)</w:t>
      </w:r>
    </w:p>
    <w:p w:rsidR="003761C9" w:rsidRPr="00BF6C04" w:rsidRDefault="003761C9" w:rsidP="003761C9">
      <w:pPr>
        <w:spacing w:before="240" w:after="240" w:line="360" w:lineRule="auto"/>
        <w:jc w:val="both"/>
        <w:rPr>
          <w:rFonts w:ascii="Palatino Linotype" w:hAnsi="Palatino Linotype"/>
        </w:rPr>
      </w:pPr>
      <w:r w:rsidRPr="00BF6C04">
        <w:rPr>
          <w:rFonts w:ascii="Palatino Linotype" w:hAnsi="Palatino Linotype"/>
        </w:rPr>
        <w:t>Precisado lo anterior, del análisis de la solicitud de información motivo del recurso de revisión que ahora se resuelve, se advierte que el particular requirió al Ayuntamiento de Metepec, lo siguiente:</w:t>
      </w:r>
    </w:p>
    <w:p w:rsidR="003761C9" w:rsidRPr="00BF6C04" w:rsidRDefault="003761C9" w:rsidP="003761C9">
      <w:pPr>
        <w:pStyle w:val="Prrafodelista"/>
        <w:numPr>
          <w:ilvl w:val="0"/>
          <w:numId w:val="21"/>
        </w:numPr>
        <w:spacing w:before="240" w:after="240" w:line="360" w:lineRule="auto"/>
        <w:jc w:val="both"/>
        <w:rPr>
          <w:rFonts w:ascii="Palatino Linotype" w:hAnsi="Palatino Linotype"/>
        </w:rPr>
      </w:pPr>
      <w:r w:rsidRPr="00BF6C04">
        <w:rPr>
          <w:rFonts w:ascii="Palatino Linotype" w:hAnsi="Palatino Linotype"/>
        </w:rPr>
        <w:t>Los recibos de pago predial del 1 de enero al 15 de febrero del año 2022.</w:t>
      </w:r>
    </w:p>
    <w:p w:rsidR="003761C9" w:rsidRPr="00BF6C04" w:rsidRDefault="003761C9" w:rsidP="003761C9">
      <w:pPr>
        <w:spacing w:before="240" w:after="240"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lastRenderedPageBreak/>
        <w:t xml:space="preserve">En respuesta, el </w:t>
      </w:r>
      <w:r w:rsidRPr="00BF6C04">
        <w:rPr>
          <w:rFonts w:ascii="Palatino Linotype" w:eastAsia="Palatino Linotype" w:hAnsi="Palatino Linotype" w:cs="Palatino Linotype"/>
          <w:b/>
        </w:rPr>
        <w:t xml:space="preserve">SUJETO OBLIGADO, </w:t>
      </w:r>
      <w:r w:rsidRPr="00BF6C04">
        <w:rPr>
          <w:rFonts w:ascii="Palatino Linotype" w:eastAsia="Palatino Linotype" w:hAnsi="Palatino Linotype" w:cs="Palatino Linotype"/>
        </w:rPr>
        <w:t xml:space="preserve">a través de su Tesorero Municipal sometió a consideración del Comité de Transparencia </w:t>
      </w:r>
      <w:r w:rsidRPr="00BF6C04">
        <w:rPr>
          <w:rFonts w:ascii="Palatino Linotype" w:hAnsi="Palatino Linotype" w:cs="Arial"/>
        </w:rPr>
        <w:t xml:space="preserve">tres modalidades para la entrega </w:t>
      </w:r>
      <w:r w:rsidR="00494BEC" w:rsidRPr="00BF6C04">
        <w:rPr>
          <w:rFonts w:ascii="Palatino Linotype" w:hAnsi="Palatino Linotype" w:cs="Arial"/>
        </w:rPr>
        <w:t>de la información: como lo son m</w:t>
      </w:r>
      <w:r w:rsidRPr="00BF6C04">
        <w:rPr>
          <w:rFonts w:ascii="Palatino Linotype" w:hAnsi="Palatino Linotype" w:cs="Arial"/>
        </w:rPr>
        <w:t xml:space="preserve">odalidad de copias simples o certificadas, modalidad de entrega digital y modalidad de consulta directa, debido al volumen considerable de información, la cual requiere procesamiento y revisión para verificar si contiene información que deba clasificarse como confidencial y/o reservada, descargarla o escanearla, cuya entrega y procesamiento sobrepasa las capacidades técnicas administrativas y humanas, de esta Tesorería Municipal. </w:t>
      </w:r>
    </w:p>
    <w:p w:rsidR="003761C9" w:rsidRPr="00BF6C04" w:rsidRDefault="003761C9" w:rsidP="003761C9">
      <w:pPr>
        <w:spacing w:before="240" w:after="240" w:line="360" w:lineRule="auto"/>
        <w:ind w:right="51"/>
        <w:jc w:val="both"/>
        <w:rPr>
          <w:rFonts w:ascii="Palatino Linotype" w:eastAsia="Palatino Linotype" w:hAnsi="Palatino Linotype" w:cs="Palatino Linotype"/>
          <w:b/>
          <w:u w:val="single"/>
        </w:rPr>
      </w:pPr>
      <w:r w:rsidRPr="00BF6C04">
        <w:rPr>
          <w:rFonts w:ascii="Palatino Linotype" w:eastAsia="Palatino Linotype" w:hAnsi="Palatino Linotype" w:cs="Palatino Linotype"/>
        </w:rPr>
        <w:t xml:space="preserve">No obstante, la parte </w:t>
      </w:r>
      <w:r w:rsidRPr="00BF6C04">
        <w:rPr>
          <w:rFonts w:ascii="Palatino Linotype" w:eastAsia="Palatino Linotype" w:hAnsi="Palatino Linotype" w:cs="Palatino Linotype"/>
          <w:b/>
        </w:rPr>
        <w:t>RECURRENTE</w:t>
      </w:r>
      <w:r w:rsidRPr="00BF6C04">
        <w:rPr>
          <w:rFonts w:ascii="Palatino Linotype" w:eastAsia="Palatino Linotype" w:hAnsi="Palatino Linotype" w:cs="Palatino Linotype"/>
        </w:rPr>
        <w:t xml:space="preserve">, al presentar los recursos de revisión que nos ocupa, se </w:t>
      </w:r>
      <w:r w:rsidR="00E8495A" w:rsidRPr="00BF6C04">
        <w:rPr>
          <w:rFonts w:ascii="Palatino Linotype" w:eastAsia="Palatino Linotype" w:hAnsi="Palatino Linotype" w:cs="Palatino Linotype"/>
        </w:rPr>
        <w:t>inconformo en lo medular por el cambio de modalidad.</w:t>
      </w:r>
    </w:p>
    <w:p w:rsidR="003761C9" w:rsidRPr="00BF6C04" w:rsidRDefault="00E8495A" w:rsidP="003761C9">
      <w:pPr>
        <w:spacing w:before="240" w:after="240" w:line="360" w:lineRule="auto"/>
        <w:ind w:right="51"/>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Ante la interposición de los </w:t>
      </w:r>
      <w:r w:rsidR="003761C9" w:rsidRPr="00BF6C04">
        <w:rPr>
          <w:rFonts w:ascii="Palatino Linotype" w:eastAsia="Palatino Linotype" w:hAnsi="Palatino Linotype" w:cs="Palatino Linotype"/>
        </w:rPr>
        <w:t>recurso</w:t>
      </w:r>
      <w:r w:rsidRPr="00BF6C04">
        <w:rPr>
          <w:rFonts w:ascii="Palatino Linotype" w:eastAsia="Palatino Linotype" w:hAnsi="Palatino Linotype" w:cs="Palatino Linotype"/>
        </w:rPr>
        <w:t>s</w:t>
      </w:r>
      <w:r w:rsidR="003761C9" w:rsidRPr="00BF6C04">
        <w:rPr>
          <w:rFonts w:ascii="Palatino Linotype" w:eastAsia="Palatino Linotype" w:hAnsi="Palatino Linotype" w:cs="Palatino Linotype"/>
        </w:rPr>
        <w:t xml:space="preserve"> de revisión el </w:t>
      </w:r>
      <w:r w:rsidR="003761C9" w:rsidRPr="00BF6C04">
        <w:rPr>
          <w:rFonts w:ascii="Palatino Linotype" w:eastAsia="Palatino Linotype" w:hAnsi="Palatino Linotype" w:cs="Palatino Linotype"/>
          <w:b/>
        </w:rPr>
        <w:t>SUJETO OBLIGADO</w:t>
      </w:r>
      <w:r w:rsidR="003761C9" w:rsidRPr="00BF6C04">
        <w:rPr>
          <w:rFonts w:ascii="Palatino Linotype" w:eastAsia="Palatino Linotype" w:hAnsi="Palatino Linotype" w:cs="Palatino Linotype"/>
        </w:rPr>
        <w:t xml:space="preserve">, </w:t>
      </w:r>
      <w:r w:rsidRPr="00BF6C04">
        <w:rPr>
          <w:rFonts w:ascii="Palatino Linotype" w:eastAsia="Palatino Linotype" w:hAnsi="Palatino Linotype" w:cs="Palatino Linotype"/>
        </w:rPr>
        <w:t xml:space="preserve">fue omiso en rendir sus informes justificados. </w:t>
      </w:r>
    </w:p>
    <w:p w:rsidR="003761C9" w:rsidRPr="00BF6C04" w:rsidRDefault="003761C9" w:rsidP="003761C9">
      <w:pPr>
        <w:spacing w:before="240" w:after="240" w:line="360" w:lineRule="auto"/>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En virtud de lo anterior, se determina que la información emitida por el </w:t>
      </w:r>
      <w:r w:rsidRPr="00BF6C04">
        <w:rPr>
          <w:rFonts w:ascii="Palatino Linotype" w:eastAsia="Palatino Linotype" w:hAnsi="Palatino Linotype" w:cs="Palatino Linotype"/>
          <w:b/>
        </w:rPr>
        <w:t>SUJETO OBLIGADO</w:t>
      </w:r>
      <w:r w:rsidRPr="00BF6C04">
        <w:rPr>
          <w:rFonts w:ascii="Palatino Linotype" w:eastAsia="Palatino Linotype" w:hAnsi="Palatino Linotype" w:cs="Palatino Linotype"/>
        </w:rPr>
        <w:t xml:space="preserve"> en su respuesta </w:t>
      </w:r>
      <w:r w:rsidR="00E8495A" w:rsidRPr="00BF6C04">
        <w:rPr>
          <w:rFonts w:ascii="Palatino Linotype" w:eastAsia="Palatino Linotype" w:hAnsi="Palatino Linotype" w:cs="Palatino Linotype"/>
        </w:rPr>
        <w:t>no cumple</w:t>
      </w:r>
      <w:r w:rsidRPr="00BF6C04">
        <w:rPr>
          <w:rFonts w:ascii="Palatino Linotype" w:eastAsia="Palatino Linotype" w:hAnsi="Palatino Linotype" w:cs="Palatino Linotype"/>
        </w:rPr>
        <w:t xml:space="preserve"> con lo establecido por los artículos 4, 12 y 24 último párrafo de la Ley de </w:t>
      </w:r>
      <w:r w:rsidRPr="00BF6C04">
        <w:rPr>
          <w:rFonts w:ascii="Palatino Linotype" w:hAnsi="Palatino Linotype" w:cs="Arial"/>
        </w:rPr>
        <w:t xml:space="preserve">Transparencia y Acceso a la Información Pública del Estado de México y Municipios; </w:t>
      </w:r>
      <w:r w:rsidRPr="00BF6C04">
        <w:rPr>
          <w:rFonts w:ascii="Palatino Linotype" w:eastAsia="Palatino Linotype" w:hAnsi="Palatino Linotype" w:cs="Palatino Linotype"/>
        </w:rPr>
        <w:t>por ello, los motivos de inconformidad</w:t>
      </w:r>
      <w:r w:rsidR="00494BEC" w:rsidRPr="00BF6C04">
        <w:rPr>
          <w:rFonts w:ascii="Palatino Linotype" w:eastAsia="Palatino Linotype" w:hAnsi="Palatino Linotype" w:cs="Palatino Linotype"/>
        </w:rPr>
        <w:t xml:space="preserve"> acontecen parcialmente fundados para modificar</w:t>
      </w:r>
      <w:r w:rsidRPr="00BF6C04">
        <w:rPr>
          <w:rFonts w:ascii="Palatino Linotype" w:eastAsia="Palatino Linotype" w:hAnsi="Palatino Linotype" w:cs="Palatino Linotype"/>
        </w:rPr>
        <w:t xml:space="preserve"> la respuesta del </w:t>
      </w:r>
      <w:r w:rsidRPr="00BF6C04">
        <w:rPr>
          <w:rFonts w:ascii="Palatino Linotype" w:eastAsia="Palatino Linotype" w:hAnsi="Palatino Linotype" w:cs="Palatino Linotype"/>
          <w:b/>
        </w:rPr>
        <w:t>SUJETO OBLIGADO</w:t>
      </w:r>
      <w:r w:rsidRPr="00BF6C04">
        <w:rPr>
          <w:rFonts w:ascii="Palatino Linotype" w:eastAsia="Palatino Linotype" w:hAnsi="Palatino Linotype" w:cs="Palatino Linotype"/>
        </w:rPr>
        <w:t>, en razón de las consideraciones de derecho que a continuación se exponen:</w:t>
      </w:r>
    </w:p>
    <w:p w:rsidR="00494BEC" w:rsidRPr="00BF6C04" w:rsidRDefault="000F39D0" w:rsidP="00494BEC">
      <w:pPr>
        <w:spacing w:before="240" w:after="240" w:line="360" w:lineRule="auto"/>
        <w:contextualSpacing/>
        <w:jc w:val="both"/>
        <w:rPr>
          <w:rFonts w:ascii="Palatino Linotype" w:hAnsi="Palatino Linotype" w:cs="Arial"/>
        </w:rPr>
      </w:pPr>
      <w:r w:rsidRPr="00BF6C04">
        <w:rPr>
          <w:rFonts w:ascii="Palatino Linotype" w:hAnsi="Palatino Linotype" w:cs="Arial"/>
        </w:rPr>
        <w:t xml:space="preserve">Si bien es cierto que el </w:t>
      </w:r>
      <w:r w:rsidRPr="00BF6C04">
        <w:rPr>
          <w:rFonts w:ascii="Palatino Linotype" w:hAnsi="Palatino Linotype" w:cs="Arial"/>
          <w:b/>
        </w:rPr>
        <w:t>SUJETO OBLIGADO</w:t>
      </w:r>
      <w:r w:rsidRPr="00BF6C04">
        <w:rPr>
          <w:rFonts w:ascii="Palatino Linotype" w:hAnsi="Palatino Linotype" w:cs="Arial"/>
        </w:rPr>
        <w:t xml:space="preserve">, </w:t>
      </w:r>
      <w:r w:rsidR="00494BEC" w:rsidRPr="00BF6C04">
        <w:rPr>
          <w:rFonts w:ascii="Palatino Linotype" w:hAnsi="Palatino Linotype" w:cs="Arial"/>
        </w:rPr>
        <w:t xml:space="preserve">a través de su Tesorero Municipal </w:t>
      </w:r>
      <w:r w:rsidRPr="00BF6C04">
        <w:rPr>
          <w:rFonts w:ascii="Palatino Linotype" w:hAnsi="Palatino Linotype" w:cs="Arial"/>
        </w:rPr>
        <w:t>ofreció tres modalidades para la entrega de la informaci</w:t>
      </w:r>
      <w:r w:rsidR="00494BEC" w:rsidRPr="00BF6C04">
        <w:rPr>
          <w:rFonts w:ascii="Palatino Linotype" w:hAnsi="Palatino Linotype" w:cs="Arial"/>
        </w:rPr>
        <w:t xml:space="preserve">ón como: Modalidad de copias simples o certificadas, modalidad de entrega digital y modalidad de consulta directa, lo cual sometió a consideración del Comité de Transparencia del </w:t>
      </w:r>
      <w:r w:rsidR="00494BEC" w:rsidRPr="00BF6C04">
        <w:rPr>
          <w:rFonts w:ascii="Palatino Linotype" w:hAnsi="Palatino Linotype" w:cs="Arial"/>
        </w:rPr>
        <w:lastRenderedPageBreak/>
        <w:t xml:space="preserve">Ayuntamiento de Metepec, sin que este hiciera manifestación alguna; lo cierto es que </w:t>
      </w:r>
      <w:r w:rsidR="00494BEC" w:rsidRPr="00BF6C04">
        <w:rPr>
          <w:rFonts w:ascii="Palatino Linotype" w:eastAsia="Palatino Linotype" w:hAnsi="Palatino Linotype" w:cs="Palatino Linotype"/>
        </w:rPr>
        <w:t xml:space="preserve">dicho cambio de modalidad careció de los fundamentos legales y motivos señalados por </w:t>
      </w:r>
      <w:r w:rsidR="00494BEC" w:rsidRPr="00BF6C04">
        <w:rPr>
          <w:rFonts w:ascii="Palatino Linotype" w:hAnsi="Palatino Linotype" w:cs="Arial"/>
        </w:rPr>
        <w:t xml:space="preserve">los artículos 155, fracción V, 158, 160 y 164 de la Ley de Transparencia y Acceso a la Información Pública del Estado de México y Municipios, los cuales establecen lo siguiente: </w:t>
      </w:r>
    </w:p>
    <w:p w:rsidR="00494BEC" w:rsidRPr="00BF6C04" w:rsidRDefault="00494BEC" w:rsidP="00494BEC">
      <w:pPr>
        <w:ind w:left="851" w:right="851"/>
        <w:jc w:val="both"/>
        <w:rPr>
          <w:rFonts w:ascii="Palatino Linotype" w:hAnsi="Palatino Linotype" w:cs="Arial"/>
          <w:i/>
          <w:iCs/>
          <w:sz w:val="22"/>
          <w:szCs w:val="22"/>
        </w:rPr>
      </w:pP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i/>
          <w:iCs/>
          <w:sz w:val="22"/>
          <w:szCs w:val="22"/>
        </w:rPr>
        <w:t>“</w:t>
      </w:r>
      <w:r w:rsidRPr="00BF6C04">
        <w:rPr>
          <w:rFonts w:ascii="Palatino Linotype" w:hAnsi="Palatino Linotype" w:cs="Arial"/>
          <w:b/>
          <w:i/>
          <w:iCs/>
          <w:sz w:val="22"/>
          <w:szCs w:val="22"/>
        </w:rPr>
        <w:t xml:space="preserve">Artículo 155. </w:t>
      </w:r>
      <w:r w:rsidRPr="00BF6C04">
        <w:rPr>
          <w:rFonts w:ascii="Palatino Linotype" w:hAnsi="Palatino Linotype" w:cs="Arial"/>
          <w:b/>
          <w:i/>
          <w:iCs/>
          <w:sz w:val="22"/>
          <w:szCs w:val="22"/>
          <w:u w:val="single"/>
        </w:rPr>
        <w:t>Para presentar una solicitud por escrito, no se podrán exigir mayores requisitos que los siguientes</w:t>
      </w:r>
      <w:r w:rsidRPr="00BF6C04">
        <w:rPr>
          <w:rFonts w:ascii="Palatino Linotype" w:hAnsi="Palatino Linotype" w:cs="Arial"/>
          <w:i/>
          <w:iCs/>
          <w:sz w:val="22"/>
          <w:szCs w:val="22"/>
        </w:rPr>
        <w:t xml:space="preserve">: </w:t>
      </w: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i/>
          <w:iCs/>
          <w:sz w:val="22"/>
          <w:szCs w:val="22"/>
        </w:rPr>
        <w:t>[…]</w:t>
      </w: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b/>
          <w:i/>
          <w:iCs/>
          <w:sz w:val="22"/>
          <w:szCs w:val="22"/>
        </w:rPr>
        <w:t xml:space="preserve">V. </w:t>
      </w:r>
      <w:r w:rsidRPr="00BF6C04">
        <w:rPr>
          <w:rFonts w:ascii="Palatino Linotype" w:hAnsi="Palatino Linotype" w:cs="Arial"/>
          <w:b/>
          <w:i/>
          <w:iCs/>
          <w:sz w:val="22"/>
          <w:szCs w:val="22"/>
          <w:u w:val="single"/>
        </w:rPr>
        <w:t>La modalidad en la que prefiere se otorgue el acceso a la información, la cual podrá ser</w:t>
      </w:r>
      <w:r w:rsidRPr="00BF6C04">
        <w:rPr>
          <w:rFonts w:ascii="Palatino Linotype" w:hAnsi="Palatino Linotype" w:cs="Arial"/>
          <w:i/>
          <w:iCs/>
          <w:sz w:val="22"/>
          <w:szCs w:val="22"/>
        </w:rPr>
        <w:t xml:space="preserve"> verbal, siempre y cuando sea para fines de orientación, </w:t>
      </w:r>
      <w:r w:rsidRPr="00BF6C04">
        <w:rPr>
          <w:rFonts w:ascii="Palatino Linotype" w:hAnsi="Palatino Linotype" w:cs="Arial"/>
          <w:b/>
          <w:i/>
          <w:iCs/>
          <w:sz w:val="22"/>
          <w:szCs w:val="22"/>
          <w:u w:val="single"/>
        </w:rPr>
        <w:t>mediante consulta directa, mediante la expedición de copias simples o certificadas o la reproducción en cualquier otro medio, incluidos los electrónicos</w:t>
      </w:r>
      <w:r w:rsidRPr="00BF6C04">
        <w:rPr>
          <w:rFonts w:ascii="Palatino Linotype" w:hAnsi="Palatino Linotype" w:cs="Arial"/>
          <w:i/>
          <w:iCs/>
          <w:sz w:val="22"/>
          <w:szCs w:val="22"/>
        </w:rPr>
        <w:t xml:space="preserve">. </w:t>
      </w:r>
    </w:p>
    <w:p w:rsidR="00494BEC" w:rsidRPr="00BF6C04" w:rsidRDefault="00494BEC" w:rsidP="00494BEC">
      <w:pPr>
        <w:ind w:left="851" w:right="851"/>
        <w:jc w:val="both"/>
        <w:rPr>
          <w:rFonts w:ascii="Palatino Linotype" w:hAnsi="Palatino Linotype" w:cs="Arial"/>
          <w:b/>
          <w:i/>
          <w:iCs/>
          <w:sz w:val="22"/>
          <w:szCs w:val="22"/>
        </w:rPr>
      </w:pPr>
      <w:r w:rsidRPr="00BF6C04">
        <w:rPr>
          <w:rFonts w:ascii="Palatino Linotype" w:hAnsi="Palatino Linotype" w:cs="Arial"/>
          <w:b/>
          <w:i/>
          <w:iCs/>
          <w:sz w:val="22"/>
          <w:szCs w:val="22"/>
        </w:rPr>
        <w:t>…</w:t>
      </w:r>
      <w:r w:rsidRPr="00BF6C04">
        <w:rPr>
          <w:rFonts w:ascii="Palatino Linotype" w:hAnsi="Palatino Linotype" w:cs="Arial"/>
          <w:bCs/>
          <w:i/>
          <w:iCs/>
          <w:sz w:val="22"/>
          <w:szCs w:val="22"/>
        </w:rPr>
        <w:t>”</w:t>
      </w:r>
    </w:p>
    <w:p w:rsidR="00494BEC" w:rsidRPr="00BF6C04" w:rsidRDefault="00494BEC" w:rsidP="00494BEC">
      <w:pPr>
        <w:ind w:left="851" w:right="851"/>
        <w:jc w:val="both"/>
        <w:rPr>
          <w:rFonts w:ascii="Palatino Linotype" w:hAnsi="Palatino Linotype" w:cs="Arial"/>
          <w:b/>
          <w:i/>
          <w:iCs/>
          <w:sz w:val="22"/>
          <w:szCs w:val="22"/>
        </w:rPr>
      </w:pP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bCs/>
          <w:i/>
          <w:iCs/>
          <w:sz w:val="22"/>
          <w:szCs w:val="22"/>
        </w:rPr>
        <w:t>“</w:t>
      </w:r>
      <w:r w:rsidRPr="00BF6C04">
        <w:rPr>
          <w:rFonts w:ascii="Palatino Linotype" w:hAnsi="Palatino Linotype" w:cs="Arial"/>
          <w:b/>
          <w:i/>
          <w:iCs/>
          <w:sz w:val="22"/>
          <w:szCs w:val="22"/>
        </w:rPr>
        <w:t xml:space="preserve">Artículo 158. </w:t>
      </w:r>
      <w:r w:rsidRPr="00BF6C04">
        <w:rPr>
          <w:rFonts w:ascii="Palatino Linotype" w:hAnsi="Palatino Linotype" w:cs="Arial"/>
          <w:i/>
          <w:iCs/>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i/>
          <w:iCs/>
          <w:sz w:val="22"/>
          <w:szCs w:val="22"/>
        </w:rPr>
        <w:t>En todo caso, se facilitará su copia simple o certificada, así como su reproducción por cualquier medio disponible en las instalaciones del sujeto obligado o que, en su caso, aporte el solicitante.”</w:t>
      </w:r>
    </w:p>
    <w:p w:rsidR="00494BEC" w:rsidRPr="00BF6C04" w:rsidRDefault="00494BEC" w:rsidP="00494BEC">
      <w:pPr>
        <w:ind w:left="851" w:right="851"/>
        <w:jc w:val="both"/>
        <w:rPr>
          <w:rFonts w:ascii="Palatino Linotype" w:hAnsi="Palatino Linotype" w:cs="Arial"/>
          <w:b/>
          <w:i/>
          <w:iCs/>
          <w:sz w:val="22"/>
          <w:szCs w:val="22"/>
        </w:rPr>
      </w:pP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bCs/>
          <w:i/>
          <w:iCs/>
          <w:sz w:val="22"/>
          <w:szCs w:val="22"/>
        </w:rPr>
        <w:t>“</w:t>
      </w:r>
      <w:r w:rsidRPr="00BF6C04">
        <w:rPr>
          <w:rFonts w:ascii="Palatino Linotype" w:hAnsi="Palatino Linotype" w:cs="Arial"/>
          <w:b/>
          <w:i/>
          <w:iCs/>
          <w:sz w:val="22"/>
          <w:szCs w:val="22"/>
        </w:rPr>
        <w:t>Artículo 160.</w:t>
      </w:r>
      <w:r w:rsidRPr="00BF6C04">
        <w:rPr>
          <w:rFonts w:ascii="Palatino Linotype" w:hAnsi="Palatino Linotype" w:cs="Arial"/>
          <w:i/>
          <w:iCs/>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i/>
          <w:iCs/>
          <w:sz w:val="22"/>
          <w:szCs w:val="22"/>
        </w:rPr>
        <w:t>En caso que la información solicitada consista en bases de datos se deberá privilegiar la entrega de la misma en formatos abiertos.”</w:t>
      </w:r>
    </w:p>
    <w:p w:rsidR="00494BEC" w:rsidRPr="00BF6C04" w:rsidRDefault="00494BEC" w:rsidP="00494BEC">
      <w:pPr>
        <w:ind w:left="851" w:right="851"/>
        <w:jc w:val="both"/>
        <w:rPr>
          <w:rFonts w:ascii="Palatino Linotype" w:hAnsi="Palatino Linotype" w:cs="Arial"/>
          <w:i/>
          <w:iCs/>
          <w:sz w:val="22"/>
          <w:szCs w:val="22"/>
        </w:rPr>
      </w:pP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bCs/>
          <w:i/>
          <w:iCs/>
          <w:sz w:val="22"/>
          <w:szCs w:val="22"/>
        </w:rPr>
        <w:t>“</w:t>
      </w:r>
      <w:r w:rsidRPr="00BF6C04">
        <w:rPr>
          <w:rFonts w:ascii="Palatino Linotype" w:hAnsi="Palatino Linotype" w:cs="Arial"/>
          <w:b/>
          <w:i/>
          <w:iCs/>
          <w:sz w:val="22"/>
          <w:szCs w:val="22"/>
        </w:rPr>
        <w:t xml:space="preserve">Artículo 164. </w:t>
      </w:r>
      <w:r w:rsidRPr="00BF6C04">
        <w:rPr>
          <w:rFonts w:ascii="Palatino Linotype" w:hAnsi="Palatino Linotype" w:cs="Arial"/>
          <w:b/>
          <w:i/>
          <w:iCs/>
          <w:sz w:val="22"/>
          <w:szCs w:val="22"/>
          <w:u w:val="single"/>
        </w:rPr>
        <w:t>El acceso se dará en la modalidad de entrega</w:t>
      </w:r>
      <w:r w:rsidRPr="00BF6C04">
        <w:rPr>
          <w:rFonts w:ascii="Palatino Linotype" w:hAnsi="Palatino Linotype" w:cs="Arial"/>
          <w:i/>
          <w:iCs/>
          <w:sz w:val="22"/>
          <w:szCs w:val="22"/>
        </w:rPr>
        <w:t xml:space="preserve"> y, en su caso, de envío </w:t>
      </w:r>
      <w:r w:rsidRPr="00BF6C04">
        <w:rPr>
          <w:rFonts w:ascii="Palatino Linotype" w:hAnsi="Palatino Linotype" w:cs="Arial"/>
          <w:b/>
          <w:i/>
          <w:iCs/>
          <w:sz w:val="22"/>
          <w:szCs w:val="22"/>
          <w:u w:val="single"/>
        </w:rPr>
        <w:t>elegidos por el solicitante</w:t>
      </w:r>
      <w:r w:rsidRPr="00BF6C04">
        <w:rPr>
          <w:rFonts w:ascii="Palatino Linotype" w:hAnsi="Palatino Linotype" w:cs="Arial"/>
          <w:i/>
          <w:iCs/>
          <w:sz w:val="22"/>
          <w:szCs w:val="22"/>
        </w:rPr>
        <w:t xml:space="preserve">. Cuando la información no pueda entregarse </w:t>
      </w:r>
      <w:r w:rsidRPr="00BF6C04">
        <w:rPr>
          <w:rFonts w:ascii="Palatino Linotype" w:hAnsi="Palatino Linotype" w:cs="Arial"/>
          <w:i/>
          <w:iCs/>
          <w:sz w:val="22"/>
          <w:szCs w:val="22"/>
        </w:rPr>
        <w:lastRenderedPageBreak/>
        <w:t xml:space="preserve">o enviarse en la modalidad solicitada, el sujeto obligado deberá ofrecer otra u otras modalidades de entrega. </w:t>
      </w:r>
    </w:p>
    <w:p w:rsidR="00494BEC" w:rsidRPr="00BF6C04" w:rsidRDefault="00494BEC" w:rsidP="00494BEC">
      <w:pPr>
        <w:ind w:left="851" w:right="851"/>
        <w:contextualSpacing/>
        <w:jc w:val="both"/>
        <w:rPr>
          <w:rFonts w:ascii="Palatino Linotype" w:hAnsi="Palatino Linotype" w:cs="Arial"/>
          <w:i/>
          <w:iCs/>
          <w:sz w:val="16"/>
          <w:szCs w:val="16"/>
        </w:rPr>
      </w:pPr>
    </w:p>
    <w:p w:rsidR="00494BEC" w:rsidRPr="00BF6C04" w:rsidRDefault="00494BEC" w:rsidP="00494BEC">
      <w:pPr>
        <w:ind w:left="851" w:right="851"/>
        <w:jc w:val="both"/>
        <w:rPr>
          <w:rFonts w:ascii="Palatino Linotype" w:hAnsi="Palatino Linotype" w:cs="Arial"/>
          <w:i/>
          <w:iCs/>
          <w:sz w:val="22"/>
          <w:szCs w:val="22"/>
        </w:rPr>
      </w:pPr>
      <w:r w:rsidRPr="00BF6C04">
        <w:rPr>
          <w:rFonts w:ascii="Palatino Linotype" w:hAnsi="Palatino Linotype" w:cs="Arial"/>
          <w:i/>
          <w:iCs/>
          <w:sz w:val="22"/>
          <w:szCs w:val="22"/>
        </w:rPr>
        <w:t>En cualquier caso, se deberá fundar y motivar la necesidad de ofrecer otras modalidades.” (Sic)</w:t>
      </w:r>
    </w:p>
    <w:p w:rsidR="00494BEC" w:rsidRPr="00BF6C04" w:rsidRDefault="00494BEC" w:rsidP="00494BEC">
      <w:pPr>
        <w:spacing w:before="240" w:after="240" w:line="360" w:lineRule="auto"/>
        <w:jc w:val="both"/>
        <w:rPr>
          <w:rFonts w:ascii="Palatino Linotype" w:hAnsi="Palatino Linotype"/>
          <w:lang w:val="es-MX"/>
        </w:rPr>
      </w:pPr>
      <w:r w:rsidRPr="00BF6C04">
        <w:rPr>
          <w:rFonts w:ascii="Palatino Linotype" w:hAnsi="Palatino Linotype"/>
          <w:lang w:val="es-MX"/>
        </w:rPr>
        <w:t>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incluidos los electrónicos.</w:t>
      </w:r>
    </w:p>
    <w:p w:rsidR="00494BEC" w:rsidRPr="00BF6C04" w:rsidRDefault="00494BEC" w:rsidP="00494BEC">
      <w:pPr>
        <w:spacing w:before="240" w:after="240" w:line="360" w:lineRule="auto"/>
        <w:jc w:val="both"/>
        <w:rPr>
          <w:rFonts w:ascii="Palatino Linotype" w:hAnsi="Palatino Linotype"/>
          <w:lang w:val="es-MX"/>
        </w:rPr>
      </w:pPr>
      <w:r w:rsidRPr="00BF6C04">
        <w:rPr>
          <w:rFonts w:ascii="Palatino Linotype" w:hAnsi="Palatino Linotype"/>
          <w:lang w:val="es-MX"/>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r w:rsidRPr="00BF6C04">
        <w:rPr>
          <w:lang w:val="es-MX"/>
        </w:rPr>
        <w:t>.</w:t>
      </w:r>
    </w:p>
    <w:p w:rsidR="00494BEC" w:rsidRPr="00BF6C04" w:rsidRDefault="00494BEC" w:rsidP="00494BEC">
      <w:pPr>
        <w:spacing w:before="240" w:after="240" w:line="360" w:lineRule="auto"/>
        <w:jc w:val="both"/>
        <w:rPr>
          <w:rFonts w:ascii="Palatino Linotype" w:hAnsi="Palatino Linotype"/>
          <w:lang w:val="es-MX"/>
        </w:rPr>
      </w:pPr>
      <w:r w:rsidRPr="00BF6C04">
        <w:rPr>
          <w:rFonts w:ascii="Palatino Linotype" w:hAnsi="Palatino Linotype"/>
          <w:lang w:val="es-MX"/>
        </w:rPr>
        <w:t xml:space="preserve">De igual manera, de forma fundada y motivada, cuando así lo determine el </w:t>
      </w:r>
      <w:r w:rsidRPr="00BF6C04">
        <w:rPr>
          <w:rFonts w:ascii="Palatino Linotype" w:hAnsi="Palatino Linotype"/>
          <w:b/>
          <w:lang w:val="es-MX"/>
        </w:rPr>
        <w:t>SUJETO OBLIGADO</w:t>
      </w:r>
      <w:r w:rsidRPr="00BF6C04">
        <w:rPr>
          <w:rFonts w:ascii="Palatino Linotype" w:hAnsi="Palatino Linotype"/>
          <w:lang w:val="es-MX"/>
        </w:rPr>
        <w:t>, en aquellos casos en que la información solicitada que ya se encuentre en su posesión implique análisis, estudio o procesamiento de documentos cuya entrega o reproducción sobrepase las capacidades técnicas del sujeto obligado para 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rsidR="00494BEC" w:rsidRPr="00BF6C04" w:rsidRDefault="00494BEC" w:rsidP="00494BEC">
      <w:pPr>
        <w:spacing w:before="240" w:after="240" w:line="360" w:lineRule="auto"/>
        <w:jc w:val="both"/>
        <w:rPr>
          <w:rFonts w:ascii="Palatino Linotype" w:hAnsi="Palatino Linotype"/>
          <w:lang w:val="es-MX"/>
        </w:rPr>
      </w:pPr>
      <w:r w:rsidRPr="00BF6C04">
        <w:rPr>
          <w:rFonts w:ascii="Palatino Linotype" w:hAnsi="Palatino Linotype"/>
          <w:lang w:val="es-MX"/>
        </w:rPr>
        <w:lastRenderedPageBreak/>
        <w:t xml:space="preserve">En ese contexto, cuando la información no pueda ser entregada en la modalidad elegida, de manera excepcional, el </w:t>
      </w:r>
      <w:r w:rsidRPr="00BF6C04">
        <w:rPr>
          <w:rFonts w:ascii="Palatino Linotype" w:hAnsi="Palatino Linotype"/>
          <w:b/>
          <w:lang w:val="es-MX"/>
        </w:rPr>
        <w:t>SUJETO OBLIGADO</w:t>
      </w:r>
      <w:r w:rsidRPr="00BF6C04">
        <w:rPr>
          <w:rFonts w:ascii="Palatino Linotype" w:hAnsi="Palatino Linotype"/>
          <w:lang w:val="es-MX"/>
        </w:rPr>
        <w:t xml:space="preserve"> deberá ofrecer todas las demás modalidades de entrega disponibles, debiendo fundar y motivar la necesidad de modificar la misma.</w:t>
      </w:r>
    </w:p>
    <w:p w:rsidR="00494BEC" w:rsidRPr="00BF6C04" w:rsidRDefault="00494BEC" w:rsidP="00494BEC">
      <w:pPr>
        <w:spacing w:after="120" w:line="360" w:lineRule="auto"/>
        <w:ind w:right="51"/>
        <w:contextualSpacing/>
        <w:jc w:val="both"/>
        <w:rPr>
          <w:rFonts w:ascii="Palatino Linotype" w:eastAsia="Palatino Linotype" w:hAnsi="Palatino Linotype" w:cs="Palatino Linotype"/>
        </w:rPr>
      </w:pPr>
      <w:r w:rsidRPr="00BF6C04">
        <w:rPr>
          <w:rFonts w:ascii="Palatino Linotype" w:eastAsia="Palatino Linotype" w:hAnsi="Palatino Linotype" w:cs="Palatino Linotype"/>
        </w:rPr>
        <w:t xml:space="preserve">En consecuencia, el </w:t>
      </w:r>
      <w:r w:rsidRPr="00BF6C04">
        <w:rPr>
          <w:rFonts w:ascii="Palatino Linotype" w:eastAsia="Palatino Linotype" w:hAnsi="Palatino Linotype" w:cs="Palatino Linotype"/>
          <w:b/>
        </w:rPr>
        <w:t>SUJETO OBLIGADO</w:t>
      </w:r>
      <w:r w:rsidRPr="00BF6C04">
        <w:rPr>
          <w:rFonts w:ascii="Palatino Linotype" w:eastAsia="Palatino Linotype" w:hAnsi="Palatino Linotype" w:cs="Palatino Linotype"/>
        </w:rPr>
        <w:t xml:space="preserve"> no justificó el impedimento para remitir la información solicitada vía SAIMEX, siendo aplicable por analogía el criterio de interpretación 08/17, emitido por el Instituto Nacional de Transparencia, Acceso a la Información y Protección de Datos Personales, INAI, que es del tenor literal siguiente:</w:t>
      </w:r>
    </w:p>
    <w:p w:rsidR="00494BEC" w:rsidRPr="00BF6C04" w:rsidRDefault="00494BEC" w:rsidP="00494BEC">
      <w:pPr>
        <w:spacing w:after="120"/>
        <w:ind w:left="851" w:right="900"/>
        <w:jc w:val="both"/>
        <w:rPr>
          <w:rFonts w:ascii="Palatino Linotype" w:eastAsia="Palatino Linotype" w:hAnsi="Palatino Linotype" w:cs="Palatino Linotype"/>
          <w:i/>
          <w:sz w:val="22"/>
          <w:szCs w:val="22"/>
        </w:rPr>
      </w:pPr>
      <w:r w:rsidRPr="00BF6C04">
        <w:rPr>
          <w:rFonts w:ascii="Palatino Linotype" w:eastAsia="Palatino Linotype" w:hAnsi="Palatino Linotype" w:cs="Palatino Linotype"/>
          <w:i/>
          <w:sz w:val="22"/>
          <w:szCs w:val="22"/>
        </w:rPr>
        <w:t>“</w:t>
      </w:r>
      <w:r w:rsidRPr="00BF6C04">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BF6C04">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BF6C04">
        <w:rPr>
          <w:rFonts w:ascii="Palatino Linotype" w:eastAsia="Palatino Linotype" w:hAnsi="Palatino Linotype" w:cs="Palatino Linotype"/>
          <w:b/>
          <w:i/>
          <w:sz w:val="22"/>
          <w:szCs w:val="22"/>
        </w:rPr>
        <w:t xml:space="preserve">a) justifique el impedimento para atender la misma </w:t>
      </w:r>
      <w:r w:rsidRPr="00BF6C04">
        <w:rPr>
          <w:rFonts w:ascii="Palatino Linotype" w:eastAsia="Palatino Linotype" w:hAnsi="Palatino Linotype" w:cs="Palatino Linotype"/>
          <w:i/>
          <w:sz w:val="22"/>
          <w:szCs w:val="22"/>
        </w:rPr>
        <w:t xml:space="preserve">y </w:t>
      </w:r>
      <w:r w:rsidRPr="00BF6C04">
        <w:rPr>
          <w:rFonts w:ascii="Palatino Linotype" w:eastAsia="Palatino Linotype" w:hAnsi="Palatino Linotype" w:cs="Palatino Linotype"/>
          <w:b/>
          <w:i/>
          <w:sz w:val="22"/>
          <w:szCs w:val="22"/>
        </w:rPr>
        <w:t>b) se notifique al particular la disposición de la información en todas las modalidades que permita el documento de que se trate</w:t>
      </w:r>
      <w:r w:rsidRPr="00BF6C04">
        <w:rPr>
          <w:rFonts w:ascii="Palatino Linotype" w:eastAsia="Palatino Linotype" w:hAnsi="Palatino Linotype" w:cs="Palatino Linotype"/>
          <w:i/>
          <w:sz w:val="22"/>
          <w:szCs w:val="22"/>
        </w:rPr>
        <w:t>, procurando reducir, en todo momento, los costos de entrega.”(Sic)</w:t>
      </w:r>
    </w:p>
    <w:p w:rsidR="00494BEC" w:rsidRPr="00BF6C04" w:rsidRDefault="00494BEC" w:rsidP="003761C9">
      <w:pPr>
        <w:spacing w:before="240" w:after="240" w:line="360" w:lineRule="auto"/>
        <w:contextualSpacing/>
        <w:jc w:val="both"/>
        <w:rPr>
          <w:rFonts w:ascii="Palatino Linotype" w:hAnsi="Palatino Linotype" w:cs="Arial"/>
        </w:rPr>
      </w:pPr>
    </w:p>
    <w:p w:rsidR="009878A7" w:rsidRPr="00BF6C04" w:rsidRDefault="00494BEC" w:rsidP="00B43253">
      <w:pPr>
        <w:autoSpaceDE w:val="0"/>
        <w:autoSpaceDN w:val="0"/>
        <w:adjustRightInd w:val="0"/>
        <w:spacing w:line="360" w:lineRule="auto"/>
        <w:jc w:val="both"/>
        <w:rPr>
          <w:rFonts w:ascii="Palatino Linotype" w:hAnsi="Palatino Linotype"/>
        </w:rPr>
      </w:pPr>
      <w:r w:rsidRPr="00BF6C04">
        <w:rPr>
          <w:rFonts w:ascii="Palatino Linotype" w:hAnsi="Palatino Linotype"/>
        </w:rPr>
        <w:t xml:space="preserve">Lo que daría para ordenar vía SAIMEX la entrega de la información solicitada por el </w:t>
      </w:r>
      <w:r w:rsidRPr="00BF6C04">
        <w:rPr>
          <w:rFonts w:ascii="Palatino Linotype" w:hAnsi="Palatino Linotype"/>
          <w:b/>
        </w:rPr>
        <w:t>RECURRENTE</w:t>
      </w:r>
      <w:r w:rsidRPr="00BF6C04">
        <w:rPr>
          <w:rFonts w:ascii="Palatino Linotype" w:hAnsi="Palatino Linotype"/>
        </w:rPr>
        <w:t>; consistente en los recibos de pago predial del 1 de enero al 15 de febrero del año 2022.</w:t>
      </w:r>
    </w:p>
    <w:p w:rsidR="00494BEC" w:rsidRPr="00BF6C04" w:rsidRDefault="00494BEC" w:rsidP="00B43253">
      <w:pPr>
        <w:autoSpaceDE w:val="0"/>
        <w:autoSpaceDN w:val="0"/>
        <w:adjustRightInd w:val="0"/>
        <w:spacing w:line="360" w:lineRule="auto"/>
        <w:jc w:val="both"/>
        <w:rPr>
          <w:rFonts w:ascii="Palatino Linotype" w:hAnsi="Palatino Linotype"/>
        </w:rPr>
      </w:pPr>
    </w:p>
    <w:p w:rsidR="00642A95" w:rsidRPr="00BF6C04" w:rsidRDefault="00494BEC" w:rsidP="0068711D">
      <w:pPr>
        <w:autoSpaceDE w:val="0"/>
        <w:autoSpaceDN w:val="0"/>
        <w:adjustRightInd w:val="0"/>
        <w:spacing w:line="360" w:lineRule="auto"/>
        <w:jc w:val="both"/>
        <w:rPr>
          <w:rFonts w:ascii="Palatino Linotype" w:eastAsia="Calibri" w:hAnsi="Palatino Linotype" w:cs="Tahoma"/>
          <w:bCs/>
          <w:lang w:eastAsia="en-US"/>
        </w:rPr>
      </w:pPr>
      <w:r w:rsidRPr="00BF6C04">
        <w:rPr>
          <w:rFonts w:ascii="Palatino Linotype" w:hAnsi="Palatino Linotype"/>
        </w:rPr>
        <w:t xml:space="preserve">Sin embargo, debido a la naturaleza de los recibos del pago predial, </w:t>
      </w:r>
      <w:r w:rsidR="00331234" w:rsidRPr="00BF6C04">
        <w:rPr>
          <w:rFonts w:ascii="Palatino Linotype" w:hAnsi="Palatino Linotype"/>
        </w:rPr>
        <w:t>es necesario traer a colación el</w:t>
      </w:r>
      <w:r w:rsidR="00642A95" w:rsidRPr="00BF6C04">
        <w:rPr>
          <w:rFonts w:ascii="Palatino Linotype" w:hAnsi="Palatino Linotype" w:cs="Tahoma"/>
        </w:rPr>
        <w:t xml:space="preserve"> </w:t>
      </w:r>
      <w:r w:rsidR="00642A95" w:rsidRPr="00BF6C04">
        <w:rPr>
          <w:rFonts w:ascii="Palatino Linotype" w:eastAsia="Calibri" w:hAnsi="Palatino Linotype" w:cs="Tahoma"/>
          <w:bCs/>
          <w:lang w:eastAsia="en-US"/>
        </w:rPr>
        <w:t xml:space="preserve">artículo 55 del Código Financiero del Estado de México y Municipios, </w:t>
      </w:r>
      <w:r w:rsidR="0068711D" w:rsidRPr="00BF6C04">
        <w:rPr>
          <w:rFonts w:ascii="Palatino Linotype" w:eastAsia="Calibri" w:hAnsi="Palatino Linotype" w:cs="Tahoma"/>
          <w:bCs/>
          <w:lang w:eastAsia="en-US"/>
        </w:rPr>
        <w:t xml:space="preserve">en donde establece que </w:t>
      </w:r>
      <w:r w:rsidR="00642A95" w:rsidRPr="00BF6C04">
        <w:rPr>
          <w:rFonts w:ascii="Palatino Linotype" w:eastAsia="Calibri" w:hAnsi="Palatino Linotype" w:cs="Tahoma"/>
          <w:bCs/>
          <w:lang w:eastAsia="en-US"/>
        </w:rPr>
        <w:t xml:space="preserve">el Ayuntamiento está obligado a guardar absoluta reserva o confidencialidad, respecto de las declaraciones y datos que </w:t>
      </w:r>
      <w:r w:rsidR="00642A95" w:rsidRPr="00BF6C04">
        <w:rPr>
          <w:rFonts w:ascii="Palatino Linotype" w:eastAsia="Calibri" w:hAnsi="Palatino Linotype" w:cs="Tahoma"/>
          <w:bCs/>
          <w:lang w:eastAsia="en-US"/>
        </w:rPr>
        <w:lastRenderedPageBreak/>
        <w:t>proporcionen los particulares o terceros relacionados con ellos, así como los obtenidos en el ejercicio de las facultades de comprobación.</w:t>
      </w:r>
    </w:p>
    <w:p w:rsidR="00642A95" w:rsidRPr="00BF6C04" w:rsidRDefault="00642A95" w:rsidP="00642A95">
      <w:pPr>
        <w:spacing w:line="360" w:lineRule="auto"/>
        <w:jc w:val="both"/>
        <w:rPr>
          <w:rFonts w:ascii="Palatino Linotype" w:eastAsia="Calibri" w:hAnsi="Palatino Linotype" w:cs="Tahoma"/>
          <w:bCs/>
          <w:lang w:eastAsia="en-US"/>
        </w:rPr>
      </w:pPr>
    </w:p>
    <w:p w:rsidR="00642A95" w:rsidRPr="00BF6C04" w:rsidRDefault="00642A95" w:rsidP="00642A95">
      <w:pPr>
        <w:spacing w:line="360" w:lineRule="auto"/>
        <w:jc w:val="both"/>
        <w:rPr>
          <w:rFonts w:ascii="Palatino Linotype" w:eastAsia="Calibri" w:hAnsi="Palatino Linotype" w:cs="Tahoma"/>
          <w:bCs/>
          <w:lang w:eastAsia="en-US"/>
        </w:rPr>
      </w:pPr>
      <w:r w:rsidRPr="00BF6C04">
        <w:rPr>
          <w:rFonts w:ascii="Palatino Linotype" w:eastAsia="Calibri" w:hAnsi="Palatino Linotype" w:cs="Tahoma"/>
          <w:bCs/>
          <w:lang w:eastAsia="en-US"/>
        </w:rPr>
        <w:t>Por su parte el artículo 143, fracción II, de la Ley de Transparencia y Acceso a la Información Pública del Estado de México y Municipios, dispone que se considera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42A95" w:rsidRPr="00BF6C04" w:rsidRDefault="00642A95" w:rsidP="00642A95">
      <w:pPr>
        <w:spacing w:line="360" w:lineRule="auto"/>
        <w:jc w:val="both"/>
        <w:rPr>
          <w:rFonts w:ascii="Palatino Linotype" w:eastAsia="Calibri" w:hAnsi="Palatino Linotype" w:cs="Tahoma"/>
          <w:bCs/>
          <w:lang w:eastAsia="en-US"/>
        </w:rPr>
      </w:pPr>
    </w:p>
    <w:p w:rsidR="00642A95" w:rsidRPr="00BF6C04" w:rsidRDefault="00642A95" w:rsidP="00642A95">
      <w:pPr>
        <w:spacing w:line="360" w:lineRule="auto"/>
        <w:jc w:val="both"/>
        <w:rPr>
          <w:rFonts w:ascii="Palatino Linotype" w:eastAsia="Calibri" w:hAnsi="Palatino Linotype" w:cs="Tahoma"/>
          <w:bCs/>
          <w:lang w:eastAsia="en-US"/>
        </w:rPr>
      </w:pPr>
      <w:r w:rsidRPr="00BF6C04">
        <w:rPr>
          <w:rFonts w:ascii="Palatino Linotype" w:eastAsia="Calibri" w:hAnsi="Palatino Linotype" w:cs="Tahoma"/>
          <w:bCs/>
          <w:lang w:eastAsia="en-US"/>
        </w:rPr>
        <w:t>En 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rsidR="00642A95" w:rsidRPr="00BF6C04" w:rsidRDefault="00642A95" w:rsidP="00642A95">
      <w:pPr>
        <w:spacing w:line="360" w:lineRule="auto"/>
        <w:jc w:val="both"/>
        <w:rPr>
          <w:rFonts w:ascii="Palatino Linotype" w:eastAsia="Calibri" w:hAnsi="Palatino Linotype" w:cs="Tahoma"/>
          <w:bCs/>
          <w:lang w:eastAsia="en-US"/>
        </w:rPr>
      </w:pPr>
    </w:p>
    <w:p w:rsidR="00642A95" w:rsidRPr="00BF6C04" w:rsidRDefault="00642A95" w:rsidP="00642A95">
      <w:pPr>
        <w:spacing w:line="360" w:lineRule="auto"/>
        <w:jc w:val="both"/>
        <w:rPr>
          <w:rFonts w:ascii="Palatino Linotype" w:eastAsia="Calibri" w:hAnsi="Palatino Linotype" w:cs="Tahoma"/>
          <w:bCs/>
          <w:lang w:eastAsia="en-US"/>
        </w:rPr>
      </w:pPr>
      <w:r w:rsidRPr="00BF6C04">
        <w:rPr>
          <w:rFonts w:ascii="Palatino Linotype" w:eastAsia="Calibri" w:hAnsi="Palatino Linotype" w:cs="Tahoma"/>
          <w:bCs/>
          <w:lang w:eastAsia="en-US"/>
        </w:rPr>
        <w:t xml:space="preserve">Dada la naturaleza de la información relacionada con el pago de contribuciones, esta no está sujeta a temporalidad alguna de clasificación y únicamente pueden tener acceso a ella los titulares de la misma, sus representantes legales y los servidores </w:t>
      </w:r>
      <w:r w:rsidRPr="00BF6C04">
        <w:rPr>
          <w:rFonts w:ascii="Palatino Linotype" w:eastAsia="Calibri" w:hAnsi="Palatino Linotype" w:cs="Tahoma"/>
          <w:bCs/>
          <w:lang w:eastAsia="en-US"/>
        </w:rPr>
        <w:lastRenderedPageBreak/>
        <w:t>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642A95" w:rsidRPr="00BF6C04" w:rsidRDefault="00642A95" w:rsidP="00642A95">
      <w:pPr>
        <w:spacing w:line="360" w:lineRule="auto"/>
        <w:jc w:val="both"/>
        <w:rPr>
          <w:rFonts w:ascii="Palatino Linotype" w:eastAsia="Calibri" w:hAnsi="Palatino Linotype" w:cs="Tahoma"/>
          <w:bCs/>
          <w:lang w:eastAsia="en-US"/>
        </w:rPr>
      </w:pPr>
    </w:p>
    <w:p w:rsidR="00642A95" w:rsidRPr="00BF6C04" w:rsidRDefault="00642A95" w:rsidP="00642A95">
      <w:pPr>
        <w:spacing w:line="360" w:lineRule="auto"/>
        <w:jc w:val="both"/>
        <w:rPr>
          <w:rFonts w:ascii="Palatino Linotype" w:eastAsia="Calibri" w:hAnsi="Palatino Linotype" w:cs="Tahoma"/>
          <w:bCs/>
          <w:lang w:eastAsia="en-US"/>
        </w:rPr>
      </w:pPr>
      <w:r w:rsidRPr="00BF6C04">
        <w:rPr>
          <w:rFonts w:ascii="Palatino Linotype" w:eastAsia="Calibri" w:hAnsi="Palatino Linotype" w:cs="Tahoma"/>
          <w:bCs/>
          <w:lang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rsidR="00642A95" w:rsidRPr="00BF6C04" w:rsidRDefault="00642A95" w:rsidP="00642A95">
      <w:pPr>
        <w:spacing w:line="360" w:lineRule="auto"/>
        <w:jc w:val="both"/>
        <w:rPr>
          <w:rFonts w:ascii="Palatino Linotype" w:eastAsia="Calibri" w:hAnsi="Palatino Linotype" w:cs="Tahoma"/>
          <w:bCs/>
          <w:lang w:eastAsia="en-US"/>
        </w:rPr>
      </w:pPr>
    </w:p>
    <w:p w:rsidR="00642A95" w:rsidRPr="00BF6C04" w:rsidRDefault="00642A95" w:rsidP="00642A95">
      <w:pPr>
        <w:spacing w:line="360" w:lineRule="auto"/>
        <w:jc w:val="both"/>
        <w:rPr>
          <w:rFonts w:ascii="Palatino Linotype" w:eastAsia="Calibri" w:hAnsi="Palatino Linotype" w:cs="Tahoma"/>
          <w:bCs/>
          <w:iCs/>
          <w:lang w:eastAsia="en-US"/>
        </w:rPr>
      </w:pPr>
      <w:r w:rsidRPr="00BF6C04">
        <w:rPr>
          <w:rFonts w:ascii="Palatino Linotype" w:eastAsia="Calibri" w:hAnsi="Palatino Linotype" w:cs="Tahoma"/>
          <w:bCs/>
          <w:lang w:eastAsia="en-US"/>
        </w:rPr>
        <w:t>Sobre el particular, resulta aplicable la tesis aislada con número 1a.</w:t>
      </w:r>
      <w:r w:rsidRPr="00BF6C04">
        <w:rPr>
          <w:rFonts w:ascii="Palatino Linotype" w:eastAsia="Calibri" w:hAnsi="Palatino Linotype" w:cs="Tahoma"/>
          <w:bCs/>
          <w:iCs/>
          <w:lang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rsidR="00642A95" w:rsidRPr="00BF6C04" w:rsidRDefault="00642A95" w:rsidP="00642A95">
      <w:pPr>
        <w:spacing w:line="360" w:lineRule="auto"/>
        <w:jc w:val="both"/>
        <w:rPr>
          <w:rFonts w:ascii="Palatino Linotype" w:eastAsia="Calibri" w:hAnsi="Palatino Linotype" w:cs="Tahoma"/>
          <w:bCs/>
          <w:iCs/>
          <w:lang w:eastAsia="en-US"/>
        </w:rPr>
      </w:pPr>
    </w:p>
    <w:p w:rsidR="00642A95" w:rsidRPr="00BF6C04" w:rsidRDefault="0068711D" w:rsidP="0068711D">
      <w:pPr>
        <w:ind w:left="567" w:right="567"/>
        <w:contextualSpacing/>
        <w:jc w:val="both"/>
        <w:rPr>
          <w:rFonts w:ascii="Palatino Linotype" w:eastAsia="Calibri" w:hAnsi="Palatino Linotype" w:cs="Tahoma"/>
          <w:bCs/>
          <w:i/>
          <w:iCs/>
          <w:sz w:val="22"/>
          <w:szCs w:val="22"/>
          <w:lang w:eastAsia="en-US"/>
        </w:rPr>
      </w:pPr>
      <w:r w:rsidRPr="00BF6C04">
        <w:rPr>
          <w:rFonts w:ascii="Palatino Linotype" w:eastAsia="Calibri" w:hAnsi="Palatino Linotype" w:cs="Tahoma"/>
          <w:b/>
          <w:bCs/>
          <w:i/>
          <w:iCs/>
          <w:sz w:val="22"/>
          <w:szCs w:val="22"/>
          <w:lang w:eastAsia="en-US"/>
        </w:rPr>
        <w:t>“</w:t>
      </w:r>
      <w:r w:rsidR="00642A95" w:rsidRPr="00BF6C04">
        <w:rPr>
          <w:rFonts w:ascii="Palatino Linotype" w:eastAsia="Calibri" w:hAnsi="Palatino Linotype" w:cs="Tahoma"/>
          <w:b/>
          <w:bCs/>
          <w:i/>
          <w:iCs/>
          <w:sz w:val="22"/>
          <w:szCs w:val="22"/>
          <w:lang w:eastAsia="en-US"/>
        </w:rPr>
        <w:t xml:space="preserve">SECRETO FISCAL. CONCEPTO DE. </w:t>
      </w:r>
      <w:r w:rsidR="00642A95" w:rsidRPr="00BF6C04">
        <w:rPr>
          <w:rFonts w:ascii="Palatino Linotype" w:eastAsia="Calibri" w:hAnsi="Palatino Linotype" w:cs="Tahoma"/>
          <w:bCs/>
          <w:i/>
          <w:iCs/>
          <w:sz w:val="22"/>
          <w:szCs w:val="22"/>
          <w:lang w:eastAsia="en-U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w:t>
      </w:r>
      <w:r w:rsidR="00642A95" w:rsidRPr="00BF6C04">
        <w:rPr>
          <w:rFonts w:ascii="Palatino Linotype" w:eastAsia="Calibri" w:hAnsi="Palatino Linotype" w:cs="Tahoma"/>
          <w:bCs/>
          <w:i/>
          <w:iCs/>
          <w:sz w:val="22"/>
          <w:szCs w:val="22"/>
          <w:lang w:eastAsia="en-US"/>
        </w:rPr>
        <w:lastRenderedPageBreak/>
        <w:t>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r w:rsidRPr="00BF6C04">
        <w:rPr>
          <w:rFonts w:ascii="Palatino Linotype" w:eastAsia="Calibri" w:hAnsi="Palatino Linotype" w:cs="Tahoma"/>
          <w:bCs/>
          <w:i/>
          <w:iCs/>
          <w:sz w:val="22"/>
          <w:szCs w:val="22"/>
          <w:lang w:eastAsia="en-US"/>
        </w:rPr>
        <w:t>(Sic)</w:t>
      </w:r>
    </w:p>
    <w:p w:rsidR="00642A95" w:rsidRPr="00BF6C04" w:rsidRDefault="00642A95" w:rsidP="00642A95">
      <w:pPr>
        <w:spacing w:line="360" w:lineRule="auto"/>
        <w:jc w:val="both"/>
        <w:rPr>
          <w:rFonts w:ascii="Palatino Linotype" w:eastAsia="Calibri" w:hAnsi="Palatino Linotype" w:cs="Tahoma"/>
          <w:bCs/>
          <w:iCs/>
          <w:lang w:eastAsia="en-US"/>
        </w:rPr>
      </w:pPr>
    </w:p>
    <w:p w:rsidR="00642A95" w:rsidRPr="00BF6C04" w:rsidRDefault="00642A95" w:rsidP="00642A95">
      <w:pPr>
        <w:spacing w:line="360" w:lineRule="auto"/>
        <w:jc w:val="both"/>
        <w:rPr>
          <w:rFonts w:ascii="Palatino Linotype" w:eastAsia="Calibri" w:hAnsi="Palatino Linotype" w:cs="Tahoma"/>
          <w:bCs/>
          <w:iCs/>
          <w:lang w:eastAsia="en-US"/>
        </w:rPr>
      </w:pPr>
      <w:r w:rsidRPr="00BF6C04">
        <w:rPr>
          <w:rFonts w:ascii="Palatino Linotype" w:eastAsia="Calibri" w:hAnsi="Palatino Linotype" w:cs="Tahoma"/>
          <w:bCs/>
          <w:iCs/>
          <w:lang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p>
    <w:p w:rsidR="00642A95" w:rsidRPr="00BF6C04" w:rsidRDefault="00642A95" w:rsidP="00642A95">
      <w:pPr>
        <w:spacing w:line="360" w:lineRule="auto"/>
        <w:jc w:val="both"/>
        <w:rPr>
          <w:rFonts w:ascii="Palatino Linotype" w:eastAsia="Calibri" w:hAnsi="Palatino Linotype" w:cs="Tahoma"/>
          <w:bCs/>
          <w:iCs/>
          <w:lang w:eastAsia="en-US"/>
        </w:rPr>
      </w:pPr>
    </w:p>
    <w:p w:rsidR="00642A95" w:rsidRPr="00BF6C04" w:rsidRDefault="00642A95" w:rsidP="00642A95">
      <w:pPr>
        <w:spacing w:line="360" w:lineRule="auto"/>
        <w:jc w:val="both"/>
        <w:rPr>
          <w:rFonts w:ascii="Palatino Linotype" w:eastAsia="Calibri" w:hAnsi="Palatino Linotype" w:cs="Tahoma"/>
          <w:bCs/>
          <w:iCs/>
          <w:lang w:eastAsia="en-US"/>
        </w:rPr>
      </w:pPr>
      <w:r w:rsidRPr="00BF6C04">
        <w:rPr>
          <w:rFonts w:ascii="Palatino Linotype" w:eastAsia="Calibri" w:hAnsi="Palatino Linotype" w:cs="Tahoma"/>
          <w:bCs/>
          <w:iCs/>
          <w:lang w:eastAsia="en-US"/>
        </w:rPr>
        <w:t>Lo cual, se traduce en una concreta carga -de no hacer- impuesta a la autoridad fiscal, consistente en que al aplicar las disposiciones fiscales no deben revelar de ninguna forma información tributaria de los contribuyentes. Por lo cual, no procede la entrega de dicha información, toda vez que se trata de información de contribuyentes sobre la cual prevalece el secreto fiscal.</w:t>
      </w:r>
    </w:p>
    <w:p w:rsidR="00642A95" w:rsidRPr="00BF6C04" w:rsidRDefault="00642A95" w:rsidP="00642A95">
      <w:pPr>
        <w:spacing w:line="360" w:lineRule="auto"/>
        <w:jc w:val="both"/>
        <w:rPr>
          <w:rFonts w:ascii="Palatino Linotype" w:eastAsia="Calibri" w:hAnsi="Palatino Linotype" w:cs="Tahoma"/>
          <w:bCs/>
          <w:iCs/>
          <w:lang w:eastAsia="en-US"/>
        </w:rPr>
      </w:pPr>
    </w:p>
    <w:p w:rsidR="00642A95" w:rsidRPr="00BF6C04" w:rsidRDefault="00642A95" w:rsidP="00642A95">
      <w:pPr>
        <w:spacing w:line="360" w:lineRule="auto"/>
        <w:jc w:val="both"/>
        <w:rPr>
          <w:rFonts w:ascii="Palatino Linotype" w:eastAsia="Calibri" w:hAnsi="Palatino Linotype" w:cs="Tahoma"/>
          <w:bCs/>
          <w:lang w:eastAsia="en-US"/>
        </w:rPr>
      </w:pPr>
      <w:r w:rsidRPr="00BF6C04">
        <w:rPr>
          <w:rFonts w:ascii="Palatino Linotype" w:eastAsia="Calibri" w:hAnsi="Palatino Linotype" w:cs="Tahoma"/>
          <w:bCs/>
          <w:lang w:eastAsia="en-US"/>
        </w:rPr>
        <w:t xml:space="preserve">Con base en lo expuesto los recibos de pago solicitados, actualizan el supuesto de confidencialidad establecido en el artículo 143, fracción II, de la Ley de Transparencia y Acceso a la Información Pública del Estado de México y Municipios, por lo que el Sujeto Obligado a través de su Comité de Transparencia, deberá fundar y motivar la clasificación de la información, de conformidad con lo previsto en el </w:t>
      </w:r>
      <w:r w:rsidRPr="00BF6C04">
        <w:rPr>
          <w:rFonts w:ascii="Palatino Linotype" w:eastAsia="Calibri" w:hAnsi="Palatino Linotype" w:cs="Tahoma"/>
          <w:bCs/>
          <w:lang w:eastAsia="en-US"/>
        </w:rPr>
        <w:lastRenderedPageBreak/>
        <w:t>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AA3A80" w:rsidRPr="00BF6C04" w:rsidRDefault="00AA3A80" w:rsidP="00AA3A80">
      <w:pPr>
        <w:spacing w:before="240" w:after="240" w:line="360" w:lineRule="auto"/>
        <w:contextualSpacing/>
        <w:jc w:val="both"/>
        <w:rPr>
          <w:rFonts w:ascii="Palatino Linotype" w:hAnsi="Palatino Linotype" w:cs="Arial"/>
        </w:rPr>
      </w:pPr>
    </w:p>
    <w:p w:rsidR="00B43253" w:rsidRPr="00BF6C04" w:rsidRDefault="00B43253" w:rsidP="00B43253">
      <w:pPr>
        <w:spacing w:before="240" w:after="240" w:line="360" w:lineRule="auto"/>
        <w:jc w:val="both"/>
        <w:rPr>
          <w:rFonts w:ascii="Palatino Linotype" w:hAnsi="Palatino Linotype" w:cs="Arial"/>
        </w:rPr>
      </w:pPr>
      <w:r w:rsidRPr="00BF6C04">
        <w:rPr>
          <w:rFonts w:ascii="Palatino Linotype" w:hAnsi="Palatino Linotype" w:cs="Arial"/>
        </w:rPr>
        <w:t xml:space="preserve">Así, con fundamento en lo prescrito en los artículos 5 párrafos trigésimo, trigésimo primero y trigésimo segundo de la Constitución Política del Estado Libre y Soberano de México; 2, fracción II; 29, 36 fracciones I y II; 176, 178, 181, 185 y </w:t>
      </w:r>
      <w:r w:rsidRPr="00BF6C04">
        <w:rPr>
          <w:rFonts w:ascii="Palatino Linotype" w:hAnsi="Palatino Linotype" w:cs="Arial"/>
          <w:szCs w:val="22"/>
          <w:lang w:val="es-MX" w:eastAsia="en-US"/>
        </w:rPr>
        <w:t xml:space="preserve">186 fracción II </w:t>
      </w:r>
      <w:r w:rsidRPr="00BF6C04">
        <w:rPr>
          <w:rFonts w:ascii="Palatino Linotype" w:hAnsi="Palatino Linotype" w:cs="Arial"/>
        </w:rPr>
        <w:t>de la Ley de Transparencia y Acceso a la Información Pública del Estado de México y Municipios, este Pleno:</w:t>
      </w:r>
    </w:p>
    <w:p w:rsidR="00B43253" w:rsidRPr="00BF6C04" w:rsidRDefault="00B43253" w:rsidP="00B43253">
      <w:pPr>
        <w:pStyle w:val="Prrafodelista"/>
        <w:numPr>
          <w:ilvl w:val="0"/>
          <w:numId w:val="1"/>
        </w:numPr>
        <w:spacing w:before="240" w:after="240" w:line="360" w:lineRule="auto"/>
        <w:contextualSpacing/>
        <w:jc w:val="center"/>
        <w:rPr>
          <w:rFonts w:ascii="Palatino Linotype" w:hAnsi="Palatino Linotype" w:cs="Arial"/>
          <w:b/>
        </w:rPr>
      </w:pPr>
      <w:r w:rsidRPr="00BF6C04">
        <w:rPr>
          <w:rFonts w:ascii="Palatino Linotype" w:hAnsi="Palatino Linotype" w:cs="Arial"/>
          <w:b/>
        </w:rPr>
        <w:t>R E S U E L V E:</w:t>
      </w:r>
    </w:p>
    <w:p w:rsidR="00B43253" w:rsidRPr="00BF6C04" w:rsidRDefault="00B43253" w:rsidP="00B43253">
      <w:pPr>
        <w:spacing w:before="240" w:after="240" w:line="360" w:lineRule="auto"/>
        <w:jc w:val="both"/>
        <w:rPr>
          <w:rFonts w:ascii="Palatino Linotype" w:hAnsi="Palatino Linotype" w:cs="Arial"/>
        </w:rPr>
      </w:pPr>
      <w:r w:rsidRPr="00BF6C04">
        <w:rPr>
          <w:rFonts w:ascii="Palatino Linotype" w:hAnsi="Palatino Linotype" w:cs="Arial"/>
          <w:b/>
        </w:rPr>
        <w:t xml:space="preserve">Primero. </w:t>
      </w:r>
      <w:r w:rsidRPr="00BF6C04">
        <w:rPr>
          <w:rFonts w:ascii="Palatino Linotype" w:hAnsi="Palatino Linotype" w:cs="Arial"/>
          <w:lang w:val="es-ES_tradnl"/>
        </w:rPr>
        <w:t>Resultan</w:t>
      </w:r>
      <w:r w:rsidR="00AA3A80" w:rsidRPr="00BF6C04">
        <w:rPr>
          <w:rFonts w:ascii="Palatino Linotype" w:hAnsi="Palatino Linotype" w:cs="Arial"/>
          <w:lang w:val="es-ES_tradnl"/>
        </w:rPr>
        <w:t xml:space="preserve"> </w:t>
      </w:r>
      <w:r w:rsidR="00331234" w:rsidRPr="00BF6C04">
        <w:rPr>
          <w:rFonts w:ascii="Palatino Linotype" w:hAnsi="Palatino Linotype" w:cs="Arial"/>
          <w:lang w:val="es-ES_tradnl"/>
        </w:rPr>
        <w:t xml:space="preserve">parcialmente </w:t>
      </w:r>
      <w:r w:rsidRPr="00BF6C04">
        <w:rPr>
          <w:rFonts w:ascii="Palatino Linotype" w:hAnsi="Palatino Linotype" w:cs="Arial"/>
          <w:lang w:val="es-ES_tradnl"/>
        </w:rPr>
        <w:t xml:space="preserve">fundados </w:t>
      </w:r>
      <w:r w:rsidRPr="00BF6C04">
        <w:rPr>
          <w:rFonts w:ascii="Palatino Linotype" w:eastAsia="Arial Unicode MS" w:hAnsi="Palatino Linotype" w:cs="Arial"/>
        </w:rPr>
        <w:t xml:space="preserve">los motivos de inconformidad hechos valer por el </w:t>
      </w:r>
      <w:r w:rsidR="00401728" w:rsidRPr="00BF6C04">
        <w:rPr>
          <w:rFonts w:ascii="Palatino Linotype" w:eastAsia="Arial Unicode MS" w:hAnsi="Palatino Linotype" w:cs="Arial"/>
          <w:b/>
        </w:rPr>
        <w:t>RECURRENTE</w:t>
      </w:r>
      <w:r w:rsidRPr="00BF6C04">
        <w:rPr>
          <w:rFonts w:ascii="Palatino Linotype" w:eastAsia="Arial Unicode MS" w:hAnsi="Palatino Linotype" w:cs="Arial"/>
        </w:rPr>
        <w:t xml:space="preserve"> </w:t>
      </w:r>
      <w:r w:rsidR="00AA3A80" w:rsidRPr="00BF6C04">
        <w:rPr>
          <w:rFonts w:ascii="Palatino Linotype" w:eastAsia="Palatino Linotype" w:hAnsi="Palatino Linotype" w:cs="Palatino Linotype"/>
        </w:rPr>
        <w:t>en los</w:t>
      </w:r>
      <w:r w:rsidRPr="00BF6C04">
        <w:rPr>
          <w:rFonts w:ascii="Palatino Linotype" w:eastAsia="Palatino Linotype" w:hAnsi="Palatino Linotype" w:cs="Palatino Linotype"/>
        </w:rPr>
        <w:t xml:space="preserve"> Recurso</w:t>
      </w:r>
      <w:r w:rsidR="00AA3A80" w:rsidRPr="00BF6C04">
        <w:rPr>
          <w:rFonts w:ascii="Palatino Linotype" w:eastAsia="Palatino Linotype" w:hAnsi="Palatino Linotype" w:cs="Palatino Linotype"/>
        </w:rPr>
        <w:t>s</w:t>
      </w:r>
      <w:r w:rsidRPr="00BF6C04">
        <w:rPr>
          <w:rFonts w:ascii="Palatino Linotype" w:eastAsia="Palatino Linotype" w:hAnsi="Palatino Linotype" w:cs="Palatino Linotype"/>
        </w:rPr>
        <w:t xml:space="preserve"> de Revisión </w:t>
      </w:r>
      <w:r w:rsidR="00331234" w:rsidRPr="00BF6C04">
        <w:rPr>
          <w:rFonts w:ascii="Palatino Linotype" w:eastAsia="Palatino Linotype" w:hAnsi="Palatino Linotype" w:cs="Palatino Linotype"/>
          <w:b/>
        </w:rPr>
        <w:t>13969/INFOEM/IP/RR/2022</w:t>
      </w:r>
      <w:r w:rsidRPr="00BF6C04">
        <w:rPr>
          <w:rFonts w:ascii="Palatino Linotype" w:eastAsia="Palatino Linotype" w:hAnsi="Palatino Linotype" w:cs="Palatino Linotype"/>
          <w:b/>
        </w:rPr>
        <w:t xml:space="preserve">, </w:t>
      </w:r>
      <w:r w:rsidR="00331234" w:rsidRPr="00BF6C04">
        <w:rPr>
          <w:rFonts w:ascii="Palatino Linotype" w:hAnsi="Palatino Linotype" w:cs="Arial"/>
          <w:b/>
          <w:bCs/>
        </w:rPr>
        <w:t>14013/INFOEM/IP/RR/2022 y 14048/INFOEM/IP/RR/2022</w:t>
      </w:r>
      <w:r w:rsidR="00AA3A80" w:rsidRPr="00BF6C04">
        <w:rPr>
          <w:rFonts w:ascii="Palatino Linotype" w:hAnsi="Palatino Linotype" w:cs="Arial"/>
          <w:b/>
          <w:bCs/>
        </w:rPr>
        <w:t xml:space="preserve">; </w:t>
      </w:r>
      <w:r w:rsidRPr="00BF6C04">
        <w:rPr>
          <w:rFonts w:ascii="Palatino Linotype" w:hAnsi="Palatino Linotype" w:cs="Arial"/>
          <w:lang w:val="es-MX" w:eastAsia="en-US"/>
        </w:rPr>
        <w:t xml:space="preserve">por lo que, en términos del considerando </w:t>
      </w:r>
      <w:r w:rsidRPr="00BF6C04">
        <w:rPr>
          <w:rFonts w:ascii="Palatino Linotype" w:hAnsi="Palatino Linotype" w:cs="Arial"/>
          <w:b/>
          <w:lang w:val="es-MX" w:eastAsia="en-US"/>
        </w:rPr>
        <w:t xml:space="preserve">Cuarto </w:t>
      </w:r>
      <w:r w:rsidRPr="00BF6C04">
        <w:rPr>
          <w:rFonts w:ascii="Palatino Linotype" w:hAnsi="Palatino Linotype" w:cs="Arial"/>
          <w:lang w:val="es-MX" w:eastAsia="en-US"/>
        </w:rPr>
        <w:t xml:space="preserve">de esta resolución, se </w:t>
      </w:r>
      <w:r w:rsidR="00AA3A80" w:rsidRPr="00BF6C04">
        <w:rPr>
          <w:rFonts w:ascii="Palatino Linotype" w:hAnsi="Palatino Linotype" w:cs="Arial"/>
          <w:b/>
          <w:lang w:val="es-MX" w:eastAsia="en-US"/>
        </w:rPr>
        <w:t>MODIFICAN</w:t>
      </w:r>
      <w:r w:rsidRPr="00BF6C04">
        <w:rPr>
          <w:rFonts w:ascii="Palatino Linotype" w:hAnsi="Palatino Linotype" w:cs="Arial"/>
          <w:b/>
          <w:lang w:val="es-MX" w:eastAsia="en-US"/>
        </w:rPr>
        <w:t xml:space="preserve"> </w:t>
      </w:r>
      <w:r w:rsidRPr="00BF6C04">
        <w:rPr>
          <w:rFonts w:ascii="Palatino Linotype" w:hAnsi="Palatino Linotype" w:cs="Arial"/>
          <w:lang w:val="es-MX" w:eastAsia="en-US"/>
        </w:rPr>
        <w:t>la</w:t>
      </w:r>
      <w:r w:rsidR="00AA3A80" w:rsidRPr="00BF6C04">
        <w:rPr>
          <w:rFonts w:ascii="Palatino Linotype" w:hAnsi="Palatino Linotype" w:cs="Arial"/>
          <w:lang w:val="es-MX" w:eastAsia="en-US"/>
        </w:rPr>
        <w:t>s</w:t>
      </w:r>
      <w:r w:rsidRPr="00BF6C04">
        <w:rPr>
          <w:rFonts w:ascii="Palatino Linotype" w:hAnsi="Palatino Linotype" w:cs="Arial"/>
          <w:lang w:val="es-MX" w:eastAsia="en-US"/>
        </w:rPr>
        <w:t xml:space="preserve"> respuesta</w:t>
      </w:r>
      <w:r w:rsidR="00AA3A80" w:rsidRPr="00BF6C04">
        <w:rPr>
          <w:rFonts w:ascii="Palatino Linotype" w:hAnsi="Palatino Linotype" w:cs="Arial"/>
          <w:lang w:val="es-MX" w:eastAsia="en-US"/>
        </w:rPr>
        <w:t>s</w:t>
      </w:r>
      <w:r w:rsidRPr="00BF6C04">
        <w:rPr>
          <w:rFonts w:ascii="Palatino Linotype" w:hAnsi="Palatino Linotype" w:cs="Arial"/>
          <w:lang w:val="es-MX" w:eastAsia="en-US"/>
        </w:rPr>
        <w:t xml:space="preserve"> emitida</w:t>
      </w:r>
      <w:r w:rsidR="00401728" w:rsidRPr="00BF6C04">
        <w:rPr>
          <w:rFonts w:ascii="Palatino Linotype" w:hAnsi="Palatino Linotype" w:cs="Arial"/>
          <w:lang w:val="es-MX" w:eastAsia="en-US"/>
        </w:rPr>
        <w:t>s</w:t>
      </w:r>
      <w:r w:rsidRPr="00BF6C04">
        <w:rPr>
          <w:rFonts w:ascii="Palatino Linotype" w:hAnsi="Palatino Linotype" w:cs="Arial"/>
          <w:lang w:val="es-MX" w:eastAsia="en-US"/>
        </w:rPr>
        <w:t xml:space="preserve"> por el</w:t>
      </w:r>
      <w:r w:rsidRPr="00BF6C04">
        <w:rPr>
          <w:rFonts w:ascii="Palatino Linotype" w:hAnsi="Palatino Linotype" w:cs="Arial"/>
          <w:bCs/>
          <w:lang w:val="es-MX" w:eastAsia="en-US"/>
        </w:rPr>
        <w:t xml:space="preserve"> </w:t>
      </w:r>
      <w:r w:rsidR="00AA3A80" w:rsidRPr="00BF6C04">
        <w:rPr>
          <w:rFonts w:ascii="Palatino Linotype" w:hAnsi="Palatino Linotype" w:cs="Arial"/>
          <w:b/>
          <w:bCs/>
          <w:lang w:val="es-MX" w:eastAsia="en-US"/>
        </w:rPr>
        <w:t>SUJETO OBLIGADO</w:t>
      </w:r>
      <w:r w:rsidRPr="00BF6C04">
        <w:rPr>
          <w:rFonts w:ascii="Palatino Linotype" w:hAnsi="Palatino Linotype" w:cs="Arial"/>
          <w:bCs/>
          <w:lang w:val="es-MX" w:eastAsia="en-US"/>
        </w:rPr>
        <w:t>.</w:t>
      </w:r>
    </w:p>
    <w:p w:rsidR="00B43253" w:rsidRPr="00BF6C04" w:rsidRDefault="00B43253" w:rsidP="00B43253">
      <w:pPr>
        <w:spacing w:before="240" w:after="240" w:line="360" w:lineRule="auto"/>
        <w:ind w:right="49"/>
        <w:jc w:val="both"/>
        <w:rPr>
          <w:rFonts w:ascii="Palatino Linotype" w:hAnsi="Palatino Linotype"/>
        </w:rPr>
      </w:pPr>
      <w:r w:rsidRPr="00BF6C04">
        <w:rPr>
          <w:rFonts w:ascii="Palatino Linotype" w:hAnsi="Palatino Linotype" w:cs="Arial"/>
          <w:b/>
        </w:rPr>
        <w:t xml:space="preserve">Segundo. </w:t>
      </w:r>
      <w:r w:rsidRPr="00BF6C04">
        <w:rPr>
          <w:rFonts w:ascii="Palatino Linotype" w:hAnsi="Palatino Linotype" w:cs="Arial"/>
        </w:rPr>
        <w:t>Se</w:t>
      </w:r>
      <w:r w:rsidRPr="00BF6C04">
        <w:rPr>
          <w:rFonts w:ascii="Palatino Linotype" w:hAnsi="Palatino Linotype" w:cs="Arial"/>
          <w:b/>
        </w:rPr>
        <w:t xml:space="preserve"> </w:t>
      </w:r>
      <w:r w:rsidRPr="00BF6C04">
        <w:rPr>
          <w:rFonts w:ascii="Palatino Linotype" w:hAnsi="Palatino Linotype"/>
          <w:b/>
        </w:rPr>
        <w:t xml:space="preserve">ORDENA </w:t>
      </w:r>
      <w:r w:rsidRPr="00BF6C04">
        <w:rPr>
          <w:rFonts w:ascii="Palatino Linotype" w:hAnsi="Palatino Linotype"/>
        </w:rPr>
        <w:t xml:space="preserve">al </w:t>
      </w:r>
      <w:r w:rsidR="00AA3A80" w:rsidRPr="00BF6C04">
        <w:rPr>
          <w:rFonts w:ascii="Palatino Linotype" w:hAnsi="Palatino Linotype"/>
          <w:b/>
        </w:rPr>
        <w:t>SUJETO OBLIGADO</w:t>
      </w:r>
      <w:r w:rsidR="00AA3A80" w:rsidRPr="00BF6C04">
        <w:rPr>
          <w:rFonts w:ascii="Palatino Linotype" w:hAnsi="Palatino Linotype"/>
        </w:rPr>
        <w:t xml:space="preserve"> </w:t>
      </w:r>
      <w:r w:rsidRPr="00BF6C04">
        <w:rPr>
          <w:rFonts w:ascii="Palatino Linotype" w:hAnsi="Palatino Linotype"/>
        </w:rPr>
        <w:t>a que,</w:t>
      </w:r>
      <w:r w:rsidRPr="00BF6C04">
        <w:rPr>
          <w:rFonts w:ascii="Palatino Linotype" w:hAnsi="Palatino Linotype"/>
          <w:b/>
        </w:rPr>
        <w:t xml:space="preserve"> </w:t>
      </w:r>
      <w:r w:rsidRPr="00BF6C04">
        <w:rPr>
          <w:rFonts w:ascii="Palatino Linotype" w:hAnsi="Palatino Linotype"/>
        </w:rPr>
        <w:t xml:space="preserve">en términos del Considerando Cuarto y Quinto, haga entrega vía SAIMEX, </w:t>
      </w:r>
      <w:r w:rsidR="00331234" w:rsidRPr="00BF6C04">
        <w:rPr>
          <w:rFonts w:ascii="Palatino Linotype" w:hAnsi="Palatino Linotype" w:cs="Arial"/>
          <w:bCs/>
          <w:shd w:val="clear" w:color="auto" w:fill="FFFFFF"/>
        </w:rPr>
        <w:t>de</w:t>
      </w:r>
      <w:r w:rsidRPr="00BF6C04">
        <w:rPr>
          <w:rFonts w:ascii="Palatino Linotype" w:hAnsi="Palatino Linotype"/>
        </w:rPr>
        <w:t xml:space="preserve"> lo siguiente:</w:t>
      </w:r>
    </w:p>
    <w:p w:rsidR="006748D5" w:rsidRPr="00BF6C04" w:rsidRDefault="004C2BF0" w:rsidP="00331234">
      <w:pPr>
        <w:pStyle w:val="Prrafodelista"/>
        <w:numPr>
          <w:ilvl w:val="0"/>
          <w:numId w:val="22"/>
        </w:numPr>
        <w:spacing w:before="240" w:after="240" w:line="360" w:lineRule="auto"/>
        <w:ind w:right="49"/>
        <w:jc w:val="both"/>
        <w:rPr>
          <w:rFonts w:ascii="Palatino Linotype" w:hAnsi="Palatino Linotype" w:cs="Tahoma"/>
        </w:rPr>
      </w:pPr>
      <w:r w:rsidRPr="00BF6C04">
        <w:rPr>
          <w:rFonts w:ascii="Palatino Linotype" w:hAnsi="Palatino Linotype" w:cs="Arial"/>
          <w:sz w:val="24"/>
          <w:szCs w:val="24"/>
        </w:rPr>
        <w:t>E</w:t>
      </w:r>
      <w:r w:rsidR="006748D5" w:rsidRPr="00BF6C04">
        <w:rPr>
          <w:rFonts w:ascii="Palatino Linotype" w:hAnsi="Palatino Linotype" w:cs="Arial"/>
          <w:sz w:val="24"/>
          <w:szCs w:val="24"/>
        </w:rPr>
        <w:t>l</w:t>
      </w:r>
      <w:r w:rsidR="006748D5" w:rsidRPr="00BF6C04">
        <w:rPr>
          <w:rFonts w:ascii="Palatino Linotype" w:hAnsi="Palatino Linotype" w:cs="Tahoma"/>
          <w:sz w:val="24"/>
          <w:szCs w:val="24"/>
        </w:rPr>
        <w:t xml:space="preserve"> Acuerdo del Comité de Transparencia, donde clasifique en su totalidad, de manera fundada y motivada los recibos del pago del </w:t>
      </w:r>
      <w:r w:rsidR="005907F9" w:rsidRPr="00BF6C04">
        <w:rPr>
          <w:rFonts w:ascii="Palatino Linotype" w:hAnsi="Palatino Linotype" w:cs="Tahoma"/>
          <w:sz w:val="24"/>
          <w:szCs w:val="24"/>
        </w:rPr>
        <w:t>predial emitidos</w:t>
      </w:r>
      <w:r w:rsidR="000575DC" w:rsidRPr="00BF6C04">
        <w:rPr>
          <w:rFonts w:ascii="Palatino Linotype" w:hAnsi="Palatino Linotype" w:cs="Tahoma"/>
          <w:sz w:val="24"/>
          <w:szCs w:val="24"/>
        </w:rPr>
        <w:t xml:space="preserve"> </w:t>
      </w:r>
      <w:r w:rsidR="006748D5" w:rsidRPr="00BF6C04">
        <w:rPr>
          <w:rFonts w:ascii="Palatino Linotype" w:hAnsi="Palatino Linotype" w:cs="Tahoma"/>
          <w:sz w:val="24"/>
          <w:szCs w:val="24"/>
        </w:rPr>
        <w:t xml:space="preserve">del </w:t>
      </w:r>
      <w:r w:rsidR="00331234" w:rsidRPr="00BF6C04">
        <w:rPr>
          <w:rFonts w:ascii="Palatino Linotype" w:hAnsi="Palatino Linotype" w:cs="Tahoma"/>
          <w:sz w:val="24"/>
          <w:szCs w:val="24"/>
        </w:rPr>
        <w:t>primero de enero al quince de febrero del año dos mil veintidós</w:t>
      </w:r>
      <w:r w:rsidR="006748D5" w:rsidRPr="00BF6C04">
        <w:rPr>
          <w:rFonts w:ascii="Palatino Linotype" w:hAnsi="Palatino Linotype" w:cs="Tahoma"/>
          <w:sz w:val="24"/>
          <w:szCs w:val="24"/>
        </w:rPr>
        <w:t xml:space="preserve">, en términos de los artículos 49, fracciones II y VIII, 143, fracción II y 149 de la Ley de </w:t>
      </w:r>
      <w:r w:rsidR="006748D5" w:rsidRPr="00BF6C04">
        <w:rPr>
          <w:rFonts w:ascii="Palatino Linotype" w:hAnsi="Palatino Linotype" w:cs="Tahoma"/>
          <w:sz w:val="24"/>
          <w:szCs w:val="24"/>
        </w:rPr>
        <w:lastRenderedPageBreak/>
        <w:t>Transparencia y Acceso a la Información Pública del Estado de México y Municipios</w:t>
      </w:r>
      <w:r w:rsidR="007D7619" w:rsidRPr="00BF6C04">
        <w:rPr>
          <w:rFonts w:ascii="Palatino Linotype" w:hAnsi="Palatino Linotype" w:cs="Tahoma"/>
          <w:sz w:val="24"/>
          <w:szCs w:val="24"/>
        </w:rPr>
        <w:t>.</w:t>
      </w:r>
      <w:r w:rsidR="00E87D6D" w:rsidRPr="00BF6C04">
        <w:rPr>
          <w:rFonts w:ascii="Palatino Linotype" w:hAnsi="Palatino Linotype" w:cs="Tahoma"/>
        </w:rPr>
        <w:t xml:space="preserve"> </w:t>
      </w:r>
    </w:p>
    <w:p w:rsidR="00B43253" w:rsidRPr="00BF6C04" w:rsidRDefault="00B43253" w:rsidP="00B43253">
      <w:pPr>
        <w:spacing w:before="240" w:after="240" w:line="360" w:lineRule="auto"/>
        <w:contextualSpacing/>
        <w:jc w:val="both"/>
        <w:rPr>
          <w:rFonts w:ascii="Palatino Linotype" w:hAnsi="Palatino Linotype"/>
          <w:shd w:val="clear" w:color="auto" w:fill="FFFFFF"/>
        </w:rPr>
      </w:pPr>
      <w:r w:rsidRPr="00BF6C04">
        <w:rPr>
          <w:rFonts w:ascii="Palatino Linotype" w:hAnsi="Palatino Linotype" w:cs="Arial"/>
          <w:b/>
        </w:rPr>
        <w:t>Tercero.</w:t>
      </w:r>
      <w:r w:rsidRPr="00BF6C04">
        <w:rPr>
          <w:rFonts w:ascii="Palatino Linotype" w:hAnsi="Palatino Linotype" w:cs="Arial"/>
          <w:b/>
          <w:bCs/>
          <w:shd w:val="clear" w:color="auto" w:fill="FFFFFF"/>
        </w:rPr>
        <w:t xml:space="preserve"> Notifíquese vía SAIMEX,</w:t>
      </w:r>
      <w:r w:rsidRPr="00BF6C04">
        <w:rPr>
          <w:rStyle w:val="apple-converted-space"/>
          <w:rFonts w:ascii="Palatino Linotype" w:hAnsi="Palatino Linotype" w:cs="Arial"/>
          <w:b/>
          <w:bCs/>
          <w:i/>
          <w:iCs/>
          <w:shd w:val="clear" w:color="auto" w:fill="FFFFFF"/>
        </w:rPr>
        <w:t xml:space="preserve"> </w:t>
      </w:r>
      <w:r w:rsidRPr="00BF6C04">
        <w:rPr>
          <w:rFonts w:ascii="Palatino Linotype" w:hAnsi="Palatino Linotype"/>
          <w:shd w:val="clear" w:color="auto" w:fill="FFFFFF"/>
        </w:rPr>
        <w:t>al Responsable de la Unidad de Transparencia del</w:t>
      </w:r>
      <w:r w:rsidRPr="00BF6C04">
        <w:rPr>
          <w:rStyle w:val="apple-converted-space"/>
          <w:rFonts w:ascii="Palatino Linotype" w:hAnsi="Palatino Linotype"/>
          <w:bCs/>
          <w:shd w:val="clear" w:color="auto" w:fill="FFFFFF"/>
        </w:rPr>
        <w:t xml:space="preserve"> </w:t>
      </w:r>
      <w:r w:rsidRPr="00BF6C04">
        <w:rPr>
          <w:rFonts w:ascii="Palatino Linotype" w:hAnsi="Palatino Linotype"/>
          <w:bCs/>
          <w:shd w:val="clear" w:color="auto" w:fill="FFFFFF"/>
        </w:rPr>
        <w:t>Sujeto Obligado la presente resolución</w:t>
      </w:r>
      <w:r w:rsidRPr="00BF6C04">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B43253" w:rsidRPr="00BF6C04" w:rsidRDefault="00B43253" w:rsidP="00B43253">
      <w:pPr>
        <w:spacing w:before="240" w:after="240" w:line="360" w:lineRule="auto"/>
        <w:contextualSpacing/>
        <w:jc w:val="both"/>
        <w:rPr>
          <w:rFonts w:ascii="Palatino Linotype" w:hAnsi="Palatino Linotype" w:cs="Arial"/>
          <w:b/>
        </w:rPr>
      </w:pPr>
    </w:p>
    <w:p w:rsidR="00192C52" w:rsidRPr="00BF6C04" w:rsidRDefault="00B43253" w:rsidP="00192C52">
      <w:pPr>
        <w:spacing w:before="240" w:after="240" w:line="360" w:lineRule="auto"/>
        <w:jc w:val="both"/>
        <w:rPr>
          <w:rFonts w:ascii="Palatino Linotype" w:hAnsi="Palatino Linotype" w:cs="Arial"/>
          <w:sz w:val="25"/>
          <w:szCs w:val="25"/>
        </w:rPr>
      </w:pPr>
      <w:r w:rsidRPr="00BF6C04">
        <w:rPr>
          <w:rFonts w:ascii="Palatino Linotype" w:hAnsi="Palatino Linotype" w:cs="Arial"/>
          <w:b/>
        </w:rPr>
        <w:t xml:space="preserve">Cuarto. </w:t>
      </w:r>
      <w:r w:rsidRPr="00BF6C04">
        <w:rPr>
          <w:rFonts w:ascii="Palatino Linotype" w:hAnsi="Palatino Linotype" w:cs="Arial"/>
          <w:b/>
          <w:bCs/>
          <w:shd w:val="clear" w:color="auto" w:fill="FFFFFF"/>
        </w:rPr>
        <w:t>Notifíquese vía SAIMEX</w:t>
      </w:r>
      <w:r w:rsidRPr="00BF6C04">
        <w:rPr>
          <w:rFonts w:ascii="Palatino Linotype" w:hAnsi="Palatino Linotype" w:cs="Arial"/>
        </w:rPr>
        <w:t xml:space="preserve">, a la parte </w:t>
      </w:r>
      <w:r w:rsidR="00AA3A80" w:rsidRPr="00BF6C04">
        <w:rPr>
          <w:rFonts w:ascii="Palatino Linotype" w:hAnsi="Palatino Linotype" w:cs="Arial"/>
          <w:b/>
        </w:rPr>
        <w:t>RECURRENTE</w:t>
      </w:r>
      <w:r w:rsidRPr="00BF6C04">
        <w:rPr>
          <w:rFonts w:ascii="Palatino Linotype" w:hAnsi="Palatino Linotype" w:cs="Arial"/>
        </w:rPr>
        <w:t xml:space="preserve"> la presente resolución, así como, </w:t>
      </w:r>
      <w:r w:rsidR="00192C52" w:rsidRPr="00BF6C04">
        <w:rPr>
          <w:rFonts w:ascii="Palatino Linotype" w:hAnsi="Palatino Linotype" w:cs="Arial"/>
        </w:rPr>
        <w:t>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B43253" w:rsidRPr="00BF6C04" w:rsidRDefault="00B43253" w:rsidP="00B43253">
      <w:pPr>
        <w:spacing w:after="240" w:line="360" w:lineRule="auto"/>
        <w:jc w:val="both"/>
        <w:rPr>
          <w:rFonts w:ascii="Palatino Linotype" w:hAnsi="Palatino Linotype" w:cs="Arial"/>
          <w:b/>
        </w:rPr>
      </w:pPr>
      <w:r w:rsidRPr="00BF6C04">
        <w:rPr>
          <w:rFonts w:ascii="Palatino Linotype" w:hAnsi="Palatino Linotype"/>
          <w:b/>
          <w:szCs w:val="25"/>
        </w:rPr>
        <w:t>Quinto.</w:t>
      </w:r>
      <w:r w:rsidRPr="00BF6C04">
        <w:rPr>
          <w:rFonts w:ascii="Palatino Linotype" w:hAnsi="Palatino Linotype"/>
          <w:szCs w:val="25"/>
        </w:rPr>
        <w:t xml:space="preserve"> </w:t>
      </w:r>
      <w:r w:rsidRPr="00BF6C04">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43253" w:rsidRPr="00BF6C04" w:rsidRDefault="00B43253" w:rsidP="00B43253">
      <w:pPr>
        <w:spacing w:before="240" w:after="240" w:line="360" w:lineRule="auto"/>
        <w:jc w:val="both"/>
        <w:rPr>
          <w:rFonts w:ascii="Palatino Linotype" w:hAnsi="Palatino Linotype"/>
        </w:rPr>
        <w:sectPr w:rsidR="00B43253" w:rsidRPr="00BF6C04" w:rsidSect="00CA6FB7">
          <w:headerReference w:type="default" r:id="rId16"/>
          <w:footerReference w:type="default" r:id="rId17"/>
          <w:headerReference w:type="first" r:id="rId18"/>
          <w:footerReference w:type="first" r:id="rId19"/>
          <w:pgSz w:w="12240" w:h="15840"/>
          <w:pgMar w:top="2041" w:right="1701" w:bottom="1701" w:left="1701" w:header="709" w:footer="709" w:gutter="0"/>
          <w:cols w:space="708"/>
          <w:titlePg/>
          <w:docGrid w:linePitch="360"/>
        </w:sectPr>
      </w:pPr>
      <w:r w:rsidRPr="00BF6C04">
        <w:rPr>
          <w:rFonts w:ascii="Palatino Linotype" w:hAnsi="Palatino Linotype"/>
          <w:shd w:val="clear" w:color="auto" w:fill="FFFFFF"/>
        </w:rPr>
        <w:t xml:space="preserve">ASÍ LO RESUELVE, POR UNANIMIDAD DE VOTOS, EL PLENO DEL INSTITUTO DE TRANSPARENCIA, ACCESO A LA INFORMACIÓN PÚBLICA Y </w:t>
      </w:r>
      <w:r w:rsidRPr="00BF6C04">
        <w:rPr>
          <w:rFonts w:ascii="Palatino Linotype" w:hAnsi="Palatino Linotype"/>
          <w:shd w:val="clear" w:color="auto" w:fill="FFFFFF"/>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AA3A80" w:rsidRPr="00BF6C04">
        <w:rPr>
          <w:rFonts w:ascii="Palatino Linotype" w:hAnsi="Palatino Linotype"/>
          <w:shd w:val="clear" w:color="auto" w:fill="FFFFFF"/>
        </w:rPr>
        <w:t>TERCERA</w:t>
      </w:r>
      <w:r w:rsidRPr="00BF6C04">
        <w:rPr>
          <w:rFonts w:ascii="Palatino Linotype" w:hAnsi="Palatino Linotype"/>
          <w:shd w:val="clear" w:color="auto" w:fill="FFFFFF"/>
        </w:rPr>
        <w:t xml:space="preserve"> SESIÓN ORDINARIA CELEBRADA EL </w:t>
      </w:r>
      <w:r w:rsidR="00331234" w:rsidRPr="00BF6C04">
        <w:rPr>
          <w:rFonts w:ascii="Palatino Linotype" w:hAnsi="Palatino Linotype"/>
          <w:shd w:val="clear" w:color="auto" w:fill="FFFFFF"/>
        </w:rPr>
        <w:t>VEINTICINCO</w:t>
      </w:r>
      <w:r w:rsidR="00AA3A80" w:rsidRPr="00BF6C04">
        <w:rPr>
          <w:rFonts w:ascii="Palatino Linotype" w:hAnsi="Palatino Linotype"/>
        </w:rPr>
        <w:t xml:space="preserve"> DE ENERO</w:t>
      </w:r>
      <w:r w:rsidRPr="00BF6C04">
        <w:rPr>
          <w:rFonts w:ascii="Palatino Linotype" w:hAnsi="Palatino Linotype"/>
        </w:rPr>
        <w:t xml:space="preserve"> DEL </w:t>
      </w:r>
      <w:r w:rsidR="00331234" w:rsidRPr="00BF6C04">
        <w:rPr>
          <w:rFonts w:ascii="Palatino Linotype" w:hAnsi="Palatino Linotype"/>
        </w:rPr>
        <w:t>DOS MIL VEINTITRÉS</w:t>
      </w:r>
      <w:r w:rsidRPr="00BF6C04">
        <w:rPr>
          <w:rFonts w:ascii="Palatino Linotype" w:hAnsi="Palatino Linotype"/>
        </w:rPr>
        <w:t>, ANTE EL SECRETARIO TÉCNICO</w:t>
      </w:r>
      <w:r w:rsidR="00155D21" w:rsidRPr="00BF6C04">
        <w:rPr>
          <w:rFonts w:ascii="Palatino Linotype" w:hAnsi="Palatino Linotype"/>
        </w:rPr>
        <w:t xml:space="preserve"> DEL PLENO ALEXIS TAPIA RAMÍREZ.</w:t>
      </w:r>
    </w:p>
    <w:p w:rsidR="00025B60" w:rsidRPr="00BF6C04" w:rsidRDefault="00025B60" w:rsidP="00EB1456">
      <w:pPr>
        <w:spacing w:before="240" w:after="240" w:line="360" w:lineRule="auto"/>
        <w:jc w:val="both"/>
        <w:rPr>
          <w:rFonts w:ascii="Palatino Linotype" w:hAnsi="Palatino Linotype" w:cs="Arial"/>
        </w:rPr>
      </w:pPr>
    </w:p>
    <w:sectPr w:rsidR="00025B60" w:rsidRPr="00BF6C04" w:rsidSect="00CA6FB7">
      <w:headerReference w:type="first" r:id="rId20"/>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30" w:rsidRDefault="00F20130" w:rsidP="00AC3C64">
      <w:r>
        <w:separator/>
      </w:r>
    </w:p>
  </w:endnote>
  <w:endnote w:type="continuationSeparator" w:id="0">
    <w:p w:rsidR="00F20130" w:rsidRDefault="00F20130"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4C" w:rsidRDefault="004F154C"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741F">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741F">
      <w:rPr>
        <w:rFonts w:ascii="Arial" w:hAnsi="Arial" w:cs="Arial"/>
        <w:b/>
        <w:bCs/>
        <w:noProof/>
        <w:sz w:val="20"/>
        <w:szCs w:val="20"/>
      </w:rPr>
      <w:t>28</w:t>
    </w:r>
    <w:r>
      <w:rPr>
        <w:rFonts w:ascii="Arial" w:hAnsi="Arial" w:cs="Arial"/>
        <w:b/>
        <w:bCs/>
        <w:sz w:val="20"/>
        <w:szCs w:val="20"/>
      </w:rPr>
      <w:fldChar w:fldCharType="end"/>
    </w:r>
  </w:p>
  <w:p w:rsidR="004F154C" w:rsidRDefault="004F154C" w:rsidP="00CA6FB7">
    <w:pPr>
      <w:pStyle w:val="Piedepgina"/>
      <w:rPr>
        <w:rFonts w:ascii="Times New Roman" w:hAnsi="Times New Roman" w:cs="Times New Roman"/>
      </w:rPr>
    </w:pPr>
  </w:p>
  <w:p w:rsidR="004F154C" w:rsidRDefault="004F154C"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4C" w:rsidRDefault="004F154C"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741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741F">
      <w:rPr>
        <w:rFonts w:ascii="Arial" w:hAnsi="Arial" w:cs="Arial"/>
        <w:b/>
        <w:bCs/>
        <w:noProof/>
        <w:sz w:val="20"/>
        <w:szCs w:val="20"/>
      </w:rPr>
      <w:t>28</w:t>
    </w:r>
    <w:r>
      <w:rPr>
        <w:rFonts w:ascii="Arial" w:hAnsi="Arial" w:cs="Arial"/>
        <w:b/>
        <w:bCs/>
        <w:sz w:val="20"/>
        <w:szCs w:val="20"/>
      </w:rPr>
      <w:fldChar w:fldCharType="end"/>
    </w:r>
  </w:p>
  <w:p w:rsidR="004F154C" w:rsidRDefault="004F15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30" w:rsidRDefault="00F20130" w:rsidP="00AC3C64">
      <w:r>
        <w:separator/>
      </w:r>
    </w:p>
  </w:footnote>
  <w:footnote w:type="continuationSeparator" w:id="0">
    <w:p w:rsidR="00F20130" w:rsidRDefault="00F20130" w:rsidP="00AC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4F154C" w:rsidTr="00CA6FB7">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4F154C" w:rsidRDefault="004F154C" w:rsidP="00CA6FB7">
          <w:pPr>
            <w:jc w:val="both"/>
            <w:rPr>
              <w:rFonts w:ascii="Palatino Linotype" w:hAnsi="Palatino Linotype"/>
              <w:b/>
              <w:sz w:val="22"/>
              <w:szCs w:val="22"/>
              <w:lang w:val="es-ES_tradnl"/>
            </w:rPr>
          </w:pPr>
          <w:r>
            <w:rPr>
              <w:rFonts w:ascii="Palatino Linotype" w:hAnsi="Palatino Linotype"/>
              <w:b/>
              <w:sz w:val="22"/>
              <w:szCs w:val="22"/>
              <w:lang w:val="es-ES_tradnl"/>
            </w:rPr>
            <w:t>13969/INFOEM/IP/RR/2022 y acumulados.</w:t>
          </w:r>
        </w:p>
      </w:tc>
    </w:tr>
    <w:tr w:rsidR="004F154C" w:rsidTr="00CA6FB7">
      <w:trPr>
        <w:trHeight w:val="228"/>
      </w:trPr>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4F154C" w:rsidRPr="00C16F76" w:rsidRDefault="004F154C" w:rsidP="002A48A3">
          <w:pPr>
            <w:jc w:val="both"/>
            <w:rPr>
              <w:rFonts w:ascii="Palatino Linotype" w:hAnsi="Palatino Linotype"/>
              <w:b/>
              <w:sz w:val="22"/>
              <w:szCs w:val="22"/>
              <w:lang w:val="es-ES_tradnl"/>
            </w:rPr>
          </w:pPr>
          <w:r>
            <w:rPr>
              <w:rFonts w:ascii="Palatino Linotype" w:hAnsi="Palatino Linotype" w:cs="Arial"/>
              <w:b/>
              <w:sz w:val="22"/>
              <w:szCs w:val="22"/>
            </w:rPr>
            <w:t>Ayuntamiento de Metepec</w:t>
          </w:r>
          <w:r w:rsidRPr="00C16F76">
            <w:rPr>
              <w:rFonts w:ascii="Palatino Linotype" w:hAnsi="Palatino Linotype"/>
              <w:b/>
              <w:sz w:val="22"/>
              <w:szCs w:val="22"/>
              <w:lang w:val="es-ES_tradnl"/>
            </w:rPr>
            <w:t>.</w:t>
          </w:r>
        </w:p>
      </w:tc>
    </w:tr>
    <w:tr w:rsidR="004F154C" w:rsidTr="00CA6FB7">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4F154C" w:rsidRDefault="004F154C"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F154C" w:rsidRDefault="004F154C"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56E5281" wp14:editId="04600AD7">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4C" w:rsidRDefault="004F154C"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738C83C3" wp14:editId="70A7CFBD">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4F154C" w:rsidTr="00CA6FB7">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4F154C" w:rsidRDefault="004F154C" w:rsidP="00CA6FB7">
          <w:pPr>
            <w:jc w:val="both"/>
            <w:rPr>
              <w:rFonts w:ascii="Palatino Linotype" w:hAnsi="Palatino Linotype"/>
              <w:b/>
              <w:sz w:val="22"/>
              <w:szCs w:val="22"/>
              <w:lang w:val="es-ES_tradnl"/>
            </w:rPr>
          </w:pPr>
          <w:r>
            <w:rPr>
              <w:rFonts w:ascii="Palatino Linotype" w:hAnsi="Palatino Linotype"/>
              <w:b/>
              <w:sz w:val="22"/>
              <w:szCs w:val="22"/>
              <w:lang w:val="es-ES_tradnl"/>
            </w:rPr>
            <w:t>13969/INFOEM/IP/RR/2022 y acumulados.</w:t>
          </w:r>
        </w:p>
      </w:tc>
    </w:tr>
    <w:tr w:rsidR="004F154C" w:rsidTr="00CA6FB7">
      <w:tc>
        <w:tcPr>
          <w:tcW w:w="2551" w:type="dxa"/>
          <w:vAlign w:val="center"/>
          <w:hideMark/>
        </w:tcPr>
        <w:p w:rsidR="004F154C" w:rsidRDefault="004F154C"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4F154C" w:rsidRDefault="004F154C" w:rsidP="00CA6FB7">
          <w:pPr>
            <w:jc w:val="both"/>
            <w:rPr>
              <w:rFonts w:ascii="Palatino Linotype" w:hAnsi="Palatino Linotype"/>
              <w:b/>
              <w:sz w:val="22"/>
              <w:szCs w:val="22"/>
              <w:lang w:val="es-ES_tradnl"/>
            </w:rPr>
          </w:pPr>
        </w:p>
      </w:tc>
    </w:tr>
    <w:tr w:rsidR="004F154C" w:rsidTr="00CA6FB7">
      <w:trPr>
        <w:trHeight w:val="228"/>
      </w:trPr>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4F154C" w:rsidRDefault="004F154C"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4F154C" w:rsidTr="00CA6FB7">
      <w:tc>
        <w:tcPr>
          <w:tcW w:w="2551" w:type="dxa"/>
          <w:vAlign w:val="center"/>
          <w:hideMark/>
        </w:tcPr>
        <w:p w:rsidR="004F154C" w:rsidRDefault="004F154C"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4F154C" w:rsidRDefault="004F154C"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F154C" w:rsidRDefault="004F154C"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4C" w:rsidRDefault="004F154C" w:rsidP="00CA6FB7">
    <w:pPr>
      <w:pStyle w:val="Encabezado"/>
      <w:jc w:val="both"/>
    </w:pPr>
  </w:p>
  <w:p w:rsidR="004F154C" w:rsidRDefault="004F154C"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566B"/>
    <w:multiLevelType w:val="hybridMultilevel"/>
    <w:tmpl w:val="1F5A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0A1515"/>
    <w:multiLevelType w:val="hybridMultilevel"/>
    <w:tmpl w:val="011C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13D24"/>
    <w:multiLevelType w:val="hybridMultilevel"/>
    <w:tmpl w:val="A1782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B32860"/>
    <w:multiLevelType w:val="hybridMultilevel"/>
    <w:tmpl w:val="3BC4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B4680"/>
    <w:multiLevelType w:val="hybridMultilevel"/>
    <w:tmpl w:val="53C07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3140BA9"/>
    <w:multiLevelType w:val="hybridMultilevel"/>
    <w:tmpl w:val="E5187A2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8"/>
  </w:num>
  <w:num w:numId="4">
    <w:abstractNumId w:val="21"/>
  </w:num>
  <w:num w:numId="5">
    <w:abstractNumId w:val="19"/>
  </w:num>
  <w:num w:numId="6">
    <w:abstractNumId w:val="17"/>
  </w:num>
  <w:num w:numId="7">
    <w:abstractNumId w:val="2"/>
  </w:num>
  <w:num w:numId="8">
    <w:abstractNumId w:val="9"/>
  </w:num>
  <w:num w:numId="9">
    <w:abstractNumId w:val="3"/>
  </w:num>
  <w:num w:numId="10">
    <w:abstractNumId w:val="1"/>
  </w:num>
  <w:num w:numId="11">
    <w:abstractNumId w:val="14"/>
  </w:num>
  <w:num w:numId="12">
    <w:abstractNumId w:val="15"/>
  </w:num>
  <w:num w:numId="13">
    <w:abstractNumId w:val="6"/>
  </w:num>
  <w:num w:numId="14">
    <w:abstractNumId w:val="5"/>
  </w:num>
  <w:num w:numId="15">
    <w:abstractNumId w:val="18"/>
  </w:num>
  <w:num w:numId="16">
    <w:abstractNumId w:val="12"/>
  </w:num>
  <w:num w:numId="17">
    <w:abstractNumId w:val="10"/>
  </w:num>
  <w:num w:numId="18">
    <w:abstractNumId w:val="2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27A3F"/>
    <w:rsid w:val="00035D2D"/>
    <w:rsid w:val="000469AE"/>
    <w:rsid w:val="00047292"/>
    <w:rsid w:val="00053CFF"/>
    <w:rsid w:val="000575DC"/>
    <w:rsid w:val="00057F4F"/>
    <w:rsid w:val="00061572"/>
    <w:rsid w:val="000634D5"/>
    <w:rsid w:val="000729ED"/>
    <w:rsid w:val="000756A1"/>
    <w:rsid w:val="00075746"/>
    <w:rsid w:val="00092DFF"/>
    <w:rsid w:val="00095AB1"/>
    <w:rsid w:val="000A5366"/>
    <w:rsid w:val="000A673D"/>
    <w:rsid w:val="000C56A4"/>
    <w:rsid w:val="000D4BD9"/>
    <w:rsid w:val="000E1326"/>
    <w:rsid w:val="000E7326"/>
    <w:rsid w:val="000F39D0"/>
    <w:rsid w:val="001013A9"/>
    <w:rsid w:val="001118AA"/>
    <w:rsid w:val="00146FFB"/>
    <w:rsid w:val="00152DD1"/>
    <w:rsid w:val="00153F55"/>
    <w:rsid w:val="00155D21"/>
    <w:rsid w:val="00156F39"/>
    <w:rsid w:val="00170894"/>
    <w:rsid w:val="00170B2B"/>
    <w:rsid w:val="00174388"/>
    <w:rsid w:val="00180662"/>
    <w:rsid w:val="00192C52"/>
    <w:rsid w:val="001933A6"/>
    <w:rsid w:val="001A2D4B"/>
    <w:rsid w:val="001A4B0E"/>
    <w:rsid w:val="001A5C63"/>
    <w:rsid w:val="001B6476"/>
    <w:rsid w:val="001C4714"/>
    <w:rsid w:val="001D1499"/>
    <w:rsid w:val="001D6D81"/>
    <w:rsid w:val="001E791F"/>
    <w:rsid w:val="00212FA3"/>
    <w:rsid w:val="0023267A"/>
    <w:rsid w:val="002341AB"/>
    <w:rsid w:val="00235389"/>
    <w:rsid w:val="002512AC"/>
    <w:rsid w:val="002519D0"/>
    <w:rsid w:val="00260DDF"/>
    <w:rsid w:val="002701F7"/>
    <w:rsid w:val="00273D23"/>
    <w:rsid w:val="00274C2A"/>
    <w:rsid w:val="00276AF3"/>
    <w:rsid w:val="00277ED6"/>
    <w:rsid w:val="00284B2F"/>
    <w:rsid w:val="00285F75"/>
    <w:rsid w:val="002A47AE"/>
    <w:rsid w:val="002A48A3"/>
    <w:rsid w:val="002B3327"/>
    <w:rsid w:val="002C2CE8"/>
    <w:rsid w:val="002C6C73"/>
    <w:rsid w:val="002D2EAC"/>
    <w:rsid w:val="002D63E5"/>
    <w:rsid w:val="002E10FD"/>
    <w:rsid w:val="00312416"/>
    <w:rsid w:val="00313BB7"/>
    <w:rsid w:val="003174A5"/>
    <w:rsid w:val="00317A86"/>
    <w:rsid w:val="00331234"/>
    <w:rsid w:val="00335C38"/>
    <w:rsid w:val="00344A31"/>
    <w:rsid w:val="003514A6"/>
    <w:rsid w:val="00351F59"/>
    <w:rsid w:val="003535D6"/>
    <w:rsid w:val="003574E4"/>
    <w:rsid w:val="00370D1D"/>
    <w:rsid w:val="003761C9"/>
    <w:rsid w:val="00376932"/>
    <w:rsid w:val="003823C8"/>
    <w:rsid w:val="00384598"/>
    <w:rsid w:val="003A4FDC"/>
    <w:rsid w:val="003A56DE"/>
    <w:rsid w:val="003A7EF4"/>
    <w:rsid w:val="003B2721"/>
    <w:rsid w:val="003D4EB7"/>
    <w:rsid w:val="003F5CB7"/>
    <w:rsid w:val="00401728"/>
    <w:rsid w:val="00401D37"/>
    <w:rsid w:val="004053EE"/>
    <w:rsid w:val="00406F15"/>
    <w:rsid w:val="004073AA"/>
    <w:rsid w:val="00412AD6"/>
    <w:rsid w:val="0041470D"/>
    <w:rsid w:val="00415BF7"/>
    <w:rsid w:val="004171D9"/>
    <w:rsid w:val="00430382"/>
    <w:rsid w:val="00447BCB"/>
    <w:rsid w:val="00450820"/>
    <w:rsid w:val="004532C1"/>
    <w:rsid w:val="00453F78"/>
    <w:rsid w:val="0045442C"/>
    <w:rsid w:val="004560BD"/>
    <w:rsid w:val="004714B0"/>
    <w:rsid w:val="00471FBC"/>
    <w:rsid w:val="004854F2"/>
    <w:rsid w:val="00491059"/>
    <w:rsid w:val="00493673"/>
    <w:rsid w:val="00494BEC"/>
    <w:rsid w:val="004C11AB"/>
    <w:rsid w:val="004C2BF0"/>
    <w:rsid w:val="004C49C0"/>
    <w:rsid w:val="004D4903"/>
    <w:rsid w:val="004D5AC3"/>
    <w:rsid w:val="004D7427"/>
    <w:rsid w:val="004F154C"/>
    <w:rsid w:val="004F4663"/>
    <w:rsid w:val="004F4F59"/>
    <w:rsid w:val="00510E32"/>
    <w:rsid w:val="00510F8E"/>
    <w:rsid w:val="00512D5C"/>
    <w:rsid w:val="00515FAA"/>
    <w:rsid w:val="00516141"/>
    <w:rsid w:val="00516180"/>
    <w:rsid w:val="005176F7"/>
    <w:rsid w:val="00520A87"/>
    <w:rsid w:val="00522861"/>
    <w:rsid w:val="005247CF"/>
    <w:rsid w:val="0053242D"/>
    <w:rsid w:val="00546029"/>
    <w:rsid w:val="0054680C"/>
    <w:rsid w:val="00556760"/>
    <w:rsid w:val="0057019A"/>
    <w:rsid w:val="00570E5C"/>
    <w:rsid w:val="005907F9"/>
    <w:rsid w:val="005A3389"/>
    <w:rsid w:val="005A6CFB"/>
    <w:rsid w:val="005B1093"/>
    <w:rsid w:val="005C52F3"/>
    <w:rsid w:val="005C58FB"/>
    <w:rsid w:val="005D082A"/>
    <w:rsid w:val="005D35B0"/>
    <w:rsid w:val="005E79E7"/>
    <w:rsid w:val="005F4F02"/>
    <w:rsid w:val="00605EA1"/>
    <w:rsid w:val="006154F4"/>
    <w:rsid w:val="0062630E"/>
    <w:rsid w:val="00642A95"/>
    <w:rsid w:val="00647E02"/>
    <w:rsid w:val="00654351"/>
    <w:rsid w:val="00662E06"/>
    <w:rsid w:val="00663313"/>
    <w:rsid w:val="00663EE9"/>
    <w:rsid w:val="00664BD3"/>
    <w:rsid w:val="006748D5"/>
    <w:rsid w:val="00674FC1"/>
    <w:rsid w:val="00675163"/>
    <w:rsid w:val="0068711D"/>
    <w:rsid w:val="0069089F"/>
    <w:rsid w:val="006912F8"/>
    <w:rsid w:val="00694BE8"/>
    <w:rsid w:val="00696421"/>
    <w:rsid w:val="006A2B03"/>
    <w:rsid w:val="006A3CB6"/>
    <w:rsid w:val="006B5E44"/>
    <w:rsid w:val="006B730F"/>
    <w:rsid w:val="006C39BD"/>
    <w:rsid w:val="006D4B6F"/>
    <w:rsid w:val="006F1E06"/>
    <w:rsid w:val="006F3C93"/>
    <w:rsid w:val="0070483E"/>
    <w:rsid w:val="00716D67"/>
    <w:rsid w:val="007226CF"/>
    <w:rsid w:val="0073071C"/>
    <w:rsid w:val="0073316E"/>
    <w:rsid w:val="00744577"/>
    <w:rsid w:val="0074718F"/>
    <w:rsid w:val="00751A12"/>
    <w:rsid w:val="00756876"/>
    <w:rsid w:val="00760FF7"/>
    <w:rsid w:val="0076279F"/>
    <w:rsid w:val="00767AD5"/>
    <w:rsid w:val="0077716F"/>
    <w:rsid w:val="00780737"/>
    <w:rsid w:val="00783547"/>
    <w:rsid w:val="007A718C"/>
    <w:rsid w:val="007B2696"/>
    <w:rsid w:val="007B7A34"/>
    <w:rsid w:val="007C6E7E"/>
    <w:rsid w:val="007D012C"/>
    <w:rsid w:val="007D7619"/>
    <w:rsid w:val="007F6734"/>
    <w:rsid w:val="007F7346"/>
    <w:rsid w:val="00813EA7"/>
    <w:rsid w:val="00814B3D"/>
    <w:rsid w:val="00821072"/>
    <w:rsid w:val="00823669"/>
    <w:rsid w:val="00824589"/>
    <w:rsid w:val="008333BD"/>
    <w:rsid w:val="00835A40"/>
    <w:rsid w:val="00847472"/>
    <w:rsid w:val="00851545"/>
    <w:rsid w:val="00860CD5"/>
    <w:rsid w:val="00867824"/>
    <w:rsid w:val="00885A90"/>
    <w:rsid w:val="008A3EF4"/>
    <w:rsid w:val="008A6570"/>
    <w:rsid w:val="008B190F"/>
    <w:rsid w:val="008B3B6F"/>
    <w:rsid w:val="008B610B"/>
    <w:rsid w:val="008D13D2"/>
    <w:rsid w:val="008D2B3C"/>
    <w:rsid w:val="008E206F"/>
    <w:rsid w:val="008E70D5"/>
    <w:rsid w:val="008F742E"/>
    <w:rsid w:val="009046F3"/>
    <w:rsid w:val="009051D9"/>
    <w:rsid w:val="009075CE"/>
    <w:rsid w:val="00910E63"/>
    <w:rsid w:val="00913545"/>
    <w:rsid w:val="009412A1"/>
    <w:rsid w:val="00941C12"/>
    <w:rsid w:val="00943101"/>
    <w:rsid w:val="00951FE9"/>
    <w:rsid w:val="0095406D"/>
    <w:rsid w:val="00960422"/>
    <w:rsid w:val="00966D3A"/>
    <w:rsid w:val="00980CD3"/>
    <w:rsid w:val="00983E59"/>
    <w:rsid w:val="00984378"/>
    <w:rsid w:val="00984800"/>
    <w:rsid w:val="009878A7"/>
    <w:rsid w:val="00995060"/>
    <w:rsid w:val="009A3844"/>
    <w:rsid w:val="009C2C0B"/>
    <w:rsid w:val="009C7267"/>
    <w:rsid w:val="009D106B"/>
    <w:rsid w:val="009D5385"/>
    <w:rsid w:val="009D56ED"/>
    <w:rsid w:val="009D6488"/>
    <w:rsid w:val="009E7F55"/>
    <w:rsid w:val="00A028BB"/>
    <w:rsid w:val="00A037B6"/>
    <w:rsid w:val="00A10445"/>
    <w:rsid w:val="00A143E1"/>
    <w:rsid w:val="00A16A36"/>
    <w:rsid w:val="00A222E5"/>
    <w:rsid w:val="00A24144"/>
    <w:rsid w:val="00A24E74"/>
    <w:rsid w:val="00A363C1"/>
    <w:rsid w:val="00A41315"/>
    <w:rsid w:val="00A467F8"/>
    <w:rsid w:val="00A47580"/>
    <w:rsid w:val="00A653FC"/>
    <w:rsid w:val="00A655A8"/>
    <w:rsid w:val="00A71E6B"/>
    <w:rsid w:val="00A87A68"/>
    <w:rsid w:val="00A92AA5"/>
    <w:rsid w:val="00A956FB"/>
    <w:rsid w:val="00A95DC6"/>
    <w:rsid w:val="00AA30DB"/>
    <w:rsid w:val="00AA3A80"/>
    <w:rsid w:val="00AB6EE2"/>
    <w:rsid w:val="00AC003C"/>
    <w:rsid w:val="00AC1195"/>
    <w:rsid w:val="00AC3C64"/>
    <w:rsid w:val="00AC7729"/>
    <w:rsid w:val="00AD0AB9"/>
    <w:rsid w:val="00AF5151"/>
    <w:rsid w:val="00B00356"/>
    <w:rsid w:val="00B006A1"/>
    <w:rsid w:val="00B00EEC"/>
    <w:rsid w:val="00B0124A"/>
    <w:rsid w:val="00B018AC"/>
    <w:rsid w:val="00B02990"/>
    <w:rsid w:val="00B05932"/>
    <w:rsid w:val="00B1241C"/>
    <w:rsid w:val="00B146C6"/>
    <w:rsid w:val="00B37652"/>
    <w:rsid w:val="00B43253"/>
    <w:rsid w:val="00B43AA8"/>
    <w:rsid w:val="00B61EBD"/>
    <w:rsid w:val="00B724C0"/>
    <w:rsid w:val="00B761F4"/>
    <w:rsid w:val="00B94319"/>
    <w:rsid w:val="00B9741F"/>
    <w:rsid w:val="00BA44E3"/>
    <w:rsid w:val="00BB2163"/>
    <w:rsid w:val="00BB4179"/>
    <w:rsid w:val="00BB542C"/>
    <w:rsid w:val="00BC2193"/>
    <w:rsid w:val="00BC43E8"/>
    <w:rsid w:val="00BD172D"/>
    <w:rsid w:val="00BD6A98"/>
    <w:rsid w:val="00BE0058"/>
    <w:rsid w:val="00BE2CCF"/>
    <w:rsid w:val="00BE5560"/>
    <w:rsid w:val="00BF6C04"/>
    <w:rsid w:val="00C11AC9"/>
    <w:rsid w:val="00C16F76"/>
    <w:rsid w:val="00C23F33"/>
    <w:rsid w:val="00C27107"/>
    <w:rsid w:val="00C31A55"/>
    <w:rsid w:val="00C321F6"/>
    <w:rsid w:val="00C326B6"/>
    <w:rsid w:val="00C32BDB"/>
    <w:rsid w:val="00C50F0F"/>
    <w:rsid w:val="00C52D2A"/>
    <w:rsid w:val="00C53485"/>
    <w:rsid w:val="00C63B97"/>
    <w:rsid w:val="00C678ED"/>
    <w:rsid w:val="00C7588F"/>
    <w:rsid w:val="00C76DCC"/>
    <w:rsid w:val="00C77F9C"/>
    <w:rsid w:val="00C931C4"/>
    <w:rsid w:val="00C95103"/>
    <w:rsid w:val="00C97B1B"/>
    <w:rsid w:val="00CA6FB7"/>
    <w:rsid w:val="00CA7900"/>
    <w:rsid w:val="00CB2A8F"/>
    <w:rsid w:val="00CC0778"/>
    <w:rsid w:val="00CD2038"/>
    <w:rsid w:val="00CE2CFE"/>
    <w:rsid w:val="00CE4FF5"/>
    <w:rsid w:val="00CE7256"/>
    <w:rsid w:val="00D0193D"/>
    <w:rsid w:val="00D05647"/>
    <w:rsid w:val="00D06FD7"/>
    <w:rsid w:val="00D16391"/>
    <w:rsid w:val="00D16BCF"/>
    <w:rsid w:val="00D2494B"/>
    <w:rsid w:val="00D30935"/>
    <w:rsid w:val="00D30A46"/>
    <w:rsid w:val="00D37F8A"/>
    <w:rsid w:val="00D42E99"/>
    <w:rsid w:val="00D46B7F"/>
    <w:rsid w:val="00D53885"/>
    <w:rsid w:val="00D5398F"/>
    <w:rsid w:val="00D7036D"/>
    <w:rsid w:val="00D7072F"/>
    <w:rsid w:val="00D8379C"/>
    <w:rsid w:val="00D87AAD"/>
    <w:rsid w:val="00D939AD"/>
    <w:rsid w:val="00DA29F9"/>
    <w:rsid w:val="00DB0611"/>
    <w:rsid w:val="00DB16DD"/>
    <w:rsid w:val="00DC0D4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353C3"/>
    <w:rsid w:val="00E456C2"/>
    <w:rsid w:val="00E50E9F"/>
    <w:rsid w:val="00E622EB"/>
    <w:rsid w:val="00E77C2D"/>
    <w:rsid w:val="00E8495A"/>
    <w:rsid w:val="00E87D6D"/>
    <w:rsid w:val="00E9188C"/>
    <w:rsid w:val="00EA25E8"/>
    <w:rsid w:val="00EA6A73"/>
    <w:rsid w:val="00EB1456"/>
    <w:rsid w:val="00EB2C58"/>
    <w:rsid w:val="00EB645E"/>
    <w:rsid w:val="00EB78D1"/>
    <w:rsid w:val="00EC47A9"/>
    <w:rsid w:val="00ED0ADC"/>
    <w:rsid w:val="00ED7CD8"/>
    <w:rsid w:val="00EE1690"/>
    <w:rsid w:val="00EE288F"/>
    <w:rsid w:val="00EE3663"/>
    <w:rsid w:val="00EF41C8"/>
    <w:rsid w:val="00F10EDC"/>
    <w:rsid w:val="00F137E3"/>
    <w:rsid w:val="00F14FF7"/>
    <w:rsid w:val="00F20130"/>
    <w:rsid w:val="00F33D43"/>
    <w:rsid w:val="00F35077"/>
    <w:rsid w:val="00F37A45"/>
    <w:rsid w:val="00F51343"/>
    <w:rsid w:val="00F535D9"/>
    <w:rsid w:val="00F75B93"/>
    <w:rsid w:val="00F76AC4"/>
    <w:rsid w:val="00F83AD6"/>
    <w:rsid w:val="00F86B69"/>
    <w:rsid w:val="00F90270"/>
    <w:rsid w:val="00F90A91"/>
    <w:rsid w:val="00F9570E"/>
    <w:rsid w:val="00FA4E5B"/>
    <w:rsid w:val="00FA6E88"/>
    <w:rsid w:val="00FB60E7"/>
    <w:rsid w:val="00FB6205"/>
    <w:rsid w:val="00FC17BE"/>
    <w:rsid w:val="00FC3875"/>
    <w:rsid w:val="00FC702A"/>
    <w:rsid w:val="00FD47D2"/>
    <w:rsid w:val="00FD4877"/>
    <w:rsid w:val="00FE4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pPr>
      <w:spacing w:after="0" w:line="240" w:lineRule="auto"/>
    </w:pPr>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26689700">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391343431">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2043823980">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01805);"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525174.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01805);"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javascript:abrirAcuse(40180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401805);"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6C45-C623-49B1-BCCE-B84F6338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6695</Words>
  <Characters>36823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2023-01-27T17:00:00Z</cp:lastPrinted>
  <dcterms:created xsi:type="dcterms:W3CDTF">2023-02-01T18:43:00Z</dcterms:created>
  <dcterms:modified xsi:type="dcterms:W3CDTF">2023-02-01T18:43:00Z</dcterms:modified>
</cp:coreProperties>
</file>