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73E" w14:textId="59BF8F62"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F61D8" w:rsidRPr="00FA1A60">
        <w:rPr>
          <w:rFonts w:ascii="Palatino Linotype" w:eastAsia="Palatino Linotype" w:hAnsi="Palatino Linotype" w:cs="Palatino Linotype"/>
        </w:rPr>
        <w:t>nueve de agosto</w:t>
      </w:r>
      <w:r w:rsidR="004832CF" w:rsidRPr="00FA1A60">
        <w:rPr>
          <w:rFonts w:ascii="Palatino Linotype" w:eastAsia="Palatino Linotype" w:hAnsi="Palatino Linotype" w:cs="Palatino Linotype"/>
        </w:rPr>
        <w:t xml:space="preserve"> de</w:t>
      </w:r>
      <w:r w:rsidRPr="00FA1A60">
        <w:rPr>
          <w:rFonts w:ascii="Palatino Linotype" w:eastAsia="Palatino Linotype" w:hAnsi="Palatino Linotype" w:cs="Palatino Linotype"/>
        </w:rPr>
        <w:t xml:space="preserve"> dos mil veinti</w:t>
      </w:r>
      <w:r w:rsidR="00416432" w:rsidRPr="00FA1A60">
        <w:rPr>
          <w:rFonts w:ascii="Palatino Linotype" w:eastAsia="Palatino Linotype" w:hAnsi="Palatino Linotype" w:cs="Palatino Linotype"/>
        </w:rPr>
        <w:t>trés</w:t>
      </w:r>
      <w:r w:rsidRPr="00FA1A60">
        <w:rPr>
          <w:rFonts w:ascii="Palatino Linotype" w:eastAsia="Palatino Linotype" w:hAnsi="Palatino Linotype" w:cs="Palatino Linotype"/>
        </w:rPr>
        <w:t xml:space="preserve">. </w:t>
      </w:r>
    </w:p>
    <w:p w14:paraId="2662919D" w14:textId="39F20816"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VISTO</w:t>
      </w:r>
      <w:r w:rsidRPr="00FA1A60">
        <w:rPr>
          <w:rFonts w:ascii="Palatino Linotype" w:eastAsia="Palatino Linotype" w:hAnsi="Palatino Linotype" w:cs="Palatino Linotype"/>
        </w:rPr>
        <w:t xml:space="preserve"> el expediente formado con motivo del recurso de revisión </w:t>
      </w:r>
      <w:r w:rsidR="003408BD" w:rsidRPr="00FA1A60">
        <w:rPr>
          <w:rFonts w:ascii="Palatino Linotype" w:eastAsia="Palatino Linotype" w:hAnsi="Palatino Linotype" w:cs="Palatino Linotype"/>
          <w:b/>
        </w:rPr>
        <w:t>16764</w:t>
      </w:r>
      <w:r w:rsidR="0056651B" w:rsidRPr="00FA1A60">
        <w:rPr>
          <w:rFonts w:ascii="Palatino Linotype" w:eastAsia="Palatino Linotype" w:hAnsi="Palatino Linotype" w:cs="Palatino Linotype"/>
          <w:b/>
        </w:rPr>
        <w:t>/INFOEM/IP/RR/2022</w:t>
      </w:r>
      <w:r w:rsidRPr="00FA1A60">
        <w:rPr>
          <w:rFonts w:ascii="Palatino Linotype" w:eastAsia="Palatino Linotype" w:hAnsi="Palatino Linotype" w:cs="Palatino Linotype"/>
        </w:rPr>
        <w:t>, interpuesto por</w:t>
      </w:r>
      <w:r w:rsidR="00B91551" w:rsidRPr="00FA1A60">
        <w:rPr>
          <w:rFonts w:ascii="Palatino Linotype" w:eastAsia="Palatino Linotype" w:hAnsi="Palatino Linotype" w:cs="Palatino Linotype"/>
          <w:b/>
        </w:rPr>
        <w:t xml:space="preserve"> </w:t>
      </w:r>
      <w:r w:rsidR="00666E80">
        <w:rPr>
          <w:rFonts w:ascii="Palatino Linotype" w:eastAsia="Palatino Linotype" w:hAnsi="Palatino Linotype" w:cs="Palatino Linotype"/>
          <w:b/>
        </w:rPr>
        <w:t>XXXXXX XXXXX XXXX</w:t>
      </w:r>
      <w:r w:rsidR="00993683" w:rsidRPr="00FA1A60">
        <w:rPr>
          <w:rFonts w:ascii="Palatino Linotype" w:eastAsia="Palatino Linotype" w:hAnsi="Palatino Linotype" w:cs="Palatino Linotype"/>
          <w:b/>
        </w:rPr>
        <w:t>,</w:t>
      </w:r>
      <w:r w:rsidRPr="00FA1A60">
        <w:rPr>
          <w:rFonts w:ascii="Palatino Linotype" w:eastAsia="Palatino Linotype" w:hAnsi="Palatino Linotype" w:cs="Palatino Linotype"/>
        </w:rPr>
        <w:t xml:space="preserve"> en lo sucesivo</w:t>
      </w:r>
      <w:r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xml:space="preserve"> en contra de la respue</w:t>
      </w:r>
      <w:r w:rsidR="004832CF" w:rsidRPr="00FA1A60">
        <w:rPr>
          <w:rFonts w:ascii="Palatino Linotype" w:eastAsia="Palatino Linotype" w:hAnsi="Palatino Linotype" w:cs="Palatino Linotype"/>
        </w:rPr>
        <w:t xml:space="preserve">sta a su solicitud por parte del </w:t>
      </w:r>
      <w:r w:rsidR="007619DB" w:rsidRPr="00FA1A60">
        <w:rPr>
          <w:rFonts w:ascii="Palatino Linotype" w:eastAsia="Palatino Linotype" w:hAnsi="Palatino Linotype" w:cs="Palatino Linotype"/>
          <w:b/>
        </w:rPr>
        <w:t>Instituto de Transparencia, Acceso a la Información Pública y Protección de Datos Personales del Estado de México y Municipios</w:t>
      </w:r>
      <w:r w:rsidR="005B7CAA"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en lo sucesivo el </w:t>
      </w:r>
      <w:r w:rsidRPr="00FA1A60">
        <w:rPr>
          <w:rFonts w:ascii="Palatino Linotype" w:eastAsia="Palatino Linotype" w:hAnsi="Palatino Linotype" w:cs="Palatino Linotype"/>
          <w:b/>
        </w:rPr>
        <w:t xml:space="preserve">Sujeto Obligado, </w:t>
      </w:r>
      <w:r w:rsidRPr="00FA1A60">
        <w:rPr>
          <w:rFonts w:ascii="Palatino Linotype" w:eastAsia="Palatino Linotype" w:hAnsi="Palatino Linotype" w:cs="Palatino Linotype"/>
        </w:rPr>
        <w:t xml:space="preserve">se procede a dictar la presente resolución con base en los siguientes: </w:t>
      </w:r>
    </w:p>
    <w:p w14:paraId="2E78F094" w14:textId="77777777" w:rsidR="00213579" w:rsidRPr="00FA1A60" w:rsidRDefault="009A6CA6">
      <w:pPr>
        <w:spacing w:before="240" w:after="240" w:line="360" w:lineRule="auto"/>
        <w:jc w:val="center"/>
        <w:rPr>
          <w:rFonts w:ascii="Palatino Linotype" w:eastAsia="Palatino Linotype" w:hAnsi="Palatino Linotype" w:cs="Palatino Linotype"/>
          <w:b/>
        </w:rPr>
      </w:pPr>
      <w:r w:rsidRPr="00FA1A60">
        <w:rPr>
          <w:rFonts w:ascii="Palatino Linotype" w:eastAsia="Palatino Linotype" w:hAnsi="Palatino Linotype" w:cs="Palatino Linotype"/>
          <w:b/>
        </w:rPr>
        <w:t>I. A N T E C E D E N T E S</w:t>
      </w:r>
    </w:p>
    <w:p w14:paraId="70B22E9C" w14:textId="4F2881F6"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1. Solicitud de acceso a la información.</w:t>
      </w:r>
      <w:r w:rsidRPr="00FA1A60">
        <w:rPr>
          <w:rFonts w:ascii="Palatino Linotype" w:eastAsia="Palatino Linotype" w:hAnsi="Palatino Linotype" w:cs="Palatino Linotype"/>
        </w:rPr>
        <w:t xml:space="preserve"> Con fecha </w:t>
      </w:r>
      <w:r w:rsidR="007619DB" w:rsidRPr="00FA1A60">
        <w:rPr>
          <w:rFonts w:ascii="Palatino Linotype" w:eastAsia="Palatino Linotype" w:hAnsi="Palatino Linotype" w:cs="Palatino Linotype"/>
          <w:b/>
          <w:bCs/>
        </w:rPr>
        <w:t xml:space="preserve">diecinueve de </w:t>
      </w:r>
      <w:r w:rsidR="003408BD" w:rsidRPr="00FA1A60">
        <w:rPr>
          <w:rFonts w:ascii="Palatino Linotype" w:eastAsia="Palatino Linotype" w:hAnsi="Palatino Linotype" w:cs="Palatino Linotype"/>
          <w:b/>
          <w:bCs/>
        </w:rPr>
        <w:t>octubre</w:t>
      </w:r>
      <w:r w:rsidR="0026171B" w:rsidRPr="00FA1A60">
        <w:rPr>
          <w:rFonts w:ascii="Palatino Linotype" w:eastAsia="Palatino Linotype" w:hAnsi="Palatino Linotype" w:cs="Palatino Linotype"/>
          <w:b/>
          <w:bCs/>
        </w:rPr>
        <w:t xml:space="preserve"> </w:t>
      </w:r>
      <w:r w:rsidR="00416432" w:rsidRPr="00FA1A60">
        <w:rPr>
          <w:rFonts w:ascii="Palatino Linotype" w:eastAsia="Palatino Linotype" w:hAnsi="Palatino Linotype" w:cs="Palatino Linotype"/>
          <w:b/>
          <w:bCs/>
        </w:rPr>
        <w:t>de</w:t>
      </w:r>
      <w:r w:rsidR="00416432"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b/>
        </w:rPr>
        <w:t>dos mil veinti</w:t>
      </w:r>
      <w:r w:rsidR="005B7CAA" w:rsidRPr="00FA1A60">
        <w:rPr>
          <w:rFonts w:ascii="Palatino Linotype" w:eastAsia="Palatino Linotype" w:hAnsi="Palatino Linotype" w:cs="Palatino Linotype"/>
          <w:b/>
        </w:rPr>
        <w:t>dós</w:t>
      </w:r>
      <w:r w:rsidRPr="00FA1A60">
        <w:rPr>
          <w:rFonts w:ascii="Palatino Linotype" w:eastAsia="Palatino Linotype" w:hAnsi="Palatino Linotype" w:cs="Palatino Linotype"/>
          <w:b/>
        </w:rPr>
        <w:t>,</w:t>
      </w:r>
      <w:r w:rsidRPr="00FA1A60">
        <w:rPr>
          <w:rFonts w:ascii="Palatino Linotype" w:eastAsia="Palatino Linotype" w:hAnsi="Palatino Linotype" w:cs="Palatino Linotype"/>
        </w:rPr>
        <w:t xml:space="preserve"> la parte </w:t>
      </w:r>
      <w:r w:rsidRPr="00FA1A60">
        <w:rPr>
          <w:rFonts w:ascii="Palatino Linotype" w:eastAsia="Palatino Linotype" w:hAnsi="Palatino Linotype" w:cs="Palatino Linotype"/>
          <w:b/>
        </w:rPr>
        <w:t xml:space="preserve">Recurrente </w:t>
      </w:r>
      <w:r w:rsidRPr="00FA1A60">
        <w:rPr>
          <w:rFonts w:ascii="Palatino Linotype" w:eastAsia="Palatino Linotype" w:hAnsi="Palatino Linotype" w:cs="Palatino Linotype"/>
        </w:rPr>
        <w:t xml:space="preserve">presentó, a través del Sistema de Acceso a la Información Mexiquense, en lo subsecuente el </w:t>
      </w:r>
      <w:r w:rsidRPr="00FA1A60">
        <w:rPr>
          <w:rFonts w:ascii="Palatino Linotype" w:eastAsia="Palatino Linotype" w:hAnsi="Palatino Linotype" w:cs="Palatino Linotype"/>
          <w:b/>
        </w:rPr>
        <w:t>SAIMEX,</w:t>
      </w:r>
      <w:r w:rsidRPr="00FA1A60">
        <w:rPr>
          <w:rFonts w:ascii="Palatino Linotype" w:eastAsia="Palatino Linotype" w:hAnsi="Palatino Linotype" w:cs="Palatino Linotype"/>
        </w:rPr>
        <w:t xml:space="preserve"> ante 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la solicitud de acceso a la información pública, a la que se le asignó el número</w:t>
      </w:r>
      <w:r w:rsidRPr="00FA1A60">
        <w:rPr>
          <w:rFonts w:ascii="Palatino Linotype" w:eastAsia="Palatino Linotype" w:hAnsi="Palatino Linotype" w:cs="Palatino Linotype"/>
          <w:b/>
        </w:rPr>
        <w:t xml:space="preserve"> </w:t>
      </w:r>
      <w:r w:rsidR="003408BD" w:rsidRPr="00FA1A60">
        <w:rPr>
          <w:rFonts w:ascii="Palatino Linotype" w:eastAsia="Palatino Linotype" w:hAnsi="Palatino Linotype" w:cs="Palatino Linotype"/>
          <w:b/>
        </w:rPr>
        <w:t>01268/INFOEM/IP/2022</w:t>
      </w:r>
      <w:r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mediante la cual requirió la información siguiente: </w:t>
      </w:r>
    </w:p>
    <w:p w14:paraId="7EB3167F" w14:textId="5CEFF5F3" w:rsidR="00213579" w:rsidRPr="00FA1A60" w:rsidRDefault="009A6CA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A1A60">
        <w:rPr>
          <w:rFonts w:ascii="Palatino Linotype" w:eastAsia="Palatino Linotype" w:hAnsi="Palatino Linotype" w:cs="Palatino Linotype"/>
          <w:i/>
          <w:sz w:val="22"/>
          <w:szCs w:val="22"/>
        </w:rPr>
        <w:t>“</w:t>
      </w:r>
      <w:r w:rsidR="003408BD" w:rsidRPr="00FA1A60">
        <w:rPr>
          <w:rFonts w:ascii="Palatino Linotype" w:eastAsia="Palatino Linotype" w:hAnsi="Palatino Linotype" w:cs="Palatino Linotype"/>
          <w:i/>
          <w:sz w:val="22"/>
          <w:szCs w:val="22"/>
        </w:rPr>
        <w:t xml:space="preserve">Solicito todos los proyectos presentados por los Sujetos Obligados del Estado de México, en relación a la Transparencia Proactiva, año 2022 y 2021 y </w:t>
      </w:r>
      <w:proofErr w:type="spellStart"/>
      <w:r w:rsidR="003408BD" w:rsidRPr="00FA1A60">
        <w:rPr>
          <w:rFonts w:ascii="Palatino Linotype" w:eastAsia="Palatino Linotype" w:hAnsi="Palatino Linotype" w:cs="Palatino Linotype"/>
          <w:i/>
          <w:sz w:val="22"/>
          <w:szCs w:val="22"/>
        </w:rPr>
        <w:t>cuales</w:t>
      </w:r>
      <w:proofErr w:type="spellEnd"/>
      <w:r w:rsidR="003408BD" w:rsidRPr="00FA1A60">
        <w:rPr>
          <w:rFonts w:ascii="Palatino Linotype" w:eastAsia="Palatino Linotype" w:hAnsi="Palatino Linotype" w:cs="Palatino Linotype"/>
          <w:i/>
          <w:sz w:val="22"/>
          <w:szCs w:val="22"/>
        </w:rPr>
        <w:t xml:space="preserve"> son los criterios que determinaron respecto a los lugares y calificaciones obtenidas de los sujetos obligados que participaron en este tema en el año 2021 y 2022</w:t>
      </w:r>
      <w:r w:rsidRPr="00FA1A60">
        <w:rPr>
          <w:rFonts w:ascii="Palatino Linotype" w:eastAsia="Palatino Linotype" w:hAnsi="Palatino Linotype" w:cs="Palatino Linotype"/>
          <w:b/>
          <w:i/>
          <w:sz w:val="22"/>
          <w:szCs w:val="22"/>
        </w:rPr>
        <w:t>”</w:t>
      </w:r>
      <w:r w:rsidRPr="00FA1A60">
        <w:rPr>
          <w:rFonts w:ascii="Palatino Linotype" w:eastAsia="Palatino Linotype" w:hAnsi="Palatino Linotype" w:cs="Palatino Linotype"/>
          <w:i/>
          <w:sz w:val="22"/>
          <w:szCs w:val="22"/>
        </w:rPr>
        <w:t xml:space="preserve"> (sic) </w:t>
      </w:r>
    </w:p>
    <w:p w14:paraId="377301D8" w14:textId="77777777" w:rsidR="00213579" w:rsidRPr="00FA1A60" w:rsidRDefault="009A6CA6">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lastRenderedPageBreak/>
        <w:t xml:space="preserve">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xml:space="preserve"> no adjuntó archivos.</w:t>
      </w:r>
    </w:p>
    <w:p w14:paraId="521A911C" w14:textId="397A3B86"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Modalidad de Entrega:</w:t>
      </w:r>
      <w:r w:rsidRPr="00FA1A60">
        <w:rPr>
          <w:rFonts w:ascii="Palatino Linotype" w:eastAsia="Palatino Linotype" w:hAnsi="Palatino Linotype" w:cs="Palatino Linotype"/>
        </w:rPr>
        <w:t xml:space="preserve"> a través </w:t>
      </w:r>
      <w:r w:rsidRPr="00FA1A60">
        <w:rPr>
          <w:rFonts w:ascii="Palatino Linotype" w:eastAsia="Palatino Linotype" w:hAnsi="Palatino Linotype" w:cs="Palatino Linotype"/>
          <w:b/>
        </w:rPr>
        <w:t xml:space="preserve">de </w:t>
      </w:r>
      <w:r w:rsidR="004832CF" w:rsidRPr="00FA1A60">
        <w:rPr>
          <w:rFonts w:ascii="Palatino Linotype" w:eastAsia="Palatino Linotype" w:hAnsi="Palatino Linotype" w:cs="Palatino Linotype"/>
          <w:b/>
        </w:rPr>
        <w:t>SAIMEX</w:t>
      </w:r>
    </w:p>
    <w:p w14:paraId="19F19062" w14:textId="49A869CF" w:rsidR="00213579" w:rsidRPr="00FA1A60" w:rsidRDefault="009A6CA6">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FA1A60">
        <w:rPr>
          <w:rFonts w:ascii="Palatino Linotype" w:eastAsia="Palatino Linotype" w:hAnsi="Palatino Linotype" w:cs="Palatino Linotype"/>
          <w:b/>
        </w:rPr>
        <w:t xml:space="preserve">2. Respuesta. </w:t>
      </w:r>
      <w:r w:rsidRPr="00FA1A60">
        <w:rPr>
          <w:rFonts w:ascii="Palatino Linotype" w:eastAsia="Palatino Linotype" w:hAnsi="Palatino Linotype" w:cs="Palatino Linotype"/>
        </w:rPr>
        <w:t>Con fecha</w:t>
      </w:r>
      <w:r w:rsidRPr="00FA1A60">
        <w:rPr>
          <w:rFonts w:ascii="Palatino Linotype" w:eastAsia="Palatino Linotype" w:hAnsi="Palatino Linotype" w:cs="Palatino Linotype"/>
          <w:b/>
        </w:rPr>
        <w:t xml:space="preserve"> </w:t>
      </w:r>
      <w:r w:rsidR="003408BD" w:rsidRPr="00FA1A60">
        <w:rPr>
          <w:rFonts w:ascii="Palatino Linotype" w:eastAsia="Palatino Linotype" w:hAnsi="Palatino Linotype" w:cs="Palatino Linotype"/>
          <w:b/>
        </w:rPr>
        <w:t>ocho de noviembre</w:t>
      </w:r>
      <w:r w:rsidR="005B7CAA" w:rsidRPr="00FA1A60">
        <w:rPr>
          <w:rFonts w:ascii="Palatino Linotype" w:eastAsia="Palatino Linotype" w:hAnsi="Palatino Linotype" w:cs="Palatino Linotype"/>
          <w:b/>
        </w:rPr>
        <w:t xml:space="preserve"> de dos mil veinti</w:t>
      </w:r>
      <w:r w:rsidR="003408BD" w:rsidRPr="00FA1A60">
        <w:rPr>
          <w:rFonts w:ascii="Palatino Linotype" w:eastAsia="Palatino Linotype" w:hAnsi="Palatino Linotype" w:cs="Palatino Linotype"/>
          <w:b/>
        </w:rPr>
        <w:t>dós</w:t>
      </w:r>
      <w:r w:rsidRPr="00FA1A60">
        <w:rPr>
          <w:rFonts w:ascii="Palatino Linotype" w:eastAsia="Palatino Linotype" w:hAnsi="Palatino Linotype" w:cs="Palatino Linotype"/>
        </w:rPr>
        <w:t xml:space="preserve">, el </w:t>
      </w:r>
      <w:r w:rsidRPr="00FA1A60">
        <w:rPr>
          <w:rFonts w:ascii="Palatino Linotype" w:eastAsia="Palatino Linotype" w:hAnsi="Palatino Linotype" w:cs="Palatino Linotype"/>
          <w:b/>
        </w:rPr>
        <w:t xml:space="preserve">Sujeto Obligado </w:t>
      </w:r>
      <w:r w:rsidRPr="00FA1A6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4A7B2A99" w:rsidR="00213579" w:rsidRPr="00FA1A60" w:rsidRDefault="009A6CA6" w:rsidP="005B7CAA">
      <w:pPr>
        <w:spacing w:before="240" w:after="240"/>
        <w:ind w:left="851" w:right="902"/>
        <w:jc w:val="both"/>
        <w:rPr>
          <w:rFonts w:ascii="Palatino Linotype" w:eastAsia="Palatino Linotype" w:hAnsi="Palatino Linotype" w:cs="Palatino Linotype"/>
          <w:b/>
          <w:i/>
          <w:sz w:val="22"/>
          <w:szCs w:val="22"/>
        </w:rPr>
      </w:pPr>
      <w:r w:rsidRPr="00FA1A60">
        <w:rPr>
          <w:rFonts w:ascii="Palatino Linotype" w:eastAsia="Palatino Linotype" w:hAnsi="Palatino Linotype" w:cs="Palatino Linotype"/>
          <w:i/>
          <w:sz w:val="22"/>
          <w:szCs w:val="22"/>
        </w:rPr>
        <w:t>“…</w:t>
      </w:r>
      <w:r w:rsidR="003408BD" w:rsidRPr="00FA1A60">
        <w:rPr>
          <w:rFonts w:ascii="Palatino Linotype" w:eastAsia="Palatino Linotype" w:hAnsi="Palatino Linotype" w:cs="Palatino Linotype"/>
          <w:i/>
          <w:sz w:val="22"/>
          <w:szCs w:val="22"/>
        </w:rPr>
        <w:t>Con fundamento en el artículo 53 fracción II de la Ley de Transparencia y Acceso a la Información Pública del Estado de México y Municipios, se adjunta la respuesta a su solicitud de información pública.</w:t>
      </w:r>
      <w:r w:rsidRPr="00FA1A60">
        <w:rPr>
          <w:rFonts w:ascii="Palatino Linotype" w:eastAsia="Palatino Linotype" w:hAnsi="Palatino Linotype" w:cs="Palatino Linotype"/>
          <w:i/>
          <w:sz w:val="22"/>
          <w:szCs w:val="22"/>
        </w:rPr>
        <w:t>..” (sic)</w:t>
      </w:r>
    </w:p>
    <w:p w14:paraId="514B92CB" w14:textId="41207CD0" w:rsidR="0066043B" w:rsidRPr="00FA1A60" w:rsidRDefault="009A6CA6">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El </w:t>
      </w:r>
      <w:r w:rsidRPr="00FA1A60">
        <w:rPr>
          <w:rFonts w:ascii="Palatino Linotype" w:eastAsia="Palatino Linotype" w:hAnsi="Palatino Linotype" w:cs="Palatino Linotype"/>
          <w:b/>
        </w:rPr>
        <w:t>Sujeto Obligado</w:t>
      </w:r>
      <w:r w:rsidR="009C1F4F"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adjuntó</w:t>
      </w:r>
      <w:r w:rsidR="005B7CAA" w:rsidRPr="00FA1A60">
        <w:rPr>
          <w:rFonts w:ascii="Palatino Linotype" w:eastAsia="Palatino Linotype" w:hAnsi="Palatino Linotype" w:cs="Palatino Linotype"/>
        </w:rPr>
        <w:t xml:space="preserve"> </w:t>
      </w:r>
      <w:r w:rsidR="0066043B" w:rsidRPr="00FA1A60">
        <w:rPr>
          <w:rFonts w:ascii="Palatino Linotype" w:eastAsia="Palatino Linotype" w:hAnsi="Palatino Linotype" w:cs="Palatino Linotype"/>
        </w:rPr>
        <w:t>lo siguiente:</w:t>
      </w:r>
    </w:p>
    <w:p w14:paraId="4165E4C9" w14:textId="39ECD46B" w:rsidR="0066043B" w:rsidRPr="00FA1A60" w:rsidRDefault="0066043B" w:rsidP="0066043B">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 </w:t>
      </w:r>
      <w:r w:rsidR="00382BAC" w:rsidRPr="00FA1A60">
        <w:rPr>
          <w:rFonts w:ascii="Palatino Linotype" w:eastAsia="Palatino Linotype" w:hAnsi="Palatino Linotype" w:cs="Palatino Linotype"/>
        </w:rPr>
        <w:t>Formato RESUMEN DE RESPUESTA A LA SOLICITUD DE ACCESO A LA INFORMACIÓN, de la solicitud 01268/INFOEM/IP/2022.</w:t>
      </w:r>
    </w:p>
    <w:p w14:paraId="61DB3770" w14:textId="67D1B7DC" w:rsidR="00382BAC" w:rsidRPr="00FA1A60" w:rsidRDefault="00382BAC" w:rsidP="002A514C">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 Oficio número INFOEM/UT/977/2022, emitido por el Titular de la Unidad de Transparencia, </w:t>
      </w:r>
      <w:r w:rsidR="002A514C" w:rsidRPr="00FA1A60">
        <w:rPr>
          <w:rFonts w:ascii="Palatino Linotype" w:eastAsia="Palatino Linotype" w:hAnsi="Palatino Linotype" w:cs="Palatino Linotype"/>
        </w:rPr>
        <w:t>mediante el cual notifica a la persona solicitante la respuesta de la Servidora Pública Habilitada de la Dirección General de Transparencia, Acceso a la Información Pública y Gobierno Abierto, bajo el número de memorándum INFOEM/DGTAIPGA/262/2022, remitido a esta Unidad de Transparencia e identificada con el nombre de archivo: “RespuestaSolicitud01268DGTAIPGA”, con su respectivos anexos.</w:t>
      </w:r>
    </w:p>
    <w:p w14:paraId="1F2CDCE1" w14:textId="31D24B65" w:rsidR="002A514C" w:rsidRPr="00FA1A60" w:rsidRDefault="002A514C" w:rsidP="002A514C">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 Memorándum número INFOEM/DGTAIPGA/262/2022, signado por la Directora General de Transparencia, Acceso a la Información Pública y Gobierno Abierto </w:t>
      </w:r>
      <w:r w:rsidR="00E95164" w:rsidRPr="00FA1A60">
        <w:rPr>
          <w:rFonts w:ascii="Palatino Linotype" w:eastAsia="Palatino Linotype" w:hAnsi="Palatino Linotype" w:cs="Palatino Linotype"/>
        </w:rPr>
        <w:lastRenderedPageBreak/>
        <w:t>mediante el cual manifiesta</w:t>
      </w:r>
      <w:r w:rsidRPr="00FA1A60">
        <w:rPr>
          <w:rFonts w:ascii="Palatino Linotype" w:eastAsia="Palatino Linotype" w:hAnsi="Palatino Linotype" w:cs="Palatino Linotype"/>
        </w:rPr>
        <w:t xml:space="preserve"> que, del análisis a la solicitud de información se advierte que el particular desea obtener los documentos de todos los proyectos presentados por los Sujetos Obligados referentes al tema de Transparencia Proactiva de los años 2021 y 2022, así como, los criterios tomados en cuenta para la obtención de calificaciones y lugares respecto de los años 2021y 2022, por lo que, en cumplimiento al principio de máxima publicidad, se realizó una búsqueda exhaustiva y razonable en los archivos físicos y electrónicos con los que cuenta la Unidad Administrativa a su cargo, advirtiendo, que obra en los mismos, información referente a la Convocatoria para el Reconocimiento de Prácticas de Transparencia Proactiva, de los ejercicios 2021 y 2022, tal como se contextualiza a continuación:</w:t>
      </w:r>
    </w:p>
    <w:p w14:paraId="08C054CF" w14:textId="77777777" w:rsidR="002A514C" w:rsidRPr="00FA1A60" w:rsidRDefault="002A514C" w:rsidP="002A514C">
      <w:pPr>
        <w:pStyle w:val="Prrafodelista"/>
        <w:numPr>
          <w:ilvl w:val="0"/>
          <w:numId w:val="12"/>
        </w:numPr>
        <w:spacing w:before="240" w:after="240" w:line="360" w:lineRule="auto"/>
        <w:ind w:left="284" w:right="49" w:firstLine="0"/>
        <w:contextualSpacing w:val="0"/>
        <w:jc w:val="both"/>
        <w:rPr>
          <w:rFonts w:ascii="Palatino Linotype" w:eastAsia="Palatino Linotype" w:hAnsi="Palatino Linotype" w:cs="Palatino Linotype"/>
        </w:rPr>
      </w:pPr>
      <w:r w:rsidRPr="00FA1A60">
        <w:rPr>
          <w:rFonts w:ascii="Palatino Linotype" w:eastAsia="Palatino Linotype" w:hAnsi="Palatino Linotype" w:cs="Palatino Linotype"/>
        </w:rPr>
        <w:t>Respecto al ejercicio 2021, se cuenta con el registro de 41 formularios remitidos por 23 Sujetos Obligados, mismos que participaron en la Convocatoria para dicho Reconocimiento, documentación que se adjunta a la presente (anexo 1).</w:t>
      </w:r>
    </w:p>
    <w:p w14:paraId="2F4EBEEE" w14:textId="77777777" w:rsidR="002A514C" w:rsidRPr="00FA1A60" w:rsidRDefault="002A514C" w:rsidP="002A514C">
      <w:pPr>
        <w:pStyle w:val="Prrafodelista"/>
        <w:numPr>
          <w:ilvl w:val="0"/>
          <w:numId w:val="12"/>
        </w:numPr>
        <w:spacing w:before="240" w:after="240" w:line="360" w:lineRule="auto"/>
        <w:ind w:left="284" w:right="49" w:firstLine="0"/>
        <w:contextualSpacing w:val="0"/>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Respecto al ejercicio 2022, se cuenta con el registro de 35 formularios remitidos por 25 Sujetos Obligados, mismos que participaron en la Convocatoria para dicho Reconocimiento, documentación que se adjunta a la presente (anexo 2). </w:t>
      </w:r>
    </w:p>
    <w:p w14:paraId="381157C4" w14:textId="7AFF7F35" w:rsidR="002A514C" w:rsidRPr="00FA1A60" w:rsidRDefault="002A514C" w:rsidP="002A514C">
      <w:pPr>
        <w:pStyle w:val="Prrafodelista"/>
        <w:numPr>
          <w:ilvl w:val="0"/>
          <w:numId w:val="12"/>
        </w:numPr>
        <w:spacing w:before="240" w:after="240" w:line="360" w:lineRule="auto"/>
        <w:ind w:left="284" w:right="49" w:firstLine="0"/>
        <w:contextualSpacing w:val="0"/>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Respecto a los Dictámenes emitidos por el Jurado Calificador, que dan cuenta de los puntajes obtenidos por cada una de las prácticas postuladas en el ejercicio 2021 y 2022, se adjuntan al presente (anexo 3 y 4) y se proporciona la liga </w:t>
      </w:r>
      <w:r w:rsidRPr="00FA1A60">
        <w:rPr>
          <w:rFonts w:ascii="Palatino Linotype" w:eastAsia="Palatino Linotype" w:hAnsi="Palatino Linotype" w:cs="Palatino Linotype"/>
        </w:rPr>
        <w:lastRenderedPageBreak/>
        <w:t>electrónica donde podrá consultarlos https://www.infoem.org.mx/es/contenido/transparencia-proactiva.</w:t>
      </w:r>
    </w:p>
    <w:p w14:paraId="67ED743E" w14:textId="3564DF04" w:rsidR="002A514C" w:rsidRPr="00FA1A60" w:rsidRDefault="002A514C" w:rsidP="002A514C">
      <w:pPr>
        <w:spacing w:before="240" w:after="240" w:line="360" w:lineRule="auto"/>
        <w:ind w:right="49"/>
        <w:jc w:val="both"/>
        <w:rPr>
          <w:rFonts w:ascii="Palatino Linotype" w:hAnsi="Palatino Linotype" w:cs="Palatino Linotype"/>
        </w:rPr>
      </w:pPr>
      <w:r w:rsidRPr="00FA1A60">
        <w:rPr>
          <w:rFonts w:ascii="Palatino Linotype" w:eastAsia="Palatino Linotype" w:hAnsi="Palatino Linotype" w:cs="Palatino Linotype"/>
        </w:rPr>
        <w:t xml:space="preserve">Asimismo, señaló que este Instituto, </w:t>
      </w:r>
      <w:r w:rsidRPr="00FA1A60">
        <w:rPr>
          <w:rFonts w:ascii="Palatino Linotype" w:hAnsi="Palatino Linotype" w:cs="Palatino Linotype"/>
        </w:rPr>
        <w:t xml:space="preserve">para ponderar las Prácticas de Transparencia Proactiva, de manera enunciativa más no limitativa consulta lo siguiente: </w:t>
      </w:r>
    </w:p>
    <w:p w14:paraId="175313E4" w14:textId="51712B3E" w:rsidR="002A514C" w:rsidRPr="00FA1A60" w:rsidRDefault="002A514C" w:rsidP="002A514C">
      <w:pPr>
        <w:pStyle w:val="Prrafodelista"/>
        <w:numPr>
          <w:ilvl w:val="0"/>
          <w:numId w:val="13"/>
        </w:numPr>
        <w:autoSpaceDE w:val="0"/>
        <w:autoSpaceDN w:val="0"/>
        <w:adjustRightInd w:val="0"/>
        <w:spacing w:before="240" w:after="240" w:line="360" w:lineRule="auto"/>
        <w:ind w:left="284" w:firstLine="0"/>
        <w:contextualSpacing w:val="0"/>
        <w:jc w:val="both"/>
        <w:rPr>
          <w:rFonts w:ascii="Palatino Linotype" w:hAnsi="Palatino Linotype" w:cs="Palatino Linotype"/>
        </w:rPr>
      </w:pPr>
      <w:r w:rsidRPr="00FA1A60">
        <w:rPr>
          <w:rFonts w:ascii="Palatino Linotype" w:hAnsi="Palatino Linotype" w:cs="Palatino Linotype"/>
        </w:rPr>
        <w:t>“</w:t>
      </w:r>
      <w:r w:rsidRPr="00FA1A60">
        <w:rPr>
          <w:rFonts w:ascii="Palatino Linotype" w:hAnsi="Palatino Linotype" w:cs="Palatino Linotype"/>
          <w:b/>
          <w:bCs/>
        </w:rPr>
        <w:t>Lineamientos para Determinar los Catálogos y Publicación de la Información de Interés Público; y para la Emisión y Evaluación de Políticas de Transparencia Proactiva”</w:t>
      </w:r>
      <w:r w:rsidRPr="00FA1A60">
        <w:rPr>
          <w:rFonts w:ascii="Palatino Linotype" w:hAnsi="Palatino Linotype" w:cs="Palatino Linotype"/>
        </w:rPr>
        <w:t xml:space="preserve">, emitidos por el Instituto Nacional de Transparencia, Acceso a la Información y Protección de Datos Personales (INAI), mismos que se adjuntan (anexo 5) y se proporciona la liga electrónica para consulta y conocimiento del solicitante </w:t>
      </w:r>
      <w:r w:rsidRPr="00FA1A60">
        <w:rPr>
          <w:rFonts w:ascii="Palatino Linotype" w:hAnsi="Palatino Linotype" w:cs="Palatino Linotype"/>
          <w:i/>
        </w:rPr>
        <w:t>https://www.infoem.org.mx/doc/normatividad/LI_Lineamientos_para_determinar_los_catalogos_y_publicacion_de_informacion_de_interes_publico_y_para_la_emision_y_evaluacion_de_politicas_de_transparencia_proactiva.pdf</w:t>
      </w:r>
      <w:r w:rsidRPr="00FA1A60">
        <w:rPr>
          <w:rFonts w:ascii="Palatino Linotype" w:hAnsi="Palatino Linotype" w:cs="Palatino Linotype"/>
        </w:rPr>
        <w:t xml:space="preserve">; </w:t>
      </w:r>
    </w:p>
    <w:p w14:paraId="2C0F0B2C" w14:textId="77777777" w:rsidR="002A514C" w:rsidRPr="00FA1A60" w:rsidRDefault="002A514C" w:rsidP="002A514C">
      <w:pPr>
        <w:pStyle w:val="Prrafodelista"/>
        <w:numPr>
          <w:ilvl w:val="0"/>
          <w:numId w:val="13"/>
        </w:numPr>
        <w:autoSpaceDE w:val="0"/>
        <w:autoSpaceDN w:val="0"/>
        <w:adjustRightInd w:val="0"/>
        <w:spacing w:before="240" w:after="240" w:line="360" w:lineRule="auto"/>
        <w:ind w:left="284" w:firstLine="0"/>
        <w:contextualSpacing w:val="0"/>
        <w:jc w:val="both"/>
        <w:rPr>
          <w:rFonts w:ascii="Palatino Linotype" w:hAnsi="Palatino Linotype" w:cs="Palatino Linotype"/>
        </w:rPr>
      </w:pPr>
      <w:r w:rsidRPr="00FA1A60">
        <w:rPr>
          <w:rFonts w:ascii="Palatino Linotype" w:hAnsi="Palatino Linotype" w:cs="Palatino Linotype"/>
        </w:rPr>
        <w:t xml:space="preserve">El marco local, señala las directrices para evaluar las Prácticas de Transparencia Proactiva a través de los </w:t>
      </w:r>
      <w:r w:rsidRPr="00FA1A60">
        <w:rPr>
          <w:rFonts w:ascii="Palatino Linotype" w:hAnsi="Palatino Linotype" w:cs="Palatino Linotype"/>
          <w:b/>
          <w:bCs/>
        </w:rPr>
        <w:t>“Criterios de Evaluación de las Políticas de Transparencia Proactiva”</w:t>
      </w:r>
      <w:r w:rsidRPr="00FA1A60">
        <w:rPr>
          <w:rFonts w:ascii="Palatino Linotype" w:hAnsi="Palatino Linotype" w:cs="Palatino Linotype"/>
          <w:i/>
          <w:iCs/>
        </w:rPr>
        <w:t xml:space="preserve">, </w:t>
      </w:r>
      <w:r w:rsidRPr="00FA1A60">
        <w:rPr>
          <w:rFonts w:ascii="Palatino Linotype" w:hAnsi="Palatino Linotype" w:cs="Palatino Linotype"/>
        </w:rPr>
        <w:t xml:space="preserve">emitidos y aprobados por el Pleno de este Instituto de Transparencia, en fecha veintidós de noviembre de dos mil dieciocho, mismos que se adjuntan (anexo 6) y se agrega, su respectiva liga electrónica </w:t>
      </w:r>
      <w:r w:rsidRPr="00FA1A60">
        <w:rPr>
          <w:rFonts w:ascii="Palatino Linotype" w:hAnsi="Palatino Linotype" w:cs="Palatino Linotype"/>
          <w:i/>
        </w:rPr>
        <w:t xml:space="preserve">https://www.infoem.org.mx/doc/gobiernoAbierto/normatividad-documentos/Acuerdo_Criterios_de_Evaluacion_de_la_PolIticas_de_Transparencia.pdf </w:t>
      </w:r>
      <w:r w:rsidRPr="00FA1A60">
        <w:rPr>
          <w:rFonts w:ascii="Palatino Linotype" w:hAnsi="Palatino Linotype" w:cs="Palatino Linotype"/>
        </w:rPr>
        <w:t xml:space="preserve">para consulta del solicitante; y </w:t>
      </w:r>
    </w:p>
    <w:p w14:paraId="12BD570D" w14:textId="582C6F79" w:rsidR="002A514C" w:rsidRPr="00FA1A60" w:rsidRDefault="002A514C" w:rsidP="002A514C">
      <w:pPr>
        <w:pStyle w:val="Prrafodelista"/>
        <w:numPr>
          <w:ilvl w:val="0"/>
          <w:numId w:val="13"/>
        </w:numPr>
        <w:autoSpaceDE w:val="0"/>
        <w:autoSpaceDN w:val="0"/>
        <w:adjustRightInd w:val="0"/>
        <w:spacing w:before="240" w:after="240" w:line="360" w:lineRule="auto"/>
        <w:ind w:left="284" w:firstLine="0"/>
        <w:contextualSpacing w:val="0"/>
        <w:jc w:val="both"/>
        <w:rPr>
          <w:rFonts w:ascii="Palatino Linotype" w:hAnsi="Palatino Linotype" w:cs="Palatino Linotype"/>
        </w:rPr>
      </w:pPr>
      <w:r w:rsidRPr="00FA1A60">
        <w:rPr>
          <w:rFonts w:ascii="Palatino Linotype" w:hAnsi="Palatino Linotype" w:cs="Palatino Linotype"/>
        </w:rPr>
        <w:lastRenderedPageBreak/>
        <w:t>Finalmente, las “</w:t>
      </w:r>
      <w:r w:rsidRPr="00FA1A60">
        <w:rPr>
          <w:rFonts w:ascii="Palatino Linotype" w:hAnsi="Palatino Linotype" w:cs="Palatino Linotype"/>
          <w:b/>
          <w:bCs/>
        </w:rPr>
        <w:t>Políticas de Transparencia Proactiva del Instituto de Transparencia, Acceso a la Información Pública y Protección de Datos Personales del Estado de México y Municipios”</w:t>
      </w:r>
      <w:r w:rsidRPr="00FA1A60">
        <w:rPr>
          <w:rFonts w:ascii="Palatino Linotype" w:hAnsi="Palatino Linotype" w:cs="Palatino Linotype"/>
        </w:rPr>
        <w:t xml:space="preserve">, documento que se adjunta (anexo 7) y se agrega, a manera de referencia la liga electrónica </w:t>
      </w:r>
      <w:r w:rsidRPr="00FA1A60">
        <w:rPr>
          <w:rFonts w:ascii="Palatino Linotype" w:hAnsi="Palatino Linotype" w:cs="Palatino Linotype"/>
          <w:i/>
        </w:rPr>
        <w:t>https://www.infoem.org.mx/doc/normatividad/O_Politicas_de_transparencia_proactiva_del_INFOEM.pdf</w:t>
      </w:r>
      <w:r w:rsidRPr="00FA1A60">
        <w:rPr>
          <w:rFonts w:ascii="Palatino Linotype" w:hAnsi="Palatino Linotype" w:cs="Palatino Linotype"/>
        </w:rPr>
        <w:t xml:space="preserve">, para consulta del solicitante. </w:t>
      </w:r>
    </w:p>
    <w:p w14:paraId="393966B9" w14:textId="77777777" w:rsidR="003933D8" w:rsidRPr="00FA1A60" w:rsidRDefault="002A514C" w:rsidP="0066043B">
      <w:pPr>
        <w:spacing w:before="240" w:after="240" w:line="360" w:lineRule="auto"/>
        <w:ind w:right="49"/>
        <w:jc w:val="both"/>
        <w:rPr>
          <w:rFonts w:ascii="Palatino Linotype" w:hAnsi="Palatino Linotype" w:cs="Palatino Linotype"/>
          <w:szCs w:val="20"/>
        </w:rPr>
      </w:pPr>
      <w:r w:rsidRPr="00FA1A60">
        <w:rPr>
          <w:rFonts w:ascii="Palatino Linotype" w:hAnsi="Palatino Linotype" w:cs="Palatino Linotype"/>
          <w:szCs w:val="20"/>
        </w:rPr>
        <w:t xml:space="preserve">- Anexo 1. Constante de 39 formularios </w:t>
      </w:r>
      <w:r w:rsidRPr="00FA1A60">
        <w:rPr>
          <w:rFonts w:ascii="Palatino Linotype" w:hAnsi="Palatino Linotype" w:cs="Palatino Linotype"/>
          <w:i/>
          <w:szCs w:val="20"/>
        </w:rPr>
        <w:t>Datos Generales de la Práctica de Trasparencia Proactiva</w:t>
      </w:r>
      <w:r w:rsidR="003933D8" w:rsidRPr="00FA1A60">
        <w:rPr>
          <w:rFonts w:ascii="Palatino Linotype" w:hAnsi="Palatino Linotype" w:cs="Palatino Linotype"/>
          <w:i/>
          <w:szCs w:val="20"/>
        </w:rPr>
        <w:t xml:space="preserve">, </w:t>
      </w:r>
      <w:r w:rsidR="003933D8" w:rsidRPr="00FA1A60">
        <w:rPr>
          <w:rFonts w:ascii="Palatino Linotype" w:hAnsi="Palatino Linotype" w:cs="Palatino Linotype"/>
          <w:szCs w:val="20"/>
        </w:rPr>
        <w:t>del ejercicio 2021.</w:t>
      </w:r>
    </w:p>
    <w:p w14:paraId="398F1EC5" w14:textId="147FCFCF" w:rsidR="003933D8" w:rsidRPr="00FA1A60" w:rsidRDefault="003933D8" w:rsidP="003933D8">
      <w:pPr>
        <w:spacing w:before="240" w:after="240" w:line="360" w:lineRule="auto"/>
        <w:ind w:right="49"/>
        <w:jc w:val="both"/>
        <w:rPr>
          <w:rFonts w:ascii="Palatino Linotype" w:hAnsi="Palatino Linotype" w:cs="Palatino Linotype"/>
          <w:szCs w:val="20"/>
        </w:rPr>
      </w:pPr>
      <w:r w:rsidRPr="00FA1A60">
        <w:rPr>
          <w:rFonts w:ascii="Palatino Linotype" w:hAnsi="Palatino Linotype" w:cs="Palatino Linotype"/>
          <w:szCs w:val="20"/>
        </w:rPr>
        <w:t xml:space="preserve"> - Anexo 2. Constante de 34 formularios </w:t>
      </w:r>
      <w:r w:rsidRPr="00FA1A60">
        <w:rPr>
          <w:rFonts w:ascii="Palatino Linotype" w:hAnsi="Palatino Linotype" w:cs="Palatino Linotype"/>
          <w:i/>
          <w:szCs w:val="20"/>
        </w:rPr>
        <w:t xml:space="preserve">Datos Generales de la Práctica de Trasparencia Proactiva, </w:t>
      </w:r>
      <w:r w:rsidRPr="00FA1A60">
        <w:rPr>
          <w:rFonts w:ascii="Palatino Linotype" w:hAnsi="Palatino Linotype" w:cs="Palatino Linotype"/>
          <w:szCs w:val="20"/>
        </w:rPr>
        <w:t>del ejercicio 2022.</w:t>
      </w:r>
    </w:p>
    <w:p w14:paraId="1E4F880C" w14:textId="6A7E9AD5" w:rsidR="002A514C" w:rsidRPr="00FA1A60" w:rsidRDefault="003933D8" w:rsidP="0066043B">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Anexo 3. Que corresponde con el Dictamen para determinar el reconocimiento de Prácticas de Transparencia Proactiva 2021.</w:t>
      </w:r>
    </w:p>
    <w:p w14:paraId="5C644279" w14:textId="60C66F3D" w:rsidR="003933D8" w:rsidRPr="00FA1A60" w:rsidRDefault="003933D8" w:rsidP="003933D8">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Anexo 4. Que corresponde con el Dictamen para determinar el reconocimiento de Prácticas de Transparencia Proactiva 2022.</w:t>
      </w:r>
    </w:p>
    <w:p w14:paraId="1BBB8563" w14:textId="77777777" w:rsidR="003933D8" w:rsidRPr="00FA1A60" w:rsidRDefault="003933D8" w:rsidP="003933D8">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Anexo 5. Que contiene los Lineamientos para Determinar los Catálogos y Publicación de Información de Interés Público; y para la Emisión y Evaluación de Políticas de Transparencia Proactiva.</w:t>
      </w:r>
    </w:p>
    <w:p w14:paraId="0FD420A6" w14:textId="7CB8A4FD" w:rsidR="003933D8" w:rsidRPr="00FA1A60" w:rsidRDefault="003933D8" w:rsidP="003933D8">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 Anexo 6. Que contiene el Acuerdo mediante el cual el Pleno del Instituto de Transparencia, Acceso a la Información Pública y Protección de Datos Personales </w:t>
      </w:r>
      <w:r w:rsidRPr="00FA1A60">
        <w:rPr>
          <w:rFonts w:ascii="Palatino Linotype" w:eastAsia="Palatino Linotype" w:hAnsi="Palatino Linotype" w:cs="Palatino Linotype"/>
        </w:rPr>
        <w:lastRenderedPageBreak/>
        <w:t>del Estado de México y Municipios aprueba los Criterios de Evaluación de las Políticas de Transparencia Proactiva.</w:t>
      </w:r>
    </w:p>
    <w:p w14:paraId="10EC51FA" w14:textId="1EAF1E3F" w:rsidR="003933D8" w:rsidRPr="00FA1A60" w:rsidRDefault="003933D8" w:rsidP="003933D8">
      <w:pPr>
        <w:spacing w:before="240" w:after="240" w:line="360" w:lineRule="auto"/>
        <w:ind w:right="49"/>
        <w:jc w:val="both"/>
        <w:rPr>
          <w:rFonts w:ascii="Palatino Linotype" w:hAnsi="Palatino Linotype" w:cs="Palatino Linotype"/>
        </w:rPr>
      </w:pPr>
      <w:r w:rsidRPr="00FA1A60">
        <w:rPr>
          <w:rFonts w:ascii="Palatino Linotype" w:eastAsia="Palatino Linotype" w:hAnsi="Palatino Linotype" w:cs="Palatino Linotype"/>
        </w:rPr>
        <w:t xml:space="preserve">- Anexo 7. Que contiene el </w:t>
      </w:r>
      <w:r w:rsidRPr="00FA1A60">
        <w:rPr>
          <w:rFonts w:ascii="Palatino Linotype" w:hAnsi="Palatino Linotype" w:cs="Palatino Linotype"/>
        </w:rPr>
        <w:t xml:space="preserve">Acuerdo mediante el cual se aprueban las Políticas de Transparencia Proactiva del Instituto de Transparencia, Acceso a la Información Pública y Protección de Datos Personales del Estado de México y Municipios, publicado en el Periódico Oficial Gaceta del Gobierno del Estado de México, en fecha veintiocho de septiembre de dos mil dieciocho. </w:t>
      </w:r>
    </w:p>
    <w:p w14:paraId="51F10CE5" w14:textId="08A3C3F9" w:rsidR="00213579" w:rsidRPr="00FA1A60" w:rsidRDefault="00BB6831">
      <w:pPr>
        <w:spacing w:before="240" w:after="240" w:line="360" w:lineRule="auto"/>
        <w:ind w:right="49"/>
        <w:jc w:val="both"/>
        <w:rPr>
          <w:rFonts w:ascii="Palatino Linotype" w:eastAsia="Palatino Linotype" w:hAnsi="Palatino Linotype" w:cs="Palatino Linotype"/>
          <w:b/>
          <w:bCs/>
        </w:rPr>
      </w:pPr>
      <w:r w:rsidRPr="00FA1A60">
        <w:rPr>
          <w:rFonts w:ascii="Palatino Linotype" w:eastAsia="Palatino Linotype" w:hAnsi="Palatino Linotype" w:cs="Palatino Linotype"/>
          <w:b/>
        </w:rPr>
        <w:t>3</w:t>
      </w:r>
      <w:r w:rsidR="009A6CA6" w:rsidRPr="00FA1A60">
        <w:rPr>
          <w:rFonts w:ascii="Palatino Linotype" w:eastAsia="Palatino Linotype" w:hAnsi="Palatino Linotype" w:cs="Palatino Linotype"/>
          <w:b/>
        </w:rPr>
        <w:t xml:space="preserve">. Interposición del recurso de revisión. </w:t>
      </w:r>
      <w:r w:rsidR="009A6CA6" w:rsidRPr="00FA1A60">
        <w:rPr>
          <w:rFonts w:ascii="Palatino Linotype" w:eastAsia="Palatino Linotype" w:hAnsi="Palatino Linotype" w:cs="Palatino Linotype"/>
        </w:rPr>
        <w:t xml:space="preserve">Inconforme con los términos de la respuesta emitida por parte del </w:t>
      </w:r>
      <w:r w:rsidR="009A6CA6" w:rsidRPr="00FA1A60">
        <w:rPr>
          <w:rFonts w:ascii="Palatino Linotype" w:eastAsia="Palatino Linotype" w:hAnsi="Palatino Linotype" w:cs="Palatino Linotype"/>
          <w:b/>
        </w:rPr>
        <w:t>Sujeto Obligado</w:t>
      </w:r>
      <w:r w:rsidR="009A6CA6"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bCs/>
        </w:rPr>
        <w:t>el</w:t>
      </w:r>
      <w:r w:rsidRPr="00FA1A60">
        <w:rPr>
          <w:rFonts w:ascii="Palatino Linotype" w:eastAsia="Palatino Linotype" w:hAnsi="Palatino Linotype" w:cs="Palatino Linotype"/>
          <w:b/>
          <w:bCs/>
        </w:rPr>
        <w:t xml:space="preserve"> </w:t>
      </w:r>
      <w:r w:rsidR="003933D8" w:rsidRPr="00FA1A60">
        <w:rPr>
          <w:rFonts w:ascii="Palatino Linotype" w:eastAsia="Palatino Linotype" w:hAnsi="Palatino Linotype" w:cs="Palatino Linotype"/>
          <w:b/>
          <w:bCs/>
        </w:rPr>
        <w:t>veintidós de noviembre</w:t>
      </w:r>
      <w:r w:rsidR="00E03ECB" w:rsidRPr="00FA1A60">
        <w:rPr>
          <w:rFonts w:ascii="Palatino Linotype" w:eastAsia="Palatino Linotype" w:hAnsi="Palatino Linotype" w:cs="Palatino Linotype"/>
          <w:b/>
          <w:bCs/>
        </w:rPr>
        <w:t xml:space="preserve"> </w:t>
      </w:r>
      <w:r w:rsidR="009A6CA6" w:rsidRPr="00FA1A60">
        <w:rPr>
          <w:rFonts w:ascii="Palatino Linotype" w:eastAsia="Palatino Linotype" w:hAnsi="Palatino Linotype" w:cs="Palatino Linotype"/>
          <w:b/>
          <w:bCs/>
        </w:rPr>
        <w:t>de</w:t>
      </w:r>
      <w:r w:rsidRPr="00FA1A60">
        <w:rPr>
          <w:rFonts w:ascii="Palatino Linotype" w:eastAsia="Palatino Linotype" w:hAnsi="Palatino Linotype" w:cs="Palatino Linotype"/>
          <w:b/>
        </w:rPr>
        <w:t xml:space="preserve"> dos mil veinti</w:t>
      </w:r>
      <w:r w:rsidR="00F56B90" w:rsidRPr="00FA1A60">
        <w:rPr>
          <w:rFonts w:ascii="Palatino Linotype" w:eastAsia="Palatino Linotype" w:hAnsi="Palatino Linotype" w:cs="Palatino Linotype"/>
          <w:b/>
        </w:rPr>
        <w:t>dós</w:t>
      </w:r>
      <w:r w:rsidR="009A6CA6" w:rsidRPr="00FA1A60">
        <w:rPr>
          <w:rFonts w:ascii="Palatino Linotype" w:eastAsia="Palatino Linotype" w:hAnsi="Palatino Linotype" w:cs="Palatino Linotype"/>
          <w:b/>
        </w:rPr>
        <w:t>,</w:t>
      </w:r>
      <w:r w:rsidR="009A6CA6" w:rsidRPr="00FA1A60">
        <w:rPr>
          <w:rFonts w:ascii="Palatino Linotype" w:eastAsia="Palatino Linotype" w:hAnsi="Palatino Linotype" w:cs="Palatino Linotype"/>
        </w:rPr>
        <w:t xml:space="preserve"> la parte </w:t>
      </w:r>
      <w:r w:rsidR="009A6CA6" w:rsidRPr="00FA1A60">
        <w:rPr>
          <w:rFonts w:ascii="Palatino Linotype" w:eastAsia="Palatino Linotype" w:hAnsi="Palatino Linotype" w:cs="Palatino Linotype"/>
          <w:b/>
        </w:rPr>
        <w:t>Recurrente</w:t>
      </w:r>
      <w:r w:rsidR="009A6CA6" w:rsidRPr="00FA1A60">
        <w:rPr>
          <w:rFonts w:ascii="Palatino Linotype" w:eastAsia="Palatino Linotype" w:hAnsi="Palatino Linotype" w:cs="Palatino Linotype"/>
        </w:rPr>
        <w:t xml:space="preserve"> interpuso el recurso de revisión a través de </w:t>
      </w:r>
      <w:r w:rsidR="009A6CA6" w:rsidRPr="00FA1A60">
        <w:rPr>
          <w:rFonts w:ascii="Palatino Linotype" w:eastAsia="Palatino Linotype" w:hAnsi="Palatino Linotype" w:cs="Palatino Linotype"/>
          <w:b/>
        </w:rPr>
        <w:t xml:space="preserve">SAIMEX, </w:t>
      </w:r>
      <w:r w:rsidR="009A6CA6" w:rsidRPr="00FA1A60">
        <w:rPr>
          <w:rFonts w:ascii="Palatino Linotype" w:eastAsia="Palatino Linotype" w:hAnsi="Palatino Linotype" w:cs="Palatino Linotype"/>
        </w:rPr>
        <w:t>en donde se manifestó de la siguiente manera:</w:t>
      </w:r>
    </w:p>
    <w:p w14:paraId="27888B01" w14:textId="77777777" w:rsidR="00213579" w:rsidRPr="00FA1A60" w:rsidRDefault="009A6CA6">
      <w:pPr>
        <w:tabs>
          <w:tab w:val="left" w:pos="2745"/>
        </w:tabs>
        <w:spacing w:before="240" w:after="240" w:line="360" w:lineRule="auto"/>
        <w:jc w:val="both"/>
        <w:rPr>
          <w:rFonts w:ascii="Palatino Linotype" w:eastAsia="Palatino Linotype" w:hAnsi="Palatino Linotype" w:cs="Palatino Linotype"/>
          <w:b/>
        </w:rPr>
      </w:pPr>
      <w:r w:rsidRPr="00FA1A60">
        <w:rPr>
          <w:rFonts w:ascii="Palatino Linotype" w:eastAsia="Palatino Linotype" w:hAnsi="Palatino Linotype" w:cs="Palatino Linotype"/>
          <w:b/>
        </w:rPr>
        <w:t xml:space="preserve">Acto impugnado: </w:t>
      </w:r>
    </w:p>
    <w:p w14:paraId="3C4968B9" w14:textId="2DEAE52E" w:rsidR="00213579" w:rsidRPr="00FA1A60"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i/>
          <w:sz w:val="22"/>
          <w:szCs w:val="22"/>
        </w:rPr>
        <w:t>“</w:t>
      </w:r>
      <w:r w:rsidR="003933D8" w:rsidRPr="00FA1A60">
        <w:rPr>
          <w:rFonts w:ascii="Palatino Linotype" w:eastAsia="Palatino Linotype" w:hAnsi="Palatino Linotype" w:cs="Palatino Linotype"/>
          <w:i/>
          <w:sz w:val="22"/>
          <w:szCs w:val="22"/>
        </w:rPr>
        <w:t>LA RESPUESTA PROPORCIONADA</w:t>
      </w:r>
      <w:r w:rsidRPr="00FA1A60">
        <w:rPr>
          <w:rFonts w:ascii="Palatino Linotype" w:eastAsia="Palatino Linotype" w:hAnsi="Palatino Linotype" w:cs="Palatino Linotype"/>
          <w:i/>
          <w:sz w:val="22"/>
          <w:szCs w:val="22"/>
        </w:rPr>
        <w:t>” (sic)</w:t>
      </w:r>
    </w:p>
    <w:p w14:paraId="6743665C" w14:textId="77777777" w:rsidR="00213579" w:rsidRPr="00FA1A60" w:rsidRDefault="009A6CA6">
      <w:pPr>
        <w:spacing w:line="360" w:lineRule="auto"/>
        <w:jc w:val="both"/>
        <w:rPr>
          <w:rFonts w:ascii="Palatino Linotype" w:eastAsia="Palatino Linotype" w:hAnsi="Palatino Linotype" w:cs="Palatino Linotype"/>
        </w:rPr>
      </w:pPr>
      <w:bookmarkStart w:id="2" w:name="_heading=h.30j0zll" w:colFirst="0" w:colLast="0"/>
      <w:bookmarkEnd w:id="2"/>
      <w:r w:rsidRPr="00FA1A60">
        <w:rPr>
          <w:rFonts w:ascii="Palatino Linotype" w:eastAsia="Palatino Linotype" w:hAnsi="Palatino Linotype" w:cs="Palatino Linotype"/>
          <w:b/>
        </w:rPr>
        <w:t>Y Razones o motivos de inconformidad</w:t>
      </w:r>
      <w:r w:rsidRPr="00FA1A60">
        <w:rPr>
          <w:rFonts w:ascii="Palatino Linotype" w:eastAsia="Palatino Linotype" w:hAnsi="Palatino Linotype" w:cs="Palatino Linotype"/>
        </w:rPr>
        <w:t xml:space="preserve">: </w:t>
      </w:r>
    </w:p>
    <w:p w14:paraId="1FBAB981" w14:textId="32CB9765" w:rsidR="00213579" w:rsidRPr="00FA1A60"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i/>
          <w:sz w:val="22"/>
          <w:szCs w:val="22"/>
        </w:rPr>
        <w:t>“</w:t>
      </w:r>
      <w:r w:rsidR="003933D8" w:rsidRPr="00FA1A60">
        <w:rPr>
          <w:rFonts w:ascii="Palatino Linotype" w:eastAsia="Palatino Linotype" w:hAnsi="Palatino Linotype" w:cs="Palatino Linotype"/>
          <w:i/>
          <w:sz w:val="22"/>
          <w:szCs w:val="22"/>
        </w:rPr>
        <w:t>NO ME ENTREGARON TODO LO QUE SOLICITE</w:t>
      </w:r>
      <w:r w:rsidRPr="00FA1A60">
        <w:rPr>
          <w:rFonts w:ascii="Palatino Linotype" w:eastAsia="Palatino Linotype" w:hAnsi="Palatino Linotype" w:cs="Palatino Linotype"/>
          <w:i/>
          <w:sz w:val="22"/>
          <w:szCs w:val="22"/>
        </w:rPr>
        <w:t>” (sic)</w:t>
      </w:r>
    </w:p>
    <w:p w14:paraId="596B5AC9" w14:textId="77777777" w:rsidR="00213579" w:rsidRPr="00FA1A60" w:rsidRDefault="009A6CA6">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b/>
        </w:rPr>
        <w:t xml:space="preserve">Anexos: </w:t>
      </w:r>
      <w:r w:rsidRPr="00FA1A60">
        <w:rPr>
          <w:rFonts w:ascii="Palatino Linotype" w:eastAsia="Palatino Linotype" w:hAnsi="Palatino Linotype" w:cs="Palatino Linotype"/>
        </w:rPr>
        <w:t xml:space="preserve">La parte </w:t>
      </w:r>
      <w:r w:rsidRPr="00FA1A60">
        <w:rPr>
          <w:rFonts w:ascii="Palatino Linotype" w:eastAsia="Palatino Linotype" w:hAnsi="Palatino Linotype" w:cs="Palatino Linotype"/>
          <w:b/>
        </w:rPr>
        <w:t xml:space="preserve">Recurrente </w:t>
      </w:r>
      <w:r w:rsidRPr="00FA1A60">
        <w:rPr>
          <w:rFonts w:ascii="Palatino Linotype" w:eastAsia="Palatino Linotype" w:hAnsi="Palatino Linotype" w:cs="Palatino Linotype"/>
        </w:rPr>
        <w:t xml:space="preserve">no adjuntó archivos. </w:t>
      </w:r>
    </w:p>
    <w:p w14:paraId="0686B175" w14:textId="5DFD75F8" w:rsidR="00213579" w:rsidRPr="00FA1A60" w:rsidRDefault="00BB6831">
      <w:pPr>
        <w:spacing w:before="240" w:after="240" w:line="360" w:lineRule="auto"/>
        <w:ind w:right="51"/>
        <w:jc w:val="both"/>
        <w:rPr>
          <w:rFonts w:ascii="Palatino Linotype" w:eastAsia="Palatino Linotype" w:hAnsi="Palatino Linotype" w:cs="Palatino Linotype"/>
        </w:rPr>
      </w:pPr>
      <w:r w:rsidRPr="00FA1A60">
        <w:rPr>
          <w:rFonts w:ascii="Palatino Linotype" w:eastAsia="Palatino Linotype" w:hAnsi="Palatino Linotype" w:cs="Palatino Linotype"/>
          <w:b/>
        </w:rPr>
        <w:t>4</w:t>
      </w:r>
      <w:r w:rsidR="009A6CA6" w:rsidRPr="00FA1A60">
        <w:rPr>
          <w:rFonts w:ascii="Palatino Linotype" w:eastAsia="Palatino Linotype" w:hAnsi="Palatino Linotype" w:cs="Palatino Linotype"/>
          <w:b/>
        </w:rPr>
        <w:t xml:space="preserve">. Turno. </w:t>
      </w:r>
      <w:r w:rsidR="009A6CA6" w:rsidRPr="00FA1A6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9A6CA6" w:rsidRPr="00FA1A60">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009A6CA6" w:rsidRPr="00FA1A60">
        <w:rPr>
          <w:rFonts w:ascii="Palatino Linotype" w:eastAsia="Palatino Linotype" w:hAnsi="Palatino Linotype" w:cs="Palatino Linotype"/>
          <w:b/>
        </w:rPr>
        <w:t xml:space="preserve">Guadalupe Ramírez Peña, </w:t>
      </w:r>
      <w:r w:rsidR="009A6CA6" w:rsidRPr="00FA1A60">
        <w:rPr>
          <w:rFonts w:ascii="Palatino Linotype" w:eastAsia="Palatino Linotype" w:hAnsi="Palatino Linotype" w:cs="Palatino Linotype"/>
        </w:rPr>
        <w:t xml:space="preserve">a efecto de que analizara sobre su admisión o su </w:t>
      </w:r>
      <w:proofErr w:type="spellStart"/>
      <w:r w:rsidR="009A6CA6" w:rsidRPr="00FA1A60">
        <w:rPr>
          <w:rFonts w:ascii="Palatino Linotype" w:eastAsia="Palatino Linotype" w:hAnsi="Palatino Linotype" w:cs="Palatino Linotype"/>
        </w:rPr>
        <w:t>desechamiento</w:t>
      </w:r>
      <w:proofErr w:type="spellEnd"/>
      <w:r w:rsidR="009A6CA6" w:rsidRPr="00FA1A60">
        <w:rPr>
          <w:rFonts w:ascii="Palatino Linotype" w:eastAsia="Palatino Linotype" w:hAnsi="Palatino Linotype" w:cs="Palatino Linotype"/>
        </w:rPr>
        <w:t>.</w:t>
      </w:r>
    </w:p>
    <w:p w14:paraId="78528036" w14:textId="71A15543" w:rsidR="00213579" w:rsidRPr="00FA1A60" w:rsidRDefault="00BB6831">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5</w:t>
      </w:r>
      <w:r w:rsidR="009A6CA6" w:rsidRPr="00FA1A60">
        <w:rPr>
          <w:rFonts w:ascii="Palatino Linotype" w:eastAsia="Palatino Linotype" w:hAnsi="Palatino Linotype" w:cs="Palatino Linotype"/>
          <w:b/>
        </w:rPr>
        <w:t>. Admisión del Recurso de revisión.</w:t>
      </w:r>
      <w:r w:rsidR="009A6CA6" w:rsidRPr="00FA1A60">
        <w:rPr>
          <w:rFonts w:ascii="Palatino Linotype" w:eastAsia="Palatino Linotype" w:hAnsi="Palatino Linotype" w:cs="Palatino Linotype"/>
        </w:rPr>
        <w:t xml:space="preserve"> Con fecha</w:t>
      </w:r>
      <w:r w:rsidR="009A6CA6" w:rsidRPr="00FA1A60">
        <w:rPr>
          <w:rFonts w:ascii="Palatino Linotype" w:eastAsia="Palatino Linotype" w:hAnsi="Palatino Linotype" w:cs="Palatino Linotype"/>
          <w:b/>
        </w:rPr>
        <w:t xml:space="preserve"> </w:t>
      </w:r>
      <w:r w:rsidR="003933D8" w:rsidRPr="00FA1A60">
        <w:rPr>
          <w:rFonts w:ascii="Palatino Linotype" w:eastAsia="Palatino Linotype" w:hAnsi="Palatino Linotype" w:cs="Palatino Linotype"/>
          <w:b/>
          <w:bCs/>
        </w:rPr>
        <w:t>veinticinco de noviembre</w:t>
      </w:r>
      <w:r w:rsidR="00F56B90" w:rsidRPr="00FA1A60">
        <w:rPr>
          <w:rFonts w:ascii="Palatino Linotype" w:eastAsia="Palatino Linotype" w:hAnsi="Palatino Linotype" w:cs="Palatino Linotype"/>
          <w:b/>
          <w:bCs/>
        </w:rPr>
        <w:t xml:space="preserve"> de</w:t>
      </w:r>
      <w:r w:rsidR="00F56B90" w:rsidRPr="00FA1A60">
        <w:rPr>
          <w:rFonts w:ascii="Palatino Linotype" w:eastAsia="Palatino Linotype" w:hAnsi="Palatino Linotype" w:cs="Palatino Linotype"/>
          <w:b/>
        </w:rPr>
        <w:t xml:space="preserve"> dos mil veintidós</w:t>
      </w:r>
      <w:r w:rsidR="009A6CA6" w:rsidRPr="00FA1A60">
        <w:rPr>
          <w:rFonts w:ascii="Palatino Linotype" w:eastAsia="Palatino Linotype" w:hAnsi="Palatino Linotype" w:cs="Palatino Linotype"/>
          <w:b/>
        </w:rPr>
        <w:t xml:space="preserve">, </w:t>
      </w:r>
      <w:r w:rsidR="009A6CA6" w:rsidRPr="00FA1A6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A6CA6" w:rsidRPr="00FA1A60">
        <w:rPr>
          <w:rFonts w:ascii="Palatino Linotype" w:eastAsia="Palatino Linotype" w:hAnsi="Palatino Linotype" w:cs="Palatino Linotype"/>
          <w:b/>
        </w:rPr>
        <w:t xml:space="preserve">Sujeto Obligado </w:t>
      </w:r>
      <w:r w:rsidR="009A6CA6" w:rsidRPr="00FA1A60">
        <w:rPr>
          <w:rFonts w:ascii="Palatino Linotype" w:eastAsia="Palatino Linotype" w:hAnsi="Palatino Linotype" w:cs="Palatino Linotype"/>
        </w:rPr>
        <w:t>presentara su informe justificado.</w:t>
      </w:r>
    </w:p>
    <w:p w14:paraId="6E668722" w14:textId="43798834" w:rsidR="002477C6" w:rsidRPr="00FA1A60" w:rsidRDefault="00BB6831" w:rsidP="002477C6">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A1A60">
        <w:rPr>
          <w:rFonts w:ascii="Palatino Linotype" w:eastAsia="Palatino Linotype" w:hAnsi="Palatino Linotype" w:cs="Palatino Linotype"/>
          <w:b/>
        </w:rPr>
        <w:t>6</w:t>
      </w:r>
      <w:r w:rsidR="009A6CA6" w:rsidRPr="00FA1A60">
        <w:rPr>
          <w:rFonts w:ascii="Palatino Linotype" w:eastAsia="Palatino Linotype" w:hAnsi="Palatino Linotype" w:cs="Palatino Linotype"/>
          <w:b/>
        </w:rPr>
        <w:t>. Manifestaciones</w:t>
      </w:r>
      <w:r w:rsidR="009A6CA6" w:rsidRPr="00FA1A60">
        <w:rPr>
          <w:rFonts w:ascii="Palatino Linotype" w:eastAsia="Palatino Linotype" w:hAnsi="Palatino Linotype" w:cs="Palatino Linotype"/>
        </w:rPr>
        <w:t xml:space="preserve">. </w:t>
      </w:r>
      <w:r w:rsidR="005163F5" w:rsidRPr="00FA1A60">
        <w:rPr>
          <w:rFonts w:ascii="Palatino Linotype" w:eastAsia="Palatino Linotype" w:hAnsi="Palatino Linotype" w:cs="Palatino Linotype"/>
        </w:rPr>
        <w:t xml:space="preserve">En fecha </w:t>
      </w:r>
      <w:r w:rsidR="008D7C9C" w:rsidRPr="00FA1A60">
        <w:rPr>
          <w:rFonts w:ascii="Palatino Linotype" w:eastAsia="Palatino Linotype" w:hAnsi="Palatino Linotype" w:cs="Palatino Linotype"/>
          <w:b/>
          <w:bCs/>
        </w:rPr>
        <w:t>seis de diciembre</w:t>
      </w:r>
      <w:r w:rsidR="002771D2" w:rsidRPr="00FA1A60">
        <w:rPr>
          <w:rFonts w:ascii="Palatino Linotype" w:eastAsia="Palatino Linotype" w:hAnsi="Palatino Linotype" w:cs="Palatino Linotype"/>
          <w:b/>
          <w:bCs/>
        </w:rPr>
        <w:t xml:space="preserve"> de dos</w:t>
      </w:r>
      <w:r w:rsidR="00F56B90" w:rsidRPr="00FA1A60">
        <w:rPr>
          <w:rFonts w:ascii="Palatino Linotype" w:eastAsia="Palatino Linotype" w:hAnsi="Palatino Linotype" w:cs="Palatino Linotype"/>
          <w:b/>
        </w:rPr>
        <w:t xml:space="preserve"> mil veintidós</w:t>
      </w:r>
      <w:r w:rsidR="005163F5" w:rsidRPr="00FA1A60">
        <w:rPr>
          <w:rFonts w:ascii="Palatino Linotype" w:eastAsia="Palatino Linotype" w:hAnsi="Palatino Linotype" w:cs="Palatino Linotype"/>
          <w:b/>
        </w:rPr>
        <w:t xml:space="preserve">, </w:t>
      </w:r>
      <w:r w:rsidR="005163F5" w:rsidRPr="00FA1A60">
        <w:rPr>
          <w:rFonts w:ascii="Palatino Linotype" w:eastAsia="Palatino Linotype" w:hAnsi="Palatino Linotype" w:cs="Palatino Linotype"/>
        </w:rPr>
        <w:t xml:space="preserve">el </w:t>
      </w:r>
      <w:r w:rsidR="005163F5" w:rsidRPr="00FA1A60">
        <w:rPr>
          <w:rFonts w:ascii="Palatino Linotype" w:eastAsia="Palatino Linotype" w:hAnsi="Palatino Linotype" w:cs="Palatino Linotype"/>
          <w:b/>
        </w:rPr>
        <w:t xml:space="preserve">Sujeto Obligado </w:t>
      </w:r>
      <w:r w:rsidR="005163F5" w:rsidRPr="00FA1A60">
        <w:rPr>
          <w:rFonts w:ascii="Palatino Linotype" w:eastAsia="Palatino Linotype" w:hAnsi="Palatino Linotype" w:cs="Palatino Linotype"/>
        </w:rPr>
        <w:t xml:space="preserve">remitió, a través de </w:t>
      </w:r>
      <w:r w:rsidR="003408BB" w:rsidRPr="00FA1A60">
        <w:rPr>
          <w:rFonts w:ascii="Palatino Linotype" w:eastAsia="Palatino Linotype" w:hAnsi="Palatino Linotype" w:cs="Palatino Linotype"/>
        </w:rPr>
        <w:t>SAIMEX, su informe justificado mediante el cual</w:t>
      </w:r>
      <w:r w:rsidR="00F56B90" w:rsidRPr="00FA1A60">
        <w:rPr>
          <w:rFonts w:ascii="Palatino Linotype" w:eastAsia="Palatino Linotype" w:hAnsi="Palatino Linotype" w:cs="Palatino Linotype"/>
        </w:rPr>
        <w:t xml:space="preserve"> </w:t>
      </w:r>
      <w:r w:rsidR="002771D2" w:rsidRPr="00FA1A60">
        <w:rPr>
          <w:rFonts w:ascii="Palatino Linotype" w:eastAsia="Palatino Linotype" w:hAnsi="Palatino Linotype" w:cs="Palatino Linotype"/>
        </w:rPr>
        <w:t>el Titular de la Unidad de Transparencia, en atención a los motivos de inconformidad aducidos por la</w:t>
      </w:r>
      <w:r w:rsidR="00CF367F" w:rsidRPr="00FA1A60">
        <w:rPr>
          <w:rFonts w:ascii="Palatino Linotype" w:eastAsia="Palatino Linotype" w:hAnsi="Palatino Linotype" w:cs="Palatino Linotype"/>
        </w:rPr>
        <w:t xml:space="preserve"> persona solicitante, manifestó</w:t>
      </w:r>
      <w:r w:rsidR="005A4316" w:rsidRPr="00FA1A60">
        <w:rPr>
          <w:rFonts w:ascii="Palatino Linotype" w:eastAsia="Palatino Linotype" w:hAnsi="Palatino Linotype" w:cs="Palatino Linotype"/>
        </w:rPr>
        <w:t xml:space="preserve"> que los mismos eran </w:t>
      </w:r>
      <w:r w:rsidR="002771D2" w:rsidRPr="00FA1A60">
        <w:rPr>
          <w:rFonts w:ascii="Palatino Linotype" w:eastAsia="Palatino Linotype" w:hAnsi="Palatino Linotype" w:cs="Palatino Linotype"/>
        </w:rPr>
        <w:t>infundados</w:t>
      </w:r>
      <w:r w:rsidR="002477C6" w:rsidRPr="00FA1A60">
        <w:rPr>
          <w:rFonts w:ascii="Palatino Linotype" w:eastAsia="Palatino Linotype" w:hAnsi="Palatino Linotype" w:cs="Palatino Linotype"/>
        </w:rPr>
        <w:t xml:space="preserve"> para modificar o revocar lo actuado en vía primigenia, ya que si bien el particular estima que no se le entrega la documentación que requería, también es cierto que no señala a su consideración cuál es la información faltante, siendo así una manifestación ambigua y superficial que no es suficiente para desestimar lo actuado; y por otra parte, que la respuesta que al efecto entregó la Dirección General de Transparencia, Acceso a la Información Pública y Gobierno Abierto en la vía primaria, efectivamente cuenta con todo lo requerido por la o el solicitante de información.</w:t>
      </w:r>
    </w:p>
    <w:p w14:paraId="2FC380FC" w14:textId="77777777" w:rsidR="002477C6" w:rsidRPr="00FA1A60" w:rsidRDefault="002477C6" w:rsidP="002477C6">
      <w:pPr>
        <w:spacing w:before="240" w:after="240" w:line="360" w:lineRule="auto"/>
        <w:jc w:val="both"/>
        <w:rPr>
          <w:rFonts w:ascii="Palatino Linotype" w:hAnsi="Palatino Linotype"/>
        </w:rPr>
      </w:pPr>
      <w:r w:rsidRPr="00FA1A60">
        <w:rPr>
          <w:rFonts w:ascii="Palatino Linotype" w:eastAsia="Palatino Linotype" w:hAnsi="Palatino Linotype" w:cs="Palatino Linotype"/>
        </w:rPr>
        <w:lastRenderedPageBreak/>
        <w:t xml:space="preserve">Asimismo, manifiesta que </w:t>
      </w:r>
      <w:r w:rsidRPr="00FA1A60">
        <w:rPr>
          <w:rFonts w:ascii="Palatino Linotype" w:hAnsi="Palatino Linotype"/>
        </w:rPr>
        <w:t xml:space="preserve">la pretensión del particular era obtener los proyectos presentados por los sujetos obligados del Estado de México en relación a la Transparencia Proactiva de los años 2021 y 2022; por lo que efectivamente le fueron proporcionados 41 formularios presentados por 23 sujetos obligados del año 2021 y 35 formularios de 25 sujetos obligados en lo que corresponde con la anualidad 2022, precisando que los proyectos a los que hace alusión el particular se conciben como lo formularios que en efecto proporcionaron los sujetos obligados que consideraron participar en la temática que nos ocupa. </w:t>
      </w:r>
    </w:p>
    <w:p w14:paraId="59CBD513" w14:textId="77777777" w:rsidR="002477C6" w:rsidRPr="00FA1A60" w:rsidRDefault="002477C6" w:rsidP="002477C6">
      <w:pPr>
        <w:spacing w:before="240" w:after="240" w:line="360" w:lineRule="auto"/>
        <w:jc w:val="both"/>
        <w:rPr>
          <w:rFonts w:ascii="Palatino Linotype" w:hAnsi="Palatino Linotype"/>
        </w:rPr>
      </w:pPr>
      <w:r w:rsidRPr="00FA1A60">
        <w:rPr>
          <w:rFonts w:ascii="Palatino Linotype" w:hAnsi="Palatino Linotype"/>
        </w:rPr>
        <w:t>De igual manera, señaló que se proporcionaron los documentos que sirvieron a este Instituto en la determinación para cada caso de ponderar las Prácticas de Transparencia Proactiva, y, adicionalmente, la servidora pública habilitada proporcionó los dictámenes emitidos por el Jurado Calificador, que dan cuenta de los puntajes obtenidos por cada una de las prácticas postuladas en los ejercicios 2021 y 2022, relacionándose así con las calificaciones o resultados que corresponden con los lugares a los que hace alusión la o el particular en su solicitud.</w:t>
      </w:r>
    </w:p>
    <w:p w14:paraId="0BE7D8E1" w14:textId="425816AA" w:rsidR="002477C6" w:rsidRPr="00FA1A60" w:rsidRDefault="002477C6" w:rsidP="002477C6">
      <w:pPr>
        <w:spacing w:before="240" w:after="240" w:line="360" w:lineRule="auto"/>
        <w:jc w:val="both"/>
        <w:rPr>
          <w:rFonts w:ascii="Palatino Linotype" w:hAnsi="Palatino Linotype"/>
        </w:rPr>
      </w:pPr>
      <w:r w:rsidRPr="00FA1A60">
        <w:rPr>
          <w:rFonts w:ascii="Palatino Linotype" w:hAnsi="Palatino Linotype"/>
        </w:rPr>
        <w:t>Finalmente, concluye que  sin existir un señalamiento específico del o los documentos faltantes por entregar, así como después de valorar que la documentación entregada era toda la contenida en los archivos al tenor de lo requerido; la respuesta entregada en la vía primigenia lo fue de manera completa al tenor de lo solicitado</w:t>
      </w:r>
      <w:r w:rsidR="00B431A8" w:rsidRPr="00FA1A60">
        <w:rPr>
          <w:rFonts w:ascii="Palatino Linotype" w:hAnsi="Palatino Linotype"/>
        </w:rPr>
        <w:t>.</w:t>
      </w:r>
    </w:p>
    <w:p w14:paraId="375088DA" w14:textId="77777777" w:rsidR="002477C6" w:rsidRPr="00FA1A60" w:rsidRDefault="002477C6" w:rsidP="005A4316">
      <w:pPr>
        <w:spacing w:before="240" w:after="240" w:line="360" w:lineRule="auto"/>
        <w:jc w:val="both"/>
        <w:rPr>
          <w:rFonts w:ascii="Palatino Linotype" w:eastAsia="Palatino Linotype" w:hAnsi="Palatino Linotype" w:cs="Palatino Linotype"/>
        </w:rPr>
      </w:pPr>
    </w:p>
    <w:p w14:paraId="650A4DC0" w14:textId="7A5187B9" w:rsidR="00947286" w:rsidRPr="00FA1A60" w:rsidRDefault="00947286" w:rsidP="005A4316">
      <w:pPr>
        <w:spacing w:before="240" w:after="240" w:line="360" w:lineRule="auto"/>
        <w:jc w:val="both"/>
        <w:rPr>
          <w:rFonts w:ascii="Palatino Linotype" w:hAnsi="Palatino Linotype"/>
        </w:rPr>
      </w:pPr>
      <w:r w:rsidRPr="00FA1A60">
        <w:rPr>
          <w:rFonts w:ascii="Palatino Linotype" w:hAnsi="Palatino Linotype"/>
        </w:rPr>
        <w:lastRenderedPageBreak/>
        <w:t>ANEXOS:</w:t>
      </w:r>
    </w:p>
    <w:p w14:paraId="4F841700" w14:textId="55FD9144" w:rsidR="002F0603" w:rsidRPr="00FA1A60" w:rsidRDefault="00947286" w:rsidP="00947286">
      <w:pPr>
        <w:spacing w:before="240" w:after="240" w:line="360" w:lineRule="auto"/>
        <w:jc w:val="both"/>
        <w:rPr>
          <w:rFonts w:ascii="Palatino Linotype" w:hAnsi="Palatino Linotype"/>
        </w:rPr>
      </w:pPr>
      <w:r w:rsidRPr="00FA1A60">
        <w:rPr>
          <w:rFonts w:ascii="Palatino Linotype" w:hAnsi="Palatino Linotype"/>
        </w:rPr>
        <w:t xml:space="preserve">- </w:t>
      </w:r>
      <w:r w:rsidR="00B431A8" w:rsidRPr="00FA1A60">
        <w:rPr>
          <w:rFonts w:ascii="Palatino Linotype" w:hAnsi="Palatino Linotype"/>
        </w:rPr>
        <w:t xml:space="preserve">Memorándum número: INFOEM/DGTAIPGA/308/2022, </w:t>
      </w:r>
      <w:r w:rsidRPr="00FA1A60">
        <w:rPr>
          <w:rFonts w:ascii="Palatino Linotype" w:hAnsi="Palatino Linotype"/>
        </w:rPr>
        <w:t>de fecha d</w:t>
      </w:r>
      <w:r w:rsidR="00B431A8" w:rsidRPr="00FA1A60">
        <w:rPr>
          <w:rFonts w:ascii="Palatino Linotype" w:hAnsi="Palatino Linotype"/>
        </w:rPr>
        <w:t xml:space="preserve">os de diciembre </w:t>
      </w:r>
      <w:r w:rsidRPr="00FA1A60">
        <w:rPr>
          <w:rFonts w:ascii="Palatino Linotype" w:hAnsi="Palatino Linotype"/>
        </w:rPr>
        <w:t>de dos mil veintidós, emitido por</w:t>
      </w:r>
      <w:r w:rsidR="00B431A8" w:rsidRPr="00FA1A60">
        <w:rPr>
          <w:rFonts w:ascii="Palatino Linotype" w:hAnsi="Palatino Linotype"/>
        </w:rPr>
        <w:t xml:space="preserve"> la Directora General de Transparencia, Acceso a la Información Pública y Gobierno A</w:t>
      </w:r>
      <w:r w:rsidR="002F0603" w:rsidRPr="00FA1A60">
        <w:rPr>
          <w:rFonts w:ascii="Palatino Linotype" w:hAnsi="Palatino Linotype"/>
        </w:rPr>
        <w:t>bierto, mediante el cual, en atención a los motivos de inconformidad señala que la Unidad Administrativa a su cargo, entregó al solicitante, los documentos que dan soporte a lo requerido, tan es así que, por cuanto hace al pedimento respecto de ”Solicito todos los proyectos presentados por los Sujetos Obligados del Estado de México, en relación a la Transparencia Proactiva, año 2022 y 2021…”, para dicha petición se entregaron 41 formularios remitidos por 23 Sujetos Obligados en el año 2021 y 35 formularios remitidos por 25 Sujetos Obligados para el año 2022, los cuales participaron en las Convocatorias para el Reconocimiento de Prácticas de Transparencia Proactiva, respectivamente.</w:t>
      </w:r>
    </w:p>
    <w:p w14:paraId="30902E5D" w14:textId="19D97711" w:rsidR="00B431A8" w:rsidRPr="00FA1A60" w:rsidRDefault="002F0603" w:rsidP="00947286">
      <w:pPr>
        <w:spacing w:before="240" w:after="240" w:line="360" w:lineRule="auto"/>
        <w:jc w:val="both"/>
        <w:rPr>
          <w:rFonts w:ascii="Palatino Linotype" w:hAnsi="Palatino Linotype"/>
        </w:rPr>
      </w:pPr>
      <w:r w:rsidRPr="00FA1A60">
        <w:rPr>
          <w:rFonts w:ascii="Palatino Linotype" w:hAnsi="Palatino Linotype"/>
        </w:rPr>
        <w:t xml:space="preserve">Respecto del pedimento del solicitante concerniente a “… cuales son los criterios que determinaron respecto a los lugares y calificaciones obtenidas de los sujetos obligados que participaron en este tema en el año 2021 y 2022…“, refiere que se entregó al particular, los Lineamientos para Determinar los Catálogos y Publicación de la Información de Interés Público; y para la Emisión y Evaluación de Políticas de Transparencia Proactiva”, Criterios de Evaluación de las Políticas de Transparencia Proactiva y Políticas de Transparencia Proactiva del Instituto, preceptos legales con los cuales se determinaron los criterios de evaluación del Reconocimiento de Prácticas de Transparencia Proactiva de los años 2021 y 2022. De igual forma se </w:t>
      </w:r>
      <w:r w:rsidRPr="00FA1A60">
        <w:rPr>
          <w:rFonts w:ascii="Palatino Linotype" w:hAnsi="Palatino Linotype"/>
        </w:rPr>
        <w:lastRenderedPageBreak/>
        <w:t>proporcionaron los Dictámenes emitidos por el Jurado Calificador, que dan cuenta de los puntajes obtenidos por cada una de las prácticas postuladas en el ejercicio 2021 y 2022.</w:t>
      </w:r>
    </w:p>
    <w:p w14:paraId="6CAFA4CB" w14:textId="6BFF5B2F" w:rsidR="002F0603" w:rsidRPr="00FA1A60" w:rsidRDefault="002F0603" w:rsidP="00947286">
      <w:pPr>
        <w:spacing w:before="240" w:after="240" w:line="360" w:lineRule="auto"/>
        <w:jc w:val="both"/>
        <w:rPr>
          <w:rFonts w:ascii="Palatino Linotype" w:hAnsi="Palatino Linotype"/>
        </w:rPr>
      </w:pPr>
      <w:r w:rsidRPr="00FA1A60">
        <w:rPr>
          <w:rFonts w:ascii="Palatino Linotype" w:hAnsi="Palatino Linotype"/>
        </w:rPr>
        <w:t>Finalmente, manifiesta que la información que le fue proporcionada en respuesta, es la documentación con la que se cuenta y en la modalidad en la que se posee, atendiendo al principio de congruencia, se le remitió la información como fue generada y con la que de acuerdo con el precepto legal señalado en supra líneas, es el documento que colma lo solicitado por el particular; esto es así, ya que la Dirección General si bien no cuenta con la obligación de generar, poseer o administrar la información pública con el grado de detalle solicitado y/o bien, de generar un documento ad hoc, dio respuesta al planteamiento para satisfacer el derecho de acceso a la información pública, ratifica en todas y cada una de sus partes la respuesta primigenia otorgada mediante memorándum número INFOEM/DGTAIPGA/262/2022 de fecha 24 de octubre de 2022, correspondiente a la respuesta recaída a la solicitud de acceso a la información pública identificada con número de folio 01268/INFOEM/IP/2022.</w:t>
      </w:r>
    </w:p>
    <w:p w14:paraId="16C84866" w14:textId="2340838D" w:rsidR="009167A4" w:rsidRPr="00FA1A60" w:rsidRDefault="00382CE8" w:rsidP="009167A4">
      <w:pPr>
        <w:spacing w:before="240" w:after="240" w:line="360" w:lineRule="auto"/>
        <w:jc w:val="both"/>
        <w:rPr>
          <w:rFonts w:ascii="Palatino Linotype" w:hAnsi="Palatino Linotype"/>
        </w:rPr>
      </w:pPr>
      <w:r w:rsidRPr="00FA1A60">
        <w:rPr>
          <w:rFonts w:ascii="Palatino Linotype" w:eastAsia="Palatino Linotype" w:hAnsi="Palatino Linotype" w:cs="Palatino Linotype"/>
        </w:rPr>
        <w:t xml:space="preserve">- </w:t>
      </w:r>
      <w:r w:rsidR="002F0603" w:rsidRPr="00FA1A60">
        <w:rPr>
          <w:rFonts w:ascii="Palatino Linotype" w:eastAsia="Palatino Linotype" w:hAnsi="Palatino Linotype" w:cs="Palatino Linotype"/>
        </w:rPr>
        <w:t>Memorándum número INFOEM/UT/409/2022</w:t>
      </w:r>
      <w:r w:rsidRPr="00FA1A60">
        <w:rPr>
          <w:rFonts w:ascii="Palatino Linotype" w:eastAsia="Palatino Linotype" w:hAnsi="Palatino Linotype" w:cs="Palatino Linotype"/>
        </w:rPr>
        <w:t>, de fecha veinti</w:t>
      </w:r>
      <w:r w:rsidR="009167A4" w:rsidRPr="00FA1A60">
        <w:rPr>
          <w:rFonts w:ascii="Palatino Linotype" w:eastAsia="Palatino Linotype" w:hAnsi="Palatino Linotype" w:cs="Palatino Linotype"/>
        </w:rPr>
        <w:t xml:space="preserve">ocho </w:t>
      </w:r>
      <w:r w:rsidRPr="00FA1A60">
        <w:rPr>
          <w:rFonts w:ascii="Palatino Linotype" w:eastAsia="Palatino Linotype" w:hAnsi="Palatino Linotype" w:cs="Palatino Linotype"/>
        </w:rPr>
        <w:t xml:space="preserve">de </w:t>
      </w:r>
      <w:r w:rsidR="009167A4" w:rsidRPr="00FA1A60">
        <w:rPr>
          <w:rFonts w:ascii="Palatino Linotype" w:eastAsia="Palatino Linotype" w:hAnsi="Palatino Linotype" w:cs="Palatino Linotype"/>
        </w:rPr>
        <w:t xml:space="preserve">noviembre </w:t>
      </w:r>
      <w:r w:rsidRPr="00FA1A60">
        <w:rPr>
          <w:rFonts w:ascii="Palatino Linotype" w:eastAsia="Palatino Linotype" w:hAnsi="Palatino Linotype" w:cs="Palatino Linotype"/>
        </w:rPr>
        <w:t xml:space="preserve">de </w:t>
      </w:r>
      <w:r w:rsidRPr="00FA1A60">
        <w:rPr>
          <w:rFonts w:ascii="Palatino Linotype" w:hAnsi="Palatino Linotype"/>
        </w:rPr>
        <w:t xml:space="preserve">dos mil veintidós, </w:t>
      </w:r>
      <w:r w:rsidR="009167A4" w:rsidRPr="00FA1A60">
        <w:rPr>
          <w:rFonts w:ascii="Palatino Linotype" w:hAnsi="Palatino Linotype"/>
        </w:rPr>
        <w:t xml:space="preserve">mediante el cual el Titular de la Unidad de Transparencia solicita a la Dirección General de Transparencia, Acceso a la Información Pública y Gobierno Abierto remita el informe derivado de la respuesta a la solicitud de acceso a la información pública, con la finalidad de estar en posibilidad de que la Unidad </w:t>
      </w:r>
      <w:r w:rsidR="009167A4" w:rsidRPr="00FA1A60">
        <w:rPr>
          <w:rFonts w:ascii="Palatino Linotype" w:hAnsi="Palatino Linotype"/>
        </w:rPr>
        <w:lastRenderedPageBreak/>
        <w:t>de Transparencia pueda integrar y rendir el informe de justificación correspondiente.</w:t>
      </w:r>
    </w:p>
    <w:p w14:paraId="35C3F2B9" w14:textId="77E3DA82" w:rsidR="005163F5" w:rsidRPr="00FA1A60" w:rsidRDefault="001B5E33" w:rsidP="005163F5">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U</w:t>
      </w:r>
      <w:r w:rsidR="005163F5" w:rsidRPr="00FA1A60">
        <w:rPr>
          <w:rFonts w:ascii="Palatino Linotype" w:eastAsia="Palatino Linotype" w:hAnsi="Palatino Linotype" w:cs="Palatino Linotype"/>
        </w:rPr>
        <w:t>na vez analizado</w:t>
      </w:r>
      <w:r w:rsidRPr="00FA1A60">
        <w:rPr>
          <w:rFonts w:ascii="Palatino Linotype" w:eastAsia="Palatino Linotype" w:hAnsi="Palatino Linotype" w:cs="Palatino Linotype"/>
        </w:rPr>
        <w:t>s los</w:t>
      </w:r>
      <w:r w:rsidR="005163F5" w:rsidRPr="00FA1A60">
        <w:rPr>
          <w:rFonts w:ascii="Palatino Linotype" w:eastAsia="Palatino Linotype" w:hAnsi="Palatino Linotype" w:cs="Palatino Linotype"/>
        </w:rPr>
        <w:t xml:space="preserve"> documento</w:t>
      </w:r>
      <w:r w:rsidRPr="00FA1A60">
        <w:rPr>
          <w:rFonts w:ascii="Palatino Linotype" w:eastAsia="Palatino Linotype" w:hAnsi="Palatino Linotype" w:cs="Palatino Linotype"/>
        </w:rPr>
        <w:t>s</w:t>
      </w:r>
      <w:r w:rsidR="005163F5" w:rsidRPr="00FA1A60">
        <w:rPr>
          <w:rFonts w:ascii="Palatino Linotype" w:eastAsia="Palatino Linotype" w:hAnsi="Palatino Linotype" w:cs="Palatino Linotype"/>
        </w:rPr>
        <w:t xml:space="preserve"> referido</w:t>
      </w:r>
      <w:r w:rsidRPr="00FA1A60">
        <w:rPr>
          <w:rFonts w:ascii="Palatino Linotype" w:eastAsia="Palatino Linotype" w:hAnsi="Palatino Linotype" w:cs="Palatino Linotype"/>
        </w:rPr>
        <w:t>s</w:t>
      </w:r>
      <w:r w:rsidR="005163F5" w:rsidRPr="00FA1A60">
        <w:rPr>
          <w:rFonts w:ascii="Palatino Linotype" w:eastAsia="Palatino Linotype" w:hAnsi="Palatino Linotype" w:cs="Palatino Linotype"/>
        </w:rPr>
        <w:t xml:space="preserve">, se </w:t>
      </w:r>
      <w:r w:rsidRPr="00FA1A60">
        <w:rPr>
          <w:rFonts w:ascii="Palatino Linotype" w:eastAsia="Palatino Linotype" w:hAnsi="Palatino Linotype" w:cs="Palatino Linotype"/>
        </w:rPr>
        <w:t xml:space="preserve">hicieron </w:t>
      </w:r>
      <w:r w:rsidR="005163F5" w:rsidRPr="00FA1A60">
        <w:rPr>
          <w:rFonts w:ascii="Palatino Linotype" w:eastAsia="Palatino Linotype" w:hAnsi="Palatino Linotype" w:cs="Palatino Linotype"/>
        </w:rPr>
        <w:t>del conocimiento de la persona solicitante con la finalidad de que manifestara lo que a su derecho estimara conveniente, siendo omisa en ejercer dicha prerrogativa.</w:t>
      </w:r>
    </w:p>
    <w:p w14:paraId="18A1385E" w14:textId="03CE70B4" w:rsidR="001B5E33" w:rsidRPr="00FA1A60" w:rsidRDefault="00C44385"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7.</w:t>
      </w:r>
      <w:r w:rsidRPr="00FA1A60">
        <w:rPr>
          <w:rFonts w:ascii="Palatino Linotype" w:eastAsia="Palatino Linotype" w:hAnsi="Palatino Linotype" w:cs="Palatino Linotype"/>
        </w:rPr>
        <w:t xml:space="preserve"> </w:t>
      </w:r>
      <w:r w:rsidR="001B5E33" w:rsidRPr="00FA1A60">
        <w:rPr>
          <w:rFonts w:ascii="Palatino Linotype" w:eastAsia="Palatino Linotype" w:hAnsi="Palatino Linotype" w:cs="Palatino Linotype"/>
          <w:b/>
        </w:rPr>
        <w:t>Ampliación del término para resolver</w:t>
      </w:r>
      <w:r w:rsidR="001B5E33" w:rsidRPr="00FA1A60">
        <w:rPr>
          <w:rFonts w:ascii="Palatino Linotype" w:eastAsia="Palatino Linotype" w:hAnsi="Palatino Linotype" w:cs="Palatino Linotype"/>
        </w:rPr>
        <w:t xml:space="preserve">. En fecha </w:t>
      </w:r>
      <w:r w:rsidRPr="00FA1A60">
        <w:rPr>
          <w:rFonts w:ascii="Palatino Linotype" w:eastAsia="Palatino Linotype" w:hAnsi="Palatino Linotype" w:cs="Palatino Linotype"/>
          <w:b/>
        </w:rPr>
        <w:t xml:space="preserve">veintidós de </w:t>
      </w:r>
      <w:r w:rsidR="00E8133C" w:rsidRPr="00FA1A60">
        <w:rPr>
          <w:rFonts w:ascii="Palatino Linotype" w:eastAsia="Palatino Linotype" w:hAnsi="Palatino Linotype" w:cs="Palatino Linotype"/>
          <w:b/>
        </w:rPr>
        <w:t xml:space="preserve">mayo de </w:t>
      </w:r>
      <w:r w:rsidR="001B5E33" w:rsidRPr="00FA1A60">
        <w:rPr>
          <w:rFonts w:ascii="Palatino Linotype" w:eastAsia="Palatino Linotype" w:hAnsi="Palatino Linotype" w:cs="Palatino Linotype"/>
          <w:b/>
        </w:rPr>
        <w:t>dos mil veinti</w:t>
      </w:r>
      <w:r w:rsidR="00E8133C" w:rsidRPr="00FA1A60">
        <w:rPr>
          <w:rFonts w:ascii="Palatino Linotype" w:eastAsia="Palatino Linotype" w:hAnsi="Palatino Linotype" w:cs="Palatino Linotype"/>
          <w:b/>
        </w:rPr>
        <w:t>trés</w:t>
      </w:r>
      <w:r w:rsidR="001B5E33" w:rsidRPr="00FA1A6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BFC3554"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596C6C9"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FA1A60">
        <w:rPr>
          <w:rFonts w:ascii="Palatino Linotype" w:eastAsia="Palatino Linotype" w:hAnsi="Palatino Linotype" w:cs="Palatino Linotype"/>
        </w:rPr>
        <w:lastRenderedPageBreak/>
        <w:t>órganos jurisdiccionales federales, aplicables también en procedimientos análogos, como el que nos ocupa.</w:t>
      </w:r>
    </w:p>
    <w:p w14:paraId="5454DCD1"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A828EC"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C36CE43" w14:textId="77777777" w:rsidR="001B5E33" w:rsidRPr="00FA1A60" w:rsidRDefault="001B5E33" w:rsidP="001B5E33">
      <w:pPr>
        <w:spacing w:before="240" w:after="240" w:line="360" w:lineRule="auto"/>
        <w:jc w:val="both"/>
        <w:rPr>
          <w:rFonts w:ascii="Palatino Linotype" w:eastAsia="Palatino Linotype" w:hAnsi="Palatino Linotype" w:cs="Palatino Linotype"/>
          <w:strike/>
        </w:rPr>
      </w:pPr>
      <w:r w:rsidRPr="00FA1A6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93A2BA" w14:textId="77777777" w:rsidR="001B5E33" w:rsidRPr="00FA1A60"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3D690DD" w14:textId="77777777" w:rsidR="001B5E33" w:rsidRPr="00FA1A60"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Actividad Procesal del interesado. Acciones u omisiones del interesado.</w:t>
      </w:r>
    </w:p>
    <w:p w14:paraId="29803937" w14:textId="77777777" w:rsidR="001B5E33" w:rsidRPr="00FA1A60" w:rsidRDefault="001B5E33" w:rsidP="001B5E33">
      <w:pPr>
        <w:numPr>
          <w:ilvl w:val="0"/>
          <w:numId w:val="11"/>
        </w:num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Conducta de la Autoridad: Las Acciones u omisiones realizadas en el procedimiento. Así como si la autoridad actuó con la debida diligencia.</w:t>
      </w:r>
    </w:p>
    <w:p w14:paraId="371FBF09" w14:textId="77777777" w:rsidR="001B5E33" w:rsidRPr="00FA1A60" w:rsidRDefault="001B5E33" w:rsidP="001B5E33">
      <w:pPr>
        <w:spacing w:before="240" w:after="240" w:line="360" w:lineRule="auto"/>
        <w:ind w:left="567"/>
        <w:jc w:val="both"/>
        <w:rPr>
          <w:rFonts w:ascii="Palatino Linotype" w:eastAsia="Palatino Linotype" w:hAnsi="Palatino Linotype" w:cs="Palatino Linotype"/>
        </w:rPr>
      </w:pPr>
      <w:r w:rsidRPr="00FA1A60">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7F07DC1"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154BE0" w14:textId="77777777" w:rsidR="001B5E33" w:rsidRPr="00FA1A60" w:rsidRDefault="001B5E33" w:rsidP="001B5E33">
      <w:pPr>
        <w:spacing w:before="240" w:after="240" w:line="360" w:lineRule="auto"/>
        <w:jc w:val="both"/>
        <w:rPr>
          <w:rFonts w:ascii="Palatino Linotype" w:eastAsia="Palatino Linotype" w:hAnsi="Palatino Linotype" w:cs="Palatino Linotype"/>
          <w:b/>
        </w:rPr>
      </w:pPr>
      <w:r w:rsidRPr="00FA1A6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A1A6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A1A60">
        <w:rPr>
          <w:rFonts w:ascii="Palatino Linotype" w:eastAsia="Palatino Linotype" w:hAnsi="Palatino Linotype" w:cs="Palatino Linotype"/>
        </w:rPr>
        <w:t>, visible en la Gaceta del Seminario Judicial de la Federación con el registro digital 205635.</w:t>
      </w:r>
    </w:p>
    <w:p w14:paraId="0C0CA665"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A1A60">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C58383F"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72B4A2" w14:textId="77777777" w:rsidR="001B5E33" w:rsidRPr="00FA1A60" w:rsidRDefault="001B5E33" w:rsidP="001B5E33">
      <w:pPr>
        <w:spacing w:before="240" w:after="240"/>
        <w:ind w:left="851" w:right="902"/>
        <w:jc w:val="both"/>
        <w:rPr>
          <w:rFonts w:ascii="Palatino Linotype" w:eastAsia="Palatino Linotype" w:hAnsi="Palatino Linotype" w:cs="Palatino Linotype"/>
          <w:sz w:val="22"/>
          <w:szCs w:val="22"/>
        </w:rPr>
      </w:pPr>
      <w:r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b/>
          <w:i/>
          <w:sz w:val="22"/>
          <w:szCs w:val="22"/>
        </w:rPr>
        <w:t>PLAZO RAZONABLE PARA RESOLVER. DIMENSIÓN Y EFECTOS DE ESTE CONCEPTO CUANDO SE ADUCE EXCESIVA CARGA DE TRABAJO</w:t>
      </w: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888C56" w14:textId="77777777" w:rsidR="001B5E33" w:rsidRPr="00FA1A60" w:rsidRDefault="001B5E33" w:rsidP="001B5E33">
      <w:pPr>
        <w:spacing w:before="240" w:after="240"/>
        <w:ind w:left="851" w:right="902"/>
        <w:jc w:val="both"/>
        <w:rPr>
          <w:rFonts w:ascii="Palatino Linotype" w:eastAsia="Palatino Linotype" w:hAnsi="Palatino Linotype" w:cs="Palatino Linotype"/>
          <w:sz w:val="22"/>
          <w:szCs w:val="22"/>
        </w:rPr>
      </w:pP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sz w:val="22"/>
          <w:szCs w:val="22"/>
        </w:rPr>
        <w:t>, visible en el Seminario Judicial de la Federación y su gaceta, con el registro digital 2002350.</w:t>
      </w:r>
    </w:p>
    <w:p w14:paraId="477C7EC8" w14:textId="77777777" w:rsidR="001B5E33" w:rsidRPr="00FA1A60" w:rsidRDefault="001B5E33" w:rsidP="001B5E33">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09DD110" w14:textId="5429B646" w:rsidR="00C44385" w:rsidRPr="00FA1A60" w:rsidRDefault="00C44385" w:rsidP="00C44385">
      <w:pPr>
        <w:spacing w:before="240" w:after="240" w:line="360" w:lineRule="auto"/>
        <w:jc w:val="both"/>
        <w:rPr>
          <w:rFonts w:ascii="Palatino Linotype" w:hAnsi="Palatino Linotype"/>
        </w:rPr>
      </w:pPr>
      <w:r w:rsidRPr="00FA1A60">
        <w:rPr>
          <w:rFonts w:ascii="Palatino Linotype" w:eastAsia="Palatino Linotype" w:hAnsi="Palatino Linotype" w:cs="Palatino Linotype"/>
          <w:b/>
        </w:rPr>
        <w:t xml:space="preserve">8. Alcance al informe justificado. </w:t>
      </w:r>
      <w:r w:rsidRPr="00FA1A60">
        <w:rPr>
          <w:rFonts w:ascii="Palatino Linotype" w:eastAsia="Palatino Linotype" w:hAnsi="Palatino Linotype" w:cs="Palatino Linotype"/>
        </w:rPr>
        <w:t xml:space="preserve">En fecha </w:t>
      </w:r>
      <w:r w:rsidRPr="00FA1A60">
        <w:rPr>
          <w:rFonts w:ascii="Palatino Linotype" w:eastAsia="Palatino Linotype" w:hAnsi="Palatino Linotype" w:cs="Palatino Linotype"/>
          <w:b/>
          <w:bCs/>
        </w:rPr>
        <w:t>doce de julio de dos</w:t>
      </w:r>
      <w:r w:rsidRPr="00FA1A60">
        <w:rPr>
          <w:rFonts w:ascii="Palatino Linotype" w:eastAsia="Palatino Linotype" w:hAnsi="Palatino Linotype" w:cs="Palatino Linotype"/>
          <w:b/>
        </w:rPr>
        <w:t xml:space="preserve"> mil veintitrés, </w:t>
      </w:r>
      <w:r w:rsidRPr="00FA1A60">
        <w:rPr>
          <w:rFonts w:ascii="Palatino Linotype" w:eastAsia="Palatino Linotype" w:hAnsi="Palatino Linotype" w:cs="Palatino Linotype"/>
        </w:rPr>
        <w:t xml:space="preserve">el </w:t>
      </w:r>
      <w:r w:rsidRPr="00FA1A60">
        <w:rPr>
          <w:rFonts w:ascii="Palatino Linotype" w:eastAsia="Palatino Linotype" w:hAnsi="Palatino Linotype" w:cs="Palatino Linotype"/>
          <w:b/>
        </w:rPr>
        <w:t xml:space="preserve">Sujeto Obligado </w:t>
      </w:r>
      <w:r w:rsidRPr="00FA1A60">
        <w:rPr>
          <w:rFonts w:ascii="Palatino Linotype" w:eastAsia="Palatino Linotype" w:hAnsi="Palatino Linotype" w:cs="Palatino Linotype"/>
        </w:rPr>
        <w:t xml:space="preserve">remitió, a través de SAIMEX, el Memorándum número INFOEM/DGTAIPGA/116/2023, de misma fecha, signado por la </w:t>
      </w:r>
      <w:r w:rsidRPr="00FA1A60">
        <w:rPr>
          <w:rFonts w:ascii="Palatino Linotype" w:hAnsi="Palatino Linotype"/>
        </w:rPr>
        <w:t xml:space="preserve">Directora General de Transparencia, Acceso a la Información Pública y Gobierno Abierto, mediante el </w:t>
      </w:r>
      <w:r w:rsidRPr="00FA1A60">
        <w:rPr>
          <w:rFonts w:ascii="Palatino Linotype" w:hAnsi="Palatino Linotype"/>
        </w:rPr>
        <w:lastRenderedPageBreak/>
        <w:t>cual refiere que después de haber realizado una búsqueda exhaustiva y razonable de la información solicitada dentro de los archivos de la Dirección General a su cargo, en observancia a la protección más amplia del derecho humano de acceso a la información pública contenido en el artículo 6 de la Constitución Política de los Estados Unidos Mexicanos, adjunta, en alcance al informe justificado, información concerniente a los proyectos presentados por parte de los Sujetos Obligados en el periodo requerido, señalando que, por un error humano se omitió su remisión en el momento procesal oportuno.</w:t>
      </w:r>
    </w:p>
    <w:p w14:paraId="516A35A4" w14:textId="77777777" w:rsidR="00C44385" w:rsidRPr="00FA1A60" w:rsidRDefault="00C44385" w:rsidP="00C44385">
      <w:pPr>
        <w:spacing w:before="240" w:after="240" w:line="360" w:lineRule="auto"/>
        <w:jc w:val="both"/>
        <w:rPr>
          <w:rFonts w:ascii="Palatino Linotype" w:hAnsi="Palatino Linotype"/>
        </w:rPr>
      </w:pPr>
      <w:r w:rsidRPr="00FA1A60">
        <w:rPr>
          <w:rFonts w:ascii="Palatino Linotype" w:hAnsi="Palatino Linotype"/>
        </w:rPr>
        <w:t>ANEXOS:</w:t>
      </w:r>
    </w:p>
    <w:p w14:paraId="7298C4D1" w14:textId="77777777" w:rsidR="00C44385" w:rsidRPr="00FA1A60" w:rsidRDefault="00C44385" w:rsidP="00C44385">
      <w:pPr>
        <w:spacing w:before="240" w:after="240" w:line="360" w:lineRule="auto"/>
        <w:jc w:val="both"/>
        <w:rPr>
          <w:rFonts w:ascii="Palatino Linotype" w:hAnsi="Palatino Linotype"/>
        </w:rPr>
      </w:pPr>
      <w:r w:rsidRPr="00FA1A60">
        <w:rPr>
          <w:rFonts w:ascii="Palatino Linotype" w:hAnsi="Palatino Linotype"/>
        </w:rPr>
        <w:t xml:space="preserve">- 2 </w:t>
      </w:r>
      <w:r w:rsidRPr="00FA1A60">
        <w:rPr>
          <w:rFonts w:ascii="Palatino Linotype" w:hAnsi="Palatino Linotype" w:cs="Palatino Linotype"/>
          <w:szCs w:val="20"/>
        </w:rPr>
        <w:t xml:space="preserve">formularios </w:t>
      </w:r>
      <w:r w:rsidRPr="00FA1A60">
        <w:rPr>
          <w:rFonts w:ascii="Palatino Linotype" w:hAnsi="Palatino Linotype" w:cs="Palatino Linotype"/>
          <w:i/>
          <w:szCs w:val="20"/>
        </w:rPr>
        <w:t xml:space="preserve">Datos Generales de la Práctica de Trasparencia Proactiva, </w:t>
      </w:r>
      <w:r w:rsidRPr="00FA1A60">
        <w:rPr>
          <w:rFonts w:ascii="Palatino Linotype" w:hAnsi="Palatino Linotype" w:cs="Palatino Linotype"/>
          <w:szCs w:val="20"/>
        </w:rPr>
        <w:t>del ejercicio 2021.</w:t>
      </w:r>
    </w:p>
    <w:p w14:paraId="69C389DF" w14:textId="77777777" w:rsidR="00C44385" w:rsidRPr="00FA1A60" w:rsidRDefault="00C44385" w:rsidP="00C44385">
      <w:pPr>
        <w:spacing w:before="240" w:after="240" w:line="360" w:lineRule="auto"/>
        <w:jc w:val="both"/>
        <w:rPr>
          <w:rFonts w:ascii="Palatino Linotype" w:hAnsi="Palatino Linotype"/>
        </w:rPr>
      </w:pPr>
      <w:r w:rsidRPr="00FA1A60">
        <w:rPr>
          <w:rFonts w:ascii="Palatino Linotype" w:hAnsi="Palatino Linotype"/>
        </w:rPr>
        <w:t xml:space="preserve">- 5 </w:t>
      </w:r>
      <w:r w:rsidRPr="00FA1A60">
        <w:rPr>
          <w:rFonts w:ascii="Palatino Linotype" w:hAnsi="Palatino Linotype" w:cs="Palatino Linotype"/>
          <w:szCs w:val="20"/>
        </w:rPr>
        <w:t xml:space="preserve">formularios </w:t>
      </w:r>
      <w:r w:rsidRPr="00FA1A60">
        <w:rPr>
          <w:rFonts w:ascii="Palatino Linotype" w:hAnsi="Palatino Linotype" w:cs="Palatino Linotype"/>
          <w:i/>
          <w:szCs w:val="20"/>
        </w:rPr>
        <w:t xml:space="preserve">Datos Generales de la Práctica de Trasparencia Proactiva, </w:t>
      </w:r>
      <w:r w:rsidRPr="00FA1A60">
        <w:rPr>
          <w:rFonts w:ascii="Palatino Linotype" w:hAnsi="Palatino Linotype" w:cs="Palatino Linotype"/>
          <w:szCs w:val="20"/>
        </w:rPr>
        <w:t>del ejercicio 2022.</w:t>
      </w:r>
    </w:p>
    <w:p w14:paraId="0D8D2B46" w14:textId="7B42A542" w:rsidR="00C44385" w:rsidRPr="00FA1A60" w:rsidRDefault="00C44385" w:rsidP="00C44385">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Los documentos referidos se hicieron del conocimiento de la persona solicitante con la finalidad de que manifestara lo que a su derecho estimara conveniente, siendo omisa en ejercer dicha prerrogativa.</w:t>
      </w:r>
    </w:p>
    <w:p w14:paraId="6C05CA60" w14:textId="5E4F33A0" w:rsidR="001662D8" w:rsidRPr="00FA1A60" w:rsidRDefault="00C44385" w:rsidP="001662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9</w:t>
      </w:r>
      <w:r w:rsidR="001662D8" w:rsidRPr="00FA1A60">
        <w:rPr>
          <w:rFonts w:ascii="Palatino Linotype" w:eastAsia="Palatino Linotype" w:hAnsi="Palatino Linotype" w:cs="Palatino Linotype"/>
          <w:b/>
        </w:rPr>
        <w:t xml:space="preserve">. Cierre de instrucción. </w:t>
      </w:r>
      <w:r w:rsidR="001662D8" w:rsidRPr="00FA1A6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FA1A60">
        <w:rPr>
          <w:rFonts w:ascii="Palatino Linotype" w:eastAsia="Palatino Linotype" w:hAnsi="Palatino Linotype" w:cs="Palatino Linotype"/>
          <w:b/>
          <w:bCs/>
        </w:rPr>
        <w:t>cuatro de agosto</w:t>
      </w:r>
      <w:r w:rsidR="00607ED5" w:rsidRPr="00FA1A60">
        <w:rPr>
          <w:rFonts w:ascii="Palatino Linotype" w:eastAsia="Palatino Linotype" w:hAnsi="Palatino Linotype" w:cs="Palatino Linotype"/>
          <w:b/>
          <w:bCs/>
        </w:rPr>
        <w:t xml:space="preserve"> de dos mil veintitrés</w:t>
      </w:r>
      <w:r w:rsidR="001662D8" w:rsidRPr="00FA1A60">
        <w:rPr>
          <w:rFonts w:ascii="Palatino Linotype" w:eastAsia="Palatino Linotype" w:hAnsi="Palatino Linotype" w:cs="Palatino Linotype"/>
        </w:rPr>
        <w:t xml:space="preserve"> la Comisionada Ponente determinó </w:t>
      </w:r>
      <w:r w:rsidR="001662D8" w:rsidRPr="00FA1A60">
        <w:rPr>
          <w:rFonts w:ascii="Palatino Linotype" w:eastAsia="Palatino Linotype" w:hAnsi="Palatino Linotype" w:cs="Palatino Linotype"/>
        </w:rPr>
        <w:lastRenderedPageBreak/>
        <w:t>el cierre de instrucción en términos de la fracción VI del artículo 185 de la Ley de Transparencia y Acceso a la Información Pública del Estado de México y Municipios</w:t>
      </w:r>
    </w:p>
    <w:p w14:paraId="00F03849" w14:textId="77777777"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FA1A60" w:rsidRDefault="009A6CA6">
      <w:pPr>
        <w:widowControl w:val="0"/>
        <w:spacing w:before="240" w:after="240" w:line="360" w:lineRule="auto"/>
        <w:jc w:val="center"/>
        <w:rPr>
          <w:rFonts w:ascii="Palatino Linotype" w:eastAsia="Palatino Linotype" w:hAnsi="Palatino Linotype" w:cs="Palatino Linotype"/>
          <w:b/>
        </w:rPr>
      </w:pPr>
      <w:r w:rsidRPr="00FA1A60">
        <w:rPr>
          <w:rFonts w:ascii="Palatino Linotype" w:eastAsia="Palatino Linotype" w:hAnsi="Palatino Linotype" w:cs="Palatino Linotype"/>
          <w:b/>
        </w:rPr>
        <w:t>II. C O N S I D E R A N D O S</w:t>
      </w:r>
    </w:p>
    <w:p w14:paraId="4FE43A5B" w14:textId="54C7B95A"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Primero. Competencia.</w:t>
      </w:r>
      <w:r w:rsidRPr="00FA1A6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717AA" w:rsidRPr="00FA1A60">
        <w:rPr>
          <w:rFonts w:ascii="Palatino Linotype" w:eastAsia="Palatino Linotype" w:hAnsi="Palatino Linotype" w:cs="Palatino Linotype"/>
        </w:rPr>
        <w:t>trigésimo segundo, trigésimo tercero y trigésimo cuarto</w:t>
      </w:r>
      <w:r w:rsidRPr="00FA1A60">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3268ED" w:rsidRPr="00FA1A60">
        <w:rPr>
          <w:rFonts w:ascii="Palatino Linotype" w:eastAsia="Palatino Linotype" w:hAnsi="Palatino Linotype" w:cs="Palatino Linotype"/>
        </w:rPr>
        <w:t>II</w:t>
      </w:r>
      <w:r w:rsidRPr="00FA1A6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19F9E39" w14:textId="77777777" w:rsidR="00213579" w:rsidRPr="00FA1A60" w:rsidRDefault="009A6CA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A1A60">
        <w:rPr>
          <w:rFonts w:ascii="Palatino Linotype" w:eastAsia="Palatino Linotype" w:hAnsi="Palatino Linotype" w:cs="Palatino Linotype"/>
          <w:b/>
        </w:rPr>
        <w:t>Segundo. Oportunidad y Procedibilidad del Recurso de Revisión</w:t>
      </w:r>
      <w:r w:rsidRPr="00FA1A60">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FA1A60">
        <w:rPr>
          <w:rFonts w:ascii="Palatino Linotype" w:eastAsia="Palatino Linotype" w:hAnsi="Palatino Linotype" w:cs="Palatino Linotype"/>
        </w:rPr>
        <w:lastRenderedPageBreak/>
        <w:t>artículos 178 y 180 de la Ley de Transparencia y Acceso a la Información Pública del Estado de México y Municipios.</w:t>
      </w:r>
    </w:p>
    <w:p w14:paraId="6385B4BD" w14:textId="27A62089" w:rsidR="00213579" w:rsidRPr="00FA1A60" w:rsidRDefault="009A6CA6">
      <w:pPr>
        <w:spacing w:before="240" w:after="240" w:line="360" w:lineRule="auto"/>
        <w:jc w:val="both"/>
        <w:rPr>
          <w:rFonts w:ascii="Palatino Linotype" w:eastAsia="Palatino Linotype" w:hAnsi="Palatino Linotype" w:cs="Palatino Linotype"/>
          <w:b/>
        </w:rPr>
      </w:pPr>
      <w:r w:rsidRPr="00FA1A6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A1A60">
        <w:rPr>
          <w:rFonts w:ascii="Palatino Linotype" w:eastAsia="Palatino Linotype" w:hAnsi="Palatino Linotype" w:cs="Palatino Linotype"/>
          <w:b/>
        </w:rPr>
        <w:t xml:space="preserve">Sujeto Obligado </w:t>
      </w:r>
      <w:r w:rsidRPr="00FA1A60">
        <w:rPr>
          <w:rFonts w:ascii="Palatino Linotype" w:eastAsia="Palatino Linotype" w:hAnsi="Palatino Linotype" w:cs="Palatino Linotype"/>
        </w:rPr>
        <w:t xml:space="preserve">remitió la respuesta a la solicitud de información el día </w:t>
      </w:r>
      <w:r w:rsidR="00B511CA" w:rsidRPr="00FA1A60">
        <w:rPr>
          <w:rFonts w:ascii="Palatino Linotype" w:eastAsia="Palatino Linotype" w:hAnsi="Palatino Linotype" w:cs="Palatino Linotype"/>
          <w:b/>
        </w:rPr>
        <w:t xml:space="preserve">ocho de noviembre </w:t>
      </w:r>
      <w:r w:rsidRPr="00FA1A60">
        <w:rPr>
          <w:rFonts w:ascii="Palatino Linotype" w:eastAsia="Palatino Linotype" w:hAnsi="Palatino Linotype" w:cs="Palatino Linotype"/>
          <w:b/>
        </w:rPr>
        <w:t xml:space="preserve"> de dos mil veinti</w:t>
      </w:r>
      <w:r w:rsidR="00E53EBF" w:rsidRPr="00FA1A60">
        <w:rPr>
          <w:rFonts w:ascii="Palatino Linotype" w:eastAsia="Palatino Linotype" w:hAnsi="Palatino Linotype" w:cs="Palatino Linotype"/>
          <w:b/>
        </w:rPr>
        <w:t>dós</w:t>
      </w:r>
      <w:r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mientras que el recurso de revisión interpuesto por 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xml:space="preserve">, se tuvo por presentado el día </w:t>
      </w:r>
      <w:r w:rsidR="00AC28AE" w:rsidRPr="00FA1A60">
        <w:rPr>
          <w:rFonts w:ascii="Palatino Linotype" w:eastAsia="Palatino Linotype" w:hAnsi="Palatino Linotype" w:cs="Palatino Linotype"/>
          <w:b/>
        </w:rPr>
        <w:t>veintidós de noviembre</w:t>
      </w:r>
      <w:r w:rsidR="00E53EBF" w:rsidRPr="00FA1A60">
        <w:rPr>
          <w:rFonts w:ascii="Palatino Linotype" w:eastAsia="Palatino Linotype" w:hAnsi="Palatino Linotype" w:cs="Palatino Linotype"/>
          <w:b/>
        </w:rPr>
        <w:t xml:space="preserve"> de dos mil veintidós, </w:t>
      </w:r>
      <w:r w:rsidRPr="00FA1A60">
        <w:rPr>
          <w:rFonts w:ascii="Palatino Linotype" w:eastAsia="Palatino Linotype" w:hAnsi="Palatino Linotype" w:cs="Palatino Linotype"/>
        </w:rPr>
        <w:t xml:space="preserve">esto es, </w:t>
      </w:r>
      <w:r w:rsidR="003268ED" w:rsidRPr="00FA1A60">
        <w:rPr>
          <w:rFonts w:ascii="Palatino Linotype" w:eastAsia="Palatino Linotype" w:hAnsi="Palatino Linotype" w:cs="Palatino Linotype"/>
        </w:rPr>
        <w:t xml:space="preserve">al </w:t>
      </w:r>
      <w:r w:rsidR="00AC28AE" w:rsidRPr="00FA1A60">
        <w:rPr>
          <w:rFonts w:ascii="Palatino Linotype" w:eastAsia="Palatino Linotype" w:hAnsi="Palatino Linotype" w:cs="Palatino Linotype"/>
        </w:rPr>
        <w:t>noveno</w:t>
      </w:r>
      <w:r w:rsidR="003268ED" w:rsidRPr="00FA1A60">
        <w:rPr>
          <w:rFonts w:ascii="Palatino Linotype" w:eastAsia="Palatino Linotype" w:hAnsi="Palatino Linotype" w:cs="Palatino Linotype"/>
        </w:rPr>
        <w:t xml:space="preserve"> </w:t>
      </w:r>
      <w:r w:rsidR="00727C6B" w:rsidRPr="00FA1A60">
        <w:rPr>
          <w:rFonts w:ascii="Palatino Linotype" w:eastAsia="Palatino Linotype" w:hAnsi="Palatino Linotype" w:cs="Palatino Linotype"/>
        </w:rPr>
        <w:t>día</w:t>
      </w:r>
      <w:r w:rsidR="004C2667" w:rsidRPr="00FA1A60">
        <w:rPr>
          <w:rFonts w:ascii="Palatino Linotype" w:eastAsia="Palatino Linotype" w:hAnsi="Palatino Linotype" w:cs="Palatino Linotype"/>
        </w:rPr>
        <w:t xml:space="preserve"> hábil posterior</w:t>
      </w:r>
      <w:r w:rsidR="00727C6B"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rPr>
        <w:t>en que tuvo conocimiento de la respuesta impugnada.</w:t>
      </w:r>
    </w:p>
    <w:p w14:paraId="4BCD77E3" w14:textId="5F99FE38" w:rsidR="00213579" w:rsidRPr="00FA1A60" w:rsidRDefault="009A6CA6">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A1A60">
        <w:rPr>
          <w:rFonts w:ascii="Palatino Linotype" w:eastAsia="Palatino Linotype" w:hAnsi="Palatino Linotype" w:cs="Palatino Linotype"/>
        </w:rPr>
        <w:t>Al mismo tiempo, por cuanto hace a la procedibilidad del recurso de revisión, una vez realizado el</w:t>
      </w:r>
      <w:r w:rsidR="00A01AD6" w:rsidRPr="00FA1A60">
        <w:rPr>
          <w:rFonts w:ascii="Palatino Linotype" w:eastAsia="Palatino Linotype" w:hAnsi="Palatino Linotype" w:cs="Palatino Linotype"/>
        </w:rPr>
        <w:t xml:space="preserve"> análisis del</w:t>
      </w:r>
      <w:r w:rsidRPr="00FA1A60">
        <w:rPr>
          <w:rFonts w:ascii="Palatino Linotype" w:eastAsia="Palatino Linotype" w:hAnsi="Palatino Linotype" w:cs="Palatino Linotype"/>
        </w:rPr>
        <w:t xml:space="preserve">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47D29DD" w14:textId="40964A83" w:rsidR="00213579" w:rsidRPr="00FA1A60" w:rsidRDefault="009A6CA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Finalmente, se advierte que resulta procedente la interposición del recurso, según lo manifestado por 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xml:space="preserve"> en sus motivos de inconformidad, de acuerdo al artículo 179, fracci</w:t>
      </w:r>
      <w:r w:rsidR="00915CB2" w:rsidRPr="00FA1A60">
        <w:rPr>
          <w:rFonts w:ascii="Palatino Linotype" w:eastAsia="Palatino Linotype" w:hAnsi="Palatino Linotype" w:cs="Palatino Linotype"/>
        </w:rPr>
        <w:t>ón</w:t>
      </w:r>
      <w:r w:rsidR="004B6217" w:rsidRPr="00FA1A60">
        <w:rPr>
          <w:rFonts w:ascii="Palatino Linotype" w:eastAsia="Palatino Linotype" w:hAnsi="Palatino Linotype" w:cs="Palatino Linotype"/>
        </w:rPr>
        <w:t xml:space="preserve"> </w:t>
      </w:r>
      <w:r w:rsidR="00AC28AE" w:rsidRPr="00FA1A60">
        <w:rPr>
          <w:rFonts w:ascii="Palatino Linotype" w:eastAsia="Palatino Linotype" w:hAnsi="Palatino Linotype" w:cs="Palatino Linotype"/>
        </w:rPr>
        <w:t>V</w:t>
      </w:r>
      <w:r w:rsidR="004B6217"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rPr>
        <w:t>del ordenamiento legal citado, que a la letra dice: </w:t>
      </w:r>
    </w:p>
    <w:p w14:paraId="70BBDA6D" w14:textId="77777777" w:rsidR="00213579" w:rsidRPr="00FA1A60" w:rsidRDefault="009A6CA6">
      <w:pPr>
        <w:spacing w:before="120" w:after="120"/>
        <w:ind w:left="993" w:right="902"/>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b/>
          <w:i/>
          <w:sz w:val="22"/>
          <w:szCs w:val="22"/>
        </w:rPr>
        <w:t>Artículo 179.</w:t>
      </w:r>
      <w:r w:rsidRPr="00FA1A6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94405BF" w14:textId="260F7ACC" w:rsidR="00213579" w:rsidRPr="00FA1A60" w:rsidRDefault="00AC28AE" w:rsidP="00915CB2">
      <w:pPr>
        <w:spacing w:before="120" w:after="120"/>
        <w:ind w:left="1134"/>
        <w:rPr>
          <w:rFonts w:ascii="Palatino Linotype" w:eastAsia="Palatino Linotype" w:hAnsi="Palatino Linotype" w:cs="Palatino Linotype"/>
          <w:i/>
          <w:sz w:val="22"/>
          <w:szCs w:val="22"/>
        </w:rPr>
      </w:pPr>
      <w:r w:rsidRPr="00FA1A60">
        <w:rPr>
          <w:rFonts w:ascii="Palatino Linotype" w:hAnsi="Palatino Linotype"/>
          <w:b/>
          <w:i/>
          <w:sz w:val="22"/>
          <w:szCs w:val="22"/>
        </w:rPr>
        <w:lastRenderedPageBreak/>
        <w:t>V.</w:t>
      </w:r>
      <w:r w:rsidRPr="00FA1A60">
        <w:rPr>
          <w:rFonts w:ascii="Palatino Linotype" w:hAnsi="Palatino Linotype"/>
          <w:i/>
          <w:sz w:val="22"/>
          <w:szCs w:val="22"/>
        </w:rPr>
        <w:t xml:space="preserve"> La entrega de información incompleta</w:t>
      </w:r>
      <w:r w:rsidR="00915CB2" w:rsidRPr="00FA1A60">
        <w:rPr>
          <w:rFonts w:ascii="Palatino Linotype" w:eastAsia="Palatino Linotype" w:hAnsi="Palatino Linotype" w:cs="Palatino Linotype"/>
          <w:i/>
          <w:sz w:val="22"/>
          <w:szCs w:val="22"/>
        </w:rPr>
        <w:t>;</w:t>
      </w:r>
      <w:r w:rsidR="00B721A6" w:rsidRPr="00FA1A60">
        <w:rPr>
          <w:rFonts w:ascii="Palatino Linotype" w:eastAsia="Palatino Linotype" w:hAnsi="Palatino Linotype" w:cs="Palatino Linotype"/>
          <w:i/>
          <w:sz w:val="22"/>
          <w:szCs w:val="22"/>
        </w:rPr>
        <w:t>”</w:t>
      </w:r>
    </w:p>
    <w:p w14:paraId="0E263CA9" w14:textId="6BB607D0" w:rsidR="00E95164" w:rsidRPr="00FA1A60" w:rsidRDefault="00E95164" w:rsidP="00E95164">
      <w:pPr>
        <w:spacing w:before="240" w:after="240" w:line="360" w:lineRule="auto"/>
        <w:jc w:val="both"/>
        <w:rPr>
          <w:rFonts w:ascii="Palatino Linotype" w:hAnsi="Palatino Linotype"/>
          <w:noProof/>
        </w:rPr>
      </w:pPr>
      <w:bookmarkStart w:id="6" w:name="_heading=h.2et92p0" w:colFirst="0" w:colLast="0"/>
      <w:bookmarkEnd w:id="6"/>
      <w:r w:rsidRPr="00FA1A60">
        <w:rPr>
          <w:rFonts w:ascii="Palatino Linotype" w:eastAsia="Palatino Linotype" w:hAnsi="Palatino Linotype" w:cs="Palatino Linotype"/>
          <w:b/>
        </w:rPr>
        <w:t>Tercero. Análisis de las causales de sobreseimiento del recurso de revisión.</w:t>
      </w:r>
      <w:r w:rsidRPr="00FA1A60">
        <w:rPr>
          <w:rFonts w:ascii="Palatino Linotype" w:eastAsia="Palatino Linotype" w:hAnsi="Palatino Linotype" w:cs="Palatino Linotype"/>
        </w:rPr>
        <w:t xml:space="preserve"> </w:t>
      </w:r>
      <w:r w:rsidRPr="00FA1A60">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Pr="00FA1A60">
        <w:rPr>
          <w:rFonts w:ascii="Palatino Linotype" w:hAnsi="Palatino Linotype"/>
          <w:szCs w:val="28"/>
          <w:vertAlign w:val="superscript"/>
          <w:lang w:eastAsia="es-ES"/>
        </w:rPr>
        <w:footnoteReference w:id="1"/>
      </w:r>
      <w:r w:rsidRPr="00FA1A60">
        <w:rPr>
          <w:rFonts w:ascii="Palatino Linotype" w:hAnsi="Palatino Linotype"/>
          <w:szCs w:val="28"/>
          <w:lang w:eastAsia="es-ES"/>
        </w:rPr>
        <w:t xml:space="preserve"> en relación con el diverso 186 fracción I</w:t>
      </w:r>
      <w:r w:rsidRPr="00FA1A60">
        <w:rPr>
          <w:rFonts w:ascii="Palatino Linotype" w:hAnsi="Palatino Linotype"/>
          <w:szCs w:val="28"/>
          <w:vertAlign w:val="superscript"/>
          <w:lang w:eastAsia="es-ES"/>
        </w:rPr>
        <w:footnoteReference w:id="2"/>
      </w:r>
      <w:r w:rsidRPr="00FA1A60">
        <w:rPr>
          <w:rFonts w:ascii="Palatino Linotype" w:hAnsi="Palatino Linotype"/>
          <w:szCs w:val="28"/>
          <w:lang w:eastAsia="es-ES"/>
        </w:rPr>
        <w:t xml:space="preserve">, ambos de la Ley de Transparencia y Acceso a la Información Pública del Estado de México y Municipios, derivado del contenido del informe justificado y el alcance al mismo, rendido por el </w:t>
      </w:r>
      <w:r w:rsidRPr="00FA1A60">
        <w:rPr>
          <w:rFonts w:ascii="Palatino Linotype" w:hAnsi="Palatino Linotype"/>
          <w:b/>
          <w:szCs w:val="28"/>
          <w:lang w:eastAsia="es-ES"/>
        </w:rPr>
        <w:t>Sujeto Obligado.</w:t>
      </w:r>
      <w:r w:rsidRPr="00FA1A60">
        <w:rPr>
          <w:rFonts w:ascii="Palatino Linotype" w:hAnsi="Palatino Linotype"/>
          <w:noProof/>
        </w:rPr>
        <w:t xml:space="preserve"> </w:t>
      </w:r>
    </w:p>
    <w:p w14:paraId="03EFBBA2" w14:textId="77777777" w:rsidR="00E95164" w:rsidRPr="00FA1A60" w:rsidRDefault="00E95164" w:rsidP="00E95164">
      <w:pPr>
        <w:tabs>
          <w:tab w:val="left" w:pos="7513"/>
        </w:tabs>
        <w:adjustRightInd w:val="0"/>
        <w:spacing w:after="240" w:line="360" w:lineRule="auto"/>
        <w:ind w:right="49"/>
        <w:jc w:val="both"/>
        <w:rPr>
          <w:rFonts w:ascii="Palatino Linotype" w:hAnsi="Palatino Linotype"/>
          <w:lang w:eastAsia="es-ES"/>
        </w:rPr>
      </w:pPr>
      <w:r w:rsidRPr="00FA1A60">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6808B354" w14:textId="7E21CA8D" w:rsidR="00E95164" w:rsidRPr="00FA1A60" w:rsidRDefault="00E95164" w:rsidP="00E95164">
      <w:pPr>
        <w:tabs>
          <w:tab w:val="left" w:pos="7513"/>
        </w:tabs>
        <w:adjustRightInd w:val="0"/>
        <w:spacing w:before="240" w:after="240" w:line="360" w:lineRule="auto"/>
        <w:ind w:right="49"/>
        <w:jc w:val="both"/>
        <w:rPr>
          <w:rFonts w:ascii="Palatino Linotype" w:hAnsi="Palatino Linotype" w:cs="Arial"/>
          <w:lang w:eastAsia="en-US"/>
        </w:rPr>
      </w:pPr>
      <w:r w:rsidRPr="00FA1A60">
        <w:rPr>
          <w:rFonts w:ascii="Palatino Linotype" w:hAnsi="Palatino Linotype"/>
          <w:lang w:eastAsia="en-US"/>
        </w:rPr>
        <w:t xml:space="preserve">En la solicitud de información materia del presente recurso, la persona solicitante requirió al </w:t>
      </w:r>
      <w:r w:rsidRPr="00FA1A60">
        <w:rPr>
          <w:rFonts w:ascii="Palatino Linotype" w:hAnsi="Palatino Linotype"/>
          <w:b/>
          <w:lang w:eastAsia="en-US"/>
        </w:rPr>
        <w:t>Sujeto Obligado,</w:t>
      </w:r>
      <w:r w:rsidRPr="00FA1A60">
        <w:rPr>
          <w:rFonts w:ascii="Palatino Linotype" w:hAnsi="Palatino Linotype"/>
          <w:lang w:eastAsia="en-US"/>
        </w:rPr>
        <w:t xml:space="preserve"> información consistente en lo siguiente</w:t>
      </w:r>
      <w:r w:rsidRPr="00FA1A60">
        <w:rPr>
          <w:rFonts w:ascii="Palatino Linotype" w:hAnsi="Palatino Linotype" w:cs="Arial"/>
          <w:lang w:eastAsia="en-US"/>
        </w:rPr>
        <w:t>:</w:t>
      </w:r>
    </w:p>
    <w:p w14:paraId="09D9E794" w14:textId="77777777" w:rsidR="00AC28AE" w:rsidRPr="00FA1A60" w:rsidRDefault="00AC28AE" w:rsidP="00E95164">
      <w:pPr>
        <w:spacing w:before="240" w:after="240" w:line="360" w:lineRule="auto"/>
        <w:ind w:left="284" w:right="51"/>
        <w:jc w:val="both"/>
        <w:rPr>
          <w:rFonts w:ascii="Palatino Linotype" w:eastAsia="Palatino Linotype" w:hAnsi="Palatino Linotype" w:cs="Palatino Linotype"/>
        </w:rPr>
      </w:pPr>
      <w:r w:rsidRPr="00FA1A60">
        <w:rPr>
          <w:rFonts w:ascii="Palatino Linotype" w:eastAsia="Palatino Linotype" w:hAnsi="Palatino Linotype" w:cs="Palatino Linotype"/>
        </w:rPr>
        <w:t>1. Todos los proyectos presentados por los Sujetos Obligados del Estado de México, en relación a la Transparencia Proactiva, año 2022 y 2021.</w:t>
      </w:r>
    </w:p>
    <w:p w14:paraId="60B54E5E" w14:textId="22F8BE2A" w:rsidR="00AC28AE" w:rsidRPr="00FA1A60" w:rsidRDefault="00AC28AE" w:rsidP="00AC28AE">
      <w:pPr>
        <w:spacing w:before="240" w:after="240" w:line="360" w:lineRule="auto"/>
        <w:ind w:left="284" w:right="51"/>
        <w:jc w:val="both"/>
        <w:rPr>
          <w:rFonts w:ascii="Palatino Linotype" w:eastAsia="Palatino Linotype" w:hAnsi="Palatino Linotype" w:cs="Palatino Linotype"/>
        </w:rPr>
      </w:pPr>
      <w:r w:rsidRPr="00FA1A60">
        <w:rPr>
          <w:rFonts w:ascii="Palatino Linotype" w:eastAsia="Palatino Linotype" w:hAnsi="Palatino Linotype" w:cs="Palatino Linotype"/>
        </w:rPr>
        <w:lastRenderedPageBreak/>
        <w:t>2. Criterios que determinaron respecto a los lugares y calificaciones obtenidas de los Sujetos Obligados que participaron en este tema en el año 2021 y 2022.</w:t>
      </w:r>
    </w:p>
    <w:p w14:paraId="160C8408" w14:textId="77777777" w:rsidR="00382B6C" w:rsidRPr="00FA1A60" w:rsidRDefault="009A6CA6" w:rsidP="003268ED">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respuesta, 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xml:space="preserve">, a través de la Unidad de Transparencia, hizo del conocimiento de la persona solicitante </w:t>
      </w:r>
      <w:r w:rsidR="00474744" w:rsidRPr="00FA1A60">
        <w:rPr>
          <w:rFonts w:ascii="Palatino Linotype" w:eastAsia="Palatino Linotype" w:hAnsi="Palatino Linotype" w:cs="Palatino Linotype"/>
        </w:rPr>
        <w:t>el pronunciamiento vertido por</w:t>
      </w:r>
      <w:r w:rsidR="00850EC1" w:rsidRPr="00FA1A60">
        <w:rPr>
          <w:rFonts w:ascii="Palatino Linotype" w:eastAsia="Palatino Linotype" w:hAnsi="Palatino Linotype" w:cs="Palatino Linotype"/>
        </w:rPr>
        <w:t xml:space="preserve"> </w:t>
      </w:r>
      <w:r w:rsidR="00E95164" w:rsidRPr="00FA1A60">
        <w:rPr>
          <w:rFonts w:ascii="Palatino Linotype" w:eastAsia="Palatino Linotype" w:hAnsi="Palatino Linotype" w:cs="Palatino Linotype"/>
        </w:rPr>
        <w:t xml:space="preserve">la servidora pública habilitada de la Dirección General de Transparencia, Acceso a la Información Pública y Gobierno Abierto, quien, en atención a la solicitud manifestó que derivado de la búsqueda exhaustiva y razonable en los archivos físicos y electrónicos con los que cuenta la Unidad Administrativa a su cargo, advirtió que obra información referente a la Convocatoria para el Reconocimiento de Prácticas de Transparencia Proactiva de los ejercicios 2021 y 2022,  consistente en 41 formularios remitidos por 23 Sujetos Obligados, mismos que participaron en la Convocatoria para dicho Reconocimiento,  del ejercicio 2021, y, 35 formularios remitidos por 25 Sujetos Obligados, mismos que participaron en la Convocatoria para dicho Reconocimiento, del ejercicio 2022, mismos que manifestó adjuntar. </w:t>
      </w:r>
    </w:p>
    <w:p w14:paraId="6675ACBB" w14:textId="6CAE7EBA" w:rsidR="00E95164" w:rsidRPr="00FA1A60" w:rsidRDefault="00E95164" w:rsidP="003268ED">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De igual manera, </w:t>
      </w:r>
      <w:r w:rsidR="00382B6C" w:rsidRPr="00FA1A60">
        <w:rPr>
          <w:rFonts w:ascii="Palatino Linotype" w:eastAsia="Palatino Linotype" w:hAnsi="Palatino Linotype" w:cs="Palatino Linotype"/>
        </w:rPr>
        <w:t xml:space="preserve">adjuntó los Dictámenes emitidos por el Jurado Calificador, que dan cuenta de los puntajes obtenidos por cada una de las prácticas postuladas en el ejercicio 2021 y 2022, e </w:t>
      </w:r>
      <w:r w:rsidRPr="00FA1A60">
        <w:rPr>
          <w:rFonts w:ascii="Palatino Linotype" w:eastAsia="Palatino Linotype" w:hAnsi="Palatino Linotype" w:cs="Palatino Linotype"/>
        </w:rPr>
        <w:t xml:space="preserve">indicó que </w:t>
      </w:r>
      <w:r w:rsidRPr="00FA1A60">
        <w:rPr>
          <w:rFonts w:ascii="Palatino Linotype" w:hAnsi="Palatino Linotype" w:cs="Palatino Linotype"/>
        </w:rPr>
        <w:t>para ponderar las Prácticas de Transparencia Proactiva, de manera enunciativa más no limitativa este Instituto consulta</w:t>
      </w:r>
      <w:r w:rsidR="00823B06" w:rsidRPr="00FA1A60">
        <w:rPr>
          <w:rFonts w:ascii="Palatino Linotype" w:hAnsi="Palatino Linotype" w:cs="Palatino Linotype"/>
        </w:rPr>
        <w:t xml:space="preserve"> </w:t>
      </w:r>
      <w:r w:rsidRPr="00FA1A60">
        <w:rPr>
          <w:rFonts w:ascii="Palatino Linotype" w:hAnsi="Palatino Linotype" w:cs="Palatino Linotype"/>
        </w:rPr>
        <w:t xml:space="preserve">los Lineamientos para Determinar los Catálogos y Publicación de la Información de Interés Público; y para la Emisión y Evaluación de Políticas de Transparencia Proactiva, emitidos por el Instituto Nacional de Transparencia, Acceso a la </w:t>
      </w:r>
      <w:r w:rsidRPr="00FA1A60">
        <w:rPr>
          <w:rFonts w:ascii="Palatino Linotype" w:hAnsi="Palatino Linotype" w:cs="Palatino Linotype"/>
        </w:rPr>
        <w:lastRenderedPageBreak/>
        <w:t xml:space="preserve">Información y Protección de Datos Personales (INAI); los </w:t>
      </w:r>
      <w:r w:rsidRPr="00FA1A60">
        <w:rPr>
          <w:rFonts w:ascii="Palatino Linotype" w:hAnsi="Palatino Linotype" w:cs="Palatino Linotype"/>
          <w:bCs/>
        </w:rPr>
        <w:t>Criterios de Evaluación de las Políticas de Transparencia Proactiva, emitidos y aprobados por el Pleno de este Instituto de Transparencia; y las Políticas de Transparencia Proactiva del Instituto de Transparencia, Acceso a la Información Pública y Protección de Datos Personales del Estado de México y Municipios: documentos que adjuntó al sistema SAIMEX, asimismo, proporcionó la dirección electrónica para la consulta de los mismos.</w:t>
      </w:r>
    </w:p>
    <w:p w14:paraId="30B14A46" w14:textId="21505923" w:rsidR="00E95164" w:rsidRPr="00FA1A60" w:rsidRDefault="00382B6C" w:rsidP="003268ED">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no se le entregó todo lo que solicitó.</w:t>
      </w:r>
    </w:p>
    <w:p w14:paraId="75C314CB" w14:textId="77777777" w:rsidR="00382B6C" w:rsidRPr="00FA1A60" w:rsidRDefault="00382B6C" w:rsidP="00382B6C">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Así, una vez admitido el presente recurso de revisión, en términos del artículo 185 fracción II</w:t>
      </w:r>
      <w:r w:rsidRPr="00FA1A60">
        <w:rPr>
          <w:rFonts w:ascii="Palatino Linotype" w:eastAsia="Palatino Linotype" w:hAnsi="Palatino Linotype" w:cs="Palatino Linotype"/>
          <w:vertAlign w:val="superscript"/>
        </w:rPr>
        <w:footnoteReference w:id="3"/>
      </w:r>
      <w:r w:rsidRPr="00FA1A6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10796F7" w14:textId="411D4964" w:rsidR="00382B6C" w:rsidRPr="00FA1A60" w:rsidRDefault="00382B6C" w:rsidP="00382B6C">
      <w:pPr>
        <w:spacing w:before="240" w:after="240" w:line="360" w:lineRule="auto"/>
        <w:ind w:right="49"/>
        <w:jc w:val="both"/>
        <w:rPr>
          <w:rFonts w:ascii="Palatino Linotype" w:hAnsi="Palatino Linotype"/>
        </w:rPr>
      </w:pPr>
      <w:r w:rsidRPr="00FA1A60">
        <w:rPr>
          <w:rFonts w:ascii="Palatino Linotype" w:eastAsia="Palatino Linotype" w:hAnsi="Palatino Linotype" w:cs="Palatino Linotype"/>
        </w:rPr>
        <w:t xml:space="preserve">En tal sentido, el </w:t>
      </w:r>
      <w:r w:rsidRPr="00FA1A60">
        <w:rPr>
          <w:rFonts w:ascii="Palatino Linotype" w:eastAsia="Palatino Linotype" w:hAnsi="Palatino Linotype" w:cs="Palatino Linotype"/>
          <w:b/>
        </w:rPr>
        <w:t xml:space="preserve">Sujeto Obligado, </w:t>
      </w:r>
      <w:r w:rsidRPr="00FA1A60">
        <w:rPr>
          <w:rFonts w:ascii="Palatino Linotype" w:eastAsia="Palatino Linotype" w:hAnsi="Palatino Linotype" w:cs="Palatino Linotype"/>
        </w:rPr>
        <w:t>a través del</w:t>
      </w:r>
      <w:r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Titular de la Unidad de Transparencia con apoyo de la Dirección General de Transparencia, Acceso a la </w:t>
      </w:r>
      <w:r w:rsidRPr="00FA1A60">
        <w:rPr>
          <w:rFonts w:ascii="Palatino Linotype" w:eastAsia="Palatino Linotype" w:hAnsi="Palatino Linotype" w:cs="Palatino Linotype"/>
        </w:rPr>
        <w:lastRenderedPageBreak/>
        <w:t xml:space="preserve">Información Pública y Gobierno Abierto ratificó en lo sustancial la respuesta emitida en primera instancia, y, en alcance al informe justificado </w:t>
      </w:r>
      <w:r w:rsidRPr="00FA1A60">
        <w:rPr>
          <w:rFonts w:ascii="Palatino Linotype" w:hAnsi="Palatino Linotype"/>
        </w:rPr>
        <w:t>refirió que después de haber realizado una búsqueda exhaustiva y razonable de la información solicitada dentro de los archivos de la Dirección General, adjunta información concerniente a los proyectos presentados por parte de los Sujetos Obligados en el periodo requerido, señalando que, por un error humano se omitió su remisión en el momento procesal oportuno, Anexando en el acto 2 formularios Datos Generales de la Práctica de Trasparencia Proactiva, del ejercicio 2021 y 5 formularios Datos Generales de la Práctica de Trasparencia Proactiva, del ejercicio 2022.</w:t>
      </w:r>
    </w:p>
    <w:p w14:paraId="4B11B2DD" w14:textId="7D408DB8" w:rsidR="00382B6C" w:rsidRPr="00FA1A60" w:rsidRDefault="00382B6C" w:rsidP="00382B6C">
      <w:pPr>
        <w:spacing w:before="240" w:after="240" w:line="360" w:lineRule="auto"/>
        <w:ind w:right="49"/>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este orden de ideas, es evidente que 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xml:space="preserve"> modificó su respuesta, ya que</w:t>
      </w:r>
      <w:r w:rsidR="00823B06" w:rsidRPr="00FA1A60">
        <w:rPr>
          <w:rFonts w:ascii="Palatino Linotype" w:eastAsia="Palatino Linotype" w:hAnsi="Palatino Linotype" w:cs="Palatino Linotype"/>
        </w:rPr>
        <w:t>,</w:t>
      </w:r>
      <w:r w:rsidRPr="00FA1A60">
        <w:rPr>
          <w:rFonts w:ascii="Palatino Linotype" w:eastAsia="Palatino Linotype" w:hAnsi="Palatino Linotype" w:cs="Palatino Linotype"/>
        </w:rPr>
        <w:t xml:space="preserve"> mediante alcance al informe justificado, reconoció que por un error no fue anexada la totalidad de la información requerida, no obstante, </w:t>
      </w:r>
      <w:r w:rsidRPr="00FA1A60">
        <w:rPr>
          <w:rFonts w:ascii="Palatino Linotype" w:hAnsi="Palatino Linotype"/>
        </w:rPr>
        <w:t>en observancia a la protección más amplia del derecho humano de acceso a la información pública, adjuntó al mismo los proyectos presentados por parte de los Sujetos Obligados en el periodo requerido, faltantes.</w:t>
      </w:r>
    </w:p>
    <w:p w14:paraId="44286BAE" w14:textId="6EA3DC34" w:rsidR="00382B6C" w:rsidRPr="00FA1A60" w:rsidRDefault="00382B6C" w:rsidP="00382B6C">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esta tesitura, se estima que la información remitida por el </w:t>
      </w:r>
      <w:r w:rsidRPr="00FA1A60">
        <w:rPr>
          <w:rFonts w:ascii="Palatino Linotype" w:eastAsia="Palatino Linotype" w:hAnsi="Palatino Linotype" w:cs="Palatino Linotype"/>
          <w:b/>
          <w:bCs/>
        </w:rPr>
        <w:t xml:space="preserve">Sujeto Obligado, </w:t>
      </w:r>
      <w:r w:rsidRPr="00FA1A60">
        <w:rPr>
          <w:rFonts w:ascii="Palatino Linotype" w:eastAsia="Palatino Linotype" w:hAnsi="Palatino Linotype" w:cs="Palatino Linotype"/>
        </w:rPr>
        <w:t>a través del alcance al informe justificado</w:t>
      </w:r>
      <w:r w:rsidRPr="00FA1A60">
        <w:rPr>
          <w:rFonts w:ascii="Palatino Linotype" w:eastAsia="Palatino Linotype" w:hAnsi="Palatino Linotype" w:cs="Palatino Linotype"/>
          <w:b/>
          <w:bCs/>
        </w:rPr>
        <w:t xml:space="preserve"> </w:t>
      </w:r>
      <w:r w:rsidRPr="00FA1A60">
        <w:rPr>
          <w:rFonts w:ascii="Palatino Linotype" w:eastAsia="Palatino Linotype" w:hAnsi="Palatino Linotype" w:cs="Palatino Linotype"/>
        </w:rPr>
        <w:t xml:space="preserve">es suficiente para tener por atendido el derecho de acceso a la información de la persona solicitante, máxime que misma se hizo de su conocimiento con la finalidad de que manifestara lo que a su derecho estimara conveniente, sin que ejerciera dicha prerrogativa hasta el momento de </w:t>
      </w:r>
      <w:r w:rsidRPr="00FA1A60">
        <w:rPr>
          <w:rFonts w:ascii="Palatino Linotype" w:eastAsia="Palatino Linotype" w:hAnsi="Palatino Linotype" w:cs="Palatino Linotype"/>
        </w:rPr>
        <w:lastRenderedPageBreak/>
        <w:t>decretar el cierre de instrucción correspondiente, por lo que se entiende que con la información remitida ha quedado satisfecha.</w:t>
      </w:r>
    </w:p>
    <w:p w14:paraId="3FE2DE2C" w14:textId="6E044B07" w:rsidR="00300386" w:rsidRPr="00FA1A60" w:rsidRDefault="00382B6C" w:rsidP="0030038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Para sustentar </w:t>
      </w:r>
      <w:r w:rsidR="00300386" w:rsidRPr="00FA1A60">
        <w:rPr>
          <w:rFonts w:ascii="Palatino Linotype" w:eastAsia="Palatino Linotype" w:hAnsi="Palatino Linotype" w:cs="Palatino Linotype"/>
        </w:rPr>
        <w:t>dicha afirmación</w:t>
      </w:r>
      <w:r w:rsidRPr="00FA1A60">
        <w:rPr>
          <w:rFonts w:ascii="Palatino Linotype" w:eastAsia="Palatino Linotype" w:hAnsi="Palatino Linotype" w:cs="Palatino Linotype"/>
        </w:rPr>
        <w:t xml:space="preserve">, es oportuno mencionar, en primer lugar que </w:t>
      </w:r>
      <w:r w:rsidR="00300386" w:rsidRPr="00FA1A60">
        <w:rPr>
          <w:rFonts w:ascii="Palatino Linotype" w:eastAsia="Palatino Linotype" w:hAnsi="Palatino Linotype" w:cs="Palatino Linotype"/>
        </w:rPr>
        <w:t>de conformidad con las etapas cuarta y quinta de</w:t>
      </w:r>
      <w:r w:rsidR="00823B06" w:rsidRPr="00FA1A60">
        <w:rPr>
          <w:rFonts w:ascii="Palatino Linotype" w:eastAsia="Palatino Linotype" w:hAnsi="Palatino Linotype" w:cs="Palatino Linotype"/>
        </w:rPr>
        <w:t xml:space="preserve"> la</w:t>
      </w:r>
      <w:r w:rsidR="00300386" w:rsidRPr="00FA1A60">
        <w:rPr>
          <w:rFonts w:ascii="Palatino Linotype" w:eastAsia="Palatino Linotype" w:hAnsi="Palatino Linotype" w:cs="Palatino Linotype"/>
        </w:rPr>
        <w:t xml:space="preserve"> Convocatoria para el Reconocimiento de Prácticas de Transparencia Proactiva de los ejercicios 2021 y 2022, la Dirección General de Transparencia, Acceso a la Información Pública y Gobierno Abierto, es la encargada de verificar que las propuestas reúnan los requisitos señalados en la convocatoria y en la normatividad correspondiente; asimismo, el Jurado Calificador se integra por la Presidencia del Pleno, así como por las personas titulares de la Dirección General de Transparencia, Acceso a la Información Pública y Gobierno Abierto y de la Dirección General de Capacitación, Certificación y Políticas Públicas, de este Instituto, por lo que se advierte que la solicitud fue atendida por el área competente para generar, administrar o poseer la información materia de la solicitud de información.</w:t>
      </w:r>
    </w:p>
    <w:p w14:paraId="10EADDD4" w14:textId="35BF4C32" w:rsidR="00300386" w:rsidRPr="00FA1A60" w:rsidRDefault="00300386" w:rsidP="0030038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En segundo lugar, es necesario analizar los requerimientos de información</w:t>
      </w:r>
      <w:r w:rsidR="00823B06" w:rsidRPr="00FA1A60">
        <w:rPr>
          <w:rFonts w:ascii="Palatino Linotype" w:eastAsia="Palatino Linotype" w:hAnsi="Palatino Linotype" w:cs="Palatino Linotype"/>
        </w:rPr>
        <w:t>,</w:t>
      </w:r>
      <w:r w:rsidRPr="00FA1A60">
        <w:rPr>
          <w:rFonts w:ascii="Palatino Linotype" w:eastAsia="Palatino Linotype" w:hAnsi="Palatino Linotype" w:cs="Palatino Linotype"/>
        </w:rPr>
        <w:t xml:space="preserve"> así como la información remitida por el Sujeto Obligado en respuesta y en la etapa de manifestaciones, y, para un mejor entendimiento, dicho análisis se ejecutará a través de la siguiente tabla: </w:t>
      </w:r>
    </w:p>
    <w:p w14:paraId="1AAB77F2" w14:textId="77777777" w:rsidR="00ED1747" w:rsidRPr="00FA1A60" w:rsidRDefault="00ED1747" w:rsidP="00300386">
      <w:pPr>
        <w:spacing w:before="240" w:after="240" w:line="360" w:lineRule="auto"/>
        <w:jc w:val="both"/>
        <w:rPr>
          <w:rFonts w:ascii="Palatino Linotype" w:eastAsia="Palatino Linotype" w:hAnsi="Palatino Linotype" w:cs="Palatino Linotype"/>
        </w:rPr>
      </w:pPr>
    </w:p>
    <w:p w14:paraId="3F25486B" w14:textId="77777777" w:rsidR="00ED1747" w:rsidRPr="00FA1A60" w:rsidRDefault="00ED1747" w:rsidP="00300386">
      <w:pPr>
        <w:spacing w:before="240" w:after="24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42"/>
        <w:gridCol w:w="2943"/>
        <w:gridCol w:w="2943"/>
      </w:tblGrid>
      <w:tr w:rsidR="00FA1A60" w:rsidRPr="00FA1A60" w14:paraId="3910075C" w14:textId="77777777" w:rsidTr="00ED1747">
        <w:tc>
          <w:tcPr>
            <w:tcW w:w="2942" w:type="dxa"/>
            <w:shd w:val="clear" w:color="auto" w:fill="D9D9D9" w:themeFill="background1" w:themeFillShade="D9"/>
            <w:vAlign w:val="center"/>
          </w:tcPr>
          <w:p w14:paraId="16DAD9EA" w14:textId="4C88F180" w:rsidR="00ED1747" w:rsidRPr="00FA1A60" w:rsidRDefault="00ED1747" w:rsidP="00ED1747">
            <w:pPr>
              <w:jc w:val="center"/>
              <w:rPr>
                <w:rFonts w:ascii="Palatino Linotype" w:eastAsia="Palatino Linotype" w:hAnsi="Palatino Linotype" w:cs="Palatino Linotype"/>
                <w:b/>
                <w:sz w:val="20"/>
                <w:szCs w:val="20"/>
              </w:rPr>
            </w:pPr>
            <w:r w:rsidRPr="00FA1A60">
              <w:rPr>
                <w:rFonts w:ascii="Palatino Linotype" w:eastAsia="Palatino Linotype" w:hAnsi="Palatino Linotype" w:cs="Palatino Linotype"/>
                <w:b/>
                <w:sz w:val="20"/>
                <w:szCs w:val="20"/>
              </w:rPr>
              <w:lastRenderedPageBreak/>
              <w:t>REQUERIMIENTO</w:t>
            </w:r>
          </w:p>
        </w:tc>
        <w:tc>
          <w:tcPr>
            <w:tcW w:w="2943" w:type="dxa"/>
            <w:shd w:val="clear" w:color="auto" w:fill="D9D9D9" w:themeFill="background1" w:themeFillShade="D9"/>
            <w:vAlign w:val="center"/>
          </w:tcPr>
          <w:p w14:paraId="64E6B62E" w14:textId="586EDE4F" w:rsidR="00ED1747" w:rsidRPr="00FA1A60" w:rsidRDefault="00ED1747" w:rsidP="00ED1747">
            <w:pPr>
              <w:jc w:val="center"/>
              <w:rPr>
                <w:rFonts w:ascii="Palatino Linotype" w:eastAsia="Palatino Linotype" w:hAnsi="Palatino Linotype" w:cs="Palatino Linotype"/>
                <w:b/>
                <w:sz w:val="20"/>
                <w:szCs w:val="20"/>
              </w:rPr>
            </w:pPr>
            <w:r w:rsidRPr="00FA1A60">
              <w:rPr>
                <w:rFonts w:ascii="Palatino Linotype" w:eastAsia="Palatino Linotype" w:hAnsi="Palatino Linotype" w:cs="Palatino Linotype"/>
                <w:b/>
                <w:sz w:val="20"/>
                <w:szCs w:val="20"/>
              </w:rPr>
              <w:t>RESPUESTA</w:t>
            </w:r>
          </w:p>
        </w:tc>
        <w:tc>
          <w:tcPr>
            <w:tcW w:w="2943" w:type="dxa"/>
            <w:shd w:val="clear" w:color="auto" w:fill="D9D9D9" w:themeFill="background1" w:themeFillShade="D9"/>
            <w:vAlign w:val="center"/>
          </w:tcPr>
          <w:p w14:paraId="01E7EA31" w14:textId="6798317E" w:rsidR="00ED1747" w:rsidRPr="00FA1A60" w:rsidRDefault="00ED1747" w:rsidP="00ED1747">
            <w:pPr>
              <w:jc w:val="center"/>
              <w:rPr>
                <w:rFonts w:ascii="Palatino Linotype" w:eastAsia="Palatino Linotype" w:hAnsi="Palatino Linotype" w:cs="Palatino Linotype"/>
                <w:b/>
                <w:sz w:val="20"/>
                <w:szCs w:val="20"/>
              </w:rPr>
            </w:pPr>
            <w:r w:rsidRPr="00FA1A60">
              <w:rPr>
                <w:rFonts w:ascii="Palatino Linotype" w:eastAsia="Palatino Linotype" w:hAnsi="Palatino Linotype" w:cs="Palatino Linotype"/>
                <w:b/>
                <w:sz w:val="20"/>
                <w:szCs w:val="20"/>
              </w:rPr>
              <w:t>ALCANCE AL INFORME JUSTIFICADO</w:t>
            </w:r>
          </w:p>
        </w:tc>
      </w:tr>
      <w:tr w:rsidR="00FA1A60" w:rsidRPr="00FA1A60" w14:paraId="52F53CF2" w14:textId="77777777" w:rsidTr="00F8745A">
        <w:tc>
          <w:tcPr>
            <w:tcW w:w="2942" w:type="dxa"/>
            <w:vMerge w:val="restart"/>
            <w:vAlign w:val="center"/>
          </w:tcPr>
          <w:p w14:paraId="36F718AF" w14:textId="2355732B" w:rsidR="00F8745A" w:rsidRPr="00FA1A60" w:rsidRDefault="00F8745A" w:rsidP="00ED1747">
            <w:pPr>
              <w:spacing w:before="120" w:after="120"/>
              <w:ind w:right="51"/>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 Todos los proyectos presentados por los Sujetos Obligados del Estado de México, en relación a la Transparencia Proactiva, año 2022 y 2021.</w:t>
            </w:r>
          </w:p>
        </w:tc>
        <w:tc>
          <w:tcPr>
            <w:tcW w:w="2943" w:type="dxa"/>
          </w:tcPr>
          <w:p w14:paraId="4C97F33A"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b/>
                <w:sz w:val="20"/>
                <w:szCs w:val="20"/>
              </w:rPr>
              <w:t>Ejercicio 2021:</w:t>
            </w:r>
            <w:r w:rsidRPr="00FA1A60">
              <w:rPr>
                <w:rFonts w:ascii="Palatino Linotype" w:eastAsia="Palatino Linotype" w:hAnsi="Palatino Linotype" w:cs="Palatino Linotype"/>
                <w:sz w:val="20"/>
                <w:szCs w:val="20"/>
              </w:rPr>
              <w:t xml:space="preserve"> Se cuenta con el registro de 41 formularios remitidos por 23 Sujetos Obligados.</w:t>
            </w:r>
          </w:p>
          <w:p w14:paraId="7C5AC970"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b/>
                <w:sz w:val="20"/>
                <w:szCs w:val="20"/>
              </w:rPr>
              <w:t>Formularios proporcionados</w:t>
            </w:r>
            <w:r w:rsidRPr="00FA1A60">
              <w:rPr>
                <w:rFonts w:ascii="Palatino Linotype" w:eastAsia="Palatino Linotype" w:hAnsi="Palatino Linotype" w:cs="Palatino Linotype"/>
                <w:sz w:val="20"/>
                <w:szCs w:val="20"/>
              </w:rPr>
              <w:t>:</w:t>
            </w:r>
          </w:p>
          <w:p w14:paraId="41EED7E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Partido Verde Ecologista de México</w:t>
            </w:r>
          </w:p>
          <w:p w14:paraId="02DEA440"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 Comité de Transparencia.</w:t>
            </w:r>
          </w:p>
          <w:p w14:paraId="324FD61C"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 Fiscalización Campaña.</w:t>
            </w:r>
          </w:p>
          <w:p w14:paraId="3BD5C61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 Verificaciones.</w:t>
            </w:r>
          </w:p>
          <w:p w14:paraId="131E447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4. Logros Verdes 2022 a 2024.</w:t>
            </w:r>
          </w:p>
          <w:p w14:paraId="0B365637"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5. Guía de Atención en caso de violencia política en razón de género.</w:t>
            </w:r>
          </w:p>
          <w:p w14:paraId="3E96378D"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de Tianguistenco</w:t>
            </w:r>
          </w:p>
          <w:p w14:paraId="23DDDF36"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6. Cuidando a la Ciudadanía a Distancia.</w:t>
            </w:r>
          </w:p>
          <w:p w14:paraId="11C8DCE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Educación</w:t>
            </w:r>
          </w:p>
          <w:p w14:paraId="61D066C8" w14:textId="77777777" w:rsidR="00F8745A" w:rsidRPr="00FA1A60" w:rsidRDefault="00F8745A" w:rsidP="00F8745A">
            <w:pPr>
              <w:spacing w:before="120" w:after="120"/>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sz w:val="20"/>
                <w:szCs w:val="20"/>
              </w:rPr>
              <w:t>7. Directorio de Instituciones Educativas</w:t>
            </w:r>
          </w:p>
          <w:p w14:paraId="1303FC12"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Ixtapaluca</w:t>
            </w:r>
          </w:p>
          <w:p w14:paraId="1AEA0A3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8. Farmacias mejorando tu salud, beneficio garantizado.</w:t>
            </w:r>
          </w:p>
          <w:p w14:paraId="1F96CB5B"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9. Cursos de autoempleo y recreación.</w:t>
            </w:r>
          </w:p>
          <w:p w14:paraId="770420B2"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p>
          <w:p w14:paraId="7467472B"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p>
          <w:p w14:paraId="39223C3A"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Instituto Electoral del Estado de México</w:t>
            </w:r>
          </w:p>
          <w:p w14:paraId="716D3D6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10. Transparencia en Lenguas Originarias, con un Enfoque Interseccional e Intercultural.</w:t>
            </w:r>
          </w:p>
          <w:p w14:paraId="06DAA64A"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ODAPAS Nicolás Romero</w:t>
            </w:r>
          </w:p>
          <w:p w14:paraId="0D2A2C25"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11. Cajas Móviles dentro del municipio de Nicolás Romero</w:t>
            </w:r>
          </w:p>
          <w:p w14:paraId="25EC30F4"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Poder Legislativo</w:t>
            </w:r>
          </w:p>
          <w:p w14:paraId="711ECC3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12. Denuncia Electrónica</w:t>
            </w:r>
          </w:p>
          <w:p w14:paraId="458E4AED"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13. Difusión de información oficial a través de las redes sociales institucionales del Poder Legislativo del Estado de México</w:t>
            </w:r>
          </w:p>
          <w:p w14:paraId="7EDD4F3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14. Diseño del nuevo portal de internet del Poder Legislativo del Estado Libre y Soberano de México</w:t>
            </w:r>
          </w:p>
          <w:p w14:paraId="0B35117B"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Instituto de la Función Registral del Estado de México</w:t>
            </w:r>
          </w:p>
          <w:p w14:paraId="0DEC5229"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15. Información a través de la difusión de Carteles</w:t>
            </w:r>
          </w:p>
          <w:p w14:paraId="3E18A465"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Tribunal de Justicia Administrativa del Estado de México</w:t>
            </w:r>
          </w:p>
          <w:p w14:paraId="526784B1"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16. Catálogo de Datos Personales del Tribunal de Justicia Administrativa</w:t>
            </w:r>
          </w:p>
          <w:p w14:paraId="685A5782"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17. Portal de Sentencias del TRIJAEM</w:t>
            </w:r>
          </w:p>
          <w:p w14:paraId="6CDC14E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p>
          <w:p w14:paraId="521BCE38"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Instituto Hacendario del Estado de México</w:t>
            </w:r>
          </w:p>
          <w:p w14:paraId="0FC31995"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18. Sinopsis del Diario Oficial de la Federación y del Periódico Oficial Gaceta del Gobierno</w:t>
            </w:r>
          </w:p>
          <w:p w14:paraId="4AB9176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Poder Judicial del Estado de México</w:t>
            </w:r>
          </w:p>
          <w:p w14:paraId="39C4E0E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19. Sistema Geoestadístico del Poder Judicial del Estado de México</w:t>
            </w:r>
          </w:p>
          <w:p w14:paraId="50F4E71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Junta de Caminos del Estado de México</w:t>
            </w:r>
          </w:p>
          <w:p w14:paraId="5E5344A3"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20. Listado de caminos de la Infraestructura Vial Primaria Libre de Peaje / Mapa de Infraestructura Vial Primaria Libre de Peaje</w:t>
            </w:r>
          </w:p>
          <w:p w14:paraId="3B7CF9C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21. Programa de Trabajo</w:t>
            </w:r>
          </w:p>
          <w:p w14:paraId="44873BF5"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Secretariado Ejecutivo del Sistema Anticorrupción del Estado de México</w:t>
            </w:r>
          </w:p>
          <w:p w14:paraId="1313F8BA"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22. Sistemas Municipales Anticorrupción</w:t>
            </w:r>
          </w:p>
          <w:p w14:paraId="0039BF6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Tecnológico de Estudios Superiores de Villa Guerrero</w:t>
            </w:r>
          </w:p>
          <w:p w14:paraId="427199DB" w14:textId="77777777" w:rsidR="00F8745A" w:rsidRPr="00FA1A60" w:rsidRDefault="00F8745A" w:rsidP="00F8745A">
            <w:pPr>
              <w:spacing w:before="120" w:after="120"/>
              <w:jc w:val="both"/>
              <w:rPr>
                <w:rFonts w:ascii="Palatino Linotype" w:hAnsi="Palatino Linotype"/>
                <w:iCs/>
                <w:sz w:val="20"/>
                <w:szCs w:val="20"/>
              </w:rPr>
            </w:pPr>
            <w:r w:rsidRPr="00FA1A60">
              <w:rPr>
                <w:rFonts w:ascii="Palatino Linotype" w:hAnsi="Palatino Linotype"/>
                <w:iCs/>
                <w:sz w:val="20"/>
                <w:szCs w:val="20"/>
              </w:rPr>
              <w:t>23. Comité para la igualdad laboral y no discriminación /Comité de salud / Comité interno de mejora regulatoria</w:t>
            </w:r>
          </w:p>
          <w:p w14:paraId="1B28378F"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24. Publicación de cuotas </w:t>
            </w:r>
          </w:p>
          <w:p w14:paraId="70E8385F"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25. Publicación de resultados de admisión</w:t>
            </w:r>
          </w:p>
          <w:p w14:paraId="17C78309"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Sistema Municipal del DIF Ixtlahuaca</w:t>
            </w:r>
          </w:p>
          <w:p w14:paraId="5BFAA0BF"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26. Información complementaria para la prestación de servicios y trámites de forma más eficiente.</w:t>
            </w:r>
          </w:p>
          <w:p w14:paraId="38F5AD3B"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San Felipe del Progreso</w:t>
            </w:r>
          </w:p>
          <w:p w14:paraId="44039536"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27. Sala de Estimulación Multisensorial</w:t>
            </w:r>
          </w:p>
          <w:p w14:paraId="58801E38"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San Antonio la Isla</w:t>
            </w:r>
          </w:p>
          <w:p w14:paraId="46142FDF"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28. Protocolo </w:t>
            </w:r>
            <w:proofErr w:type="spellStart"/>
            <w:r w:rsidRPr="00FA1A60">
              <w:rPr>
                <w:rFonts w:ascii="Palatino Linotype" w:eastAsia="Palatino Linotype" w:hAnsi="Palatino Linotype" w:cs="Palatino Linotype"/>
                <w:sz w:val="20"/>
                <w:szCs w:val="20"/>
              </w:rPr>
              <w:t>PreAlba</w:t>
            </w:r>
            <w:proofErr w:type="spellEnd"/>
          </w:p>
          <w:p w14:paraId="0F7D5C93"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General de Gobierno</w:t>
            </w:r>
          </w:p>
          <w:p w14:paraId="57552FB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29. Acción cívica / Consejo Estatal de Población / Órganos colegiados</w:t>
            </w:r>
          </w:p>
          <w:p w14:paraId="7A148825"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Desarrollo Social</w:t>
            </w:r>
          </w:p>
          <w:p w14:paraId="00B7FFA3"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30. Manual Ciudadano</w:t>
            </w:r>
          </w:p>
          <w:p w14:paraId="2DD6BDF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Tlalnepantla de Baz</w:t>
            </w:r>
          </w:p>
          <w:p w14:paraId="2243B8C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31. Repositorio COVID – 19</w:t>
            </w:r>
          </w:p>
          <w:p w14:paraId="1B157BA9"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Toluca</w:t>
            </w:r>
          </w:p>
          <w:p w14:paraId="2235C2CC"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32. Covid-19 dentro de la página web Institucional del Municipio de Toluca</w:t>
            </w:r>
          </w:p>
          <w:p w14:paraId="037ED761"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33. Planeación y Desarrollo Institucional, Toluca</w:t>
            </w:r>
          </w:p>
          <w:p w14:paraId="3419561B"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34. Presupuesto Ciudadano </w:t>
            </w:r>
          </w:p>
          <w:p w14:paraId="4B090BE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OPDAPAS Atlacomulco</w:t>
            </w:r>
          </w:p>
          <w:p w14:paraId="351BA1E9"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lastRenderedPageBreak/>
              <w:t>35. Horarios de Suministro de Agua Potable del O.D.A.P.A.S ATLACOMULCO</w:t>
            </w:r>
          </w:p>
          <w:p w14:paraId="001F2DC8"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Salud</w:t>
            </w:r>
          </w:p>
          <w:p w14:paraId="472C05BB"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36. Revistas CEVECE Cerca de ti Inteligencia Epidemiológica</w:t>
            </w:r>
          </w:p>
          <w:p w14:paraId="7EE4B9FD"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37. Instrumentos Archivísticos</w:t>
            </w:r>
          </w:p>
          <w:p w14:paraId="27C00C15"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38. Observatorio Mexiquense de Drogas, Alcohol y Tabaco (OMEXDAT)</w:t>
            </w:r>
          </w:p>
          <w:p w14:paraId="407ACE43" w14:textId="0D9C4E22"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39. Manual de Procedimientos para reconocer espacios 100% libres de humo de tabaco del Instituto Mexiquense contra las Adicciones.</w:t>
            </w:r>
          </w:p>
        </w:tc>
        <w:tc>
          <w:tcPr>
            <w:tcW w:w="2943" w:type="dxa"/>
          </w:tcPr>
          <w:p w14:paraId="67D22B26" w14:textId="77777777" w:rsidR="00F8745A" w:rsidRPr="00FA1A60" w:rsidRDefault="00F8745A" w:rsidP="00ED1747">
            <w:pPr>
              <w:spacing w:before="120" w:after="120"/>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Sistema Municipal del DIF Ixtapaluca</w:t>
            </w:r>
          </w:p>
          <w:p w14:paraId="6F2B4C1E" w14:textId="77777777" w:rsidR="00F8745A" w:rsidRPr="00FA1A60" w:rsidRDefault="00F8745A" w:rsidP="00ED1747">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40. Entrega de Tarjetas INAPAM</w:t>
            </w:r>
          </w:p>
          <w:p w14:paraId="73E0EAA8" w14:textId="77777777" w:rsidR="00F8745A" w:rsidRPr="00FA1A60" w:rsidRDefault="00F8745A" w:rsidP="00217B5E">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Instituto Electoral del Estado de México</w:t>
            </w:r>
          </w:p>
          <w:p w14:paraId="358CB762" w14:textId="5D067D29" w:rsidR="00F8745A" w:rsidRPr="00FA1A60" w:rsidRDefault="00F8745A" w:rsidP="00FC7E1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41. Transparencia con Perspectiva de Género</w:t>
            </w:r>
          </w:p>
          <w:p w14:paraId="4247AE44" w14:textId="29DBC542" w:rsidR="00F8745A" w:rsidRPr="00FA1A60" w:rsidRDefault="00F8745A" w:rsidP="00ED1747">
            <w:pPr>
              <w:spacing w:before="120" w:after="120"/>
              <w:jc w:val="both"/>
              <w:rPr>
                <w:rFonts w:ascii="Palatino Linotype" w:eastAsia="Palatino Linotype" w:hAnsi="Palatino Linotype" w:cs="Palatino Linotype"/>
                <w:sz w:val="20"/>
                <w:szCs w:val="20"/>
              </w:rPr>
            </w:pPr>
          </w:p>
        </w:tc>
      </w:tr>
      <w:tr w:rsidR="00FA1A60" w:rsidRPr="00FA1A60" w14:paraId="2DEFCDE7" w14:textId="77777777" w:rsidTr="00ED1747">
        <w:tc>
          <w:tcPr>
            <w:tcW w:w="2942" w:type="dxa"/>
            <w:vMerge/>
          </w:tcPr>
          <w:p w14:paraId="653BD766" w14:textId="77777777" w:rsidR="00F8745A" w:rsidRPr="00FA1A60" w:rsidRDefault="00F8745A" w:rsidP="00ED1747">
            <w:pPr>
              <w:spacing w:before="120" w:after="120"/>
              <w:ind w:right="51"/>
              <w:jc w:val="both"/>
              <w:rPr>
                <w:rFonts w:ascii="Palatino Linotype" w:eastAsia="Palatino Linotype" w:hAnsi="Palatino Linotype" w:cs="Palatino Linotype"/>
                <w:sz w:val="20"/>
                <w:szCs w:val="20"/>
              </w:rPr>
            </w:pPr>
          </w:p>
        </w:tc>
        <w:tc>
          <w:tcPr>
            <w:tcW w:w="2943" w:type="dxa"/>
          </w:tcPr>
          <w:p w14:paraId="73C157E1"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b/>
                <w:sz w:val="20"/>
                <w:szCs w:val="20"/>
              </w:rPr>
              <w:t>Ejercicio 2022</w:t>
            </w:r>
            <w:r w:rsidRPr="00FA1A60">
              <w:t xml:space="preserve">: </w:t>
            </w:r>
            <w:r w:rsidRPr="00FA1A60">
              <w:rPr>
                <w:rFonts w:ascii="Palatino Linotype" w:eastAsia="Palatino Linotype" w:hAnsi="Palatino Linotype" w:cs="Palatino Linotype"/>
                <w:sz w:val="20"/>
                <w:szCs w:val="20"/>
              </w:rPr>
              <w:t>Se cuenta con el registro de 35 formularios remitidos por 25 Sujetos Obligados,</w:t>
            </w:r>
          </w:p>
          <w:p w14:paraId="5B554142" w14:textId="77777777" w:rsidR="00F8745A" w:rsidRPr="00FA1A60" w:rsidRDefault="00F8745A" w:rsidP="00F8745A">
            <w:pPr>
              <w:spacing w:before="120" w:after="120"/>
              <w:jc w:val="both"/>
              <w:rPr>
                <w:rFonts w:ascii="Palatino Linotype" w:eastAsia="Palatino Linotype" w:hAnsi="Palatino Linotype" w:cs="Palatino Linotype"/>
                <w:b/>
                <w:sz w:val="20"/>
                <w:szCs w:val="20"/>
              </w:rPr>
            </w:pPr>
            <w:r w:rsidRPr="00FA1A60">
              <w:rPr>
                <w:rFonts w:ascii="Palatino Linotype" w:eastAsia="Palatino Linotype" w:hAnsi="Palatino Linotype" w:cs="Palatino Linotype"/>
                <w:b/>
                <w:sz w:val="20"/>
                <w:szCs w:val="20"/>
              </w:rPr>
              <w:t>Formularios proporcionados:</w:t>
            </w:r>
          </w:p>
          <w:p w14:paraId="70B557D1"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Organismo Público Descentralizado para la Prestación de los Servicios de Agua Potable Alcantarillado y Saneamiento del Municipio de Naucalpan de Juárez</w:t>
            </w:r>
          </w:p>
          <w:p w14:paraId="77F6DAC5"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1. OAPAS Geolocalizado </w:t>
            </w:r>
          </w:p>
          <w:p w14:paraId="54339C7E"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 Mapas de calor de actividades de OAPAS</w:t>
            </w:r>
          </w:p>
          <w:p w14:paraId="5B078163"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 Validador de Personal de OAPAS</w:t>
            </w:r>
          </w:p>
          <w:p w14:paraId="49FB9738"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4. Gaceta Interna OAPAS</w:t>
            </w:r>
          </w:p>
          <w:p w14:paraId="53E51A88"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Secretaría General de Gobierno</w:t>
            </w:r>
          </w:p>
          <w:p w14:paraId="1737AF6C"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5. Acción cívica / Consejo Estatal de Población / Órganos colegiados/ Coordinación General de Protección Civil y Gestión Integral de Riesgos</w:t>
            </w:r>
          </w:p>
          <w:p w14:paraId="4E5177CF" w14:textId="77777777" w:rsidR="00F8745A" w:rsidRPr="00FA1A60" w:rsidRDefault="00F8745A" w:rsidP="00177D09">
            <w:pPr>
              <w:shd w:val="clear" w:color="auto" w:fill="D9D9D9" w:themeFill="background1" w:themeFillShade="D9"/>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Poder Judicial del Estado de México</w:t>
            </w:r>
          </w:p>
          <w:p w14:paraId="266E152B" w14:textId="77777777" w:rsidR="00F8745A" w:rsidRPr="00FA1A60" w:rsidRDefault="00F8745A" w:rsidP="00177D09">
            <w:pPr>
              <w:shd w:val="clear" w:color="auto" w:fill="D9D9D9" w:themeFill="background1" w:themeFillShade="D9"/>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6. Sitio Web del Observatorio Ciudadano en Favor de la Justicia</w:t>
            </w:r>
          </w:p>
          <w:p w14:paraId="682EEBB5" w14:textId="77777777" w:rsidR="00F8745A" w:rsidRPr="00FA1A60" w:rsidRDefault="00F8745A" w:rsidP="00F8745A">
            <w:pPr>
              <w:spacing w:before="120" w:after="120"/>
              <w:ind w:left="206"/>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b/>
                <w:sz w:val="20"/>
                <w:szCs w:val="20"/>
                <w:u w:val="single"/>
              </w:rPr>
              <w:t>Instituto Estatal de Energía y Cambio Climático</w:t>
            </w:r>
            <w:r w:rsidRPr="00FA1A60">
              <w:rPr>
                <w:rFonts w:ascii="Palatino Linotype" w:eastAsia="Palatino Linotype" w:hAnsi="Palatino Linotype" w:cs="Palatino Linotype"/>
                <w:sz w:val="20"/>
                <w:szCs w:val="20"/>
              </w:rPr>
              <w:t>.</w:t>
            </w:r>
          </w:p>
          <w:p w14:paraId="6B157DD4"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7. Traducción en Lengua Indígena (Otomí, Tlahuica y Náhuatl) de la Ley Estatal de Cambio Climático y el Aviso de Privacidad Simplificado del Ingreso a las Instalaciones de este Instituto (IEECC).</w:t>
            </w:r>
          </w:p>
          <w:p w14:paraId="3289309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Partido del Trabajo</w:t>
            </w:r>
          </w:p>
          <w:p w14:paraId="541AE7F4" w14:textId="77777777"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8. Publicación del procedimiento y resultados de las verificaciones en la página web oficial del Partido del Trabajo</w:t>
            </w:r>
          </w:p>
          <w:p w14:paraId="27414B37" w14:textId="034ADA4E"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Publicación en la página web oficial de la guía de procedimientos de acceso a la información pública y derechos arco del partido del trabajo.</w:t>
            </w:r>
          </w:p>
          <w:p w14:paraId="0E52CE6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Finanzas</w:t>
            </w:r>
          </w:p>
          <w:p w14:paraId="19C6133A" w14:textId="7AAB94F8"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lastRenderedPageBreak/>
              <w:t>9</w:t>
            </w:r>
            <w:r w:rsidR="00F8745A" w:rsidRPr="00FA1A60">
              <w:rPr>
                <w:rFonts w:ascii="Palatino Linotype" w:eastAsia="Palatino Linotype" w:hAnsi="Palatino Linotype" w:cs="Palatino Linotype"/>
                <w:sz w:val="20"/>
                <w:szCs w:val="20"/>
              </w:rPr>
              <w:t>. Portal de Transparencia Fiscal</w:t>
            </w:r>
          </w:p>
          <w:p w14:paraId="5EDC5390"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Partido Verde Ecologista de México</w:t>
            </w:r>
          </w:p>
          <w:p w14:paraId="457E9DB1" w14:textId="5455704A"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10</w:t>
            </w:r>
            <w:r w:rsidR="00F8745A" w:rsidRPr="00FA1A60">
              <w:rPr>
                <w:rFonts w:ascii="Palatino Linotype" w:eastAsia="Palatino Linotype" w:hAnsi="Palatino Linotype" w:cs="Palatino Linotype"/>
                <w:sz w:val="20"/>
                <w:szCs w:val="20"/>
              </w:rPr>
              <w:t>. Micrositio COVID19</w:t>
            </w:r>
          </w:p>
          <w:p w14:paraId="25747C19" w14:textId="5B0ECD13"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11</w:t>
            </w:r>
            <w:r w:rsidR="00F8745A" w:rsidRPr="00FA1A60">
              <w:rPr>
                <w:rFonts w:ascii="Palatino Linotype" w:eastAsia="Palatino Linotype" w:hAnsi="Palatino Linotype" w:cs="Palatino Linotype"/>
                <w:sz w:val="20"/>
                <w:szCs w:val="20"/>
              </w:rPr>
              <w:t>. Directorio de los representantes verdes municipales y estatales</w:t>
            </w:r>
          </w:p>
          <w:p w14:paraId="00C99B09" w14:textId="27F273A4"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12</w:t>
            </w:r>
            <w:r w:rsidR="00F8745A" w:rsidRPr="00FA1A60">
              <w:rPr>
                <w:rFonts w:ascii="Palatino Linotype" w:eastAsia="Palatino Linotype" w:hAnsi="Palatino Linotype" w:cs="Palatino Linotype"/>
                <w:sz w:val="20"/>
                <w:szCs w:val="20"/>
              </w:rPr>
              <w:t>. Infografías para ejercer los Derechos ARCO</w:t>
            </w:r>
          </w:p>
          <w:p w14:paraId="514D547A" w14:textId="29E57B12"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13</w:t>
            </w:r>
            <w:r w:rsidR="00F8745A" w:rsidRPr="00FA1A60">
              <w:rPr>
                <w:rFonts w:ascii="Palatino Linotype" w:eastAsia="Palatino Linotype" w:hAnsi="Palatino Linotype" w:cs="Palatino Linotype"/>
                <w:sz w:val="20"/>
                <w:szCs w:val="20"/>
              </w:rPr>
              <w:t>. Micrositio Gestión Documental</w:t>
            </w:r>
          </w:p>
          <w:p w14:paraId="1EAEAC9B"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Instituto Electoral del Estado de México</w:t>
            </w:r>
          </w:p>
          <w:p w14:paraId="2E2084E9" w14:textId="50473ACB"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14</w:t>
            </w:r>
            <w:r w:rsidR="00F8745A" w:rsidRPr="00FA1A60">
              <w:rPr>
                <w:rFonts w:ascii="Palatino Linotype" w:eastAsia="Palatino Linotype" w:hAnsi="Palatino Linotype" w:cs="Palatino Linotype"/>
                <w:sz w:val="20"/>
                <w:szCs w:val="20"/>
              </w:rPr>
              <w:t>. Botón Naranja</w:t>
            </w:r>
          </w:p>
          <w:p w14:paraId="3097A6E0"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las Mujeres</w:t>
            </w:r>
          </w:p>
          <w:p w14:paraId="44E9BD1C" w14:textId="4D41BFD9"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15</w:t>
            </w:r>
            <w:r w:rsidR="00F8745A" w:rsidRPr="00FA1A60">
              <w:rPr>
                <w:rFonts w:ascii="Palatino Linotype" w:eastAsia="Palatino Linotype" w:hAnsi="Palatino Linotype" w:cs="Palatino Linotype"/>
                <w:sz w:val="20"/>
                <w:szCs w:val="20"/>
              </w:rPr>
              <w:t>. Atlas de Género del Estado de México</w:t>
            </w:r>
          </w:p>
          <w:p w14:paraId="2F461C38" w14:textId="77777777" w:rsidR="00F8745A" w:rsidRPr="00FA1A60" w:rsidRDefault="00F8745A" w:rsidP="00F8745A">
            <w:pPr>
              <w:autoSpaceDE w:val="0"/>
              <w:autoSpaceDN w:val="0"/>
              <w:adjustRightInd w:val="0"/>
              <w:ind w:left="206"/>
              <w:rPr>
                <w:rFonts w:ascii="Palatino Linotype" w:hAnsi="Palatino Linotype" w:cs="Calibri"/>
                <w:b/>
                <w:sz w:val="20"/>
                <w:szCs w:val="20"/>
                <w:u w:val="single"/>
              </w:rPr>
            </w:pPr>
            <w:r w:rsidRPr="00FA1A60">
              <w:rPr>
                <w:rFonts w:ascii="Palatino Linotype" w:hAnsi="Palatino Linotype" w:cs="Calibri"/>
                <w:b/>
                <w:sz w:val="20"/>
                <w:szCs w:val="20"/>
                <w:u w:val="single"/>
              </w:rPr>
              <w:t>Calimaya</w:t>
            </w:r>
          </w:p>
          <w:p w14:paraId="2FB564CA" w14:textId="6C205F2B" w:rsidR="00F8745A" w:rsidRPr="00FA1A60" w:rsidRDefault="00F8745A" w:rsidP="00F8745A">
            <w:pPr>
              <w:autoSpaceDE w:val="0"/>
              <w:autoSpaceDN w:val="0"/>
              <w:adjustRightInd w:val="0"/>
              <w:rPr>
                <w:rFonts w:ascii="Palatino Linotype" w:hAnsi="Palatino Linotype" w:cs="Calibri"/>
                <w:b/>
                <w:sz w:val="20"/>
                <w:szCs w:val="20"/>
                <w:u w:val="single"/>
              </w:rPr>
            </w:pPr>
            <w:r w:rsidRPr="00FA1A60">
              <w:rPr>
                <w:rFonts w:ascii="Palatino Linotype" w:hAnsi="Palatino Linotype" w:cs="Calibri"/>
                <w:sz w:val="20"/>
                <w:szCs w:val="20"/>
              </w:rPr>
              <w:t>1</w:t>
            </w:r>
            <w:r w:rsidR="007A1621" w:rsidRPr="00FA1A60">
              <w:rPr>
                <w:rFonts w:ascii="Palatino Linotype" w:hAnsi="Palatino Linotype" w:cs="Calibri"/>
                <w:sz w:val="20"/>
                <w:szCs w:val="20"/>
              </w:rPr>
              <w:t>6</w:t>
            </w:r>
            <w:r w:rsidRPr="00FA1A60">
              <w:rPr>
                <w:rFonts w:ascii="Palatino Linotype" w:hAnsi="Palatino Linotype" w:cs="Calibri"/>
                <w:sz w:val="20"/>
                <w:szCs w:val="20"/>
              </w:rPr>
              <w:t>. “Rompe el ciclo”</w:t>
            </w:r>
          </w:p>
          <w:p w14:paraId="5CE8680E"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Tribunal de Justicia Administrativa del Estado de México</w:t>
            </w:r>
          </w:p>
          <w:p w14:paraId="5AECD6A6" w14:textId="7EFDA680"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w:t>
            </w:r>
            <w:r w:rsidR="007A1621" w:rsidRPr="00FA1A60">
              <w:rPr>
                <w:rFonts w:ascii="Palatino Linotype" w:eastAsia="Palatino Linotype" w:hAnsi="Palatino Linotype" w:cs="Palatino Linotype"/>
                <w:sz w:val="20"/>
                <w:szCs w:val="20"/>
              </w:rPr>
              <w:t>7</w:t>
            </w:r>
            <w:r w:rsidRPr="00FA1A60">
              <w:rPr>
                <w:rFonts w:ascii="Palatino Linotype" w:eastAsia="Palatino Linotype" w:hAnsi="Palatino Linotype" w:cs="Palatino Linotype"/>
                <w:sz w:val="20"/>
                <w:szCs w:val="20"/>
              </w:rPr>
              <w:t>. Servicios Digitales para la Justicia Administrativa en el Estado de México</w:t>
            </w:r>
          </w:p>
          <w:p w14:paraId="4AF377EB" w14:textId="10956961"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18</w:t>
            </w:r>
            <w:r w:rsidR="00F8745A" w:rsidRPr="00FA1A60">
              <w:rPr>
                <w:rFonts w:ascii="Palatino Linotype" w:eastAsia="Palatino Linotype" w:hAnsi="Palatino Linotype" w:cs="Palatino Linotype"/>
                <w:sz w:val="20"/>
                <w:szCs w:val="20"/>
              </w:rPr>
              <w:t>. Tribunal Electrónico para la Justicia Administrativa</w:t>
            </w:r>
          </w:p>
          <w:p w14:paraId="794C5580"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Universidad Tecnológica del Valle de Toluca</w:t>
            </w:r>
          </w:p>
          <w:p w14:paraId="0078F542" w14:textId="3F722E8A"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19</w:t>
            </w:r>
            <w:r w:rsidR="00F8745A" w:rsidRPr="00FA1A60">
              <w:rPr>
                <w:rFonts w:ascii="Palatino Linotype" w:eastAsia="Palatino Linotype" w:hAnsi="Palatino Linotype" w:cs="Palatino Linotype"/>
                <w:sz w:val="20"/>
                <w:szCs w:val="20"/>
              </w:rPr>
              <w:t>. Estadística Básica</w:t>
            </w:r>
          </w:p>
          <w:p w14:paraId="3B658BDD"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Junta de Caminos del Estado de México</w:t>
            </w:r>
          </w:p>
          <w:p w14:paraId="41B3818A" w14:textId="1D49BB41"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20</w:t>
            </w:r>
            <w:r w:rsidR="00F8745A" w:rsidRPr="00FA1A60">
              <w:rPr>
                <w:rFonts w:ascii="Palatino Linotype" w:eastAsia="Palatino Linotype" w:hAnsi="Palatino Linotype" w:cs="Palatino Linotype"/>
                <w:sz w:val="20"/>
                <w:szCs w:val="20"/>
              </w:rPr>
              <w:t>. Listado de caminos de la Infraestructura Proactiva: Vial Primaria Libre de Peaje /  Mapa a de Infraestructura Vial Primaria Libre de Peaje /  Programa de Trabajo.</w:t>
            </w:r>
          </w:p>
          <w:p w14:paraId="1E7D71C9" w14:textId="77777777" w:rsidR="00F8745A" w:rsidRPr="00FA1A60" w:rsidRDefault="00F8745A" w:rsidP="00F8745A">
            <w:pPr>
              <w:shd w:val="clear" w:color="auto" w:fill="EEECE1" w:themeFill="background2"/>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Ixtapaluca</w:t>
            </w:r>
          </w:p>
          <w:p w14:paraId="4D830003" w14:textId="3D7F5B08" w:rsidR="00F8745A" w:rsidRPr="00FA1A60" w:rsidRDefault="007A1621" w:rsidP="00F8745A">
            <w:pPr>
              <w:shd w:val="clear" w:color="auto" w:fill="EEECE1" w:themeFill="background2"/>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21</w:t>
            </w:r>
            <w:r w:rsidR="00F8745A" w:rsidRPr="00FA1A60">
              <w:rPr>
                <w:rFonts w:ascii="Palatino Linotype" w:eastAsia="Palatino Linotype" w:hAnsi="Palatino Linotype" w:cs="Palatino Linotype"/>
                <w:sz w:val="20"/>
                <w:szCs w:val="20"/>
              </w:rPr>
              <w:t>. Mapa orientador</w:t>
            </w:r>
          </w:p>
          <w:p w14:paraId="35A464A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Procuraduría de Protección al Ambiente del Estado de México</w:t>
            </w:r>
          </w:p>
          <w:p w14:paraId="7EB74F22" w14:textId="38DA6454"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22</w:t>
            </w:r>
            <w:r w:rsidR="00F8745A" w:rsidRPr="00FA1A60">
              <w:rPr>
                <w:rFonts w:ascii="Palatino Linotype" w:eastAsia="Palatino Linotype" w:hAnsi="Palatino Linotype" w:cs="Palatino Linotype"/>
                <w:sz w:val="20"/>
                <w:szCs w:val="20"/>
              </w:rPr>
              <w:t>. Elaboración y difusión de la revista “Bienestar y cuidado animal”.</w:t>
            </w:r>
          </w:p>
          <w:p w14:paraId="5963C914"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Tenancingo</w:t>
            </w:r>
          </w:p>
          <w:p w14:paraId="6425FCAC" w14:textId="3295A7A4"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23</w:t>
            </w:r>
            <w:r w:rsidR="00F8745A" w:rsidRPr="00FA1A60">
              <w:rPr>
                <w:rFonts w:ascii="Palatino Linotype" w:eastAsia="Palatino Linotype" w:hAnsi="Palatino Linotype" w:cs="Palatino Linotype"/>
                <w:sz w:val="20"/>
                <w:szCs w:val="20"/>
              </w:rPr>
              <w:t>. Reporte y/o Denuncia de violencia</w:t>
            </w:r>
          </w:p>
          <w:p w14:paraId="205B4EB8"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San Antonio la Isla</w:t>
            </w:r>
          </w:p>
          <w:p w14:paraId="69E7A276" w14:textId="50BD48EA"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w:t>
            </w:r>
            <w:r w:rsidR="007A1621" w:rsidRPr="00FA1A60">
              <w:rPr>
                <w:rFonts w:ascii="Palatino Linotype" w:eastAsia="Palatino Linotype" w:hAnsi="Palatino Linotype" w:cs="Palatino Linotype"/>
                <w:sz w:val="20"/>
                <w:szCs w:val="20"/>
              </w:rPr>
              <w:t>4</w:t>
            </w:r>
            <w:r w:rsidRPr="00FA1A60">
              <w:rPr>
                <w:rFonts w:ascii="Palatino Linotype" w:eastAsia="Palatino Linotype" w:hAnsi="Palatino Linotype" w:cs="Palatino Linotype"/>
                <w:sz w:val="20"/>
                <w:szCs w:val="20"/>
              </w:rPr>
              <w:t>. Documentación Soporte del Proceso de Selección de los integrantes del Comité de Participación Ciudadana del Sistema Municipal Anticorrupción</w:t>
            </w:r>
          </w:p>
          <w:p w14:paraId="76507CDA"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Toluca</w:t>
            </w:r>
          </w:p>
          <w:p w14:paraId="08D2BE4B" w14:textId="76611A9C"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25</w:t>
            </w:r>
            <w:r w:rsidR="00F8745A" w:rsidRPr="00FA1A60">
              <w:rPr>
                <w:rFonts w:ascii="Palatino Linotype" w:eastAsia="Palatino Linotype" w:hAnsi="Palatino Linotype" w:cs="Palatino Linotype"/>
                <w:sz w:val="20"/>
                <w:szCs w:val="20"/>
              </w:rPr>
              <w:t>. Información Cívica y Jurídica por una Toluca llena de Vida</w:t>
            </w:r>
          </w:p>
          <w:p w14:paraId="17DB09E8" w14:textId="6348ED66"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26</w:t>
            </w:r>
            <w:r w:rsidR="00F8745A" w:rsidRPr="00FA1A60">
              <w:rPr>
                <w:rFonts w:ascii="Palatino Linotype" w:eastAsia="Palatino Linotype" w:hAnsi="Palatino Linotype" w:cs="Palatino Linotype"/>
                <w:sz w:val="20"/>
                <w:szCs w:val="20"/>
              </w:rPr>
              <w:t>. Conoce a tu Regidor o regidora y sus Comisiones</w:t>
            </w:r>
          </w:p>
          <w:p w14:paraId="4917C7C5" w14:textId="40412B45"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lastRenderedPageBreak/>
              <w:t>27</w:t>
            </w:r>
            <w:r w:rsidR="00F8745A" w:rsidRPr="00FA1A60">
              <w:rPr>
                <w:rFonts w:ascii="Palatino Linotype" w:eastAsia="Palatino Linotype" w:hAnsi="Palatino Linotype" w:cs="Palatino Linotype"/>
                <w:sz w:val="20"/>
                <w:szCs w:val="20"/>
              </w:rPr>
              <w:t>. Tesorería Municipal</w:t>
            </w:r>
          </w:p>
          <w:p w14:paraId="3057BD24" w14:textId="05D7294A"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28</w:t>
            </w:r>
            <w:r w:rsidR="00F8745A" w:rsidRPr="00FA1A60">
              <w:rPr>
                <w:rFonts w:ascii="Palatino Linotype" w:eastAsia="Palatino Linotype" w:hAnsi="Palatino Linotype" w:cs="Palatino Linotype"/>
                <w:sz w:val="20"/>
                <w:szCs w:val="20"/>
              </w:rPr>
              <w:t>. Garantizando tus Derechos Humanos</w:t>
            </w:r>
          </w:p>
          <w:p w14:paraId="30FFC91F"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Secretaría de Seguridad del Estado de México</w:t>
            </w:r>
          </w:p>
          <w:p w14:paraId="5FD38932" w14:textId="7CC710DA"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29</w:t>
            </w:r>
            <w:r w:rsidR="00F8745A" w:rsidRPr="00FA1A60">
              <w:rPr>
                <w:rFonts w:ascii="Palatino Linotype" w:eastAsia="Palatino Linotype" w:hAnsi="Palatino Linotype" w:cs="Palatino Linotype"/>
                <w:sz w:val="20"/>
                <w:szCs w:val="20"/>
              </w:rPr>
              <w:t>. Recomendaciones para la prevención del delito.</w:t>
            </w:r>
          </w:p>
          <w:p w14:paraId="51432252"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Organismo Público Descentralizado para Prestación de los Servicios del Agua Potable, Alcantarillado y Saneamiento del Municipio de Jilotepec</w:t>
            </w:r>
          </w:p>
          <w:p w14:paraId="178897DB" w14:textId="20B53D14"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30</w:t>
            </w:r>
            <w:r w:rsidR="00F8745A" w:rsidRPr="00FA1A60">
              <w:rPr>
                <w:rFonts w:ascii="Palatino Linotype" w:eastAsia="Palatino Linotype" w:hAnsi="Palatino Linotype" w:cs="Palatino Linotype"/>
                <w:sz w:val="20"/>
                <w:szCs w:val="20"/>
              </w:rPr>
              <w:t>. Publicar los horarios de suministro del Agua Potable para el ejercicio fiscal 2022</w:t>
            </w:r>
          </w:p>
          <w:p w14:paraId="6E366DE5" w14:textId="77777777"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Instituto Hacendario del Estado de México</w:t>
            </w:r>
          </w:p>
          <w:p w14:paraId="3922D304" w14:textId="43CCD7A0" w:rsidR="00F8745A" w:rsidRPr="00FA1A60" w:rsidRDefault="00F8745A"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w:t>
            </w:r>
            <w:r w:rsidR="007A1621" w:rsidRPr="00FA1A60">
              <w:rPr>
                <w:rFonts w:ascii="Palatino Linotype" w:eastAsia="Palatino Linotype" w:hAnsi="Palatino Linotype" w:cs="Palatino Linotype"/>
                <w:sz w:val="20"/>
                <w:szCs w:val="20"/>
              </w:rPr>
              <w:t>1</w:t>
            </w:r>
            <w:r w:rsidRPr="00FA1A60">
              <w:rPr>
                <w:rFonts w:ascii="Palatino Linotype" w:eastAsia="Palatino Linotype" w:hAnsi="Palatino Linotype" w:cs="Palatino Linotype"/>
                <w:sz w:val="20"/>
                <w:szCs w:val="20"/>
              </w:rPr>
              <w:t>. Sinopsis del Diario Oficial de la Federación y del Periódico Oficial "Gaceta de Gobierno"</w:t>
            </w:r>
          </w:p>
          <w:p w14:paraId="058BD68E" w14:textId="2481E9DA" w:rsidR="00F8745A" w:rsidRPr="00FA1A60" w:rsidRDefault="00F8745A" w:rsidP="00F8745A">
            <w:pPr>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Organismo Descentralizado de Agua Potable, Alcantarillado y Saneamiento del Municipio de Nezahualcóyotl</w:t>
            </w:r>
          </w:p>
          <w:p w14:paraId="6DD7F928" w14:textId="5000F98E"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32</w:t>
            </w:r>
            <w:r w:rsidR="00F8745A" w:rsidRPr="00FA1A60">
              <w:rPr>
                <w:rFonts w:ascii="Palatino Linotype" w:eastAsia="Palatino Linotype" w:hAnsi="Palatino Linotype" w:cs="Palatino Linotype"/>
                <w:sz w:val="20"/>
                <w:szCs w:val="20"/>
              </w:rPr>
              <w:t>. Tu borrón y cuenta nueva, cerca de ti</w:t>
            </w:r>
          </w:p>
          <w:p w14:paraId="117E6234" w14:textId="77777777" w:rsidR="00F8745A" w:rsidRPr="00FA1A60" w:rsidRDefault="00F8745A" w:rsidP="007A1621">
            <w:pPr>
              <w:shd w:val="clear" w:color="auto" w:fill="D9D9D9" w:themeFill="background1" w:themeFillShade="D9"/>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Nezahualcóyotl</w:t>
            </w:r>
          </w:p>
          <w:p w14:paraId="43C34C21" w14:textId="57F31A68" w:rsidR="00F8745A" w:rsidRPr="00FA1A60" w:rsidRDefault="007A1621" w:rsidP="007A1621">
            <w:pPr>
              <w:shd w:val="clear" w:color="auto" w:fill="D9D9D9" w:themeFill="background1" w:themeFillShade="D9"/>
            </w:pPr>
            <w:r w:rsidRPr="00FA1A60">
              <w:rPr>
                <w:rFonts w:ascii="Palatino Linotype" w:eastAsia="Palatino Linotype" w:hAnsi="Palatino Linotype" w:cs="Palatino Linotype"/>
                <w:sz w:val="20"/>
                <w:szCs w:val="20"/>
              </w:rPr>
              <w:t>33</w:t>
            </w:r>
            <w:r w:rsidR="00F8745A" w:rsidRPr="00FA1A60">
              <w:rPr>
                <w:rFonts w:ascii="Palatino Linotype" w:eastAsia="Palatino Linotype" w:hAnsi="Palatino Linotype" w:cs="Palatino Linotype"/>
                <w:sz w:val="20"/>
                <w:szCs w:val="20"/>
              </w:rPr>
              <w:t>. Facultades de los verificadores</w:t>
            </w:r>
            <w:r w:rsidR="00F8745A" w:rsidRPr="00FA1A60">
              <w:t>.</w:t>
            </w:r>
          </w:p>
        </w:tc>
        <w:tc>
          <w:tcPr>
            <w:tcW w:w="2943" w:type="dxa"/>
          </w:tcPr>
          <w:p w14:paraId="3494FE65" w14:textId="77777777" w:rsidR="00F8745A" w:rsidRPr="00FA1A60" w:rsidRDefault="00F8745A" w:rsidP="00ED1747">
            <w:pPr>
              <w:spacing w:before="120" w:after="120"/>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lastRenderedPageBreak/>
              <w:t>Poder Legislativo del Estado de México</w:t>
            </w:r>
          </w:p>
          <w:p w14:paraId="5AF5459E" w14:textId="2448E046" w:rsidR="00F8745A" w:rsidRPr="00FA1A60" w:rsidRDefault="007A1621" w:rsidP="00ED1747">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34. </w:t>
            </w:r>
            <w:r w:rsidR="00F8745A" w:rsidRPr="00FA1A60">
              <w:rPr>
                <w:rFonts w:ascii="Palatino Linotype" w:eastAsia="Palatino Linotype" w:hAnsi="Palatino Linotype" w:cs="Palatino Linotype"/>
                <w:sz w:val="20"/>
                <w:szCs w:val="20"/>
              </w:rPr>
              <w:t>Denuncia Electrónica</w:t>
            </w:r>
          </w:p>
          <w:p w14:paraId="0E7CA44E" w14:textId="77777777" w:rsidR="00F8745A" w:rsidRPr="00FA1A60" w:rsidRDefault="00F8745A" w:rsidP="00F8745A">
            <w:pPr>
              <w:shd w:val="clear" w:color="auto" w:fill="D9D9D9" w:themeFill="background1" w:themeFillShade="D9"/>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Sistema Municipal del DIF Ixtapaluca</w:t>
            </w:r>
          </w:p>
          <w:p w14:paraId="5EB7F902" w14:textId="52D8B62A" w:rsidR="00F8745A" w:rsidRPr="00FA1A60" w:rsidRDefault="00F8745A" w:rsidP="00F8745A">
            <w:pPr>
              <w:shd w:val="clear" w:color="auto" w:fill="D9D9D9" w:themeFill="background1" w:themeFillShade="D9"/>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Mapa orientador</w:t>
            </w:r>
          </w:p>
          <w:p w14:paraId="38E528AE" w14:textId="77777777" w:rsidR="00F8745A" w:rsidRPr="00FA1A60" w:rsidRDefault="00F8745A" w:rsidP="00F8745A">
            <w:pPr>
              <w:shd w:val="clear" w:color="auto" w:fill="D9D9D9" w:themeFill="background1" w:themeFillShade="D9"/>
              <w:spacing w:before="120" w:after="120"/>
              <w:ind w:left="239"/>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Poder Judicial del Estado de México</w:t>
            </w:r>
          </w:p>
          <w:p w14:paraId="7D60F802" w14:textId="77777777" w:rsidR="00F8745A" w:rsidRPr="00FA1A60" w:rsidRDefault="00F8745A" w:rsidP="00F8745A">
            <w:pPr>
              <w:shd w:val="clear" w:color="auto" w:fill="D9D9D9" w:themeFill="background1" w:themeFillShade="D9"/>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Sitio Web del Observatorio Ciudadano en Favor de la Justicia</w:t>
            </w:r>
          </w:p>
          <w:p w14:paraId="79AD6C32" w14:textId="77777777" w:rsidR="00F8745A" w:rsidRPr="00FA1A60" w:rsidRDefault="00F8745A" w:rsidP="00F8745A">
            <w:pPr>
              <w:spacing w:before="120" w:after="120"/>
              <w:ind w:left="239"/>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Metepec</w:t>
            </w:r>
          </w:p>
          <w:p w14:paraId="2E2D05DD" w14:textId="1AD0A4C4" w:rsidR="00F8745A" w:rsidRPr="00FA1A60" w:rsidRDefault="007A1621" w:rsidP="00F8745A">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35. </w:t>
            </w:r>
            <w:proofErr w:type="spellStart"/>
            <w:r w:rsidR="00F8745A" w:rsidRPr="00FA1A60">
              <w:rPr>
                <w:rFonts w:ascii="Palatino Linotype" w:eastAsia="Palatino Linotype" w:hAnsi="Palatino Linotype" w:cs="Palatino Linotype"/>
                <w:sz w:val="20"/>
                <w:szCs w:val="20"/>
              </w:rPr>
              <w:t>Zendesk</w:t>
            </w:r>
            <w:proofErr w:type="spellEnd"/>
            <w:r w:rsidR="00F8745A" w:rsidRPr="00FA1A60">
              <w:rPr>
                <w:rFonts w:ascii="Palatino Linotype" w:eastAsia="Palatino Linotype" w:hAnsi="Palatino Linotype" w:cs="Palatino Linotype"/>
                <w:sz w:val="20"/>
                <w:szCs w:val="20"/>
              </w:rPr>
              <w:t xml:space="preserve"> (Metepec*7311)</w:t>
            </w:r>
          </w:p>
          <w:p w14:paraId="1046C05C" w14:textId="77777777" w:rsidR="007A1621" w:rsidRPr="00FA1A60" w:rsidRDefault="007A1621" w:rsidP="007A1621">
            <w:pPr>
              <w:shd w:val="clear" w:color="auto" w:fill="D9D9D9" w:themeFill="background1" w:themeFillShade="D9"/>
              <w:spacing w:before="120" w:after="120"/>
              <w:ind w:left="206"/>
              <w:jc w:val="both"/>
              <w:rPr>
                <w:rFonts w:ascii="Palatino Linotype" w:eastAsia="Palatino Linotype" w:hAnsi="Palatino Linotype" w:cs="Palatino Linotype"/>
                <w:b/>
                <w:sz w:val="20"/>
                <w:szCs w:val="20"/>
                <w:u w:val="single"/>
              </w:rPr>
            </w:pPr>
            <w:r w:rsidRPr="00FA1A60">
              <w:rPr>
                <w:rFonts w:ascii="Palatino Linotype" w:eastAsia="Palatino Linotype" w:hAnsi="Palatino Linotype" w:cs="Palatino Linotype"/>
                <w:b/>
                <w:sz w:val="20"/>
                <w:szCs w:val="20"/>
                <w:u w:val="single"/>
              </w:rPr>
              <w:t>Nezahualcóyotl</w:t>
            </w:r>
          </w:p>
          <w:p w14:paraId="364C734B" w14:textId="2896B1CB" w:rsidR="007A1621" w:rsidRPr="00FA1A60" w:rsidRDefault="007A1621" w:rsidP="007A1621">
            <w:pPr>
              <w:shd w:val="clear" w:color="auto" w:fill="D9D9D9" w:themeFill="background1" w:themeFillShade="D9"/>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Facultades de los verificadores</w:t>
            </w:r>
            <w:r w:rsidRPr="00FA1A60">
              <w:t>.</w:t>
            </w:r>
          </w:p>
        </w:tc>
      </w:tr>
      <w:tr w:rsidR="00FA1A60" w:rsidRPr="00FA1A60" w14:paraId="283D8B78" w14:textId="77777777" w:rsidTr="00ED1747">
        <w:tc>
          <w:tcPr>
            <w:tcW w:w="2942" w:type="dxa"/>
          </w:tcPr>
          <w:p w14:paraId="252FEC61" w14:textId="2741CDAA" w:rsidR="00ED1747" w:rsidRPr="00FA1A60" w:rsidRDefault="00ED1747" w:rsidP="00ED1747">
            <w:pPr>
              <w:spacing w:before="120" w:after="120"/>
              <w:ind w:right="51"/>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lastRenderedPageBreak/>
              <w:t>2. Criterios que determinaron respecto a los lugares y calificaciones obtenidas de los Sujetos Obligados que participaron en este tema en el año 2021 y 2022.</w:t>
            </w:r>
          </w:p>
        </w:tc>
        <w:tc>
          <w:tcPr>
            <w:tcW w:w="2943" w:type="dxa"/>
          </w:tcPr>
          <w:p w14:paraId="4FC2F87F" w14:textId="41CD191D" w:rsidR="004D74B8" w:rsidRPr="00FA1A60" w:rsidRDefault="004D74B8" w:rsidP="004D74B8">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Dictamen para determinar el Reconocimiento de prácticas de Transparencia proactiva 2021, emitido por el Jurado Calificador, que da cuenta de los puntajes obtenidos por cada una de las prácticas postuladas.</w:t>
            </w:r>
          </w:p>
          <w:p w14:paraId="7F0B75CE" w14:textId="77777777" w:rsidR="004D74B8" w:rsidRPr="00FA1A60" w:rsidRDefault="004D74B8" w:rsidP="004D74B8">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Dictamen para determinar el Reconocimiento de prácticas de Transparencia proactiva 2022, emitido por el Jurado Calificador, que da cuenta de los puntajes obtenidos por cada una de las prácticas postuladas.</w:t>
            </w:r>
          </w:p>
          <w:p w14:paraId="23CCFAF0" w14:textId="51F8E288" w:rsidR="004D74B8" w:rsidRPr="00FA1A60" w:rsidRDefault="004D74B8" w:rsidP="004D74B8">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Lineamientos para Determinar los Catálogos y Publicación de la Información de Interés Público; y para la Emisión y Evaluación de Políticas de Transparencia Proactiva, emitidos por el Instituto Nacional de Transparencia, Acceso a la Información y Protección de Datos Personales (INAI).</w:t>
            </w:r>
          </w:p>
          <w:p w14:paraId="54175399" w14:textId="4F049B9B" w:rsidR="004D74B8" w:rsidRPr="00FA1A60" w:rsidRDefault="004D74B8" w:rsidP="004D74B8">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“Criterios de Evaluación de las Políticas de Transparencia Proactiva”, emitidos y aprobados por el Pleno de este Instituto de Transparencia.</w:t>
            </w:r>
          </w:p>
          <w:p w14:paraId="3A8BFE42" w14:textId="59515637" w:rsidR="00ED1747" w:rsidRPr="00FA1A60" w:rsidRDefault="004D74B8" w:rsidP="004D74B8">
            <w:pPr>
              <w:spacing w:before="120" w:after="120"/>
              <w:jc w:val="both"/>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t xml:space="preserve">- “Políticas de Transparencia Proactiva del Instituto de Transparencia, Acceso a la Información Pública y Protección de Datos Personales </w:t>
            </w:r>
            <w:r w:rsidRPr="00FA1A60">
              <w:rPr>
                <w:rFonts w:ascii="Palatino Linotype" w:eastAsia="Palatino Linotype" w:hAnsi="Palatino Linotype" w:cs="Palatino Linotype"/>
                <w:sz w:val="20"/>
                <w:szCs w:val="20"/>
              </w:rPr>
              <w:lastRenderedPageBreak/>
              <w:t xml:space="preserve">del Estado de México y Municipios”. </w:t>
            </w:r>
          </w:p>
        </w:tc>
        <w:tc>
          <w:tcPr>
            <w:tcW w:w="2943" w:type="dxa"/>
          </w:tcPr>
          <w:p w14:paraId="27A60C96" w14:textId="0559F55D" w:rsidR="00ED1747" w:rsidRPr="00FA1A60" w:rsidRDefault="004D74B8" w:rsidP="004D74B8">
            <w:pPr>
              <w:spacing w:before="120" w:after="120"/>
              <w:jc w:val="center"/>
              <w:rPr>
                <w:rFonts w:ascii="Palatino Linotype" w:eastAsia="Palatino Linotype" w:hAnsi="Palatino Linotype" w:cs="Palatino Linotype"/>
                <w:sz w:val="20"/>
                <w:szCs w:val="20"/>
              </w:rPr>
            </w:pPr>
            <w:r w:rsidRPr="00FA1A60">
              <w:rPr>
                <w:rFonts w:ascii="Palatino Linotype" w:eastAsia="Palatino Linotype" w:hAnsi="Palatino Linotype" w:cs="Palatino Linotype"/>
                <w:sz w:val="20"/>
                <w:szCs w:val="20"/>
              </w:rPr>
              <w:lastRenderedPageBreak/>
              <w:t>-----</w:t>
            </w:r>
          </w:p>
        </w:tc>
      </w:tr>
    </w:tbl>
    <w:p w14:paraId="02818D9A" w14:textId="4C984197" w:rsidR="003E63B7" w:rsidRPr="00FA1A60" w:rsidRDefault="004D74B8" w:rsidP="0030038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Como puede advertirse en la tabla anterior,</w:t>
      </w:r>
      <w:r w:rsidR="003E63B7" w:rsidRPr="00FA1A60">
        <w:rPr>
          <w:rFonts w:ascii="Palatino Linotype" w:eastAsia="Palatino Linotype" w:hAnsi="Palatino Linotype" w:cs="Palatino Linotype"/>
        </w:rPr>
        <w:t xml:space="preserve"> para tender el requerimiento marcado con el numeral 1, relativo a </w:t>
      </w:r>
      <w:r w:rsidR="003E63B7" w:rsidRPr="00FA1A60">
        <w:rPr>
          <w:rFonts w:ascii="Palatino Linotype" w:eastAsia="Palatino Linotype" w:hAnsi="Palatino Linotype" w:cs="Palatino Linotype"/>
          <w:i/>
        </w:rPr>
        <w:t xml:space="preserve">todos los proyectos presentados por los Sujetos Obligados del Estado de México, en relación a la Transparencia Proactiva, año 2022 y 2021, </w:t>
      </w:r>
      <w:r w:rsidRPr="00FA1A60">
        <w:rPr>
          <w:rFonts w:ascii="Palatino Linotype" w:eastAsia="Palatino Linotype" w:hAnsi="Palatino Linotype" w:cs="Palatino Linotype"/>
        </w:rPr>
        <w:t xml:space="preserve">la Directora General de Transparencia, Acceso a la Información Pública y Gobierno Abierto proporcionó </w:t>
      </w:r>
      <w:r w:rsidR="003E63B7" w:rsidRPr="00FA1A60">
        <w:rPr>
          <w:rFonts w:ascii="Palatino Linotype" w:eastAsia="Palatino Linotype" w:hAnsi="Palatino Linotype" w:cs="Palatino Linotype"/>
        </w:rPr>
        <w:t xml:space="preserve">los </w:t>
      </w:r>
      <w:r w:rsidRPr="00FA1A60">
        <w:rPr>
          <w:rFonts w:ascii="Palatino Linotype" w:eastAsia="Palatino Linotype" w:hAnsi="Palatino Linotype" w:cs="Palatino Linotype"/>
        </w:rPr>
        <w:t>formularios que contienen los Datos Generales d</w:t>
      </w:r>
      <w:r w:rsidR="003E63B7" w:rsidRPr="00FA1A60">
        <w:rPr>
          <w:rFonts w:ascii="Palatino Linotype" w:eastAsia="Palatino Linotype" w:hAnsi="Palatino Linotype" w:cs="Palatino Linotype"/>
        </w:rPr>
        <w:t>e la Práctica de Transparencia P</w:t>
      </w:r>
      <w:r w:rsidRPr="00FA1A60">
        <w:rPr>
          <w:rFonts w:ascii="Palatino Linotype" w:eastAsia="Palatino Linotype" w:hAnsi="Palatino Linotype" w:cs="Palatino Linotype"/>
        </w:rPr>
        <w:t xml:space="preserve">roactiva, </w:t>
      </w:r>
      <w:r w:rsidR="003E63B7" w:rsidRPr="00FA1A60">
        <w:rPr>
          <w:rFonts w:ascii="Palatino Linotype" w:eastAsia="Palatino Linotype" w:hAnsi="Palatino Linotype" w:cs="Palatino Linotype"/>
        </w:rPr>
        <w:t xml:space="preserve">de los cuales 39 corresponden al ejercicio 2021 y 33 al ejercicio 2022, asimismo, mediante alcance al informe justificado remitió 2 formatos que corresponden al ejercicio 2021 y 2 formatos del ejercicio 2022, manifestando en el acto, que por un error humano se omitió remitir los mismos en el momento procesal oportuno, complementando así la información proporcionada en primera instancia, para hacer un total de 41 formularios del ejercicio 2021 y 35 del ejercicio 2022, que fueron entregados por los Sujetos Obligados que participaron en las Convocatorias para el Reconocimiento de Prácticas de Transparencia Proactiva de los ejercicios referidos, tal y como lo </w:t>
      </w:r>
      <w:r w:rsidR="00823B06" w:rsidRPr="00FA1A60">
        <w:rPr>
          <w:rFonts w:ascii="Palatino Linotype" w:eastAsia="Palatino Linotype" w:hAnsi="Palatino Linotype" w:cs="Palatino Linotype"/>
        </w:rPr>
        <w:t>refirió</w:t>
      </w:r>
      <w:r w:rsidR="003E63B7" w:rsidRPr="00FA1A60">
        <w:rPr>
          <w:rFonts w:ascii="Palatino Linotype" w:eastAsia="Palatino Linotype" w:hAnsi="Palatino Linotype" w:cs="Palatino Linotype"/>
        </w:rPr>
        <w:t xml:space="preserve"> en primera instancia la servidora pública habilitada competente, y como se desprende de los Dictámenes emitidos por el Jurado Calificador que también fueron remitidos.</w:t>
      </w:r>
    </w:p>
    <w:p w14:paraId="0378A1FF" w14:textId="5A2091C1" w:rsidR="003E63B7" w:rsidRPr="00FA1A60" w:rsidRDefault="003E63B7" w:rsidP="00E31126">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Por otro lado, respecto del </w:t>
      </w:r>
      <w:r w:rsidR="00E31126" w:rsidRPr="00FA1A60">
        <w:rPr>
          <w:rFonts w:ascii="Palatino Linotype" w:eastAsia="Palatino Linotype" w:hAnsi="Palatino Linotype" w:cs="Palatino Linotype"/>
        </w:rPr>
        <w:t xml:space="preserve">requerimiento marcado con el numeral 2, mediante el cual se solicitaron los </w:t>
      </w:r>
      <w:r w:rsidR="00E31126" w:rsidRPr="00FA1A60">
        <w:rPr>
          <w:rFonts w:ascii="Palatino Linotype" w:eastAsia="Palatino Linotype" w:hAnsi="Palatino Linotype" w:cs="Palatino Linotype"/>
          <w:i/>
        </w:rPr>
        <w:t>c</w:t>
      </w:r>
      <w:r w:rsidRPr="00FA1A60">
        <w:rPr>
          <w:rFonts w:ascii="Palatino Linotype" w:eastAsia="Palatino Linotype" w:hAnsi="Palatino Linotype" w:cs="Palatino Linotype"/>
          <w:i/>
        </w:rPr>
        <w:t xml:space="preserve">riterios que determinaron respecto a los lugares y calificaciones obtenidas de los Sujetos Obligados que participaron en </w:t>
      </w:r>
      <w:r w:rsidR="00E31126" w:rsidRPr="00FA1A60">
        <w:rPr>
          <w:rFonts w:ascii="Palatino Linotype" w:eastAsia="Palatino Linotype" w:hAnsi="Palatino Linotype" w:cs="Palatino Linotype"/>
          <w:i/>
        </w:rPr>
        <w:t xml:space="preserve">este tema en el año 2021 y 2022, </w:t>
      </w:r>
      <w:r w:rsidR="00E31126" w:rsidRPr="00FA1A60">
        <w:rPr>
          <w:rFonts w:ascii="Palatino Linotype" w:eastAsia="Palatino Linotype" w:hAnsi="Palatino Linotype" w:cs="Palatino Linotype"/>
        </w:rPr>
        <w:t xml:space="preserve">la Directora General de Transparencia, Acceso a la Información Pública y Gobierno </w:t>
      </w:r>
      <w:r w:rsidR="00E31126" w:rsidRPr="00FA1A60">
        <w:rPr>
          <w:rFonts w:ascii="Palatino Linotype" w:eastAsia="Palatino Linotype" w:hAnsi="Palatino Linotype" w:cs="Palatino Linotype"/>
        </w:rPr>
        <w:lastRenderedPageBreak/>
        <w:t>Abierto hizo entrega de los Dictámenes emitidos por el Jurado Calificador, como los documentos que dan cuenta de los puntajes obtenidos por cada una de las prácticas postuladas en los ejercicios 2021 y 2022, así como los Lineamientos para Determinar los Catálogos y Publicación de la Información de Interés Público; y para la Emisión y Evaluación de Políticas de Transparencia Proactiva, los Criterios de Evaluación de las Políticas de Transparencia Proactiva, y las Políticas de Transparencia Proactiva del Instituto de Transparencia, Acceso a la Información Pública y Protección de Datos Personales del Estado de México y Municipios, siendo de suma importancia mencionar que de conformidad con la etapa CUARTA del Proceso de Participación establecida en las Convocatorias respectivas, la Dirección General de Transparencia, Acceso a la Información Pública y Gobierno Abierto, verifica que las propuestas reúnan los requisitos señalados en esta convocatoria y en la normatividad correspondiente, de conformidad con los Criterios de Evaluación de las Políticas de Transparencia Proactiva emitidos por este Instituto; mientras que la etapa QUINTA establece que el Jurado Calificador, integrado por Titular de la Unidad de Investigación, así como por las personas Titulares de la Dirección General de Transparencia, Acceso a la Información Pública y Gobierno Abierto y de la Dirección General Jurídica y Verificación, la Dirección General de Capacitación y Certificación y la Dirección de Archivo, todas de este Instituto, determinará, de acuerdo con la selección que haya hecho la Dirección General de Transparencia, Acceso a la Información Pública y Gobierno Abierto, las prácticas que serán acreedoras al reconocimiento de Transparencia Proactiva.</w:t>
      </w:r>
    </w:p>
    <w:p w14:paraId="487D9002" w14:textId="1771C265" w:rsidR="00823B06" w:rsidRPr="00FA1A60" w:rsidRDefault="00823B06" w:rsidP="00540F32">
      <w:pPr>
        <w:autoSpaceDE w:val="0"/>
        <w:autoSpaceDN w:val="0"/>
        <w:adjustRightInd w:val="0"/>
        <w:spacing w:before="240" w:after="360" w:line="360" w:lineRule="auto"/>
        <w:ind w:right="18"/>
        <w:jc w:val="both"/>
        <w:rPr>
          <w:rFonts w:ascii="Palatino Linotype" w:hAnsi="Palatino Linotype" w:cs="Arial"/>
          <w:szCs w:val="28"/>
        </w:rPr>
      </w:pPr>
      <w:bookmarkStart w:id="7" w:name="_Hlk102515581"/>
      <w:r w:rsidRPr="00FA1A60">
        <w:rPr>
          <w:rFonts w:ascii="Palatino Linotype" w:hAnsi="Palatino Linotype" w:cs="Arial"/>
          <w:szCs w:val="28"/>
        </w:rPr>
        <w:lastRenderedPageBreak/>
        <w:t xml:space="preserve">Aunado a lo anterior, no obsta mencionar que de conformidad con el </w:t>
      </w:r>
      <w:proofErr w:type="spellStart"/>
      <w:r w:rsidRPr="00FA1A60">
        <w:rPr>
          <w:rFonts w:ascii="Palatino Linotype" w:hAnsi="Palatino Linotype" w:cs="Arial"/>
          <w:szCs w:val="28"/>
        </w:rPr>
        <w:t>articulo</w:t>
      </w:r>
      <w:proofErr w:type="spellEnd"/>
      <w:r w:rsidRPr="00FA1A60">
        <w:rPr>
          <w:rFonts w:ascii="Palatino Linotype" w:hAnsi="Palatino Linotype" w:cs="Arial"/>
          <w:szCs w:val="28"/>
        </w:rPr>
        <w:t xml:space="preserve"> 25 del Reglamento Interior del Instituto de Transparencia, Acceso a la Información Pública y Protección de Datos Personales del Estado de México y Municipios, la Dirección General de Transparencia, Acceso a la Información Pública y Gobierno Abierto, cuenta con las siguientes atribuciones</w:t>
      </w:r>
      <w:r w:rsidR="00177D09" w:rsidRPr="00FA1A60">
        <w:rPr>
          <w:rFonts w:ascii="Palatino Linotype" w:hAnsi="Palatino Linotype" w:cs="Arial"/>
          <w:szCs w:val="28"/>
        </w:rPr>
        <w:t>:</w:t>
      </w:r>
      <w:r w:rsidRPr="00FA1A60">
        <w:rPr>
          <w:rFonts w:ascii="Palatino Linotype" w:hAnsi="Palatino Linotype" w:cs="Arial"/>
          <w:szCs w:val="28"/>
        </w:rPr>
        <w:t xml:space="preserve"> </w:t>
      </w:r>
    </w:p>
    <w:p w14:paraId="6C022842" w14:textId="10049880" w:rsidR="00823B06" w:rsidRPr="00FA1A60" w:rsidRDefault="00823B06" w:rsidP="000D6B70">
      <w:pPr>
        <w:autoSpaceDE w:val="0"/>
        <w:autoSpaceDN w:val="0"/>
        <w:adjustRightInd w:val="0"/>
        <w:spacing w:before="120" w:after="120"/>
        <w:ind w:left="851" w:right="902"/>
        <w:jc w:val="both"/>
        <w:rPr>
          <w:rFonts w:ascii="Palatino Linotype" w:hAnsi="Palatino Linotype" w:cs="Arial"/>
          <w:i/>
          <w:iCs/>
          <w:sz w:val="22"/>
        </w:rPr>
      </w:pPr>
      <w:r w:rsidRPr="00FA1A60">
        <w:rPr>
          <w:rFonts w:ascii="Palatino Linotype" w:hAnsi="Palatino Linotype" w:cs="Arial"/>
          <w:i/>
          <w:iCs/>
          <w:sz w:val="22"/>
        </w:rPr>
        <w:t>“</w:t>
      </w:r>
      <w:r w:rsidRPr="00FA1A60">
        <w:rPr>
          <w:rFonts w:ascii="Palatino Linotype" w:hAnsi="Palatino Linotype"/>
          <w:b/>
          <w:bCs/>
          <w:i/>
          <w:iCs/>
          <w:sz w:val="22"/>
          <w:szCs w:val="22"/>
        </w:rPr>
        <w:t>Artículo 25</w:t>
      </w:r>
      <w:r w:rsidRPr="00FA1A60">
        <w:rPr>
          <w:rFonts w:ascii="Palatino Linotype" w:hAnsi="Palatino Linotype"/>
          <w:i/>
          <w:iCs/>
          <w:sz w:val="22"/>
          <w:szCs w:val="22"/>
        </w:rPr>
        <w:t>. Corresponde a la Dirección General de Transparencia, Acceso a la Información Pública y Gobierno Abierto ejercer las atribuciones siguientes:</w:t>
      </w:r>
    </w:p>
    <w:p w14:paraId="5A6924FA"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I</w:t>
      </w:r>
      <w:r w:rsidRPr="00FA1A60">
        <w:rPr>
          <w:rFonts w:ascii="Palatino Linotype" w:hAnsi="Palatino Linotype"/>
          <w:i/>
          <w:iCs/>
          <w:sz w:val="22"/>
          <w:szCs w:val="22"/>
        </w:rPr>
        <w:t xml:space="preserve">. Coadyuvar con los Sujetos Obligados y representantes de la sociedad, en la implementación de mecanismos de colaboración para la promoción de políticas y mecanismos de apertura gubernamental; </w:t>
      </w:r>
    </w:p>
    <w:p w14:paraId="6EB03F12"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II</w:t>
      </w:r>
      <w:r w:rsidRPr="00FA1A60">
        <w:rPr>
          <w:rFonts w:ascii="Palatino Linotype" w:hAnsi="Palatino Linotype"/>
          <w:i/>
          <w:iCs/>
          <w:sz w:val="22"/>
          <w:szCs w:val="22"/>
        </w:rPr>
        <w:t xml:space="preserve">. Recibir o allegarse de información para actualizar el Padrón de Sujetos Obligados y someterlo para la aprobación del Pleno; </w:t>
      </w:r>
    </w:p>
    <w:p w14:paraId="48B533CE"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III</w:t>
      </w:r>
      <w:r w:rsidRPr="00FA1A60">
        <w:rPr>
          <w:rFonts w:ascii="Palatino Linotype" w:hAnsi="Palatino Linotype"/>
          <w:i/>
          <w:iCs/>
          <w:sz w:val="22"/>
          <w:szCs w:val="22"/>
        </w:rPr>
        <w:t xml:space="preserve">. Elaborar los estudios, análisis y diagnósticos a los Sujetos Obligados en su cumplimiento a la Ley de Transparencia; </w:t>
      </w:r>
    </w:p>
    <w:p w14:paraId="64697D4E"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IV</w:t>
      </w:r>
      <w:r w:rsidRPr="00FA1A60">
        <w:rPr>
          <w:rFonts w:ascii="Palatino Linotype" w:hAnsi="Palatino Linotype"/>
          <w:i/>
          <w:iCs/>
          <w:sz w:val="22"/>
          <w:szCs w:val="22"/>
        </w:rPr>
        <w:t xml:space="preserve">. Actualizar el Directorio de Titulares, Comités de Transparencia, y de las o los Servidores Públicos Habilitados de cada Sujeto Obligado; </w:t>
      </w:r>
    </w:p>
    <w:p w14:paraId="17D15AC2"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V</w:t>
      </w:r>
      <w:r w:rsidRPr="00FA1A60">
        <w:rPr>
          <w:rFonts w:ascii="Palatino Linotype" w:hAnsi="Palatino Linotype"/>
          <w:i/>
          <w:iCs/>
          <w:sz w:val="22"/>
          <w:szCs w:val="22"/>
        </w:rPr>
        <w:t xml:space="preserve">. Orientar a los Sujetos Obligados en materia de transparencia y acceso a la información pública con excepción de la carga de información de las obligaciones de transparencia en los portales correspondientes; </w:t>
      </w:r>
    </w:p>
    <w:p w14:paraId="150621F9"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VI.</w:t>
      </w:r>
      <w:r w:rsidRPr="00FA1A60">
        <w:rPr>
          <w:rFonts w:ascii="Palatino Linotype" w:hAnsi="Palatino Linotype"/>
          <w:i/>
          <w:iCs/>
          <w:sz w:val="22"/>
          <w:szCs w:val="22"/>
        </w:rPr>
        <w:t xml:space="preserve"> Elaborar en coordinación con las áreas correspondientes el Programa de la Cultura de la Transparencia; </w:t>
      </w:r>
    </w:p>
    <w:p w14:paraId="7FC2C427"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VII.</w:t>
      </w:r>
      <w:r w:rsidRPr="00FA1A60">
        <w:rPr>
          <w:rFonts w:ascii="Palatino Linotype" w:hAnsi="Palatino Linotype"/>
          <w:i/>
          <w:iCs/>
          <w:sz w:val="22"/>
          <w:szCs w:val="22"/>
        </w:rPr>
        <w:t xml:space="preserve"> </w:t>
      </w:r>
      <w:r w:rsidRPr="00FA1A60">
        <w:rPr>
          <w:rFonts w:ascii="Palatino Linotype" w:hAnsi="Palatino Linotype"/>
          <w:b/>
          <w:bCs/>
          <w:i/>
          <w:iCs/>
          <w:sz w:val="22"/>
          <w:szCs w:val="22"/>
        </w:rPr>
        <w:t xml:space="preserve">Proponer al Pleno los mecanismos de colaboración y coordinación en conjunto con instituciones públicas y privadas de educación superior y media superior, para la generación de estudios e investigación, en materia de transparencia, acceso a la información, </w:t>
      </w:r>
      <w:r w:rsidRPr="00FA1A60">
        <w:rPr>
          <w:rFonts w:ascii="Palatino Linotype" w:hAnsi="Palatino Linotype"/>
          <w:b/>
          <w:bCs/>
          <w:i/>
          <w:iCs/>
          <w:sz w:val="22"/>
          <w:szCs w:val="22"/>
          <w:u w:val="single"/>
        </w:rPr>
        <w:t>transparencia proactiva</w:t>
      </w:r>
      <w:r w:rsidRPr="00FA1A60">
        <w:rPr>
          <w:rFonts w:ascii="Palatino Linotype" w:hAnsi="Palatino Linotype"/>
          <w:b/>
          <w:bCs/>
          <w:i/>
          <w:iCs/>
          <w:sz w:val="22"/>
          <w:szCs w:val="22"/>
        </w:rPr>
        <w:t xml:space="preserve"> y apertura gubernamental y rendición de cuentas, en el ámbito de sus competencias;</w:t>
      </w:r>
      <w:r w:rsidRPr="00FA1A60">
        <w:rPr>
          <w:rFonts w:ascii="Palatino Linotype" w:hAnsi="Palatino Linotype"/>
          <w:i/>
          <w:iCs/>
          <w:sz w:val="22"/>
          <w:szCs w:val="22"/>
        </w:rPr>
        <w:t xml:space="preserve"> </w:t>
      </w:r>
    </w:p>
    <w:p w14:paraId="12A395D9"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b/>
          <w:bCs/>
          <w:i/>
          <w:iCs/>
          <w:sz w:val="22"/>
          <w:szCs w:val="22"/>
        </w:rPr>
      </w:pPr>
      <w:r w:rsidRPr="00FA1A60">
        <w:rPr>
          <w:rFonts w:ascii="Palatino Linotype" w:hAnsi="Palatino Linotype"/>
          <w:b/>
          <w:bCs/>
          <w:i/>
          <w:iCs/>
          <w:sz w:val="22"/>
          <w:szCs w:val="22"/>
        </w:rPr>
        <w:lastRenderedPageBreak/>
        <w:t>VIII.</w:t>
      </w:r>
      <w:r w:rsidRPr="00FA1A60">
        <w:rPr>
          <w:rFonts w:ascii="Palatino Linotype" w:hAnsi="Palatino Linotype"/>
          <w:i/>
          <w:iCs/>
          <w:sz w:val="22"/>
          <w:szCs w:val="22"/>
        </w:rPr>
        <w:t xml:space="preserve"> </w:t>
      </w:r>
      <w:r w:rsidRPr="00FA1A60">
        <w:rPr>
          <w:rFonts w:ascii="Palatino Linotype" w:hAnsi="Palatino Linotype"/>
          <w:b/>
          <w:bCs/>
          <w:i/>
          <w:iCs/>
          <w:sz w:val="22"/>
          <w:szCs w:val="22"/>
        </w:rPr>
        <w:t xml:space="preserve">Generar vínculos institucionales con autoridades federales, estatales y municipales, organismos nacionales e internacionales y organizaciones sociales, para promover la participación ciudadana, la </w:t>
      </w:r>
      <w:r w:rsidRPr="00FA1A60">
        <w:rPr>
          <w:rFonts w:ascii="Palatino Linotype" w:hAnsi="Palatino Linotype"/>
          <w:b/>
          <w:bCs/>
          <w:i/>
          <w:iCs/>
          <w:sz w:val="22"/>
          <w:szCs w:val="22"/>
          <w:u w:val="single"/>
        </w:rPr>
        <w:t>transparencia proactiva</w:t>
      </w:r>
      <w:r w:rsidRPr="00FA1A60">
        <w:rPr>
          <w:rFonts w:ascii="Palatino Linotype" w:hAnsi="Palatino Linotype"/>
          <w:b/>
          <w:bCs/>
          <w:i/>
          <w:iCs/>
          <w:sz w:val="22"/>
          <w:szCs w:val="22"/>
        </w:rPr>
        <w:t>, acceso a la información, gobierno abierto y rendición de cuentas en el ámbito de sus competencias, que tengan por objeto la difusión de los temas de transparencia y derecho de acceso a la información pública;</w:t>
      </w:r>
    </w:p>
    <w:p w14:paraId="2158CBB7"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IX</w:t>
      </w:r>
      <w:r w:rsidRPr="00FA1A60">
        <w:rPr>
          <w:rFonts w:ascii="Palatino Linotype" w:hAnsi="Palatino Linotype"/>
          <w:i/>
          <w:iCs/>
          <w:sz w:val="22"/>
          <w:szCs w:val="22"/>
        </w:rPr>
        <w:t xml:space="preserve">. Vigilar el cumplimiento de los criterios que garanticen las condiciones de accesibilidad para que los grupos vulnerables puedan ejercer, en igualdad de circunstancias, sus derechos de acceso a la información y protección de datos personales; </w:t>
      </w:r>
    </w:p>
    <w:p w14:paraId="207EFCF6"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w:t>
      </w:r>
      <w:r w:rsidRPr="00FA1A60">
        <w:rPr>
          <w:rFonts w:ascii="Palatino Linotype" w:hAnsi="Palatino Linotype"/>
          <w:i/>
          <w:iCs/>
          <w:sz w:val="22"/>
          <w:szCs w:val="22"/>
        </w:rPr>
        <w:t xml:space="preserve">. Elaborar y proponer al Pleno los mecanismos y medios para que los municipios con población menor a 70,000 habitantes den cumplimiento a las obligaciones de trasparencia establecidas en las leyes de la materia; </w:t>
      </w:r>
    </w:p>
    <w:p w14:paraId="20DDEA2B"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XI</w:t>
      </w:r>
      <w:r w:rsidRPr="00FA1A60">
        <w:rPr>
          <w:rFonts w:ascii="Palatino Linotype" w:hAnsi="Palatino Linotype"/>
          <w:i/>
          <w:iCs/>
          <w:sz w:val="22"/>
          <w:szCs w:val="22"/>
        </w:rPr>
        <w:t xml:space="preserve">. Requerir a los Sujetos Obligados el listado de las personas físicas o jurídicas colectivas a las que, por cualquier motivo, asignaron recursos públicos o en los términos de las disposiciones jurídicas aplicables, realicen actos de autoridad, para que en su caso, elabore el padrón correspondiente; </w:t>
      </w:r>
    </w:p>
    <w:p w14:paraId="02D51802"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XII.</w:t>
      </w:r>
      <w:r w:rsidRPr="00FA1A60">
        <w:rPr>
          <w:rFonts w:ascii="Palatino Linotype" w:hAnsi="Palatino Linotype"/>
          <w:i/>
          <w:iCs/>
          <w:sz w:val="22"/>
          <w:szCs w:val="22"/>
        </w:rPr>
        <w:t xml:space="preserve"> Llevar a cabo el procedimiento correspondiente para determinar el catálogo de información adicional, por considerarse de interés público que deberán publicar los Sujetos Obligados, así como las acciones conducentes e informar al Pleno; </w:t>
      </w:r>
    </w:p>
    <w:p w14:paraId="501D7CD7" w14:textId="77777777" w:rsidR="000D6B70"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XIII</w:t>
      </w:r>
      <w:r w:rsidRPr="00FA1A60">
        <w:rPr>
          <w:rFonts w:ascii="Palatino Linotype" w:hAnsi="Palatino Linotype"/>
          <w:i/>
          <w:iCs/>
          <w:sz w:val="22"/>
          <w:szCs w:val="22"/>
        </w:rPr>
        <w:t xml:space="preserve">. Requerir a los Sujetos Obligados el Programa de sistematización y actualización de la información y dar el seguimiento correspondiente; </w:t>
      </w:r>
    </w:p>
    <w:p w14:paraId="75D00EAF" w14:textId="4406B368" w:rsidR="00823B06" w:rsidRPr="00FA1A60" w:rsidRDefault="00823B06"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u w:val="single"/>
        </w:rPr>
        <w:t>XIV. Implementar las políticas de transparencia proactiva, así como los criterios para evaluar su efectividad al interior del Instituto</w:t>
      </w:r>
      <w:r w:rsidRPr="00FA1A60">
        <w:rPr>
          <w:rFonts w:ascii="Palatino Linotype" w:hAnsi="Palatino Linotype"/>
          <w:i/>
          <w:iCs/>
          <w:sz w:val="22"/>
          <w:szCs w:val="22"/>
        </w:rPr>
        <w:t>;</w:t>
      </w:r>
    </w:p>
    <w:p w14:paraId="5D71DFEF"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u w:val="single"/>
        </w:rPr>
        <w:t>XV. Llevar a cabo el procedimiento correspondiente para evaluar a los Sujetos Obligados en el marco de las políticas de transparencia proactiva</w:t>
      </w:r>
      <w:r w:rsidRPr="00FA1A60">
        <w:rPr>
          <w:rFonts w:ascii="Palatino Linotype" w:hAnsi="Palatino Linotype"/>
          <w:i/>
          <w:iCs/>
          <w:sz w:val="22"/>
          <w:szCs w:val="22"/>
        </w:rPr>
        <w:t xml:space="preserve">; </w:t>
      </w:r>
    </w:p>
    <w:p w14:paraId="09262163"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XVI</w:t>
      </w:r>
      <w:r w:rsidRPr="00FA1A60">
        <w:rPr>
          <w:rFonts w:ascii="Palatino Linotype" w:hAnsi="Palatino Linotype"/>
          <w:i/>
          <w:iCs/>
          <w:sz w:val="22"/>
          <w:szCs w:val="22"/>
        </w:rPr>
        <w:t xml:space="preserve">. Fungir como enlace en materia de Transparencia con los Sujetos Obligados; </w:t>
      </w:r>
    </w:p>
    <w:p w14:paraId="7E0F36BD"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b/>
          <w:bCs/>
          <w:i/>
          <w:iCs/>
          <w:sz w:val="22"/>
          <w:szCs w:val="22"/>
          <w:u w:val="single"/>
        </w:rPr>
      </w:pPr>
      <w:r w:rsidRPr="00FA1A60">
        <w:rPr>
          <w:rFonts w:ascii="Palatino Linotype" w:hAnsi="Palatino Linotype"/>
          <w:b/>
          <w:bCs/>
          <w:i/>
          <w:iCs/>
          <w:sz w:val="22"/>
          <w:szCs w:val="22"/>
          <w:u w:val="single"/>
        </w:rPr>
        <w:lastRenderedPageBreak/>
        <w:t xml:space="preserve">XVII. Proponer y recopilar prácticas de transparencia, transparencia proactiva, apertura gubernamental, rendición de cuentas y en su caso implementarlas con los Sujetos Obligados; </w:t>
      </w:r>
    </w:p>
    <w:p w14:paraId="1826B750"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XVII</w:t>
      </w:r>
      <w:r w:rsidRPr="00FA1A60">
        <w:rPr>
          <w:rFonts w:ascii="Palatino Linotype" w:hAnsi="Palatino Linotype"/>
          <w:i/>
          <w:iCs/>
          <w:sz w:val="22"/>
          <w:szCs w:val="22"/>
        </w:rPr>
        <w:t xml:space="preserve">I. </w:t>
      </w:r>
      <w:r w:rsidRPr="00FA1A60">
        <w:rPr>
          <w:rFonts w:ascii="Palatino Linotype" w:hAnsi="Palatino Linotype"/>
          <w:b/>
          <w:bCs/>
          <w:i/>
          <w:iCs/>
          <w:sz w:val="22"/>
          <w:szCs w:val="22"/>
          <w:u w:val="single"/>
        </w:rPr>
        <w:t>Impulsar el desarrollo, implementación, orientación y evaluación de prácticas de transparencia proactiva en los Sujetos Obligados</w:t>
      </w:r>
      <w:r w:rsidRPr="00FA1A60">
        <w:rPr>
          <w:rFonts w:ascii="Palatino Linotype" w:hAnsi="Palatino Linotype"/>
          <w:i/>
          <w:iCs/>
          <w:sz w:val="22"/>
          <w:szCs w:val="22"/>
        </w:rPr>
        <w:t xml:space="preserve">, para identificar necesidades de información de sectores de la sociedad, mejorando los accesos a trámites y servicios, para optimizar la toma de decisiones; </w:t>
      </w:r>
    </w:p>
    <w:p w14:paraId="34A29D4F"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u w:val="single"/>
        </w:rPr>
        <w:t>XIX. Brindar acompañamiento a los sujetos obligados que así lo requieran en la formulación de prácticas de trasparencia proactiva</w:t>
      </w:r>
      <w:r w:rsidRPr="00FA1A60">
        <w:rPr>
          <w:rFonts w:ascii="Palatino Linotype" w:hAnsi="Palatino Linotype"/>
          <w:i/>
          <w:iCs/>
          <w:sz w:val="22"/>
          <w:szCs w:val="22"/>
        </w:rPr>
        <w:t xml:space="preserve"> y la publicación respectiva en los medios y formatos que más convengan, según el sector de la población a la que va dirigida; </w:t>
      </w:r>
    </w:p>
    <w:p w14:paraId="22C409D0"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u w:val="single"/>
        </w:rPr>
        <w:t>XX. Coadyuvar con las y os titulares de las unidades de transparencia que así lo requieran para integrar documentos analíticos de los temas prioritarios para lograr sus objetivos en temas de Transparencia Proactiva</w:t>
      </w:r>
      <w:r w:rsidRPr="00FA1A60">
        <w:rPr>
          <w:rFonts w:ascii="Palatino Linotype" w:hAnsi="Palatino Linotype"/>
          <w:i/>
          <w:iCs/>
          <w:sz w:val="22"/>
          <w:szCs w:val="22"/>
        </w:rPr>
        <w:t xml:space="preserve">, apertura gubernamental y rendición de cuentas; </w:t>
      </w:r>
    </w:p>
    <w:p w14:paraId="3F964C88"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XXI.</w:t>
      </w:r>
      <w:r w:rsidRPr="00FA1A60">
        <w:rPr>
          <w:rFonts w:ascii="Palatino Linotype" w:hAnsi="Palatino Linotype"/>
          <w:i/>
          <w:iCs/>
          <w:sz w:val="22"/>
          <w:szCs w:val="22"/>
        </w:rPr>
        <w:t xml:space="preserve"> Dar seguimiento a las políticas públicas que en ámbito de sus atribuciones sean asignadas o en su caso, desarrollar aquellas necesarias para el cumplimiento de los objetivos de la Dirección General; </w:t>
      </w:r>
    </w:p>
    <w:p w14:paraId="7B0E48CE" w14:textId="77777777" w:rsidR="000D6B70" w:rsidRPr="00FA1A60" w:rsidRDefault="000D6B70" w:rsidP="000D6B70">
      <w:pPr>
        <w:autoSpaceDE w:val="0"/>
        <w:autoSpaceDN w:val="0"/>
        <w:adjustRightInd w:val="0"/>
        <w:spacing w:before="120" w:after="120"/>
        <w:ind w:left="1134" w:right="902"/>
        <w:jc w:val="both"/>
        <w:rPr>
          <w:rFonts w:ascii="Palatino Linotype" w:hAnsi="Palatino Linotype"/>
          <w:i/>
          <w:iCs/>
          <w:sz w:val="22"/>
          <w:szCs w:val="22"/>
        </w:rPr>
      </w:pPr>
      <w:r w:rsidRPr="00FA1A60">
        <w:rPr>
          <w:rFonts w:ascii="Palatino Linotype" w:hAnsi="Palatino Linotype"/>
          <w:b/>
          <w:bCs/>
          <w:i/>
          <w:iCs/>
          <w:sz w:val="22"/>
          <w:szCs w:val="22"/>
        </w:rPr>
        <w:t xml:space="preserve">XXII. </w:t>
      </w:r>
      <w:r w:rsidRPr="00FA1A60">
        <w:rPr>
          <w:rFonts w:ascii="Palatino Linotype" w:hAnsi="Palatino Linotype"/>
          <w:b/>
          <w:bCs/>
          <w:i/>
          <w:iCs/>
          <w:sz w:val="22"/>
          <w:szCs w:val="22"/>
          <w:u w:val="single"/>
        </w:rPr>
        <w:t>Elaborar y someter a consideración de la Comisión de Trasparencia y Acceso a la Información Pública y de la Comisión de Gobierno Abierto y Trasparencia Proactiva</w:t>
      </w:r>
      <w:r w:rsidRPr="00FA1A60">
        <w:rPr>
          <w:rFonts w:ascii="Palatino Linotype" w:hAnsi="Palatino Linotype"/>
          <w:b/>
          <w:bCs/>
          <w:i/>
          <w:iCs/>
          <w:sz w:val="22"/>
          <w:szCs w:val="22"/>
        </w:rPr>
        <w:t>, los programas anuales de trabajo,</w:t>
      </w:r>
      <w:r w:rsidRPr="00FA1A60">
        <w:rPr>
          <w:rFonts w:ascii="Palatino Linotype" w:hAnsi="Palatino Linotype"/>
          <w:i/>
          <w:iCs/>
          <w:sz w:val="22"/>
          <w:szCs w:val="22"/>
        </w:rPr>
        <w:t xml:space="preserve"> así como desarrollar las acciones conducentes respecto de los proyectos que en dichos ámbitos se generen; y </w:t>
      </w:r>
    </w:p>
    <w:p w14:paraId="11FC0CB2" w14:textId="39FCF0D9" w:rsidR="00823B06" w:rsidRPr="00FA1A60" w:rsidRDefault="000D6B70" w:rsidP="000D6B70">
      <w:pPr>
        <w:autoSpaceDE w:val="0"/>
        <w:autoSpaceDN w:val="0"/>
        <w:adjustRightInd w:val="0"/>
        <w:spacing w:before="120" w:after="120"/>
        <w:ind w:left="1134" w:right="902"/>
        <w:jc w:val="both"/>
        <w:rPr>
          <w:rFonts w:ascii="Palatino Linotype" w:hAnsi="Palatino Linotype" w:cs="Arial"/>
          <w:i/>
          <w:iCs/>
          <w:sz w:val="22"/>
        </w:rPr>
      </w:pPr>
      <w:r w:rsidRPr="00FA1A60">
        <w:rPr>
          <w:rFonts w:ascii="Palatino Linotype" w:hAnsi="Palatino Linotype"/>
          <w:i/>
          <w:iCs/>
          <w:sz w:val="22"/>
          <w:szCs w:val="22"/>
        </w:rPr>
        <w:t>XXIII. Las demás que señalen este Reglamento, las disposiciones legales y administrativas aplicables y aquéllas instruidas por el Pleno.”</w:t>
      </w:r>
    </w:p>
    <w:p w14:paraId="7857DC26" w14:textId="08192A6F" w:rsidR="00540F32" w:rsidRPr="00FA1A60" w:rsidRDefault="00540F32" w:rsidP="00540F32">
      <w:pPr>
        <w:autoSpaceDE w:val="0"/>
        <w:autoSpaceDN w:val="0"/>
        <w:adjustRightInd w:val="0"/>
        <w:spacing w:before="240" w:after="360" w:line="360" w:lineRule="auto"/>
        <w:ind w:right="18"/>
        <w:jc w:val="both"/>
        <w:rPr>
          <w:rFonts w:ascii="Palatino Linotype" w:hAnsi="Palatino Linotype" w:cs="Arial"/>
          <w:bCs/>
          <w:szCs w:val="22"/>
        </w:rPr>
      </w:pPr>
      <w:r w:rsidRPr="00FA1A60">
        <w:rPr>
          <w:rFonts w:ascii="Palatino Linotype" w:hAnsi="Palatino Linotype" w:cs="Arial"/>
          <w:szCs w:val="28"/>
        </w:rPr>
        <w:t xml:space="preserve">Por lo que, al haber existido </w:t>
      </w:r>
      <w:r w:rsidRPr="00FA1A60">
        <w:rPr>
          <w:rFonts w:ascii="Palatino Linotype" w:hAnsi="Palatino Linotype" w:cs="Arial"/>
          <w:bCs/>
          <w:szCs w:val="22"/>
        </w:rPr>
        <w:t xml:space="preserve">un pronunciamiento por parte del </w:t>
      </w:r>
      <w:r w:rsidRPr="00FA1A60">
        <w:rPr>
          <w:rFonts w:ascii="Palatino Linotype" w:hAnsi="Palatino Linotype" w:cs="Arial"/>
          <w:b/>
          <w:szCs w:val="22"/>
        </w:rPr>
        <w:t xml:space="preserve">Sujeto Obligado, </w:t>
      </w:r>
      <w:r w:rsidRPr="00FA1A60">
        <w:rPr>
          <w:rFonts w:ascii="Palatino Linotype" w:hAnsi="Palatino Linotype" w:cs="Arial"/>
          <w:szCs w:val="22"/>
        </w:rPr>
        <w:t xml:space="preserve">a través del área competente </w:t>
      </w:r>
      <w:r w:rsidRPr="00FA1A60">
        <w:rPr>
          <w:rFonts w:ascii="Palatino Linotype" w:hAnsi="Palatino Linotype" w:cs="Arial"/>
          <w:bCs/>
          <w:szCs w:val="22"/>
        </w:rPr>
        <w:t xml:space="preserve">respecto de la materia de la solicitud, este Organismo Garante no está facultado para manifestarse sobre la veracidad de lo expresado por </w:t>
      </w:r>
      <w:r w:rsidRPr="00FA1A60">
        <w:rPr>
          <w:rFonts w:ascii="Palatino Linotype" w:hAnsi="Palatino Linotype" w:cs="Arial"/>
          <w:bCs/>
          <w:szCs w:val="22"/>
        </w:rPr>
        <w:lastRenderedPageBreak/>
        <w:t>parte de este, pues no existe precepto legal alguno en la Ley de la materia que lo faculte para ello.</w:t>
      </w:r>
    </w:p>
    <w:p w14:paraId="5DA5A6EC" w14:textId="77777777" w:rsidR="00540F32" w:rsidRPr="00FA1A60" w:rsidRDefault="00540F32" w:rsidP="00540F32">
      <w:pPr>
        <w:autoSpaceDE w:val="0"/>
        <w:autoSpaceDN w:val="0"/>
        <w:adjustRightInd w:val="0"/>
        <w:spacing w:before="240" w:after="360" w:line="360" w:lineRule="auto"/>
        <w:ind w:right="18"/>
        <w:jc w:val="both"/>
        <w:rPr>
          <w:rFonts w:ascii="Palatino Linotype" w:hAnsi="Palatino Linotype"/>
        </w:rPr>
      </w:pPr>
      <w:r w:rsidRPr="00FA1A60">
        <w:rPr>
          <w:rFonts w:ascii="Palatino Linotype" w:hAnsi="Palatino Linotype" w:cs="Arial"/>
          <w:bCs/>
          <w:szCs w:val="22"/>
        </w:rPr>
        <w:t>L</w:t>
      </w:r>
      <w:r w:rsidRPr="00FA1A60">
        <w:rPr>
          <w:rFonts w:ascii="Palatino Linotype" w:hAnsi="Palatino Linotype" w:cs="Arial"/>
        </w:rPr>
        <w:t>o anterior se sustenta con lo plasmado en el criterio</w:t>
      </w:r>
      <w:r w:rsidRPr="00FA1A6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7019529" w14:textId="77777777" w:rsidR="00540F32" w:rsidRPr="00FA1A60" w:rsidRDefault="00540F32" w:rsidP="00540F32">
      <w:pPr>
        <w:spacing w:before="240" w:after="240"/>
        <w:ind w:left="993" w:right="1041"/>
        <w:jc w:val="both"/>
        <w:rPr>
          <w:rFonts w:ascii="Palatino Linotype" w:hAnsi="Palatino Linotype"/>
          <w:i/>
          <w:sz w:val="22"/>
          <w:szCs w:val="22"/>
        </w:rPr>
      </w:pPr>
      <w:r w:rsidRPr="00FA1A60">
        <w:rPr>
          <w:rFonts w:ascii="Palatino Linotype" w:hAnsi="Palatino Linotype"/>
          <w:i/>
          <w:sz w:val="22"/>
          <w:szCs w:val="22"/>
        </w:rPr>
        <w:t>“</w:t>
      </w:r>
      <w:r w:rsidRPr="00FA1A60">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A1A60">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7"/>
    <w:p w14:paraId="334DEF52"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En esta tesitura, se estima que la información remitida por el </w:t>
      </w:r>
      <w:r w:rsidRPr="00FA1A60">
        <w:rPr>
          <w:rFonts w:ascii="Palatino Linotype" w:eastAsia="Palatino Linotype" w:hAnsi="Palatino Linotype" w:cs="Palatino Linotype"/>
          <w:b/>
          <w:bCs/>
        </w:rPr>
        <w:t>Sujeto Obligado</w:t>
      </w:r>
      <w:r w:rsidRPr="00FA1A60">
        <w:rPr>
          <w:rFonts w:ascii="Palatino Linotype" w:eastAsia="Palatino Linotype" w:hAnsi="Palatino Linotype" w:cs="Palatino Linotype"/>
        </w:rPr>
        <w:t xml:space="preserve"> </w:t>
      </w:r>
      <w:r w:rsidR="00E31126" w:rsidRPr="00FA1A60">
        <w:rPr>
          <w:rFonts w:ascii="Palatino Linotype" w:eastAsia="Palatino Linotype" w:hAnsi="Palatino Linotype" w:cs="Palatino Linotype"/>
        </w:rPr>
        <w:t>en respuesta</w:t>
      </w:r>
      <w:r w:rsidRPr="00FA1A60">
        <w:rPr>
          <w:rFonts w:ascii="Palatino Linotype" w:eastAsia="Palatino Linotype" w:hAnsi="Palatino Linotype" w:cs="Palatino Linotype"/>
        </w:rPr>
        <w:t>,</w:t>
      </w:r>
      <w:r w:rsidR="00E31126" w:rsidRPr="00FA1A60">
        <w:rPr>
          <w:rFonts w:ascii="Palatino Linotype" w:eastAsia="Palatino Linotype" w:hAnsi="Palatino Linotype" w:cs="Palatino Linotype"/>
        </w:rPr>
        <w:t xml:space="preserve"> así como en alcance al </w:t>
      </w:r>
      <w:r w:rsidRPr="00FA1A60">
        <w:rPr>
          <w:rFonts w:ascii="Palatino Linotype" w:eastAsia="Palatino Linotype" w:hAnsi="Palatino Linotype" w:cs="Palatino Linotype"/>
        </w:rPr>
        <w:t xml:space="preserve">informe justificado es suficiente para tener por atendido el derecho de acceso a la información de la persona solicitante, máxime que misma se hizo de su conocimiento con la finalidad de que manifestara lo que a su derecho estimara conveniente, sin que ejerciera dicha prerrogativa hasta el momento </w:t>
      </w:r>
      <w:r w:rsidRPr="00FA1A60">
        <w:rPr>
          <w:rFonts w:ascii="Palatino Linotype" w:eastAsia="Palatino Linotype" w:hAnsi="Palatino Linotype" w:cs="Palatino Linotype"/>
        </w:rPr>
        <w:lastRenderedPageBreak/>
        <w:t>de decretar el cierre de instrucción correspondiente, por lo que se entiende que con la información remitida ha quedado satisfecha.</w:t>
      </w:r>
    </w:p>
    <w:p w14:paraId="12BC1DFF"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Con base en lo expuesto, se estima que el presente caso actualiza el supuesto previsto en el artículo 192, fracción III de la Ley de Transparencia y Acceso a la Información Pública del Estado de México y Municipios vigente, a saber:</w:t>
      </w:r>
    </w:p>
    <w:p w14:paraId="55D77522" w14:textId="77777777" w:rsidR="000F61D8" w:rsidRPr="00FA1A60" w:rsidRDefault="000F61D8" w:rsidP="000F61D8">
      <w:pPr>
        <w:spacing w:before="240" w:after="240"/>
        <w:ind w:left="851" w:right="900"/>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i/>
          <w:sz w:val="22"/>
          <w:szCs w:val="22"/>
        </w:rPr>
        <w:t>“</w:t>
      </w:r>
      <w:r w:rsidRPr="00FA1A60">
        <w:rPr>
          <w:rFonts w:ascii="Palatino Linotype" w:eastAsia="Palatino Linotype" w:hAnsi="Palatino Linotype" w:cs="Palatino Linotype"/>
          <w:b/>
          <w:i/>
          <w:sz w:val="22"/>
          <w:szCs w:val="22"/>
        </w:rPr>
        <w:t>Artículo 192</w:t>
      </w:r>
      <w:r w:rsidRPr="00FA1A60">
        <w:rPr>
          <w:rFonts w:ascii="Palatino Linotype" w:eastAsia="Palatino Linotype" w:hAnsi="Palatino Linotype" w:cs="Palatino Linotype"/>
          <w:i/>
          <w:sz w:val="22"/>
          <w:szCs w:val="22"/>
        </w:rPr>
        <w:t xml:space="preserve">. </w:t>
      </w:r>
      <w:r w:rsidRPr="00FA1A60">
        <w:rPr>
          <w:rFonts w:ascii="Palatino Linotype" w:eastAsia="Palatino Linotype" w:hAnsi="Palatino Linotype" w:cs="Palatino Linotype"/>
          <w:b/>
          <w:i/>
          <w:sz w:val="22"/>
          <w:szCs w:val="22"/>
        </w:rPr>
        <w:t>El recurso será sobreseído</w:t>
      </w:r>
      <w:r w:rsidRPr="00FA1A60">
        <w:rPr>
          <w:rFonts w:ascii="Palatino Linotype" w:eastAsia="Palatino Linotype" w:hAnsi="Palatino Linotype" w:cs="Palatino Linotype"/>
          <w:i/>
          <w:sz w:val="22"/>
          <w:szCs w:val="22"/>
        </w:rPr>
        <w:t xml:space="preserve">, </w:t>
      </w:r>
      <w:r w:rsidRPr="00FA1A60">
        <w:rPr>
          <w:rFonts w:ascii="Palatino Linotype" w:eastAsia="Palatino Linotype" w:hAnsi="Palatino Linotype" w:cs="Palatino Linotype"/>
          <w:b/>
          <w:i/>
          <w:sz w:val="22"/>
          <w:szCs w:val="22"/>
        </w:rPr>
        <w:t>en todo o en parte,</w:t>
      </w:r>
      <w:r w:rsidRPr="00FA1A60">
        <w:rPr>
          <w:rFonts w:ascii="Palatino Linotype" w:eastAsia="Palatino Linotype" w:hAnsi="Palatino Linotype" w:cs="Palatino Linotype"/>
          <w:i/>
          <w:sz w:val="22"/>
          <w:szCs w:val="22"/>
        </w:rPr>
        <w:t xml:space="preserve"> </w:t>
      </w:r>
      <w:r w:rsidRPr="00FA1A60">
        <w:rPr>
          <w:rFonts w:ascii="Palatino Linotype" w:eastAsia="Palatino Linotype" w:hAnsi="Palatino Linotype" w:cs="Palatino Linotype"/>
          <w:b/>
          <w:i/>
          <w:sz w:val="22"/>
          <w:szCs w:val="22"/>
        </w:rPr>
        <w:t>cuando una vez admitido, se actualicen alguno de los siguientes supuestos</w:t>
      </w:r>
      <w:r w:rsidRPr="00FA1A60">
        <w:rPr>
          <w:rFonts w:ascii="Palatino Linotype" w:eastAsia="Palatino Linotype" w:hAnsi="Palatino Linotype" w:cs="Palatino Linotype"/>
          <w:i/>
          <w:sz w:val="22"/>
          <w:szCs w:val="22"/>
        </w:rPr>
        <w:t xml:space="preserve">: </w:t>
      </w:r>
    </w:p>
    <w:p w14:paraId="45B58DB7" w14:textId="77777777" w:rsidR="000F61D8" w:rsidRPr="00FA1A60" w:rsidRDefault="000F61D8" w:rsidP="000F61D8">
      <w:pPr>
        <w:spacing w:before="240" w:after="240"/>
        <w:ind w:left="1134" w:right="900"/>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i/>
          <w:sz w:val="22"/>
          <w:szCs w:val="22"/>
        </w:rPr>
        <w:t>(…)</w:t>
      </w:r>
    </w:p>
    <w:p w14:paraId="610A82B1" w14:textId="77777777" w:rsidR="000F61D8" w:rsidRPr="00FA1A60" w:rsidRDefault="000F61D8" w:rsidP="000F61D8">
      <w:pPr>
        <w:spacing w:before="240" w:after="240"/>
        <w:ind w:left="1134" w:right="900"/>
        <w:jc w:val="both"/>
        <w:rPr>
          <w:rFonts w:ascii="Palatino Linotype" w:eastAsia="Palatino Linotype" w:hAnsi="Palatino Linotype" w:cs="Palatino Linotype"/>
          <w:i/>
          <w:sz w:val="22"/>
          <w:szCs w:val="22"/>
        </w:rPr>
      </w:pPr>
      <w:r w:rsidRPr="00FA1A60">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FA1A60">
        <w:rPr>
          <w:rFonts w:ascii="Palatino Linotype" w:eastAsia="Palatino Linotype" w:hAnsi="Palatino Linotype" w:cs="Palatino Linotype"/>
          <w:i/>
          <w:sz w:val="22"/>
          <w:szCs w:val="22"/>
        </w:rPr>
        <w:t>”</w:t>
      </w:r>
    </w:p>
    <w:p w14:paraId="6B4498A4"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De lo establecido en el precepto legal citado se advierte que el sobreseimiento del recurso de revisión procede en los siguientes casos</w:t>
      </w:r>
    </w:p>
    <w:p w14:paraId="41A0AB56" w14:textId="77777777" w:rsidR="000F61D8" w:rsidRPr="00FA1A60" w:rsidRDefault="000F61D8" w:rsidP="000F61D8">
      <w:pPr>
        <w:spacing w:before="240" w:after="240" w:line="360" w:lineRule="auto"/>
        <w:ind w:left="284"/>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a) Cuando el sujeto obligado modifique el acto impugnado. </w:t>
      </w:r>
    </w:p>
    <w:p w14:paraId="4BD9E17A" w14:textId="77777777" w:rsidR="000F61D8" w:rsidRPr="00FA1A60" w:rsidRDefault="000F61D8" w:rsidP="000F61D8">
      <w:pPr>
        <w:spacing w:before="240" w:after="240" w:line="360" w:lineRule="auto"/>
        <w:ind w:left="284"/>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b) Cuando el sujeto obligado revoque el acto impugnado; </w:t>
      </w:r>
    </w:p>
    <w:p w14:paraId="00ABD9FE"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Quedando en ambos casos el acto combatido sin materia o sin efectos.</w:t>
      </w:r>
    </w:p>
    <w:p w14:paraId="5BD6A27D" w14:textId="77777777" w:rsidR="000F61D8" w:rsidRPr="00FA1A60" w:rsidRDefault="000F61D8" w:rsidP="000F61D8">
      <w:pPr>
        <w:spacing w:before="240" w:after="240" w:line="360" w:lineRule="auto"/>
        <w:jc w:val="both"/>
        <w:rPr>
          <w:rFonts w:ascii="Palatino Linotype" w:eastAsia="Palatino Linotype" w:hAnsi="Palatino Linotype" w:cs="Palatino Linotype"/>
          <w:b/>
        </w:rPr>
      </w:pPr>
      <w:r w:rsidRPr="00FA1A60">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FA1A60">
        <w:rPr>
          <w:rFonts w:ascii="Palatino Linotype" w:eastAsia="Palatino Linotype" w:hAnsi="Palatino Linotype" w:cs="Palatino Linotype"/>
          <w:b/>
        </w:rPr>
        <w:t>Recurrente.</w:t>
      </w:r>
    </w:p>
    <w:p w14:paraId="54247E9C"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lastRenderedPageBreak/>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171A0CE0"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5D6CBDEC"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2FBEEAB1"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De lo hasta aquí expuesto, resulta evidente que 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xml:space="preserve"> modificó la respuesta a la solicitud de acceso a la información pública de la persona solicitante, aunque ello haya sido de manera posterior a su respuesta inicial, información que se hizo del conocimiento de 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con la finalidad de que manifestara lo que a su derecho estimara conveniente, sin que obre constancia en el expediente electrónico de que hubiera ejercido dicha prerrogativa, presumiendo en consecuencia, que dicha información satisface su pretensión.</w:t>
      </w:r>
    </w:p>
    <w:p w14:paraId="4A3E479D" w14:textId="14B87E74"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Por tal motivo, debe tenerse que</w:t>
      </w:r>
      <w:r w:rsidR="00177D09" w:rsidRPr="00FA1A60">
        <w:rPr>
          <w:rFonts w:ascii="Palatino Linotype" w:eastAsia="Palatino Linotype" w:hAnsi="Palatino Linotype" w:cs="Palatino Linotype"/>
        </w:rPr>
        <w:t>,</w:t>
      </w:r>
      <w:r w:rsidRPr="00FA1A60">
        <w:rPr>
          <w:rFonts w:ascii="Palatino Linotype" w:eastAsia="Palatino Linotype" w:hAnsi="Palatino Linotype" w:cs="Palatino Linotype"/>
        </w:rPr>
        <w:t xml:space="preserve"> con lo entregado por 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xml:space="preserve"> se satisface la solici</w:t>
      </w:r>
      <w:r w:rsidR="000B3D62" w:rsidRPr="00FA1A60">
        <w:rPr>
          <w:rFonts w:ascii="Palatino Linotype" w:eastAsia="Palatino Linotype" w:hAnsi="Palatino Linotype" w:cs="Palatino Linotype"/>
        </w:rPr>
        <w:t>tud planteada, con lo cual quedó</w:t>
      </w:r>
      <w:r w:rsidRPr="00FA1A60">
        <w:rPr>
          <w:rFonts w:ascii="Palatino Linotype" w:eastAsia="Palatino Linotype" w:hAnsi="Palatino Linotype" w:cs="Palatino Linotype"/>
        </w:rPr>
        <w:t xml:space="preserve"> sin materia el presente recurso de </w:t>
      </w:r>
      <w:r w:rsidRPr="00FA1A60">
        <w:rPr>
          <w:rFonts w:ascii="Palatino Linotype" w:eastAsia="Palatino Linotype" w:hAnsi="Palatino Linotype" w:cs="Palatino Linotype"/>
        </w:rPr>
        <w:lastRenderedPageBreak/>
        <w:t xml:space="preserve">revisión, actualizándose entonces, la causal prevista en la fracción III del artículo 192 de la Ley de la Materia vigente en la Entidad, antes transcrita. </w:t>
      </w:r>
    </w:p>
    <w:p w14:paraId="524E3E88" w14:textId="77777777" w:rsidR="000F61D8" w:rsidRPr="00FA1A60" w:rsidRDefault="000F61D8" w:rsidP="000F61D8">
      <w:pPr>
        <w:spacing w:before="240" w:after="240" w:line="360" w:lineRule="auto"/>
        <w:jc w:val="both"/>
        <w:rPr>
          <w:rFonts w:ascii="Palatino Linotype" w:eastAsia="Palatino Linotype" w:hAnsi="Palatino Linotype" w:cs="Palatino Linotype"/>
          <w:b/>
        </w:rPr>
      </w:pPr>
      <w:r w:rsidRPr="00FA1A60">
        <w:rPr>
          <w:rFonts w:ascii="Palatino Linotype" w:eastAsia="Palatino Linotype" w:hAnsi="Palatino Linotype" w:cs="Palatino Linotype"/>
        </w:rPr>
        <w:t xml:space="preserve">Siendo el </w:t>
      </w:r>
      <w:r w:rsidRPr="00FA1A60">
        <w:rPr>
          <w:rFonts w:ascii="Palatino Linotype" w:eastAsia="Palatino Linotype" w:hAnsi="Palatino Linotype" w:cs="Palatino Linotype"/>
          <w:i/>
        </w:rPr>
        <w:t>sobreseimiento</w:t>
      </w:r>
      <w:r w:rsidRPr="00FA1A60">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A1A60">
        <w:rPr>
          <w:rFonts w:ascii="Palatino Linotype" w:eastAsia="Palatino Linotype" w:hAnsi="Palatino Linotype" w:cs="Palatino Linotype"/>
          <w:b/>
        </w:rPr>
        <w:t>SOBRESEIMIENTO, NO PERMITE ENTRAR AL ESTUDIO DE LAS CUESTIONES DE FONDO</w:t>
      </w:r>
      <w:r w:rsidRPr="00FA1A60">
        <w:rPr>
          <w:rFonts w:ascii="Palatino Linotype" w:eastAsia="Palatino Linotype" w:hAnsi="Palatino Linotype" w:cs="Palatino Linotype"/>
          <w:b/>
          <w:vertAlign w:val="superscript"/>
        </w:rPr>
        <w:footnoteReference w:id="4"/>
      </w:r>
      <w:r w:rsidRPr="00FA1A60">
        <w:rPr>
          <w:rFonts w:ascii="Palatino Linotype" w:eastAsia="Palatino Linotype" w:hAnsi="Palatino Linotype" w:cs="Palatino Linotype"/>
          <w:b/>
        </w:rPr>
        <w:t>.</w:t>
      </w:r>
    </w:p>
    <w:p w14:paraId="1EC1C1D9" w14:textId="6820D556" w:rsidR="000F61D8" w:rsidRPr="00FA1A60" w:rsidRDefault="000F61D8" w:rsidP="000F61D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Así, con fundamento en lo prescrito en los artículos 5 párrafos </w:t>
      </w:r>
      <w:r w:rsidR="000717AA" w:rsidRPr="00FA1A60">
        <w:rPr>
          <w:rFonts w:ascii="Palatino Linotype" w:eastAsia="Palatino Linotype" w:hAnsi="Palatino Linotype" w:cs="Palatino Linotype"/>
        </w:rPr>
        <w:t>trigésimo segundo, trigésimo tercero y trigésimo cuarto</w:t>
      </w:r>
      <w:r w:rsidRPr="00FA1A60">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66A11E9F" w14:textId="77777777" w:rsidR="00177D09" w:rsidRPr="00FA1A60" w:rsidRDefault="00177D09" w:rsidP="000F61D8">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p>
    <w:p w14:paraId="74160DDB" w14:textId="77777777" w:rsidR="007F72D4" w:rsidRPr="00FA1A60" w:rsidRDefault="007F72D4" w:rsidP="007F72D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A1A60">
        <w:rPr>
          <w:rFonts w:ascii="Palatino Linotype" w:eastAsia="Palatino Linotype" w:hAnsi="Palatino Linotype" w:cs="Palatino Linotype"/>
          <w:b/>
        </w:rPr>
        <w:lastRenderedPageBreak/>
        <w:t>III. R E S U E L V E</w:t>
      </w:r>
    </w:p>
    <w:p w14:paraId="3974DFF6" w14:textId="157A08FF" w:rsidR="000F61D8" w:rsidRPr="00FA1A60" w:rsidRDefault="000F61D8" w:rsidP="000F61D8">
      <w:pPr>
        <w:spacing w:before="16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 xml:space="preserve">Primero. </w:t>
      </w:r>
      <w:r w:rsidRPr="00FA1A60">
        <w:rPr>
          <w:rFonts w:ascii="Palatino Linotype" w:eastAsia="Palatino Linotype" w:hAnsi="Palatino Linotype" w:cs="Palatino Linotype"/>
        </w:rPr>
        <w:t>Se</w:t>
      </w:r>
      <w:r w:rsidRPr="00FA1A60">
        <w:rPr>
          <w:rFonts w:ascii="Palatino Linotype" w:eastAsia="Palatino Linotype" w:hAnsi="Palatino Linotype" w:cs="Palatino Linotype"/>
          <w:b/>
        </w:rPr>
        <w:t xml:space="preserve"> Sobresee </w:t>
      </w:r>
      <w:r w:rsidRPr="00FA1A60">
        <w:rPr>
          <w:rFonts w:ascii="Palatino Linotype" w:eastAsia="Palatino Linotype" w:hAnsi="Palatino Linotype" w:cs="Palatino Linotype"/>
        </w:rPr>
        <w:t xml:space="preserve">el recurso de revisión número </w:t>
      </w:r>
      <w:r w:rsidRPr="00FA1A60">
        <w:rPr>
          <w:rFonts w:ascii="Palatino Linotype" w:eastAsia="Palatino Linotype" w:hAnsi="Palatino Linotype" w:cs="Palatino Linotype"/>
          <w:b/>
        </w:rPr>
        <w:t xml:space="preserve">16764/INFOEM/IP/RR/2022, </w:t>
      </w:r>
      <w:r w:rsidRPr="00FA1A60">
        <w:rPr>
          <w:rFonts w:ascii="Palatino Linotype" w:eastAsia="Palatino Linotype" w:hAnsi="Palatino Linotype" w:cs="Palatino Linotype"/>
        </w:rPr>
        <w:t xml:space="preserve">porque al </w:t>
      </w:r>
      <w:r w:rsidRPr="00FA1A60">
        <w:rPr>
          <w:rFonts w:ascii="Palatino Linotype" w:eastAsia="Palatino Linotype" w:hAnsi="Palatino Linotype" w:cs="Palatino Linotype"/>
          <w:b/>
        </w:rPr>
        <w:t>modificar la respuesta</w:t>
      </w:r>
      <w:r w:rsidRPr="00FA1A60">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FA1A60">
        <w:rPr>
          <w:rFonts w:ascii="Palatino Linotype" w:eastAsia="Palatino Linotype" w:hAnsi="Palatino Linotype" w:cs="Palatino Linotype"/>
          <w:b/>
        </w:rPr>
        <w:t xml:space="preserve">Tercero </w:t>
      </w:r>
      <w:r w:rsidRPr="00FA1A60">
        <w:rPr>
          <w:rFonts w:ascii="Palatino Linotype" w:eastAsia="Palatino Linotype" w:hAnsi="Palatino Linotype" w:cs="Palatino Linotype"/>
        </w:rPr>
        <w:t>de la presente Resolución.</w:t>
      </w:r>
    </w:p>
    <w:p w14:paraId="53C0A36D"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 xml:space="preserve">Segundo. Notifíquese, </w:t>
      </w:r>
      <w:r w:rsidRPr="00FA1A60">
        <w:rPr>
          <w:rFonts w:ascii="Palatino Linotype" w:eastAsia="Palatino Linotype" w:hAnsi="Palatino Linotype" w:cs="Palatino Linotype"/>
        </w:rPr>
        <w:t>vía</w:t>
      </w:r>
      <w:r w:rsidRPr="00FA1A60">
        <w:rPr>
          <w:rFonts w:ascii="Palatino Linotype" w:eastAsia="Palatino Linotype" w:hAnsi="Palatino Linotype" w:cs="Palatino Linotype"/>
          <w:b/>
        </w:rPr>
        <w:t xml:space="preserve"> SAIMEX</w:t>
      </w:r>
      <w:r w:rsidRPr="00FA1A60">
        <w:rPr>
          <w:rFonts w:ascii="Palatino Linotype" w:eastAsia="Palatino Linotype" w:hAnsi="Palatino Linotype" w:cs="Palatino Linotype"/>
          <w:b/>
          <w:i/>
        </w:rPr>
        <w:t xml:space="preserve">, </w:t>
      </w:r>
      <w:r w:rsidRPr="00FA1A60">
        <w:rPr>
          <w:rFonts w:ascii="Palatino Linotype" w:eastAsia="Palatino Linotype" w:hAnsi="Palatino Linotype" w:cs="Palatino Linotype"/>
        </w:rPr>
        <w:t xml:space="preserve">al Titular de la Unidad de Transparencia del </w:t>
      </w:r>
      <w:r w:rsidRPr="00FA1A60">
        <w:rPr>
          <w:rFonts w:ascii="Palatino Linotype" w:eastAsia="Palatino Linotype" w:hAnsi="Palatino Linotype" w:cs="Palatino Linotype"/>
          <w:b/>
        </w:rPr>
        <w:t>Sujeto Obligado</w:t>
      </w:r>
      <w:r w:rsidRPr="00FA1A60">
        <w:rPr>
          <w:rFonts w:ascii="Palatino Linotype" w:eastAsia="Palatino Linotype" w:hAnsi="Palatino Linotype" w:cs="Palatino Linotype"/>
        </w:rPr>
        <w:t xml:space="preserve"> la presente resolución, para su conocimiento.</w:t>
      </w:r>
    </w:p>
    <w:p w14:paraId="204A7C3E" w14:textId="77777777" w:rsidR="000F61D8" w:rsidRPr="00FA1A60" w:rsidRDefault="000F61D8" w:rsidP="000F61D8">
      <w:pPr>
        <w:spacing w:before="240" w:after="240"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b/>
        </w:rPr>
        <w:t xml:space="preserve">Tercero. Notifíquese, </w:t>
      </w:r>
      <w:r w:rsidRPr="00FA1A60">
        <w:rPr>
          <w:rFonts w:ascii="Palatino Linotype" w:eastAsia="Palatino Linotype" w:hAnsi="Palatino Linotype" w:cs="Palatino Linotype"/>
        </w:rPr>
        <w:t>vía</w:t>
      </w:r>
      <w:r w:rsidRPr="00FA1A60">
        <w:rPr>
          <w:rFonts w:ascii="Palatino Linotype" w:eastAsia="Palatino Linotype" w:hAnsi="Palatino Linotype" w:cs="Palatino Linotype"/>
          <w:b/>
        </w:rPr>
        <w:t xml:space="preserve"> SAIMEX</w:t>
      </w:r>
      <w:r w:rsidRPr="00FA1A60">
        <w:rPr>
          <w:rFonts w:ascii="Palatino Linotype" w:eastAsia="Palatino Linotype" w:hAnsi="Palatino Linotype" w:cs="Palatino Linotype"/>
        </w:rPr>
        <w:t>, a</w:t>
      </w:r>
      <w:r w:rsidRPr="00FA1A60">
        <w:rPr>
          <w:rFonts w:ascii="Palatino Linotype" w:eastAsia="Palatino Linotype" w:hAnsi="Palatino Linotype" w:cs="Palatino Linotype"/>
          <w:b/>
        </w:rPr>
        <w:t xml:space="preserve"> </w:t>
      </w:r>
      <w:r w:rsidRPr="00FA1A60">
        <w:rPr>
          <w:rFonts w:ascii="Palatino Linotype" w:eastAsia="Palatino Linotype" w:hAnsi="Palatino Linotype" w:cs="Palatino Linotype"/>
        </w:rPr>
        <w:t xml:space="preserve">la parte </w:t>
      </w:r>
      <w:r w:rsidRPr="00FA1A60">
        <w:rPr>
          <w:rFonts w:ascii="Palatino Linotype" w:eastAsia="Palatino Linotype" w:hAnsi="Palatino Linotype" w:cs="Palatino Linotype"/>
          <w:b/>
        </w:rPr>
        <w:t>Recurrente</w:t>
      </w:r>
      <w:r w:rsidRPr="00FA1A6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E68B453" w14:textId="20505CD1" w:rsidR="00213579" w:rsidRPr="00FA1A60" w:rsidRDefault="009A6CA6">
      <w:pPr>
        <w:spacing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38BE" w:rsidRPr="00FA1A60">
        <w:rPr>
          <w:rFonts w:ascii="Palatino Linotype" w:eastAsia="Palatino Linotype" w:hAnsi="Palatino Linotype" w:cs="Palatino Linotype"/>
        </w:rPr>
        <w:t xml:space="preserve">VIGÉSIMO </w:t>
      </w:r>
      <w:r w:rsidR="000F61D8" w:rsidRPr="00FA1A60">
        <w:rPr>
          <w:rFonts w:ascii="Palatino Linotype" w:eastAsia="Palatino Linotype" w:hAnsi="Palatino Linotype" w:cs="Palatino Linotype"/>
        </w:rPr>
        <w:t>OCTAVA</w:t>
      </w:r>
      <w:r w:rsidR="000455D6"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rPr>
        <w:t>SESIÓN ORDINARIA</w:t>
      </w:r>
      <w:r w:rsidR="00E91DEF" w:rsidRPr="00FA1A60">
        <w:rPr>
          <w:rFonts w:ascii="Palatino Linotype" w:eastAsia="Palatino Linotype" w:hAnsi="Palatino Linotype" w:cs="Palatino Linotype"/>
        </w:rPr>
        <w:t>,</w:t>
      </w:r>
      <w:r w:rsidRPr="00FA1A60">
        <w:rPr>
          <w:rFonts w:ascii="Palatino Linotype" w:eastAsia="Palatino Linotype" w:hAnsi="Palatino Linotype" w:cs="Palatino Linotype"/>
        </w:rPr>
        <w:t xml:space="preserve"> </w:t>
      </w:r>
      <w:r w:rsidRPr="00FA1A60">
        <w:rPr>
          <w:rFonts w:ascii="Palatino Linotype" w:eastAsia="Palatino Linotype" w:hAnsi="Palatino Linotype" w:cs="Palatino Linotype"/>
        </w:rPr>
        <w:lastRenderedPageBreak/>
        <w:t xml:space="preserve">CELEBRADA EL </w:t>
      </w:r>
      <w:r w:rsidR="000F61D8" w:rsidRPr="00FA1A60">
        <w:rPr>
          <w:rFonts w:ascii="Palatino Linotype" w:eastAsia="Palatino Linotype" w:hAnsi="Palatino Linotype" w:cs="Palatino Linotype"/>
        </w:rPr>
        <w:t xml:space="preserve">NUEVE DE AGOSTO </w:t>
      </w:r>
      <w:r w:rsidRPr="00FA1A60">
        <w:rPr>
          <w:rFonts w:ascii="Palatino Linotype" w:eastAsia="Palatino Linotype" w:hAnsi="Palatino Linotype" w:cs="Palatino Linotype"/>
        </w:rPr>
        <w:t>DE DOS MIL VEINTI</w:t>
      </w:r>
      <w:r w:rsidR="00591E25" w:rsidRPr="00FA1A60">
        <w:rPr>
          <w:rFonts w:ascii="Palatino Linotype" w:eastAsia="Palatino Linotype" w:hAnsi="Palatino Linotype" w:cs="Palatino Linotype"/>
        </w:rPr>
        <w:t>TRÉS</w:t>
      </w:r>
      <w:r w:rsidRPr="00FA1A60">
        <w:rPr>
          <w:rFonts w:ascii="Palatino Linotype" w:eastAsia="Palatino Linotype" w:hAnsi="Palatino Linotype" w:cs="Palatino Linotype"/>
        </w:rPr>
        <w:t>, ANTE EL SECRETARIO TÉCNICO DEL PLENO ALEXIS TAPIA RAMÍREZ.</w:t>
      </w:r>
    </w:p>
    <w:p w14:paraId="4A75D740" w14:textId="2AF278E6" w:rsidR="000A5583" w:rsidRPr="00FA1A60" w:rsidRDefault="00E268BD">
      <w:pPr>
        <w:spacing w:line="360" w:lineRule="auto"/>
        <w:jc w:val="both"/>
        <w:rPr>
          <w:rFonts w:ascii="Palatino Linotype" w:eastAsia="Palatino Linotype" w:hAnsi="Palatino Linotype" w:cs="Palatino Linotype"/>
        </w:rPr>
      </w:pPr>
      <w:r w:rsidRPr="00FA1A60">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314EB0B" wp14:editId="3477974A">
                <wp:simplePos x="0" y="0"/>
                <wp:positionH relativeFrom="margin">
                  <wp:align>right</wp:align>
                </wp:positionH>
                <wp:positionV relativeFrom="paragraph">
                  <wp:posOffset>37464</wp:posOffset>
                </wp:positionV>
                <wp:extent cx="5505450" cy="60864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6086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DC6B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95pt" to="815.8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" strokecolor="black [3200]" strokeweight="2pt">
                <v:shadow on="t" color="black" opacity="24903f" origin=",.5" offset="0,.55556mm"/>
                <w10:wrap anchorx="margin"/>
              </v:line>
            </w:pict>
          </mc:Fallback>
        </mc:AlternateContent>
      </w:r>
    </w:p>
    <w:p w14:paraId="61DA7CFD" w14:textId="4FF3CB2A" w:rsidR="00213579" w:rsidRPr="00FA1A60" w:rsidRDefault="00213579">
      <w:pPr>
        <w:rPr>
          <w:rFonts w:ascii="Palatino Linotype" w:eastAsia="Palatino Linotype" w:hAnsi="Palatino Linotype" w:cs="Palatino Linotype"/>
        </w:rPr>
      </w:pPr>
    </w:p>
    <w:p w14:paraId="15F9CF87" w14:textId="62AFD98C" w:rsidR="00213579" w:rsidRPr="00FA1A60" w:rsidRDefault="00213579">
      <w:pPr>
        <w:rPr>
          <w:rFonts w:ascii="Palatino Linotype" w:eastAsia="Palatino Linotype" w:hAnsi="Palatino Linotype" w:cs="Palatino Linotype"/>
        </w:rPr>
      </w:pPr>
    </w:p>
    <w:p w14:paraId="2B9B2AD0" w14:textId="50E0BC1A" w:rsidR="00213579" w:rsidRPr="00FA1A60" w:rsidRDefault="00213579">
      <w:pPr>
        <w:rPr>
          <w:rFonts w:ascii="Palatino Linotype" w:eastAsia="Palatino Linotype" w:hAnsi="Palatino Linotype" w:cs="Palatino Linotype"/>
        </w:rPr>
      </w:pPr>
    </w:p>
    <w:p w14:paraId="7AC62CF3" w14:textId="7B13420F" w:rsidR="00213579" w:rsidRPr="00FA1A60" w:rsidRDefault="00213579">
      <w:pPr>
        <w:rPr>
          <w:rFonts w:ascii="Palatino Linotype" w:eastAsia="Palatino Linotype" w:hAnsi="Palatino Linotype" w:cs="Palatino Linotype"/>
        </w:rPr>
      </w:pPr>
    </w:p>
    <w:p w14:paraId="1FB759BF" w14:textId="5DED2CD3" w:rsidR="00213579" w:rsidRPr="00FA1A60" w:rsidRDefault="00213579">
      <w:pPr>
        <w:rPr>
          <w:rFonts w:ascii="Palatino Linotype" w:eastAsia="Palatino Linotype" w:hAnsi="Palatino Linotype" w:cs="Palatino Linotype"/>
        </w:rPr>
      </w:pPr>
    </w:p>
    <w:p w14:paraId="57FAA46A" w14:textId="2171790A" w:rsidR="00213579" w:rsidRPr="00FA1A60" w:rsidRDefault="00213579">
      <w:pPr>
        <w:rPr>
          <w:rFonts w:ascii="Palatino Linotype" w:eastAsia="Palatino Linotype" w:hAnsi="Palatino Linotype" w:cs="Palatino Linotype"/>
        </w:rPr>
      </w:pPr>
    </w:p>
    <w:p w14:paraId="458260E8" w14:textId="77777777" w:rsidR="00213579" w:rsidRPr="00FA1A60" w:rsidRDefault="00213579">
      <w:pPr>
        <w:rPr>
          <w:rFonts w:ascii="Palatino Linotype" w:eastAsia="Palatino Linotype" w:hAnsi="Palatino Linotype" w:cs="Palatino Linotype"/>
        </w:rPr>
      </w:pPr>
    </w:p>
    <w:p w14:paraId="35CC7B6C" w14:textId="77777777" w:rsidR="00213579" w:rsidRPr="00FA1A60" w:rsidRDefault="00213579">
      <w:pPr>
        <w:rPr>
          <w:rFonts w:ascii="Palatino Linotype" w:eastAsia="Palatino Linotype" w:hAnsi="Palatino Linotype" w:cs="Palatino Linotype"/>
        </w:rPr>
      </w:pPr>
    </w:p>
    <w:p w14:paraId="00A7C198" w14:textId="77777777" w:rsidR="00213579" w:rsidRPr="00FA1A60" w:rsidRDefault="00213579">
      <w:pPr>
        <w:rPr>
          <w:rFonts w:ascii="Palatino Linotype" w:eastAsia="Palatino Linotype" w:hAnsi="Palatino Linotype" w:cs="Palatino Linotype"/>
        </w:rPr>
      </w:pPr>
    </w:p>
    <w:p w14:paraId="3EBA9226" w14:textId="77777777" w:rsidR="00213579" w:rsidRPr="00FA1A60" w:rsidRDefault="00213579">
      <w:pPr>
        <w:rPr>
          <w:rFonts w:ascii="Palatino Linotype" w:eastAsia="Palatino Linotype" w:hAnsi="Palatino Linotype" w:cs="Palatino Linotype"/>
        </w:rPr>
      </w:pPr>
    </w:p>
    <w:p w14:paraId="1685A2E9" w14:textId="77777777" w:rsidR="00213579" w:rsidRPr="00FA1A60" w:rsidRDefault="00213579">
      <w:pPr>
        <w:rPr>
          <w:rFonts w:ascii="Palatino Linotype" w:eastAsia="Palatino Linotype" w:hAnsi="Palatino Linotype" w:cs="Palatino Linotype"/>
        </w:rPr>
      </w:pPr>
    </w:p>
    <w:p w14:paraId="1FC78130" w14:textId="77777777" w:rsidR="00213579" w:rsidRPr="00FA1A60" w:rsidRDefault="00213579">
      <w:pPr>
        <w:spacing w:line="360" w:lineRule="auto"/>
        <w:jc w:val="both"/>
        <w:rPr>
          <w:rFonts w:ascii="Palatino Linotype" w:eastAsia="Palatino Linotype" w:hAnsi="Palatino Linotype" w:cs="Palatino Linotype"/>
        </w:rPr>
      </w:pPr>
      <w:bookmarkStart w:id="8" w:name="_heading=h.3rdcrjn" w:colFirst="0" w:colLast="0"/>
      <w:bookmarkEnd w:id="8"/>
    </w:p>
    <w:p w14:paraId="43B3DF49" w14:textId="77777777" w:rsidR="00213579" w:rsidRPr="00FA1A60" w:rsidRDefault="00213579">
      <w:pPr>
        <w:spacing w:line="360" w:lineRule="auto"/>
        <w:jc w:val="both"/>
        <w:rPr>
          <w:rFonts w:ascii="Palatino Linotype" w:eastAsia="Palatino Linotype" w:hAnsi="Palatino Linotype" w:cs="Palatino Linotype"/>
        </w:rPr>
      </w:pPr>
    </w:p>
    <w:p w14:paraId="6689CCFB" w14:textId="77777777" w:rsidR="00213579" w:rsidRPr="00FA1A60" w:rsidRDefault="00213579">
      <w:pPr>
        <w:spacing w:line="360" w:lineRule="auto"/>
        <w:jc w:val="both"/>
        <w:rPr>
          <w:rFonts w:ascii="Palatino Linotype" w:eastAsia="Palatino Linotype" w:hAnsi="Palatino Linotype" w:cs="Palatino Linotype"/>
        </w:rPr>
      </w:pPr>
    </w:p>
    <w:p w14:paraId="4F89B4BD" w14:textId="77777777" w:rsidR="00213579" w:rsidRPr="00FA1A60" w:rsidRDefault="00213579">
      <w:pPr>
        <w:spacing w:line="360" w:lineRule="auto"/>
        <w:jc w:val="both"/>
        <w:rPr>
          <w:rFonts w:ascii="Palatino Linotype" w:eastAsia="Palatino Linotype" w:hAnsi="Palatino Linotype" w:cs="Palatino Linotype"/>
        </w:rPr>
      </w:pPr>
      <w:bookmarkStart w:id="9" w:name="_heading=h.1t3h5sf" w:colFirst="0" w:colLast="0"/>
      <w:bookmarkEnd w:id="9"/>
    </w:p>
    <w:p w14:paraId="70E7A4A7" w14:textId="77777777" w:rsidR="00213579" w:rsidRPr="00FA1A60" w:rsidRDefault="00213579">
      <w:pPr>
        <w:spacing w:line="360" w:lineRule="auto"/>
        <w:jc w:val="both"/>
        <w:rPr>
          <w:rFonts w:ascii="Palatino Linotype" w:eastAsia="Palatino Linotype" w:hAnsi="Palatino Linotype" w:cs="Palatino Linotype"/>
        </w:rPr>
      </w:pPr>
    </w:p>
    <w:p w14:paraId="01A48D63" w14:textId="77777777" w:rsidR="00213579" w:rsidRPr="00FA1A60" w:rsidRDefault="00213579">
      <w:pPr>
        <w:spacing w:line="360" w:lineRule="auto"/>
        <w:jc w:val="both"/>
        <w:rPr>
          <w:rFonts w:ascii="Palatino Linotype" w:eastAsia="Palatino Linotype" w:hAnsi="Palatino Linotype" w:cs="Palatino Linotype"/>
        </w:rPr>
      </w:pPr>
    </w:p>
    <w:p w14:paraId="20D0C60A" w14:textId="77777777" w:rsidR="00213579" w:rsidRPr="00FA1A60" w:rsidRDefault="00213579">
      <w:pPr>
        <w:spacing w:line="360" w:lineRule="auto"/>
        <w:jc w:val="both"/>
        <w:rPr>
          <w:rFonts w:ascii="Palatino Linotype" w:eastAsia="Palatino Linotype" w:hAnsi="Palatino Linotype" w:cs="Palatino Linotype"/>
        </w:rPr>
      </w:pPr>
    </w:p>
    <w:p w14:paraId="044A3485" w14:textId="77777777" w:rsidR="00213579" w:rsidRPr="00FA1A60" w:rsidRDefault="00213579">
      <w:pPr>
        <w:spacing w:line="360" w:lineRule="auto"/>
        <w:jc w:val="both"/>
        <w:rPr>
          <w:rFonts w:ascii="Palatino Linotype" w:eastAsia="Palatino Linotype" w:hAnsi="Palatino Linotype" w:cs="Palatino Linotype"/>
        </w:rPr>
      </w:pPr>
    </w:p>
    <w:p w14:paraId="2DCD8ADA" w14:textId="77777777" w:rsidR="00213579" w:rsidRPr="00FA1A60" w:rsidRDefault="00213579">
      <w:pPr>
        <w:spacing w:line="360" w:lineRule="auto"/>
        <w:jc w:val="both"/>
        <w:rPr>
          <w:rFonts w:ascii="Palatino Linotype" w:eastAsia="Palatino Linotype" w:hAnsi="Palatino Linotype" w:cs="Palatino Linotype"/>
        </w:rPr>
      </w:pPr>
    </w:p>
    <w:p w14:paraId="415495B0" w14:textId="77777777" w:rsidR="00213579" w:rsidRPr="00FA1A60" w:rsidRDefault="00213579">
      <w:pPr>
        <w:spacing w:line="360" w:lineRule="auto"/>
        <w:jc w:val="both"/>
        <w:rPr>
          <w:rFonts w:ascii="Palatino Linotype" w:eastAsia="Palatino Linotype" w:hAnsi="Palatino Linotype" w:cs="Palatino Linotype"/>
        </w:rPr>
      </w:pPr>
    </w:p>
    <w:p w14:paraId="64FF63E1" w14:textId="77777777" w:rsidR="00213579" w:rsidRPr="00FA1A60" w:rsidRDefault="00213579">
      <w:pPr>
        <w:spacing w:line="360" w:lineRule="auto"/>
        <w:jc w:val="both"/>
        <w:rPr>
          <w:rFonts w:ascii="Palatino Linotype" w:eastAsia="Palatino Linotype" w:hAnsi="Palatino Linotype" w:cs="Palatino Linotype"/>
        </w:rPr>
      </w:pPr>
    </w:p>
    <w:p w14:paraId="34A7964A" w14:textId="77777777" w:rsidR="00213579" w:rsidRPr="00FA1A60" w:rsidRDefault="00213579">
      <w:pPr>
        <w:spacing w:line="360" w:lineRule="auto"/>
        <w:jc w:val="both"/>
        <w:rPr>
          <w:rFonts w:ascii="Palatino Linotype" w:eastAsia="Palatino Linotype" w:hAnsi="Palatino Linotype" w:cs="Palatino Linotype"/>
        </w:rPr>
      </w:pPr>
    </w:p>
    <w:p w14:paraId="1C3D6FC6" w14:textId="77777777" w:rsidR="00213579" w:rsidRPr="00FA1A60" w:rsidRDefault="00213579">
      <w:pPr>
        <w:spacing w:line="360" w:lineRule="auto"/>
        <w:jc w:val="both"/>
        <w:rPr>
          <w:rFonts w:ascii="Palatino Linotype" w:eastAsia="Palatino Linotype" w:hAnsi="Palatino Linotype" w:cs="Palatino Linotype"/>
        </w:rPr>
      </w:pPr>
    </w:p>
    <w:p w14:paraId="7BF5BF11" w14:textId="77777777" w:rsidR="00213579" w:rsidRPr="00FA1A60" w:rsidRDefault="00213579">
      <w:pPr>
        <w:spacing w:line="360" w:lineRule="auto"/>
        <w:jc w:val="both"/>
        <w:rPr>
          <w:rFonts w:ascii="Palatino Linotype" w:eastAsia="Palatino Linotype" w:hAnsi="Palatino Linotype" w:cs="Palatino Linotype"/>
        </w:rPr>
      </w:pPr>
    </w:p>
    <w:p w14:paraId="1DAFDB99" w14:textId="77777777" w:rsidR="00213579" w:rsidRPr="00FA1A60" w:rsidRDefault="00213579">
      <w:pPr>
        <w:spacing w:line="360" w:lineRule="auto"/>
        <w:jc w:val="both"/>
        <w:rPr>
          <w:rFonts w:ascii="Palatino Linotype" w:eastAsia="Palatino Linotype" w:hAnsi="Palatino Linotype" w:cs="Palatino Linotype"/>
        </w:rPr>
      </w:pPr>
    </w:p>
    <w:sectPr w:rsidR="00213579" w:rsidRPr="00FA1A6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4796" w14:textId="77777777" w:rsidR="00DF576E" w:rsidRDefault="00DF576E">
      <w:r>
        <w:separator/>
      </w:r>
    </w:p>
  </w:endnote>
  <w:endnote w:type="continuationSeparator" w:id="0">
    <w:p w14:paraId="02576E1F" w14:textId="77777777" w:rsidR="00DF576E" w:rsidRDefault="00DF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9F" w14:textId="77777777" w:rsidR="004D74B8" w:rsidRDefault="004D74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1A60">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1A60">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8144F8C" w14:textId="77777777" w:rsidR="004D74B8" w:rsidRDefault="004D74B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352F" w14:textId="77777777" w:rsidR="004D74B8" w:rsidRDefault="004D74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1A6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1A60">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69BD0B16" w14:textId="77777777" w:rsidR="004D74B8" w:rsidRDefault="004D74B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FBC" w14:textId="77777777" w:rsidR="00DF576E" w:rsidRDefault="00DF576E">
      <w:r>
        <w:separator/>
      </w:r>
    </w:p>
  </w:footnote>
  <w:footnote w:type="continuationSeparator" w:id="0">
    <w:p w14:paraId="4F351729" w14:textId="77777777" w:rsidR="00DF576E" w:rsidRDefault="00DF576E">
      <w:r>
        <w:continuationSeparator/>
      </w:r>
    </w:p>
  </w:footnote>
  <w:footnote w:id="1">
    <w:p w14:paraId="6BF1E8BF" w14:textId="77777777" w:rsidR="004D74B8" w:rsidRDefault="004D74B8" w:rsidP="00E95164">
      <w:pPr>
        <w:pStyle w:val="Textonotapie"/>
        <w:rPr>
          <w:rFonts w:ascii="Palatino Linotype" w:hAnsi="Palatino Linotype"/>
          <w:sz w:val="16"/>
          <w:szCs w:val="16"/>
        </w:rPr>
      </w:pPr>
      <w:r>
        <w:rPr>
          <w:rStyle w:val="Refdenotaalpie"/>
          <w:sz w:val="16"/>
          <w:szCs w:val="16"/>
        </w:rPr>
        <w:footnoteRef/>
      </w:r>
      <w:r>
        <w:rPr>
          <w:sz w:val="16"/>
          <w:szCs w:val="16"/>
        </w:rPr>
        <w:t xml:space="preserve"> </w:t>
      </w:r>
      <w:r>
        <w:rPr>
          <w:rFonts w:ascii="Palatino Linotype" w:hAnsi="Palatino Linotype"/>
          <w:b/>
          <w:sz w:val="16"/>
          <w:szCs w:val="16"/>
        </w:rPr>
        <w:t>Artículo 192.</w:t>
      </w:r>
      <w:r>
        <w:rPr>
          <w:rFonts w:ascii="Palatino Linotype" w:hAnsi="Palatino Linotype"/>
          <w:sz w:val="16"/>
          <w:szCs w:val="16"/>
        </w:rPr>
        <w:t xml:space="preserve"> El recurso será sobreseído, en todo o en parte, cuando una vez admitido, se actualicen alguno de los siguientes supuestos:</w:t>
      </w:r>
    </w:p>
    <w:p w14:paraId="3A7AE0EC" w14:textId="77777777" w:rsidR="004D74B8" w:rsidRDefault="004D74B8" w:rsidP="00E95164">
      <w:pPr>
        <w:pStyle w:val="Textonotapie"/>
        <w:rPr>
          <w:rFonts w:ascii="Palatino Linotype" w:hAnsi="Palatino Linotype"/>
          <w:sz w:val="16"/>
          <w:szCs w:val="16"/>
        </w:rPr>
      </w:pPr>
      <w:r>
        <w:rPr>
          <w:rFonts w:ascii="Palatino Linotype" w:hAnsi="Palatino Linotype"/>
          <w:sz w:val="16"/>
          <w:szCs w:val="16"/>
        </w:rPr>
        <w:t>…</w:t>
      </w:r>
    </w:p>
    <w:p w14:paraId="17138931" w14:textId="77777777" w:rsidR="004D74B8" w:rsidRDefault="004D74B8" w:rsidP="00E95164">
      <w:pPr>
        <w:pStyle w:val="Textonotapie"/>
        <w:rPr>
          <w:rFonts w:ascii="Palatino Linotype" w:hAnsi="Palatino Linotype"/>
          <w:sz w:val="16"/>
          <w:szCs w:val="16"/>
        </w:rPr>
      </w:pPr>
      <w:r>
        <w:rPr>
          <w:rFonts w:ascii="Palatino Linotype" w:hAnsi="Palatino Linotype"/>
          <w:sz w:val="16"/>
          <w:szCs w:val="16"/>
        </w:rPr>
        <w:t>III. El sujeto obligado responsable del acto lo modifique o revoque de tal manera que el recurso de revisión quede sin materia;</w:t>
      </w:r>
    </w:p>
  </w:footnote>
  <w:footnote w:id="2">
    <w:p w14:paraId="6382CCE7" w14:textId="77777777" w:rsidR="004D74B8" w:rsidRDefault="004D74B8" w:rsidP="00E95164">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b/>
          <w:sz w:val="16"/>
          <w:szCs w:val="16"/>
        </w:rPr>
        <w:t>Artículo 186</w:t>
      </w:r>
      <w:r>
        <w:rPr>
          <w:rFonts w:ascii="Palatino Linotype" w:hAnsi="Palatino Linotype"/>
          <w:sz w:val="16"/>
          <w:szCs w:val="16"/>
        </w:rPr>
        <w:t>. Las resoluciones del Instituto podrán:</w:t>
      </w:r>
    </w:p>
    <w:p w14:paraId="2BFBAB49" w14:textId="77777777" w:rsidR="004D74B8" w:rsidRDefault="004D74B8" w:rsidP="00E95164">
      <w:pPr>
        <w:pStyle w:val="Textonotapie"/>
        <w:rPr>
          <w:sz w:val="16"/>
          <w:szCs w:val="16"/>
        </w:rPr>
      </w:pPr>
      <w:r>
        <w:rPr>
          <w:rFonts w:ascii="Palatino Linotype" w:hAnsi="Palatino Linotype"/>
          <w:sz w:val="16"/>
          <w:szCs w:val="16"/>
        </w:rPr>
        <w:t>I. Desechar o sobreseer el recurso;</w:t>
      </w:r>
    </w:p>
  </w:footnote>
  <w:footnote w:id="3">
    <w:p w14:paraId="52EA790E" w14:textId="77777777" w:rsidR="004D74B8" w:rsidRPr="005B3670" w:rsidRDefault="004D74B8" w:rsidP="00382B6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5B3670">
        <w:rPr>
          <w:rFonts w:ascii="Palatino Linotype" w:hAnsi="Palatino Linotype"/>
          <w:sz w:val="16"/>
          <w:szCs w:val="16"/>
          <w:vertAlign w:val="superscript"/>
        </w:rPr>
        <w:footnoteRef/>
      </w:r>
      <w:r w:rsidRPr="005B3670">
        <w:rPr>
          <w:rFonts w:ascii="Palatino Linotype" w:eastAsia="Palatino Linotype" w:hAnsi="Palatino Linotype" w:cs="Palatino Linotype"/>
          <w:color w:val="000000"/>
          <w:sz w:val="16"/>
          <w:szCs w:val="16"/>
        </w:rPr>
        <w:t xml:space="preserve"> “</w:t>
      </w:r>
      <w:r w:rsidRPr="005B3670">
        <w:rPr>
          <w:rFonts w:ascii="Palatino Linotype" w:eastAsia="Palatino Linotype" w:hAnsi="Palatino Linotype" w:cs="Palatino Linotype"/>
          <w:b/>
          <w:color w:val="000000"/>
          <w:sz w:val="16"/>
          <w:szCs w:val="16"/>
        </w:rPr>
        <w:t>Artículo 185.</w:t>
      </w:r>
      <w:r w:rsidRPr="005B3670">
        <w:rPr>
          <w:rFonts w:ascii="Palatino Linotype" w:eastAsia="Palatino Linotype" w:hAnsi="Palatino Linotype" w:cs="Palatino Linotype"/>
          <w:color w:val="000000"/>
          <w:sz w:val="16"/>
          <w:szCs w:val="16"/>
        </w:rPr>
        <w:t xml:space="preserve"> El Instituto resolverá el recurso de revisión conforme a lo siguiente: (…)</w:t>
      </w:r>
    </w:p>
    <w:p w14:paraId="0832FFD5" w14:textId="77777777" w:rsidR="004D74B8" w:rsidRPr="005B3670" w:rsidRDefault="004D74B8" w:rsidP="00382B6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B3670">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A365E87" w14:textId="77777777" w:rsidR="000F61D8" w:rsidRDefault="000F61D8" w:rsidP="000F61D8">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2D51976" w14:textId="77777777" w:rsidR="000F61D8" w:rsidRDefault="000F61D8" w:rsidP="000F61D8">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060" w14:textId="77777777" w:rsidR="004D74B8" w:rsidRDefault="004D74B8">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3CB63533">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8"/>
      <w:tblW w:w="5953" w:type="dxa"/>
      <w:tblInd w:w="3261" w:type="dxa"/>
      <w:tblLayout w:type="fixed"/>
      <w:tblLook w:val="0400" w:firstRow="0" w:lastRow="0" w:firstColumn="0" w:lastColumn="0" w:noHBand="0" w:noVBand="1"/>
    </w:tblPr>
    <w:tblGrid>
      <w:gridCol w:w="2489"/>
      <w:gridCol w:w="3464"/>
    </w:tblGrid>
    <w:tr w:rsidR="004D74B8" w14:paraId="0F09F952" w14:textId="77777777">
      <w:tc>
        <w:tcPr>
          <w:tcW w:w="2489" w:type="dxa"/>
          <w:shd w:val="clear" w:color="auto" w:fill="auto"/>
        </w:tcPr>
        <w:p w14:paraId="6923AEB2"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2CDA47B9" w:rsidR="004D74B8" w:rsidRDefault="004D74B8" w:rsidP="003408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16764/INFOEM/IP/RR/2022</w:t>
          </w:r>
        </w:p>
      </w:tc>
    </w:tr>
    <w:tr w:rsidR="004D74B8" w14:paraId="35AB27F8" w14:textId="77777777">
      <w:trPr>
        <w:trHeight w:val="228"/>
      </w:trPr>
      <w:tc>
        <w:tcPr>
          <w:tcW w:w="2489" w:type="dxa"/>
          <w:shd w:val="clear" w:color="auto" w:fill="auto"/>
          <w:vAlign w:val="center"/>
        </w:tcPr>
        <w:p w14:paraId="0CAE73D7"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4B555F11" w:rsidR="004D74B8" w:rsidRDefault="004D74B8">
          <w:pPr>
            <w:ind w:left="-45" w:right="176"/>
            <w:jc w:val="both"/>
            <w:rPr>
              <w:rFonts w:ascii="Palatino Linotype" w:eastAsia="Palatino Linotype" w:hAnsi="Palatino Linotype" w:cs="Palatino Linotype"/>
              <w:b/>
              <w:sz w:val="22"/>
              <w:szCs w:val="22"/>
            </w:rPr>
          </w:pPr>
          <w:r w:rsidRPr="007619DB">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4D74B8" w14:paraId="15612B00" w14:textId="77777777">
      <w:tc>
        <w:tcPr>
          <w:tcW w:w="2489" w:type="dxa"/>
          <w:shd w:val="clear" w:color="auto" w:fill="auto"/>
          <w:vAlign w:val="center"/>
        </w:tcPr>
        <w:p w14:paraId="02292B31" w14:textId="77777777" w:rsidR="004D74B8" w:rsidRDefault="004D74B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4D74B8" w:rsidRDefault="004D74B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4D74B8" w:rsidRDefault="004D74B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F33" w14:textId="77777777" w:rsidR="004D74B8" w:rsidRDefault="004D74B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515CEF80">
          <wp:simplePos x="0" y="0"/>
          <wp:positionH relativeFrom="column">
            <wp:posOffset>-1079500</wp:posOffset>
          </wp:positionH>
          <wp:positionV relativeFrom="paragraph">
            <wp:posOffset>-328930</wp:posOffset>
          </wp:positionV>
          <wp:extent cx="7809865" cy="10165715"/>
          <wp:effectExtent l="0" t="0" r="635" b="698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4D74B8" w14:paraId="4BBB0AA8" w14:textId="77777777">
      <w:tc>
        <w:tcPr>
          <w:tcW w:w="2551" w:type="dxa"/>
          <w:shd w:val="clear" w:color="auto" w:fill="auto"/>
          <w:vAlign w:val="center"/>
        </w:tcPr>
        <w:p w14:paraId="400A271A"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00082BA3" w:rsidR="004D74B8" w:rsidRDefault="004D74B8" w:rsidP="003408B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16764/INFOEM/IP/RR/2022</w:t>
          </w:r>
        </w:p>
      </w:tc>
    </w:tr>
    <w:tr w:rsidR="004D74B8" w14:paraId="5036E2D8" w14:textId="77777777">
      <w:trPr>
        <w:trHeight w:val="130"/>
      </w:trPr>
      <w:tc>
        <w:tcPr>
          <w:tcW w:w="2551" w:type="dxa"/>
          <w:shd w:val="clear" w:color="auto" w:fill="auto"/>
          <w:vAlign w:val="center"/>
        </w:tcPr>
        <w:p w14:paraId="6194B6A8"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25502C68" w:rsidR="004D74B8" w:rsidRDefault="00666E8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w:t>
          </w:r>
        </w:p>
      </w:tc>
    </w:tr>
    <w:tr w:rsidR="004D74B8" w14:paraId="5012263D" w14:textId="77777777">
      <w:trPr>
        <w:trHeight w:val="228"/>
      </w:trPr>
      <w:tc>
        <w:tcPr>
          <w:tcW w:w="2551" w:type="dxa"/>
          <w:shd w:val="clear" w:color="auto" w:fill="auto"/>
          <w:vAlign w:val="center"/>
        </w:tcPr>
        <w:p w14:paraId="64A96543"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6C66E354" w:rsidR="004D74B8" w:rsidRDefault="004D74B8">
          <w:pPr>
            <w:ind w:left="-45" w:right="176"/>
            <w:jc w:val="both"/>
            <w:rPr>
              <w:rFonts w:ascii="Palatino Linotype" w:eastAsia="Palatino Linotype" w:hAnsi="Palatino Linotype" w:cs="Palatino Linotype"/>
              <w:b/>
              <w:sz w:val="22"/>
              <w:szCs w:val="22"/>
            </w:rPr>
          </w:pPr>
          <w:r w:rsidRPr="007619DB">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4D74B8" w14:paraId="74514B78" w14:textId="77777777">
      <w:tc>
        <w:tcPr>
          <w:tcW w:w="2551" w:type="dxa"/>
          <w:shd w:val="clear" w:color="auto" w:fill="auto"/>
          <w:vAlign w:val="center"/>
        </w:tcPr>
        <w:p w14:paraId="6351D271" w14:textId="77777777" w:rsidR="004D74B8" w:rsidRDefault="004D74B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4D74B8" w:rsidRDefault="004D74B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4D74B8" w:rsidRDefault="004D74B8">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4D74B8" w:rsidRDefault="004D7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503278"/>
    <w:multiLevelType w:val="hybridMultilevel"/>
    <w:tmpl w:val="ABDE15B4"/>
    <w:lvl w:ilvl="0" w:tplc="9132AA3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8333CCA"/>
    <w:multiLevelType w:val="hybridMultilevel"/>
    <w:tmpl w:val="9354A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A4F37"/>
    <w:multiLevelType w:val="multilevel"/>
    <w:tmpl w:val="122446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DE7CD0"/>
    <w:multiLevelType w:val="hybridMultilevel"/>
    <w:tmpl w:val="139A68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DE6E3D"/>
    <w:multiLevelType w:val="multilevel"/>
    <w:tmpl w:val="F81AB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5C242210"/>
    <w:multiLevelType w:val="multilevel"/>
    <w:tmpl w:val="0C6C0404"/>
    <w:lvl w:ilvl="0">
      <w:start w:val="1"/>
      <w:numFmt w:val="upp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0" w15:restartNumberingAfterBreak="0">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3230E3"/>
    <w:multiLevelType w:val="multilevel"/>
    <w:tmpl w:val="1C60FB4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33459A8"/>
    <w:multiLevelType w:val="hybridMultilevel"/>
    <w:tmpl w:val="145448FA"/>
    <w:lvl w:ilvl="0" w:tplc="2182E252">
      <w:start w:val="7"/>
      <w:numFmt w:val="bullet"/>
      <w:lvlText w:val="-"/>
      <w:lvlJc w:val="left"/>
      <w:pPr>
        <w:ind w:left="720" w:hanging="360"/>
      </w:pPr>
      <w:rPr>
        <w:rFonts w:ascii="Palatino Linotype" w:eastAsia="Times New Roman" w:hAnsi="Palatino Linotype"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8"/>
  </w:num>
  <w:num w:numId="6">
    <w:abstractNumId w:val="9"/>
  </w:num>
  <w:num w:numId="7">
    <w:abstractNumId w:val="3"/>
  </w:num>
  <w:num w:numId="8">
    <w:abstractNumId w:val="11"/>
  </w:num>
  <w:num w:numId="9">
    <w:abstractNumId w:val="1"/>
  </w:num>
  <w:num w:numId="10">
    <w:abstractNumId w:val="12"/>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79"/>
    <w:rsid w:val="00006673"/>
    <w:rsid w:val="00011A19"/>
    <w:rsid w:val="00013A98"/>
    <w:rsid w:val="00016345"/>
    <w:rsid w:val="00025BE0"/>
    <w:rsid w:val="000260CF"/>
    <w:rsid w:val="000358E5"/>
    <w:rsid w:val="000455D6"/>
    <w:rsid w:val="00047DE7"/>
    <w:rsid w:val="0005430C"/>
    <w:rsid w:val="00057813"/>
    <w:rsid w:val="000578B7"/>
    <w:rsid w:val="00060BAC"/>
    <w:rsid w:val="00065C93"/>
    <w:rsid w:val="000664B6"/>
    <w:rsid w:val="00070B7A"/>
    <w:rsid w:val="000712E1"/>
    <w:rsid w:val="000717AA"/>
    <w:rsid w:val="000763F5"/>
    <w:rsid w:val="0008000E"/>
    <w:rsid w:val="00090B58"/>
    <w:rsid w:val="000A2469"/>
    <w:rsid w:val="000A3429"/>
    <w:rsid w:val="000A3FC8"/>
    <w:rsid w:val="000A5583"/>
    <w:rsid w:val="000A5F2C"/>
    <w:rsid w:val="000B04AD"/>
    <w:rsid w:val="000B3D62"/>
    <w:rsid w:val="000C3B77"/>
    <w:rsid w:val="000D3EAD"/>
    <w:rsid w:val="000D6B70"/>
    <w:rsid w:val="000D7971"/>
    <w:rsid w:val="000E0027"/>
    <w:rsid w:val="000E2E6A"/>
    <w:rsid w:val="000F61D8"/>
    <w:rsid w:val="00103C3A"/>
    <w:rsid w:val="0010514B"/>
    <w:rsid w:val="00125E36"/>
    <w:rsid w:val="0013250B"/>
    <w:rsid w:val="00142BFD"/>
    <w:rsid w:val="00151D21"/>
    <w:rsid w:val="00163DA4"/>
    <w:rsid w:val="001662D8"/>
    <w:rsid w:val="00172FF7"/>
    <w:rsid w:val="001755B6"/>
    <w:rsid w:val="00177D09"/>
    <w:rsid w:val="00191CBB"/>
    <w:rsid w:val="00196EBC"/>
    <w:rsid w:val="001B5E33"/>
    <w:rsid w:val="001E0A59"/>
    <w:rsid w:val="001F4156"/>
    <w:rsid w:val="00200915"/>
    <w:rsid w:val="00201A38"/>
    <w:rsid w:val="0020697E"/>
    <w:rsid w:val="00211189"/>
    <w:rsid w:val="00213579"/>
    <w:rsid w:val="00217B5E"/>
    <w:rsid w:val="002240B3"/>
    <w:rsid w:val="002324AC"/>
    <w:rsid w:val="002477C6"/>
    <w:rsid w:val="00250357"/>
    <w:rsid w:val="00252A09"/>
    <w:rsid w:val="00256AD7"/>
    <w:rsid w:val="0026171B"/>
    <w:rsid w:val="002640B7"/>
    <w:rsid w:val="00265A39"/>
    <w:rsid w:val="00270BBC"/>
    <w:rsid w:val="00271513"/>
    <w:rsid w:val="002771D2"/>
    <w:rsid w:val="002837B9"/>
    <w:rsid w:val="002904CC"/>
    <w:rsid w:val="00293C02"/>
    <w:rsid w:val="002941BB"/>
    <w:rsid w:val="00296B70"/>
    <w:rsid w:val="00297D3F"/>
    <w:rsid w:val="002A1734"/>
    <w:rsid w:val="002A514C"/>
    <w:rsid w:val="002A675A"/>
    <w:rsid w:val="002B1723"/>
    <w:rsid w:val="002C1CBB"/>
    <w:rsid w:val="002C58C0"/>
    <w:rsid w:val="002D0039"/>
    <w:rsid w:val="002D65EF"/>
    <w:rsid w:val="002F0603"/>
    <w:rsid w:val="002F45F5"/>
    <w:rsid w:val="002F607D"/>
    <w:rsid w:val="00300386"/>
    <w:rsid w:val="0030179B"/>
    <w:rsid w:val="003034CE"/>
    <w:rsid w:val="003111AA"/>
    <w:rsid w:val="003152B7"/>
    <w:rsid w:val="0031647B"/>
    <w:rsid w:val="003268ED"/>
    <w:rsid w:val="003275B0"/>
    <w:rsid w:val="003408BB"/>
    <w:rsid w:val="003408BD"/>
    <w:rsid w:val="003528CA"/>
    <w:rsid w:val="00357C57"/>
    <w:rsid w:val="003611AD"/>
    <w:rsid w:val="00362E9E"/>
    <w:rsid w:val="003709CC"/>
    <w:rsid w:val="003732C1"/>
    <w:rsid w:val="003737C0"/>
    <w:rsid w:val="00376351"/>
    <w:rsid w:val="00382B6C"/>
    <w:rsid w:val="00382BAC"/>
    <w:rsid w:val="00382CE8"/>
    <w:rsid w:val="00386BE0"/>
    <w:rsid w:val="00386C65"/>
    <w:rsid w:val="00387244"/>
    <w:rsid w:val="00391E57"/>
    <w:rsid w:val="003933D8"/>
    <w:rsid w:val="00393924"/>
    <w:rsid w:val="003B7C04"/>
    <w:rsid w:val="003D43E9"/>
    <w:rsid w:val="003D4804"/>
    <w:rsid w:val="003D5DC8"/>
    <w:rsid w:val="003E0F9E"/>
    <w:rsid w:val="003E2442"/>
    <w:rsid w:val="003E63B7"/>
    <w:rsid w:val="003F736F"/>
    <w:rsid w:val="00400309"/>
    <w:rsid w:val="00404497"/>
    <w:rsid w:val="00406005"/>
    <w:rsid w:val="004107E3"/>
    <w:rsid w:val="00416432"/>
    <w:rsid w:val="004168BD"/>
    <w:rsid w:val="00440D2A"/>
    <w:rsid w:val="00441075"/>
    <w:rsid w:val="004410A4"/>
    <w:rsid w:val="00443BB4"/>
    <w:rsid w:val="0045065C"/>
    <w:rsid w:val="00454B67"/>
    <w:rsid w:val="00455CEA"/>
    <w:rsid w:val="00457CBC"/>
    <w:rsid w:val="00461583"/>
    <w:rsid w:val="00465716"/>
    <w:rsid w:val="00474744"/>
    <w:rsid w:val="004769A0"/>
    <w:rsid w:val="004832CF"/>
    <w:rsid w:val="00490BCD"/>
    <w:rsid w:val="00492AC2"/>
    <w:rsid w:val="004947A1"/>
    <w:rsid w:val="00497655"/>
    <w:rsid w:val="004A02B8"/>
    <w:rsid w:val="004A1F0D"/>
    <w:rsid w:val="004B3614"/>
    <w:rsid w:val="004B4723"/>
    <w:rsid w:val="004B6217"/>
    <w:rsid w:val="004C2667"/>
    <w:rsid w:val="004D1D6A"/>
    <w:rsid w:val="004D29A0"/>
    <w:rsid w:val="004D74B8"/>
    <w:rsid w:val="004F01B6"/>
    <w:rsid w:val="004F1C29"/>
    <w:rsid w:val="0050015F"/>
    <w:rsid w:val="00501F22"/>
    <w:rsid w:val="00507203"/>
    <w:rsid w:val="005163F5"/>
    <w:rsid w:val="0052065B"/>
    <w:rsid w:val="00523E2D"/>
    <w:rsid w:val="00526ABF"/>
    <w:rsid w:val="00540F32"/>
    <w:rsid w:val="0056095E"/>
    <w:rsid w:val="0056651B"/>
    <w:rsid w:val="00566AD7"/>
    <w:rsid w:val="00575950"/>
    <w:rsid w:val="00591CF3"/>
    <w:rsid w:val="00591E25"/>
    <w:rsid w:val="00597DC4"/>
    <w:rsid w:val="005A4316"/>
    <w:rsid w:val="005A77E3"/>
    <w:rsid w:val="005B3670"/>
    <w:rsid w:val="005B7CAA"/>
    <w:rsid w:val="005C070C"/>
    <w:rsid w:val="005D02CD"/>
    <w:rsid w:val="005D3006"/>
    <w:rsid w:val="005D5B37"/>
    <w:rsid w:val="005D7868"/>
    <w:rsid w:val="005E7A55"/>
    <w:rsid w:val="005F31AD"/>
    <w:rsid w:val="005F41E7"/>
    <w:rsid w:val="005F50C3"/>
    <w:rsid w:val="005F7AFB"/>
    <w:rsid w:val="006037EC"/>
    <w:rsid w:val="00607ED5"/>
    <w:rsid w:val="006131DE"/>
    <w:rsid w:val="006205DC"/>
    <w:rsid w:val="006235E5"/>
    <w:rsid w:val="00623943"/>
    <w:rsid w:val="006267B9"/>
    <w:rsid w:val="0063404D"/>
    <w:rsid w:val="006352F6"/>
    <w:rsid w:val="0064708E"/>
    <w:rsid w:val="00647653"/>
    <w:rsid w:val="00651D81"/>
    <w:rsid w:val="006520CE"/>
    <w:rsid w:val="006600C9"/>
    <w:rsid w:val="0066043B"/>
    <w:rsid w:val="0066282B"/>
    <w:rsid w:val="00666E80"/>
    <w:rsid w:val="0067293C"/>
    <w:rsid w:val="00684D70"/>
    <w:rsid w:val="0068558D"/>
    <w:rsid w:val="006859A8"/>
    <w:rsid w:val="0069060E"/>
    <w:rsid w:val="006938BE"/>
    <w:rsid w:val="00694667"/>
    <w:rsid w:val="006C00BF"/>
    <w:rsid w:val="006C21F6"/>
    <w:rsid w:val="006D0B46"/>
    <w:rsid w:val="006D4819"/>
    <w:rsid w:val="006D4FB3"/>
    <w:rsid w:val="006F7F1C"/>
    <w:rsid w:val="00700D4B"/>
    <w:rsid w:val="007061E6"/>
    <w:rsid w:val="00710CCD"/>
    <w:rsid w:val="00724627"/>
    <w:rsid w:val="007264AB"/>
    <w:rsid w:val="00727C6B"/>
    <w:rsid w:val="00727EC6"/>
    <w:rsid w:val="00730129"/>
    <w:rsid w:val="00742664"/>
    <w:rsid w:val="007502EB"/>
    <w:rsid w:val="007619DB"/>
    <w:rsid w:val="007647A5"/>
    <w:rsid w:val="0077094E"/>
    <w:rsid w:val="007732A2"/>
    <w:rsid w:val="0078187E"/>
    <w:rsid w:val="00784342"/>
    <w:rsid w:val="007908F4"/>
    <w:rsid w:val="00792A3C"/>
    <w:rsid w:val="007949F9"/>
    <w:rsid w:val="00796754"/>
    <w:rsid w:val="007A1621"/>
    <w:rsid w:val="007A65C0"/>
    <w:rsid w:val="007B3394"/>
    <w:rsid w:val="007B45A7"/>
    <w:rsid w:val="007B605A"/>
    <w:rsid w:val="007C2100"/>
    <w:rsid w:val="007C2A20"/>
    <w:rsid w:val="007C6317"/>
    <w:rsid w:val="007C6CED"/>
    <w:rsid w:val="007D16B0"/>
    <w:rsid w:val="007D21BD"/>
    <w:rsid w:val="007E0132"/>
    <w:rsid w:val="007E69E9"/>
    <w:rsid w:val="007F0BC5"/>
    <w:rsid w:val="007F6870"/>
    <w:rsid w:val="007F72D4"/>
    <w:rsid w:val="00805C32"/>
    <w:rsid w:val="0080641D"/>
    <w:rsid w:val="00807930"/>
    <w:rsid w:val="008124BB"/>
    <w:rsid w:val="00812729"/>
    <w:rsid w:val="00812F46"/>
    <w:rsid w:val="00823B06"/>
    <w:rsid w:val="00826BD7"/>
    <w:rsid w:val="00827A43"/>
    <w:rsid w:val="00832F4D"/>
    <w:rsid w:val="00850EC1"/>
    <w:rsid w:val="00851B71"/>
    <w:rsid w:val="00860730"/>
    <w:rsid w:val="0086227F"/>
    <w:rsid w:val="00866289"/>
    <w:rsid w:val="00867F68"/>
    <w:rsid w:val="0087012B"/>
    <w:rsid w:val="00871694"/>
    <w:rsid w:val="0087478E"/>
    <w:rsid w:val="00875DB6"/>
    <w:rsid w:val="00897AB2"/>
    <w:rsid w:val="008A78E6"/>
    <w:rsid w:val="008C27B0"/>
    <w:rsid w:val="008C3186"/>
    <w:rsid w:val="008D0D0E"/>
    <w:rsid w:val="008D5EF9"/>
    <w:rsid w:val="008D7C9C"/>
    <w:rsid w:val="008E1458"/>
    <w:rsid w:val="008E6665"/>
    <w:rsid w:val="008F0EBF"/>
    <w:rsid w:val="008F6C11"/>
    <w:rsid w:val="00905E0C"/>
    <w:rsid w:val="00913294"/>
    <w:rsid w:val="00915CB2"/>
    <w:rsid w:val="009167A4"/>
    <w:rsid w:val="00931D70"/>
    <w:rsid w:val="00941AB6"/>
    <w:rsid w:val="00944270"/>
    <w:rsid w:val="00946691"/>
    <w:rsid w:val="00947286"/>
    <w:rsid w:val="00947C80"/>
    <w:rsid w:val="00953501"/>
    <w:rsid w:val="009540E6"/>
    <w:rsid w:val="00957A8C"/>
    <w:rsid w:val="00960E06"/>
    <w:rsid w:val="00993683"/>
    <w:rsid w:val="009955CE"/>
    <w:rsid w:val="00996A50"/>
    <w:rsid w:val="009A6CA6"/>
    <w:rsid w:val="009A7486"/>
    <w:rsid w:val="009B1C28"/>
    <w:rsid w:val="009B2FFC"/>
    <w:rsid w:val="009B32AF"/>
    <w:rsid w:val="009B330E"/>
    <w:rsid w:val="009B4991"/>
    <w:rsid w:val="009C1F4F"/>
    <w:rsid w:val="009D0AD3"/>
    <w:rsid w:val="009D4491"/>
    <w:rsid w:val="009E1162"/>
    <w:rsid w:val="009E312C"/>
    <w:rsid w:val="009E5356"/>
    <w:rsid w:val="009E7BAA"/>
    <w:rsid w:val="009F0256"/>
    <w:rsid w:val="009F4097"/>
    <w:rsid w:val="009F6F79"/>
    <w:rsid w:val="00A01AD6"/>
    <w:rsid w:val="00A028CA"/>
    <w:rsid w:val="00A05B60"/>
    <w:rsid w:val="00A07925"/>
    <w:rsid w:val="00A26784"/>
    <w:rsid w:val="00A30A14"/>
    <w:rsid w:val="00A40A99"/>
    <w:rsid w:val="00A41B02"/>
    <w:rsid w:val="00A501FA"/>
    <w:rsid w:val="00A52095"/>
    <w:rsid w:val="00A5458B"/>
    <w:rsid w:val="00A61FBE"/>
    <w:rsid w:val="00A64B7A"/>
    <w:rsid w:val="00A65837"/>
    <w:rsid w:val="00A76E22"/>
    <w:rsid w:val="00A817D4"/>
    <w:rsid w:val="00A9276F"/>
    <w:rsid w:val="00A9659F"/>
    <w:rsid w:val="00A96675"/>
    <w:rsid w:val="00A96CF9"/>
    <w:rsid w:val="00AA0025"/>
    <w:rsid w:val="00AB23FD"/>
    <w:rsid w:val="00AC28AE"/>
    <w:rsid w:val="00AC6587"/>
    <w:rsid w:val="00AD0889"/>
    <w:rsid w:val="00AD1C61"/>
    <w:rsid w:val="00AD2D10"/>
    <w:rsid w:val="00B175DA"/>
    <w:rsid w:val="00B247EA"/>
    <w:rsid w:val="00B256D4"/>
    <w:rsid w:val="00B349C9"/>
    <w:rsid w:val="00B41584"/>
    <w:rsid w:val="00B416DB"/>
    <w:rsid w:val="00B431A8"/>
    <w:rsid w:val="00B5028E"/>
    <w:rsid w:val="00B511CA"/>
    <w:rsid w:val="00B57ABB"/>
    <w:rsid w:val="00B61397"/>
    <w:rsid w:val="00B70C8C"/>
    <w:rsid w:val="00B70D09"/>
    <w:rsid w:val="00B721A6"/>
    <w:rsid w:val="00B91551"/>
    <w:rsid w:val="00B960B5"/>
    <w:rsid w:val="00BA0B12"/>
    <w:rsid w:val="00BA22CF"/>
    <w:rsid w:val="00BB0D15"/>
    <w:rsid w:val="00BB1D37"/>
    <w:rsid w:val="00BB2FE0"/>
    <w:rsid w:val="00BB4C10"/>
    <w:rsid w:val="00BB6730"/>
    <w:rsid w:val="00BB6831"/>
    <w:rsid w:val="00BC0BE7"/>
    <w:rsid w:val="00BD2116"/>
    <w:rsid w:val="00BE3EBC"/>
    <w:rsid w:val="00BF7487"/>
    <w:rsid w:val="00C023ED"/>
    <w:rsid w:val="00C0596F"/>
    <w:rsid w:val="00C12527"/>
    <w:rsid w:val="00C22388"/>
    <w:rsid w:val="00C226F5"/>
    <w:rsid w:val="00C25389"/>
    <w:rsid w:val="00C42F39"/>
    <w:rsid w:val="00C44385"/>
    <w:rsid w:val="00C57649"/>
    <w:rsid w:val="00C654C1"/>
    <w:rsid w:val="00C84A04"/>
    <w:rsid w:val="00CA179C"/>
    <w:rsid w:val="00CB2D06"/>
    <w:rsid w:val="00CB5995"/>
    <w:rsid w:val="00CD2D54"/>
    <w:rsid w:val="00CD73DC"/>
    <w:rsid w:val="00CE1C7C"/>
    <w:rsid w:val="00CF038F"/>
    <w:rsid w:val="00CF0912"/>
    <w:rsid w:val="00CF367F"/>
    <w:rsid w:val="00D21887"/>
    <w:rsid w:val="00D35F21"/>
    <w:rsid w:val="00D3609D"/>
    <w:rsid w:val="00D50CA0"/>
    <w:rsid w:val="00D6318F"/>
    <w:rsid w:val="00D70FB2"/>
    <w:rsid w:val="00D712FF"/>
    <w:rsid w:val="00D748A6"/>
    <w:rsid w:val="00D91586"/>
    <w:rsid w:val="00D9171D"/>
    <w:rsid w:val="00DA6846"/>
    <w:rsid w:val="00DA7DB7"/>
    <w:rsid w:val="00DB02BD"/>
    <w:rsid w:val="00DC0CA6"/>
    <w:rsid w:val="00DC4912"/>
    <w:rsid w:val="00DC6E92"/>
    <w:rsid w:val="00DC7ECD"/>
    <w:rsid w:val="00DE2EED"/>
    <w:rsid w:val="00DE3C13"/>
    <w:rsid w:val="00DF02E8"/>
    <w:rsid w:val="00DF29FD"/>
    <w:rsid w:val="00DF576E"/>
    <w:rsid w:val="00E0233E"/>
    <w:rsid w:val="00E03ECB"/>
    <w:rsid w:val="00E06115"/>
    <w:rsid w:val="00E075D1"/>
    <w:rsid w:val="00E13E03"/>
    <w:rsid w:val="00E14AD5"/>
    <w:rsid w:val="00E21288"/>
    <w:rsid w:val="00E22E44"/>
    <w:rsid w:val="00E230FD"/>
    <w:rsid w:val="00E24F7F"/>
    <w:rsid w:val="00E268BD"/>
    <w:rsid w:val="00E31126"/>
    <w:rsid w:val="00E31130"/>
    <w:rsid w:val="00E3753C"/>
    <w:rsid w:val="00E5099E"/>
    <w:rsid w:val="00E53EBF"/>
    <w:rsid w:val="00E60ECD"/>
    <w:rsid w:val="00E64AED"/>
    <w:rsid w:val="00E757DA"/>
    <w:rsid w:val="00E8133C"/>
    <w:rsid w:val="00E83019"/>
    <w:rsid w:val="00E90217"/>
    <w:rsid w:val="00E91DEF"/>
    <w:rsid w:val="00E95164"/>
    <w:rsid w:val="00EB4B69"/>
    <w:rsid w:val="00EB630D"/>
    <w:rsid w:val="00EC6681"/>
    <w:rsid w:val="00EC7D2B"/>
    <w:rsid w:val="00ED1747"/>
    <w:rsid w:val="00ED30A3"/>
    <w:rsid w:val="00ED3D43"/>
    <w:rsid w:val="00EE6256"/>
    <w:rsid w:val="00EE6D39"/>
    <w:rsid w:val="00F026A6"/>
    <w:rsid w:val="00F064E9"/>
    <w:rsid w:val="00F1324F"/>
    <w:rsid w:val="00F1393D"/>
    <w:rsid w:val="00F14BC2"/>
    <w:rsid w:val="00F349D4"/>
    <w:rsid w:val="00F37B7A"/>
    <w:rsid w:val="00F42B8D"/>
    <w:rsid w:val="00F56B90"/>
    <w:rsid w:val="00F615FE"/>
    <w:rsid w:val="00F712C0"/>
    <w:rsid w:val="00F7482B"/>
    <w:rsid w:val="00F752B9"/>
    <w:rsid w:val="00F84070"/>
    <w:rsid w:val="00F8745A"/>
    <w:rsid w:val="00F9090C"/>
    <w:rsid w:val="00F92A58"/>
    <w:rsid w:val="00F94C85"/>
    <w:rsid w:val="00FA016A"/>
    <w:rsid w:val="00FA1A60"/>
    <w:rsid w:val="00FC7E1A"/>
    <w:rsid w:val="00FD5D17"/>
    <w:rsid w:val="00FE5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178677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2C4C2F-9BBD-460F-8FB5-25FCFAD2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8582</Words>
  <Characters>47204</Characters>
  <Application>Microsoft Office Word</Application>
  <DocSecurity>4</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2023-08-12T18:12:00Z</cp:lastPrinted>
  <dcterms:created xsi:type="dcterms:W3CDTF">2023-09-04T16:59:00Z</dcterms:created>
  <dcterms:modified xsi:type="dcterms:W3CDTF">2023-09-04T16:59:00Z</dcterms:modified>
</cp:coreProperties>
</file>